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 xml:space="preserve"> </w:t>
      </w:r>
    </w:p>
    <w:p>
      <w:pPr>
        <w:pStyle w:val="36"/>
        <w:rPr>
          <w:rFonts w:hint="default" w:ascii="Times New Roman" w:hAnsi="Times New Roman" w:cs="Times New Roman" w:eastAsiaTheme="minorEastAsia"/>
          <w:color w:val="auto"/>
        </w:rPr>
      </w:pPr>
    </w:p>
    <w:p>
      <w:pPr>
        <w:pStyle w:val="36"/>
        <w:rPr>
          <w:rFonts w:hint="default" w:ascii="Times New Roman" w:hAnsi="Times New Roman" w:cs="Times New Roman" w:eastAsiaTheme="minorEastAsia"/>
          <w:color w:val="auto"/>
        </w:rPr>
      </w:pPr>
    </w:p>
    <w:p>
      <w:pPr>
        <w:pStyle w:val="36"/>
        <w:rPr>
          <w:rFonts w:hint="default" w:ascii="Times New Roman" w:hAnsi="Times New Roman" w:cs="Times New Roman" w:eastAsiaTheme="minorEastAsia"/>
          <w:color w:val="auto"/>
        </w:rPr>
      </w:pPr>
    </w:p>
    <w:p>
      <w:pPr>
        <w:pStyle w:val="75"/>
        <w:pageBreakBefore w:val="0"/>
        <w:kinsoku/>
        <w:wordWrap/>
        <w:topLinePunct w:val="0"/>
        <w:bidi w:val="0"/>
        <w:adjustRightInd w:val="0"/>
        <w:snapToGrid w:val="0"/>
        <w:ind w:firstLine="0" w:firstLineChars="0"/>
        <w:jc w:val="both"/>
        <w:rPr>
          <w:rFonts w:hint="default" w:ascii="Times New Roman" w:hAnsi="Times New Roman" w:cs="Times New Roman" w:eastAsiaTheme="minorEastAsia"/>
          <w:color w:val="auto"/>
        </w:rPr>
      </w:pPr>
    </w:p>
    <w:p>
      <w:pPr>
        <w:pStyle w:val="75"/>
        <w:pageBreakBefore w:val="0"/>
        <w:kinsoku/>
        <w:wordWrap/>
        <w:topLinePunct w:val="0"/>
        <w:bidi w:val="0"/>
        <w:adjustRightInd w:val="0"/>
        <w:snapToGrid w:val="0"/>
        <w:ind w:firstLine="0" w:firstLineChars="0"/>
        <w:rPr>
          <w:rFonts w:hint="eastAsia" w:ascii="Times New Roman" w:hAnsi="Times New Roman" w:cs="Times New Roman" w:eastAsiaTheme="minorEastAsia"/>
          <w:color w:val="auto"/>
          <w:lang w:eastAsia="zh-CN"/>
        </w:rPr>
      </w:pPr>
      <w:r>
        <w:rPr>
          <w:rFonts w:hint="eastAsia" w:cs="Times New Roman" w:eastAsiaTheme="minorEastAsia"/>
          <w:color w:val="auto"/>
          <w:lang w:eastAsia="zh-CN"/>
        </w:rPr>
        <w:t>山东万通集团垦利金顺油品有限公司</w:t>
      </w:r>
    </w:p>
    <w:p>
      <w:pPr>
        <w:pStyle w:val="75"/>
        <w:pageBreakBefore w:val="0"/>
        <w:kinsoku/>
        <w:wordWrap/>
        <w:topLinePunct w:val="0"/>
        <w:bidi w:val="0"/>
        <w:adjustRightInd w:val="0"/>
        <w:snapToGrid w:val="0"/>
        <w:ind w:firstLine="0" w:firstLineChars="0"/>
        <w:rPr>
          <w:rFonts w:hint="eastAsia" w:ascii="Times New Roman" w:hAnsi="Times New Roman" w:cs="Times New Roman" w:eastAsiaTheme="minorEastAsia"/>
          <w:color w:val="auto"/>
          <w:lang w:eastAsia="zh-CN"/>
        </w:rPr>
      </w:pPr>
      <w:r>
        <w:rPr>
          <w:rFonts w:hint="eastAsia" w:cs="Times New Roman" w:eastAsiaTheme="minorEastAsia"/>
          <w:color w:val="auto"/>
          <w:spacing w:val="4"/>
          <w:lang w:eastAsia="zh-CN"/>
        </w:rPr>
        <w:t>第六加油中心扩容项目</w:t>
      </w:r>
    </w:p>
    <w:p>
      <w:pPr>
        <w:pStyle w:val="75"/>
        <w:pageBreakBefore w:val="0"/>
        <w:kinsoku/>
        <w:wordWrap/>
        <w:topLinePunct w:val="0"/>
        <w:bidi w:val="0"/>
        <w:adjustRightInd w:val="0"/>
        <w:snapToGrid w:val="0"/>
        <w:ind w:firstLine="0" w:firstLineChars="0"/>
        <w:rPr>
          <w:rFonts w:hint="eastAsia" w:ascii="Times New Roman" w:hAnsi="Times New Roman" w:cs="Times New Roman" w:eastAsiaTheme="minorEastAsia"/>
          <w:color w:val="auto"/>
          <w:sz w:val="52"/>
          <w:szCs w:val="52"/>
          <w:lang w:eastAsia="zh-CN"/>
        </w:rPr>
      </w:pPr>
      <w:r>
        <w:rPr>
          <w:rFonts w:hint="eastAsia" w:cs="Times New Roman" w:eastAsiaTheme="minorEastAsia"/>
          <w:color w:val="auto"/>
          <w:sz w:val="52"/>
          <w:szCs w:val="52"/>
          <w:lang w:eastAsia="zh-CN"/>
        </w:rPr>
        <w:t>安全设施竣工验收评价报告</w:t>
      </w:r>
    </w:p>
    <w:p>
      <w:pPr>
        <w:pageBreakBefore w:val="0"/>
        <w:kinsoku/>
        <w:wordWrap/>
        <w:topLinePunct w:val="0"/>
        <w:bidi w:val="0"/>
        <w:adjustRightInd w:val="0"/>
        <w:snapToGrid w:val="0"/>
        <w:ind w:firstLine="0" w:firstLineChars="0"/>
        <w:rPr>
          <w:rFonts w:hint="default" w:ascii="Times New Roman" w:hAnsi="Times New Roman" w:cs="Times New Roman" w:eastAsiaTheme="minorEastAsia"/>
          <w:b/>
          <w:bCs/>
          <w:color w:val="auto"/>
          <w:sz w:val="52"/>
          <w:szCs w:val="52"/>
        </w:rPr>
      </w:pPr>
    </w:p>
    <w:p>
      <w:pPr>
        <w:pageBreakBefore w:val="0"/>
        <w:kinsoku/>
        <w:wordWrap/>
        <w:topLinePunct w:val="0"/>
        <w:bidi w:val="0"/>
        <w:adjustRightInd w:val="0"/>
        <w:snapToGrid w:val="0"/>
        <w:ind w:left="0" w:leftChars="0" w:firstLine="300" w:firstLineChars="100"/>
        <w:rPr>
          <w:rFonts w:hint="default" w:ascii="Times New Roman" w:hAnsi="Times New Roman" w:cs="Times New Roman" w:eastAsiaTheme="minorEastAsia"/>
          <w:color w:val="auto"/>
          <w:spacing w:val="-20"/>
          <w:w w:val="90"/>
          <w:kern w:val="0"/>
          <w:sz w:val="30"/>
          <w:szCs w:val="30"/>
        </w:rPr>
      </w:pPr>
      <w:r>
        <w:rPr>
          <w:rFonts w:hint="default" w:ascii="Times New Roman" w:hAnsi="Times New Roman" w:cs="Times New Roman" w:eastAsiaTheme="minorEastAsia"/>
          <w:color w:val="auto"/>
          <w:kern w:val="0"/>
          <w:sz w:val="30"/>
          <w:szCs w:val="30"/>
        </w:rPr>
        <w:t>建设单位：</w:t>
      </w:r>
      <w:r>
        <w:rPr>
          <w:rFonts w:hint="eastAsia" w:cs="Times New Roman" w:eastAsiaTheme="minorEastAsia"/>
          <w:color w:val="auto"/>
          <w:kern w:val="0"/>
          <w:sz w:val="30"/>
          <w:szCs w:val="30"/>
          <w:lang w:eastAsia="zh-CN"/>
        </w:rPr>
        <w:t>山东万通集团垦利金顺油品有限公司第六加油中心</w:t>
      </w:r>
    </w:p>
    <w:p>
      <w:pPr>
        <w:pageBreakBefore w:val="0"/>
        <w:kinsoku/>
        <w:wordWrap/>
        <w:topLinePunct w:val="0"/>
        <w:bidi w:val="0"/>
        <w:adjustRightInd w:val="0"/>
        <w:snapToGrid w:val="0"/>
        <w:ind w:left="0" w:leftChars="0" w:firstLine="300" w:firstLineChars="100"/>
        <w:rPr>
          <w:rFonts w:hint="eastAsia" w:ascii="Times New Roman" w:hAnsi="Times New Roman" w:cs="Times New Roman" w:eastAsiaTheme="minorEastAsia"/>
          <w:color w:val="auto"/>
          <w:kern w:val="0"/>
          <w:sz w:val="30"/>
          <w:szCs w:val="30"/>
          <w:lang w:eastAsia="zh-CN"/>
        </w:rPr>
      </w:pPr>
      <w:r>
        <w:rPr>
          <w:rFonts w:hint="default" w:ascii="Times New Roman" w:hAnsi="Times New Roman" w:cs="Times New Roman" w:eastAsiaTheme="minorEastAsia"/>
          <w:color w:val="auto"/>
          <w:kern w:val="0"/>
          <w:sz w:val="30"/>
          <w:szCs w:val="30"/>
        </w:rPr>
        <w:t>建设单位负责人：</w:t>
      </w:r>
      <w:r>
        <w:rPr>
          <w:rFonts w:hint="eastAsia" w:cs="Times New Roman" w:eastAsiaTheme="minorEastAsia"/>
          <w:color w:val="auto"/>
          <w:kern w:val="0"/>
          <w:sz w:val="30"/>
          <w:szCs w:val="30"/>
          <w:lang w:eastAsia="zh-CN"/>
        </w:rPr>
        <w:t>王凯</w:t>
      </w:r>
    </w:p>
    <w:p>
      <w:pPr>
        <w:pageBreakBefore w:val="0"/>
        <w:kinsoku/>
        <w:wordWrap/>
        <w:topLinePunct w:val="0"/>
        <w:bidi w:val="0"/>
        <w:adjustRightInd w:val="0"/>
        <w:snapToGrid w:val="0"/>
        <w:ind w:left="300" w:leftChars="107" w:firstLine="0" w:firstLineChars="0"/>
        <w:rPr>
          <w:rFonts w:hint="eastAsia" w:ascii="Times New Roman" w:hAnsi="Times New Roman" w:cs="Times New Roman" w:eastAsiaTheme="minorEastAsia"/>
          <w:color w:val="auto"/>
          <w:kern w:val="0"/>
          <w:sz w:val="30"/>
          <w:szCs w:val="30"/>
          <w:highlight w:val="none"/>
          <w:lang w:eastAsia="zh-CN"/>
        </w:rPr>
      </w:pPr>
      <w:r>
        <w:rPr>
          <w:rFonts w:hint="default" w:ascii="Times New Roman" w:hAnsi="Times New Roman" w:cs="Times New Roman" w:eastAsiaTheme="minorEastAsia"/>
          <w:color w:val="auto"/>
          <w:kern w:val="0"/>
          <w:sz w:val="30"/>
          <w:szCs w:val="30"/>
          <w:highlight w:val="none"/>
        </w:rPr>
        <w:t>建设项目单位：</w:t>
      </w:r>
      <w:r>
        <w:rPr>
          <w:rFonts w:hint="eastAsia" w:cs="Times New Roman" w:eastAsiaTheme="minorEastAsia"/>
          <w:color w:val="auto"/>
          <w:kern w:val="0"/>
          <w:sz w:val="30"/>
          <w:szCs w:val="30"/>
          <w:lang w:eastAsia="zh-CN"/>
        </w:rPr>
        <w:t>山东万通集团垦利金顺油品有限公司第六加油中心</w:t>
      </w:r>
      <w:r>
        <w:rPr>
          <w:rFonts w:hint="eastAsia" w:cs="Times New Roman" w:eastAsiaTheme="minorEastAsia"/>
          <w:color w:val="auto"/>
          <w:kern w:val="0"/>
          <w:sz w:val="30"/>
          <w:szCs w:val="30"/>
          <w:lang w:val="en-US" w:eastAsia="zh-CN"/>
        </w:rPr>
        <w:t xml:space="preserve">  </w:t>
      </w:r>
      <w:r>
        <w:rPr>
          <w:rFonts w:hint="default" w:ascii="Times New Roman" w:hAnsi="Times New Roman" w:cs="Times New Roman" w:eastAsiaTheme="minorEastAsia"/>
          <w:color w:val="auto"/>
          <w:kern w:val="0"/>
          <w:sz w:val="30"/>
          <w:szCs w:val="30"/>
          <w:highlight w:val="none"/>
        </w:rPr>
        <w:t>建设项目单位主要负责人：</w:t>
      </w:r>
      <w:r>
        <w:rPr>
          <w:rFonts w:hint="eastAsia" w:cs="Times New Roman" w:eastAsiaTheme="minorEastAsia"/>
          <w:color w:val="auto"/>
          <w:kern w:val="0"/>
          <w:sz w:val="30"/>
          <w:szCs w:val="30"/>
          <w:highlight w:val="none"/>
          <w:lang w:eastAsia="zh-CN"/>
        </w:rPr>
        <w:t>王凯</w:t>
      </w:r>
    </w:p>
    <w:p>
      <w:pPr>
        <w:pageBreakBefore w:val="0"/>
        <w:kinsoku/>
        <w:wordWrap/>
        <w:topLinePunct w:val="0"/>
        <w:bidi w:val="0"/>
        <w:adjustRightInd w:val="0"/>
        <w:snapToGrid w:val="0"/>
        <w:ind w:left="0" w:leftChars="0" w:firstLine="300" w:firstLineChars="100"/>
        <w:rPr>
          <w:rFonts w:hint="default" w:ascii="Times New Roman" w:hAnsi="Times New Roman" w:cs="Times New Roman" w:eastAsiaTheme="minorEastAsia"/>
          <w:color w:val="auto"/>
          <w:kern w:val="0"/>
          <w:sz w:val="30"/>
          <w:szCs w:val="30"/>
          <w:lang w:val="en-US" w:eastAsia="zh-CN"/>
        </w:rPr>
      </w:pPr>
      <w:r>
        <w:rPr>
          <w:rFonts w:hint="default" w:ascii="Times New Roman" w:hAnsi="Times New Roman" w:cs="Times New Roman" w:eastAsiaTheme="minorEastAsia"/>
          <w:color w:val="auto"/>
          <w:kern w:val="0"/>
          <w:sz w:val="30"/>
          <w:szCs w:val="30"/>
        </w:rPr>
        <w:t>建设项目单位联系人：</w:t>
      </w:r>
      <w:r>
        <w:rPr>
          <w:rFonts w:hint="eastAsia" w:cs="Times New Roman" w:eastAsiaTheme="minorEastAsia"/>
          <w:color w:val="auto"/>
          <w:kern w:val="0"/>
          <w:sz w:val="30"/>
          <w:szCs w:val="30"/>
          <w:lang w:val="en-US" w:eastAsia="zh-CN"/>
        </w:rPr>
        <w:t>郭珊珊</w:t>
      </w:r>
    </w:p>
    <w:p>
      <w:pPr>
        <w:pageBreakBefore w:val="0"/>
        <w:kinsoku/>
        <w:wordWrap/>
        <w:topLinePunct w:val="0"/>
        <w:bidi w:val="0"/>
        <w:adjustRightInd w:val="0"/>
        <w:snapToGrid w:val="0"/>
        <w:ind w:left="0" w:leftChars="0" w:firstLine="300" w:firstLineChars="100"/>
        <w:rPr>
          <w:rFonts w:hint="default" w:ascii="Times New Roman" w:hAnsi="Times New Roman" w:eastAsia="仿宋_GB2312" w:cs="Times New Roman"/>
          <w:color w:val="auto"/>
          <w:kern w:val="0"/>
          <w:sz w:val="30"/>
          <w:szCs w:val="30"/>
          <w:highlight w:val="none"/>
          <w:lang w:val="en-US" w:eastAsia="zh-CN"/>
        </w:rPr>
      </w:pPr>
      <w:r>
        <w:rPr>
          <w:rFonts w:hint="default" w:ascii="Times New Roman" w:hAnsi="Times New Roman" w:cs="Times New Roman" w:eastAsiaTheme="minorEastAsia"/>
          <w:color w:val="auto"/>
          <w:kern w:val="0"/>
          <w:sz w:val="30"/>
          <w:szCs w:val="30"/>
          <w:highlight w:val="none"/>
        </w:rPr>
        <w:t>建设项目单位联系电话：</w:t>
      </w:r>
      <w:r>
        <w:rPr>
          <w:rFonts w:hint="default" w:ascii="Times New Roman" w:hAnsi="Times New Roman" w:eastAsia="仿宋_GB2312" w:cs="Times New Roman"/>
          <w:bCs/>
          <w:snapToGrid w:val="0"/>
          <w:color w:val="auto"/>
          <w:kern w:val="0"/>
          <w:sz w:val="30"/>
          <w:szCs w:val="30"/>
          <w:highlight w:val="none"/>
          <w:lang w:val="zh-CN"/>
        </w:rPr>
        <w:t xml:space="preserve"> </w:t>
      </w:r>
      <w:r>
        <w:rPr>
          <w:rFonts w:hint="eastAsia" w:eastAsia="仿宋_GB2312" w:cs="Times New Roman"/>
          <w:bCs/>
          <w:snapToGrid w:val="0"/>
          <w:color w:val="auto"/>
          <w:kern w:val="0"/>
          <w:sz w:val="30"/>
          <w:szCs w:val="30"/>
          <w:highlight w:val="none"/>
          <w:lang w:val="en-US" w:eastAsia="zh-CN"/>
        </w:rPr>
        <w:t>1832546XXXX</w:t>
      </w:r>
    </w:p>
    <w:p>
      <w:pPr>
        <w:pageBreakBefore w:val="0"/>
        <w:kinsoku/>
        <w:wordWrap/>
        <w:topLinePunct w:val="0"/>
        <w:bidi w:val="0"/>
        <w:adjustRightInd w:val="0"/>
        <w:snapToGrid w:val="0"/>
        <w:ind w:firstLine="0" w:firstLineChars="0"/>
        <w:rPr>
          <w:rFonts w:hint="default" w:ascii="Times New Roman" w:hAnsi="Times New Roman" w:cs="Times New Roman" w:eastAsiaTheme="minorEastAsia"/>
          <w:b/>
          <w:bCs/>
          <w:color w:val="auto"/>
          <w:kern w:val="0"/>
          <w:sz w:val="30"/>
          <w:szCs w:val="30"/>
        </w:rPr>
      </w:pPr>
    </w:p>
    <w:p>
      <w:pPr>
        <w:pageBreakBefore w:val="0"/>
        <w:kinsoku/>
        <w:wordWrap/>
        <w:topLinePunct w:val="0"/>
        <w:bidi w:val="0"/>
        <w:adjustRightInd w:val="0"/>
        <w:snapToGrid w:val="0"/>
        <w:ind w:firstLine="0" w:firstLineChars="0"/>
        <w:rPr>
          <w:rFonts w:hint="default" w:ascii="Times New Roman" w:hAnsi="Times New Roman" w:cs="Times New Roman" w:eastAsiaTheme="minorEastAsia"/>
          <w:b/>
          <w:bCs/>
          <w:color w:val="auto"/>
          <w:kern w:val="0"/>
          <w:sz w:val="30"/>
          <w:szCs w:val="30"/>
        </w:rPr>
      </w:pPr>
    </w:p>
    <w:p>
      <w:pPr>
        <w:pStyle w:val="36"/>
        <w:rPr>
          <w:rFonts w:hint="default" w:ascii="Times New Roman" w:hAnsi="Times New Roman" w:cs="Times New Roman" w:eastAsiaTheme="minorEastAsia"/>
          <w:b/>
          <w:bCs/>
          <w:color w:val="auto"/>
          <w:kern w:val="0"/>
          <w:sz w:val="30"/>
          <w:szCs w:val="30"/>
        </w:rPr>
      </w:pPr>
    </w:p>
    <w:p>
      <w:pPr>
        <w:pStyle w:val="36"/>
        <w:rPr>
          <w:rFonts w:hint="default" w:ascii="Times New Roman" w:hAnsi="Times New Roman" w:cs="Times New Roman" w:eastAsiaTheme="minorEastAsia"/>
          <w:b/>
          <w:bCs/>
          <w:color w:val="auto"/>
          <w:kern w:val="0"/>
          <w:sz w:val="30"/>
          <w:szCs w:val="30"/>
        </w:rPr>
      </w:pPr>
    </w:p>
    <w:p>
      <w:pPr>
        <w:pStyle w:val="36"/>
        <w:rPr>
          <w:rFonts w:hint="default"/>
        </w:rPr>
      </w:pP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color w:val="auto"/>
          <w:kern w:val="0"/>
          <w:sz w:val="30"/>
          <w:szCs w:val="30"/>
          <w:lang w:eastAsia="zh-CN"/>
        </w:rPr>
      </w:pPr>
      <w:r>
        <w:rPr>
          <w:rFonts w:hint="default" w:ascii="Times New Roman" w:hAnsi="Times New Roman" w:cs="Times New Roman" w:eastAsiaTheme="minorEastAsia"/>
          <w:color w:val="auto"/>
          <w:kern w:val="0"/>
          <w:sz w:val="30"/>
          <w:szCs w:val="30"/>
          <w:lang w:eastAsia="zh-CN"/>
        </w:rPr>
        <w:t>（</w:t>
      </w:r>
      <w:r>
        <w:rPr>
          <w:rFonts w:hint="default" w:ascii="Times New Roman" w:hAnsi="Times New Roman" w:cs="Times New Roman" w:eastAsiaTheme="minorEastAsia"/>
          <w:color w:val="auto"/>
          <w:kern w:val="0"/>
          <w:sz w:val="30"/>
          <w:szCs w:val="30"/>
        </w:rPr>
        <w:t>建设单位公章</w:t>
      </w:r>
      <w:r>
        <w:rPr>
          <w:rFonts w:hint="default" w:ascii="Times New Roman" w:hAnsi="Times New Roman" w:cs="Times New Roman" w:eastAsiaTheme="minorEastAsia"/>
          <w:color w:val="auto"/>
          <w:kern w:val="0"/>
          <w:sz w:val="30"/>
          <w:szCs w:val="30"/>
          <w:lang w:eastAsia="zh-CN"/>
        </w:rPr>
        <w:t>）</w:t>
      </w: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color w:val="auto"/>
          <w:kern w:val="0"/>
          <w:sz w:val="30"/>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kern w:val="0"/>
          <w:sz w:val="30"/>
          <w:szCs w:val="30"/>
        </w:rPr>
        <w:t>202</w:t>
      </w:r>
      <w:r>
        <w:rPr>
          <w:rFonts w:hint="eastAsia" w:cs="Times New Roman" w:eastAsiaTheme="minorEastAsia"/>
          <w:color w:val="auto"/>
          <w:kern w:val="0"/>
          <w:sz w:val="30"/>
          <w:szCs w:val="30"/>
          <w:lang w:val="en-US" w:eastAsia="zh-CN"/>
        </w:rPr>
        <w:t>1</w:t>
      </w:r>
      <w:r>
        <w:rPr>
          <w:rFonts w:hint="default" w:ascii="Times New Roman" w:hAnsi="Times New Roman" w:cs="Times New Roman" w:eastAsiaTheme="minorEastAsia"/>
          <w:color w:val="auto"/>
          <w:kern w:val="0"/>
          <w:sz w:val="30"/>
          <w:szCs w:val="30"/>
        </w:rPr>
        <w:t>年</w:t>
      </w:r>
      <w:r>
        <w:rPr>
          <w:rFonts w:hint="eastAsia" w:cs="Times New Roman" w:eastAsiaTheme="minorEastAsia"/>
          <w:color w:val="auto"/>
          <w:kern w:val="0"/>
          <w:sz w:val="30"/>
          <w:szCs w:val="30"/>
          <w:lang w:val="en-US" w:eastAsia="zh-CN"/>
        </w:rPr>
        <w:t>03</w:t>
      </w:r>
      <w:r>
        <w:rPr>
          <w:rFonts w:hint="default" w:ascii="Times New Roman" w:hAnsi="Times New Roman" w:cs="Times New Roman" w:eastAsiaTheme="minorEastAsia"/>
          <w:color w:val="auto"/>
          <w:kern w:val="0"/>
          <w:sz w:val="30"/>
          <w:szCs w:val="30"/>
        </w:rPr>
        <w:t>月</w:t>
      </w:r>
      <w:r>
        <w:rPr>
          <w:rFonts w:hint="eastAsia" w:cs="Times New Roman" w:eastAsiaTheme="minorEastAsia"/>
          <w:color w:val="auto"/>
          <w:kern w:val="0"/>
          <w:sz w:val="30"/>
          <w:szCs w:val="30"/>
          <w:lang w:val="en-US" w:eastAsia="zh-CN"/>
        </w:rPr>
        <w:t>13</w:t>
      </w:r>
      <w:r>
        <w:rPr>
          <w:rFonts w:hint="default" w:ascii="Times New Roman" w:hAnsi="Times New Roman" w:cs="Times New Roman" w:eastAsiaTheme="minorEastAsia"/>
          <w:color w:val="auto"/>
          <w:kern w:val="0"/>
          <w:sz w:val="30"/>
          <w:szCs w:val="30"/>
        </w:rPr>
        <w:t>日</w:t>
      </w:r>
    </w:p>
    <w:p>
      <w:pPr>
        <w:pStyle w:val="2"/>
        <w:pageBreakBefore w:val="0"/>
        <w:kinsoku/>
        <w:wordWrap/>
        <w:topLinePunct w:val="0"/>
        <w:bidi w:val="0"/>
        <w:adjustRightInd w:val="0"/>
        <w:snapToGrid w:val="0"/>
        <w:ind w:firstLine="560"/>
        <w:rPr>
          <w:rFonts w:hint="default" w:ascii="Times New Roman" w:hAnsi="Times New Roman" w:cs="Times New Roman"/>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rPr>
      </w:pPr>
    </w:p>
    <w:p>
      <w:pPr>
        <w:pStyle w:val="36"/>
        <w:rPr>
          <w:rFonts w:hint="default"/>
        </w:rPr>
      </w:pPr>
    </w:p>
    <w:p>
      <w:pPr>
        <w:pStyle w:val="75"/>
        <w:pageBreakBefore w:val="0"/>
        <w:kinsoku/>
        <w:wordWrap/>
        <w:topLinePunct w:val="0"/>
        <w:bidi w:val="0"/>
        <w:adjustRightInd w:val="0"/>
        <w:snapToGrid w:val="0"/>
        <w:ind w:firstLine="0" w:firstLineChars="0"/>
        <w:rPr>
          <w:rFonts w:hint="eastAsia" w:ascii="Times New Roman" w:hAnsi="Times New Roman" w:cs="Times New Roman" w:eastAsiaTheme="minorEastAsia"/>
          <w:color w:val="auto"/>
          <w:lang w:eastAsia="zh-CN"/>
        </w:rPr>
      </w:pPr>
      <w:r>
        <w:rPr>
          <w:rFonts w:hint="eastAsia" w:cs="Times New Roman" w:eastAsiaTheme="minorEastAsia"/>
          <w:color w:val="auto"/>
          <w:lang w:eastAsia="zh-CN"/>
        </w:rPr>
        <w:t>山东万通集团垦利金顺油品有限公司</w:t>
      </w:r>
    </w:p>
    <w:p>
      <w:pPr>
        <w:pStyle w:val="75"/>
        <w:pageBreakBefore w:val="0"/>
        <w:kinsoku/>
        <w:wordWrap/>
        <w:topLinePunct w:val="0"/>
        <w:bidi w:val="0"/>
        <w:adjustRightInd w:val="0"/>
        <w:snapToGrid w:val="0"/>
        <w:ind w:firstLine="0" w:firstLineChars="0"/>
        <w:jc w:val="center"/>
        <w:rPr>
          <w:rFonts w:hint="eastAsia" w:ascii="Times New Roman" w:hAnsi="Times New Roman" w:cs="Times New Roman" w:eastAsiaTheme="minorEastAsia"/>
          <w:color w:val="auto"/>
          <w:lang w:eastAsia="zh-CN"/>
        </w:rPr>
      </w:pPr>
      <w:r>
        <w:rPr>
          <w:rFonts w:hint="eastAsia" w:cs="Times New Roman" w:eastAsiaTheme="minorEastAsia"/>
          <w:color w:val="auto"/>
          <w:spacing w:val="4"/>
          <w:lang w:eastAsia="zh-CN"/>
        </w:rPr>
        <w:t>第六加油中心扩容项目</w:t>
      </w:r>
    </w:p>
    <w:p>
      <w:pPr>
        <w:pageBreakBefore w:val="0"/>
        <w:kinsoku/>
        <w:wordWrap/>
        <w:topLinePunct w:val="0"/>
        <w:bidi w:val="0"/>
        <w:adjustRightInd w:val="0"/>
        <w:snapToGrid w:val="0"/>
        <w:ind w:firstLine="0" w:firstLineChars="0"/>
        <w:jc w:val="center"/>
        <w:rPr>
          <w:rFonts w:hint="eastAsia" w:ascii="Times New Roman" w:hAnsi="Times New Roman" w:cs="Times New Roman" w:eastAsiaTheme="minorEastAsia"/>
          <w:color w:val="auto"/>
          <w:lang w:eastAsia="zh-CN"/>
        </w:rPr>
      </w:pPr>
      <w:r>
        <w:rPr>
          <w:rFonts w:hint="eastAsia" w:cs="Times New Roman" w:eastAsiaTheme="minorEastAsia"/>
          <w:b/>
          <w:bCs/>
          <w:color w:val="auto"/>
          <w:spacing w:val="60"/>
          <w:sz w:val="52"/>
          <w:szCs w:val="52"/>
          <w:lang w:eastAsia="zh-CN"/>
        </w:rPr>
        <w:t>安全设施竣工验收评价报告</w:t>
      </w: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color w:val="auto"/>
        </w:rPr>
      </w:pPr>
    </w:p>
    <w:p>
      <w:pPr>
        <w:pStyle w:val="36"/>
        <w:rPr>
          <w:rFonts w:hint="default"/>
        </w:rPr>
      </w:pPr>
    </w:p>
    <w:p>
      <w:pPr>
        <w:pStyle w:val="2"/>
        <w:pageBreakBefore w:val="0"/>
        <w:kinsoku/>
        <w:wordWrap/>
        <w:topLinePunct w:val="0"/>
        <w:bidi w:val="0"/>
        <w:adjustRightInd w:val="0"/>
        <w:snapToGrid w:val="0"/>
        <w:ind w:firstLine="560"/>
        <w:rPr>
          <w:rFonts w:hint="default" w:ascii="Times New Roman" w:hAnsi="Times New Roman" w:cs="Times New Roman"/>
          <w:color w:val="auto"/>
        </w:rPr>
      </w:pP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color w:val="auto"/>
        </w:rPr>
      </w:pPr>
    </w:p>
    <w:p>
      <w:pPr>
        <w:keepNext w:val="0"/>
        <w:keepLines w:val="0"/>
        <w:pageBreakBefore w:val="0"/>
        <w:widowControl w:val="0"/>
        <w:kinsoku/>
        <w:wordWrap/>
        <w:overflowPunct/>
        <w:topLinePunct w:val="0"/>
        <w:autoSpaceDE/>
        <w:autoSpaceDN/>
        <w:bidi w:val="0"/>
        <w:adjustRightInd w:val="0"/>
        <w:snapToGrid w:val="0"/>
        <w:ind w:left="0" w:leftChars="0" w:firstLine="1500" w:firstLineChars="500"/>
        <w:jc w:val="left"/>
        <w:textAlignment w:val="auto"/>
        <w:rPr>
          <w:rFonts w:hint="eastAsia" w:ascii="Times New Roman" w:hAnsi="Times New Roman" w:cs="Times New Roman" w:eastAsiaTheme="minorEastAsia"/>
          <w:color w:val="auto"/>
          <w:kern w:val="0"/>
          <w:sz w:val="30"/>
          <w:szCs w:val="30"/>
          <w:lang w:eastAsia="zh-CN"/>
        </w:rPr>
      </w:pPr>
      <w:r>
        <w:rPr>
          <w:rFonts w:hint="default" w:ascii="Times New Roman" w:hAnsi="Times New Roman" w:cs="Times New Roman" w:eastAsiaTheme="minorEastAsia"/>
          <w:color w:val="auto"/>
          <w:kern w:val="0"/>
          <w:sz w:val="30"/>
          <w:szCs w:val="30"/>
        </w:rPr>
        <w:t>评价机构名称：</w:t>
      </w:r>
      <w:r>
        <w:rPr>
          <w:rFonts w:hint="eastAsia" w:cs="Times New Roman" w:eastAsiaTheme="minorEastAsia"/>
          <w:color w:val="auto"/>
          <w:kern w:val="0"/>
          <w:sz w:val="30"/>
          <w:szCs w:val="30"/>
          <w:lang w:eastAsia="zh-CN"/>
        </w:rPr>
        <w:t>山东实华安全技术有限公司</w:t>
      </w:r>
    </w:p>
    <w:p>
      <w:pPr>
        <w:keepNext w:val="0"/>
        <w:keepLines w:val="0"/>
        <w:pageBreakBefore w:val="0"/>
        <w:widowControl w:val="0"/>
        <w:kinsoku/>
        <w:wordWrap/>
        <w:overflowPunct/>
        <w:topLinePunct w:val="0"/>
        <w:autoSpaceDE/>
        <w:autoSpaceDN/>
        <w:bidi w:val="0"/>
        <w:adjustRightInd w:val="0"/>
        <w:snapToGrid w:val="0"/>
        <w:ind w:left="0" w:leftChars="0" w:firstLine="1500" w:firstLineChars="500"/>
        <w:jc w:val="left"/>
        <w:textAlignment w:val="auto"/>
        <w:rPr>
          <w:rFonts w:hint="default" w:ascii="Times New Roman" w:hAnsi="Times New Roman" w:cs="Times New Roman" w:eastAsiaTheme="minorEastAsia"/>
          <w:color w:val="auto"/>
          <w:kern w:val="0"/>
          <w:sz w:val="30"/>
          <w:szCs w:val="30"/>
          <w:highlight w:val="none"/>
          <w:lang w:val="en-US" w:eastAsia="zh-CN"/>
        </w:rPr>
      </w:pPr>
      <w:r>
        <w:rPr>
          <w:rFonts w:hint="default" w:ascii="Times New Roman" w:hAnsi="Times New Roman" w:cs="Times New Roman" w:eastAsiaTheme="minorEastAsia"/>
          <w:color w:val="auto"/>
          <w:kern w:val="0"/>
          <w:sz w:val="30"/>
          <w:szCs w:val="30"/>
          <w:highlight w:val="none"/>
        </w:rPr>
        <w:t>资质证书编号：APJ-（鲁）-</w:t>
      </w:r>
      <w:r>
        <w:rPr>
          <w:rFonts w:hint="default" w:ascii="Times New Roman" w:hAnsi="Times New Roman" w:cs="Times New Roman" w:eastAsiaTheme="minorEastAsia"/>
          <w:color w:val="auto"/>
          <w:kern w:val="0"/>
          <w:sz w:val="30"/>
          <w:szCs w:val="30"/>
          <w:highlight w:val="none"/>
          <w:lang w:val="en-US" w:eastAsia="zh-CN"/>
        </w:rPr>
        <w:t>013</w:t>
      </w:r>
    </w:p>
    <w:p>
      <w:pPr>
        <w:keepNext w:val="0"/>
        <w:keepLines w:val="0"/>
        <w:pageBreakBefore w:val="0"/>
        <w:widowControl w:val="0"/>
        <w:kinsoku/>
        <w:wordWrap/>
        <w:overflowPunct/>
        <w:topLinePunct w:val="0"/>
        <w:autoSpaceDE/>
        <w:autoSpaceDN/>
        <w:bidi w:val="0"/>
        <w:adjustRightInd w:val="0"/>
        <w:snapToGrid w:val="0"/>
        <w:ind w:firstLine="1500" w:firstLineChars="500"/>
        <w:jc w:val="left"/>
        <w:textAlignment w:val="auto"/>
        <w:rPr>
          <w:rFonts w:hint="default" w:ascii="Times New Roman" w:hAnsi="Times New Roman" w:cs="Times New Roman" w:eastAsiaTheme="minorEastAsia"/>
          <w:color w:val="auto"/>
          <w:kern w:val="0"/>
          <w:sz w:val="30"/>
          <w:szCs w:val="30"/>
        </w:rPr>
      </w:pPr>
      <w:r>
        <w:rPr>
          <w:rFonts w:hint="default" w:ascii="Times New Roman" w:hAnsi="Times New Roman" w:cs="Times New Roman" w:eastAsiaTheme="minorEastAsia"/>
          <w:color w:val="auto"/>
          <w:kern w:val="0"/>
          <w:sz w:val="30"/>
          <w:szCs w:val="30"/>
        </w:rPr>
        <w:t>法定代表人：周兴友</w:t>
      </w:r>
    </w:p>
    <w:p>
      <w:pPr>
        <w:keepNext w:val="0"/>
        <w:keepLines w:val="0"/>
        <w:pageBreakBefore w:val="0"/>
        <w:widowControl w:val="0"/>
        <w:kinsoku/>
        <w:wordWrap/>
        <w:overflowPunct/>
        <w:topLinePunct w:val="0"/>
        <w:autoSpaceDE/>
        <w:autoSpaceDN/>
        <w:bidi w:val="0"/>
        <w:adjustRightInd w:val="0"/>
        <w:snapToGrid w:val="0"/>
        <w:ind w:firstLine="1500" w:firstLineChars="500"/>
        <w:jc w:val="left"/>
        <w:textAlignment w:val="auto"/>
        <w:rPr>
          <w:rFonts w:hint="eastAsia" w:ascii="Times New Roman" w:hAnsi="Times New Roman" w:cs="Times New Roman" w:eastAsiaTheme="minorEastAsia"/>
          <w:color w:val="auto"/>
          <w:kern w:val="0"/>
          <w:sz w:val="30"/>
          <w:szCs w:val="30"/>
          <w:highlight w:val="none"/>
          <w:lang w:eastAsia="zh-CN"/>
        </w:rPr>
      </w:pPr>
      <w:r>
        <w:rPr>
          <w:rFonts w:hint="default" w:ascii="Times New Roman" w:hAnsi="Times New Roman" w:cs="Times New Roman" w:eastAsiaTheme="minorEastAsia"/>
          <w:color w:val="auto"/>
          <w:kern w:val="0"/>
          <w:sz w:val="30"/>
          <w:szCs w:val="30"/>
          <w:highlight w:val="none"/>
        </w:rPr>
        <w:t>审核定稿人：</w:t>
      </w:r>
      <w:r>
        <w:rPr>
          <w:rFonts w:hint="eastAsia" w:cs="Times New Roman" w:eastAsiaTheme="minorEastAsia"/>
          <w:color w:val="auto"/>
          <w:kern w:val="0"/>
          <w:sz w:val="30"/>
          <w:szCs w:val="30"/>
          <w:highlight w:val="none"/>
          <w:lang w:eastAsia="zh-CN"/>
        </w:rPr>
        <w:t>吴佳东</w:t>
      </w:r>
    </w:p>
    <w:p>
      <w:pPr>
        <w:keepNext w:val="0"/>
        <w:keepLines w:val="0"/>
        <w:pageBreakBefore w:val="0"/>
        <w:widowControl w:val="0"/>
        <w:kinsoku/>
        <w:wordWrap/>
        <w:overflowPunct/>
        <w:topLinePunct w:val="0"/>
        <w:autoSpaceDE/>
        <w:autoSpaceDN/>
        <w:bidi w:val="0"/>
        <w:adjustRightInd w:val="0"/>
        <w:snapToGrid w:val="0"/>
        <w:ind w:firstLine="1500" w:firstLineChars="500"/>
        <w:jc w:val="left"/>
        <w:textAlignment w:val="auto"/>
        <w:rPr>
          <w:rFonts w:hint="eastAsia" w:ascii="Times New Roman" w:hAnsi="Times New Roman" w:cs="Times New Roman" w:eastAsiaTheme="minorEastAsia"/>
          <w:color w:val="auto"/>
          <w:kern w:val="32"/>
          <w:sz w:val="30"/>
          <w:szCs w:val="30"/>
          <w:highlight w:val="none"/>
          <w:lang w:eastAsia="zh-CN"/>
        </w:rPr>
      </w:pPr>
      <w:r>
        <w:rPr>
          <w:rFonts w:hint="default" w:ascii="Times New Roman" w:hAnsi="Times New Roman" w:cs="Times New Roman" w:eastAsiaTheme="minorEastAsia"/>
          <w:color w:val="auto"/>
          <w:kern w:val="0"/>
          <w:sz w:val="30"/>
          <w:szCs w:val="30"/>
          <w:highlight w:val="none"/>
        </w:rPr>
        <w:t>评价负责人：</w:t>
      </w:r>
      <w:r>
        <w:rPr>
          <w:rFonts w:hint="eastAsia" w:cs="Times New Roman" w:eastAsiaTheme="minorEastAsia"/>
          <w:color w:val="auto"/>
          <w:kern w:val="32"/>
          <w:sz w:val="30"/>
          <w:szCs w:val="30"/>
          <w:highlight w:val="none"/>
          <w:lang w:eastAsia="zh-CN"/>
        </w:rPr>
        <w:t>林更鹏</w:t>
      </w:r>
    </w:p>
    <w:p>
      <w:pPr>
        <w:keepNext w:val="0"/>
        <w:keepLines w:val="0"/>
        <w:pageBreakBefore w:val="0"/>
        <w:widowControl w:val="0"/>
        <w:kinsoku/>
        <w:wordWrap/>
        <w:overflowPunct/>
        <w:topLinePunct w:val="0"/>
        <w:autoSpaceDE/>
        <w:autoSpaceDN/>
        <w:bidi w:val="0"/>
        <w:adjustRightInd w:val="0"/>
        <w:snapToGrid w:val="0"/>
        <w:ind w:firstLine="1500" w:firstLineChars="500"/>
        <w:jc w:val="left"/>
        <w:textAlignment w:val="auto"/>
        <w:rPr>
          <w:rFonts w:hint="default" w:ascii="Times New Roman" w:hAnsi="Times New Roman" w:cs="Times New Roman" w:eastAsiaTheme="minorEastAsia"/>
          <w:color w:val="auto"/>
          <w:kern w:val="0"/>
          <w:sz w:val="30"/>
          <w:szCs w:val="30"/>
          <w:lang w:val="en-US" w:eastAsia="zh-CN"/>
        </w:rPr>
      </w:pPr>
      <w:r>
        <w:rPr>
          <w:rFonts w:hint="default" w:ascii="Times New Roman" w:hAnsi="Times New Roman" w:cs="Times New Roman" w:eastAsiaTheme="minorEastAsia"/>
          <w:color w:val="auto"/>
          <w:kern w:val="0"/>
          <w:sz w:val="30"/>
          <w:szCs w:val="30"/>
        </w:rPr>
        <w:t>评价机构联系电话</w:t>
      </w:r>
      <w:r>
        <w:rPr>
          <w:rFonts w:hint="default" w:ascii="Times New Roman" w:hAnsi="Times New Roman" w:cs="Times New Roman" w:eastAsiaTheme="minorEastAsia"/>
          <w:color w:val="auto"/>
          <w:kern w:val="0"/>
          <w:sz w:val="30"/>
          <w:szCs w:val="30"/>
          <w:lang w:eastAsia="zh-CN"/>
        </w:rPr>
        <w:t>：</w:t>
      </w:r>
      <w:r>
        <w:rPr>
          <w:rFonts w:hint="default" w:ascii="Times New Roman" w:hAnsi="Times New Roman" w:cs="Times New Roman" w:eastAsiaTheme="minorEastAsia"/>
          <w:color w:val="auto"/>
          <w:sz w:val="30"/>
          <w:szCs w:val="30"/>
        </w:rPr>
        <w:t>0546-</w:t>
      </w:r>
      <w:r>
        <w:rPr>
          <w:rFonts w:hint="eastAsia" w:cs="Times New Roman" w:eastAsiaTheme="minorEastAsia"/>
          <w:color w:val="auto"/>
          <w:sz w:val="30"/>
          <w:szCs w:val="30"/>
          <w:lang w:val="en-US" w:eastAsia="zh-CN"/>
        </w:rPr>
        <w:t>8176702</w:t>
      </w:r>
    </w:p>
    <w:p>
      <w:pPr>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kern w:val="0"/>
          <w:sz w:val="32"/>
        </w:rPr>
      </w:pPr>
    </w:p>
    <w:p>
      <w:pPr>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kern w:val="0"/>
          <w:sz w:val="32"/>
        </w:rPr>
      </w:pPr>
    </w:p>
    <w:p>
      <w:pPr>
        <w:pStyle w:val="36"/>
        <w:rPr>
          <w:rFonts w:hint="default" w:ascii="Times New Roman" w:hAnsi="Times New Roman" w:cs="Times New Roman" w:eastAsiaTheme="minorEastAsia"/>
          <w:color w:val="auto"/>
          <w:kern w:val="0"/>
          <w:sz w:val="32"/>
        </w:rPr>
      </w:pPr>
    </w:p>
    <w:p>
      <w:pPr>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kern w:val="0"/>
          <w:sz w:val="32"/>
        </w:rPr>
      </w:pP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color w:val="auto"/>
          <w:kern w:val="0"/>
          <w:sz w:val="30"/>
          <w:szCs w:val="30"/>
        </w:rPr>
      </w:pPr>
      <w:r>
        <w:rPr>
          <w:rFonts w:hint="eastAsia" w:cs="Times New Roman" w:eastAsiaTheme="minorEastAsia"/>
          <w:color w:val="auto"/>
          <w:kern w:val="0"/>
          <w:sz w:val="30"/>
          <w:szCs w:val="30"/>
          <w:lang w:eastAsia="zh-CN"/>
        </w:rPr>
        <w:t>（</w:t>
      </w:r>
      <w:r>
        <w:rPr>
          <w:rFonts w:hint="default" w:ascii="Times New Roman" w:hAnsi="Times New Roman" w:cs="Times New Roman" w:eastAsiaTheme="minorEastAsia"/>
          <w:color w:val="auto"/>
          <w:kern w:val="0"/>
          <w:sz w:val="30"/>
          <w:szCs w:val="30"/>
        </w:rPr>
        <w:t>安全评价机构公章</w:t>
      </w:r>
      <w:r>
        <w:rPr>
          <w:rFonts w:hint="eastAsia" w:cs="Times New Roman" w:eastAsiaTheme="minorEastAsia"/>
          <w:color w:val="auto"/>
          <w:kern w:val="0"/>
          <w:sz w:val="30"/>
          <w:szCs w:val="30"/>
          <w:lang w:eastAsia="zh-CN"/>
        </w:rPr>
        <w:t>）</w:t>
      </w: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color w:val="auto"/>
          <w:highlight w:val="none"/>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kern w:val="0"/>
          <w:sz w:val="30"/>
          <w:szCs w:val="30"/>
          <w:highlight w:val="none"/>
        </w:rPr>
        <w:t>202</w:t>
      </w:r>
      <w:r>
        <w:rPr>
          <w:rFonts w:hint="eastAsia" w:cs="Times New Roman" w:eastAsiaTheme="minorEastAsia"/>
          <w:color w:val="auto"/>
          <w:kern w:val="0"/>
          <w:sz w:val="30"/>
          <w:szCs w:val="30"/>
          <w:highlight w:val="none"/>
          <w:lang w:val="en-US" w:eastAsia="zh-CN"/>
        </w:rPr>
        <w:t>1</w:t>
      </w:r>
      <w:r>
        <w:rPr>
          <w:rFonts w:hint="default" w:ascii="Times New Roman" w:hAnsi="Times New Roman" w:cs="Times New Roman" w:eastAsiaTheme="minorEastAsia"/>
          <w:color w:val="auto"/>
          <w:kern w:val="0"/>
          <w:sz w:val="30"/>
          <w:szCs w:val="30"/>
          <w:highlight w:val="none"/>
        </w:rPr>
        <w:t>年</w:t>
      </w:r>
      <w:r>
        <w:rPr>
          <w:rFonts w:hint="eastAsia" w:cs="Times New Roman" w:eastAsiaTheme="minorEastAsia"/>
          <w:color w:val="auto"/>
          <w:kern w:val="0"/>
          <w:sz w:val="30"/>
          <w:szCs w:val="30"/>
          <w:highlight w:val="none"/>
          <w:lang w:val="en-US" w:eastAsia="zh-CN"/>
        </w:rPr>
        <w:t>03</w:t>
      </w:r>
      <w:r>
        <w:rPr>
          <w:rFonts w:hint="default" w:ascii="Times New Roman" w:hAnsi="Times New Roman" w:cs="Times New Roman" w:eastAsiaTheme="minorEastAsia"/>
          <w:color w:val="auto"/>
          <w:kern w:val="0"/>
          <w:sz w:val="30"/>
          <w:szCs w:val="30"/>
          <w:highlight w:val="none"/>
        </w:rPr>
        <w:t>月</w:t>
      </w:r>
      <w:r>
        <w:rPr>
          <w:rFonts w:hint="eastAsia" w:cs="Times New Roman" w:eastAsiaTheme="minorEastAsia"/>
          <w:color w:val="auto"/>
          <w:kern w:val="0"/>
          <w:sz w:val="30"/>
          <w:szCs w:val="30"/>
          <w:highlight w:val="none"/>
          <w:lang w:val="en-US" w:eastAsia="zh-CN"/>
        </w:rPr>
        <w:t>13</w:t>
      </w:r>
      <w:r>
        <w:rPr>
          <w:rFonts w:hint="default" w:ascii="Times New Roman" w:hAnsi="Times New Roman" w:cs="Times New Roman" w:eastAsiaTheme="minorEastAsia"/>
          <w:color w:val="auto"/>
          <w:kern w:val="0"/>
          <w:sz w:val="30"/>
          <w:szCs w:val="30"/>
          <w:highlight w:val="none"/>
        </w:rPr>
        <w:t>日</w:t>
      </w:r>
    </w:p>
    <w:p>
      <w:pPr>
        <w:pStyle w:val="2"/>
        <w:pageBreakBefore w:val="0"/>
        <w:kinsoku/>
        <w:wordWrap/>
        <w:topLinePunct w:val="0"/>
        <w:bidi w:val="0"/>
        <w:adjustRightInd w:val="0"/>
        <w:snapToGrid w:val="0"/>
        <w:ind w:firstLine="0" w:firstLineChars="0"/>
        <w:rPr>
          <w:rFonts w:hint="default" w:ascii="Times New Roman" w:hAnsi="Times New Roman" w:cs="Times New Roman"/>
          <w:color w:val="auto"/>
        </w:rPr>
      </w:pPr>
    </w:p>
    <w:p>
      <w:pPr>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sz w:val="36"/>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outlineLvl w:val="0"/>
        <w:rPr>
          <w:rFonts w:hint="default" w:ascii="Times New Roman" w:hAnsi="Times New Roman" w:cs="Times New Roman" w:eastAsiaTheme="minorEastAsia"/>
          <w:b/>
          <w:bCs/>
          <w:color w:val="auto"/>
          <w:sz w:val="36"/>
          <w:szCs w:val="36"/>
        </w:rPr>
      </w:pPr>
      <w:bookmarkStart w:id="0" w:name="_Toc8074"/>
      <w:bookmarkStart w:id="1" w:name="_Toc28115"/>
      <w:bookmarkStart w:id="2" w:name="_Toc27009"/>
      <w:bookmarkStart w:id="3" w:name="_Toc17451"/>
      <w:bookmarkStart w:id="4" w:name="_Toc22258"/>
      <w:r>
        <w:rPr>
          <w:rFonts w:hint="default" w:ascii="Times New Roman" w:hAnsi="Times New Roman" w:cs="Times New Roman" w:eastAsiaTheme="minorEastAsia"/>
          <w:b/>
          <w:bCs/>
          <w:color w:val="auto"/>
          <w:sz w:val="36"/>
          <w:szCs w:val="36"/>
        </w:rPr>
        <w:t>前  言</w:t>
      </w:r>
      <w:bookmarkEnd w:id="0"/>
      <w:bookmarkEnd w:id="1"/>
      <w:bookmarkEnd w:id="2"/>
      <w:bookmarkEnd w:id="3"/>
      <w:bookmarkEnd w:id="4"/>
    </w:p>
    <w:p>
      <w:pPr>
        <w:pStyle w:val="75"/>
        <w:keepNext w:val="0"/>
        <w:keepLines w:val="0"/>
        <w:pageBreakBefore w:val="0"/>
        <w:widowControl w:val="0"/>
        <w:kinsoku/>
        <w:wordWrap/>
        <w:overflowPunct/>
        <w:topLinePunct w:val="0"/>
        <w:autoSpaceDE/>
        <w:autoSpaceDN/>
        <w:bidi w:val="0"/>
        <w:adjustRightInd w:val="0"/>
        <w:snapToGrid w:val="0"/>
        <w:spacing w:line="520" w:lineRule="exact"/>
        <w:ind w:firstLine="560"/>
        <w:jc w:val="both"/>
        <w:textAlignment w:val="auto"/>
        <w:rPr>
          <w:rFonts w:hint="default" w:ascii="Times New Roman" w:hAnsi="Times New Roman" w:cs="Times New Roman" w:eastAsiaTheme="minorEastAsia"/>
          <w:b w:val="0"/>
          <w:bCs w:val="0"/>
          <w:color w:val="0000FF"/>
          <w:sz w:val="28"/>
          <w:szCs w:val="28"/>
          <w:lang w:val="en-US" w:eastAsia="zh-CN"/>
        </w:rPr>
      </w:pPr>
      <w:r>
        <w:rPr>
          <w:rFonts w:hint="eastAsia" w:cs="Times New Roman" w:eastAsiaTheme="minorEastAsia"/>
          <w:b w:val="0"/>
          <w:bCs w:val="0"/>
          <w:color w:val="auto"/>
          <w:sz w:val="28"/>
          <w:szCs w:val="28"/>
          <w:lang w:eastAsia="zh-CN"/>
        </w:rPr>
        <w:t>山东万通集团垦利金顺油品有限公司第六加油中心</w:t>
      </w:r>
      <w:r>
        <w:rPr>
          <w:rFonts w:hint="default" w:ascii="Times New Roman" w:hAnsi="Times New Roman" w:cs="Times New Roman" w:eastAsiaTheme="minorEastAsia"/>
          <w:b w:val="0"/>
          <w:bCs w:val="0"/>
          <w:color w:val="auto"/>
          <w:sz w:val="28"/>
          <w:szCs w:val="28"/>
        </w:rPr>
        <w:t>位于</w:t>
      </w:r>
      <w:r>
        <w:rPr>
          <w:rFonts w:hint="eastAsia" w:cs="Times New Roman" w:eastAsiaTheme="minorEastAsia"/>
          <w:b w:val="0"/>
          <w:bCs w:val="0"/>
          <w:color w:val="auto"/>
          <w:sz w:val="28"/>
          <w:szCs w:val="28"/>
          <w:lang w:eastAsia="zh-CN"/>
        </w:rPr>
        <w:t>东营市垦利区董集镇利津黄河大桥以东、永莘路南侧</w:t>
      </w:r>
      <w:r>
        <w:rPr>
          <w:rFonts w:hint="eastAsia" w:cs="Times New Roman" w:eastAsiaTheme="minorEastAsia"/>
          <w:b w:val="0"/>
          <w:bCs w:val="0"/>
          <w:color w:val="auto"/>
          <w:sz w:val="28"/>
          <w:szCs w:val="28"/>
          <w:lang w:val="en-US" w:eastAsia="zh-CN"/>
        </w:rPr>
        <w:t>，成立于2010年08月25日</w:t>
      </w:r>
      <w:r>
        <w:rPr>
          <w:rFonts w:hint="default" w:ascii="Times New Roman" w:hAnsi="Times New Roman" w:cs="Times New Roman" w:eastAsiaTheme="minorEastAsia"/>
          <w:b w:val="0"/>
          <w:bCs w:val="0"/>
          <w:color w:val="auto"/>
          <w:sz w:val="28"/>
          <w:szCs w:val="28"/>
        </w:rPr>
        <w:t>。</w:t>
      </w:r>
      <w:r>
        <w:rPr>
          <w:rFonts w:hint="eastAsia" w:cs="Times New Roman" w:eastAsiaTheme="minorEastAsia"/>
          <w:b w:val="0"/>
          <w:bCs w:val="0"/>
          <w:color w:val="auto"/>
          <w:sz w:val="28"/>
          <w:szCs w:val="28"/>
          <w:lang w:eastAsia="zh-CN"/>
        </w:rPr>
        <w:t>该加油中心</w:t>
      </w:r>
      <w:r>
        <w:rPr>
          <w:rFonts w:hint="default" w:ascii="Times New Roman" w:hAnsi="Times New Roman" w:cs="Times New Roman" w:eastAsiaTheme="minorEastAsia"/>
          <w:b w:val="0"/>
          <w:bCs w:val="0"/>
          <w:color w:val="auto"/>
          <w:sz w:val="28"/>
          <w:szCs w:val="28"/>
        </w:rPr>
        <w:t>经营范围为汽油、柴油</w:t>
      </w:r>
      <w:r>
        <w:rPr>
          <w:rFonts w:hint="eastAsia" w:cs="Times New Roman" w:eastAsiaTheme="minorEastAsia"/>
          <w:b w:val="0"/>
          <w:bCs w:val="0"/>
          <w:color w:val="auto"/>
          <w:sz w:val="28"/>
          <w:szCs w:val="28"/>
          <w:lang w:val="en-US" w:eastAsia="zh-CN"/>
        </w:rPr>
        <w:t>带有储存设施的经营</w:t>
      </w:r>
      <w:r>
        <w:rPr>
          <w:rFonts w:hint="eastAsia" w:cs="Times New Roman" w:eastAsiaTheme="minorEastAsia"/>
          <w:b w:val="0"/>
          <w:bCs w:val="0"/>
          <w:color w:val="auto"/>
          <w:sz w:val="28"/>
          <w:szCs w:val="28"/>
          <w:lang w:eastAsia="zh-CN"/>
        </w:rPr>
        <w:t>（有效</w:t>
      </w:r>
      <w:r>
        <w:rPr>
          <w:rFonts w:hint="eastAsia" w:cs="Times New Roman" w:eastAsiaTheme="minorEastAsia"/>
          <w:b w:val="0"/>
          <w:bCs w:val="0"/>
          <w:color w:val="auto"/>
          <w:sz w:val="28"/>
          <w:szCs w:val="28"/>
          <w:lang w:val="en-US" w:eastAsia="zh-CN"/>
        </w:rPr>
        <w:t>期限</w:t>
      </w:r>
      <w:r>
        <w:rPr>
          <w:rFonts w:hint="eastAsia" w:cs="Times New Roman" w:eastAsiaTheme="minorEastAsia"/>
          <w:b w:val="0"/>
          <w:bCs w:val="0"/>
          <w:color w:val="auto"/>
          <w:sz w:val="28"/>
          <w:szCs w:val="28"/>
          <w:lang w:eastAsia="zh-CN"/>
        </w:rPr>
        <w:t>以许可证为准）；</w:t>
      </w:r>
      <w:r>
        <w:rPr>
          <w:rFonts w:hint="default" w:ascii="Times New Roman" w:hAnsi="Times New Roman" w:cs="Times New Roman" w:eastAsiaTheme="minorEastAsia"/>
          <w:b w:val="0"/>
          <w:bCs w:val="0"/>
          <w:color w:val="auto"/>
          <w:sz w:val="28"/>
          <w:szCs w:val="28"/>
        </w:rPr>
        <w:t>润滑油、</w:t>
      </w:r>
      <w:r>
        <w:rPr>
          <w:rFonts w:hint="eastAsia" w:cs="Times New Roman" w:eastAsiaTheme="minorEastAsia"/>
          <w:b w:val="0"/>
          <w:bCs w:val="0"/>
          <w:color w:val="auto"/>
          <w:sz w:val="28"/>
          <w:szCs w:val="28"/>
          <w:lang w:val="en-US" w:eastAsia="zh-CN"/>
        </w:rPr>
        <w:t>车用尿素销售</w:t>
      </w:r>
      <w:r>
        <w:rPr>
          <w:rFonts w:hint="eastAsia" w:cs="Times New Roman" w:eastAsiaTheme="minorEastAsia"/>
          <w:b w:val="0"/>
          <w:bCs w:val="0"/>
          <w:color w:val="auto"/>
          <w:sz w:val="28"/>
          <w:szCs w:val="28"/>
          <w:lang w:eastAsia="zh-CN"/>
        </w:rPr>
        <w:t>（</w:t>
      </w:r>
      <w:r>
        <w:rPr>
          <w:rFonts w:hint="eastAsia" w:cs="Times New Roman" w:eastAsiaTheme="minorEastAsia"/>
          <w:b w:val="0"/>
          <w:bCs w:val="0"/>
          <w:color w:val="auto"/>
          <w:sz w:val="28"/>
          <w:szCs w:val="28"/>
          <w:lang w:val="en-US" w:eastAsia="zh-CN"/>
        </w:rPr>
        <w:t>依法须经批准的项目，经相关部门批准后方可开展经营活动</w:t>
      </w:r>
      <w:r>
        <w:rPr>
          <w:rFonts w:hint="eastAsia" w:cs="Times New Roman" w:eastAsiaTheme="minorEastAsia"/>
          <w:b w:val="0"/>
          <w:bCs w:val="0"/>
          <w:color w:val="auto"/>
          <w:sz w:val="28"/>
          <w:szCs w:val="28"/>
          <w:lang w:eastAsia="zh-CN"/>
        </w:rPr>
        <w:t>）</w:t>
      </w:r>
      <w:r>
        <w:rPr>
          <w:rFonts w:hint="default" w:ascii="Times New Roman" w:hAnsi="Times New Roman" w:cs="Times New Roman" w:eastAsiaTheme="minorEastAsia"/>
          <w:b w:val="0"/>
          <w:bCs w:val="0"/>
          <w:color w:val="auto"/>
          <w:sz w:val="28"/>
          <w:szCs w:val="28"/>
        </w:rPr>
        <w:t>。</w:t>
      </w:r>
      <w:r>
        <w:rPr>
          <w:rFonts w:hint="eastAsia" w:cs="Times New Roman" w:eastAsiaTheme="minorEastAsia"/>
          <w:b w:val="0"/>
          <w:bCs w:val="0"/>
          <w:color w:val="auto"/>
          <w:sz w:val="28"/>
          <w:szCs w:val="28"/>
          <w:lang w:eastAsia="zh-CN"/>
        </w:rPr>
        <w:t>该加油中心</w:t>
      </w:r>
      <w:r>
        <w:rPr>
          <w:rFonts w:hint="default" w:ascii="Times New Roman" w:hAnsi="Times New Roman" w:cs="Times New Roman" w:eastAsiaTheme="minorEastAsia"/>
          <w:b w:val="0"/>
          <w:bCs w:val="0"/>
          <w:color w:val="auto"/>
          <w:sz w:val="28"/>
          <w:szCs w:val="28"/>
        </w:rPr>
        <w:t>现有职工</w:t>
      </w:r>
      <w:r>
        <w:rPr>
          <w:rFonts w:hint="eastAsia" w:cs="Times New Roman" w:eastAsiaTheme="minorEastAsia"/>
          <w:b w:val="0"/>
          <w:bCs w:val="0"/>
          <w:color w:val="auto"/>
          <w:sz w:val="28"/>
          <w:szCs w:val="28"/>
          <w:lang w:val="en-US" w:eastAsia="zh-CN"/>
        </w:rPr>
        <w:t>7</w:t>
      </w:r>
      <w:r>
        <w:rPr>
          <w:rFonts w:hint="default" w:ascii="Times New Roman" w:hAnsi="Times New Roman" w:cs="Times New Roman" w:eastAsiaTheme="minorEastAsia"/>
          <w:b w:val="0"/>
          <w:bCs w:val="0"/>
          <w:color w:val="auto"/>
          <w:sz w:val="28"/>
          <w:szCs w:val="28"/>
        </w:rPr>
        <w:t>人，其中安全管理人员2人</w:t>
      </w:r>
      <w:r>
        <w:rPr>
          <w:rFonts w:hint="eastAsia" w:cs="Times New Roman" w:eastAsiaTheme="minorEastAsia"/>
          <w:b w:val="0"/>
          <w:bCs w:val="0"/>
          <w:color w:val="auto"/>
          <w:sz w:val="28"/>
          <w:szCs w:val="28"/>
          <w:lang w:eastAsia="zh-CN"/>
        </w:rPr>
        <w:t>。</w:t>
      </w:r>
    </w:p>
    <w:p>
      <w:pPr>
        <w:pStyle w:val="76"/>
        <w:keepNext w:val="0"/>
        <w:keepLines w:val="0"/>
        <w:pageBreakBefore w:val="0"/>
        <w:widowControl w:val="0"/>
        <w:kinsoku/>
        <w:wordWrap/>
        <w:overflowPunct/>
        <w:topLinePunct w:val="0"/>
        <w:autoSpaceDE/>
        <w:autoSpaceDN/>
        <w:bidi w:val="0"/>
        <w:adjustRightInd w:val="0"/>
        <w:snapToGrid w:val="0"/>
        <w:spacing w:line="520" w:lineRule="exact"/>
        <w:ind w:firstLine="560"/>
        <w:textAlignment w:val="auto"/>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20</w:t>
      </w:r>
      <w:r>
        <w:rPr>
          <w:rFonts w:hint="eastAsia" w:cs="Times New Roman" w:eastAsiaTheme="minorEastAsia"/>
          <w:color w:val="auto"/>
          <w:szCs w:val="28"/>
          <w:highlight w:val="none"/>
          <w:lang w:val="en-US" w:eastAsia="zh-CN"/>
        </w:rPr>
        <w:t>20</w:t>
      </w:r>
      <w:r>
        <w:rPr>
          <w:rFonts w:hint="default" w:ascii="Times New Roman" w:hAnsi="Times New Roman" w:cs="Times New Roman" w:eastAsiaTheme="minorEastAsia"/>
          <w:color w:val="auto"/>
          <w:szCs w:val="28"/>
          <w:highlight w:val="none"/>
        </w:rPr>
        <w:t>年</w:t>
      </w:r>
      <w:r>
        <w:rPr>
          <w:rFonts w:hint="eastAsia" w:cs="Times New Roman" w:eastAsiaTheme="minorEastAsia"/>
          <w:color w:val="auto"/>
          <w:szCs w:val="28"/>
          <w:highlight w:val="none"/>
          <w:lang w:val="en-US" w:eastAsia="zh-CN"/>
        </w:rPr>
        <w:t>04</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24</w:t>
      </w:r>
      <w:r>
        <w:rPr>
          <w:rFonts w:hint="default" w:ascii="Times New Roman" w:hAnsi="Times New Roman" w:cs="Times New Roman" w:eastAsiaTheme="minorEastAsia"/>
          <w:color w:val="auto"/>
          <w:szCs w:val="28"/>
          <w:highlight w:val="none"/>
        </w:rPr>
        <w:t>日</w:t>
      </w:r>
      <w:r>
        <w:rPr>
          <w:rFonts w:hint="eastAsia" w:cs="Times New Roman" w:eastAsiaTheme="minorEastAsia"/>
          <w:color w:val="auto"/>
          <w:szCs w:val="28"/>
          <w:highlight w:val="none"/>
          <w:lang w:eastAsia="zh-CN"/>
        </w:rPr>
        <w:t>该加油中心</w:t>
      </w:r>
      <w:r>
        <w:rPr>
          <w:rFonts w:hint="default" w:ascii="Times New Roman" w:hAnsi="Times New Roman" w:cs="Times New Roman" w:eastAsiaTheme="minorEastAsia"/>
          <w:color w:val="auto"/>
          <w:szCs w:val="28"/>
          <w:highlight w:val="none"/>
        </w:rPr>
        <w:t>换发了由</w:t>
      </w:r>
      <w:r>
        <w:rPr>
          <w:rFonts w:hint="eastAsia" w:cs="Times New Roman" w:eastAsiaTheme="minorEastAsia"/>
          <w:color w:val="auto"/>
          <w:szCs w:val="28"/>
          <w:highlight w:val="none"/>
          <w:lang w:eastAsia="zh-CN"/>
        </w:rPr>
        <w:t>东营市商务局</w:t>
      </w:r>
      <w:r>
        <w:rPr>
          <w:rFonts w:hint="default" w:ascii="Times New Roman" w:hAnsi="Times New Roman" w:cs="Times New Roman" w:eastAsiaTheme="minorEastAsia"/>
          <w:color w:val="auto"/>
          <w:szCs w:val="28"/>
          <w:highlight w:val="none"/>
        </w:rPr>
        <w:t>颁发的《成品油零售经营批准证书》，编号为鲁油零售证书第</w:t>
      </w:r>
      <w:r>
        <w:rPr>
          <w:rFonts w:hint="eastAsia" w:cs="Times New Roman" w:eastAsiaTheme="minorEastAsia"/>
          <w:color w:val="auto"/>
          <w:szCs w:val="28"/>
          <w:highlight w:val="none"/>
          <w:lang w:val="en-US" w:eastAsia="zh-CN"/>
        </w:rPr>
        <w:t>3705213022</w:t>
      </w:r>
      <w:r>
        <w:rPr>
          <w:rFonts w:hint="default" w:ascii="Times New Roman" w:hAnsi="Times New Roman" w:cs="Times New Roman" w:eastAsiaTheme="minorEastAsia"/>
          <w:color w:val="auto"/>
          <w:szCs w:val="28"/>
          <w:highlight w:val="none"/>
        </w:rPr>
        <w:t>号，有效期至20</w:t>
      </w:r>
      <w:r>
        <w:rPr>
          <w:rFonts w:hint="eastAsia" w:cs="Times New Roman" w:eastAsiaTheme="minorEastAsia"/>
          <w:color w:val="auto"/>
          <w:szCs w:val="28"/>
          <w:highlight w:val="none"/>
          <w:lang w:val="en-US" w:eastAsia="zh-CN"/>
        </w:rPr>
        <w:t>25</w:t>
      </w:r>
      <w:r>
        <w:rPr>
          <w:rFonts w:hint="default" w:ascii="Times New Roman" w:hAnsi="Times New Roman" w:cs="Times New Roman" w:eastAsiaTheme="minorEastAsia"/>
          <w:color w:val="auto"/>
          <w:szCs w:val="28"/>
          <w:highlight w:val="none"/>
        </w:rPr>
        <w:t>年</w:t>
      </w:r>
      <w:r>
        <w:rPr>
          <w:rFonts w:hint="eastAsia" w:cs="Times New Roman" w:eastAsiaTheme="minorEastAsia"/>
          <w:color w:val="auto"/>
          <w:szCs w:val="28"/>
          <w:highlight w:val="none"/>
          <w:lang w:val="en-US" w:eastAsia="zh-CN"/>
        </w:rPr>
        <w:t>04</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24</w:t>
      </w:r>
      <w:r>
        <w:rPr>
          <w:rFonts w:hint="default" w:ascii="Times New Roman" w:hAnsi="Times New Roman" w:cs="Times New Roman" w:eastAsiaTheme="minorEastAsia"/>
          <w:color w:val="auto"/>
          <w:szCs w:val="28"/>
          <w:highlight w:val="none"/>
        </w:rPr>
        <w:t>日。</w:t>
      </w:r>
    </w:p>
    <w:p>
      <w:pPr>
        <w:pStyle w:val="76"/>
        <w:keepNext w:val="0"/>
        <w:keepLines w:val="0"/>
        <w:pageBreakBefore w:val="0"/>
        <w:widowControl w:val="0"/>
        <w:kinsoku/>
        <w:wordWrap/>
        <w:overflowPunct/>
        <w:topLinePunct w:val="0"/>
        <w:autoSpaceDE/>
        <w:autoSpaceDN/>
        <w:bidi w:val="0"/>
        <w:adjustRightInd w:val="0"/>
        <w:snapToGrid w:val="0"/>
        <w:spacing w:line="520" w:lineRule="exact"/>
        <w:ind w:firstLine="560"/>
        <w:textAlignment w:val="auto"/>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201</w:t>
      </w:r>
      <w:r>
        <w:rPr>
          <w:rFonts w:hint="eastAsia" w:cs="Times New Roman" w:eastAsiaTheme="minorEastAsia"/>
          <w:color w:val="auto"/>
          <w:szCs w:val="28"/>
          <w:highlight w:val="none"/>
          <w:lang w:val="en-US" w:eastAsia="zh-CN"/>
        </w:rPr>
        <w:t>8</w:t>
      </w:r>
      <w:r>
        <w:rPr>
          <w:rFonts w:hint="default" w:ascii="Times New Roman" w:hAnsi="Times New Roman" w:cs="Times New Roman" w:eastAsiaTheme="minorEastAsia"/>
          <w:color w:val="auto"/>
          <w:szCs w:val="28"/>
          <w:highlight w:val="none"/>
        </w:rPr>
        <w:t>年</w:t>
      </w:r>
      <w:r>
        <w:rPr>
          <w:rFonts w:hint="eastAsia" w:cs="Times New Roman" w:eastAsiaTheme="minorEastAsia"/>
          <w:color w:val="auto"/>
          <w:szCs w:val="28"/>
          <w:highlight w:val="none"/>
          <w:lang w:val="en-US" w:eastAsia="zh-CN"/>
        </w:rPr>
        <w:t>09</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30</w:t>
      </w:r>
      <w:r>
        <w:rPr>
          <w:rFonts w:hint="default" w:ascii="Times New Roman" w:hAnsi="Times New Roman" w:cs="Times New Roman" w:eastAsiaTheme="minorEastAsia"/>
          <w:color w:val="auto"/>
          <w:szCs w:val="28"/>
          <w:highlight w:val="none"/>
        </w:rPr>
        <w:t>日</w:t>
      </w:r>
      <w:r>
        <w:rPr>
          <w:rFonts w:hint="eastAsia" w:cs="Times New Roman" w:eastAsiaTheme="minorEastAsia"/>
          <w:color w:val="auto"/>
          <w:szCs w:val="28"/>
          <w:highlight w:val="none"/>
          <w:lang w:eastAsia="zh-CN"/>
        </w:rPr>
        <w:t>该加油中心</w:t>
      </w:r>
      <w:r>
        <w:rPr>
          <w:rFonts w:hint="default" w:ascii="Times New Roman" w:hAnsi="Times New Roman" w:cs="Times New Roman" w:eastAsiaTheme="minorEastAsia"/>
          <w:color w:val="auto"/>
          <w:szCs w:val="28"/>
          <w:highlight w:val="none"/>
        </w:rPr>
        <w:t>取得由原东营市安全生产监督管理局</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现东营市应急管理局</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颁发的《危险化学品经营许可证》，证书编号：鲁东危化经 [2018]050</w:t>
      </w:r>
      <w:r>
        <w:rPr>
          <w:rFonts w:hint="eastAsia" w:cs="Times New Roman" w:eastAsiaTheme="minorEastAsia"/>
          <w:color w:val="auto"/>
          <w:szCs w:val="28"/>
          <w:highlight w:val="none"/>
          <w:lang w:val="en-US" w:eastAsia="zh-CN"/>
        </w:rPr>
        <w:t>037</w:t>
      </w:r>
      <w:r>
        <w:rPr>
          <w:rFonts w:hint="default" w:ascii="Times New Roman" w:hAnsi="Times New Roman" w:cs="Times New Roman" w:eastAsiaTheme="minorEastAsia"/>
          <w:color w:val="auto"/>
          <w:szCs w:val="28"/>
          <w:highlight w:val="none"/>
        </w:rPr>
        <w:t>号，有效期</w:t>
      </w:r>
      <w:r>
        <w:rPr>
          <w:rFonts w:hint="eastAsia" w:cs="Times New Roman" w:eastAsiaTheme="minorEastAsia"/>
          <w:color w:val="auto"/>
          <w:szCs w:val="28"/>
          <w:highlight w:val="none"/>
          <w:lang w:val="en-US" w:eastAsia="zh-CN"/>
        </w:rPr>
        <w:t>2018年10月30日</w:t>
      </w:r>
      <w:r>
        <w:rPr>
          <w:rFonts w:hint="default" w:ascii="Times New Roman" w:hAnsi="Times New Roman" w:cs="Times New Roman" w:eastAsiaTheme="minorEastAsia"/>
          <w:color w:val="auto"/>
          <w:szCs w:val="28"/>
          <w:highlight w:val="none"/>
        </w:rPr>
        <w:t>至2021年</w:t>
      </w:r>
      <w:r>
        <w:rPr>
          <w:rFonts w:hint="eastAsia" w:cs="Times New Roman" w:eastAsiaTheme="minorEastAsia"/>
          <w:color w:val="auto"/>
          <w:szCs w:val="28"/>
          <w:highlight w:val="none"/>
          <w:lang w:val="en-US" w:eastAsia="zh-CN"/>
        </w:rPr>
        <w:t>10</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29</w:t>
      </w:r>
      <w:r>
        <w:rPr>
          <w:rFonts w:hint="default" w:ascii="Times New Roman" w:hAnsi="Times New Roman" w:cs="Times New Roman" w:eastAsiaTheme="minorEastAsia"/>
          <w:color w:val="auto"/>
          <w:szCs w:val="28"/>
          <w:highlight w:val="none"/>
        </w:rPr>
        <w:t>日。</w:t>
      </w:r>
    </w:p>
    <w:p>
      <w:pPr>
        <w:pStyle w:val="76"/>
        <w:keepNext w:val="0"/>
        <w:keepLines w:val="0"/>
        <w:pageBreakBefore w:val="0"/>
        <w:widowControl w:val="0"/>
        <w:kinsoku/>
        <w:wordWrap/>
        <w:overflowPunct/>
        <w:topLinePunct w:val="0"/>
        <w:autoSpaceDE/>
        <w:autoSpaceDN/>
        <w:bidi w:val="0"/>
        <w:adjustRightInd w:val="0"/>
        <w:snapToGrid w:val="0"/>
        <w:spacing w:line="520" w:lineRule="exact"/>
        <w:ind w:firstLine="560"/>
        <w:textAlignment w:val="auto"/>
        <w:rPr>
          <w:rFonts w:hint="default" w:ascii="Times New Roman" w:hAnsi="Times New Roman" w:cs="Times New Roman" w:eastAsiaTheme="minorEastAsia"/>
          <w:color w:val="auto"/>
          <w:szCs w:val="28"/>
          <w:highlight w:val="none"/>
        </w:rPr>
      </w:pPr>
      <w:r>
        <w:rPr>
          <w:rFonts w:hint="eastAsia" w:cs="Times New Roman" w:eastAsiaTheme="minorEastAsia"/>
          <w:color w:val="auto"/>
          <w:szCs w:val="28"/>
          <w:highlight w:val="none"/>
          <w:lang w:eastAsia="zh-CN"/>
        </w:rPr>
        <w:t>山东万通集团垦利金顺油品有限公司第六加油中心</w:t>
      </w:r>
      <w:r>
        <w:rPr>
          <w:rFonts w:hint="default" w:ascii="Times New Roman" w:hAnsi="Times New Roman" w:cs="Times New Roman" w:eastAsiaTheme="minorEastAsia"/>
          <w:color w:val="auto"/>
          <w:szCs w:val="28"/>
          <w:highlight w:val="none"/>
        </w:rPr>
        <w:t>为了增强市场竟争能力，满足市场需求，促进企业可持续发展，对</w:t>
      </w:r>
      <w:r>
        <w:rPr>
          <w:rFonts w:hint="eastAsia" w:cs="Times New Roman" w:eastAsiaTheme="minorEastAsia"/>
          <w:color w:val="auto"/>
          <w:szCs w:val="28"/>
          <w:highlight w:val="none"/>
          <w:lang w:eastAsia="zh-CN"/>
        </w:rPr>
        <w:t>加油站</w:t>
      </w:r>
      <w:r>
        <w:rPr>
          <w:rFonts w:hint="default" w:ascii="Times New Roman" w:hAnsi="Times New Roman" w:cs="Times New Roman" w:eastAsiaTheme="minorEastAsia"/>
          <w:color w:val="auto"/>
          <w:szCs w:val="28"/>
          <w:highlight w:val="none"/>
        </w:rPr>
        <w:t>罐区进行改造。油罐区内原设有</w:t>
      </w:r>
      <w:r>
        <w:rPr>
          <w:rFonts w:hint="eastAsia" w:cs="Times New Roman" w:eastAsiaTheme="minorEastAsia"/>
          <w:color w:val="auto"/>
          <w:szCs w:val="28"/>
          <w:highlight w:val="none"/>
          <w:lang w:eastAsia="zh-CN"/>
        </w:rPr>
        <w:t>双层</w:t>
      </w:r>
      <w:r>
        <w:rPr>
          <w:rFonts w:hint="default" w:ascii="Times New Roman" w:hAnsi="Times New Roman" w:cs="Times New Roman" w:eastAsiaTheme="minorEastAsia"/>
          <w:color w:val="auto"/>
          <w:szCs w:val="28"/>
          <w:highlight w:val="none"/>
        </w:rPr>
        <w:t>汽油储罐</w:t>
      </w:r>
      <w:r>
        <w:rPr>
          <w:rFonts w:hint="eastAsia" w:cs="Times New Roman" w:eastAsiaTheme="minorEastAsia"/>
          <w:color w:val="auto"/>
          <w:szCs w:val="28"/>
          <w:highlight w:val="none"/>
          <w:lang w:val="en-US" w:eastAsia="zh-CN"/>
        </w:rPr>
        <w:t>35</w:t>
      </w:r>
      <w:r>
        <w:rPr>
          <w:rFonts w:hint="default" w:ascii="Times New Roman" w:hAnsi="Times New Roman" w:cs="Times New Roman" w:eastAsiaTheme="minorEastAsia"/>
          <w:color w:val="auto"/>
          <w:szCs w:val="28"/>
          <w:highlight w:val="none"/>
        </w:rPr>
        <w:t>m</w:t>
      </w:r>
      <w:r>
        <w:rPr>
          <w:rFonts w:hint="default" w:ascii="Times New Roman" w:hAnsi="Times New Roman" w:cs="Times New Roman" w:eastAsiaTheme="minorEastAsia"/>
          <w:color w:val="auto"/>
          <w:szCs w:val="28"/>
          <w:highlight w:val="none"/>
          <w:vertAlign w:val="superscript"/>
        </w:rPr>
        <w:t>3</w:t>
      </w:r>
      <w:r>
        <w:rPr>
          <w:rFonts w:hint="eastAsia" w:cs="Times New Roman" w:eastAsiaTheme="minorEastAsia"/>
          <w:color w:val="auto"/>
          <w:szCs w:val="28"/>
          <w:highlight w:val="none"/>
          <w:lang w:val="en-US" w:eastAsia="zh-CN"/>
        </w:rPr>
        <w:t>四</w:t>
      </w:r>
      <w:r>
        <w:rPr>
          <w:rFonts w:hint="default" w:ascii="Times New Roman" w:hAnsi="Times New Roman" w:cs="Times New Roman" w:eastAsiaTheme="minorEastAsia"/>
          <w:color w:val="auto"/>
          <w:szCs w:val="28"/>
          <w:highlight w:val="none"/>
        </w:rPr>
        <w:t>台，</w:t>
      </w:r>
      <w:r>
        <w:rPr>
          <w:rFonts w:hint="eastAsia" w:cs="Times New Roman" w:eastAsiaTheme="minorEastAsia"/>
          <w:color w:val="auto"/>
          <w:szCs w:val="28"/>
          <w:highlight w:val="none"/>
          <w:lang w:eastAsia="zh-CN"/>
        </w:rPr>
        <w:t>双层</w:t>
      </w:r>
      <w:r>
        <w:rPr>
          <w:rFonts w:hint="default" w:ascii="Times New Roman" w:hAnsi="Times New Roman" w:cs="Times New Roman" w:eastAsiaTheme="minorEastAsia"/>
          <w:color w:val="auto"/>
          <w:szCs w:val="28"/>
          <w:highlight w:val="none"/>
        </w:rPr>
        <w:t>柴油储罐</w:t>
      </w:r>
      <w:r>
        <w:rPr>
          <w:rFonts w:hint="eastAsia" w:cs="Times New Roman" w:eastAsiaTheme="minorEastAsia"/>
          <w:color w:val="auto"/>
          <w:szCs w:val="28"/>
          <w:highlight w:val="none"/>
          <w:lang w:val="en-US" w:eastAsia="zh-CN"/>
        </w:rPr>
        <w:t>35</w:t>
      </w:r>
      <w:r>
        <w:rPr>
          <w:rFonts w:hint="default" w:ascii="Times New Roman" w:hAnsi="Times New Roman" w:cs="Times New Roman" w:eastAsiaTheme="minorEastAsia"/>
          <w:color w:val="auto"/>
          <w:szCs w:val="28"/>
          <w:highlight w:val="none"/>
        </w:rPr>
        <w:t>m</w:t>
      </w:r>
      <w:r>
        <w:rPr>
          <w:rFonts w:hint="default" w:ascii="Times New Roman" w:hAnsi="Times New Roman" w:cs="Times New Roman" w:eastAsiaTheme="minorEastAsia"/>
          <w:color w:val="auto"/>
          <w:szCs w:val="28"/>
          <w:highlight w:val="none"/>
          <w:vertAlign w:val="superscript"/>
        </w:rPr>
        <w:t>3</w:t>
      </w:r>
      <w:r>
        <w:rPr>
          <w:rFonts w:hint="eastAsia" w:cs="Times New Roman" w:eastAsiaTheme="minorEastAsia"/>
          <w:color w:val="auto"/>
          <w:szCs w:val="28"/>
          <w:highlight w:val="none"/>
          <w:lang w:val="en-US" w:eastAsia="zh-CN"/>
        </w:rPr>
        <w:t>两</w:t>
      </w:r>
      <w:r>
        <w:rPr>
          <w:rFonts w:hint="default" w:ascii="Times New Roman" w:hAnsi="Times New Roman" w:cs="Times New Roman" w:eastAsiaTheme="minorEastAsia"/>
          <w:color w:val="auto"/>
          <w:szCs w:val="28"/>
          <w:highlight w:val="none"/>
        </w:rPr>
        <w:t>台。现将油罐区内原汽</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柴油储罐拆除，新建汽油储罐</w:t>
      </w:r>
      <w:r>
        <w:rPr>
          <w:rFonts w:hint="eastAsia" w:cs="Times New Roman" w:eastAsiaTheme="minorEastAsia"/>
          <w:color w:val="auto"/>
          <w:szCs w:val="28"/>
          <w:highlight w:val="none"/>
          <w:lang w:val="en-US" w:eastAsia="zh-CN"/>
        </w:rPr>
        <w:t>5</w:t>
      </w:r>
      <w:r>
        <w:rPr>
          <w:rFonts w:hint="default" w:ascii="Times New Roman" w:hAnsi="Times New Roman" w:cs="Times New Roman" w:eastAsiaTheme="minorEastAsia"/>
          <w:color w:val="auto"/>
          <w:szCs w:val="28"/>
          <w:highlight w:val="none"/>
        </w:rPr>
        <w:t>0m</w:t>
      </w:r>
      <w:r>
        <w:rPr>
          <w:rFonts w:hint="default" w:ascii="Times New Roman" w:hAnsi="Times New Roman" w:cs="Times New Roman" w:eastAsiaTheme="minorEastAsia"/>
          <w:color w:val="auto"/>
          <w:szCs w:val="28"/>
          <w:highlight w:val="none"/>
          <w:vertAlign w:val="superscript"/>
        </w:rPr>
        <w:t>3</w:t>
      </w:r>
      <w:r>
        <w:rPr>
          <w:rFonts w:hint="eastAsia" w:cs="Times New Roman" w:eastAsiaTheme="minorEastAsia"/>
          <w:color w:val="auto"/>
          <w:szCs w:val="28"/>
          <w:highlight w:val="none"/>
          <w:lang w:val="en-US" w:eastAsia="zh-CN"/>
        </w:rPr>
        <w:t>三</w:t>
      </w:r>
      <w:r>
        <w:rPr>
          <w:rFonts w:hint="default" w:ascii="Times New Roman" w:hAnsi="Times New Roman" w:cs="Times New Roman" w:eastAsiaTheme="minorEastAsia"/>
          <w:color w:val="auto"/>
          <w:szCs w:val="28"/>
          <w:highlight w:val="none"/>
        </w:rPr>
        <w:t>台，柴油储罐</w:t>
      </w:r>
      <w:r>
        <w:rPr>
          <w:rFonts w:hint="eastAsia" w:cs="Times New Roman" w:eastAsiaTheme="minorEastAsia"/>
          <w:color w:val="auto"/>
          <w:szCs w:val="28"/>
          <w:highlight w:val="none"/>
          <w:lang w:val="en-US" w:eastAsia="zh-CN"/>
        </w:rPr>
        <w:t>50</w:t>
      </w:r>
      <w:r>
        <w:rPr>
          <w:rFonts w:hint="default" w:ascii="Times New Roman" w:hAnsi="Times New Roman" w:cs="Times New Roman" w:eastAsiaTheme="minorEastAsia"/>
          <w:color w:val="auto"/>
          <w:szCs w:val="28"/>
          <w:highlight w:val="none"/>
        </w:rPr>
        <w:t>m</w:t>
      </w:r>
      <w:r>
        <w:rPr>
          <w:rFonts w:hint="default" w:ascii="Times New Roman" w:hAnsi="Times New Roman" w:cs="Times New Roman" w:eastAsiaTheme="minorEastAsia"/>
          <w:color w:val="auto"/>
          <w:szCs w:val="28"/>
          <w:highlight w:val="none"/>
          <w:vertAlign w:val="superscript"/>
        </w:rPr>
        <w:t>3</w:t>
      </w:r>
      <w:r>
        <w:rPr>
          <w:rFonts w:hint="eastAsia" w:cs="Times New Roman" w:eastAsiaTheme="minorEastAsia"/>
          <w:color w:val="auto"/>
          <w:szCs w:val="28"/>
          <w:highlight w:val="none"/>
          <w:lang w:val="en-US" w:eastAsia="zh-CN"/>
        </w:rPr>
        <w:t>两</w:t>
      </w:r>
      <w:r>
        <w:rPr>
          <w:rFonts w:hint="default" w:ascii="Times New Roman" w:hAnsi="Times New Roman" w:cs="Times New Roman" w:eastAsiaTheme="minorEastAsia"/>
          <w:color w:val="auto"/>
          <w:szCs w:val="28"/>
          <w:highlight w:val="none"/>
        </w:rPr>
        <w:t>台，储罐型号均为SF</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内钢外玻璃纤维增强塑料</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双层罐</w:t>
      </w:r>
      <w:r>
        <w:rPr>
          <w:rFonts w:hint="eastAsia" w:cs="Times New Roman" w:eastAsiaTheme="minorEastAsia"/>
          <w:color w:val="auto"/>
          <w:szCs w:val="28"/>
          <w:highlight w:val="none"/>
          <w:lang w:eastAsia="zh-CN"/>
        </w:rPr>
        <w:t>；</w:t>
      </w:r>
      <w:r>
        <w:rPr>
          <w:rFonts w:hint="eastAsia" w:ascii="Times New Roman" w:hAnsi="Times New Roman" w:cs="Times New Roman" w:eastAsiaTheme="minorEastAsia"/>
          <w:color w:val="auto"/>
          <w:szCs w:val="28"/>
          <w:highlight w:val="none"/>
          <w:lang w:eastAsia="zh-CN"/>
        </w:rPr>
        <w:t>通气管</w:t>
      </w:r>
      <w:r>
        <w:rPr>
          <w:rFonts w:hint="eastAsia" w:cs="Times New Roman" w:eastAsiaTheme="minorEastAsia"/>
          <w:color w:val="auto"/>
          <w:szCs w:val="28"/>
          <w:highlight w:val="none"/>
          <w:lang w:val="en-US" w:eastAsia="zh-CN"/>
        </w:rPr>
        <w:t>重新</w:t>
      </w:r>
      <w:r>
        <w:rPr>
          <w:rFonts w:hint="eastAsia" w:ascii="Times New Roman" w:hAnsi="Times New Roman" w:cs="Times New Roman" w:eastAsiaTheme="minorEastAsia"/>
          <w:color w:val="auto"/>
          <w:szCs w:val="28"/>
          <w:highlight w:val="none"/>
          <w:lang w:eastAsia="zh-CN"/>
        </w:rPr>
        <w:t>进行</w:t>
      </w:r>
      <w:r>
        <w:rPr>
          <w:rFonts w:hint="eastAsia" w:cs="Times New Roman" w:eastAsiaTheme="minorEastAsia"/>
          <w:color w:val="auto"/>
          <w:szCs w:val="28"/>
          <w:highlight w:val="none"/>
          <w:lang w:eastAsia="zh-CN"/>
        </w:rPr>
        <w:t>了更换</w:t>
      </w:r>
      <w:r>
        <w:rPr>
          <w:rFonts w:hint="eastAsia" w:cs="Times New Roman" w:eastAsiaTheme="minorEastAsia"/>
          <w:color w:val="auto"/>
          <w:szCs w:val="28"/>
          <w:highlight w:val="none"/>
          <w:lang w:val="en-US" w:eastAsia="zh-CN"/>
        </w:rPr>
        <w:t>；</w:t>
      </w:r>
      <w:r>
        <w:rPr>
          <w:rFonts w:hint="eastAsia" w:ascii="Times New Roman" w:hAnsi="Times New Roman" w:cs="Times New Roman" w:eastAsiaTheme="minorEastAsia"/>
          <w:color w:val="auto"/>
          <w:szCs w:val="28"/>
          <w:highlight w:val="none"/>
          <w:lang w:eastAsia="zh-CN"/>
        </w:rPr>
        <w:t>将</w:t>
      </w:r>
      <w:r>
        <w:rPr>
          <w:rFonts w:hint="eastAsia" w:cs="Times New Roman" w:eastAsiaTheme="minorEastAsia"/>
          <w:color w:val="auto"/>
          <w:szCs w:val="28"/>
          <w:highlight w:val="none"/>
          <w:lang w:val="en-US" w:eastAsia="zh-CN"/>
        </w:rPr>
        <w:t>油罐区最南侧汽</w:t>
      </w:r>
      <w:r>
        <w:rPr>
          <w:rFonts w:hint="eastAsia" w:ascii="Times New Roman" w:hAnsi="Times New Roman" w:cs="Times New Roman" w:eastAsiaTheme="minorEastAsia"/>
          <w:color w:val="auto"/>
          <w:szCs w:val="28"/>
          <w:highlight w:val="none"/>
          <w:lang w:eastAsia="zh-CN"/>
        </w:rPr>
        <w:t>油罐</w:t>
      </w:r>
      <w:r>
        <w:rPr>
          <w:rFonts w:hint="eastAsia" w:cs="Times New Roman" w:eastAsiaTheme="minorEastAsia"/>
          <w:color w:val="auto"/>
          <w:szCs w:val="28"/>
          <w:highlight w:val="none"/>
          <w:lang w:eastAsia="zh-CN"/>
        </w:rPr>
        <w:t>（</w:t>
      </w:r>
      <w:r>
        <w:rPr>
          <w:rFonts w:hint="eastAsia" w:cs="Times New Roman" w:eastAsiaTheme="minorEastAsia"/>
          <w:color w:val="auto"/>
          <w:szCs w:val="28"/>
          <w:highlight w:val="none"/>
          <w:lang w:val="en-US" w:eastAsia="zh-CN"/>
        </w:rPr>
        <w:t>原6号汽油罐</w:t>
      </w:r>
      <w:r>
        <w:rPr>
          <w:rFonts w:hint="eastAsia" w:cs="Times New Roman" w:eastAsiaTheme="minorEastAsia"/>
          <w:color w:val="auto"/>
          <w:szCs w:val="28"/>
          <w:highlight w:val="none"/>
          <w:lang w:eastAsia="zh-CN"/>
        </w:rPr>
        <w:t>）</w:t>
      </w:r>
      <w:r>
        <w:rPr>
          <w:rFonts w:hint="eastAsia" w:cs="Times New Roman" w:eastAsiaTheme="minorEastAsia"/>
          <w:color w:val="auto"/>
          <w:szCs w:val="28"/>
          <w:highlight w:val="none"/>
          <w:lang w:val="en-US" w:eastAsia="zh-CN"/>
        </w:rPr>
        <w:t>至加油作业区南排最东侧加油机管线及加油机进行拆除；油罐区</w:t>
      </w:r>
      <w:r>
        <w:rPr>
          <w:rFonts w:hint="eastAsia" w:ascii="Times New Roman" w:hAnsi="Times New Roman" w:cs="Times New Roman" w:eastAsiaTheme="minorEastAsia"/>
          <w:color w:val="auto"/>
          <w:szCs w:val="28"/>
          <w:highlight w:val="none"/>
          <w:lang w:eastAsia="zh-CN"/>
        </w:rPr>
        <w:t>卸油口</w:t>
      </w:r>
      <w:r>
        <w:rPr>
          <w:rFonts w:hint="eastAsia" w:cs="Times New Roman" w:eastAsiaTheme="minorEastAsia"/>
          <w:color w:val="auto"/>
          <w:szCs w:val="28"/>
          <w:highlight w:val="none"/>
          <w:lang w:val="en-US" w:eastAsia="zh-CN"/>
        </w:rPr>
        <w:t>利旧</w:t>
      </w:r>
      <w:r>
        <w:rPr>
          <w:rFonts w:hint="default" w:ascii="Times New Roman" w:hAnsi="Times New Roman" w:cs="Times New Roman" w:eastAsiaTheme="minorEastAsia"/>
          <w:color w:val="auto"/>
          <w:szCs w:val="28"/>
          <w:highlight w:val="none"/>
        </w:rPr>
        <w:t>。改造后油罐区罐池位置未发生变化</w:t>
      </w:r>
      <w:r>
        <w:rPr>
          <w:rFonts w:hint="eastAsia" w:cs="Times New Roman" w:eastAsiaTheme="minorEastAsia"/>
          <w:color w:val="auto"/>
          <w:szCs w:val="28"/>
          <w:highlight w:val="none"/>
          <w:lang w:eastAsia="zh-CN"/>
        </w:rPr>
        <w:t>，</w:t>
      </w:r>
      <w:r>
        <w:rPr>
          <w:rFonts w:hint="eastAsia" w:cs="Times New Roman" w:eastAsiaTheme="minorEastAsia"/>
          <w:color w:val="auto"/>
          <w:szCs w:val="28"/>
          <w:highlight w:val="none"/>
          <w:lang w:val="en-US" w:eastAsia="zh-CN"/>
        </w:rPr>
        <w:t>罐池向西、向南各延伸0.5m</w:t>
      </w:r>
      <w:r>
        <w:rPr>
          <w:rFonts w:hint="default" w:ascii="Times New Roman" w:hAnsi="Times New Roman" w:cs="Times New Roman" w:eastAsiaTheme="minorEastAsia"/>
          <w:color w:val="auto"/>
          <w:szCs w:val="28"/>
          <w:highlight w:val="none"/>
        </w:rPr>
        <w:t>，站房、罩棚、加油机</w:t>
      </w:r>
      <w:r>
        <w:rPr>
          <w:rFonts w:hint="eastAsia" w:cs="Times New Roman" w:eastAsiaTheme="minorEastAsia"/>
          <w:color w:val="auto"/>
          <w:szCs w:val="28"/>
          <w:highlight w:val="none"/>
          <w:lang w:eastAsia="zh-CN"/>
        </w:rPr>
        <w:t>（原</w:t>
      </w:r>
      <w:r>
        <w:rPr>
          <w:rFonts w:hint="eastAsia" w:cs="Times New Roman" w:eastAsiaTheme="minorEastAsia"/>
          <w:color w:val="auto"/>
          <w:szCs w:val="28"/>
          <w:highlight w:val="none"/>
          <w:lang w:val="en-US" w:eastAsia="zh-CN"/>
        </w:rPr>
        <w:t>8台单枪加油机，已停用1台，现拆除1台，目前正常使用为6台</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等利用原有设施</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改造前，</w:t>
      </w:r>
      <w:r>
        <w:rPr>
          <w:rFonts w:hint="eastAsia" w:cs="Times New Roman" w:eastAsiaTheme="minorEastAsia"/>
          <w:color w:val="auto"/>
          <w:szCs w:val="28"/>
          <w:highlight w:val="none"/>
          <w:lang w:eastAsia="zh-CN"/>
        </w:rPr>
        <w:t>该加油中心</w:t>
      </w:r>
      <w:r>
        <w:rPr>
          <w:rFonts w:hint="default" w:ascii="Times New Roman" w:hAnsi="Times New Roman" w:cs="Times New Roman" w:eastAsiaTheme="minorEastAsia"/>
          <w:color w:val="auto"/>
          <w:szCs w:val="28"/>
          <w:highlight w:val="none"/>
        </w:rPr>
        <w:t>油品总储量为</w:t>
      </w:r>
      <w:r>
        <w:rPr>
          <w:rFonts w:hint="eastAsia" w:cs="Times New Roman" w:eastAsiaTheme="minorEastAsia"/>
          <w:color w:val="auto"/>
          <w:szCs w:val="28"/>
          <w:highlight w:val="none"/>
          <w:lang w:val="en-US" w:eastAsia="zh-CN"/>
        </w:rPr>
        <w:t>210</w:t>
      </w:r>
      <w:r>
        <w:rPr>
          <w:rFonts w:hint="default" w:ascii="Times New Roman" w:hAnsi="Times New Roman" w:cs="Times New Roman" w:eastAsiaTheme="minorEastAsia"/>
          <w:color w:val="auto"/>
          <w:szCs w:val="28"/>
          <w:highlight w:val="none"/>
        </w:rPr>
        <w:t>m</w:t>
      </w:r>
      <w:r>
        <w:rPr>
          <w:rFonts w:hint="default" w:ascii="Times New Roman" w:hAnsi="Times New Roman" w:cs="Times New Roman" w:eastAsiaTheme="minorEastAsia"/>
          <w:color w:val="auto"/>
          <w:szCs w:val="28"/>
          <w:highlight w:val="none"/>
          <w:vertAlign w:val="superscript"/>
        </w:rPr>
        <w:t>3</w:t>
      </w:r>
      <w:r>
        <w:rPr>
          <w:rFonts w:hint="default" w:ascii="Times New Roman" w:hAnsi="Times New Roman" w:cs="Times New Roman" w:eastAsiaTheme="minorEastAsia"/>
          <w:color w:val="auto"/>
          <w:szCs w:val="28"/>
          <w:highlight w:val="none"/>
        </w:rPr>
        <w:t>，计算油品总容积为</w:t>
      </w:r>
      <w:r>
        <w:rPr>
          <w:rFonts w:hint="eastAsia" w:cs="Times New Roman" w:eastAsiaTheme="minorEastAsia"/>
          <w:color w:val="auto"/>
          <w:szCs w:val="28"/>
          <w:highlight w:val="none"/>
          <w:lang w:val="en-US" w:eastAsia="zh-CN"/>
        </w:rPr>
        <w:t>175</w:t>
      </w:r>
      <w:r>
        <w:rPr>
          <w:rFonts w:hint="default" w:ascii="Times New Roman" w:hAnsi="Times New Roman" w:cs="Times New Roman" w:eastAsiaTheme="minorEastAsia"/>
          <w:color w:val="auto"/>
          <w:szCs w:val="28"/>
          <w:highlight w:val="none"/>
        </w:rPr>
        <w:t>m</w:t>
      </w:r>
      <w:r>
        <w:rPr>
          <w:rFonts w:hint="default" w:ascii="Times New Roman" w:hAnsi="Times New Roman" w:cs="Times New Roman" w:eastAsiaTheme="minorEastAsia"/>
          <w:color w:val="auto"/>
          <w:szCs w:val="28"/>
          <w:highlight w:val="none"/>
          <w:vertAlign w:val="superscript"/>
        </w:rPr>
        <w:t>3</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柴油罐容积折半计入总容积</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根据《汽车加油加气站设计与施工规范</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2014年版</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GB50156-2012</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第3.0.9条规定，属于</w:t>
      </w:r>
      <w:r>
        <w:rPr>
          <w:rFonts w:hint="eastAsia" w:cs="Times New Roman" w:eastAsiaTheme="minorEastAsia"/>
          <w:color w:val="auto"/>
          <w:szCs w:val="28"/>
          <w:highlight w:val="none"/>
          <w:lang w:eastAsia="zh-CN"/>
        </w:rPr>
        <w:t>一级加油站</w:t>
      </w:r>
      <w:r>
        <w:rPr>
          <w:rFonts w:hint="default" w:ascii="Times New Roman" w:hAnsi="Times New Roman" w:cs="Times New Roman" w:eastAsiaTheme="minorEastAsia"/>
          <w:color w:val="auto"/>
          <w:szCs w:val="28"/>
          <w:highlight w:val="none"/>
        </w:rPr>
        <w:t>；改造完成后，</w:t>
      </w:r>
      <w:r>
        <w:rPr>
          <w:rFonts w:hint="eastAsia" w:cs="Times New Roman" w:eastAsiaTheme="minorEastAsia"/>
          <w:color w:val="auto"/>
          <w:szCs w:val="28"/>
          <w:highlight w:val="none"/>
          <w:lang w:eastAsia="zh-CN"/>
        </w:rPr>
        <w:t>该加油中心</w:t>
      </w:r>
      <w:r>
        <w:rPr>
          <w:rFonts w:hint="default" w:ascii="Times New Roman" w:hAnsi="Times New Roman" w:cs="Times New Roman" w:eastAsiaTheme="minorEastAsia"/>
          <w:color w:val="auto"/>
          <w:szCs w:val="28"/>
          <w:highlight w:val="none"/>
        </w:rPr>
        <w:t>油品总储量为</w:t>
      </w:r>
      <w:r>
        <w:rPr>
          <w:rFonts w:hint="eastAsia" w:cs="Times New Roman" w:eastAsiaTheme="minorEastAsia"/>
          <w:color w:val="auto"/>
          <w:szCs w:val="28"/>
          <w:highlight w:val="none"/>
          <w:lang w:val="en-US" w:eastAsia="zh-CN"/>
        </w:rPr>
        <w:t>250</w:t>
      </w:r>
      <w:r>
        <w:rPr>
          <w:rFonts w:hint="default" w:ascii="Times New Roman" w:hAnsi="Times New Roman" w:cs="Times New Roman" w:eastAsiaTheme="minorEastAsia"/>
          <w:color w:val="auto"/>
          <w:szCs w:val="28"/>
          <w:highlight w:val="none"/>
        </w:rPr>
        <w:t>m</w:t>
      </w:r>
      <w:r>
        <w:rPr>
          <w:rFonts w:hint="default" w:ascii="Times New Roman" w:hAnsi="Times New Roman" w:cs="Times New Roman" w:eastAsiaTheme="minorEastAsia"/>
          <w:color w:val="auto"/>
          <w:szCs w:val="28"/>
          <w:highlight w:val="none"/>
          <w:vertAlign w:val="superscript"/>
        </w:rPr>
        <w:t>3</w:t>
      </w:r>
      <w:r>
        <w:rPr>
          <w:rFonts w:hint="default" w:ascii="Times New Roman" w:hAnsi="Times New Roman" w:cs="Times New Roman" w:eastAsiaTheme="minorEastAsia"/>
          <w:color w:val="auto"/>
          <w:szCs w:val="28"/>
          <w:highlight w:val="none"/>
        </w:rPr>
        <w:t>，计算油品总容积为</w:t>
      </w:r>
      <w:r>
        <w:rPr>
          <w:rFonts w:hint="eastAsia" w:cs="Times New Roman" w:eastAsiaTheme="minorEastAsia"/>
          <w:color w:val="auto"/>
          <w:szCs w:val="28"/>
          <w:highlight w:val="none"/>
          <w:lang w:val="en-US" w:eastAsia="zh-CN"/>
        </w:rPr>
        <w:t>200</w:t>
      </w:r>
      <w:r>
        <w:rPr>
          <w:rFonts w:hint="default" w:ascii="Times New Roman" w:hAnsi="Times New Roman" w:cs="Times New Roman" w:eastAsiaTheme="minorEastAsia"/>
          <w:color w:val="auto"/>
          <w:szCs w:val="28"/>
          <w:highlight w:val="none"/>
        </w:rPr>
        <w:t>m</w:t>
      </w:r>
      <w:r>
        <w:rPr>
          <w:rFonts w:hint="default" w:ascii="Times New Roman" w:hAnsi="Times New Roman" w:cs="Times New Roman" w:eastAsiaTheme="minorEastAsia"/>
          <w:color w:val="auto"/>
          <w:szCs w:val="28"/>
          <w:highlight w:val="none"/>
          <w:vertAlign w:val="superscript"/>
        </w:rPr>
        <w:t>3</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柴油罐容积折半计入总容积</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该</w:t>
      </w:r>
      <w:r>
        <w:rPr>
          <w:rFonts w:hint="eastAsia" w:cs="Times New Roman" w:eastAsiaTheme="minorEastAsia"/>
          <w:color w:val="auto"/>
          <w:szCs w:val="28"/>
          <w:highlight w:val="none"/>
          <w:lang w:eastAsia="zh-CN"/>
        </w:rPr>
        <w:t>加油</w:t>
      </w:r>
      <w:r>
        <w:rPr>
          <w:rFonts w:hint="default" w:ascii="Times New Roman" w:hAnsi="Times New Roman" w:cs="Times New Roman" w:eastAsiaTheme="minorEastAsia"/>
          <w:color w:val="auto"/>
          <w:szCs w:val="28"/>
          <w:highlight w:val="none"/>
        </w:rPr>
        <w:t>站</w:t>
      </w:r>
      <w:r>
        <w:rPr>
          <w:rFonts w:hint="eastAsia" w:cs="Times New Roman" w:eastAsiaTheme="minorEastAsia"/>
          <w:color w:val="auto"/>
          <w:szCs w:val="28"/>
          <w:highlight w:val="none"/>
          <w:lang w:eastAsia="zh-CN"/>
        </w:rPr>
        <w:t>等级不变，</w:t>
      </w:r>
      <w:r>
        <w:rPr>
          <w:rFonts w:hint="default" w:ascii="Times New Roman" w:hAnsi="Times New Roman" w:cs="Times New Roman" w:eastAsiaTheme="minorEastAsia"/>
          <w:color w:val="auto"/>
          <w:szCs w:val="28"/>
          <w:highlight w:val="none"/>
        </w:rPr>
        <w:t>为</w:t>
      </w:r>
      <w:r>
        <w:rPr>
          <w:rFonts w:hint="eastAsia" w:cs="Times New Roman" w:eastAsiaTheme="minorEastAsia"/>
          <w:color w:val="auto"/>
          <w:szCs w:val="28"/>
          <w:highlight w:val="none"/>
          <w:lang w:eastAsia="zh-CN"/>
        </w:rPr>
        <w:t>一级加油站</w:t>
      </w:r>
      <w:r>
        <w:rPr>
          <w:rFonts w:hint="default" w:ascii="Times New Roman" w:hAnsi="Times New Roman" w:cs="Times New Roman" w:eastAsiaTheme="minorEastAsia"/>
          <w:color w:val="auto"/>
          <w:szCs w:val="28"/>
          <w:highlight w:val="none"/>
        </w:rPr>
        <w:t>。</w:t>
      </w:r>
    </w:p>
    <w:p>
      <w:pPr>
        <w:pStyle w:val="76"/>
        <w:keepNext w:val="0"/>
        <w:keepLines w:val="0"/>
        <w:pageBreakBefore w:val="0"/>
        <w:widowControl w:val="0"/>
        <w:kinsoku/>
        <w:wordWrap/>
        <w:overflowPunct/>
        <w:topLinePunct w:val="0"/>
        <w:autoSpaceDE/>
        <w:autoSpaceDN/>
        <w:bidi w:val="0"/>
        <w:adjustRightInd w:val="0"/>
        <w:snapToGrid w:val="0"/>
        <w:spacing w:line="520" w:lineRule="exact"/>
        <w:ind w:firstLine="560"/>
        <w:textAlignment w:val="auto"/>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由于设备等发生变更，由</w:t>
      </w:r>
      <w:r>
        <w:rPr>
          <w:rFonts w:hint="eastAsia" w:cs="Times New Roman" w:eastAsiaTheme="minorEastAsia"/>
          <w:color w:val="auto"/>
          <w:szCs w:val="28"/>
          <w:highlight w:val="none"/>
          <w:lang w:eastAsia="zh-CN"/>
        </w:rPr>
        <w:t>广东政和工程有限公司（</w:t>
      </w:r>
      <w:r>
        <w:rPr>
          <w:rFonts w:hint="default" w:ascii="Times New Roman" w:hAnsi="Times New Roman" w:cs="Times New Roman" w:eastAsiaTheme="minorEastAsia"/>
          <w:color w:val="auto"/>
          <w:szCs w:val="28"/>
          <w:highlight w:val="none"/>
        </w:rPr>
        <w:t>化工石化医药行业行业</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化工工程</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石油及化工产品储运</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专业</w:t>
      </w:r>
      <w:r>
        <w:rPr>
          <w:rFonts w:hint="eastAsia" w:cs="Times New Roman" w:eastAsiaTheme="minorEastAsia"/>
          <w:color w:val="auto"/>
          <w:szCs w:val="28"/>
          <w:highlight w:val="none"/>
          <w:lang w:val="en-US" w:eastAsia="zh-CN"/>
        </w:rPr>
        <w:t>甲</w:t>
      </w:r>
      <w:r>
        <w:rPr>
          <w:rFonts w:hint="default" w:ascii="Times New Roman" w:hAnsi="Times New Roman" w:cs="Times New Roman" w:eastAsiaTheme="minorEastAsia"/>
          <w:color w:val="auto"/>
          <w:szCs w:val="28"/>
          <w:highlight w:val="none"/>
        </w:rPr>
        <w:t>级，</w:t>
      </w:r>
      <w:r>
        <w:rPr>
          <w:rFonts w:hint="eastAsia" w:cs="Times New Roman" w:eastAsiaTheme="minorEastAsia"/>
          <w:color w:val="auto"/>
          <w:szCs w:val="28"/>
          <w:highlight w:val="none"/>
          <w:lang w:val="en-US" w:eastAsia="zh-CN"/>
        </w:rPr>
        <w:t>建筑行业（建筑工程）甲级，</w:t>
      </w:r>
      <w:r>
        <w:rPr>
          <w:rFonts w:hint="default" w:ascii="Times New Roman" w:hAnsi="Times New Roman" w:cs="Times New Roman" w:eastAsiaTheme="minorEastAsia"/>
          <w:color w:val="auto"/>
          <w:szCs w:val="28"/>
          <w:highlight w:val="none"/>
        </w:rPr>
        <w:t>证书编号：A</w:t>
      </w:r>
      <w:r>
        <w:rPr>
          <w:rFonts w:hint="eastAsia" w:cs="Times New Roman" w:eastAsiaTheme="minorEastAsia"/>
          <w:color w:val="auto"/>
          <w:szCs w:val="28"/>
          <w:highlight w:val="none"/>
          <w:lang w:val="en-US" w:eastAsia="zh-CN"/>
        </w:rPr>
        <w:t>144003911</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出具了该加油站</w:t>
      </w:r>
      <w:r>
        <w:rPr>
          <w:rFonts w:hint="eastAsia" w:cs="Times New Roman" w:eastAsiaTheme="minorEastAsia"/>
          <w:color w:val="auto"/>
          <w:szCs w:val="28"/>
          <w:highlight w:val="none"/>
          <w:lang w:eastAsia="zh-CN"/>
        </w:rPr>
        <w:t>扩容项目</w:t>
      </w:r>
      <w:r>
        <w:rPr>
          <w:rFonts w:hint="eastAsia" w:cs="Times New Roman" w:eastAsiaTheme="minorEastAsia"/>
          <w:color w:val="auto"/>
          <w:szCs w:val="28"/>
          <w:highlight w:val="none"/>
          <w:lang w:val="en-US" w:eastAsia="zh-CN"/>
        </w:rPr>
        <w:t>的</w:t>
      </w:r>
      <w:r>
        <w:rPr>
          <w:rFonts w:hint="eastAsia" w:ascii="Times New Roman" w:hAnsi="Times New Roman" w:cs="Times New Roman" w:eastAsiaTheme="minorEastAsia"/>
          <w:color w:val="auto"/>
          <w:szCs w:val="28"/>
          <w:highlight w:val="none"/>
          <w:lang w:eastAsia="zh-CN"/>
        </w:rPr>
        <w:t>工艺变更通知单</w:t>
      </w:r>
      <w:r>
        <w:rPr>
          <w:rFonts w:hint="eastAsia" w:cs="Times New Roman" w:eastAsiaTheme="minorEastAsia"/>
          <w:color w:val="auto"/>
          <w:szCs w:val="28"/>
          <w:highlight w:val="none"/>
          <w:lang w:val="en-US" w:eastAsia="zh-CN"/>
        </w:rPr>
        <w:t>以及</w:t>
      </w:r>
      <w:r>
        <w:rPr>
          <w:rFonts w:hint="default" w:ascii="Times New Roman" w:hAnsi="Times New Roman" w:cs="Times New Roman" w:eastAsiaTheme="minorEastAsia"/>
          <w:color w:val="auto"/>
          <w:szCs w:val="28"/>
          <w:highlight w:val="none"/>
        </w:rPr>
        <w:t>相关图纸。</w:t>
      </w:r>
    </w:p>
    <w:p>
      <w:pPr>
        <w:keepNext w:val="0"/>
        <w:keepLines w:val="0"/>
        <w:pageBreakBefore w:val="0"/>
        <w:widowControl w:val="0"/>
        <w:kinsoku/>
        <w:wordWrap/>
        <w:overflowPunct/>
        <w:topLinePunct w:val="0"/>
        <w:autoSpaceDE/>
        <w:autoSpaceDN/>
        <w:bidi w:val="0"/>
        <w:adjustRightInd w:val="0"/>
        <w:snapToGrid w:val="0"/>
        <w:spacing w:line="520" w:lineRule="exact"/>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依据《中华人民共和国安全生产法》（主席令[2014]第13号）、《建设项目</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"http://www.chinadaily.com.cn/hqgj/sdbd/2010-12-23/content_1444230.html" \t "_blank" </w:instrText>
      </w:r>
      <w:r>
        <w:rPr>
          <w:rFonts w:hint="default" w:ascii="Times New Roman" w:hAnsi="Times New Roman" w:cs="Times New Roman"/>
          <w:color w:val="auto"/>
        </w:rPr>
        <w:fldChar w:fldCharType="separate"/>
      </w:r>
      <w:r>
        <w:rPr>
          <w:rFonts w:hint="default" w:ascii="Times New Roman" w:hAnsi="Times New Roman" w:cs="Times New Roman" w:eastAsiaTheme="minorEastAsia"/>
          <w:color w:val="auto"/>
        </w:rPr>
        <w:t>安全设施</w:t>
      </w:r>
      <w:r>
        <w:rPr>
          <w:rFonts w:hint="default" w:ascii="Times New Roman" w:hAnsi="Times New Roman" w:cs="Times New Roman" w:eastAsiaTheme="minorEastAsia"/>
          <w:color w:val="auto"/>
        </w:rPr>
        <w:fldChar w:fldCharType="end"/>
      </w:r>
      <w:r>
        <w:rPr>
          <w:rFonts w:hint="default"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三同时</w:t>
      </w:r>
      <w:r>
        <w:rPr>
          <w:rFonts w:hint="default"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监督管理办法》（国家安全生产监督管理总局令[2010]第36号，总局令</w:t>
      </w:r>
      <w:r>
        <w:rPr>
          <w:rFonts w:hint="eastAsia" w:cs="Times New Roman" w:eastAsiaTheme="minorEastAsia"/>
          <w:color w:val="auto"/>
          <w:lang w:eastAsia="zh-CN"/>
        </w:rPr>
        <w:t>第</w:t>
      </w:r>
      <w:r>
        <w:rPr>
          <w:rFonts w:hint="default" w:ascii="Times New Roman" w:hAnsi="Times New Roman" w:cs="Times New Roman" w:eastAsiaTheme="minorEastAsia"/>
          <w:color w:val="auto"/>
        </w:rPr>
        <w:t>77号修</w:t>
      </w:r>
      <w:r>
        <w:rPr>
          <w:rFonts w:hint="eastAsia" w:cs="Times New Roman" w:eastAsiaTheme="minorEastAsia"/>
          <w:color w:val="auto"/>
          <w:lang w:eastAsia="zh-CN"/>
        </w:rPr>
        <w:t>正</w:t>
      </w:r>
      <w:r>
        <w:rPr>
          <w:rFonts w:hint="default" w:ascii="Times New Roman" w:hAnsi="Times New Roman" w:cs="Times New Roman" w:eastAsiaTheme="minorEastAsia"/>
          <w:color w:val="auto"/>
        </w:rPr>
        <w:t>）、《危险化学品建设项目安全监督管理办法》（国家安全生产监督管理总局令[2010]第45号，总局令第79号修正）</w:t>
      </w:r>
      <w:r>
        <w:rPr>
          <w:rFonts w:hint="eastAsia"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《危险化学品经营许可证管理办法》（国家安全生产监督管理总局令第55号，总局令第79号修正）等有关规定和要求，</w:t>
      </w:r>
      <w:r>
        <w:rPr>
          <w:rFonts w:hint="default" w:ascii="Times New Roman" w:hAnsi="Times New Roman" w:cs="Times New Roman" w:eastAsiaTheme="minorEastAsia"/>
          <w:color w:val="auto"/>
          <w:lang w:eastAsia="zh-CN"/>
        </w:rPr>
        <w:t>受</w:t>
      </w:r>
      <w:r>
        <w:rPr>
          <w:rFonts w:hint="eastAsia" w:cs="Times New Roman" w:eastAsiaTheme="minorEastAsia"/>
          <w:color w:val="auto"/>
          <w:lang w:eastAsia="zh-CN"/>
        </w:rPr>
        <w:t>山东万通集团垦利金顺油品有限公司第六加油中心</w:t>
      </w:r>
      <w:r>
        <w:rPr>
          <w:rFonts w:hint="default" w:ascii="Times New Roman" w:hAnsi="Times New Roman" w:cs="Times New Roman" w:eastAsiaTheme="minorEastAsia"/>
          <w:color w:val="auto"/>
        </w:rPr>
        <w:t>的委托，</w:t>
      </w:r>
      <w:r>
        <w:rPr>
          <w:rFonts w:hint="eastAsia" w:cs="Times New Roman" w:eastAsiaTheme="minorEastAsia"/>
          <w:color w:val="auto"/>
          <w:lang w:eastAsia="zh-CN"/>
        </w:rPr>
        <w:t>山东实华安全技术有限公司</w:t>
      </w:r>
      <w:r>
        <w:rPr>
          <w:rFonts w:hint="default" w:ascii="Times New Roman" w:hAnsi="Times New Roman" w:cs="Times New Roman" w:eastAsiaTheme="minorEastAsia"/>
          <w:color w:val="auto"/>
        </w:rPr>
        <w:t>承担了该项目的</w:t>
      </w:r>
      <w:r>
        <w:rPr>
          <w:rFonts w:hint="eastAsia" w:cs="Times New Roman" w:eastAsiaTheme="minorEastAsia"/>
          <w:color w:val="auto"/>
          <w:lang w:eastAsia="zh-CN"/>
        </w:rPr>
        <w:t>安全设施竣工验收评价工作</w:t>
      </w:r>
      <w:r>
        <w:rPr>
          <w:rFonts w:hint="default" w:ascii="Times New Roman" w:hAnsi="Times New Roman" w:cs="Times New Roman" w:eastAsiaTheme="minorEastAsia"/>
          <w:color w:val="auto"/>
        </w:rPr>
        <w:t>。按照《安全验收评价导则》（AQ8003-2007）和《危险化学品建设项目安全评价细则（试行）》（安监总危化［2007］255号）的要求，公司成立了项目评价组。本评价组通过对</w:t>
      </w:r>
      <w:r>
        <w:rPr>
          <w:rFonts w:hint="eastAsia" w:cs="Times New Roman" w:eastAsiaTheme="minorEastAsia"/>
          <w:color w:val="auto"/>
          <w:szCs w:val="28"/>
          <w:lang w:eastAsia="zh-CN"/>
        </w:rPr>
        <w:t>山东万通集团垦利金顺油品有限公司第六加油中心扩容项目</w:t>
      </w:r>
      <w:r>
        <w:rPr>
          <w:rFonts w:hint="default" w:ascii="Times New Roman" w:hAnsi="Times New Roman" w:cs="Times New Roman" w:eastAsiaTheme="minorEastAsia"/>
          <w:color w:val="auto"/>
        </w:rPr>
        <w:t>的实地调查、资料收集，通过定性、定量评价，找出项目设备设施固有的危险因素和存在的不足与缺陷，提出对策措施和建议，做出评价结论，最终编制完成该项目的</w:t>
      </w:r>
      <w:r>
        <w:rPr>
          <w:rFonts w:hint="eastAsia" w:cs="Times New Roman" w:eastAsiaTheme="minorEastAsia"/>
          <w:color w:val="auto"/>
          <w:lang w:eastAsia="zh-CN"/>
        </w:rPr>
        <w:t>安全设施竣工验收评价报告</w:t>
      </w:r>
      <w:r>
        <w:rPr>
          <w:rFonts w:hint="default" w:ascii="Times New Roman" w:hAnsi="Times New Roman" w:cs="Times New Roman" w:eastAsiaTheme="minorEastAsia"/>
          <w:color w:val="auto"/>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ind w:firstLine="5880" w:firstLineChars="21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 xml:space="preserve">     评价项目组</w:t>
      </w:r>
    </w:p>
    <w:p>
      <w:pPr>
        <w:keepNext w:val="0"/>
        <w:keepLines w:val="0"/>
        <w:pageBreakBefore w:val="0"/>
        <w:widowControl w:val="0"/>
        <w:kinsoku/>
        <w:wordWrap/>
        <w:overflowPunct/>
        <w:topLinePunct w:val="0"/>
        <w:autoSpaceDE/>
        <w:autoSpaceDN/>
        <w:bidi w:val="0"/>
        <w:adjustRightInd w:val="0"/>
        <w:snapToGrid w:val="0"/>
        <w:spacing w:line="520" w:lineRule="exact"/>
        <w:ind w:firstLine="560"/>
        <w:textAlignment w:val="auto"/>
        <w:rPr>
          <w:rFonts w:hint="default" w:ascii="Times New Roman" w:hAnsi="Times New Roman" w:cs="Times New Roman" w:eastAsiaTheme="minorEastAsia"/>
          <w:color w:val="auto"/>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rPr>
        <w:t xml:space="preserve">                                     </w:t>
      </w:r>
      <w:r>
        <w:rPr>
          <w:rFonts w:hint="eastAsia" w:cs="Times New Roman" w:eastAsiaTheme="minorEastAsia"/>
          <w:color w:val="auto"/>
          <w:lang w:val="en-US" w:eastAsia="zh-CN"/>
        </w:rPr>
        <w:t xml:space="preserve"> </w:t>
      </w:r>
      <w:r>
        <w:rPr>
          <w:rFonts w:hint="default" w:ascii="Times New Roman" w:hAnsi="Times New Roman" w:cs="Times New Roman" w:eastAsiaTheme="minorEastAsia"/>
          <w:color w:val="auto"/>
        </w:rPr>
        <w:t xml:space="preserve">     202</w:t>
      </w:r>
      <w:r>
        <w:rPr>
          <w:rFonts w:hint="eastAsia" w:cs="Times New Roman" w:eastAsiaTheme="minorEastAsia"/>
          <w:color w:val="auto"/>
          <w:lang w:val="en-US" w:eastAsia="zh-CN"/>
        </w:rPr>
        <w:t>1</w:t>
      </w:r>
      <w:r>
        <w:rPr>
          <w:rFonts w:hint="default" w:ascii="Times New Roman" w:hAnsi="Times New Roman" w:cs="Times New Roman" w:eastAsiaTheme="minorEastAsia"/>
          <w:color w:val="auto"/>
        </w:rPr>
        <w:t>年</w:t>
      </w:r>
      <w:r>
        <w:rPr>
          <w:rFonts w:hint="eastAsia" w:cs="Times New Roman" w:eastAsiaTheme="minorEastAsia"/>
          <w:color w:val="auto"/>
          <w:lang w:val="en-US" w:eastAsia="zh-CN"/>
        </w:rPr>
        <w:t>03</w:t>
      </w:r>
      <w:r>
        <w:rPr>
          <w:rFonts w:hint="default" w:ascii="Times New Roman" w:hAnsi="Times New Roman" w:cs="Times New Roman" w:eastAsiaTheme="minorEastAsia"/>
          <w:color w:val="auto"/>
        </w:rPr>
        <w:t>月</w:t>
      </w:r>
    </w:p>
    <w:p>
      <w:pPr>
        <w:pStyle w:val="19"/>
        <w:keepNext w:val="0"/>
        <w:keepLines w:val="0"/>
        <w:pageBreakBefore w:val="0"/>
        <w:widowControl w:val="0"/>
        <w:kinsoku/>
        <w:wordWrap/>
        <w:overflowPunct/>
        <w:topLinePunct w:val="0"/>
        <w:autoSpaceDE/>
        <w:autoSpaceDN/>
        <w:bidi w:val="0"/>
        <w:adjustRightInd w:val="0"/>
        <w:snapToGrid w:val="0"/>
        <w:spacing w:before="313" w:beforeLines="100" w:line="360" w:lineRule="exact"/>
        <w:ind w:firstLine="723"/>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eastAsiaTheme="minorEastAsia"/>
          <w:b/>
          <w:color w:val="auto"/>
          <w:sz w:val="36"/>
          <w:szCs w:val="36"/>
        </w:rPr>
        <w:t>目  录</w:t>
      </w:r>
      <w:r>
        <w:rPr>
          <w:rFonts w:hint="default" w:ascii="Times New Roman" w:hAnsi="Times New Roman" w:eastAsia="宋体" w:cs="Times New Roman"/>
          <w:b/>
          <w:color w:val="auto"/>
          <w:sz w:val="24"/>
          <w:szCs w:val="24"/>
        </w:rPr>
        <w:fldChar w:fldCharType="begin"/>
      </w:r>
      <w:r>
        <w:rPr>
          <w:rFonts w:hint="default" w:ascii="Times New Roman" w:hAnsi="Times New Roman" w:eastAsia="宋体" w:cs="Times New Roman"/>
          <w:color w:val="auto"/>
          <w:sz w:val="24"/>
          <w:szCs w:val="24"/>
        </w:rPr>
        <w:instrText xml:space="preserve"> TOC \o "1-2" \h \z \u </w:instrText>
      </w:r>
      <w:r>
        <w:rPr>
          <w:rFonts w:hint="default" w:ascii="Times New Roman" w:hAnsi="Times New Roman" w:eastAsia="宋体" w:cs="Times New Roman"/>
          <w:b/>
          <w:color w:val="auto"/>
          <w:sz w:val="24"/>
          <w:szCs w:val="24"/>
        </w:rPr>
        <w:fldChar w:fldCharType="separate"/>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_Toc19443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1 总论</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_Toc19443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1</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_Toc6780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1.1 评价目的</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_Toc6780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_Toc8641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1.2 前期准备情况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_Toc8641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_Toc10438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1.3 评价范围</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_Toc10438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_Toc7402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1.4 评价程序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_Toc7402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_Toc17877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2 建设项目概况</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_Toc17877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5</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_Toc6210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2.1 建设单位基本情况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_Toc6210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_Toc25053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2.2 建设项目基本情况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_Toc25053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_Toc29498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napToGrid w:val="0"/>
          <w:kern w:val="0"/>
          <w:sz w:val="24"/>
          <w:szCs w:val="24"/>
        </w:rPr>
        <w:t>2.3 项目概况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_Toc29498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_Toc31289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sz w:val="24"/>
          <w:szCs w:val="24"/>
        </w:rPr>
        <w:t>2.4 安全设施的施工、检验、检测和调试情况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_Toc31289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_Toc24840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3 主要危险、有害因素分析结果</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_Toc24840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23</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_Toc32315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3.1 主要危险、有害物质</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_Toc32315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_Toc22124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3.2 危险、有害因素分布</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_Toc22124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_Toc4199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3.3 重大危险源辨识</w:t>
      </w:r>
      <w:r>
        <w:rPr>
          <w:rFonts w:hint="default" w:ascii="Times New Roman" w:hAnsi="Times New Roman" w:cs="Times New Roman" w:eastAsiaTheme="minorEastAsia"/>
          <w:bCs w:val="0"/>
          <w:sz w:val="24"/>
          <w:szCs w:val="24"/>
          <w:lang w:eastAsia="zh-CN"/>
        </w:rPr>
        <w:t>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_Toc4199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_Toc25857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4 评价单元的划分与评价方法的选择</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_Toc25857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26</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_Toc16646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4.1评价单元划分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_Toc16646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26</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_Toc15150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4.2评价方法的选择</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_Toc15150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26</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_Toc3842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highlight w:val="none"/>
        </w:rPr>
        <w:t>5定性、定量评价结果</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_Toc3842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28</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_Toc17872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5.1 安全检查表评价结果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_Toc17872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_Toc24310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 xml:space="preserve">5.2 </w:t>
      </w:r>
      <w:r>
        <w:rPr>
          <w:rFonts w:hint="default" w:ascii="Times New Roman" w:hAnsi="Times New Roman" w:cs="Times New Roman" w:eastAsiaTheme="minorEastAsia"/>
          <w:bCs w:val="0"/>
          <w:sz w:val="24"/>
          <w:szCs w:val="24"/>
          <w:lang w:eastAsia="zh-CN"/>
        </w:rPr>
        <w:t>预先危险性分析</w:t>
      </w:r>
      <w:r>
        <w:rPr>
          <w:rFonts w:hint="default" w:ascii="Times New Roman" w:hAnsi="Times New Roman" w:cs="Times New Roman" w:eastAsiaTheme="minorEastAsia"/>
          <w:bCs w:val="0"/>
          <w:sz w:val="24"/>
          <w:szCs w:val="24"/>
        </w:rPr>
        <w:t>评价结果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_Toc24310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_Toc7554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5.3 固有危险程度的分析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_Toc7554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_Toc15317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5.4 风险程度的分析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_Toc15317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30</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_Toc11045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6 安全条件分析</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_Toc11045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33</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_Toc13775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 xml:space="preserve">6.1 </w:t>
      </w:r>
      <w:r>
        <w:rPr>
          <w:rFonts w:hint="default" w:ascii="Times New Roman" w:hAnsi="Times New Roman" w:cs="Times New Roman" w:eastAsiaTheme="minorEastAsia"/>
          <w:bCs w:val="0"/>
          <w:sz w:val="24"/>
          <w:szCs w:val="24"/>
          <w:lang w:eastAsia="zh-CN"/>
        </w:rPr>
        <w:t>加油中心</w:t>
      </w:r>
      <w:r>
        <w:rPr>
          <w:rFonts w:hint="default" w:ascii="Times New Roman" w:hAnsi="Times New Roman" w:cs="Times New Roman" w:eastAsiaTheme="minorEastAsia"/>
          <w:bCs w:val="0"/>
          <w:sz w:val="24"/>
          <w:szCs w:val="24"/>
        </w:rPr>
        <w:t>外部环境</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_Toc13775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_Toc9649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 xml:space="preserve">6.2 </w:t>
      </w:r>
      <w:r>
        <w:rPr>
          <w:rFonts w:hint="default" w:ascii="Times New Roman" w:hAnsi="Times New Roman" w:cs="Times New Roman" w:eastAsiaTheme="minorEastAsia"/>
          <w:bCs w:val="0"/>
          <w:sz w:val="24"/>
          <w:szCs w:val="24"/>
          <w:lang w:eastAsia="zh-CN"/>
        </w:rPr>
        <w:t>周边环境影响因素</w:t>
      </w:r>
      <w:r>
        <w:rPr>
          <w:rFonts w:hint="default" w:ascii="Times New Roman" w:hAnsi="Times New Roman" w:cs="Times New Roman" w:eastAsiaTheme="minorEastAsia"/>
          <w:bCs w:val="0"/>
          <w:sz w:val="24"/>
          <w:szCs w:val="24"/>
        </w:rPr>
        <w:t>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_Toc9649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_Toc6492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7 安全生产条件分析</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_Toc6492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36</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_Toc23450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7.1安全设施情况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_Toc23450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36</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_Toc18320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7.2 安全管理情况分析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_Toc18320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45</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7.3 技术、工艺情况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_Toc3149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_Toc553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7.4建设项目装置、设施和设备</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_Toc553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_Toc31371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7.5物料储运、运输情况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_Toc31371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_Toc20726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val="0"/>
          <w:sz w:val="24"/>
          <w:szCs w:val="24"/>
        </w:rPr>
        <w:t>7.6事故及应急管理情况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_Toc20726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_Toc26288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lang w:val="en-US" w:eastAsia="zh-CN"/>
        </w:rPr>
        <w:t>8</w:t>
      </w:r>
      <w:r>
        <w:rPr>
          <w:rFonts w:hint="default" w:ascii="Times New Roman" w:hAnsi="Times New Roman" w:cs="Times New Roman" w:eastAsiaTheme="minorEastAsia"/>
          <w:b/>
          <w:bCs/>
          <w:sz w:val="24"/>
          <w:szCs w:val="24"/>
        </w:rPr>
        <w:t xml:space="preserve"> 安全对策措施和建议</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_Toc26288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51</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_Toc4998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lang w:val="en-US" w:eastAsia="zh-CN"/>
        </w:rPr>
        <w:t>8</w:t>
      </w:r>
      <w:r>
        <w:rPr>
          <w:rFonts w:hint="default" w:ascii="Times New Roman" w:hAnsi="Times New Roman" w:cs="Times New Roman" w:eastAsiaTheme="minorEastAsia"/>
          <w:bCs w:val="0"/>
          <w:sz w:val="24"/>
          <w:szCs w:val="24"/>
        </w:rPr>
        <w:t>.</w:t>
      </w:r>
      <w:r>
        <w:rPr>
          <w:rFonts w:hint="default" w:ascii="Times New Roman" w:hAnsi="Times New Roman" w:cs="Times New Roman" w:eastAsiaTheme="minorEastAsia"/>
          <w:bCs w:val="0"/>
          <w:sz w:val="24"/>
          <w:szCs w:val="24"/>
          <w:lang w:val="en-US" w:eastAsia="zh-CN"/>
        </w:rPr>
        <w:t>1</w:t>
      </w:r>
      <w:r>
        <w:rPr>
          <w:rFonts w:hint="default" w:ascii="Times New Roman" w:hAnsi="Times New Roman" w:eastAsia="宋体" w:cs="Times New Roman"/>
          <w:sz w:val="24"/>
          <w:szCs w:val="24"/>
        </w:rPr>
        <w:t>本次评价隐患及整改情况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_Toc4998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_Toc22568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lang w:val="en-US" w:eastAsia="zh-CN"/>
        </w:rPr>
        <w:t>8</w:t>
      </w:r>
      <w:r>
        <w:rPr>
          <w:rFonts w:hint="default" w:ascii="Times New Roman" w:hAnsi="Times New Roman" w:cs="Times New Roman" w:eastAsiaTheme="minorEastAsia"/>
          <w:bCs w:val="0"/>
          <w:sz w:val="24"/>
          <w:szCs w:val="24"/>
        </w:rPr>
        <w:t>.</w:t>
      </w:r>
      <w:r>
        <w:rPr>
          <w:rFonts w:hint="default" w:ascii="Times New Roman" w:hAnsi="Times New Roman" w:cs="Times New Roman" w:eastAsiaTheme="minorEastAsia"/>
          <w:bCs w:val="0"/>
          <w:sz w:val="24"/>
          <w:szCs w:val="24"/>
          <w:lang w:val="en-US" w:eastAsia="zh-CN"/>
        </w:rPr>
        <w:t>2</w:t>
      </w:r>
      <w:r>
        <w:rPr>
          <w:rFonts w:hint="default" w:ascii="Times New Roman" w:hAnsi="Times New Roman" w:cs="Times New Roman" w:eastAsiaTheme="minorEastAsia"/>
          <w:bCs w:val="0"/>
          <w:sz w:val="24"/>
          <w:szCs w:val="24"/>
        </w:rPr>
        <w:t xml:space="preserve"> 安全管理建议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_Toc22568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_Toc10562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highlight w:val="none"/>
          <w:lang w:val="en-US" w:eastAsia="zh-CN"/>
        </w:rPr>
        <w:t xml:space="preserve">9 </w:t>
      </w:r>
      <w:r>
        <w:rPr>
          <w:rFonts w:hint="default" w:ascii="Times New Roman" w:hAnsi="Times New Roman" w:cs="Times New Roman" w:eastAsiaTheme="minorEastAsia"/>
          <w:b/>
          <w:bCs/>
          <w:sz w:val="24"/>
          <w:szCs w:val="24"/>
          <w:highlight w:val="none"/>
        </w:rPr>
        <w:t>整改情况复查</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_Toc10562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55</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_Toc6053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lang w:val="en-US" w:eastAsia="zh-CN"/>
        </w:rPr>
        <w:t>10</w:t>
      </w:r>
      <w:r>
        <w:rPr>
          <w:rFonts w:hint="default" w:ascii="Times New Roman" w:hAnsi="Times New Roman" w:cs="Times New Roman" w:eastAsiaTheme="minorEastAsia"/>
          <w:b/>
          <w:bCs/>
          <w:sz w:val="24"/>
          <w:szCs w:val="24"/>
        </w:rPr>
        <w:t xml:space="preserve"> </w:t>
      </w:r>
      <w:r>
        <w:rPr>
          <w:rFonts w:hint="default" w:ascii="Times New Roman" w:hAnsi="Times New Roman" w:cs="Times New Roman" w:eastAsiaTheme="minorEastAsia"/>
          <w:b/>
          <w:bCs/>
          <w:sz w:val="24"/>
          <w:szCs w:val="24"/>
          <w:lang w:eastAsia="zh-CN"/>
        </w:rPr>
        <w:t>安全设施竣工验收评价</w:t>
      </w:r>
      <w:r>
        <w:rPr>
          <w:rFonts w:hint="default" w:ascii="Times New Roman" w:hAnsi="Times New Roman" w:cs="Times New Roman" w:eastAsiaTheme="minorEastAsia"/>
          <w:b/>
          <w:bCs/>
          <w:sz w:val="24"/>
          <w:szCs w:val="24"/>
        </w:rPr>
        <w:t>结论</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_Toc6053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56</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_Toc11100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1</w:t>
      </w:r>
      <w:r>
        <w:rPr>
          <w:rFonts w:hint="default" w:ascii="Times New Roman" w:hAnsi="Times New Roman" w:cs="Times New Roman" w:eastAsiaTheme="minorEastAsia"/>
          <w:b/>
          <w:bCs/>
          <w:sz w:val="24"/>
          <w:szCs w:val="24"/>
          <w:lang w:val="en-US" w:eastAsia="zh-CN"/>
        </w:rPr>
        <w:t>1</w:t>
      </w:r>
      <w:r>
        <w:rPr>
          <w:rFonts w:hint="default" w:ascii="Times New Roman" w:hAnsi="Times New Roman" w:cs="Times New Roman" w:eastAsiaTheme="minorEastAsia"/>
          <w:b/>
          <w:bCs/>
          <w:sz w:val="24"/>
          <w:szCs w:val="24"/>
        </w:rPr>
        <w:t xml:space="preserve"> 与建设单位交换意见</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_Toc11100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57</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_Toc1992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附件1 安全评价依据</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_Toc1992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58</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_Toc20284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附1.1 法律、法规</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_Toc20284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58</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_Toc32083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附1.2 评价标准及规范</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_Toc32083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60</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_Toc12417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附1.3 依据的其他有关文件资料</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_Toc12417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61</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_Toc18296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附件2 安全评价方法简介</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_Toc18296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62</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_Toc3524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附2.1 安全检查表法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_Toc3524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_Toc827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 xml:space="preserve">附2.2 </w:t>
      </w:r>
      <w:r>
        <w:rPr>
          <w:rFonts w:hint="default" w:ascii="Times New Roman" w:hAnsi="Times New Roman" w:cs="Times New Roman" w:eastAsiaTheme="minorEastAsia"/>
          <w:bCs w:val="0"/>
          <w:sz w:val="24"/>
          <w:szCs w:val="24"/>
          <w:lang w:eastAsia="zh-CN"/>
        </w:rPr>
        <w:t>预先危险性分析（</w:t>
      </w:r>
      <w:r>
        <w:rPr>
          <w:rFonts w:hint="default" w:ascii="Times New Roman" w:hAnsi="Times New Roman" w:cs="Times New Roman" w:eastAsiaTheme="minorEastAsia"/>
          <w:bCs w:val="0"/>
          <w:sz w:val="24"/>
          <w:szCs w:val="24"/>
          <w:lang w:val="en-US" w:eastAsia="zh-CN"/>
        </w:rPr>
        <w:t>PHA</w:t>
      </w:r>
      <w:r>
        <w:rPr>
          <w:rFonts w:hint="default" w:ascii="Times New Roman" w:hAnsi="Times New Roman" w:cs="Times New Roman" w:eastAsiaTheme="minorEastAsia"/>
          <w:bCs w:val="0"/>
          <w:sz w:val="24"/>
          <w:szCs w:val="24"/>
          <w:lang w:eastAsia="zh-CN"/>
        </w:rPr>
        <w:t>）</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_Toc827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62</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_Toc19445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附件3 主要危险、有害因素分析辨识</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_Toc19445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64</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_Toc12248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附3.1 主要危险、有害物质分析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_Toc12248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_Toc23980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附3.2 工艺过程及设备的危险有害因素分析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_Toc23980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68</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_Toc19627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附3.3 人的不安全行为与管理缺陷</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_Toc19627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_Toc18286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附3.4 主要危险因素分析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_Toc18286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74</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_Toc11346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附3.5 主要有害因素分析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_Toc11346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_Toc14538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附3.6 重大危险源辨识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_Toc14538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_Toc29159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附件4 定性、定量评价分析过程</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_Toc29159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80</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_Toc4339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附4.1 安全检查表评价</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_Toc4339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80</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_Toc3208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附4.</w:t>
      </w:r>
      <w:r>
        <w:rPr>
          <w:rFonts w:hint="default" w:ascii="Times New Roman" w:hAnsi="Times New Roman" w:cs="Times New Roman" w:eastAsiaTheme="minorEastAsia"/>
          <w:bCs w:val="0"/>
          <w:sz w:val="24"/>
          <w:szCs w:val="24"/>
          <w:lang w:val="en-US" w:eastAsia="zh-CN"/>
        </w:rPr>
        <w:t>2</w:t>
      </w:r>
      <w:r>
        <w:rPr>
          <w:rFonts w:hint="default" w:ascii="Times New Roman" w:hAnsi="Times New Roman" w:cs="Times New Roman" w:eastAsiaTheme="minorEastAsia"/>
          <w:bCs w:val="0"/>
          <w:sz w:val="24"/>
          <w:szCs w:val="24"/>
        </w:rPr>
        <w:t xml:space="preserve"> </w:t>
      </w:r>
      <w:r>
        <w:rPr>
          <w:rFonts w:hint="default" w:ascii="Times New Roman" w:hAnsi="Times New Roman" w:cs="Times New Roman" w:eastAsiaTheme="minorEastAsia"/>
          <w:bCs w:val="0"/>
          <w:sz w:val="24"/>
          <w:szCs w:val="24"/>
          <w:lang w:eastAsia="zh-CN"/>
        </w:rPr>
        <w:t>预先危险性分析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_Toc3208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93</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_Toc11783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lang w:eastAsia="zh-CN"/>
        </w:rPr>
        <w:t>附</w:t>
      </w:r>
      <w:r>
        <w:rPr>
          <w:rFonts w:hint="default" w:ascii="Times New Roman" w:hAnsi="Times New Roman" w:cs="Times New Roman" w:eastAsiaTheme="minorEastAsia"/>
          <w:b/>
          <w:bCs/>
          <w:sz w:val="24"/>
          <w:szCs w:val="24"/>
        </w:rPr>
        <w:t>件5 典型事故案例分析</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_Toc11783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97</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_Toc11264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附5.1 案例一</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_Toc11264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97</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_Toc27940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附5.2 案例二</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_Toc27940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98</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_Toc4412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附5.3 案例三</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_Toc4412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98</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2"/>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_Toc25686 </w:instrText>
      </w:r>
      <w:r>
        <w:rPr>
          <w:rFonts w:hint="default" w:ascii="Times New Roman" w:hAnsi="Times New Roman" w:eastAsia="宋体" w:cs="Times New Roman"/>
          <w:sz w:val="24"/>
          <w:szCs w:val="24"/>
        </w:rPr>
        <w:fldChar w:fldCharType="separate"/>
      </w:r>
      <w:r>
        <w:rPr>
          <w:rFonts w:hint="default" w:ascii="Times New Roman" w:hAnsi="Times New Roman" w:cs="Times New Roman" w:eastAsiaTheme="minorEastAsia"/>
          <w:bCs w:val="0"/>
          <w:sz w:val="24"/>
          <w:szCs w:val="24"/>
        </w:rPr>
        <w:t>附5.4 案例四</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_Toc25686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99</w:t>
      </w:r>
      <w:r>
        <w:rPr>
          <w:rFonts w:hint="default" w:ascii="Times New Roman" w:hAnsi="Times New Roman"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9"/>
        <w:keepNext w:val="0"/>
        <w:keepLines w:val="0"/>
        <w:pageBreakBefore w:val="0"/>
        <w:widowControl w:val="0"/>
        <w:tabs>
          <w:tab w:val="right" w:leader="dot" w:pos="9072"/>
          <w:tab w:val="clear" w:pos="8296"/>
        </w:tabs>
        <w:kinsoku/>
        <w:wordWrap/>
        <w:overflowPunct/>
        <w:topLinePunct w:val="0"/>
        <w:autoSpaceDE/>
        <w:autoSpaceDN/>
        <w:bidi w:val="0"/>
        <w:adjustRightInd w:val="0"/>
        <w:snapToGrid w:val="0"/>
        <w:spacing w:line="420" w:lineRule="exact"/>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auto"/>
          <w:sz w:val="24"/>
          <w:szCs w:val="24"/>
        </w:rPr>
        <w:fldChar w:fldCharType="begin"/>
      </w:r>
      <w:r>
        <w:rPr>
          <w:rFonts w:hint="default" w:ascii="Times New Roman" w:hAnsi="Times New Roman" w:eastAsia="宋体" w:cs="Times New Roman"/>
          <w:b/>
          <w:bCs/>
          <w:sz w:val="24"/>
          <w:szCs w:val="24"/>
        </w:rPr>
        <w:instrText xml:space="preserve"> HYPERLINK \l _Toc2835 </w:instrText>
      </w:r>
      <w:r>
        <w:rPr>
          <w:rFonts w:hint="default" w:ascii="Times New Roman" w:hAnsi="Times New Roman" w:eastAsia="宋体" w:cs="Times New Roman"/>
          <w:b/>
          <w:bCs/>
          <w:sz w:val="24"/>
          <w:szCs w:val="24"/>
        </w:rPr>
        <w:fldChar w:fldCharType="separate"/>
      </w:r>
      <w:r>
        <w:rPr>
          <w:rFonts w:hint="default" w:ascii="Times New Roman" w:hAnsi="Times New Roman" w:cs="Times New Roman" w:eastAsiaTheme="minorEastAsia"/>
          <w:b/>
          <w:bCs/>
          <w:sz w:val="24"/>
          <w:szCs w:val="24"/>
        </w:rPr>
        <w:t>附件</w:t>
      </w:r>
      <w:r>
        <w:rPr>
          <w:rFonts w:hint="default" w:ascii="Times New Roman" w:hAnsi="Times New Roman" w:cs="Times New Roman" w:eastAsiaTheme="minorEastAsia"/>
          <w:b/>
          <w:bCs/>
          <w:sz w:val="24"/>
          <w:szCs w:val="24"/>
          <w:lang w:val="en-US" w:eastAsia="zh-CN"/>
        </w:rPr>
        <w:t>6</w:t>
      </w:r>
      <w:r>
        <w:rPr>
          <w:rFonts w:hint="default" w:ascii="Times New Roman" w:hAnsi="Times New Roman" w:cs="Times New Roman" w:eastAsiaTheme="minorEastAsia"/>
          <w:b/>
          <w:bCs/>
          <w:sz w:val="24"/>
          <w:szCs w:val="24"/>
        </w:rPr>
        <w:t xml:space="preserve"> 收集的文件、资料目录</w:t>
      </w:r>
      <w:r>
        <w:rPr>
          <w:rFonts w:hint="default" w:ascii="Times New Roman" w:hAnsi="Times New Roman" w:cs="Times New Roman"/>
          <w:b/>
          <w:bCs/>
          <w:sz w:val="24"/>
          <w:szCs w:val="24"/>
        </w:rPr>
        <w:tab/>
      </w:r>
      <w:r>
        <w:rPr>
          <w:rFonts w:hint="default" w:ascii="Times New Roman" w:hAnsi="Times New Roman" w:cs="Times New Roman"/>
          <w:b/>
          <w:bCs/>
          <w:sz w:val="24"/>
          <w:szCs w:val="24"/>
        </w:rPr>
        <w:fldChar w:fldCharType="begin"/>
      </w:r>
      <w:r>
        <w:rPr>
          <w:rFonts w:hint="default" w:ascii="Times New Roman" w:hAnsi="Times New Roman" w:cs="Times New Roman"/>
          <w:b/>
          <w:bCs/>
          <w:sz w:val="24"/>
          <w:szCs w:val="24"/>
        </w:rPr>
        <w:instrText xml:space="preserve"> PAGEREF _Toc2835 </w:instrText>
      </w:r>
      <w:r>
        <w:rPr>
          <w:rFonts w:hint="default" w:ascii="Times New Roman" w:hAnsi="Times New Roman" w:cs="Times New Roman"/>
          <w:b/>
          <w:bCs/>
          <w:sz w:val="24"/>
          <w:szCs w:val="24"/>
        </w:rPr>
        <w:fldChar w:fldCharType="separate"/>
      </w:r>
      <w:r>
        <w:rPr>
          <w:rFonts w:hint="default" w:ascii="Times New Roman" w:hAnsi="Times New Roman" w:cs="Times New Roman"/>
          <w:b/>
          <w:bCs/>
          <w:sz w:val="24"/>
          <w:szCs w:val="24"/>
        </w:rPr>
        <w:t>101</w:t>
      </w:r>
      <w:r>
        <w:rPr>
          <w:rFonts w:hint="default" w:ascii="Times New Roman" w:hAnsi="Times New Roman" w:cs="Times New Roman"/>
          <w:b/>
          <w:bCs/>
          <w:sz w:val="24"/>
          <w:szCs w:val="24"/>
        </w:rPr>
        <w:fldChar w:fldCharType="end"/>
      </w:r>
      <w:r>
        <w:rPr>
          <w:rFonts w:hint="default" w:ascii="Times New Roman" w:hAnsi="Times New Roman" w:eastAsia="宋体" w:cs="Times New Roman"/>
          <w:b/>
          <w:bCs/>
          <w:color w:val="auto"/>
          <w:sz w:val="24"/>
          <w:szCs w:val="24"/>
        </w:rPr>
        <w:fldChar w:fldCharType="end"/>
      </w:r>
    </w:p>
    <w:p>
      <w:pPr>
        <w:keepNext w:val="0"/>
        <w:keepLines w:val="0"/>
        <w:pageBreakBefore w:val="0"/>
        <w:widowControl w:val="0"/>
        <w:tabs>
          <w:tab w:val="right" w:leader="dot" w:pos="8296"/>
        </w:tabs>
        <w:kinsoku/>
        <w:wordWrap/>
        <w:overflowPunct/>
        <w:topLinePunct w:val="0"/>
        <w:autoSpaceDE/>
        <w:autoSpaceDN/>
        <w:bidi w:val="0"/>
        <w:adjustRightInd w:val="0"/>
        <w:snapToGrid w:val="0"/>
        <w:spacing w:before="313" w:beforeLines="100" w:line="520" w:lineRule="exact"/>
        <w:ind w:firstLine="723"/>
        <w:jc w:val="center"/>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fldChar w:fldCharType="end"/>
      </w:r>
    </w:p>
    <w:p>
      <w:pPr>
        <w:keepNext w:val="0"/>
        <w:keepLines w:val="0"/>
        <w:pageBreakBefore w:val="0"/>
        <w:widowControl w:val="0"/>
        <w:kinsoku/>
        <w:wordWrap/>
        <w:overflowPunct/>
        <w:topLinePunct w:val="0"/>
        <w:autoSpaceDE/>
        <w:autoSpaceDN/>
        <w:bidi w:val="0"/>
        <w:adjustRightInd w:val="0"/>
        <w:snapToGrid w:val="0"/>
        <w:spacing w:line="360" w:lineRule="exact"/>
        <w:ind w:firstLine="720"/>
        <w:jc w:val="center"/>
        <w:textAlignment w:val="auto"/>
        <w:rPr>
          <w:rFonts w:hint="default" w:ascii="Times New Roman" w:hAnsi="Times New Roman" w:cs="Times New Roman" w:eastAsiaTheme="minorEastAsia"/>
          <w:color w:val="auto"/>
          <w:sz w:val="24"/>
          <w:szCs w:val="24"/>
          <w:lang w:val="en-US" w:eastAsia="zh-CN"/>
        </w:rPr>
        <w:sectPr>
          <w:headerReference r:id="rId11" w:type="default"/>
          <w:footerReference r:id="rId12" w:type="default"/>
          <w:pgSz w:w="11906" w:h="16838"/>
          <w:pgMar w:top="1417" w:right="1417" w:bottom="1417" w:left="1417" w:header="964"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32"/>
          <w:szCs w:val="32"/>
        </w:rPr>
      </w:pPr>
      <w:bookmarkStart w:id="5" w:name="_Toc19443"/>
      <w:r>
        <w:rPr>
          <w:rFonts w:hint="default" w:ascii="Times New Roman" w:hAnsi="Times New Roman" w:cs="Times New Roman" w:eastAsiaTheme="minorEastAsia"/>
          <w:color w:val="auto"/>
          <w:sz w:val="32"/>
          <w:szCs w:val="32"/>
        </w:rPr>
        <w:t>1 总论</w:t>
      </w:r>
      <w:bookmarkEnd w:id="5"/>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6" w:name="_Toc6780"/>
      <w:r>
        <w:rPr>
          <w:rFonts w:hint="default" w:ascii="Times New Roman" w:hAnsi="Times New Roman" w:cs="Times New Roman" w:eastAsiaTheme="minorEastAsia"/>
          <w:b/>
          <w:bCs w:val="0"/>
          <w:color w:val="auto"/>
          <w:sz w:val="28"/>
          <w:szCs w:val="28"/>
        </w:rPr>
        <w:t>1.1 评价目的</w:t>
      </w:r>
      <w:bookmarkEnd w:id="6"/>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（1）为贯彻</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安全第一、预防为主、综合治理</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的安全生产方针，落实《建设项目安全设施“三同时”监督管理办法》（国家安全生产监督管理总局令[2010]第36号，总局</w:t>
      </w:r>
      <w:r>
        <w:rPr>
          <w:rFonts w:hint="eastAsia" w:cs="Times New Roman" w:eastAsiaTheme="minorEastAsia"/>
          <w:color w:val="auto"/>
          <w:szCs w:val="28"/>
          <w:lang w:eastAsia="zh-CN"/>
        </w:rPr>
        <w:t>令第</w:t>
      </w:r>
      <w:r>
        <w:rPr>
          <w:rFonts w:hint="default" w:ascii="Times New Roman" w:hAnsi="Times New Roman" w:cs="Times New Roman" w:eastAsiaTheme="minorEastAsia"/>
          <w:color w:val="auto"/>
          <w:szCs w:val="28"/>
        </w:rPr>
        <w:t>77号令修</w:t>
      </w:r>
      <w:r>
        <w:rPr>
          <w:rFonts w:hint="eastAsia" w:cs="Times New Roman" w:eastAsiaTheme="minorEastAsia"/>
          <w:color w:val="auto"/>
          <w:szCs w:val="28"/>
          <w:lang w:eastAsia="zh-CN"/>
        </w:rPr>
        <w:t>正</w:t>
      </w:r>
      <w:r>
        <w:rPr>
          <w:rFonts w:hint="default" w:ascii="Times New Roman" w:hAnsi="Times New Roman" w:cs="Times New Roman" w:eastAsiaTheme="minorEastAsia"/>
          <w:color w:val="auto"/>
          <w:szCs w:val="28"/>
        </w:rPr>
        <w:t>）、</w:t>
      </w:r>
      <w:r>
        <w:rPr>
          <w:rFonts w:hint="default" w:ascii="Times New Roman" w:hAnsi="Times New Roman" w:cs="Times New Roman" w:eastAsiaTheme="minorEastAsia"/>
          <w:color w:val="auto"/>
        </w:rPr>
        <w:t>《危险化学品经营许可证管理办法》（国家安全生产监督管理总局令第55号，总局令第79号修正）</w:t>
      </w:r>
      <w:r>
        <w:rPr>
          <w:rFonts w:hint="eastAsia" w:cs="Times New Roman" w:eastAsiaTheme="minorEastAsia"/>
          <w:color w:val="auto"/>
          <w:lang w:eastAsia="zh-CN"/>
        </w:rPr>
        <w:t>、《山东省〈危险化学品建设项目安全监督管理办法〉实施细则》（鲁安监发</w:t>
      </w:r>
      <w:r>
        <w:rPr>
          <w:rFonts w:hint="eastAsia" w:cs="Times New Roman" w:eastAsiaTheme="minorEastAsia"/>
          <w:color w:val="auto"/>
          <w:lang w:val="en-US" w:eastAsia="zh-CN"/>
        </w:rPr>
        <w:t>[2018]17号</w:t>
      </w:r>
      <w:r>
        <w:rPr>
          <w:rFonts w:hint="eastAsia" w:cs="Times New Roman" w:eastAsiaTheme="minorEastAsia"/>
          <w:color w:val="auto"/>
          <w:lang w:eastAsia="zh-CN"/>
        </w:rPr>
        <w:t>）</w:t>
      </w:r>
      <w:r>
        <w:rPr>
          <w:rFonts w:hint="default" w:ascii="Times New Roman" w:hAnsi="Times New Roman" w:cs="Times New Roman" w:eastAsiaTheme="minorEastAsia"/>
          <w:color w:val="auto"/>
        </w:rPr>
        <w:t>等</w:t>
      </w:r>
      <w:r>
        <w:rPr>
          <w:rFonts w:hint="default" w:ascii="Times New Roman" w:hAnsi="Times New Roman" w:cs="Times New Roman" w:eastAsiaTheme="minorEastAsia"/>
          <w:color w:val="auto"/>
          <w:szCs w:val="28"/>
        </w:rPr>
        <w:t>相关规定，确保该项目中的安全设施与主体工程同时设计、同时施工、同时投入生产和使用，保证项目建成后在安全方面符合国家有关法律、法规和标准、规范，</w:t>
      </w:r>
      <w:r>
        <w:rPr>
          <w:rFonts w:hint="eastAsia" w:cs="Times New Roman" w:eastAsiaTheme="minorEastAsia"/>
          <w:color w:val="auto"/>
          <w:szCs w:val="28"/>
          <w:lang w:eastAsia="zh-CN"/>
        </w:rPr>
        <w:t>山东万通集团垦利金顺油品有限公司</w:t>
      </w:r>
      <w:r>
        <w:rPr>
          <w:rFonts w:hint="default" w:ascii="Times New Roman" w:hAnsi="Times New Roman" w:cs="Times New Roman" w:eastAsiaTheme="minorEastAsia"/>
          <w:color w:val="auto"/>
          <w:szCs w:val="28"/>
        </w:rPr>
        <w:t>委托</w:t>
      </w:r>
      <w:r>
        <w:rPr>
          <w:rFonts w:hint="eastAsia" w:cs="Times New Roman" w:eastAsiaTheme="minorEastAsia"/>
          <w:color w:val="auto"/>
          <w:szCs w:val="28"/>
          <w:lang w:eastAsia="zh-CN"/>
        </w:rPr>
        <w:t>我公司</w:t>
      </w:r>
      <w:r>
        <w:rPr>
          <w:rFonts w:hint="default" w:ascii="Times New Roman" w:hAnsi="Times New Roman" w:cs="Times New Roman" w:eastAsiaTheme="minorEastAsia"/>
          <w:color w:val="auto"/>
          <w:szCs w:val="28"/>
        </w:rPr>
        <w:t>对该项目进行安全设施竣工验收评价。</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（2）通过对</w:t>
      </w:r>
      <w:r>
        <w:rPr>
          <w:rFonts w:hint="eastAsia" w:cs="Times New Roman" w:eastAsiaTheme="minorEastAsia"/>
          <w:color w:val="auto"/>
          <w:szCs w:val="28"/>
          <w:lang w:eastAsia="zh-CN"/>
        </w:rPr>
        <w:t>山东万通集团垦利金顺油品有限公司</w:t>
      </w:r>
      <w:r>
        <w:rPr>
          <w:rFonts w:hint="eastAsia" w:cs="Times New Roman" w:eastAsiaTheme="minorEastAsia"/>
          <w:color w:val="auto"/>
          <w:szCs w:val="28"/>
          <w:lang w:val="en-US" w:eastAsia="zh-CN"/>
        </w:rPr>
        <w:t>第六加油中心扩容项目</w:t>
      </w:r>
      <w:r>
        <w:rPr>
          <w:rFonts w:hint="default" w:ascii="Times New Roman" w:hAnsi="Times New Roman" w:cs="Times New Roman" w:eastAsiaTheme="minorEastAsia"/>
          <w:color w:val="auto"/>
          <w:szCs w:val="28"/>
        </w:rPr>
        <w:t>的自然和社会环境条件、地理位置、加油工艺过程、物料介质、主要设备设施、作业场所等进行调研、分析，辨识经营储存过程中存在的危险、有害因素的种类、分布及危险、有害程度。</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rPr>
        <w:t>（3）通过对该建设项目的安全技术措施的评价，对未达到安全目标的系统或单元提出安全补偿及补救措施，以利于提高该建设项目的本质安全程度，满足安全生产的要求</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同时通过检查该建设项目在系统上配备的安全设施的完备性和运行的有效性来验证系统的安全性，在日后的经营储存过程中避免和减少事故的发生，为该建设工程项目的安全验收提供科学依据。</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color w:val="auto"/>
          <w:sz w:val="28"/>
          <w:szCs w:val="28"/>
        </w:rPr>
      </w:pPr>
      <w:bookmarkStart w:id="7" w:name="_Toc8641"/>
      <w:r>
        <w:rPr>
          <w:rFonts w:hint="default" w:ascii="Times New Roman" w:hAnsi="Times New Roman" w:cs="Times New Roman" w:eastAsiaTheme="minorEastAsia"/>
          <w:b/>
          <w:bCs w:val="0"/>
          <w:color w:val="auto"/>
          <w:sz w:val="28"/>
          <w:szCs w:val="28"/>
        </w:rPr>
        <w:t>1.2 前期准备情况</w:t>
      </w:r>
      <w:bookmarkEnd w:id="7"/>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本次评价的前期准备工作包括：明确评价对象及其评价范围；组建评价组；收集国内外相关法律法规、标准、规章、规范；收集典型事故案例；现场勘察；现场收集评价所需资料，包括营业执照、土地手续、总平面布置图等。</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8" w:name="_Toc10438"/>
      <w:r>
        <w:rPr>
          <w:rFonts w:hint="default" w:ascii="Times New Roman" w:hAnsi="Times New Roman" w:cs="Times New Roman" w:eastAsiaTheme="minorEastAsia"/>
          <w:b/>
          <w:bCs w:val="0"/>
          <w:color w:val="auto"/>
          <w:sz w:val="28"/>
          <w:szCs w:val="28"/>
        </w:rPr>
        <w:t>1.3 评价范围</w:t>
      </w:r>
      <w:bookmarkEnd w:id="8"/>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szCs w:val="28"/>
        </w:rPr>
        <w:t>本次安全评价范围</w:t>
      </w:r>
      <w:r>
        <w:rPr>
          <w:rFonts w:hint="eastAsia" w:cs="Times New Roman" w:eastAsiaTheme="minorEastAsia"/>
          <w:color w:val="auto"/>
          <w:szCs w:val="28"/>
          <w:lang w:val="en-US" w:eastAsia="zh-CN"/>
        </w:rPr>
        <w:t>为</w:t>
      </w:r>
      <w:r>
        <w:rPr>
          <w:rFonts w:hint="eastAsia" w:cs="Times New Roman" w:eastAsiaTheme="minorEastAsia"/>
          <w:color w:val="auto"/>
          <w:szCs w:val="28"/>
          <w:lang w:eastAsia="zh-CN"/>
        </w:rPr>
        <w:t>山东万通集团垦利金顺油品有限公司第六加油中心</w:t>
      </w:r>
      <w:r>
        <w:rPr>
          <w:rFonts w:hint="eastAsia" w:cs="Times New Roman" w:eastAsiaTheme="minorEastAsia"/>
          <w:color w:val="auto"/>
          <w:szCs w:val="28"/>
          <w:lang w:val="en-US" w:eastAsia="zh-CN"/>
        </w:rPr>
        <w:t>扩容项目</w:t>
      </w:r>
      <w:r>
        <w:rPr>
          <w:rFonts w:hint="eastAsia" w:cs="Times New Roman" w:eastAsiaTheme="minorEastAsia"/>
          <w:color w:val="auto"/>
          <w:szCs w:val="28"/>
          <w:lang w:eastAsia="zh-CN"/>
        </w:rPr>
        <w:t>的</w:t>
      </w:r>
      <w:r>
        <w:rPr>
          <w:rFonts w:hint="eastAsia" w:cs="Times New Roman" w:eastAsiaTheme="minorEastAsia"/>
          <w:color w:val="auto"/>
          <w:szCs w:val="28"/>
          <w:lang w:val="en-US" w:eastAsia="zh-CN"/>
        </w:rPr>
        <w:t>5台SF（内钢外玻璃纤维增强塑料）埋地卧式双层储罐（3座50m</w:t>
      </w:r>
      <w:r>
        <w:rPr>
          <w:rFonts w:hint="eastAsia" w:cs="Times New Roman" w:eastAsiaTheme="minorEastAsia"/>
          <w:color w:val="auto"/>
          <w:szCs w:val="28"/>
          <w:vertAlign w:val="superscript"/>
          <w:lang w:val="en-US" w:eastAsia="zh-CN"/>
        </w:rPr>
        <w:t>3</w:t>
      </w:r>
      <w:r>
        <w:rPr>
          <w:rFonts w:hint="eastAsia" w:cs="Times New Roman" w:eastAsiaTheme="minorEastAsia"/>
          <w:color w:val="auto"/>
          <w:szCs w:val="28"/>
          <w:lang w:val="en-US" w:eastAsia="zh-CN"/>
        </w:rPr>
        <w:t>的汽油储罐、2座50m</w:t>
      </w:r>
      <w:r>
        <w:rPr>
          <w:rFonts w:hint="eastAsia" w:cs="Times New Roman" w:eastAsiaTheme="minorEastAsia"/>
          <w:color w:val="auto"/>
          <w:szCs w:val="28"/>
          <w:vertAlign w:val="superscript"/>
          <w:lang w:val="en-US" w:eastAsia="zh-CN"/>
        </w:rPr>
        <w:t>3</w:t>
      </w:r>
      <w:r>
        <w:rPr>
          <w:rFonts w:hint="eastAsia" w:cs="Times New Roman" w:eastAsiaTheme="minorEastAsia"/>
          <w:color w:val="auto"/>
          <w:szCs w:val="28"/>
          <w:lang w:val="en-US" w:eastAsia="zh-CN"/>
        </w:rPr>
        <w:t>的柴油储罐），新更换的5根DN50的通气管（3根汽油通气管，2根柴油通气管）。</w:t>
      </w:r>
      <w:r>
        <w:rPr>
          <w:rFonts w:hint="eastAsia" w:cs="Times New Roman"/>
          <w:color w:val="auto"/>
          <w:sz w:val="28"/>
          <w:lang w:val="en-US" w:eastAsia="zh-CN"/>
        </w:rPr>
        <w:t>加油作业区</w:t>
      </w:r>
      <w:r>
        <w:rPr>
          <w:rFonts w:hint="eastAsia" w:cs="Times New Roman" w:eastAsiaTheme="minorEastAsia"/>
          <w:color w:val="auto"/>
          <w:szCs w:val="28"/>
          <w:highlight w:val="none"/>
          <w:lang w:eastAsia="zh-CN"/>
        </w:rPr>
        <w:t>原</w:t>
      </w:r>
      <w:r>
        <w:rPr>
          <w:rFonts w:hint="eastAsia" w:cs="Times New Roman" w:eastAsiaTheme="minorEastAsia"/>
          <w:color w:val="auto"/>
          <w:szCs w:val="28"/>
          <w:highlight w:val="none"/>
          <w:lang w:val="en-US" w:eastAsia="zh-CN"/>
        </w:rPr>
        <w:t>8台单枪加油机（已停用1台），本次改造拆除1台加油机及附属输油管线，目前使用6台，均依托原有加油机</w:t>
      </w:r>
      <w:r>
        <w:rPr>
          <w:rFonts w:hint="eastAsia" w:cs="Times New Roman"/>
          <w:color w:val="auto"/>
          <w:sz w:val="28"/>
          <w:lang w:val="en-US" w:eastAsia="zh-CN"/>
        </w:rPr>
        <w:t>。</w:t>
      </w:r>
      <w:r>
        <w:rPr>
          <w:rFonts w:hint="eastAsia" w:cs="Times New Roman" w:eastAsiaTheme="minorEastAsia"/>
          <w:color w:val="auto"/>
          <w:szCs w:val="28"/>
          <w:lang w:val="en-US" w:eastAsia="zh-CN"/>
        </w:rPr>
        <w:t>其中涉及的经营油品品种未发生变化</w:t>
      </w:r>
      <w:r>
        <w:rPr>
          <w:rFonts w:hint="default" w:ascii="Times New Roman" w:hAnsi="Times New Roman" w:cs="Times New Roman" w:eastAsiaTheme="minorEastAsia"/>
          <w:color w:val="auto"/>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cs="Times New Roman"/>
          <w:color w:val="auto"/>
          <w:sz w:val="28"/>
        </w:rPr>
        <w:t>改造前：埋地卧式双层储罐有</w:t>
      </w:r>
      <w:r>
        <w:rPr>
          <w:rFonts w:hint="eastAsia" w:cs="Times New Roman"/>
          <w:color w:val="auto"/>
          <w:sz w:val="28"/>
          <w:lang w:val="en-US" w:eastAsia="zh-CN"/>
        </w:rPr>
        <w:t>6</w:t>
      </w:r>
      <w:r>
        <w:rPr>
          <w:rFonts w:hint="default" w:ascii="Times New Roman" w:hAnsi="Times New Roman" w:cs="Times New Roman"/>
          <w:color w:val="auto"/>
          <w:sz w:val="28"/>
        </w:rPr>
        <w:t>台，其中</w:t>
      </w:r>
      <w:r>
        <w:rPr>
          <w:rFonts w:hint="eastAsia" w:cs="Times New Roman"/>
          <w:color w:val="auto"/>
          <w:sz w:val="28"/>
          <w:lang w:val="en-US" w:eastAsia="zh-CN"/>
        </w:rPr>
        <w:t>4</w:t>
      </w:r>
      <w:r>
        <w:rPr>
          <w:rFonts w:hint="default" w:ascii="Times New Roman" w:hAnsi="Times New Roman" w:cs="Times New Roman"/>
          <w:color w:val="auto"/>
          <w:sz w:val="28"/>
        </w:rPr>
        <w:t>台</w:t>
      </w:r>
      <w:r>
        <w:rPr>
          <w:rFonts w:hint="eastAsia" w:cs="Times New Roman"/>
          <w:color w:val="auto"/>
          <w:sz w:val="28"/>
          <w:lang w:val="en-US" w:eastAsia="zh-CN"/>
        </w:rPr>
        <w:t>35</w:t>
      </w:r>
      <w:r>
        <w:rPr>
          <w:rFonts w:hint="default" w:ascii="Times New Roman" w:hAnsi="Times New Roman" w:cs="Times New Roman"/>
          <w:color w:val="auto"/>
          <w:sz w:val="28"/>
        </w:rPr>
        <w:t>m</w:t>
      </w:r>
      <w:r>
        <w:rPr>
          <w:rFonts w:hint="default" w:ascii="Times New Roman" w:hAnsi="Times New Roman" w:cs="Times New Roman"/>
          <w:color w:val="auto"/>
          <w:sz w:val="28"/>
          <w:vertAlign w:val="superscript"/>
        </w:rPr>
        <w:t>3</w:t>
      </w:r>
      <w:r>
        <w:rPr>
          <w:rFonts w:hint="default" w:ascii="Times New Roman" w:hAnsi="Times New Roman" w:cs="Times New Roman"/>
          <w:color w:val="auto"/>
          <w:sz w:val="28"/>
        </w:rPr>
        <w:t>埋地</w:t>
      </w:r>
      <w:r>
        <w:rPr>
          <w:rFonts w:hint="eastAsia" w:cs="Times New Roman"/>
          <w:color w:val="auto"/>
          <w:sz w:val="28"/>
          <w:lang w:eastAsia="zh-CN"/>
        </w:rPr>
        <w:t>汽油</w:t>
      </w:r>
      <w:r>
        <w:rPr>
          <w:rFonts w:hint="default" w:ascii="Times New Roman" w:hAnsi="Times New Roman" w:cs="Times New Roman"/>
          <w:color w:val="auto"/>
          <w:sz w:val="28"/>
        </w:rPr>
        <w:t>储罐，</w:t>
      </w:r>
      <w:r>
        <w:rPr>
          <w:rFonts w:hint="eastAsia" w:cs="Times New Roman"/>
          <w:color w:val="auto"/>
          <w:sz w:val="28"/>
          <w:lang w:val="en-US" w:eastAsia="zh-CN"/>
        </w:rPr>
        <w:t>2</w:t>
      </w:r>
      <w:r>
        <w:rPr>
          <w:rFonts w:hint="default" w:ascii="Times New Roman" w:hAnsi="Times New Roman" w:cs="Times New Roman"/>
          <w:color w:val="auto"/>
          <w:sz w:val="28"/>
        </w:rPr>
        <w:t>台</w:t>
      </w:r>
      <w:r>
        <w:rPr>
          <w:rFonts w:hint="eastAsia" w:cs="Times New Roman"/>
          <w:color w:val="auto"/>
          <w:sz w:val="28"/>
          <w:lang w:val="en-US" w:eastAsia="zh-CN"/>
        </w:rPr>
        <w:t>35</w:t>
      </w:r>
      <w:r>
        <w:rPr>
          <w:rFonts w:hint="default" w:ascii="Times New Roman" w:hAnsi="Times New Roman" w:cs="Times New Roman"/>
          <w:color w:val="auto"/>
          <w:sz w:val="28"/>
        </w:rPr>
        <w:t>m</w:t>
      </w:r>
      <w:r>
        <w:rPr>
          <w:rFonts w:hint="default" w:ascii="Times New Roman" w:hAnsi="Times New Roman" w:cs="Times New Roman"/>
          <w:color w:val="auto"/>
          <w:sz w:val="28"/>
          <w:vertAlign w:val="superscript"/>
        </w:rPr>
        <w:t>3</w:t>
      </w:r>
      <w:r>
        <w:rPr>
          <w:rFonts w:hint="default" w:ascii="Times New Roman" w:hAnsi="Times New Roman" w:cs="Times New Roman"/>
          <w:color w:val="auto"/>
          <w:sz w:val="28"/>
        </w:rPr>
        <w:t>埋地</w:t>
      </w:r>
      <w:r>
        <w:rPr>
          <w:rFonts w:hint="eastAsia" w:cs="Times New Roman"/>
          <w:color w:val="auto"/>
          <w:sz w:val="28"/>
          <w:lang w:eastAsia="zh-CN"/>
        </w:rPr>
        <w:t>柴油</w:t>
      </w:r>
      <w:r>
        <w:rPr>
          <w:rFonts w:hint="default" w:ascii="Times New Roman" w:hAnsi="Times New Roman" w:cs="Times New Roman"/>
          <w:color w:val="auto"/>
          <w:sz w:val="28"/>
        </w:rPr>
        <w:t>储罐。改造前</w:t>
      </w:r>
      <w:r>
        <w:rPr>
          <w:rFonts w:hint="eastAsia" w:cs="Times New Roman"/>
          <w:color w:val="auto"/>
          <w:sz w:val="28"/>
          <w:lang w:eastAsia="zh-CN"/>
        </w:rPr>
        <w:t>该加油中心</w:t>
      </w:r>
      <w:r>
        <w:rPr>
          <w:rFonts w:hint="default" w:ascii="Times New Roman" w:hAnsi="Times New Roman" w:cs="Times New Roman"/>
          <w:color w:val="auto"/>
          <w:sz w:val="28"/>
        </w:rPr>
        <w:t>为</w:t>
      </w:r>
      <w:r>
        <w:rPr>
          <w:rFonts w:hint="eastAsia" w:cs="Times New Roman"/>
          <w:color w:val="auto"/>
          <w:sz w:val="28"/>
          <w:lang w:eastAsia="zh-CN"/>
        </w:rPr>
        <w:t>一级加油站。</w:t>
      </w:r>
      <w:r>
        <w:rPr>
          <w:rFonts w:hint="eastAsia" w:cs="Times New Roman"/>
          <w:color w:val="auto"/>
          <w:sz w:val="28"/>
          <w:lang w:val="en-US" w:eastAsia="zh-CN"/>
        </w:rPr>
        <w:t>加油作业区加油机原为8台</w:t>
      </w:r>
      <w:r>
        <w:rPr>
          <w:rFonts w:hint="eastAsia" w:cs="Times New Roman" w:eastAsiaTheme="minorEastAsia"/>
          <w:color w:val="auto"/>
          <w:szCs w:val="28"/>
          <w:highlight w:val="none"/>
          <w:lang w:val="en-US" w:eastAsia="zh-CN"/>
        </w:rPr>
        <w:t>（已停用1台）</w:t>
      </w:r>
      <w:r>
        <w:rPr>
          <w:rFonts w:hint="eastAsia" w:cs="Times New Roman"/>
          <w:color w:val="auto"/>
          <w:sz w:val="28"/>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cs="Times New Roman"/>
          <w:color w:val="auto"/>
          <w:sz w:val="28"/>
        </w:rPr>
        <w:t>改造后：拆除原6台油罐，</w:t>
      </w:r>
      <w:r>
        <w:rPr>
          <w:rFonts w:hint="eastAsia" w:cs="Times New Roman"/>
          <w:color w:val="auto"/>
          <w:sz w:val="28"/>
          <w:lang w:val="en-US" w:eastAsia="zh-CN"/>
        </w:rPr>
        <w:t>在原罐区位置（罐池向西、向南各延伸0.5m）</w:t>
      </w:r>
      <w:r>
        <w:rPr>
          <w:rFonts w:hint="default" w:ascii="Times New Roman" w:hAnsi="Times New Roman" w:cs="Times New Roman"/>
          <w:color w:val="auto"/>
          <w:sz w:val="28"/>
        </w:rPr>
        <w:t>新建埋地卧式双层储罐</w:t>
      </w:r>
      <w:r>
        <w:rPr>
          <w:rFonts w:hint="eastAsia" w:cs="Times New Roman"/>
          <w:color w:val="auto"/>
          <w:sz w:val="28"/>
          <w:lang w:val="en-US" w:eastAsia="zh-CN"/>
        </w:rPr>
        <w:t>5</w:t>
      </w:r>
      <w:r>
        <w:rPr>
          <w:rFonts w:hint="default" w:ascii="Times New Roman" w:hAnsi="Times New Roman" w:cs="Times New Roman"/>
          <w:color w:val="auto"/>
          <w:sz w:val="28"/>
        </w:rPr>
        <w:t>台，其中</w:t>
      </w:r>
      <w:r>
        <w:rPr>
          <w:rFonts w:hint="eastAsia" w:cs="Times New Roman"/>
          <w:color w:val="auto"/>
          <w:sz w:val="28"/>
          <w:lang w:val="en-US" w:eastAsia="zh-CN"/>
        </w:rPr>
        <w:t>3</w:t>
      </w:r>
      <w:r>
        <w:rPr>
          <w:rFonts w:hint="default" w:ascii="Times New Roman" w:hAnsi="Times New Roman" w:cs="Times New Roman"/>
          <w:color w:val="auto"/>
          <w:sz w:val="28"/>
        </w:rPr>
        <w:t>台</w:t>
      </w:r>
      <w:r>
        <w:rPr>
          <w:rFonts w:hint="eastAsia" w:cs="Times New Roman"/>
          <w:color w:val="auto"/>
          <w:sz w:val="28"/>
          <w:lang w:val="en-US" w:eastAsia="zh-CN"/>
        </w:rPr>
        <w:t>5</w:t>
      </w:r>
      <w:r>
        <w:rPr>
          <w:rFonts w:hint="default" w:ascii="Times New Roman" w:hAnsi="Times New Roman" w:cs="Times New Roman"/>
          <w:color w:val="auto"/>
          <w:sz w:val="28"/>
        </w:rPr>
        <w:t>0m</w:t>
      </w:r>
      <w:r>
        <w:rPr>
          <w:rFonts w:hint="default" w:ascii="Times New Roman" w:hAnsi="Times New Roman" w:cs="Times New Roman"/>
          <w:color w:val="auto"/>
          <w:sz w:val="28"/>
          <w:vertAlign w:val="superscript"/>
        </w:rPr>
        <w:t>3</w:t>
      </w:r>
      <w:r>
        <w:rPr>
          <w:rFonts w:hint="default" w:ascii="Times New Roman" w:hAnsi="Times New Roman" w:cs="Times New Roman"/>
          <w:color w:val="auto"/>
          <w:sz w:val="28"/>
        </w:rPr>
        <w:t>埋地</w:t>
      </w:r>
      <w:r>
        <w:rPr>
          <w:rFonts w:hint="eastAsia" w:cs="Times New Roman"/>
          <w:color w:val="auto"/>
          <w:sz w:val="28"/>
          <w:lang w:eastAsia="zh-CN"/>
        </w:rPr>
        <w:t>汽油</w:t>
      </w:r>
      <w:r>
        <w:rPr>
          <w:rFonts w:hint="default" w:ascii="Times New Roman" w:hAnsi="Times New Roman" w:cs="Times New Roman"/>
          <w:color w:val="auto"/>
          <w:sz w:val="28"/>
        </w:rPr>
        <w:t>储罐，</w:t>
      </w:r>
      <w:r>
        <w:rPr>
          <w:rFonts w:hint="eastAsia" w:cs="Times New Roman"/>
          <w:color w:val="auto"/>
          <w:sz w:val="28"/>
          <w:lang w:val="en-US" w:eastAsia="zh-CN"/>
        </w:rPr>
        <w:t>2</w:t>
      </w:r>
      <w:r>
        <w:rPr>
          <w:rFonts w:hint="default" w:ascii="Times New Roman" w:hAnsi="Times New Roman" w:cs="Times New Roman"/>
          <w:color w:val="auto"/>
          <w:sz w:val="28"/>
        </w:rPr>
        <w:t>台</w:t>
      </w:r>
      <w:r>
        <w:rPr>
          <w:rFonts w:hint="eastAsia" w:cs="Times New Roman"/>
          <w:color w:val="auto"/>
          <w:sz w:val="28"/>
          <w:lang w:val="en-US" w:eastAsia="zh-CN"/>
        </w:rPr>
        <w:t>5</w:t>
      </w:r>
      <w:r>
        <w:rPr>
          <w:rFonts w:hint="default" w:ascii="Times New Roman" w:hAnsi="Times New Roman" w:cs="Times New Roman"/>
          <w:color w:val="auto"/>
          <w:sz w:val="28"/>
        </w:rPr>
        <w:t>0m</w:t>
      </w:r>
      <w:r>
        <w:rPr>
          <w:rFonts w:hint="default" w:ascii="Times New Roman" w:hAnsi="Times New Roman" w:cs="Times New Roman"/>
          <w:color w:val="auto"/>
          <w:sz w:val="28"/>
          <w:vertAlign w:val="superscript"/>
        </w:rPr>
        <w:t>3</w:t>
      </w:r>
      <w:r>
        <w:rPr>
          <w:rFonts w:hint="default" w:ascii="Times New Roman" w:hAnsi="Times New Roman" w:cs="Times New Roman"/>
          <w:color w:val="auto"/>
          <w:sz w:val="28"/>
        </w:rPr>
        <w:t>埋地</w:t>
      </w:r>
      <w:r>
        <w:rPr>
          <w:rFonts w:hint="eastAsia" w:cs="Times New Roman"/>
          <w:color w:val="auto"/>
          <w:sz w:val="28"/>
          <w:lang w:eastAsia="zh-CN"/>
        </w:rPr>
        <w:t>柴油</w:t>
      </w:r>
      <w:r>
        <w:rPr>
          <w:rFonts w:hint="default" w:ascii="Times New Roman" w:hAnsi="Times New Roman" w:cs="Times New Roman"/>
          <w:color w:val="auto"/>
          <w:sz w:val="28"/>
        </w:rPr>
        <w:t>储罐，自</w:t>
      </w:r>
      <w:r>
        <w:rPr>
          <w:rFonts w:hint="eastAsia" w:cs="Times New Roman"/>
          <w:color w:val="auto"/>
          <w:sz w:val="28"/>
          <w:lang w:val="en-US" w:eastAsia="zh-CN"/>
        </w:rPr>
        <w:t>北</w:t>
      </w:r>
      <w:r>
        <w:rPr>
          <w:rFonts w:hint="default" w:ascii="Times New Roman" w:hAnsi="Times New Roman" w:cs="Times New Roman"/>
          <w:color w:val="auto"/>
          <w:sz w:val="28"/>
        </w:rPr>
        <w:t>向</w:t>
      </w:r>
      <w:r>
        <w:rPr>
          <w:rFonts w:hint="eastAsia" w:cs="Times New Roman"/>
          <w:color w:val="auto"/>
          <w:sz w:val="28"/>
          <w:lang w:val="en-US" w:eastAsia="zh-CN"/>
        </w:rPr>
        <w:t>南</w:t>
      </w:r>
      <w:r>
        <w:rPr>
          <w:rFonts w:hint="default" w:ascii="Times New Roman" w:hAnsi="Times New Roman" w:cs="Times New Roman"/>
          <w:color w:val="auto"/>
          <w:sz w:val="28"/>
        </w:rPr>
        <w:t>排列，依次为</w:t>
      </w:r>
      <w:r>
        <w:rPr>
          <w:rFonts w:hint="eastAsia" w:cs="Times New Roman"/>
          <w:color w:val="auto"/>
          <w:sz w:val="28"/>
          <w:lang w:val="en-US" w:eastAsia="zh-CN"/>
        </w:rPr>
        <w:t>2</w:t>
      </w:r>
      <w:r>
        <w:rPr>
          <w:rFonts w:hint="default" w:ascii="Times New Roman" w:hAnsi="Times New Roman" w:cs="Times New Roman"/>
          <w:color w:val="auto"/>
          <w:sz w:val="28"/>
        </w:rPr>
        <w:t>台92#汽油储罐、</w:t>
      </w:r>
      <w:r>
        <w:rPr>
          <w:rFonts w:hint="eastAsia" w:cs="Times New Roman"/>
          <w:color w:val="auto"/>
          <w:sz w:val="28"/>
          <w:lang w:val="en-US" w:eastAsia="zh-CN"/>
        </w:rPr>
        <w:t>1</w:t>
      </w:r>
      <w:r>
        <w:rPr>
          <w:rFonts w:hint="default" w:ascii="Times New Roman" w:hAnsi="Times New Roman" w:cs="Times New Roman"/>
          <w:color w:val="auto"/>
          <w:sz w:val="28"/>
        </w:rPr>
        <w:t>台</w:t>
      </w:r>
      <w:r>
        <w:rPr>
          <w:rFonts w:hint="eastAsia" w:cs="Times New Roman"/>
          <w:color w:val="auto"/>
          <w:sz w:val="28"/>
          <w:lang w:val="en-US" w:eastAsia="zh-CN"/>
        </w:rPr>
        <w:t>0</w:t>
      </w:r>
      <w:r>
        <w:rPr>
          <w:rFonts w:hint="default" w:ascii="Times New Roman" w:hAnsi="Times New Roman" w:cs="Times New Roman"/>
          <w:color w:val="auto"/>
          <w:sz w:val="28"/>
        </w:rPr>
        <w:t>#</w:t>
      </w:r>
      <w:r>
        <w:rPr>
          <w:rFonts w:hint="eastAsia" w:cs="Times New Roman"/>
          <w:color w:val="auto"/>
          <w:sz w:val="28"/>
          <w:lang w:eastAsia="zh-CN"/>
        </w:rPr>
        <w:t>柴油</w:t>
      </w:r>
      <w:r>
        <w:rPr>
          <w:rFonts w:hint="default" w:ascii="Times New Roman" w:hAnsi="Times New Roman" w:cs="Times New Roman"/>
          <w:color w:val="auto"/>
          <w:sz w:val="28"/>
        </w:rPr>
        <w:t>储罐、</w:t>
      </w:r>
      <w:r>
        <w:rPr>
          <w:rFonts w:hint="default" w:ascii="Times New Roman" w:hAnsi="Times New Roman" w:cs="Times New Roman"/>
          <w:color w:val="auto"/>
          <w:sz w:val="28"/>
          <w:lang w:val="en-US" w:eastAsia="zh-CN"/>
        </w:rPr>
        <w:t>1</w:t>
      </w:r>
      <w:r>
        <w:rPr>
          <w:rFonts w:hint="default" w:ascii="Times New Roman" w:hAnsi="Times New Roman" w:cs="Times New Roman"/>
          <w:color w:val="auto"/>
          <w:sz w:val="28"/>
        </w:rPr>
        <w:t>台</w:t>
      </w:r>
      <w:r>
        <w:rPr>
          <w:rFonts w:hint="eastAsia" w:cs="Times New Roman"/>
          <w:color w:val="auto"/>
          <w:sz w:val="28"/>
          <w:lang w:val="en-US" w:eastAsia="zh-CN"/>
        </w:rPr>
        <w:t>-1</w:t>
      </w:r>
      <w:r>
        <w:rPr>
          <w:rFonts w:hint="default" w:ascii="Times New Roman" w:hAnsi="Times New Roman" w:cs="Times New Roman"/>
          <w:color w:val="auto"/>
          <w:sz w:val="28"/>
          <w:lang w:val="en-US" w:eastAsia="zh-CN"/>
        </w:rPr>
        <w:t>0</w:t>
      </w:r>
      <w:r>
        <w:rPr>
          <w:rFonts w:hint="default" w:ascii="Times New Roman" w:hAnsi="Times New Roman" w:cs="Times New Roman"/>
          <w:color w:val="auto"/>
          <w:sz w:val="28"/>
        </w:rPr>
        <w:t>#</w:t>
      </w:r>
      <w:r>
        <w:rPr>
          <w:rFonts w:hint="default" w:ascii="Times New Roman" w:hAnsi="Times New Roman" w:cs="Times New Roman"/>
          <w:color w:val="auto"/>
          <w:sz w:val="28"/>
          <w:lang w:eastAsia="zh-CN"/>
        </w:rPr>
        <w:t>柴油</w:t>
      </w:r>
      <w:r>
        <w:rPr>
          <w:rFonts w:hint="default" w:ascii="Times New Roman" w:hAnsi="Times New Roman" w:cs="Times New Roman"/>
          <w:color w:val="auto"/>
          <w:sz w:val="28"/>
        </w:rPr>
        <w:t>储罐</w:t>
      </w:r>
      <w:r>
        <w:rPr>
          <w:rFonts w:hint="eastAsia" w:cs="Times New Roman"/>
          <w:color w:val="auto"/>
          <w:sz w:val="28"/>
          <w:lang w:eastAsia="zh-CN"/>
        </w:rPr>
        <w:t>、</w:t>
      </w:r>
      <w:r>
        <w:rPr>
          <w:rFonts w:hint="eastAsia" w:cs="Times New Roman"/>
          <w:color w:val="auto"/>
          <w:sz w:val="28"/>
          <w:lang w:val="en-US" w:eastAsia="zh-CN"/>
        </w:rPr>
        <w:t>1</w:t>
      </w:r>
      <w:r>
        <w:rPr>
          <w:rFonts w:hint="default" w:ascii="Times New Roman" w:hAnsi="Times New Roman" w:cs="Times New Roman"/>
          <w:color w:val="auto"/>
          <w:sz w:val="28"/>
        </w:rPr>
        <w:t>台9</w:t>
      </w:r>
      <w:r>
        <w:rPr>
          <w:rFonts w:hint="eastAsia" w:cs="Times New Roman"/>
          <w:color w:val="auto"/>
          <w:sz w:val="28"/>
          <w:lang w:val="en-US" w:eastAsia="zh-CN"/>
        </w:rPr>
        <w:t>5</w:t>
      </w:r>
      <w:r>
        <w:rPr>
          <w:rFonts w:hint="default" w:ascii="Times New Roman" w:hAnsi="Times New Roman" w:cs="Times New Roman"/>
          <w:color w:val="auto"/>
          <w:sz w:val="28"/>
        </w:rPr>
        <w:t>#汽油储罐</w:t>
      </w:r>
      <w:r>
        <w:rPr>
          <w:rFonts w:hint="eastAsia" w:cs="Times New Roman"/>
          <w:color w:val="auto"/>
          <w:sz w:val="28"/>
          <w:lang w:eastAsia="zh-CN"/>
        </w:rPr>
        <w:t>，</w:t>
      </w:r>
      <w:r>
        <w:rPr>
          <w:rFonts w:hint="default" w:ascii="Times New Roman" w:hAnsi="Times New Roman" w:cs="Times New Roman"/>
          <w:color w:val="auto"/>
          <w:sz w:val="28"/>
        </w:rPr>
        <w:t>埋地储罐均采用SF双层地埋罐</w:t>
      </w:r>
      <w:r>
        <w:rPr>
          <w:rFonts w:hint="eastAsia" w:cs="Times New Roman"/>
          <w:color w:val="auto"/>
          <w:sz w:val="28"/>
          <w:lang w:eastAsia="zh-CN"/>
        </w:rPr>
        <w:t>（</w:t>
      </w:r>
      <w:r>
        <w:rPr>
          <w:rFonts w:hint="default" w:ascii="Times New Roman" w:hAnsi="Times New Roman" w:cs="Times New Roman"/>
          <w:color w:val="auto"/>
          <w:sz w:val="28"/>
        </w:rPr>
        <w:t>内钢外玻璃纤维增强塑料</w:t>
      </w:r>
      <w:r>
        <w:rPr>
          <w:rFonts w:hint="eastAsia" w:cs="Times New Roman"/>
          <w:color w:val="auto"/>
          <w:sz w:val="28"/>
          <w:lang w:eastAsia="zh-CN"/>
        </w:rPr>
        <w:t>）</w:t>
      </w:r>
      <w:r>
        <w:rPr>
          <w:rFonts w:hint="default" w:ascii="Times New Roman" w:hAnsi="Times New Roman" w:cs="Times New Roman"/>
          <w:color w:val="auto"/>
          <w:sz w:val="28"/>
        </w:rPr>
        <w:t>。</w:t>
      </w:r>
      <w:r>
        <w:rPr>
          <w:rFonts w:hint="default" w:ascii="Times New Roman" w:hAnsi="Times New Roman" w:cs="Times New Roman"/>
          <w:color w:val="auto"/>
          <w:sz w:val="28"/>
          <w:lang w:eastAsia="zh-CN"/>
        </w:rPr>
        <w:t>通气管</w:t>
      </w:r>
      <w:r>
        <w:rPr>
          <w:rFonts w:hint="eastAsia" w:cs="Times New Roman"/>
          <w:color w:val="auto"/>
          <w:sz w:val="28"/>
          <w:lang w:val="en-US" w:eastAsia="zh-CN"/>
        </w:rPr>
        <w:t>重新</w:t>
      </w:r>
      <w:r>
        <w:rPr>
          <w:rFonts w:hint="default" w:ascii="Times New Roman" w:hAnsi="Times New Roman" w:cs="Times New Roman"/>
          <w:color w:val="auto"/>
          <w:sz w:val="28"/>
          <w:lang w:eastAsia="zh-CN"/>
        </w:rPr>
        <w:t>进行</w:t>
      </w:r>
      <w:r>
        <w:rPr>
          <w:rFonts w:hint="eastAsia" w:cs="Times New Roman"/>
          <w:color w:val="auto"/>
          <w:sz w:val="28"/>
          <w:lang w:eastAsia="zh-CN"/>
        </w:rPr>
        <w:t>了更换</w:t>
      </w:r>
      <w:r>
        <w:rPr>
          <w:rFonts w:hint="default" w:ascii="Times New Roman" w:hAnsi="Times New Roman" w:cs="Times New Roman"/>
          <w:color w:val="auto"/>
          <w:sz w:val="28"/>
          <w:lang w:val="en-US" w:eastAsia="zh-CN"/>
        </w:rPr>
        <w:t>；</w:t>
      </w:r>
      <w:r>
        <w:rPr>
          <w:rFonts w:hint="default" w:ascii="Times New Roman" w:hAnsi="Times New Roman" w:cs="Times New Roman"/>
          <w:color w:val="auto"/>
          <w:sz w:val="28"/>
          <w:lang w:eastAsia="zh-CN"/>
        </w:rPr>
        <w:t>将</w:t>
      </w:r>
      <w:r>
        <w:rPr>
          <w:rFonts w:hint="default" w:ascii="Times New Roman" w:hAnsi="Times New Roman" w:cs="Times New Roman"/>
          <w:color w:val="auto"/>
          <w:sz w:val="28"/>
          <w:lang w:val="en-US" w:eastAsia="zh-CN"/>
        </w:rPr>
        <w:t>油罐区最南侧汽</w:t>
      </w:r>
      <w:r>
        <w:rPr>
          <w:rFonts w:hint="default" w:ascii="Times New Roman" w:hAnsi="Times New Roman" w:cs="Times New Roman"/>
          <w:color w:val="auto"/>
          <w:sz w:val="28"/>
          <w:lang w:eastAsia="zh-CN"/>
        </w:rPr>
        <w:t>油罐（</w:t>
      </w:r>
      <w:r>
        <w:rPr>
          <w:rFonts w:hint="default" w:ascii="Times New Roman" w:hAnsi="Times New Roman" w:cs="Times New Roman"/>
          <w:color w:val="auto"/>
          <w:sz w:val="28"/>
          <w:lang w:val="en-US" w:eastAsia="zh-CN"/>
        </w:rPr>
        <w:t>原6号汽油罐</w:t>
      </w:r>
      <w:r>
        <w:rPr>
          <w:rFonts w:hint="default" w:ascii="Times New Roman" w:hAnsi="Times New Roman" w:cs="Times New Roman"/>
          <w:color w:val="auto"/>
          <w:sz w:val="28"/>
          <w:lang w:eastAsia="zh-CN"/>
        </w:rPr>
        <w:t>）</w:t>
      </w:r>
      <w:r>
        <w:rPr>
          <w:rFonts w:hint="default" w:ascii="Times New Roman" w:hAnsi="Times New Roman" w:cs="Times New Roman"/>
          <w:color w:val="auto"/>
          <w:sz w:val="28"/>
          <w:lang w:val="en-US" w:eastAsia="zh-CN"/>
        </w:rPr>
        <w:t>至</w:t>
      </w:r>
      <w:r>
        <w:rPr>
          <w:rFonts w:hint="eastAsia" w:cs="Times New Roman"/>
          <w:color w:val="auto"/>
          <w:sz w:val="28"/>
          <w:lang w:val="en-US" w:eastAsia="zh-CN"/>
        </w:rPr>
        <w:t>加油作业区</w:t>
      </w:r>
      <w:r>
        <w:rPr>
          <w:rFonts w:hint="default" w:ascii="Times New Roman" w:hAnsi="Times New Roman" w:cs="Times New Roman"/>
          <w:color w:val="auto"/>
          <w:sz w:val="28"/>
          <w:lang w:val="en-US" w:eastAsia="zh-CN"/>
        </w:rPr>
        <w:t>南排最东侧加油机管线及加油机进行</w:t>
      </w:r>
      <w:r>
        <w:rPr>
          <w:rFonts w:hint="eastAsia" w:cs="Times New Roman"/>
          <w:color w:val="auto"/>
          <w:sz w:val="28"/>
          <w:lang w:val="en-US" w:eastAsia="zh-CN"/>
        </w:rPr>
        <w:t>了</w:t>
      </w:r>
      <w:r>
        <w:rPr>
          <w:rFonts w:hint="default" w:ascii="Times New Roman" w:hAnsi="Times New Roman" w:cs="Times New Roman"/>
          <w:color w:val="auto"/>
          <w:sz w:val="28"/>
          <w:lang w:val="en-US" w:eastAsia="zh-CN"/>
        </w:rPr>
        <w:t>拆除</w:t>
      </w:r>
      <w:r>
        <w:rPr>
          <w:rFonts w:hint="eastAsia" w:cs="Times New Roman"/>
          <w:color w:val="auto"/>
          <w:sz w:val="28"/>
          <w:lang w:val="en-US" w:eastAsia="zh-CN"/>
        </w:rPr>
        <w:t>，其余输油管线依托原有</w:t>
      </w:r>
      <w:r>
        <w:rPr>
          <w:rFonts w:hint="default" w:ascii="Times New Roman" w:hAnsi="Times New Roman" w:cs="Times New Roman"/>
          <w:color w:val="auto"/>
          <w:sz w:val="28"/>
          <w:lang w:val="en-US" w:eastAsia="zh-CN"/>
        </w:rPr>
        <w:t>；</w:t>
      </w:r>
      <w:r>
        <w:rPr>
          <w:rFonts w:hint="eastAsia" w:cs="Times New Roman"/>
          <w:color w:val="auto"/>
          <w:sz w:val="28"/>
          <w:lang w:val="en-US" w:eastAsia="zh-CN"/>
        </w:rPr>
        <w:t>加油作业区</w:t>
      </w:r>
      <w:r>
        <w:rPr>
          <w:rFonts w:hint="eastAsia" w:cs="Times New Roman" w:eastAsiaTheme="minorEastAsia"/>
          <w:color w:val="auto"/>
          <w:szCs w:val="28"/>
          <w:highlight w:val="none"/>
          <w:lang w:eastAsia="zh-CN"/>
        </w:rPr>
        <w:t>原</w:t>
      </w:r>
      <w:r>
        <w:rPr>
          <w:rFonts w:hint="eastAsia" w:cs="Times New Roman" w:eastAsiaTheme="minorEastAsia"/>
          <w:color w:val="auto"/>
          <w:szCs w:val="28"/>
          <w:highlight w:val="none"/>
          <w:lang w:val="en-US" w:eastAsia="zh-CN"/>
        </w:rPr>
        <w:t>8台单枪加油机（已停用1台），现拆除1台，目前使用6台，均为依托原有；</w:t>
      </w:r>
      <w:r>
        <w:rPr>
          <w:rFonts w:hint="default" w:ascii="Times New Roman" w:hAnsi="Times New Roman" w:cs="Times New Roman"/>
          <w:color w:val="auto"/>
          <w:sz w:val="28"/>
          <w:lang w:val="en-US" w:eastAsia="zh-CN"/>
        </w:rPr>
        <w:t>油罐区</w:t>
      </w:r>
      <w:r>
        <w:rPr>
          <w:rFonts w:hint="default" w:ascii="Times New Roman" w:hAnsi="Times New Roman" w:cs="Times New Roman"/>
          <w:color w:val="auto"/>
          <w:sz w:val="28"/>
          <w:lang w:eastAsia="zh-CN"/>
        </w:rPr>
        <w:t>卸油口</w:t>
      </w:r>
      <w:r>
        <w:rPr>
          <w:rFonts w:hint="default" w:ascii="Times New Roman" w:hAnsi="Times New Roman" w:cs="Times New Roman"/>
          <w:color w:val="auto"/>
          <w:sz w:val="28"/>
          <w:lang w:val="en-US" w:eastAsia="zh-CN"/>
        </w:rPr>
        <w:t>利旧</w:t>
      </w:r>
      <w:r>
        <w:rPr>
          <w:rFonts w:hint="default" w:ascii="Times New Roman" w:hAnsi="Times New Roman" w:cs="Times New Roman"/>
          <w:color w:val="auto"/>
          <w:sz w:val="28"/>
          <w:lang w:eastAsia="zh-CN"/>
        </w:rPr>
        <w:t>。</w:t>
      </w:r>
      <w:r>
        <w:rPr>
          <w:rFonts w:hint="default" w:ascii="Times New Roman" w:hAnsi="Times New Roman" w:cs="Times New Roman"/>
          <w:color w:val="auto"/>
          <w:sz w:val="28"/>
        </w:rPr>
        <w:t>改造后该</w:t>
      </w:r>
      <w:r>
        <w:rPr>
          <w:rFonts w:hint="eastAsia" w:cs="Times New Roman"/>
          <w:color w:val="auto"/>
          <w:sz w:val="28"/>
          <w:lang w:eastAsia="zh-CN"/>
        </w:rPr>
        <w:t>加油</w:t>
      </w:r>
      <w:r>
        <w:rPr>
          <w:rFonts w:hint="default" w:ascii="Times New Roman" w:hAnsi="Times New Roman" w:cs="Times New Roman"/>
          <w:color w:val="auto"/>
          <w:sz w:val="28"/>
        </w:rPr>
        <w:t>站</w:t>
      </w:r>
      <w:r>
        <w:rPr>
          <w:rFonts w:hint="eastAsia" w:cs="Times New Roman"/>
          <w:color w:val="auto"/>
          <w:sz w:val="28"/>
          <w:lang w:eastAsia="zh-CN"/>
        </w:rPr>
        <w:t>等级不变，</w:t>
      </w:r>
      <w:r>
        <w:rPr>
          <w:rFonts w:hint="default" w:ascii="Times New Roman" w:hAnsi="Times New Roman" w:cs="Times New Roman"/>
          <w:color w:val="auto"/>
          <w:sz w:val="28"/>
        </w:rPr>
        <w:t>为</w:t>
      </w:r>
      <w:r>
        <w:rPr>
          <w:rFonts w:hint="eastAsia" w:cs="Times New Roman"/>
          <w:color w:val="auto"/>
          <w:sz w:val="28"/>
          <w:lang w:eastAsia="zh-CN"/>
        </w:rPr>
        <w:t>一级加油站</w:t>
      </w:r>
      <w:r>
        <w:rPr>
          <w:rFonts w:hint="default" w:ascii="Times New Roman" w:hAnsi="Times New Roman" w:cs="Times New Roman"/>
          <w:color w:val="auto"/>
          <w:sz w:val="28"/>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cs="Times New Roman"/>
          <w:color w:val="auto"/>
          <w:sz w:val="28"/>
          <w:lang w:eastAsia="zh-CN"/>
        </w:rPr>
      </w:pPr>
      <w:r>
        <w:rPr>
          <w:rFonts w:hint="default" w:ascii="Times New Roman" w:hAnsi="Times New Roman" w:cs="Times New Roman"/>
          <w:color w:val="auto"/>
          <w:sz w:val="28"/>
        </w:rPr>
        <w:t>2018年</w:t>
      </w:r>
      <w:r>
        <w:rPr>
          <w:rFonts w:hint="eastAsia" w:cs="Times New Roman"/>
          <w:color w:val="auto"/>
          <w:sz w:val="28"/>
          <w:lang w:val="en-US" w:eastAsia="zh-CN"/>
        </w:rPr>
        <w:t>9</w:t>
      </w:r>
      <w:r>
        <w:rPr>
          <w:rFonts w:hint="default" w:ascii="Times New Roman" w:hAnsi="Times New Roman" w:cs="Times New Roman"/>
          <w:color w:val="auto"/>
          <w:sz w:val="28"/>
        </w:rPr>
        <w:t>月</w:t>
      </w:r>
      <w:r>
        <w:rPr>
          <w:rFonts w:hint="eastAsia" w:cs="Times New Roman"/>
          <w:color w:val="auto"/>
          <w:sz w:val="28"/>
          <w:lang w:val="en-US" w:eastAsia="zh-CN"/>
        </w:rPr>
        <w:t>16</w:t>
      </w:r>
      <w:r>
        <w:rPr>
          <w:rFonts w:hint="default" w:ascii="Times New Roman" w:hAnsi="Times New Roman" w:cs="Times New Roman"/>
          <w:color w:val="auto"/>
          <w:sz w:val="28"/>
        </w:rPr>
        <w:t>日，</w:t>
      </w:r>
      <w:r>
        <w:rPr>
          <w:rFonts w:hint="eastAsia" w:cs="Times New Roman"/>
          <w:color w:val="auto"/>
          <w:sz w:val="28"/>
          <w:lang w:eastAsia="zh-CN"/>
        </w:rPr>
        <w:t>东营开元安全评价有限责任公司</w:t>
      </w:r>
      <w:r>
        <w:rPr>
          <w:rFonts w:hint="default" w:ascii="Times New Roman" w:hAnsi="Times New Roman" w:cs="Times New Roman"/>
          <w:color w:val="auto"/>
          <w:sz w:val="28"/>
        </w:rPr>
        <w:t>出具了《</w:t>
      </w:r>
      <w:r>
        <w:rPr>
          <w:rFonts w:hint="eastAsia" w:cs="Times New Roman"/>
          <w:color w:val="auto"/>
          <w:sz w:val="28"/>
          <w:lang w:eastAsia="zh-CN"/>
        </w:rPr>
        <w:t>山东万通集团垦利金顺油品有限公司第六加油中心</w:t>
      </w:r>
      <w:r>
        <w:rPr>
          <w:rFonts w:hint="default" w:ascii="Times New Roman" w:hAnsi="Times New Roman" w:cs="Times New Roman"/>
          <w:color w:val="auto"/>
          <w:sz w:val="28"/>
        </w:rPr>
        <w:t>经营危险化学品安全评价报告》。本次评价较上次安全现状评价相比</w:t>
      </w:r>
      <w:r>
        <w:rPr>
          <w:rFonts w:hint="eastAsia" w:cs="Times New Roman"/>
          <w:color w:val="auto"/>
          <w:sz w:val="28"/>
          <w:lang w:eastAsia="zh-CN"/>
        </w:rPr>
        <w:t>发生如下变化：</w:t>
      </w:r>
    </w:p>
    <w:p>
      <w:pPr>
        <w:pStyle w:val="84"/>
        <w:keepNext w:val="0"/>
        <w:keepLines w:val="0"/>
        <w:pageBreakBefore w:val="0"/>
        <w:widowControl w:val="0"/>
        <w:kinsoku/>
        <w:wordWrap/>
        <w:overflowPunct/>
        <w:topLinePunct w:val="0"/>
        <w:autoSpaceDE/>
        <w:autoSpaceDN/>
        <w:bidi w:val="0"/>
        <w:adjustRightInd w:val="0"/>
        <w:snapToGrid w:val="0"/>
        <w:ind w:firstLine="0" w:firstLineChars="0"/>
        <w:textAlignment w:val="auto"/>
        <w:rPr>
          <w:b/>
          <w:bCs/>
        </w:rPr>
      </w:pPr>
    </w:p>
    <w:p>
      <w:pPr>
        <w:pStyle w:val="84"/>
        <w:keepNext w:val="0"/>
        <w:keepLines w:val="0"/>
        <w:pageBreakBefore w:val="0"/>
        <w:widowControl w:val="0"/>
        <w:kinsoku/>
        <w:wordWrap/>
        <w:overflowPunct/>
        <w:topLinePunct w:val="0"/>
        <w:autoSpaceDE/>
        <w:autoSpaceDN/>
        <w:bidi w:val="0"/>
        <w:adjustRightInd w:val="0"/>
        <w:snapToGrid w:val="0"/>
        <w:ind w:firstLine="0" w:firstLineChars="0"/>
        <w:textAlignment w:val="auto"/>
        <w:rPr>
          <w:b/>
          <w:bCs/>
        </w:rPr>
      </w:pPr>
    </w:p>
    <w:p>
      <w:pPr>
        <w:pStyle w:val="84"/>
        <w:keepNext w:val="0"/>
        <w:keepLines w:val="0"/>
        <w:pageBreakBefore w:val="0"/>
        <w:widowControl w:val="0"/>
        <w:kinsoku/>
        <w:wordWrap/>
        <w:overflowPunct/>
        <w:topLinePunct w:val="0"/>
        <w:autoSpaceDE/>
        <w:autoSpaceDN/>
        <w:bidi w:val="0"/>
        <w:adjustRightInd w:val="0"/>
        <w:snapToGrid w:val="0"/>
        <w:ind w:firstLine="0" w:firstLineChars="0"/>
        <w:textAlignment w:val="auto"/>
        <w:rPr>
          <w:b/>
          <w:bCs/>
        </w:rPr>
      </w:pPr>
      <w:r>
        <w:rPr>
          <w:b/>
          <w:bCs/>
        </w:rPr>
        <w:t>表</w:t>
      </w:r>
      <w:r>
        <w:rPr>
          <w:rFonts w:hint="eastAsia"/>
          <w:b/>
          <w:bCs/>
          <w:lang w:val="en-US" w:eastAsia="zh-CN"/>
        </w:rPr>
        <w:t>1.3</w:t>
      </w:r>
      <w:r>
        <w:rPr>
          <w:b/>
          <w:bCs/>
        </w:rPr>
        <w:t>-1  变更情况说明</w:t>
      </w:r>
    </w:p>
    <w:tbl>
      <w:tblPr>
        <w:tblStyle w:val="28"/>
        <w:tblW w:w="92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4383"/>
        <w:gridCol w:w="35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12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sz w:val="21"/>
                <w:szCs w:val="28"/>
              </w:rPr>
            </w:pPr>
            <w:r>
              <w:rPr>
                <w:rFonts w:ascii="Times New Roman"/>
                <w:b/>
                <w:sz w:val="21"/>
                <w:szCs w:val="28"/>
              </w:rPr>
              <w:t>变更项</w:t>
            </w:r>
          </w:p>
        </w:tc>
        <w:tc>
          <w:tcPr>
            <w:tcW w:w="4383"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sz w:val="21"/>
                <w:szCs w:val="28"/>
              </w:rPr>
            </w:pPr>
            <w:r>
              <w:rPr>
                <w:rFonts w:ascii="Times New Roman"/>
                <w:b/>
                <w:sz w:val="21"/>
                <w:szCs w:val="28"/>
              </w:rPr>
              <w:t>变更前情况</w:t>
            </w:r>
          </w:p>
        </w:tc>
        <w:tc>
          <w:tcPr>
            <w:tcW w:w="358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sz w:val="21"/>
                <w:szCs w:val="28"/>
              </w:rPr>
            </w:pPr>
            <w:r>
              <w:rPr>
                <w:rFonts w:ascii="Times New Roman"/>
                <w:b/>
                <w:sz w:val="21"/>
                <w:szCs w:val="28"/>
              </w:rPr>
              <w:t>变更后情况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ascii="Times New Roman" w:eastAsia="宋体"/>
                <w:sz w:val="21"/>
                <w:szCs w:val="28"/>
                <w:lang w:eastAsia="zh-CN"/>
              </w:rPr>
            </w:pPr>
            <w:r>
              <w:rPr>
                <w:rFonts w:hint="eastAsia"/>
                <w:sz w:val="21"/>
                <w:szCs w:val="28"/>
                <w:lang w:eastAsia="zh-CN"/>
              </w:rPr>
              <w:t>经营物质</w:t>
            </w:r>
          </w:p>
        </w:tc>
        <w:tc>
          <w:tcPr>
            <w:tcW w:w="438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default" w:ascii="Times New Roman"/>
                <w:sz w:val="21"/>
                <w:szCs w:val="28"/>
                <w:lang w:val="en-US"/>
              </w:rPr>
            </w:pPr>
            <w:r>
              <w:rPr>
                <w:rFonts w:hint="eastAsia"/>
                <w:sz w:val="21"/>
                <w:szCs w:val="28"/>
                <w:lang w:eastAsia="zh-CN"/>
              </w:rPr>
              <w:t>汽油：</w:t>
            </w:r>
            <w:r>
              <w:rPr>
                <w:rFonts w:hint="eastAsia"/>
                <w:sz w:val="21"/>
                <w:szCs w:val="28"/>
                <w:lang w:val="en-US" w:eastAsia="zh-CN"/>
              </w:rPr>
              <w:t>92#、95#，柴油：0#、-10#。</w:t>
            </w:r>
          </w:p>
        </w:tc>
        <w:tc>
          <w:tcPr>
            <w:tcW w:w="358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eastAsia"/>
                <w:sz w:val="21"/>
                <w:szCs w:val="28"/>
                <w:lang w:eastAsia="zh-CN"/>
              </w:rPr>
            </w:pPr>
            <w:r>
              <w:rPr>
                <w:rFonts w:hint="eastAsia"/>
                <w:sz w:val="21"/>
                <w:szCs w:val="28"/>
                <w:lang w:eastAsia="zh-CN"/>
              </w:rPr>
              <w:t>汽油：</w:t>
            </w:r>
            <w:r>
              <w:rPr>
                <w:rFonts w:hint="eastAsia"/>
                <w:sz w:val="21"/>
                <w:szCs w:val="28"/>
                <w:lang w:val="en-US" w:eastAsia="zh-CN"/>
              </w:rPr>
              <w:t>92#、95#，柴油：0#、-10#。无变更。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12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sz w:val="21"/>
                <w:szCs w:val="28"/>
                <w:lang w:eastAsia="zh-CN"/>
              </w:rPr>
            </w:pPr>
            <w:r>
              <w:rPr>
                <w:rFonts w:hint="eastAsia"/>
                <w:sz w:val="21"/>
                <w:szCs w:val="28"/>
                <w:lang w:eastAsia="zh-CN"/>
              </w:rPr>
              <w:t>周边环境</w:t>
            </w:r>
          </w:p>
        </w:tc>
        <w:tc>
          <w:tcPr>
            <w:tcW w:w="438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default" w:ascii="宋体" w:hAnsi="宋体" w:eastAsia="宋体" w:cs="宋体"/>
                <w:sz w:val="21"/>
                <w:szCs w:val="28"/>
                <w:lang w:val="en-US" w:eastAsia="zh-CN"/>
              </w:rPr>
            </w:pPr>
            <w:r>
              <w:rPr>
                <w:rFonts w:hint="eastAsia" w:ascii="宋体" w:hAnsi="宋体" w:cs="宋体"/>
                <w:sz w:val="21"/>
                <w:szCs w:val="28"/>
                <w:lang w:val="en-US" w:eastAsia="zh-CN"/>
              </w:rPr>
              <w:t>该加油站位于东营市垦利区董集镇利津黄河大桥以东，永莘路（</w:t>
            </w:r>
            <w:r>
              <w:rPr>
                <w:rFonts w:hint="default" w:ascii="Times New Roman" w:hAnsi="Times New Roman" w:cs="Times New Roman"/>
                <w:sz w:val="21"/>
                <w:szCs w:val="28"/>
                <w:lang w:val="en-US" w:eastAsia="zh-CN"/>
              </w:rPr>
              <w:t>S316</w:t>
            </w:r>
            <w:r>
              <w:rPr>
                <w:rFonts w:hint="eastAsia" w:ascii="宋体" w:hAnsi="宋体" w:cs="宋体"/>
                <w:sz w:val="21"/>
                <w:szCs w:val="28"/>
                <w:lang w:val="en-US" w:eastAsia="zh-CN"/>
              </w:rPr>
              <w:t>）南侧，东面为民房（三类民用建筑物，建筑面积小于</w:t>
            </w:r>
            <w:r>
              <w:rPr>
                <w:rFonts w:hint="default" w:ascii="Times New Roman" w:hAnsi="Times New Roman" w:cs="Times New Roman"/>
                <w:sz w:val="21"/>
                <w:szCs w:val="28"/>
                <w:lang w:val="en-US" w:eastAsia="zh-CN"/>
              </w:rPr>
              <w:t>5000m</w:t>
            </w:r>
            <w:r>
              <w:rPr>
                <w:rFonts w:hint="default" w:ascii="Times New Roman" w:hAnsi="Times New Roman" w:cs="Times New Roman"/>
                <w:sz w:val="21"/>
                <w:szCs w:val="28"/>
                <w:vertAlign w:val="superscript"/>
                <w:lang w:val="en-US" w:eastAsia="zh-CN"/>
              </w:rPr>
              <w:t>3</w:t>
            </w:r>
            <w:r>
              <w:rPr>
                <w:rFonts w:hint="eastAsia" w:ascii="宋体" w:hAnsi="宋体" w:cs="宋体"/>
                <w:sz w:val="21"/>
                <w:szCs w:val="28"/>
                <w:lang w:val="en-US" w:eastAsia="zh-CN"/>
              </w:rPr>
              <w:t>），西为绿化林，北面为永莘路，（永莘路南侧）设有一架空</w:t>
            </w:r>
            <w:r>
              <w:rPr>
                <w:rFonts w:hint="default" w:ascii="Times New Roman" w:hAnsi="Times New Roman" w:cs="Times New Roman"/>
                <w:sz w:val="21"/>
                <w:szCs w:val="28"/>
                <w:lang w:val="en-US" w:eastAsia="zh-CN"/>
              </w:rPr>
              <w:t>电力线，隔永莘路为中石化加油站，南面为南二路（G220），</w:t>
            </w:r>
            <w:r>
              <w:rPr>
                <w:rFonts w:hint="eastAsia" w:ascii="宋体" w:hAnsi="宋体" w:cs="宋体"/>
                <w:sz w:val="21"/>
                <w:szCs w:val="28"/>
                <w:lang w:val="en-US" w:eastAsia="zh-CN"/>
              </w:rPr>
              <w:t>（南二路北侧）设有一架空通讯线，隔南二路为加气站。</w:t>
            </w:r>
          </w:p>
        </w:tc>
        <w:tc>
          <w:tcPr>
            <w:tcW w:w="358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default" w:ascii="宋体" w:hAnsi="宋体" w:eastAsia="宋体" w:cs="宋体"/>
                <w:sz w:val="21"/>
                <w:szCs w:val="28"/>
                <w:lang w:val="en-US" w:eastAsia="zh-CN"/>
              </w:rPr>
            </w:pPr>
            <w:r>
              <w:rPr>
                <w:rFonts w:hint="eastAsia"/>
                <w:sz w:val="21"/>
                <w:szCs w:val="28"/>
                <w:lang w:val="en-US" w:eastAsia="zh-CN"/>
              </w:rPr>
              <w:t>该加油站位于东营市垦利区董集镇利津黄河大桥以东，永莘路南侧，东面为民房（三类民用建筑物，建筑面积小于5000m</w:t>
            </w:r>
            <w:r>
              <w:rPr>
                <w:rFonts w:hint="eastAsia"/>
                <w:sz w:val="21"/>
                <w:szCs w:val="28"/>
                <w:vertAlign w:val="superscript"/>
                <w:lang w:val="en-US" w:eastAsia="zh-CN"/>
              </w:rPr>
              <w:t>3</w:t>
            </w:r>
            <w:r>
              <w:rPr>
                <w:rFonts w:hint="eastAsia"/>
                <w:sz w:val="21"/>
                <w:szCs w:val="28"/>
                <w:lang w:val="en-US" w:eastAsia="zh-CN"/>
              </w:rPr>
              <w:t>），西为绿化林，北面为永莘路</w:t>
            </w:r>
            <w:r>
              <w:rPr>
                <w:rFonts w:hint="eastAsia" w:ascii="宋体" w:hAnsi="宋体" w:cs="宋体"/>
                <w:sz w:val="21"/>
                <w:szCs w:val="28"/>
                <w:lang w:val="en-US" w:eastAsia="zh-CN"/>
              </w:rPr>
              <w:t>（</w:t>
            </w:r>
            <w:r>
              <w:rPr>
                <w:rFonts w:hint="default" w:ascii="Times New Roman" w:hAnsi="Times New Roman" w:cs="Times New Roman"/>
                <w:sz w:val="21"/>
                <w:szCs w:val="28"/>
                <w:lang w:val="en-US" w:eastAsia="zh-CN"/>
              </w:rPr>
              <w:t>S316</w:t>
            </w:r>
            <w:r>
              <w:rPr>
                <w:rFonts w:hint="eastAsia" w:ascii="宋体" w:hAnsi="宋体" w:cs="宋体"/>
                <w:sz w:val="21"/>
                <w:szCs w:val="28"/>
                <w:lang w:val="en-US" w:eastAsia="zh-CN"/>
              </w:rPr>
              <w:t>）</w:t>
            </w:r>
            <w:r>
              <w:rPr>
                <w:rFonts w:hint="eastAsia"/>
                <w:sz w:val="21"/>
                <w:szCs w:val="28"/>
                <w:lang w:val="en-US" w:eastAsia="zh-CN"/>
              </w:rPr>
              <w:t>，隔永莘路为中石化加油站，南面为南二路</w:t>
            </w:r>
            <w:r>
              <w:rPr>
                <w:rFonts w:hint="default" w:ascii="Times New Roman" w:hAnsi="Times New Roman" w:cs="Times New Roman"/>
                <w:sz w:val="21"/>
                <w:szCs w:val="28"/>
                <w:lang w:val="en-US" w:eastAsia="zh-CN"/>
              </w:rPr>
              <w:t>（G220）</w:t>
            </w:r>
            <w:r>
              <w:rPr>
                <w:rFonts w:hint="eastAsia"/>
                <w:sz w:val="21"/>
                <w:szCs w:val="28"/>
                <w:lang w:val="en-US" w:eastAsia="zh-CN"/>
              </w:rPr>
              <w:t>，隔南二路为加气站</w:t>
            </w:r>
            <w:r>
              <w:rPr>
                <w:rFonts w:hint="eastAsia"/>
                <w:color w:val="auto"/>
                <w:sz w:val="21"/>
                <w:szCs w:val="28"/>
                <w:lang w:val="en-US" w:eastAsia="zh-CN"/>
              </w:rPr>
              <w:t>。</w:t>
            </w:r>
            <w:r>
              <w:rPr>
                <w:rFonts w:hint="eastAsia" w:ascii="宋体" w:hAnsi="宋体" w:cs="宋体"/>
                <w:color w:val="auto"/>
                <w:sz w:val="21"/>
                <w:szCs w:val="28"/>
                <w:lang w:val="en-US" w:eastAsia="zh-CN"/>
              </w:rPr>
              <w:t>加油站北侧、永莘路（</w:t>
            </w:r>
            <w:r>
              <w:rPr>
                <w:rFonts w:hint="default" w:ascii="Times New Roman" w:hAnsi="Times New Roman" w:cs="Times New Roman"/>
                <w:color w:val="auto"/>
                <w:sz w:val="21"/>
                <w:szCs w:val="28"/>
                <w:lang w:val="en-US" w:eastAsia="zh-CN"/>
              </w:rPr>
              <w:t>S316</w:t>
            </w:r>
            <w:r>
              <w:rPr>
                <w:rFonts w:hint="eastAsia" w:ascii="宋体" w:hAnsi="宋体" w:cs="宋体"/>
                <w:color w:val="auto"/>
                <w:sz w:val="21"/>
                <w:szCs w:val="28"/>
                <w:lang w:val="en-US" w:eastAsia="zh-CN"/>
              </w:rPr>
              <w:t>）南侧架空电力线，加油站南侧、南二路</w:t>
            </w:r>
            <w:r>
              <w:rPr>
                <w:rFonts w:hint="default" w:ascii="Times New Roman" w:hAnsi="Times New Roman" w:cs="Times New Roman"/>
                <w:color w:val="auto"/>
                <w:sz w:val="21"/>
                <w:szCs w:val="28"/>
                <w:lang w:val="en-US" w:eastAsia="zh-CN"/>
              </w:rPr>
              <w:t>（G220）</w:t>
            </w:r>
            <w:r>
              <w:rPr>
                <w:rFonts w:hint="eastAsia" w:ascii="宋体" w:hAnsi="宋体" w:cs="宋体"/>
                <w:color w:val="auto"/>
                <w:sz w:val="21"/>
                <w:szCs w:val="28"/>
                <w:lang w:val="en-US" w:eastAsia="zh-CN"/>
              </w:rPr>
              <w:t>北侧一架空通讯线已改为埋地，其他</w:t>
            </w:r>
            <w:r>
              <w:rPr>
                <w:rFonts w:hint="eastAsia"/>
                <w:color w:val="auto"/>
                <w:sz w:val="21"/>
                <w:szCs w:val="28"/>
                <w:lang w:val="en-US" w:eastAsia="zh-CN"/>
              </w:rPr>
              <w:t>无变更。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sz w:val="21"/>
                <w:szCs w:val="28"/>
                <w:lang w:eastAsia="zh-CN"/>
              </w:rPr>
            </w:pPr>
            <w:r>
              <w:rPr>
                <w:rFonts w:hint="eastAsia"/>
                <w:sz w:val="21"/>
                <w:szCs w:val="28"/>
                <w:lang w:eastAsia="zh-CN"/>
              </w:rPr>
              <w:t>平面布置</w:t>
            </w:r>
          </w:p>
        </w:tc>
        <w:tc>
          <w:tcPr>
            <w:tcW w:w="438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default"/>
                <w:sz w:val="21"/>
                <w:szCs w:val="28"/>
                <w:lang w:val="en-US" w:eastAsia="zh-CN"/>
              </w:rPr>
            </w:pPr>
            <w:r>
              <w:rPr>
                <w:rFonts w:hint="eastAsia"/>
                <w:sz w:val="21"/>
                <w:szCs w:val="28"/>
                <w:lang w:val="en-US" w:eastAsia="zh-CN"/>
              </w:rPr>
              <w:t>出入口面向南二路（G220），分开设置。站内设施主要有加油作业区、罐区、站房、辅助用房等。</w:t>
            </w:r>
          </w:p>
        </w:tc>
        <w:tc>
          <w:tcPr>
            <w:tcW w:w="358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eastAsia"/>
                <w:sz w:val="21"/>
                <w:szCs w:val="28"/>
                <w:lang w:eastAsia="zh-CN"/>
              </w:rPr>
            </w:pPr>
            <w:r>
              <w:rPr>
                <w:rFonts w:hint="eastAsia"/>
                <w:sz w:val="21"/>
                <w:szCs w:val="28"/>
                <w:lang w:val="en-US" w:eastAsia="zh-CN"/>
              </w:rPr>
              <w:t>出入口面向南二路</w:t>
            </w:r>
            <w:r>
              <w:rPr>
                <w:rFonts w:hint="default" w:ascii="Times New Roman" w:hAnsi="Times New Roman" w:cs="Times New Roman"/>
                <w:sz w:val="21"/>
                <w:szCs w:val="28"/>
                <w:lang w:val="en-US" w:eastAsia="zh-CN"/>
              </w:rPr>
              <w:t>（G220）</w:t>
            </w:r>
            <w:r>
              <w:rPr>
                <w:rFonts w:hint="eastAsia"/>
                <w:sz w:val="21"/>
                <w:szCs w:val="28"/>
                <w:lang w:val="en-US" w:eastAsia="zh-CN"/>
              </w:rPr>
              <w:t>与永莘路</w:t>
            </w:r>
            <w:r>
              <w:rPr>
                <w:rFonts w:hint="eastAsia" w:ascii="宋体" w:hAnsi="宋体" w:cs="宋体"/>
                <w:sz w:val="21"/>
                <w:szCs w:val="28"/>
                <w:lang w:val="en-US" w:eastAsia="zh-CN"/>
              </w:rPr>
              <w:t>（</w:t>
            </w:r>
            <w:r>
              <w:rPr>
                <w:rFonts w:hint="default" w:ascii="Times New Roman" w:hAnsi="Times New Roman" w:cs="Times New Roman"/>
                <w:sz w:val="21"/>
                <w:szCs w:val="28"/>
                <w:lang w:val="en-US" w:eastAsia="zh-CN"/>
              </w:rPr>
              <w:t>S316</w:t>
            </w:r>
            <w:r>
              <w:rPr>
                <w:rFonts w:hint="eastAsia" w:ascii="宋体" w:hAnsi="宋体" w:cs="宋体"/>
                <w:sz w:val="21"/>
                <w:szCs w:val="28"/>
                <w:lang w:val="en-US" w:eastAsia="zh-CN"/>
              </w:rPr>
              <w:t>）</w:t>
            </w:r>
            <w:r>
              <w:rPr>
                <w:rFonts w:hint="eastAsia"/>
                <w:sz w:val="21"/>
                <w:szCs w:val="28"/>
                <w:lang w:val="en-US" w:eastAsia="zh-CN"/>
              </w:rPr>
              <w:t>，分开设置。站内设施主要有加油作业区、罐区、站房、辅助用房等</w:t>
            </w:r>
            <w:r>
              <w:rPr>
                <w:rFonts w:hint="eastAsia"/>
                <w:color w:val="auto"/>
                <w:sz w:val="21"/>
                <w:szCs w:val="28"/>
                <w:lang w:val="en-US" w:eastAsia="zh-CN"/>
              </w:rPr>
              <w:t>。出入口原面向南二路（G220），现在面向南二路</w:t>
            </w:r>
            <w:r>
              <w:rPr>
                <w:rFonts w:hint="default" w:ascii="Times New Roman" w:hAnsi="Times New Roman" w:cs="Times New Roman"/>
                <w:color w:val="auto"/>
                <w:sz w:val="21"/>
                <w:szCs w:val="28"/>
                <w:lang w:val="en-US" w:eastAsia="zh-CN"/>
              </w:rPr>
              <w:t>（G220）</w:t>
            </w:r>
            <w:r>
              <w:rPr>
                <w:rFonts w:hint="eastAsia"/>
                <w:color w:val="auto"/>
                <w:sz w:val="21"/>
                <w:szCs w:val="28"/>
                <w:lang w:val="en-US" w:eastAsia="zh-CN"/>
              </w:rPr>
              <w:t>与永莘路</w:t>
            </w:r>
            <w:r>
              <w:rPr>
                <w:rFonts w:hint="eastAsia" w:ascii="宋体" w:hAnsi="宋体" w:cs="宋体"/>
                <w:color w:val="auto"/>
                <w:sz w:val="21"/>
                <w:szCs w:val="28"/>
                <w:lang w:val="en-US" w:eastAsia="zh-CN"/>
              </w:rPr>
              <w:t>（</w:t>
            </w:r>
            <w:r>
              <w:rPr>
                <w:rFonts w:hint="default" w:ascii="Times New Roman" w:hAnsi="Times New Roman" w:cs="Times New Roman"/>
                <w:color w:val="auto"/>
                <w:sz w:val="21"/>
                <w:szCs w:val="28"/>
                <w:lang w:val="en-US" w:eastAsia="zh-CN"/>
              </w:rPr>
              <w:t>S316</w:t>
            </w:r>
            <w:r>
              <w:rPr>
                <w:rFonts w:hint="eastAsia" w:ascii="宋体" w:hAnsi="宋体" w:cs="宋体"/>
                <w:color w:val="auto"/>
                <w:sz w:val="21"/>
                <w:szCs w:val="28"/>
                <w:lang w:val="en-US" w:eastAsia="zh-CN"/>
              </w:rPr>
              <w:t>）</w:t>
            </w:r>
            <w:r>
              <w:rPr>
                <w:rFonts w:hint="eastAsia"/>
                <w:color w:val="auto"/>
                <w:sz w:val="21"/>
                <w:szCs w:val="28"/>
                <w:lang w:val="en-US" w:eastAsia="zh-CN"/>
              </w:rPr>
              <w:t>，其他无变更。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sz w:val="21"/>
                <w:szCs w:val="28"/>
              </w:rPr>
            </w:pPr>
            <w:r>
              <w:rPr>
                <w:rFonts w:ascii="Times New Roman"/>
                <w:sz w:val="21"/>
                <w:szCs w:val="28"/>
              </w:rPr>
              <w:t>设备设施及土建</w:t>
            </w:r>
          </w:p>
        </w:tc>
        <w:tc>
          <w:tcPr>
            <w:tcW w:w="438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default" w:ascii="Times New Roman" w:eastAsia="宋体"/>
                <w:sz w:val="21"/>
                <w:szCs w:val="28"/>
                <w:lang w:val="en-US" w:eastAsia="zh-CN"/>
              </w:rPr>
            </w:pPr>
            <w:r>
              <w:rPr>
                <w:rFonts w:hint="default"/>
                <w:sz w:val="21"/>
                <w:szCs w:val="28"/>
                <w:lang w:eastAsia="zh-CN"/>
              </w:rPr>
              <w:t>埋地卧式双层储罐有</w:t>
            </w:r>
            <w:r>
              <w:rPr>
                <w:rFonts w:hint="eastAsia"/>
                <w:sz w:val="21"/>
                <w:szCs w:val="28"/>
                <w:lang w:val="en-US" w:eastAsia="zh-CN"/>
              </w:rPr>
              <w:t>6</w:t>
            </w:r>
            <w:r>
              <w:rPr>
                <w:rFonts w:hint="default"/>
                <w:sz w:val="21"/>
                <w:szCs w:val="28"/>
                <w:lang w:eastAsia="zh-CN"/>
              </w:rPr>
              <w:t>台，其中</w:t>
            </w:r>
            <w:r>
              <w:rPr>
                <w:rFonts w:hint="eastAsia"/>
                <w:sz w:val="21"/>
                <w:szCs w:val="28"/>
                <w:lang w:val="en-US" w:eastAsia="zh-CN"/>
              </w:rPr>
              <w:t>4</w:t>
            </w:r>
            <w:r>
              <w:rPr>
                <w:rFonts w:hint="default"/>
                <w:sz w:val="21"/>
                <w:szCs w:val="28"/>
                <w:lang w:eastAsia="zh-CN"/>
              </w:rPr>
              <w:t>台</w:t>
            </w:r>
            <w:r>
              <w:rPr>
                <w:rFonts w:hint="eastAsia"/>
                <w:sz w:val="21"/>
                <w:szCs w:val="28"/>
                <w:lang w:val="en-US" w:eastAsia="zh-CN"/>
              </w:rPr>
              <w:t>35</w:t>
            </w:r>
            <w:r>
              <w:rPr>
                <w:rFonts w:hint="default"/>
                <w:sz w:val="21"/>
                <w:szCs w:val="28"/>
                <w:lang w:eastAsia="zh-CN"/>
              </w:rPr>
              <w:t>m</w:t>
            </w:r>
            <w:r>
              <w:rPr>
                <w:rFonts w:hint="default"/>
                <w:sz w:val="21"/>
                <w:szCs w:val="28"/>
                <w:vertAlign w:val="superscript"/>
                <w:lang w:eastAsia="zh-CN"/>
              </w:rPr>
              <w:t>3</w:t>
            </w:r>
            <w:r>
              <w:rPr>
                <w:rFonts w:hint="default"/>
                <w:sz w:val="21"/>
                <w:szCs w:val="28"/>
                <w:lang w:eastAsia="zh-CN"/>
              </w:rPr>
              <w:t>埋地</w:t>
            </w:r>
            <w:r>
              <w:rPr>
                <w:rFonts w:hint="eastAsia"/>
                <w:sz w:val="21"/>
                <w:szCs w:val="28"/>
                <w:lang w:eastAsia="zh-CN"/>
              </w:rPr>
              <w:t>汽油</w:t>
            </w:r>
            <w:r>
              <w:rPr>
                <w:rFonts w:hint="default"/>
                <w:sz w:val="21"/>
                <w:szCs w:val="28"/>
                <w:lang w:eastAsia="zh-CN"/>
              </w:rPr>
              <w:t>储罐，</w:t>
            </w:r>
            <w:r>
              <w:rPr>
                <w:rFonts w:hint="eastAsia"/>
                <w:sz w:val="21"/>
                <w:szCs w:val="28"/>
                <w:lang w:val="en-US" w:eastAsia="zh-CN"/>
              </w:rPr>
              <w:t>2</w:t>
            </w:r>
            <w:r>
              <w:rPr>
                <w:rFonts w:hint="default"/>
                <w:sz w:val="21"/>
                <w:szCs w:val="28"/>
                <w:lang w:eastAsia="zh-CN"/>
              </w:rPr>
              <w:t>台</w:t>
            </w:r>
            <w:r>
              <w:rPr>
                <w:rFonts w:hint="eastAsia"/>
                <w:sz w:val="21"/>
                <w:szCs w:val="28"/>
                <w:lang w:val="en-US" w:eastAsia="zh-CN"/>
              </w:rPr>
              <w:t>35</w:t>
            </w:r>
            <w:r>
              <w:rPr>
                <w:rFonts w:hint="default"/>
                <w:sz w:val="21"/>
                <w:szCs w:val="28"/>
                <w:lang w:eastAsia="zh-CN"/>
              </w:rPr>
              <w:t>m</w:t>
            </w:r>
            <w:r>
              <w:rPr>
                <w:rFonts w:hint="default"/>
                <w:sz w:val="21"/>
                <w:szCs w:val="28"/>
                <w:vertAlign w:val="superscript"/>
                <w:lang w:eastAsia="zh-CN"/>
              </w:rPr>
              <w:t>3</w:t>
            </w:r>
            <w:r>
              <w:rPr>
                <w:rFonts w:hint="default"/>
                <w:sz w:val="21"/>
                <w:szCs w:val="28"/>
                <w:lang w:eastAsia="zh-CN"/>
              </w:rPr>
              <w:t>埋地</w:t>
            </w:r>
            <w:r>
              <w:rPr>
                <w:rFonts w:hint="eastAsia"/>
                <w:sz w:val="21"/>
                <w:szCs w:val="28"/>
                <w:lang w:eastAsia="zh-CN"/>
              </w:rPr>
              <w:t>柴油</w:t>
            </w:r>
            <w:r>
              <w:rPr>
                <w:rFonts w:hint="default"/>
                <w:sz w:val="21"/>
                <w:szCs w:val="28"/>
                <w:lang w:eastAsia="zh-CN"/>
              </w:rPr>
              <w:t>储罐</w:t>
            </w:r>
            <w:r>
              <w:rPr>
                <w:rFonts w:hint="eastAsia"/>
                <w:sz w:val="21"/>
                <w:szCs w:val="28"/>
                <w:lang w:eastAsia="zh-CN"/>
              </w:rPr>
              <w:t>。</w:t>
            </w:r>
          </w:p>
        </w:tc>
        <w:tc>
          <w:tcPr>
            <w:tcW w:w="358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default" w:ascii="Times New Roman" w:eastAsia="宋体"/>
                <w:sz w:val="21"/>
                <w:szCs w:val="28"/>
                <w:lang w:val="en-US" w:eastAsia="zh-CN"/>
              </w:rPr>
            </w:pPr>
            <w:r>
              <w:rPr>
                <w:rFonts w:hint="default" w:ascii="Times New Roman" w:hAnsi="Times New Roman" w:cs="Times New Roman"/>
                <w:color w:val="auto"/>
                <w:sz w:val="21"/>
                <w:szCs w:val="21"/>
              </w:rPr>
              <w:t>拆除原6台油罐，</w:t>
            </w:r>
            <w:r>
              <w:rPr>
                <w:rFonts w:hint="eastAsia" w:ascii="Times New Roman" w:hAnsi="Times New Roman" w:cs="Times New Roman"/>
                <w:color w:val="auto"/>
                <w:sz w:val="21"/>
                <w:szCs w:val="21"/>
                <w:lang w:val="en-US" w:eastAsia="zh-CN"/>
              </w:rPr>
              <w:t>在原罐区位置</w:t>
            </w:r>
            <w:r>
              <w:rPr>
                <w:rFonts w:hint="default" w:ascii="Times New Roman" w:hAnsi="Times New Roman" w:cs="Times New Roman"/>
                <w:color w:val="auto"/>
                <w:sz w:val="21"/>
                <w:szCs w:val="21"/>
              </w:rPr>
              <w:t>新建埋地卧式双层储罐</w:t>
            </w:r>
            <w:r>
              <w:rPr>
                <w:rFonts w:hint="eastAsia" w:cs="Times New Roman"/>
                <w:color w:val="auto"/>
                <w:sz w:val="21"/>
                <w:szCs w:val="21"/>
                <w:lang w:val="en-US" w:eastAsia="zh-CN"/>
              </w:rPr>
              <w:t>5</w:t>
            </w:r>
            <w:r>
              <w:rPr>
                <w:rFonts w:hint="default" w:ascii="Times New Roman" w:hAnsi="Times New Roman" w:cs="Times New Roman"/>
                <w:color w:val="auto"/>
                <w:sz w:val="21"/>
                <w:szCs w:val="21"/>
              </w:rPr>
              <w:t>台，其中</w:t>
            </w:r>
            <w:r>
              <w:rPr>
                <w:rFonts w:hint="eastAsia" w:cs="Times New Roman"/>
                <w:color w:val="auto"/>
                <w:sz w:val="21"/>
                <w:szCs w:val="21"/>
                <w:lang w:val="en-US" w:eastAsia="zh-CN"/>
              </w:rPr>
              <w:t>3</w:t>
            </w:r>
            <w:r>
              <w:rPr>
                <w:rFonts w:hint="default" w:ascii="Times New Roman" w:hAnsi="Times New Roman" w:cs="Times New Roman"/>
                <w:color w:val="auto"/>
                <w:sz w:val="21"/>
                <w:szCs w:val="21"/>
              </w:rPr>
              <w:t>台</w:t>
            </w:r>
            <w:r>
              <w:rPr>
                <w:rFonts w:hint="eastAsia" w:cs="Times New Roman"/>
                <w:color w:val="auto"/>
                <w:sz w:val="21"/>
                <w:szCs w:val="21"/>
                <w:lang w:val="en-US" w:eastAsia="zh-CN"/>
              </w:rPr>
              <w:t>5</w:t>
            </w:r>
            <w:r>
              <w:rPr>
                <w:rFonts w:hint="default" w:ascii="Times New Roman" w:hAnsi="Times New Roman" w:cs="Times New Roman"/>
                <w:color w:val="auto"/>
                <w:sz w:val="21"/>
                <w:szCs w:val="21"/>
              </w:rPr>
              <w:t>0m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埋地</w:t>
            </w:r>
            <w:r>
              <w:rPr>
                <w:rFonts w:hint="eastAsia" w:cs="Times New Roman"/>
                <w:color w:val="auto"/>
                <w:sz w:val="21"/>
                <w:szCs w:val="21"/>
                <w:lang w:eastAsia="zh-CN"/>
              </w:rPr>
              <w:t>汽油</w:t>
            </w:r>
            <w:r>
              <w:rPr>
                <w:rFonts w:hint="default" w:ascii="Times New Roman" w:hAnsi="Times New Roman" w:cs="Times New Roman"/>
                <w:color w:val="auto"/>
                <w:sz w:val="21"/>
                <w:szCs w:val="21"/>
              </w:rPr>
              <w:t>储罐，</w:t>
            </w:r>
            <w:r>
              <w:rPr>
                <w:rFonts w:hint="eastAsia" w:cs="Times New Roman"/>
                <w:color w:val="auto"/>
                <w:sz w:val="21"/>
                <w:szCs w:val="21"/>
                <w:lang w:val="en-US" w:eastAsia="zh-CN"/>
              </w:rPr>
              <w:t>2</w:t>
            </w:r>
            <w:r>
              <w:rPr>
                <w:rFonts w:hint="default" w:ascii="Times New Roman" w:hAnsi="Times New Roman" w:cs="Times New Roman"/>
                <w:color w:val="auto"/>
                <w:sz w:val="21"/>
                <w:szCs w:val="21"/>
              </w:rPr>
              <w:t>台</w:t>
            </w:r>
            <w:r>
              <w:rPr>
                <w:rFonts w:hint="eastAsia" w:cs="Times New Roman"/>
                <w:color w:val="auto"/>
                <w:sz w:val="21"/>
                <w:szCs w:val="21"/>
                <w:lang w:val="en-US" w:eastAsia="zh-CN"/>
              </w:rPr>
              <w:t>5</w:t>
            </w:r>
            <w:r>
              <w:rPr>
                <w:rFonts w:hint="default" w:ascii="Times New Roman" w:hAnsi="Times New Roman" w:cs="Times New Roman"/>
                <w:color w:val="auto"/>
                <w:sz w:val="21"/>
                <w:szCs w:val="21"/>
              </w:rPr>
              <w:t>0m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埋地</w:t>
            </w:r>
            <w:r>
              <w:rPr>
                <w:rFonts w:hint="eastAsia" w:cs="Times New Roman"/>
                <w:color w:val="auto"/>
                <w:sz w:val="21"/>
                <w:szCs w:val="21"/>
                <w:lang w:eastAsia="zh-CN"/>
              </w:rPr>
              <w:t>柴油</w:t>
            </w:r>
            <w:r>
              <w:rPr>
                <w:rFonts w:hint="default" w:ascii="Times New Roman" w:hAnsi="Times New Roman" w:cs="Times New Roman"/>
                <w:color w:val="auto"/>
                <w:sz w:val="21"/>
                <w:szCs w:val="21"/>
              </w:rPr>
              <w:t>储罐</w:t>
            </w:r>
            <w:r>
              <w:rPr>
                <w:rFonts w:hint="eastAsia" w:cs="Times New Roman"/>
                <w:color w:val="auto"/>
                <w:sz w:val="21"/>
                <w:szCs w:val="21"/>
                <w:lang w:eastAsia="zh-CN"/>
              </w:rPr>
              <w:t>，罐池向南、向西各延伸0.5m；</w:t>
            </w:r>
            <w:r>
              <w:rPr>
                <w:rFonts w:hint="default" w:ascii="Times New Roman" w:hAnsi="Times New Roman" w:cs="Times New Roman"/>
                <w:color w:val="auto"/>
                <w:sz w:val="21"/>
                <w:szCs w:val="21"/>
                <w:lang w:eastAsia="zh-CN"/>
              </w:rPr>
              <w:t>通气管</w:t>
            </w:r>
            <w:r>
              <w:rPr>
                <w:rFonts w:hint="eastAsia" w:cs="Times New Roman"/>
                <w:color w:val="auto"/>
                <w:sz w:val="21"/>
                <w:szCs w:val="21"/>
                <w:lang w:val="en-US" w:eastAsia="zh-CN"/>
              </w:rPr>
              <w:t>重新</w:t>
            </w:r>
            <w:r>
              <w:rPr>
                <w:rFonts w:hint="default" w:ascii="Times New Roman" w:hAnsi="Times New Roman" w:cs="Times New Roman"/>
                <w:color w:val="auto"/>
                <w:sz w:val="21"/>
                <w:szCs w:val="21"/>
                <w:lang w:eastAsia="zh-CN"/>
              </w:rPr>
              <w:t>进行</w:t>
            </w:r>
            <w:r>
              <w:rPr>
                <w:rFonts w:hint="eastAsia" w:cs="Times New Roman"/>
                <w:color w:val="auto"/>
                <w:sz w:val="21"/>
                <w:szCs w:val="21"/>
                <w:lang w:eastAsia="zh-CN"/>
              </w:rPr>
              <w:t>了更换</w:t>
            </w:r>
            <w:r>
              <w:rPr>
                <w:rFonts w:hint="eastAsia" w:cs="Times New Roman"/>
                <w:color w:val="auto"/>
                <w:sz w:val="21"/>
                <w:szCs w:val="21"/>
                <w:lang w:val="en-US" w:eastAsia="zh-CN"/>
              </w:rPr>
              <w:t>，卸油口利旧；加油作业区原8台加油机（已停用1台），现拆除1台加油机，目前在用6台加油机。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sz w:val="21"/>
                <w:szCs w:val="28"/>
              </w:rPr>
            </w:pPr>
            <w:r>
              <w:rPr>
                <w:rFonts w:ascii="Times New Roman"/>
                <w:sz w:val="21"/>
                <w:szCs w:val="28"/>
              </w:rPr>
              <w:t>工艺管道及仪表流程</w:t>
            </w:r>
          </w:p>
        </w:tc>
        <w:tc>
          <w:tcPr>
            <w:tcW w:w="438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default"/>
                <w:sz w:val="21"/>
                <w:szCs w:val="28"/>
                <w:lang w:val="en-US" w:eastAsia="zh-CN"/>
              </w:rPr>
            </w:pPr>
            <w:r>
              <w:rPr>
                <w:rFonts w:hint="eastAsia"/>
                <w:sz w:val="21"/>
                <w:szCs w:val="28"/>
                <w:lang w:val="en-US" w:eastAsia="zh-CN"/>
              </w:rPr>
              <w:t>油罐区最南侧汽油罐（原6号汽油罐）输油管线直接接入加油作业区南排最东侧加油机。</w:t>
            </w:r>
          </w:p>
        </w:tc>
        <w:tc>
          <w:tcPr>
            <w:tcW w:w="358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eastAsia"/>
                <w:sz w:val="21"/>
                <w:szCs w:val="28"/>
                <w:lang w:val="en-US" w:eastAsia="zh-CN"/>
              </w:rPr>
            </w:pPr>
            <w:r>
              <w:rPr>
                <w:rFonts w:hint="eastAsia"/>
                <w:sz w:val="21"/>
                <w:szCs w:val="28"/>
                <w:lang w:val="en-US" w:eastAsia="zh-CN"/>
              </w:rPr>
              <w:t>油罐区最南侧汽油罐（原6号汽油罐）至加油作业区南排最东侧加油机管线已拆除，其余管线依托原有，无变更。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ascii="Times New Roman" w:eastAsia="宋体"/>
                <w:sz w:val="21"/>
                <w:szCs w:val="28"/>
                <w:lang w:eastAsia="zh-CN"/>
              </w:rPr>
            </w:pPr>
            <w:r>
              <w:rPr>
                <w:rFonts w:hint="eastAsia" w:ascii="Times New Roman"/>
                <w:sz w:val="21"/>
                <w:szCs w:val="28"/>
                <w:lang w:eastAsia="zh-CN"/>
              </w:rPr>
              <w:t>安全管理</w:t>
            </w:r>
          </w:p>
        </w:tc>
        <w:tc>
          <w:tcPr>
            <w:tcW w:w="4383" w:type="dxa"/>
            <w:noWrap w:val="0"/>
            <w:vAlign w:val="center"/>
          </w:tcPr>
          <w:p>
            <w:pPr>
              <w:pStyle w:val="9"/>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hint="default" w:ascii="Times New Roman" w:eastAsia="宋体"/>
                <w:sz w:val="21"/>
                <w:lang w:val="en-US" w:eastAsia="zh-CN"/>
              </w:rPr>
            </w:pPr>
            <w:r>
              <w:rPr>
                <w:rFonts w:hint="eastAsia" w:ascii="Times New Roman"/>
                <w:sz w:val="21"/>
                <w:lang w:eastAsia="zh-CN"/>
              </w:rPr>
              <w:t>主要负责人为王凯，安全管理人员</w:t>
            </w:r>
            <w:r>
              <w:rPr>
                <w:rFonts w:hint="eastAsia"/>
                <w:sz w:val="21"/>
                <w:lang w:eastAsia="zh-CN"/>
              </w:rPr>
              <w:t>李占娥、许真真</w:t>
            </w:r>
            <w:r>
              <w:rPr>
                <w:rFonts w:hint="eastAsia" w:ascii="Times New Roman"/>
                <w:sz w:val="21"/>
                <w:lang w:eastAsia="zh-CN"/>
              </w:rPr>
              <w:t>。</w:t>
            </w:r>
          </w:p>
        </w:tc>
        <w:tc>
          <w:tcPr>
            <w:tcW w:w="358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94" w:beforeLines="20" w:after="94" w:afterLines="20" w:line="240" w:lineRule="auto"/>
              <w:ind w:firstLine="0" w:firstLineChars="0"/>
              <w:jc w:val="left"/>
              <w:textAlignment w:val="auto"/>
              <w:rPr>
                <w:rFonts w:hint="eastAsia" w:ascii="Times New Roman" w:eastAsia="宋体"/>
                <w:sz w:val="21"/>
                <w:szCs w:val="28"/>
                <w:lang w:eastAsia="zh-CN"/>
              </w:rPr>
            </w:pPr>
            <w:r>
              <w:rPr>
                <w:rFonts w:hint="eastAsia" w:ascii="Times New Roman"/>
                <w:sz w:val="21"/>
                <w:szCs w:val="28"/>
                <w:lang w:eastAsia="zh-CN"/>
              </w:rPr>
              <w:t>主要负责人为王凯，安全管理人员</w:t>
            </w:r>
            <w:r>
              <w:rPr>
                <w:rFonts w:hint="eastAsia"/>
                <w:sz w:val="21"/>
                <w:szCs w:val="28"/>
                <w:lang w:eastAsia="zh-CN"/>
              </w:rPr>
              <w:t>韩延方、许真真</w:t>
            </w:r>
            <w:r>
              <w:rPr>
                <w:rFonts w:hint="eastAsia" w:ascii="Times New Roman"/>
                <w:sz w:val="21"/>
                <w:szCs w:val="28"/>
                <w:lang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firstLine="560" w:firstLineChars="200"/>
        <w:textAlignment w:val="auto"/>
        <w:rPr>
          <w:rFonts w:hint="default" w:ascii="Times New Roman" w:hAnsi="Times New Roman" w:cs="Times New Roman"/>
          <w:color w:val="auto"/>
          <w:sz w:val="28"/>
        </w:rPr>
      </w:pPr>
      <w:r>
        <w:rPr>
          <w:rFonts w:hint="default" w:ascii="Times New Roman" w:hAnsi="Times New Roman" w:cs="Times New Roman"/>
          <w:color w:val="auto"/>
          <w:sz w:val="28"/>
        </w:rPr>
        <w:t>该加油中心涉及的站房、罩棚、变压器等均未发生变化，</w:t>
      </w:r>
      <w:r>
        <w:rPr>
          <w:rFonts w:hint="eastAsia" w:cs="Times New Roman"/>
          <w:color w:val="auto"/>
          <w:sz w:val="28"/>
          <w:lang w:val="en-US" w:eastAsia="zh-CN"/>
        </w:rPr>
        <w:t>依托原有设施，</w:t>
      </w:r>
      <w:r>
        <w:rPr>
          <w:rFonts w:hint="default" w:ascii="Times New Roman" w:hAnsi="Times New Roman" w:cs="Times New Roman"/>
          <w:color w:val="auto"/>
          <w:sz w:val="28"/>
        </w:rPr>
        <w:t>仅对其匹配性进行分析</w:t>
      </w:r>
      <w:r>
        <w:rPr>
          <w:rFonts w:hint="eastAsia" w:cs="Times New Roman"/>
          <w:color w:val="auto"/>
          <w:sz w:val="28"/>
          <w:lang w:eastAsia="zh-CN"/>
        </w:rPr>
        <w:t>。</w:t>
      </w:r>
      <w:r>
        <w:rPr>
          <w:rFonts w:hint="default" w:ascii="Times New Roman" w:hAnsi="Times New Roman" w:cs="Times New Roman"/>
          <w:color w:val="auto"/>
          <w:sz w:val="28"/>
        </w:rPr>
        <w:t>凡涉及该项目的环保评价、职业卫生评价、地质地震评价、办公生活设施、</w:t>
      </w:r>
      <w:r>
        <w:rPr>
          <w:rFonts w:hint="default" w:ascii="Times New Roman" w:hAnsi="Times New Roman" w:cs="Times New Roman"/>
          <w:color w:val="auto"/>
          <w:sz w:val="28"/>
          <w:lang w:eastAsia="zh-CN"/>
        </w:rPr>
        <w:t>站</w:t>
      </w:r>
      <w:r>
        <w:rPr>
          <w:rFonts w:hint="default" w:ascii="Times New Roman" w:hAnsi="Times New Roman" w:cs="Times New Roman"/>
          <w:color w:val="auto"/>
          <w:sz w:val="28"/>
        </w:rPr>
        <w:t>外运输及输送、</w:t>
      </w:r>
      <w:r>
        <w:rPr>
          <w:rFonts w:hint="default" w:ascii="Times New Roman" w:hAnsi="Times New Roman" w:cs="Times New Roman"/>
          <w:color w:val="auto"/>
          <w:sz w:val="28"/>
          <w:lang w:eastAsia="zh-CN"/>
        </w:rPr>
        <w:t>站区</w:t>
      </w:r>
      <w:r>
        <w:rPr>
          <w:rFonts w:hint="default" w:ascii="Times New Roman" w:hAnsi="Times New Roman" w:cs="Times New Roman"/>
          <w:color w:val="auto"/>
          <w:sz w:val="28"/>
        </w:rPr>
        <w:t>内其它设施等，则应执行国家有关规定和相关标准，不在本次评价范围内。涉及消防、防雷及强制检验设施等以相关的专业评价或鉴定结论为主。</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color w:val="auto"/>
          <w:sz w:val="28"/>
          <w:szCs w:val="28"/>
        </w:rPr>
      </w:pPr>
      <w:bookmarkStart w:id="9" w:name="_Toc7402"/>
      <w:r>
        <w:rPr>
          <w:rFonts w:hint="default" w:ascii="Times New Roman" w:hAnsi="Times New Roman" w:cs="Times New Roman" w:eastAsiaTheme="minorEastAsia"/>
          <w:b/>
          <w:bCs w:val="0"/>
          <w:color w:val="auto"/>
          <w:sz w:val="28"/>
          <w:szCs w:val="28"/>
        </w:rPr>
        <w:t>1.4 评价程序</w:t>
      </w:r>
      <w:bookmarkEnd w:id="9"/>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本次安全设施竣工验收评价工作程序如图1</w:t>
      </w:r>
      <w:r>
        <w:rPr>
          <w:rFonts w:hint="default" w:ascii="Times New Roman" w:hAnsi="Times New Roman" w:cs="Times New Roman" w:eastAsiaTheme="minorEastAsia"/>
          <w:color w:val="auto"/>
          <w:szCs w:val="28"/>
          <w:lang w:val="en-US" w:eastAsia="zh-CN"/>
        </w:rPr>
        <w:t>.4</w:t>
      </w:r>
      <w:r>
        <w:rPr>
          <w:rFonts w:hint="default" w:ascii="Times New Roman" w:hAnsi="Times New Roman" w:cs="Times New Roman" w:eastAsiaTheme="minorEastAsia"/>
          <w:color w:val="auto"/>
          <w:szCs w:val="28"/>
        </w:rPr>
        <w:t>-1所示。</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评价工作大体可分为三个阶段：第一阶段为准备阶段，主要收集有关资料，进行初步的工程分析和危险、有害因素识别，选择评价方法；第二阶段为实施评价阶段，对工程安全情况进行现场调查，运用合适的评价方法进行分析评价，提出安全对策措施；第三阶段为报告书的编制阶段，主要是汇总第一、第二阶段所得到的各种资料、数据，通过综合分析，提出评价结论与建议，完成安全设施竣工验收评价报告书的编制。</w:t>
      </w:r>
    </w:p>
    <w:p>
      <w:pPr>
        <w:pStyle w:val="2"/>
        <w:ind w:firstLine="560"/>
        <w:rPr>
          <w:rFonts w:hint="default" w:ascii="Times New Roman" w:hAnsi="Times New Roman" w:cs="Times New Roman"/>
          <w:color w:val="auto"/>
          <w:lang w:val="en-US"/>
        </w:rPr>
      </w:pPr>
      <w:r>
        <w:rPr>
          <w:rFonts w:hint="default" w:ascii="Times New Roman" w:hAnsi="Times New Roman" w:cs="Times New Roman" w:eastAsiaTheme="minorEastAsia"/>
          <w:color w:val="auto"/>
        </w:rPr>
        <mc:AlternateContent>
          <mc:Choice Requires="wpg">
            <w:drawing>
              <wp:anchor distT="0" distB="0" distL="114300" distR="114300" simplePos="0" relativeHeight="251661312" behindDoc="0" locked="0" layoutInCell="1" allowOverlap="1">
                <wp:simplePos x="0" y="0"/>
                <wp:positionH relativeFrom="column">
                  <wp:posOffset>1793240</wp:posOffset>
                </wp:positionH>
                <wp:positionV relativeFrom="paragraph">
                  <wp:posOffset>270510</wp:posOffset>
                </wp:positionV>
                <wp:extent cx="2095500" cy="3790950"/>
                <wp:effectExtent l="4445" t="5080" r="14605" b="13970"/>
                <wp:wrapNone/>
                <wp:docPr id="59" name="组合 59"/>
                <wp:cNvGraphicFramePr/>
                <a:graphic xmlns:a="http://schemas.openxmlformats.org/drawingml/2006/main">
                  <a:graphicData uri="http://schemas.microsoft.com/office/word/2010/wordprocessingGroup">
                    <wpg:wgp>
                      <wpg:cNvGrpSpPr/>
                      <wpg:grpSpPr>
                        <a:xfrm>
                          <a:off x="0" y="0"/>
                          <a:ext cx="2095500" cy="3790950"/>
                          <a:chOff x="4260" y="8975"/>
                          <a:chExt cx="3360" cy="6195"/>
                        </a:xfrm>
                        <a:effectLst/>
                      </wpg:grpSpPr>
                      <wps:wsp>
                        <wps:cNvPr id="60" name="Text Box 3"/>
                        <wps:cNvSpPr txBox="1">
                          <a:spLocks noChangeArrowheads="1"/>
                        </wps:cNvSpPr>
                        <wps:spPr bwMode="auto">
                          <a:xfrm>
                            <a:off x="4260" y="14757"/>
                            <a:ext cx="3360" cy="413"/>
                          </a:xfrm>
                          <a:prstGeom prst="rect">
                            <a:avLst/>
                          </a:prstGeom>
                          <a:solidFill>
                            <a:srgbClr val="FFFFFF"/>
                          </a:solidFill>
                          <a:ln w="9525">
                            <a:solidFill>
                              <a:srgbClr val="000000"/>
                            </a:solidFill>
                            <a:miter lim="800000"/>
                          </a:ln>
                          <a:effectLst/>
                        </wps:spPr>
                        <wps:txbx>
                          <w:txbxContent>
                            <w:p>
                              <w:pPr>
                                <w:adjustRightInd w:val="0"/>
                                <w:snapToGrid w:val="0"/>
                                <w:spacing w:line="240" w:lineRule="auto"/>
                                <w:ind w:firstLine="0" w:firstLineChars="0"/>
                                <w:jc w:val="center"/>
                                <w:rPr>
                                  <w:sz w:val="21"/>
                                </w:rPr>
                              </w:pPr>
                              <w:r>
                                <w:rPr>
                                  <w:rFonts w:hint="eastAsia"/>
                                  <w:sz w:val="21"/>
                                </w:rPr>
                                <w:t>编制安全验收评价报告</w:t>
                              </w:r>
                            </w:p>
                          </w:txbxContent>
                        </wps:txbx>
                        <wps:bodyPr rot="0" vert="horz" wrap="square" lIns="91440" tIns="45720" rIns="91440" bIns="45720" anchor="t" anchorCtr="0" upright="1">
                          <a:noAutofit/>
                        </wps:bodyPr>
                      </wps:wsp>
                      <wps:wsp>
                        <wps:cNvPr id="67" name="Rectangle 4"/>
                        <wps:cNvSpPr>
                          <a:spLocks noChangeArrowheads="1"/>
                        </wps:cNvSpPr>
                        <wps:spPr bwMode="auto">
                          <a:xfrm>
                            <a:off x="4260" y="8975"/>
                            <a:ext cx="3360" cy="413"/>
                          </a:xfrm>
                          <a:prstGeom prst="rect">
                            <a:avLst/>
                          </a:prstGeom>
                          <a:solidFill>
                            <a:srgbClr val="FFFFFF"/>
                          </a:solidFill>
                          <a:ln w="9525">
                            <a:solidFill>
                              <a:srgbClr val="000000"/>
                            </a:solidFill>
                            <a:miter lim="800000"/>
                          </a:ln>
                          <a:effectLst/>
                        </wps:spPr>
                        <wps:txbx>
                          <w:txbxContent>
                            <w:p>
                              <w:pPr>
                                <w:adjustRightInd w:val="0"/>
                                <w:snapToGrid w:val="0"/>
                                <w:spacing w:line="240" w:lineRule="auto"/>
                                <w:ind w:firstLine="0" w:firstLineChars="0"/>
                                <w:jc w:val="center"/>
                                <w:rPr>
                                  <w:sz w:val="21"/>
                                </w:rPr>
                              </w:pPr>
                              <w:r>
                                <w:rPr>
                                  <w:rFonts w:hint="eastAsia"/>
                                  <w:sz w:val="21"/>
                                </w:rPr>
                                <w:t>前期准备</w:t>
                              </w:r>
                            </w:p>
                          </w:txbxContent>
                        </wps:txbx>
                        <wps:bodyPr rot="0" vert="horz" wrap="square" lIns="91440" tIns="45720" rIns="91440" bIns="45720" anchor="t" anchorCtr="0" upright="1">
                          <a:noAutofit/>
                        </wps:bodyPr>
                      </wps:wsp>
                      <wps:wsp>
                        <wps:cNvPr id="74" name="Line 5"/>
                        <wps:cNvCnPr/>
                        <wps:spPr bwMode="auto">
                          <a:xfrm>
                            <a:off x="5940" y="9387"/>
                            <a:ext cx="0" cy="413"/>
                          </a:xfrm>
                          <a:prstGeom prst="line">
                            <a:avLst/>
                          </a:prstGeom>
                          <a:noFill/>
                          <a:ln w="9525">
                            <a:solidFill>
                              <a:srgbClr val="000000"/>
                            </a:solidFill>
                            <a:round/>
                            <a:tailEnd type="triangle" w="med" len="med"/>
                          </a:ln>
                          <a:effectLst/>
                        </wps:spPr>
                        <wps:bodyPr/>
                      </wps:wsp>
                      <wps:wsp>
                        <wps:cNvPr id="75" name="Rectangle 6"/>
                        <wps:cNvSpPr>
                          <a:spLocks noChangeArrowheads="1"/>
                        </wps:cNvSpPr>
                        <wps:spPr bwMode="auto">
                          <a:xfrm>
                            <a:off x="4260" y="10627"/>
                            <a:ext cx="3360" cy="413"/>
                          </a:xfrm>
                          <a:prstGeom prst="rect">
                            <a:avLst/>
                          </a:prstGeom>
                          <a:solidFill>
                            <a:srgbClr val="FFFFFF"/>
                          </a:solidFill>
                          <a:ln w="9525">
                            <a:solidFill>
                              <a:srgbClr val="000000"/>
                            </a:solidFill>
                            <a:miter lim="800000"/>
                          </a:ln>
                          <a:effectLst/>
                        </wps:spPr>
                        <wps:txbx>
                          <w:txbxContent>
                            <w:p>
                              <w:pPr>
                                <w:adjustRightInd w:val="0"/>
                                <w:snapToGrid w:val="0"/>
                                <w:spacing w:line="240" w:lineRule="auto"/>
                                <w:ind w:firstLine="0" w:firstLineChars="0"/>
                                <w:jc w:val="center"/>
                                <w:rPr>
                                  <w:sz w:val="21"/>
                                </w:rPr>
                              </w:pPr>
                              <w:r>
                                <w:rPr>
                                  <w:rFonts w:hint="eastAsia"/>
                                  <w:sz w:val="21"/>
                                </w:rPr>
                                <w:t>划分评价单元</w:t>
                              </w:r>
                            </w:p>
                          </w:txbxContent>
                        </wps:txbx>
                        <wps:bodyPr rot="0" vert="horz" wrap="square" lIns="91440" tIns="45720" rIns="91440" bIns="45720" anchor="t" anchorCtr="0" upright="1">
                          <a:noAutofit/>
                        </wps:bodyPr>
                      </wps:wsp>
                      <wps:wsp>
                        <wps:cNvPr id="84" name="Rectangle 7"/>
                        <wps:cNvSpPr>
                          <a:spLocks noChangeArrowheads="1"/>
                        </wps:cNvSpPr>
                        <wps:spPr bwMode="auto">
                          <a:xfrm>
                            <a:off x="4290" y="11453"/>
                            <a:ext cx="3330" cy="413"/>
                          </a:xfrm>
                          <a:prstGeom prst="rect">
                            <a:avLst/>
                          </a:prstGeom>
                          <a:solidFill>
                            <a:srgbClr val="FFFFFF"/>
                          </a:solidFill>
                          <a:ln w="9525">
                            <a:solidFill>
                              <a:srgbClr val="000000"/>
                            </a:solidFill>
                            <a:miter lim="800000"/>
                          </a:ln>
                          <a:effectLst/>
                        </wps:spPr>
                        <wps:txbx>
                          <w:txbxContent>
                            <w:p>
                              <w:pPr>
                                <w:adjustRightInd w:val="0"/>
                                <w:snapToGrid w:val="0"/>
                                <w:spacing w:line="240" w:lineRule="auto"/>
                                <w:ind w:firstLine="0" w:firstLineChars="0"/>
                                <w:jc w:val="center"/>
                                <w:rPr>
                                  <w:sz w:val="21"/>
                                </w:rPr>
                              </w:pPr>
                              <w:r>
                                <w:rPr>
                                  <w:rFonts w:hint="eastAsia"/>
                                  <w:sz w:val="21"/>
                                </w:rPr>
                                <w:t>选择评价方法</w:t>
                              </w:r>
                            </w:p>
                          </w:txbxContent>
                        </wps:txbx>
                        <wps:bodyPr rot="0" vert="horz" wrap="square" lIns="91440" tIns="45720" rIns="91440" bIns="45720" anchor="t" anchorCtr="0" upright="1">
                          <a:noAutofit/>
                        </wps:bodyPr>
                      </wps:wsp>
                      <wps:wsp>
                        <wps:cNvPr id="85" name="Line 8"/>
                        <wps:cNvCnPr/>
                        <wps:spPr bwMode="auto">
                          <a:xfrm>
                            <a:off x="5940" y="10214"/>
                            <a:ext cx="0" cy="413"/>
                          </a:xfrm>
                          <a:prstGeom prst="line">
                            <a:avLst/>
                          </a:prstGeom>
                          <a:noFill/>
                          <a:ln w="9525">
                            <a:solidFill>
                              <a:srgbClr val="000000"/>
                            </a:solidFill>
                            <a:round/>
                            <a:tailEnd type="triangle" w="med" len="med"/>
                          </a:ln>
                          <a:effectLst/>
                        </wps:spPr>
                        <wps:bodyPr/>
                      </wps:wsp>
                      <wps:wsp>
                        <wps:cNvPr id="87" name="Line 9"/>
                        <wps:cNvCnPr/>
                        <wps:spPr bwMode="auto">
                          <a:xfrm>
                            <a:off x="5940" y="11040"/>
                            <a:ext cx="0" cy="413"/>
                          </a:xfrm>
                          <a:prstGeom prst="line">
                            <a:avLst/>
                          </a:prstGeom>
                          <a:noFill/>
                          <a:ln w="9525">
                            <a:solidFill>
                              <a:srgbClr val="000000"/>
                            </a:solidFill>
                            <a:round/>
                            <a:tailEnd type="triangle" w="med" len="med"/>
                          </a:ln>
                          <a:effectLst/>
                        </wps:spPr>
                        <wps:bodyPr/>
                      </wps:wsp>
                      <wps:wsp>
                        <wps:cNvPr id="97" name="Line 10"/>
                        <wps:cNvCnPr/>
                        <wps:spPr bwMode="auto">
                          <a:xfrm>
                            <a:off x="5940" y="11866"/>
                            <a:ext cx="0" cy="413"/>
                          </a:xfrm>
                          <a:prstGeom prst="line">
                            <a:avLst/>
                          </a:prstGeom>
                          <a:noFill/>
                          <a:ln w="9525">
                            <a:solidFill>
                              <a:srgbClr val="000000"/>
                            </a:solidFill>
                            <a:round/>
                            <a:tailEnd type="triangle" w="med" len="med"/>
                          </a:ln>
                          <a:effectLst/>
                        </wps:spPr>
                        <wps:bodyPr/>
                      </wps:wsp>
                      <wps:wsp>
                        <wps:cNvPr id="98" name="Rectangle 11"/>
                        <wps:cNvSpPr>
                          <a:spLocks noChangeArrowheads="1"/>
                        </wps:cNvSpPr>
                        <wps:spPr bwMode="auto">
                          <a:xfrm>
                            <a:off x="4260" y="12279"/>
                            <a:ext cx="3360" cy="413"/>
                          </a:xfrm>
                          <a:prstGeom prst="rect">
                            <a:avLst/>
                          </a:prstGeom>
                          <a:solidFill>
                            <a:srgbClr val="FFFFFF"/>
                          </a:solidFill>
                          <a:ln w="9525">
                            <a:solidFill>
                              <a:srgbClr val="000000"/>
                            </a:solidFill>
                            <a:miter lim="800000"/>
                          </a:ln>
                          <a:effectLst/>
                        </wps:spPr>
                        <wps:txbx>
                          <w:txbxContent>
                            <w:p>
                              <w:pPr>
                                <w:adjustRightInd w:val="0"/>
                                <w:snapToGrid w:val="0"/>
                                <w:spacing w:line="240" w:lineRule="auto"/>
                                <w:ind w:firstLine="0" w:firstLineChars="0"/>
                                <w:jc w:val="center"/>
                                <w:rPr>
                                  <w:sz w:val="21"/>
                                </w:rPr>
                              </w:pPr>
                              <w:r>
                                <w:rPr>
                                  <w:rFonts w:hint="eastAsia"/>
                                  <w:sz w:val="21"/>
                                </w:rPr>
                                <w:t>定性、定量评价</w:t>
                              </w:r>
                            </w:p>
                          </w:txbxContent>
                        </wps:txbx>
                        <wps:bodyPr rot="0" vert="horz" wrap="square" lIns="91440" tIns="45720" rIns="91440" bIns="45720" anchor="t" anchorCtr="0" upright="1">
                          <a:noAutofit/>
                        </wps:bodyPr>
                      </wps:wsp>
                      <wps:wsp>
                        <wps:cNvPr id="105" name="Line 12"/>
                        <wps:cNvCnPr/>
                        <wps:spPr bwMode="auto">
                          <a:xfrm>
                            <a:off x="5940" y="12691"/>
                            <a:ext cx="0" cy="413"/>
                          </a:xfrm>
                          <a:prstGeom prst="line">
                            <a:avLst/>
                          </a:prstGeom>
                          <a:noFill/>
                          <a:ln w="9525">
                            <a:solidFill>
                              <a:srgbClr val="000000"/>
                            </a:solidFill>
                            <a:round/>
                            <a:tailEnd type="triangle" w="med" len="med"/>
                          </a:ln>
                          <a:effectLst/>
                        </wps:spPr>
                        <wps:bodyPr/>
                      </wps:wsp>
                      <wps:wsp>
                        <wps:cNvPr id="106" name="Rectangle 13"/>
                        <wps:cNvSpPr>
                          <a:spLocks noChangeArrowheads="1"/>
                        </wps:cNvSpPr>
                        <wps:spPr bwMode="auto">
                          <a:xfrm>
                            <a:off x="4260" y="13104"/>
                            <a:ext cx="3360" cy="413"/>
                          </a:xfrm>
                          <a:prstGeom prst="rect">
                            <a:avLst/>
                          </a:prstGeom>
                          <a:solidFill>
                            <a:srgbClr val="FFFFFF"/>
                          </a:solidFill>
                          <a:ln w="9525">
                            <a:solidFill>
                              <a:srgbClr val="000000"/>
                            </a:solidFill>
                            <a:miter lim="800000"/>
                          </a:ln>
                          <a:effectLst/>
                        </wps:spPr>
                        <wps:txbx>
                          <w:txbxContent>
                            <w:p>
                              <w:pPr>
                                <w:adjustRightInd w:val="0"/>
                                <w:snapToGrid w:val="0"/>
                                <w:spacing w:line="240" w:lineRule="auto"/>
                                <w:ind w:firstLine="0" w:firstLineChars="0"/>
                                <w:jc w:val="center"/>
                                <w:rPr>
                                  <w:sz w:val="21"/>
                                </w:rPr>
                              </w:pPr>
                              <w:r>
                                <w:rPr>
                                  <w:rFonts w:hint="eastAsia"/>
                                  <w:sz w:val="21"/>
                                </w:rPr>
                                <w:t>提出安全对策措施及建议</w:t>
                              </w:r>
                            </w:p>
                          </w:txbxContent>
                        </wps:txbx>
                        <wps:bodyPr rot="0" vert="horz" wrap="square" lIns="91440" tIns="45720" rIns="91440" bIns="45720" anchor="t" anchorCtr="0" upright="1">
                          <a:noAutofit/>
                        </wps:bodyPr>
                      </wps:wsp>
                      <wps:wsp>
                        <wps:cNvPr id="107" name="Line 14"/>
                        <wps:cNvCnPr/>
                        <wps:spPr bwMode="auto">
                          <a:xfrm>
                            <a:off x="5940" y="13518"/>
                            <a:ext cx="0" cy="413"/>
                          </a:xfrm>
                          <a:prstGeom prst="line">
                            <a:avLst/>
                          </a:prstGeom>
                          <a:noFill/>
                          <a:ln w="9525">
                            <a:solidFill>
                              <a:srgbClr val="000000"/>
                            </a:solidFill>
                            <a:round/>
                            <a:tailEnd type="triangle" w="med" len="med"/>
                          </a:ln>
                          <a:effectLst/>
                        </wps:spPr>
                        <wps:bodyPr/>
                      </wps:wsp>
                      <wps:wsp>
                        <wps:cNvPr id="108" name="Rectangle 15"/>
                        <wps:cNvSpPr>
                          <a:spLocks noChangeArrowheads="1"/>
                        </wps:cNvSpPr>
                        <wps:spPr bwMode="auto">
                          <a:xfrm>
                            <a:off x="4260" y="13931"/>
                            <a:ext cx="3360" cy="413"/>
                          </a:xfrm>
                          <a:prstGeom prst="rect">
                            <a:avLst/>
                          </a:prstGeom>
                          <a:solidFill>
                            <a:srgbClr val="FFFFFF"/>
                          </a:solidFill>
                          <a:ln w="9525">
                            <a:solidFill>
                              <a:srgbClr val="000000"/>
                            </a:solidFill>
                            <a:miter lim="800000"/>
                          </a:ln>
                          <a:effectLst/>
                        </wps:spPr>
                        <wps:txbx>
                          <w:txbxContent>
                            <w:p>
                              <w:pPr>
                                <w:adjustRightInd w:val="0"/>
                                <w:snapToGrid w:val="0"/>
                                <w:spacing w:line="240" w:lineRule="auto"/>
                                <w:ind w:firstLine="0" w:firstLineChars="0"/>
                                <w:jc w:val="center"/>
                                <w:rPr>
                                  <w:sz w:val="21"/>
                                </w:rPr>
                              </w:pPr>
                              <w:r>
                                <w:rPr>
                                  <w:rFonts w:hint="eastAsia"/>
                                  <w:sz w:val="21"/>
                                </w:rPr>
                                <w:t>做出评价结论</w:t>
                              </w:r>
                            </w:p>
                          </w:txbxContent>
                        </wps:txbx>
                        <wps:bodyPr rot="0" vert="horz" wrap="square" lIns="91440" tIns="45720" rIns="91440" bIns="45720" anchor="t" anchorCtr="0" upright="1">
                          <a:noAutofit/>
                        </wps:bodyPr>
                      </wps:wsp>
                      <wps:wsp>
                        <wps:cNvPr id="109" name="Line 16"/>
                        <wps:cNvCnPr/>
                        <wps:spPr bwMode="auto">
                          <a:xfrm>
                            <a:off x="5940" y="14344"/>
                            <a:ext cx="0" cy="413"/>
                          </a:xfrm>
                          <a:prstGeom prst="line">
                            <a:avLst/>
                          </a:prstGeom>
                          <a:noFill/>
                          <a:ln w="9525">
                            <a:solidFill>
                              <a:srgbClr val="000000"/>
                            </a:solidFill>
                            <a:round/>
                            <a:tailEnd type="triangle" w="med" len="med"/>
                          </a:ln>
                          <a:effectLst/>
                        </wps:spPr>
                        <wps:bodyPr/>
                      </wps:wsp>
                      <wps:wsp>
                        <wps:cNvPr id="110" name="Rectangle 17"/>
                        <wps:cNvSpPr>
                          <a:spLocks noChangeArrowheads="1"/>
                        </wps:cNvSpPr>
                        <wps:spPr bwMode="auto">
                          <a:xfrm>
                            <a:off x="4260" y="9801"/>
                            <a:ext cx="3360" cy="413"/>
                          </a:xfrm>
                          <a:prstGeom prst="rect">
                            <a:avLst/>
                          </a:prstGeom>
                          <a:solidFill>
                            <a:srgbClr val="FFFFFF"/>
                          </a:solidFill>
                          <a:ln w="9525">
                            <a:solidFill>
                              <a:srgbClr val="000000"/>
                            </a:solidFill>
                            <a:miter lim="800000"/>
                          </a:ln>
                          <a:effectLst/>
                        </wps:spPr>
                        <wps:txbx>
                          <w:txbxContent>
                            <w:p>
                              <w:pPr>
                                <w:adjustRightInd w:val="0"/>
                                <w:snapToGrid w:val="0"/>
                                <w:spacing w:line="240" w:lineRule="auto"/>
                                <w:ind w:firstLine="0" w:firstLineChars="0"/>
                                <w:jc w:val="center"/>
                                <w:rPr>
                                  <w:sz w:val="21"/>
                                </w:rPr>
                              </w:pPr>
                              <w:r>
                                <w:rPr>
                                  <w:rFonts w:hint="eastAsia"/>
                                  <w:sz w:val="21"/>
                                </w:rPr>
                                <w:t>辨识与分析危险、有害因素</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141.2pt;margin-top:21.3pt;height:298.5pt;width:165pt;z-index:251661312;mso-width-relative:page;mso-height-relative:page;" coordorigin="4260,8975" coordsize="3360,6195" o:gfxdata="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dk3yl9kA&#10;AAAKAQAADwAAAAAAAAABACAAAAAiAAAAZHJzL2Rvd25yZXYueG1sUEsBAhQAFAAAAAgAh07iQAa8&#10;74yRBAAAVCUAAA4AAAAAAAAAAQAgAAAAKAEAAGRycy9lMm9Eb2MueG1sUEsFBgAAAAAGAAYAWQEA&#10;ACsIAAAAAA==&#10;">
                <o:lock v:ext="edit" aspectratio="f"/>
                <v:shape id="Text Box 3" o:spid="_x0000_s1026" o:spt="202" type="#_x0000_t202" style="position:absolute;left:4260;top:14757;height:413;width:3360;" fillcolor="#FFFFFF" filled="t" stroked="t" coordsize="21600,21600" o:gfxdata="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UKspL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adjustRightInd w:val="0"/>
                          <w:snapToGrid w:val="0"/>
                          <w:spacing w:line="240" w:lineRule="auto"/>
                          <w:ind w:firstLine="0" w:firstLineChars="0"/>
                          <w:jc w:val="center"/>
                          <w:rPr>
                            <w:sz w:val="21"/>
                          </w:rPr>
                        </w:pPr>
                        <w:r>
                          <w:rPr>
                            <w:rFonts w:hint="eastAsia"/>
                            <w:sz w:val="21"/>
                          </w:rPr>
                          <w:t>编制安全验收评价报告</w:t>
                        </w:r>
                      </w:p>
                    </w:txbxContent>
                  </v:textbox>
                </v:shape>
                <v:rect id="Rectangle 4" o:spid="_x0000_s1026" o:spt="1" style="position:absolute;left:4260;top:8975;height:413;width:3360;" fillcolor="#FFFFFF" filled="t" stroked="t" coordsize="21600,21600" o:gfxdata="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nP1mL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adjustRightInd w:val="0"/>
                          <w:snapToGrid w:val="0"/>
                          <w:spacing w:line="240" w:lineRule="auto"/>
                          <w:ind w:firstLine="0" w:firstLineChars="0"/>
                          <w:jc w:val="center"/>
                          <w:rPr>
                            <w:sz w:val="21"/>
                          </w:rPr>
                        </w:pPr>
                        <w:r>
                          <w:rPr>
                            <w:rFonts w:hint="eastAsia"/>
                            <w:sz w:val="21"/>
                          </w:rPr>
                          <w:t>前期准备</w:t>
                        </w:r>
                      </w:p>
                    </w:txbxContent>
                  </v:textbox>
                </v:rect>
                <v:line id="Line 5" o:spid="_x0000_s1026" o:spt="20" style="position:absolute;left:5940;top:9387;height:413;width:0;" filled="f" stroked="t" coordsize="21600,21600" o:gfxdata="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tNHw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Rectangle 6" o:spid="_x0000_s1026" o:spt="1" style="position:absolute;left:4260;top:10627;height:413;width:3360;" fillcolor="#FFFFFF" filled="t" stroked="t" coordsize="21600,21600" o:gfxdata="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NFip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adjustRightInd w:val="0"/>
                          <w:snapToGrid w:val="0"/>
                          <w:spacing w:line="240" w:lineRule="auto"/>
                          <w:ind w:firstLine="0" w:firstLineChars="0"/>
                          <w:jc w:val="center"/>
                          <w:rPr>
                            <w:sz w:val="21"/>
                          </w:rPr>
                        </w:pPr>
                        <w:r>
                          <w:rPr>
                            <w:rFonts w:hint="eastAsia"/>
                            <w:sz w:val="21"/>
                          </w:rPr>
                          <w:t>划分评价单元</w:t>
                        </w:r>
                      </w:p>
                    </w:txbxContent>
                  </v:textbox>
                </v:rect>
                <v:rect id="Rectangle 7" o:spid="_x0000_s1026" o:spt="1" style="position:absolute;left:4290;top:11453;height:413;width:3330;" fillcolor="#FFFFFF" filled="t" stroked="t" coordsize="21600,21600" o:gfxdata="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q2NFb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adjustRightInd w:val="0"/>
                          <w:snapToGrid w:val="0"/>
                          <w:spacing w:line="240" w:lineRule="auto"/>
                          <w:ind w:firstLine="0" w:firstLineChars="0"/>
                          <w:jc w:val="center"/>
                          <w:rPr>
                            <w:sz w:val="21"/>
                          </w:rPr>
                        </w:pPr>
                        <w:r>
                          <w:rPr>
                            <w:rFonts w:hint="eastAsia"/>
                            <w:sz w:val="21"/>
                          </w:rPr>
                          <w:t>选择评价方法</w:t>
                        </w:r>
                      </w:p>
                    </w:txbxContent>
                  </v:textbox>
                </v:rect>
                <v:line id="Line 8" o:spid="_x0000_s1026" o:spt="20" style="position:absolute;left:5940;top:10214;height:413;width:0;" filled="f" stroked="t" coordsize="21600,21600" o:gfxdata="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HUyrS/&#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9" o:spid="_x0000_s1026" o:spt="20" style="position:absolute;left:5940;top:11040;height:413;width:0;" filled="f" stroked="t" coordsize="21600,21600" o:gfxdata="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5K8V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0" o:spid="_x0000_s1026" o:spt="20" style="position:absolute;left:5940;top:11866;height:413;width:0;" filled="f" stroked="t" coordsize="21600,21600" o:gfxdata="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TZ4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Rectangle 11" o:spid="_x0000_s1026" o:spt="1" style="position:absolute;left:4260;top:12279;height:413;width:3360;" fillcolor="#FFFFFF" filled="t" stroked="t" coordsize="21600,21600" o:gfxdata="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Y5Ec25AAAA2wAA&#10;AA8AAAAAAAAAAQAgAAAAIgAAAGRycy9kb3ducmV2LnhtbFBLAQIUABQAAAAIAIdO4kAzLwWeOwAA&#10;ADkAAAAQAAAAAAAAAAEAIAAAAAgBAABkcnMvc2hhcGV4bWwueG1sUEsFBgAAAAAGAAYAWwEAALID&#10;AAAAAA==&#10;">
                  <v:fill on="t" focussize="0,0"/>
                  <v:stroke color="#000000" miterlimit="8" joinstyle="miter"/>
                  <v:imagedata o:title=""/>
                  <o:lock v:ext="edit" aspectratio="f"/>
                  <v:textbox>
                    <w:txbxContent>
                      <w:p>
                        <w:pPr>
                          <w:adjustRightInd w:val="0"/>
                          <w:snapToGrid w:val="0"/>
                          <w:spacing w:line="240" w:lineRule="auto"/>
                          <w:ind w:firstLine="0" w:firstLineChars="0"/>
                          <w:jc w:val="center"/>
                          <w:rPr>
                            <w:sz w:val="21"/>
                          </w:rPr>
                        </w:pPr>
                        <w:r>
                          <w:rPr>
                            <w:rFonts w:hint="eastAsia"/>
                            <w:sz w:val="21"/>
                          </w:rPr>
                          <w:t>定性、定量评价</w:t>
                        </w:r>
                      </w:p>
                    </w:txbxContent>
                  </v:textbox>
                </v:rect>
                <v:line id="Line 12" o:spid="_x0000_s1026" o:spt="20" style="position:absolute;left:5940;top:12691;height:413;width:0;" filled="f" stroked="t" coordsize="21600,21600" o:gfxdata="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yl0u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Rectangle 13" o:spid="_x0000_s1026" o:spt="1" style="position:absolute;left:4260;top:13104;height:413;width:3360;"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adjustRightInd w:val="0"/>
                          <w:snapToGrid w:val="0"/>
                          <w:spacing w:line="240" w:lineRule="auto"/>
                          <w:ind w:firstLine="0" w:firstLineChars="0"/>
                          <w:jc w:val="center"/>
                          <w:rPr>
                            <w:sz w:val="21"/>
                          </w:rPr>
                        </w:pPr>
                        <w:r>
                          <w:rPr>
                            <w:rFonts w:hint="eastAsia"/>
                            <w:sz w:val="21"/>
                          </w:rPr>
                          <w:t>提出安全对策措施及建议</w:t>
                        </w:r>
                      </w:p>
                    </w:txbxContent>
                  </v:textbox>
                </v:rect>
                <v:line id="Line 14" o:spid="_x0000_s1026" o:spt="20" style="position:absolute;left:5940;top:13518;height:413;width:0;" filled="f" stroked="t" coordsize="21600,21600" o:gfxdata="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VGbC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Rectangle 15" o:spid="_x0000_s1026" o:spt="1" style="position:absolute;left:4260;top:13931;height:413;width:3360;" fillcolor="#FFFFFF" filled="t" stroked="t" coordsize="21600,21600" o:gfxdata="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3QZ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adjustRightInd w:val="0"/>
                          <w:snapToGrid w:val="0"/>
                          <w:spacing w:line="240" w:lineRule="auto"/>
                          <w:ind w:firstLine="0" w:firstLineChars="0"/>
                          <w:jc w:val="center"/>
                          <w:rPr>
                            <w:sz w:val="21"/>
                          </w:rPr>
                        </w:pPr>
                        <w:r>
                          <w:rPr>
                            <w:rFonts w:hint="eastAsia"/>
                            <w:sz w:val="21"/>
                          </w:rPr>
                          <w:t>做出评价结论</w:t>
                        </w:r>
                      </w:p>
                    </w:txbxContent>
                  </v:textbox>
                </v:rect>
                <v:line id="Line 16" o:spid="_x0000_s1026" o:spt="20" style="position:absolute;left:5940;top:14344;height:413;width:0;" filled="f" stroked="t" coordsize="21600,21600" o:gfxdata="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h1cr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Rectangle 17" o:spid="_x0000_s1026" o:spt="1" style="position:absolute;left:4260;top:9801;height:413;width:3360;" fillcolor="#FFFFFF" filled="t" stroked="t" coordsize="21600,21600" o:gfxdata="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Sjuwr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adjustRightInd w:val="0"/>
                          <w:snapToGrid w:val="0"/>
                          <w:spacing w:line="240" w:lineRule="auto"/>
                          <w:ind w:firstLine="0" w:firstLineChars="0"/>
                          <w:jc w:val="center"/>
                          <w:rPr>
                            <w:sz w:val="21"/>
                          </w:rPr>
                        </w:pPr>
                        <w:r>
                          <w:rPr>
                            <w:rFonts w:hint="eastAsia"/>
                            <w:sz w:val="21"/>
                          </w:rPr>
                          <w:t>辨识与分析危险、有害因素</w:t>
                        </w:r>
                      </w:p>
                    </w:txbxContent>
                  </v:textbox>
                </v:rect>
              </v:group>
            </w:pict>
          </mc:Fallback>
        </mc:AlternateContent>
      </w:r>
      <w:r>
        <w:rPr>
          <w:rFonts w:hint="eastAsia" w:cs="Times New Roman"/>
          <w:color w:val="auto"/>
          <w:lang w:val="en-US" w:eastAsia="zh-CN"/>
        </w:rPr>
        <w:t xml:space="preserve">   </w:t>
      </w:r>
    </w:p>
    <w:p>
      <w:pPr>
        <w:adjustRightInd w:val="0"/>
        <w:snapToGrid w:val="0"/>
        <w:ind w:firstLine="560"/>
        <w:rPr>
          <w:rFonts w:hint="default" w:ascii="Times New Roman" w:hAnsi="Times New Roman" w:cs="Times New Roman" w:eastAsiaTheme="minorEastAsia"/>
          <w:snapToGrid w:val="0"/>
          <w:color w:val="auto"/>
          <w:szCs w:val="28"/>
          <w:lang w:val="en-US" w:eastAsia="zh-CN"/>
        </w:rPr>
      </w:pPr>
      <w:r>
        <w:rPr>
          <w:rFonts w:hint="eastAsia" w:cs="Times New Roman" w:eastAsiaTheme="minorEastAsia"/>
          <w:snapToGrid w:val="0"/>
          <w:color w:val="auto"/>
          <w:szCs w:val="28"/>
          <w:lang w:val="en-US" w:eastAsia="zh-CN"/>
        </w:rPr>
        <w:t xml:space="preserve">   </w:t>
      </w:r>
    </w:p>
    <w:p>
      <w:pPr>
        <w:adjustRightInd w:val="0"/>
        <w:snapToGrid w:val="0"/>
        <w:ind w:firstLine="560"/>
        <w:rPr>
          <w:rFonts w:hint="default" w:ascii="Times New Roman" w:hAnsi="Times New Roman" w:cs="Times New Roman" w:eastAsiaTheme="minorEastAsia"/>
          <w:snapToGrid w:val="0"/>
          <w:color w:val="auto"/>
          <w:szCs w:val="28"/>
        </w:rPr>
      </w:pPr>
    </w:p>
    <w:p>
      <w:pPr>
        <w:adjustRightInd w:val="0"/>
        <w:snapToGrid w:val="0"/>
        <w:ind w:firstLine="560"/>
        <w:rPr>
          <w:rFonts w:hint="default" w:ascii="Times New Roman" w:hAnsi="Times New Roman" w:cs="Times New Roman" w:eastAsiaTheme="minorEastAsia"/>
          <w:snapToGrid w:val="0"/>
          <w:color w:val="auto"/>
          <w:szCs w:val="28"/>
          <w:lang w:val="en-US" w:eastAsia="zh-CN"/>
        </w:rPr>
      </w:pPr>
      <w:r>
        <w:rPr>
          <w:rFonts w:hint="eastAsia" w:cs="Times New Roman" w:eastAsiaTheme="minorEastAsia"/>
          <w:snapToGrid w:val="0"/>
          <w:color w:val="auto"/>
          <w:szCs w:val="28"/>
          <w:lang w:val="en-US" w:eastAsia="zh-CN"/>
        </w:rPr>
        <w:t xml:space="preserve">  </w:t>
      </w:r>
    </w:p>
    <w:p>
      <w:pPr>
        <w:adjustRightInd w:val="0"/>
        <w:snapToGrid w:val="0"/>
        <w:ind w:firstLine="560"/>
        <w:rPr>
          <w:rFonts w:hint="default" w:ascii="Times New Roman" w:hAnsi="Times New Roman" w:cs="Times New Roman" w:eastAsiaTheme="minorEastAsia"/>
          <w:snapToGrid w:val="0"/>
          <w:color w:val="auto"/>
          <w:szCs w:val="28"/>
        </w:rPr>
      </w:pPr>
    </w:p>
    <w:p>
      <w:pPr>
        <w:adjustRightInd w:val="0"/>
        <w:snapToGrid w:val="0"/>
        <w:ind w:firstLine="560"/>
        <w:rPr>
          <w:rFonts w:hint="default" w:ascii="Times New Roman" w:hAnsi="Times New Roman" w:cs="Times New Roman" w:eastAsiaTheme="minorEastAsia"/>
          <w:snapToGrid w:val="0"/>
          <w:color w:val="auto"/>
          <w:szCs w:val="28"/>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rPr>
          <w:rFonts w:hint="default" w:ascii="Times New Roman" w:hAnsi="Times New Roman" w:cs="Times New Roman" w:eastAsiaTheme="minorEastAsia"/>
          <w:b/>
          <w:color w:val="auto"/>
          <w:sz w:val="24"/>
        </w:rPr>
      </w:pPr>
    </w:p>
    <w:p>
      <w:pPr>
        <w:ind w:firstLine="0" w:firstLineChars="0"/>
        <w:jc w:val="center"/>
        <w:rPr>
          <w:rFonts w:hint="default" w:ascii="Times New Roman" w:hAnsi="Times New Roman" w:cs="Times New Roman" w:eastAsiaTheme="minorEastAsia"/>
          <w:b/>
          <w:color w:val="auto"/>
          <w:sz w:val="24"/>
        </w:rPr>
      </w:pPr>
    </w:p>
    <w:p>
      <w:pPr>
        <w:pStyle w:val="2"/>
        <w:ind w:firstLine="560"/>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val="0"/>
        <w:snapToGrid w:val="0"/>
        <w:spacing w:before="157" w:beforeLines="50"/>
        <w:ind w:firstLine="0" w:firstLineChars="0"/>
        <w:jc w:val="center"/>
        <w:textAlignment w:val="auto"/>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b/>
          <w:bCs/>
          <w:color w:val="auto"/>
          <w:sz w:val="24"/>
          <w:szCs w:val="24"/>
        </w:rPr>
        <w:t>图1</w:t>
      </w:r>
      <w:r>
        <w:rPr>
          <w:rFonts w:hint="default" w:ascii="Times New Roman" w:hAnsi="Times New Roman" w:cs="Times New Roman" w:eastAsiaTheme="minorEastAsia"/>
          <w:b/>
          <w:bCs/>
          <w:color w:val="auto"/>
          <w:sz w:val="24"/>
          <w:szCs w:val="24"/>
          <w:lang w:val="en-US" w:eastAsia="zh-CN"/>
        </w:rPr>
        <w:t>.4</w:t>
      </w:r>
      <w:r>
        <w:rPr>
          <w:rFonts w:hint="default" w:ascii="Times New Roman" w:hAnsi="Times New Roman" w:cs="Times New Roman" w:eastAsiaTheme="minorEastAsia"/>
          <w:b/>
          <w:bCs/>
          <w:color w:val="auto"/>
          <w:sz w:val="24"/>
          <w:szCs w:val="24"/>
        </w:rPr>
        <w:t>-1 评价程序框图</w:t>
      </w:r>
    </w:p>
    <w:p>
      <w:pPr>
        <w:pStyle w:val="3"/>
        <w:pageBreakBefore w:val="0"/>
        <w:kinsoku/>
        <w:wordWrap/>
        <w:topLinePunct w:val="0"/>
        <w:bidi w:val="0"/>
        <w:adjustRightInd w:val="0"/>
        <w:snapToGrid w:val="0"/>
        <w:spacing w:before="156" w:after="156" w:line="520" w:lineRule="exact"/>
        <w:jc w:val="both"/>
        <w:rPr>
          <w:rFonts w:hint="default" w:ascii="Times New Roman" w:hAnsi="Times New Roman" w:cs="Times New Roman" w:eastAsiaTheme="minorEastAsia"/>
          <w:color w:val="auto"/>
        </w:rPr>
        <w:sectPr>
          <w:footerReference r:id="rId13" w:type="default"/>
          <w:pgSz w:w="11906" w:h="16838"/>
          <w:pgMar w:top="1417" w:right="1417" w:bottom="1417" w:left="1417" w:header="964"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3"/>
        <w:pageBreakBefore w:val="0"/>
        <w:widowControl w:val="0"/>
        <w:kinsoku/>
        <w:wordWrap/>
        <w:overflowPunct/>
        <w:topLinePunct w:val="0"/>
        <w:bidi w:val="0"/>
        <w:adjustRightInd w:val="0"/>
        <w:snapToGrid w:val="0"/>
        <w:spacing w:beforeLines="0" w:afterLines="0" w:line="360" w:lineRule="auto"/>
        <w:ind w:firstLine="723"/>
        <w:textAlignment w:val="auto"/>
        <w:rPr>
          <w:rFonts w:hint="default" w:ascii="Times New Roman" w:hAnsi="Times New Roman" w:cs="Times New Roman" w:eastAsiaTheme="minorEastAsia"/>
          <w:color w:val="auto"/>
          <w:sz w:val="32"/>
          <w:szCs w:val="32"/>
        </w:rPr>
      </w:pPr>
      <w:bookmarkStart w:id="10" w:name="_Toc17877"/>
      <w:r>
        <w:rPr>
          <w:rFonts w:hint="default" w:ascii="Times New Roman" w:hAnsi="Times New Roman" w:cs="Times New Roman" w:eastAsiaTheme="minorEastAsia"/>
          <w:color w:val="auto"/>
          <w:sz w:val="32"/>
          <w:szCs w:val="32"/>
        </w:rPr>
        <w:t>2 建设项目概况</w:t>
      </w:r>
      <w:bookmarkEnd w:id="10"/>
    </w:p>
    <w:p>
      <w:pPr>
        <w:pStyle w:val="4"/>
        <w:pageBreakBefore w:val="0"/>
        <w:widowControl w:val="0"/>
        <w:kinsoku/>
        <w:wordWrap/>
        <w:overflowPunct/>
        <w:topLinePunct w:val="0"/>
        <w:bidi w:val="0"/>
        <w:adjustRightInd w:val="0"/>
        <w:snapToGrid w:val="0"/>
        <w:spacing w:beforeLines="0" w:afterLines="0" w:line="360" w:lineRule="auto"/>
        <w:textAlignment w:val="auto"/>
        <w:rPr>
          <w:rFonts w:hint="default" w:ascii="Times New Roman" w:hAnsi="Times New Roman" w:cs="Times New Roman" w:eastAsiaTheme="minorEastAsia"/>
          <w:color w:val="auto"/>
          <w:sz w:val="28"/>
          <w:szCs w:val="28"/>
        </w:rPr>
      </w:pPr>
      <w:bookmarkStart w:id="11" w:name="_Toc6210"/>
      <w:r>
        <w:rPr>
          <w:rFonts w:hint="default" w:ascii="Times New Roman" w:hAnsi="Times New Roman" w:cs="Times New Roman" w:eastAsiaTheme="minorEastAsia"/>
          <w:b/>
          <w:bCs w:val="0"/>
          <w:color w:val="auto"/>
          <w:sz w:val="28"/>
          <w:szCs w:val="28"/>
        </w:rPr>
        <w:t>2.1 建设单位基本情况</w:t>
      </w:r>
      <w:bookmarkEnd w:id="11"/>
    </w:p>
    <w:p>
      <w:pPr>
        <w:pStyle w:val="5"/>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2.1.1 建设单位简介</w:t>
      </w:r>
    </w:p>
    <w:p>
      <w:pPr>
        <w:pageBreakBefore w:val="0"/>
        <w:widowControl w:val="0"/>
        <w:kinsoku/>
        <w:wordWrap/>
        <w:overflowPunct/>
        <w:topLinePunct w:val="0"/>
        <w:bidi w:val="0"/>
        <w:adjustRightInd w:val="0"/>
        <w:snapToGrid w:val="0"/>
        <w:spacing w:line="360" w:lineRule="auto"/>
        <w:ind w:firstLine="562"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b/>
          <w:bCs/>
          <w:color w:val="auto"/>
          <w:szCs w:val="28"/>
        </w:rPr>
        <w:t>单位名称</w:t>
      </w:r>
      <w:r>
        <w:rPr>
          <w:rFonts w:hint="default" w:ascii="Times New Roman" w:hAnsi="Times New Roman" w:cs="Times New Roman" w:eastAsiaTheme="minorEastAsia"/>
          <w:color w:val="auto"/>
          <w:szCs w:val="28"/>
          <w:lang w:eastAsia="zh-CN"/>
        </w:rPr>
        <w:t>：</w:t>
      </w:r>
      <w:r>
        <w:rPr>
          <w:rFonts w:hint="eastAsia" w:cs="Times New Roman" w:eastAsiaTheme="minorEastAsia"/>
          <w:color w:val="auto"/>
          <w:szCs w:val="28"/>
          <w:lang w:eastAsia="zh-CN"/>
        </w:rPr>
        <w:t>山东万通集团垦利金顺油品有限公司第六加油中心</w:t>
      </w:r>
    </w:p>
    <w:p>
      <w:pPr>
        <w:pageBreakBefore w:val="0"/>
        <w:widowControl w:val="0"/>
        <w:kinsoku/>
        <w:wordWrap/>
        <w:overflowPunct/>
        <w:topLinePunct w:val="0"/>
        <w:bidi w:val="0"/>
        <w:adjustRightInd w:val="0"/>
        <w:snapToGrid w:val="0"/>
        <w:spacing w:line="360" w:lineRule="auto"/>
        <w:ind w:firstLine="562"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b/>
          <w:bCs/>
          <w:color w:val="auto"/>
          <w:szCs w:val="28"/>
        </w:rPr>
        <w:t>单位类型</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有限责任公司分公司</w:t>
      </w:r>
    </w:p>
    <w:p>
      <w:pPr>
        <w:pageBreakBefore w:val="0"/>
        <w:widowControl w:val="0"/>
        <w:kinsoku/>
        <w:wordWrap/>
        <w:overflowPunct/>
        <w:topLinePunct w:val="0"/>
        <w:bidi w:val="0"/>
        <w:adjustRightInd w:val="0"/>
        <w:snapToGrid w:val="0"/>
        <w:spacing w:line="360" w:lineRule="auto"/>
        <w:ind w:firstLine="562" w:firstLineChars="200"/>
        <w:textAlignment w:val="auto"/>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b/>
          <w:bCs/>
          <w:color w:val="auto"/>
          <w:szCs w:val="28"/>
        </w:rPr>
        <w:t>单位地址</w:t>
      </w:r>
      <w:r>
        <w:rPr>
          <w:rFonts w:hint="default" w:ascii="Times New Roman" w:hAnsi="Times New Roman" w:cs="Times New Roman" w:eastAsiaTheme="minorEastAsia"/>
          <w:b/>
          <w:bCs/>
          <w:color w:val="auto"/>
          <w:szCs w:val="28"/>
          <w:lang w:eastAsia="zh-CN"/>
        </w:rPr>
        <w:t>：</w:t>
      </w:r>
      <w:r>
        <w:rPr>
          <w:rFonts w:hint="eastAsia" w:cs="Times New Roman" w:eastAsiaTheme="minorEastAsia"/>
          <w:color w:val="auto"/>
          <w:szCs w:val="28"/>
          <w:lang w:eastAsia="zh-CN"/>
        </w:rPr>
        <w:t>东营市垦利区董集镇利津黄河大桥以东、永莘路南侧</w:t>
      </w:r>
    </w:p>
    <w:p>
      <w:pPr>
        <w:pageBreakBefore w:val="0"/>
        <w:widowControl w:val="0"/>
        <w:kinsoku/>
        <w:wordWrap/>
        <w:overflowPunct/>
        <w:topLinePunct w:val="0"/>
        <w:bidi w:val="0"/>
        <w:adjustRightInd w:val="0"/>
        <w:snapToGrid w:val="0"/>
        <w:spacing w:line="360" w:lineRule="auto"/>
        <w:ind w:firstLine="562" w:firstLineChars="200"/>
        <w:textAlignment w:val="auto"/>
        <w:rPr>
          <w:rFonts w:hint="default" w:ascii="Times New Roman" w:hAnsi="Times New Roman" w:cs="Times New Roman" w:eastAsiaTheme="minorEastAsia"/>
          <w:color w:val="auto"/>
          <w:szCs w:val="28"/>
          <w:lang w:val="en-US" w:eastAsia="zh-CN"/>
        </w:rPr>
      </w:pPr>
      <w:r>
        <w:rPr>
          <w:rFonts w:hint="eastAsia" w:cs="Times New Roman" w:eastAsiaTheme="minorEastAsia"/>
          <w:b/>
          <w:bCs/>
          <w:color w:val="auto"/>
          <w:szCs w:val="28"/>
          <w:lang w:val="en-US" w:eastAsia="zh-CN"/>
        </w:rPr>
        <w:t>主要</w:t>
      </w:r>
      <w:r>
        <w:rPr>
          <w:rFonts w:hint="default" w:ascii="Times New Roman" w:hAnsi="Times New Roman" w:cs="Times New Roman" w:eastAsiaTheme="minorEastAsia"/>
          <w:b/>
          <w:bCs/>
          <w:color w:val="auto"/>
          <w:szCs w:val="28"/>
        </w:rPr>
        <w:t>负责人</w:t>
      </w:r>
      <w:r>
        <w:rPr>
          <w:rFonts w:hint="default" w:ascii="Times New Roman" w:hAnsi="Times New Roman" w:cs="Times New Roman" w:eastAsiaTheme="minorEastAsia"/>
          <w:b/>
          <w:bCs/>
          <w:color w:val="auto"/>
          <w:szCs w:val="28"/>
          <w:lang w:eastAsia="zh-CN"/>
        </w:rPr>
        <w:t>：</w:t>
      </w:r>
      <w:r>
        <w:rPr>
          <w:rFonts w:hint="eastAsia" w:cs="Times New Roman" w:eastAsiaTheme="minorEastAsia"/>
          <w:color w:val="auto"/>
          <w:szCs w:val="28"/>
          <w:lang w:val="en-US" w:eastAsia="zh-CN"/>
        </w:rPr>
        <w:t>王凯</w:t>
      </w:r>
    </w:p>
    <w:p>
      <w:pPr>
        <w:pStyle w:val="5"/>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2.1.2 建设单位概况</w:t>
      </w:r>
    </w:p>
    <w:p>
      <w:pPr>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Cs w:val="28"/>
          <w:lang w:val="pt-BR"/>
        </w:rPr>
      </w:pPr>
      <w:r>
        <w:rPr>
          <w:rFonts w:hint="default" w:ascii="Times New Roman" w:hAnsi="Times New Roman" w:cs="Times New Roman" w:eastAsiaTheme="minorEastAsia"/>
          <w:color w:val="auto"/>
          <w:szCs w:val="28"/>
        </w:rPr>
        <w:t>本项目建设单位为</w:t>
      </w:r>
      <w:r>
        <w:rPr>
          <w:rFonts w:hint="eastAsia" w:cs="Times New Roman" w:eastAsiaTheme="minorEastAsia"/>
          <w:color w:val="auto"/>
          <w:szCs w:val="28"/>
          <w:lang w:val="pt-BR" w:eastAsia="zh-CN"/>
        </w:rPr>
        <w:t>山东万通集团垦利金顺油品有限公司第六加油中心</w:t>
      </w:r>
      <w:r>
        <w:rPr>
          <w:rFonts w:hint="default" w:ascii="Times New Roman" w:hAnsi="Times New Roman" w:cs="Times New Roman" w:eastAsiaTheme="minorEastAsia"/>
          <w:color w:val="auto"/>
          <w:szCs w:val="28"/>
          <w:lang w:val="pt-BR"/>
        </w:rPr>
        <w:t>，</w:t>
      </w:r>
      <w:r>
        <w:rPr>
          <w:rFonts w:hint="default" w:ascii="Times New Roman" w:hAnsi="Times New Roman" w:cs="Times New Roman" w:eastAsiaTheme="minorEastAsia"/>
          <w:color w:val="auto"/>
          <w:szCs w:val="28"/>
        </w:rPr>
        <w:t>成立于</w:t>
      </w:r>
      <w:r>
        <w:rPr>
          <w:rFonts w:hint="eastAsia" w:cs="Times New Roman" w:eastAsiaTheme="minorEastAsia"/>
          <w:color w:val="auto"/>
          <w:szCs w:val="28"/>
          <w:lang w:val="pt-BR" w:eastAsia="zh-CN"/>
        </w:rPr>
        <w:t>2010年08月25日</w:t>
      </w:r>
      <w:r>
        <w:rPr>
          <w:rFonts w:hint="default" w:ascii="Times New Roman" w:hAnsi="Times New Roman" w:cs="Times New Roman" w:eastAsiaTheme="minorEastAsia"/>
          <w:color w:val="auto"/>
          <w:szCs w:val="28"/>
        </w:rPr>
        <w:t>，营业场所位于</w:t>
      </w:r>
      <w:r>
        <w:rPr>
          <w:rFonts w:hint="eastAsia" w:cs="Times New Roman" w:eastAsiaTheme="minorEastAsia"/>
          <w:color w:val="auto"/>
          <w:szCs w:val="28"/>
          <w:lang w:val="pt-BR" w:eastAsia="zh-CN"/>
        </w:rPr>
        <w:t>东营市垦利区董集镇利津黄河大桥以东、永莘路南侧</w:t>
      </w:r>
      <w:r>
        <w:rPr>
          <w:rFonts w:hint="default" w:ascii="Times New Roman" w:hAnsi="Times New Roman" w:cs="Times New Roman" w:eastAsiaTheme="minorEastAsia"/>
          <w:color w:val="auto"/>
          <w:szCs w:val="28"/>
          <w:lang w:val="pt-BR"/>
        </w:rPr>
        <w:t>。经营范围：</w:t>
      </w:r>
      <w:r>
        <w:rPr>
          <w:rFonts w:hint="default" w:ascii="Times New Roman" w:hAnsi="Times New Roman" w:cs="Times New Roman" w:eastAsiaTheme="minorEastAsia"/>
          <w:b w:val="0"/>
          <w:bCs w:val="0"/>
          <w:color w:val="auto"/>
          <w:sz w:val="28"/>
          <w:szCs w:val="28"/>
        </w:rPr>
        <w:t>汽油、柴油</w:t>
      </w:r>
      <w:r>
        <w:rPr>
          <w:rFonts w:hint="eastAsia" w:cs="Times New Roman" w:eastAsiaTheme="minorEastAsia"/>
          <w:b w:val="0"/>
          <w:bCs w:val="0"/>
          <w:color w:val="auto"/>
          <w:sz w:val="28"/>
          <w:szCs w:val="28"/>
          <w:lang w:val="en-US" w:eastAsia="zh-CN"/>
        </w:rPr>
        <w:t>带有储存设施的经营。</w:t>
      </w:r>
      <w:r>
        <w:rPr>
          <w:rFonts w:hint="eastAsia" w:cs="Times New Roman" w:eastAsiaTheme="minorEastAsia"/>
          <w:b w:val="0"/>
          <w:bCs w:val="0"/>
          <w:color w:val="auto"/>
          <w:sz w:val="28"/>
          <w:szCs w:val="28"/>
          <w:lang w:eastAsia="zh-CN"/>
        </w:rPr>
        <w:t>（有效期</w:t>
      </w:r>
      <w:r>
        <w:rPr>
          <w:rFonts w:hint="eastAsia" w:cs="Times New Roman" w:eastAsiaTheme="minorEastAsia"/>
          <w:b w:val="0"/>
          <w:bCs w:val="0"/>
          <w:color w:val="auto"/>
          <w:sz w:val="28"/>
          <w:szCs w:val="28"/>
          <w:lang w:val="en-US" w:eastAsia="zh-CN"/>
        </w:rPr>
        <w:t>限</w:t>
      </w:r>
      <w:r>
        <w:rPr>
          <w:rFonts w:hint="eastAsia" w:cs="Times New Roman" w:eastAsiaTheme="minorEastAsia"/>
          <w:b w:val="0"/>
          <w:bCs w:val="0"/>
          <w:color w:val="auto"/>
          <w:sz w:val="28"/>
          <w:szCs w:val="28"/>
          <w:lang w:eastAsia="zh-CN"/>
        </w:rPr>
        <w:t>以许可证为准）；</w:t>
      </w:r>
      <w:r>
        <w:rPr>
          <w:rFonts w:hint="default" w:ascii="Times New Roman" w:hAnsi="Times New Roman" w:cs="Times New Roman" w:eastAsiaTheme="minorEastAsia"/>
          <w:b w:val="0"/>
          <w:bCs w:val="0"/>
          <w:color w:val="auto"/>
          <w:sz w:val="28"/>
          <w:szCs w:val="28"/>
        </w:rPr>
        <w:t>润滑油、</w:t>
      </w:r>
      <w:r>
        <w:rPr>
          <w:rFonts w:hint="eastAsia" w:cs="Times New Roman" w:eastAsiaTheme="minorEastAsia"/>
          <w:b w:val="0"/>
          <w:bCs w:val="0"/>
          <w:color w:val="auto"/>
          <w:sz w:val="28"/>
          <w:szCs w:val="28"/>
          <w:lang w:val="en-US" w:eastAsia="zh-CN"/>
        </w:rPr>
        <w:t>车用尿素销售。</w:t>
      </w:r>
      <w:r>
        <w:rPr>
          <w:rFonts w:hint="default" w:ascii="Times New Roman" w:hAnsi="Times New Roman" w:cs="Times New Roman" w:eastAsiaTheme="minorEastAsia"/>
          <w:color w:val="auto"/>
          <w:szCs w:val="28"/>
          <w:lang w:val="pt-BR"/>
        </w:rPr>
        <w:t>（依法须经批准的项目，经相关部门批准后方可开展经活动）。</w:t>
      </w:r>
    </w:p>
    <w:p>
      <w:pPr>
        <w:pStyle w:val="4"/>
        <w:pageBreakBefore w:val="0"/>
        <w:widowControl w:val="0"/>
        <w:kinsoku/>
        <w:wordWrap/>
        <w:overflowPunct/>
        <w:topLinePunct w:val="0"/>
        <w:bidi w:val="0"/>
        <w:adjustRightInd w:val="0"/>
        <w:snapToGrid w:val="0"/>
        <w:spacing w:beforeLines="0" w:afterLines="0" w:line="360" w:lineRule="auto"/>
        <w:textAlignment w:val="auto"/>
        <w:rPr>
          <w:rFonts w:hint="default" w:ascii="Times New Roman" w:hAnsi="Times New Roman" w:cs="Times New Roman" w:eastAsiaTheme="minorEastAsia"/>
          <w:b/>
          <w:bCs w:val="0"/>
          <w:color w:val="auto"/>
          <w:sz w:val="28"/>
          <w:szCs w:val="28"/>
        </w:rPr>
      </w:pPr>
      <w:bookmarkStart w:id="12" w:name="_Toc25053"/>
      <w:r>
        <w:rPr>
          <w:rFonts w:hint="default" w:ascii="Times New Roman" w:hAnsi="Times New Roman" w:cs="Times New Roman" w:eastAsiaTheme="minorEastAsia"/>
          <w:b/>
          <w:bCs w:val="0"/>
          <w:color w:val="auto"/>
          <w:sz w:val="28"/>
          <w:szCs w:val="28"/>
        </w:rPr>
        <w:t>2.2 建设项目基本情况</w:t>
      </w:r>
      <w:bookmarkEnd w:id="12"/>
    </w:p>
    <w:p>
      <w:pPr>
        <w:pStyle w:val="5"/>
        <w:pageBreakBefore w:val="0"/>
        <w:widowControl w:val="0"/>
        <w:kinsoku/>
        <w:wordWrap/>
        <w:overflowPunct/>
        <w:topLinePunct w:val="0"/>
        <w:bidi w:val="0"/>
        <w:adjustRightInd w:val="0"/>
        <w:snapToGrid w:val="0"/>
        <w:spacing w:line="360" w:lineRule="auto"/>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2.2.1 建设项目情况</w:t>
      </w:r>
    </w:p>
    <w:p>
      <w:pPr>
        <w:pageBreakBefore w:val="0"/>
        <w:widowControl w:val="0"/>
        <w:kinsoku/>
        <w:wordWrap/>
        <w:overflowPunct/>
        <w:topLinePunct w:val="0"/>
        <w:bidi w:val="0"/>
        <w:adjustRightInd w:val="0"/>
        <w:snapToGrid w:val="0"/>
        <w:spacing w:line="360" w:lineRule="auto"/>
        <w:ind w:firstLine="560" w:firstLineChars="200"/>
        <w:textAlignment w:val="auto"/>
        <w:rPr>
          <w:rFonts w:hint="default" w:ascii="Times New Roman" w:hAnsi="Times New Roman" w:cs="Times New Roman" w:eastAsiaTheme="minorEastAsia"/>
          <w:color w:val="auto"/>
          <w:szCs w:val="28"/>
          <w:highlight w:val="none"/>
          <w:lang w:eastAsia="zh-CN"/>
        </w:rPr>
      </w:pPr>
      <w:r>
        <w:rPr>
          <w:rFonts w:hint="eastAsia" w:cs="Times New Roman"/>
          <w:color w:val="auto"/>
          <w:szCs w:val="28"/>
          <w:lang w:eastAsia="zh-CN"/>
        </w:rPr>
        <w:t>山东万通集团垦利金顺油品有限公司第六加油中心扩容项目</w:t>
      </w:r>
      <w:r>
        <w:rPr>
          <w:rFonts w:hint="default" w:ascii="Times New Roman" w:hAnsi="Times New Roman" w:cs="Times New Roman"/>
          <w:color w:val="auto"/>
          <w:szCs w:val="28"/>
        </w:rPr>
        <w:t>位于</w:t>
      </w:r>
      <w:r>
        <w:rPr>
          <w:rFonts w:hint="eastAsia" w:cs="Times New Roman"/>
          <w:color w:val="auto"/>
          <w:szCs w:val="28"/>
          <w:lang w:eastAsia="zh-CN"/>
        </w:rPr>
        <w:t>东营市垦利区董集镇利津黄河大桥以东、永莘路南侧</w:t>
      </w:r>
      <w:r>
        <w:rPr>
          <w:rFonts w:hint="default" w:ascii="Times New Roman" w:hAnsi="Times New Roman" w:cs="Times New Roman"/>
          <w:color w:val="auto"/>
          <w:szCs w:val="28"/>
        </w:rPr>
        <w:t>，由</w:t>
      </w:r>
      <w:r>
        <w:rPr>
          <w:rFonts w:hint="eastAsia" w:cs="Times New Roman"/>
          <w:color w:val="auto"/>
          <w:szCs w:val="28"/>
          <w:lang w:eastAsia="zh-CN"/>
        </w:rPr>
        <w:t>山东万通集团垦利金顺油品有限公司</w:t>
      </w:r>
      <w:r>
        <w:rPr>
          <w:rFonts w:hint="eastAsia" w:cs="Times New Roman"/>
          <w:color w:val="auto"/>
          <w:szCs w:val="28"/>
          <w:highlight w:val="none"/>
          <w:lang w:eastAsia="zh-CN"/>
        </w:rPr>
        <w:t>第六加油中心</w:t>
      </w:r>
      <w:r>
        <w:rPr>
          <w:rFonts w:hint="default" w:ascii="Times New Roman" w:hAnsi="Times New Roman" w:cs="Times New Roman" w:eastAsiaTheme="minorEastAsia"/>
          <w:color w:val="auto"/>
          <w:szCs w:val="28"/>
          <w:highlight w:val="none"/>
        </w:rPr>
        <w:t>投资建设。</w:t>
      </w:r>
    </w:p>
    <w:p>
      <w:pPr>
        <w:pageBreakBefore w:val="0"/>
        <w:kinsoku/>
        <w:wordWrap/>
        <w:topLinePunct w:val="0"/>
        <w:bidi w:val="0"/>
        <w:adjustRightInd w:val="0"/>
        <w:snapToGrid w:val="0"/>
        <w:ind w:left="0" w:leftChars="0" w:firstLine="560" w:firstLineChars="200"/>
        <w:rPr>
          <w:rFonts w:hint="eastAsia" w:cs="Times New Roman" w:eastAsiaTheme="minorEastAsia"/>
          <w:color w:val="auto"/>
          <w:szCs w:val="28"/>
          <w:lang w:eastAsia="zh-CN"/>
        </w:rPr>
      </w:pPr>
      <w:r>
        <w:rPr>
          <w:rFonts w:hint="eastAsia" w:cs="Times New Roman" w:eastAsiaTheme="minorEastAsia"/>
          <w:color w:val="auto"/>
          <w:szCs w:val="28"/>
          <w:lang w:eastAsia="zh-CN"/>
        </w:rPr>
        <w:t>山东万通集团垦利金顺油品有限公司第六加油中心扩容项目改造如下：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color w:val="auto"/>
          <w:sz w:val="28"/>
          <w:lang w:val="en-US" w:eastAsia="zh-CN"/>
        </w:rPr>
      </w:pPr>
      <w:r>
        <w:rPr>
          <w:rFonts w:hint="default" w:ascii="Times New Roman" w:hAnsi="Times New Roman" w:cs="Times New Roman"/>
          <w:color w:val="auto"/>
          <w:sz w:val="28"/>
        </w:rPr>
        <w:t>改造前：埋地卧式双层储罐有</w:t>
      </w:r>
      <w:r>
        <w:rPr>
          <w:rFonts w:hint="eastAsia" w:cs="Times New Roman"/>
          <w:color w:val="auto"/>
          <w:sz w:val="28"/>
          <w:lang w:val="en-US" w:eastAsia="zh-CN"/>
        </w:rPr>
        <w:t>6</w:t>
      </w:r>
      <w:r>
        <w:rPr>
          <w:rFonts w:hint="default" w:ascii="Times New Roman" w:hAnsi="Times New Roman" w:cs="Times New Roman"/>
          <w:color w:val="auto"/>
          <w:sz w:val="28"/>
        </w:rPr>
        <w:t>台，其中</w:t>
      </w:r>
      <w:r>
        <w:rPr>
          <w:rFonts w:hint="eastAsia" w:cs="Times New Roman"/>
          <w:color w:val="auto"/>
          <w:sz w:val="28"/>
          <w:lang w:val="en-US" w:eastAsia="zh-CN"/>
        </w:rPr>
        <w:t>4</w:t>
      </w:r>
      <w:r>
        <w:rPr>
          <w:rFonts w:hint="default" w:ascii="Times New Roman" w:hAnsi="Times New Roman" w:cs="Times New Roman"/>
          <w:color w:val="auto"/>
          <w:sz w:val="28"/>
        </w:rPr>
        <w:t>台</w:t>
      </w:r>
      <w:r>
        <w:rPr>
          <w:rFonts w:hint="eastAsia" w:cs="Times New Roman"/>
          <w:color w:val="auto"/>
          <w:sz w:val="28"/>
          <w:lang w:val="en-US" w:eastAsia="zh-CN"/>
        </w:rPr>
        <w:t>35</w:t>
      </w:r>
      <w:r>
        <w:rPr>
          <w:rFonts w:hint="default" w:ascii="Times New Roman" w:hAnsi="Times New Roman" w:cs="Times New Roman"/>
          <w:color w:val="auto"/>
          <w:sz w:val="28"/>
        </w:rPr>
        <w:t>m</w:t>
      </w:r>
      <w:r>
        <w:rPr>
          <w:rFonts w:hint="default" w:ascii="Times New Roman" w:hAnsi="Times New Roman" w:cs="Times New Roman"/>
          <w:color w:val="auto"/>
          <w:sz w:val="28"/>
          <w:vertAlign w:val="superscript"/>
        </w:rPr>
        <w:t>3</w:t>
      </w:r>
      <w:r>
        <w:rPr>
          <w:rFonts w:hint="default" w:ascii="Times New Roman" w:hAnsi="Times New Roman" w:cs="Times New Roman"/>
          <w:color w:val="auto"/>
          <w:sz w:val="28"/>
        </w:rPr>
        <w:t>埋地</w:t>
      </w:r>
      <w:r>
        <w:rPr>
          <w:rFonts w:hint="eastAsia" w:cs="Times New Roman"/>
          <w:color w:val="auto"/>
          <w:sz w:val="28"/>
          <w:lang w:eastAsia="zh-CN"/>
        </w:rPr>
        <w:t>汽油</w:t>
      </w:r>
      <w:r>
        <w:rPr>
          <w:rFonts w:hint="default" w:ascii="Times New Roman" w:hAnsi="Times New Roman" w:cs="Times New Roman"/>
          <w:color w:val="auto"/>
          <w:sz w:val="28"/>
        </w:rPr>
        <w:t>储罐，</w:t>
      </w:r>
      <w:r>
        <w:rPr>
          <w:rFonts w:hint="eastAsia" w:cs="Times New Roman"/>
          <w:color w:val="auto"/>
          <w:sz w:val="28"/>
          <w:lang w:val="en-US" w:eastAsia="zh-CN"/>
        </w:rPr>
        <w:t>2</w:t>
      </w:r>
      <w:r>
        <w:rPr>
          <w:rFonts w:hint="default" w:ascii="Times New Roman" w:hAnsi="Times New Roman" w:cs="Times New Roman"/>
          <w:color w:val="auto"/>
          <w:sz w:val="28"/>
        </w:rPr>
        <w:t>台</w:t>
      </w:r>
      <w:r>
        <w:rPr>
          <w:rFonts w:hint="eastAsia" w:cs="Times New Roman"/>
          <w:color w:val="auto"/>
          <w:sz w:val="28"/>
          <w:lang w:val="en-US" w:eastAsia="zh-CN"/>
        </w:rPr>
        <w:t>35</w:t>
      </w:r>
      <w:r>
        <w:rPr>
          <w:rFonts w:hint="default" w:ascii="Times New Roman" w:hAnsi="Times New Roman" w:cs="Times New Roman"/>
          <w:color w:val="auto"/>
          <w:sz w:val="28"/>
        </w:rPr>
        <w:t>m</w:t>
      </w:r>
      <w:r>
        <w:rPr>
          <w:rFonts w:hint="default" w:ascii="Times New Roman" w:hAnsi="Times New Roman" w:cs="Times New Roman"/>
          <w:color w:val="auto"/>
          <w:sz w:val="28"/>
          <w:vertAlign w:val="superscript"/>
        </w:rPr>
        <w:t>3</w:t>
      </w:r>
      <w:r>
        <w:rPr>
          <w:rFonts w:hint="default" w:ascii="Times New Roman" w:hAnsi="Times New Roman" w:cs="Times New Roman"/>
          <w:color w:val="auto"/>
          <w:sz w:val="28"/>
        </w:rPr>
        <w:t>埋地</w:t>
      </w:r>
      <w:r>
        <w:rPr>
          <w:rFonts w:hint="eastAsia" w:cs="Times New Roman"/>
          <w:color w:val="auto"/>
          <w:sz w:val="28"/>
          <w:lang w:eastAsia="zh-CN"/>
        </w:rPr>
        <w:t>柴油</w:t>
      </w:r>
      <w:r>
        <w:rPr>
          <w:rFonts w:hint="default" w:ascii="Times New Roman" w:hAnsi="Times New Roman" w:cs="Times New Roman"/>
          <w:color w:val="auto"/>
          <w:sz w:val="28"/>
        </w:rPr>
        <w:t>储罐。改造前</w:t>
      </w:r>
      <w:r>
        <w:rPr>
          <w:rFonts w:hint="eastAsia" w:cs="Times New Roman"/>
          <w:color w:val="auto"/>
          <w:sz w:val="28"/>
          <w:lang w:eastAsia="zh-CN"/>
        </w:rPr>
        <w:t>该加油中心</w:t>
      </w:r>
      <w:r>
        <w:rPr>
          <w:rFonts w:hint="default" w:ascii="Times New Roman" w:hAnsi="Times New Roman" w:cs="Times New Roman"/>
          <w:color w:val="auto"/>
          <w:sz w:val="28"/>
        </w:rPr>
        <w:t>为</w:t>
      </w:r>
      <w:r>
        <w:rPr>
          <w:rFonts w:hint="eastAsia" w:cs="Times New Roman"/>
          <w:color w:val="auto"/>
          <w:sz w:val="28"/>
          <w:lang w:eastAsia="zh-CN"/>
        </w:rPr>
        <w:t>一级加油站。</w:t>
      </w:r>
      <w:r>
        <w:rPr>
          <w:rFonts w:hint="eastAsia" w:cs="Times New Roman"/>
          <w:color w:val="auto"/>
          <w:sz w:val="28"/>
          <w:lang w:val="en-US" w:eastAsia="zh-CN"/>
        </w:rPr>
        <w:t>加油作业区加油机原为8台</w:t>
      </w:r>
      <w:r>
        <w:rPr>
          <w:rFonts w:hint="eastAsia" w:cs="Times New Roman" w:eastAsiaTheme="minorEastAsia"/>
          <w:color w:val="auto"/>
          <w:szCs w:val="28"/>
          <w:highlight w:val="none"/>
          <w:lang w:val="en-US" w:eastAsia="zh-CN"/>
        </w:rPr>
        <w:t>（已停用1台）</w:t>
      </w:r>
      <w:r>
        <w:rPr>
          <w:rFonts w:hint="eastAsia" w:cs="Times New Roman"/>
          <w:color w:val="auto"/>
          <w:sz w:val="28"/>
          <w:lang w:val="en-US" w:eastAsia="zh-CN"/>
        </w:rPr>
        <w:t>。</w:t>
      </w:r>
    </w:p>
    <w:p>
      <w:pPr>
        <w:pageBreakBefore w:val="0"/>
        <w:kinsoku/>
        <w:wordWrap/>
        <w:topLinePunct w:val="0"/>
        <w:bidi w:val="0"/>
        <w:adjustRightInd w:val="0"/>
        <w:snapToGrid w:val="0"/>
        <w:ind w:left="0" w:leftChars="0" w:firstLine="560" w:firstLineChars="200"/>
        <w:rPr>
          <w:rFonts w:hint="default" w:ascii="Times New Roman" w:hAnsi="Times New Roman" w:cs="Times New Roman" w:eastAsiaTheme="minorEastAsia"/>
          <w:color w:val="auto"/>
          <w:szCs w:val="28"/>
          <w:lang w:val="en-US" w:eastAsia="zh-CN"/>
        </w:rPr>
      </w:pPr>
      <w:r>
        <w:rPr>
          <w:rFonts w:hint="default" w:ascii="Times New Roman" w:hAnsi="Times New Roman" w:cs="Times New Roman"/>
          <w:color w:val="auto"/>
          <w:sz w:val="28"/>
        </w:rPr>
        <w:t>改造后：拆除原6台油罐，</w:t>
      </w:r>
      <w:r>
        <w:rPr>
          <w:rFonts w:hint="eastAsia" w:cs="Times New Roman"/>
          <w:color w:val="auto"/>
          <w:sz w:val="28"/>
          <w:lang w:val="en-US" w:eastAsia="zh-CN"/>
        </w:rPr>
        <w:t>在原罐区位置（罐池向西、向南各延伸0.5m）</w:t>
      </w:r>
      <w:r>
        <w:rPr>
          <w:rFonts w:hint="default" w:ascii="Times New Roman" w:hAnsi="Times New Roman" w:cs="Times New Roman"/>
          <w:color w:val="auto"/>
          <w:sz w:val="28"/>
        </w:rPr>
        <w:t>新建埋地卧式双层储罐</w:t>
      </w:r>
      <w:r>
        <w:rPr>
          <w:rFonts w:hint="eastAsia" w:cs="Times New Roman"/>
          <w:color w:val="auto"/>
          <w:sz w:val="28"/>
          <w:lang w:val="en-US" w:eastAsia="zh-CN"/>
        </w:rPr>
        <w:t>5</w:t>
      </w:r>
      <w:r>
        <w:rPr>
          <w:rFonts w:hint="default" w:ascii="Times New Roman" w:hAnsi="Times New Roman" w:cs="Times New Roman"/>
          <w:color w:val="auto"/>
          <w:sz w:val="28"/>
        </w:rPr>
        <w:t>台，其中</w:t>
      </w:r>
      <w:r>
        <w:rPr>
          <w:rFonts w:hint="eastAsia" w:cs="Times New Roman"/>
          <w:color w:val="auto"/>
          <w:sz w:val="28"/>
          <w:lang w:val="en-US" w:eastAsia="zh-CN"/>
        </w:rPr>
        <w:t>3</w:t>
      </w:r>
      <w:r>
        <w:rPr>
          <w:rFonts w:hint="default" w:ascii="Times New Roman" w:hAnsi="Times New Roman" w:cs="Times New Roman"/>
          <w:color w:val="auto"/>
          <w:sz w:val="28"/>
        </w:rPr>
        <w:t>台</w:t>
      </w:r>
      <w:r>
        <w:rPr>
          <w:rFonts w:hint="eastAsia" w:cs="Times New Roman"/>
          <w:color w:val="auto"/>
          <w:sz w:val="28"/>
          <w:lang w:val="en-US" w:eastAsia="zh-CN"/>
        </w:rPr>
        <w:t>5</w:t>
      </w:r>
      <w:r>
        <w:rPr>
          <w:rFonts w:hint="default" w:ascii="Times New Roman" w:hAnsi="Times New Roman" w:cs="Times New Roman"/>
          <w:color w:val="auto"/>
          <w:sz w:val="28"/>
        </w:rPr>
        <w:t>0m</w:t>
      </w:r>
      <w:r>
        <w:rPr>
          <w:rFonts w:hint="default" w:ascii="Times New Roman" w:hAnsi="Times New Roman" w:cs="Times New Roman"/>
          <w:color w:val="auto"/>
          <w:sz w:val="28"/>
          <w:vertAlign w:val="superscript"/>
        </w:rPr>
        <w:t>3</w:t>
      </w:r>
      <w:r>
        <w:rPr>
          <w:rFonts w:hint="default" w:ascii="Times New Roman" w:hAnsi="Times New Roman" w:cs="Times New Roman"/>
          <w:color w:val="auto"/>
          <w:sz w:val="28"/>
        </w:rPr>
        <w:t>埋地</w:t>
      </w:r>
      <w:r>
        <w:rPr>
          <w:rFonts w:hint="eastAsia" w:cs="Times New Roman"/>
          <w:color w:val="auto"/>
          <w:sz w:val="28"/>
          <w:lang w:eastAsia="zh-CN"/>
        </w:rPr>
        <w:t>汽油</w:t>
      </w:r>
      <w:r>
        <w:rPr>
          <w:rFonts w:hint="default" w:ascii="Times New Roman" w:hAnsi="Times New Roman" w:cs="Times New Roman"/>
          <w:color w:val="auto"/>
          <w:sz w:val="28"/>
        </w:rPr>
        <w:t>储罐，</w:t>
      </w:r>
      <w:r>
        <w:rPr>
          <w:rFonts w:hint="eastAsia" w:cs="Times New Roman"/>
          <w:color w:val="auto"/>
          <w:sz w:val="28"/>
          <w:lang w:val="en-US" w:eastAsia="zh-CN"/>
        </w:rPr>
        <w:t>2</w:t>
      </w:r>
      <w:r>
        <w:rPr>
          <w:rFonts w:hint="default" w:ascii="Times New Roman" w:hAnsi="Times New Roman" w:cs="Times New Roman"/>
          <w:color w:val="auto"/>
          <w:sz w:val="28"/>
        </w:rPr>
        <w:t>台</w:t>
      </w:r>
      <w:r>
        <w:rPr>
          <w:rFonts w:hint="eastAsia" w:cs="Times New Roman"/>
          <w:color w:val="auto"/>
          <w:sz w:val="28"/>
          <w:lang w:val="en-US" w:eastAsia="zh-CN"/>
        </w:rPr>
        <w:t>5</w:t>
      </w:r>
      <w:r>
        <w:rPr>
          <w:rFonts w:hint="default" w:ascii="Times New Roman" w:hAnsi="Times New Roman" w:cs="Times New Roman"/>
          <w:color w:val="auto"/>
          <w:sz w:val="28"/>
        </w:rPr>
        <w:t>0m</w:t>
      </w:r>
      <w:r>
        <w:rPr>
          <w:rFonts w:hint="default" w:ascii="Times New Roman" w:hAnsi="Times New Roman" w:cs="Times New Roman"/>
          <w:color w:val="auto"/>
          <w:sz w:val="28"/>
          <w:vertAlign w:val="superscript"/>
        </w:rPr>
        <w:t>3</w:t>
      </w:r>
      <w:r>
        <w:rPr>
          <w:rFonts w:hint="default" w:ascii="Times New Roman" w:hAnsi="Times New Roman" w:cs="Times New Roman"/>
          <w:color w:val="auto"/>
          <w:sz w:val="28"/>
        </w:rPr>
        <w:t>埋地</w:t>
      </w:r>
      <w:r>
        <w:rPr>
          <w:rFonts w:hint="eastAsia" w:cs="Times New Roman"/>
          <w:color w:val="auto"/>
          <w:sz w:val="28"/>
          <w:lang w:eastAsia="zh-CN"/>
        </w:rPr>
        <w:t>柴油</w:t>
      </w:r>
      <w:r>
        <w:rPr>
          <w:rFonts w:hint="default" w:ascii="Times New Roman" w:hAnsi="Times New Roman" w:cs="Times New Roman"/>
          <w:color w:val="auto"/>
          <w:sz w:val="28"/>
        </w:rPr>
        <w:t>储罐，自</w:t>
      </w:r>
      <w:r>
        <w:rPr>
          <w:rFonts w:hint="eastAsia" w:cs="Times New Roman"/>
          <w:color w:val="auto"/>
          <w:sz w:val="28"/>
          <w:lang w:val="en-US" w:eastAsia="zh-CN"/>
        </w:rPr>
        <w:t>北</w:t>
      </w:r>
      <w:r>
        <w:rPr>
          <w:rFonts w:hint="default" w:ascii="Times New Roman" w:hAnsi="Times New Roman" w:cs="Times New Roman"/>
          <w:color w:val="auto"/>
          <w:sz w:val="28"/>
        </w:rPr>
        <w:t>向</w:t>
      </w:r>
      <w:r>
        <w:rPr>
          <w:rFonts w:hint="eastAsia" w:cs="Times New Roman"/>
          <w:color w:val="auto"/>
          <w:sz w:val="28"/>
          <w:lang w:val="en-US" w:eastAsia="zh-CN"/>
        </w:rPr>
        <w:t>南</w:t>
      </w:r>
      <w:r>
        <w:rPr>
          <w:rFonts w:hint="default" w:ascii="Times New Roman" w:hAnsi="Times New Roman" w:cs="Times New Roman"/>
          <w:color w:val="auto"/>
          <w:sz w:val="28"/>
        </w:rPr>
        <w:t>排列，依次为</w:t>
      </w:r>
      <w:r>
        <w:rPr>
          <w:rFonts w:hint="eastAsia" w:cs="Times New Roman"/>
          <w:color w:val="auto"/>
          <w:sz w:val="28"/>
          <w:lang w:val="en-US" w:eastAsia="zh-CN"/>
        </w:rPr>
        <w:t>2</w:t>
      </w:r>
      <w:r>
        <w:rPr>
          <w:rFonts w:hint="default" w:ascii="Times New Roman" w:hAnsi="Times New Roman" w:cs="Times New Roman"/>
          <w:color w:val="auto"/>
          <w:sz w:val="28"/>
        </w:rPr>
        <w:t>台92#汽油储罐、</w:t>
      </w:r>
      <w:r>
        <w:rPr>
          <w:rFonts w:hint="eastAsia" w:cs="Times New Roman"/>
          <w:color w:val="auto"/>
          <w:sz w:val="28"/>
          <w:lang w:val="en-US" w:eastAsia="zh-CN"/>
        </w:rPr>
        <w:t>1</w:t>
      </w:r>
      <w:r>
        <w:rPr>
          <w:rFonts w:hint="default" w:ascii="Times New Roman" w:hAnsi="Times New Roman" w:cs="Times New Roman"/>
          <w:color w:val="auto"/>
          <w:sz w:val="28"/>
        </w:rPr>
        <w:t>台</w:t>
      </w:r>
      <w:r>
        <w:rPr>
          <w:rFonts w:hint="eastAsia" w:cs="Times New Roman"/>
          <w:color w:val="auto"/>
          <w:sz w:val="28"/>
          <w:lang w:val="en-US" w:eastAsia="zh-CN"/>
        </w:rPr>
        <w:t>0</w:t>
      </w:r>
      <w:r>
        <w:rPr>
          <w:rFonts w:hint="default" w:ascii="Times New Roman" w:hAnsi="Times New Roman" w:cs="Times New Roman"/>
          <w:color w:val="auto"/>
          <w:sz w:val="28"/>
        </w:rPr>
        <w:t>#</w:t>
      </w:r>
      <w:r>
        <w:rPr>
          <w:rFonts w:hint="eastAsia" w:cs="Times New Roman"/>
          <w:color w:val="auto"/>
          <w:sz w:val="28"/>
          <w:lang w:eastAsia="zh-CN"/>
        </w:rPr>
        <w:t>柴油</w:t>
      </w:r>
      <w:r>
        <w:rPr>
          <w:rFonts w:hint="default" w:ascii="Times New Roman" w:hAnsi="Times New Roman" w:cs="Times New Roman"/>
          <w:color w:val="auto"/>
          <w:sz w:val="28"/>
        </w:rPr>
        <w:t>储罐、</w:t>
      </w:r>
      <w:r>
        <w:rPr>
          <w:rFonts w:hint="default" w:ascii="Times New Roman" w:hAnsi="Times New Roman" w:cs="Times New Roman"/>
          <w:color w:val="auto"/>
          <w:sz w:val="28"/>
          <w:lang w:val="en-US" w:eastAsia="zh-CN"/>
        </w:rPr>
        <w:t>1</w:t>
      </w:r>
      <w:r>
        <w:rPr>
          <w:rFonts w:hint="default" w:ascii="Times New Roman" w:hAnsi="Times New Roman" w:cs="Times New Roman"/>
          <w:color w:val="auto"/>
          <w:sz w:val="28"/>
        </w:rPr>
        <w:t>台</w:t>
      </w:r>
      <w:r>
        <w:rPr>
          <w:rFonts w:hint="eastAsia" w:cs="Times New Roman"/>
          <w:color w:val="auto"/>
          <w:sz w:val="28"/>
          <w:lang w:val="en-US" w:eastAsia="zh-CN"/>
        </w:rPr>
        <w:t>-1</w:t>
      </w:r>
      <w:r>
        <w:rPr>
          <w:rFonts w:hint="default" w:ascii="Times New Roman" w:hAnsi="Times New Roman" w:cs="Times New Roman"/>
          <w:color w:val="auto"/>
          <w:sz w:val="28"/>
          <w:lang w:val="en-US" w:eastAsia="zh-CN"/>
        </w:rPr>
        <w:t>0</w:t>
      </w:r>
      <w:r>
        <w:rPr>
          <w:rFonts w:hint="default" w:ascii="Times New Roman" w:hAnsi="Times New Roman" w:cs="Times New Roman"/>
          <w:color w:val="auto"/>
          <w:sz w:val="28"/>
        </w:rPr>
        <w:t>#</w:t>
      </w:r>
      <w:r>
        <w:rPr>
          <w:rFonts w:hint="default" w:ascii="Times New Roman" w:hAnsi="Times New Roman" w:cs="Times New Roman"/>
          <w:color w:val="auto"/>
          <w:sz w:val="28"/>
          <w:lang w:eastAsia="zh-CN"/>
        </w:rPr>
        <w:t>柴油</w:t>
      </w:r>
      <w:r>
        <w:rPr>
          <w:rFonts w:hint="default" w:ascii="Times New Roman" w:hAnsi="Times New Roman" w:cs="Times New Roman"/>
          <w:color w:val="auto"/>
          <w:sz w:val="28"/>
        </w:rPr>
        <w:t>储罐</w:t>
      </w:r>
      <w:r>
        <w:rPr>
          <w:rFonts w:hint="eastAsia" w:cs="Times New Roman"/>
          <w:color w:val="auto"/>
          <w:sz w:val="28"/>
          <w:lang w:eastAsia="zh-CN"/>
        </w:rPr>
        <w:t>、</w:t>
      </w:r>
      <w:r>
        <w:rPr>
          <w:rFonts w:hint="eastAsia" w:cs="Times New Roman"/>
          <w:color w:val="auto"/>
          <w:sz w:val="28"/>
          <w:lang w:val="en-US" w:eastAsia="zh-CN"/>
        </w:rPr>
        <w:t>1</w:t>
      </w:r>
      <w:r>
        <w:rPr>
          <w:rFonts w:hint="default" w:ascii="Times New Roman" w:hAnsi="Times New Roman" w:cs="Times New Roman"/>
          <w:color w:val="auto"/>
          <w:sz w:val="28"/>
        </w:rPr>
        <w:t>台9</w:t>
      </w:r>
      <w:r>
        <w:rPr>
          <w:rFonts w:hint="eastAsia" w:cs="Times New Roman"/>
          <w:color w:val="auto"/>
          <w:sz w:val="28"/>
          <w:lang w:val="en-US" w:eastAsia="zh-CN"/>
        </w:rPr>
        <w:t>5</w:t>
      </w:r>
      <w:r>
        <w:rPr>
          <w:rFonts w:hint="default" w:ascii="Times New Roman" w:hAnsi="Times New Roman" w:cs="Times New Roman"/>
          <w:color w:val="auto"/>
          <w:sz w:val="28"/>
        </w:rPr>
        <w:t>#汽油储罐</w:t>
      </w:r>
      <w:r>
        <w:rPr>
          <w:rFonts w:hint="eastAsia" w:cs="Times New Roman"/>
          <w:color w:val="auto"/>
          <w:sz w:val="28"/>
          <w:lang w:eastAsia="zh-CN"/>
        </w:rPr>
        <w:t>，</w:t>
      </w:r>
      <w:r>
        <w:rPr>
          <w:rFonts w:hint="default" w:ascii="Times New Roman" w:hAnsi="Times New Roman" w:cs="Times New Roman"/>
          <w:color w:val="auto"/>
          <w:sz w:val="28"/>
        </w:rPr>
        <w:t>埋地储罐均采用SF双层地埋罐</w:t>
      </w:r>
      <w:r>
        <w:rPr>
          <w:rFonts w:hint="eastAsia" w:cs="Times New Roman"/>
          <w:color w:val="auto"/>
          <w:sz w:val="28"/>
          <w:lang w:eastAsia="zh-CN"/>
        </w:rPr>
        <w:t>（</w:t>
      </w:r>
      <w:r>
        <w:rPr>
          <w:rFonts w:hint="default" w:ascii="Times New Roman" w:hAnsi="Times New Roman" w:cs="Times New Roman"/>
          <w:color w:val="auto"/>
          <w:sz w:val="28"/>
        </w:rPr>
        <w:t>内钢外玻璃纤维增强塑料</w:t>
      </w:r>
      <w:r>
        <w:rPr>
          <w:rFonts w:hint="eastAsia" w:cs="Times New Roman"/>
          <w:color w:val="auto"/>
          <w:sz w:val="28"/>
          <w:lang w:eastAsia="zh-CN"/>
        </w:rPr>
        <w:t>）</w:t>
      </w:r>
      <w:r>
        <w:rPr>
          <w:rFonts w:hint="default" w:ascii="Times New Roman" w:hAnsi="Times New Roman" w:cs="Times New Roman"/>
          <w:color w:val="auto"/>
          <w:sz w:val="28"/>
        </w:rPr>
        <w:t>。</w:t>
      </w:r>
      <w:r>
        <w:rPr>
          <w:rFonts w:hint="default" w:ascii="Times New Roman" w:hAnsi="Times New Roman" w:cs="Times New Roman"/>
          <w:color w:val="auto"/>
          <w:sz w:val="28"/>
          <w:lang w:eastAsia="zh-CN"/>
        </w:rPr>
        <w:t>通气管</w:t>
      </w:r>
      <w:r>
        <w:rPr>
          <w:rFonts w:hint="eastAsia" w:cs="Times New Roman"/>
          <w:color w:val="auto"/>
          <w:sz w:val="28"/>
          <w:lang w:val="en-US" w:eastAsia="zh-CN"/>
        </w:rPr>
        <w:t>重新</w:t>
      </w:r>
      <w:r>
        <w:rPr>
          <w:rFonts w:hint="default" w:ascii="Times New Roman" w:hAnsi="Times New Roman" w:cs="Times New Roman"/>
          <w:color w:val="auto"/>
          <w:sz w:val="28"/>
          <w:lang w:eastAsia="zh-CN"/>
        </w:rPr>
        <w:t>进行</w:t>
      </w:r>
      <w:r>
        <w:rPr>
          <w:rFonts w:hint="eastAsia" w:cs="Times New Roman"/>
          <w:color w:val="auto"/>
          <w:sz w:val="28"/>
          <w:lang w:eastAsia="zh-CN"/>
        </w:rPr>
        <w:t>了更换</w:t>
      </w:r>
      <w:r>
        <w:rPr>
          <w:rFonts w:hint="default" w:ascii="Times New Roman" w:hAnsi="Times New Roman" w:cs="Times New Roman"/>
          <w:color w:val="auto"/>
          <w:sz w:val="28"/>
          <w:lang w:val="en-US" w:eastAsia="zh-CN"/>
        </w:rPr>
        <w:t>；</w:t>
      </w:r>
      <w:r>
        <w:rPr>
          <w:rFonts w:hint="default" w:ascii="Times New Roman" w:hAnsi="Times New Roman" w:cs="Times New Roman"/>
          <w:color w:val="auto"/>
          <w:sz w:val="28"/>
          <w:lang w:eastAsia="zh-CN"/>
        </w:rPr>
        <w:t>将</w:t>
      </w:r>
      <w:r>
        <w:rPr>
          <w:rFonts w:hint="default" w:ascii="Times New Roman" w:hAnsi="Times New Roman" w:cs="Times New Roman"/>
          <w:color w:val="auto"/>
          <w:sz w:val="28"/>
          <w:lang w:val="en-US" w:eastAsia="zh-CN"/>
        </w:rPr>
        <w:t>油罐区最南侧汽</w:t>
      </w:r>
      <w:r>
        <w:rPr>
          <w:rFonts w:hint="default" w:ascii="Times New Roman" w:hAnsi="Times New Roman" w:cs="Times New Roman"/>
          <w:color w:val="auto"/>
          <w:sz w:val="28"/>
          <w:lang w:eastAsia="zh-CN"/>
        </w:rPr>
        <w:t>油罐（</w:t>
      </w:r>
      <w:r>
        <w:rPr>
          <w:rFonts w:hint="default" w:ascii="Times New Roman" w:hAnsi="Times New Roman" w:cs="Times New Roman"/>
          <w:color w:val="auto"/>
          <w:sz w:val="28"/>
          <w:lang w:val="en-US" w:eastAsia="zh-CN"/>
        </w:rPr>
        <w:t>原6号汽油罐</w:t>
      </w:r>
      <w:r>
        <w:rPr>
          <w:rFonts w:hint="default" w:ascii="Times New Roman" w:hAnsi="Times New Roman" w:cs="Times New Roman"/>
          <w:color w:val="auto"/>
          <w:sz w:val="28"/>
          <w:lang w:eastAsia="zh-CN"/>
        </w:rPr>
        <w:t>）</w:t>
      </w:r>
      <w:r>
        <w:rPr>
          <w:rFonts w:hint="default" w:ascii="Times New Roman" w:hAnsi="Times New Roman" w:cs="Times New Roman"/>
          <w:color w:val="auto"/>
          <w:sz w:val="28"/>
          <w:lang w:val="en-US" w:eastAsia="zh-CN"/>
        </w:rPr>
        <w:t>至</w:t>
      </w:r>
      <w:r>
        <w:rPr>
          <w:rFonts w:hint="eastAsia" w:cs="Times New Roman"/>
          <w:color w:val="auto"/>
          <w:sz w:val="28"/>
          <w:lang w:val="en-US" w:eastAsia="zh-CN"/>
        </w:rPr>
        <w:t>加油作业区</w:t>
      </w:r>
      <w:r>
        <w:rPr>
          <w:rFonts w:hint="default" w:ascii="Times New Roman" w:hAnsi="Times New Roman" w:cs="Times New Roman"/>
          <w:color w:val="auto"/>
          <w:sz w:val="28"/>
          <w:lang w:val="en-US" w:eastAsia="zh-CN"/>
        </w:rPr>
        <w:t>南排最东侧加油机管线及加油机进行</w:t>
      </w:r>
      <w:r>
        <w:rPr>
          <w:rFonts w:hint="eastAsia" w:cs="Times New Roman"/>
          <w:color w:val="auto"/>
          <w:sz w:val="28"/>
          <w:lang w:val="en-US" w:eastAsia="zh-CN"/>
        </w:rPr>
        <w:t>了</w:t>
      </w:r>
      <w:r>
        <w:rPr>
          <w:rFonts w:hint="default" w:ascii="Times New Roman" w:hAnsi="Times New Roman" w:cs="Times New Roman"/>
          <w:color w:val="auto"/>
          <w:sz w:val="28"/>
          <w:lang w:val="en-US" w:eastAsia="zh-CN"/>
        </w:rPr>
        <w:t>拆除</w:t>
      </w:r>
      <w:r>
        <w:rPr>
          <w:rFonts w:hint="eastAsia" w:cs="Times New Roman"/>
          <w:color w:val="auto"/>
          <w:sz w:val="28"/>
          <w:lang w:val="en-US" w:eastAsia="zh-CN"/>
        </w:rPr>
        <w:t>，其余输油管线依托原有</w:t>
      </w:r>
      <w:r>
        <w:rPr>
          <w:rFonts w:hint="default" w:ascii="Times New Roman" w:hAnsi="Times New Roman" w:cs="Times New Roman"/>
          <w:color w:val="auto"/>
          <w:sz w:val="28"/>
          <w:lang w:val="en-US" w:eastAsia="zh-CN"/>
        </w:rPr>
        <w:t>；</w:t>
      </w:r>
      <w:r>
        <w:rPr>
          <w:rFonts w:hint="eastAsia" w:cs="Times New Roman"/>
          <w:color w:val="auto"/>
          <w:sz w:val="28"/>
          <w:lang w:val="en-US" w:eastAsia="zh-CN"/>
        </w:rPr>
        <w:t>加油作业区</w:t>
      </w:r>
      <w:r>
        <w:rPr>
          <w:rFonts w:hint="eastAsia" w:cs="Times New Roman" w:eastAsiaTheme="minorEastAsia"/>
          <w:color w:val="auto"/>
          <w:szCs w:val="28"/>
          <w:highlight w:val="none"/>
          <w:lang w:eastAsia="zh-CN"/>
        </w:rPr>
        <w:t>原</w:t>
      </w:r>
      <w:r>
        <w:rPr>
          <w:rFonts w:hint="eastAsia" w:cs="Times New Roman" w:eastAsiaTheme="minorEastAsia"/>
          <w:color w:val="auto"/>
          <w:szCs w:val="28"/>
          <w:highlight w:val="none"/>
          <w:lang w:val="en-US" w:eastAsia="zh-CN"/>
        </w:rPr>
        <w:t>8台单枪加油机（已停用1台），现拆除1台，目前使用6台，均为依托原有；</w:t>
      </w:r>
      <w:r>
        <w:rPr>
          <w:rFonts w:hint="default" w:ascii="Times New Roman" w:hAnsi="Times New Roman" w:cs="Times New Roman"/>
          <w:color w:val="auto"/>
          <w:sz w:val="28"/>
          <w:lang w:val="en-US" w:eastAsia="zh-CN"/>
        </w:rPr>
        <w:t>油罐区</w:t>
      </w:r>
      <w:r>
        <w:rPr>
          <w:rFonts w:hint="default" w:ascii="Times New Roman" w:hAnsi="Times New Roman" w:cs="Times New Roman"/>
          <w:color w:val="auto"/>
          <w:sz w:val="28"/>
          <w:lang w:eastAsia="zh-CN"/>
        </w:rPr>
        <w:t>卸油口</w:t>
      </w:r>
      <w:r>
        <w:rPr>
          <w:rFonts w:hint="default" w:ascii="Times New Roman" w:hAnsi="Times New Roman" w:cs="Times New Roman"/>
          <w:color w:val="auto"/>
          <w:sz w:val="28"/>
          <w:lang w:val="en-US" w:eastAsia="zh-CN"/>
        </w:rPr>
        <w:t>利旧</w:t>
      </w:r>
      <w:r>
        <w:rPr>
          <w:rFonts w:hint="default" w:ascii="Times New Roman" w:hAnsi="Times New Roman" w:cs="Times New Roman"/>
          <w:color w:val="auto"/>
          <w:sz w:val="28"/>
          <w:lang w:eastAsia="zh-CN"/>
        </w:rPr>
        <w:t>。</w:t>
      </w:r>
      <w:r>
        <w:rPr>
          <w:rFonts w:hint="default" w:ascii="Times New Roman" w:hAnsi="Times New Roman" w:cs="Times New Roman"/>
          <w:color w:val="auto"/>
          <w:sz w:val="28"/>
        </w:rPr>
        <w:t>改造后该</w:t>
      </w:r>
      <w:r>
        <w:rPr>
          <w:rFonts w:hint="eastAsia" w:cs="Times New Roman"/>
          <w:color w:val="auto"/>
          <w:sz w:val="28"/>
          <w:lang w:eastAsia="zh-CN"/>
        </w:rPr>
        <w:t>加油</w:t>
      </w:r>
      <w:r>
        <w:rPr>
          <w:rFonts w:hint="default" w:ascii="Times New Roman" w:hAnsi="Times New Roman" w:cs="Times New Roman"/>
          <w:color w:val="auto"/>
          <w:sz w:val="28"/>
        </w:rPr>
        <w:t>站</w:t>
      </w:r>
      <w:r>
        <w:rPr>
          <w:rFonts w:hint="eastAsia" w:cs="Times New Roman"/>
          <w:color w:val="auto"/>
          <w:sz w:val="28"/>
          <w:lang w:eastAsia="zh-CN"/>
        </w:rPr>
        <w:t>等级不变，</w:t>
      </w:r>
      <w:r>
        <w:rPr>
          <w:rFonts w:hint="default" w:ascii="Times New Roman" w:hAnsi="Times New Roman" w:cs="Times New Roman"/>
          <w:color w:val="auto"/>
          <w:sz w:val="28"/>
        </w:rPr>
        <w:t>为</w:t>
      </w:r>
      <w:r>
        <w:rPr>
          <w:rFonts w:hint="eastAsia" w:cs="Times New Roman"/>
          <w:color w:val="auto"/>
          <w:sz w:val="28"/>
          <w:lang w:eastAsia="zh-CN"/>
        </w:rPr>
        <w:t>一级加油站</w:t>
      </w:r>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left="0" w:leftChars="0" w:firstLine="560" w:firstLineChars="200"/>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该加油中心</w:t>
      </w:r>
      <w:r>
        <w:rPr>
          <w:rFonts w:hint="default" w:ascii="Times New Roman" w:hAnsi="Times New Roman" w:cs="Times New Roman" w:eastAsiaTheme="minorEastAsia"/>
          <w:color w:val="auto"/>
          <w:szCs w:val="28"/>
        </w:rPr>
        <w:t>现</w:t>
      </w:r>
      <w:r>
        <w:rPr>
          <w:rFonts w:hint="eastAsia" w:cs="Times New Roman" w:eastAsiaTheme="minorEastAsia"/>
          <w:color w:val="auto"/>
          <w:szCs w:val="28"/>
          <w:lang w:eastAsia="zh-CN"/>
        </w:rPr>
        <w:t>共</w:t>
      </w:r>
      <w:r>
        <w:rPr>
          <w:rFonts w:hint="default" w:ascii="Times New Roman" w:hAnsi="Times New Roman" w:cs="Times New Roman" w:eastAsiaTheme="minorEastAsia"/>
          <w:color w:val="auto"/>
          <w:szCs w:val="28"/>
        </w:rPr>
        <w:t>有</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台加油机</w:t>
      </w: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其中1台停用</w:t>
      </w: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在用加油机包括3</w:t>
      </w:r>
      <w:r>
        <w:rPr>
          <w:rFonts w:hint="default" w:ascii="Times New Roman" w:hAnsi="Times New Roman" w:cs="Times New Roman" w:eastAsiaTheme="minorEastAsia"/>
          <w:color w:val="auto"/>
          <w:szCs w:val="28"/>
        </w:rPr>
        <w:t>台汽油加油机、</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台柴油加油机，均为一机</w:t>
      </w:r>
      <w:r>
        <w:rPr>
          <w:rFonts w:hint="eastAsia" w:cs="Times New Roman" w:eastAsiaTheme="minorEastAsia"/>
          <w:color w:val="auto"/>
          <w:szCs w:val="28"/>
          <w:lang w:val="en-US" w:eastAsia="zh-CN"/>
        </w:rPr>
        <w:t>单</w:t>
      </w:r>
      <w:r>
        <w:rPr>
          <w:rFonts w:hint="default" w:ascii="Times New Roman" w:hAnsi="Times New Roman" w:cs="Times New Roman" w:eastAsiaTheme="minorEastAsia"/>
          <w:color w:val="auto"/>
          <w:szCs w:val="28"/>
        </w:rPr>
        <w:t>枪加油机</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台埋地卧式储罐</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其中</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台</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0m</w:t>
      </w:r>
      <w:r>
        <w:rPr>
          <w:rFonts w:hint="default" w:ascii="Times New Roman" w:hAnsi="Times New Roman" w:cs="Times New Roman" w:eastAsiaTheme="minorEastAsia"/>
          <w:color w:val="auto"/>
          <w:szCs w:val="28"/>
          <w:vertAlign w:val="superscript"/>
        </w:rPr>
        <w:t>3</w:t>
      </w:r>
      <w:r>
        <w:rPr>
          <w:rFonts w:hint="default" w:ascii="Times New Roman" w:hAnsi="Times New Roman" w:cs="Times New Roman" w:eastAsiaTheme="minorEastAsia"/>
          <w:color w:val="auto"/>
          <w:szCs w:val="28"/>
        </w:rPr>
        <w:t>的</w:t>
      </w:r>
      <w:r>
        <w:rPr>
          <w:rFonts w:hint="eastAsia" w:cs="Times New Roman" w:eastAsiaTheme="minorEastAsia"/>
          <w:color w:val="auto"/>
          <w:szCs w:val="28"/>
          <w:lang w:eastAsia="zh-CN"/>
        </w:rPr>
        <w:t>汽油</w:t>
      </w:r>
      <w:r>
        <w:rPr>
          <w:rFonts w:hint="default" w:ascii="Times New Roman" w:hAnsi="Times New Roman" w:cs="Times New Roman" w:eastAsiaTheme="minorEastAsia"/>
          <w:color w:val="auto"/>
          <w:szCs w:val="28"/>
        </w:rPr>
        <w:t>储罐、</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台</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0m</w:t>
      </w:r>
      <w:r>
        <w:rPr>
          <w:rFonts w:hint="default" w:ascii="Times New Roman" w:hAnsi="Times New Roman" w:cs="Times New Roman" w:eastAsiaTheme="minorEastAsia"/>
          <w:color w:val="auto"/>
          <w:szCs w:val="28"/>
          <w:vertAlign w:val="superscript"/>
        </w:rPr>
        <w:t>3</w:t>
      </w:r>
      <w:r>
        <w:rPr>
          <w:rFonts w:hint="default" w:ascii="Times New Roman" w:hAnsi="Times New Roman" w:cs="Times New Roman" w:eastAsiaTheme="minorEastAsia"/>
          <w:color w:val="auto"/>
          <w:szCs w:val="28"/>
        </w:rPr>
        <w:t>的</w:t>
      </w:r>
      <w:r>
        <w:rPr>
          <w:rFonts w:hint="eastAsia" w:cs="Times New Roman" w:eastAsiaTheme="minorEastAsia"/>
          <w:color w:val="auto"/>
          <w:szCs w:val="28"/>
          <w:lang w:eastAsia="zh-CN"/>
        </w:rPr>
        <w:t>柴油</w:t>
      </w:r>
      <w:r>
        <w:rPr>
          <w:rFonts w:hint="default" w:ascii="Times New Roman" w:hAnsi="Times New Roman" w:cs="Times New Roman" w:eastAsiaTheme="minorEastAsia"/>
          <w:color w:val="auto"/>
          <w:szCs w:val="28"/>
        </w:rPr>
        <w:t>储罐</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储罐均为SF双层地埋储罐，由钢制内罐和玻璃纤维外罐组成；储罐均设有液位报警装置、防满溢紧急切断阀、双层管线泄漏仪、双层储罐泄漏仪。</w:t>
      </w:r>
      <w:r>
        <w:rPr>
          <w:rFonts w:hint="eastAsia" w:cs="Times New Roman" w:eastAsiaTheme="minorEastAsia"/>
          <w:color w:val="auto"/>
          <w:szCs w:val="28"/>
          <w:lang w:eastAsia="zh-CN"/>
        </w:rPr>
        <w:t>该加油中心</w:t>
      </w:r>
      <w:r>
        <w:rPr>
          <w:rFonts w:hint="default" w:ascii="Times New Roman" w:hAnsi="Times New Roman" w:cs="Times New Roman" w:eastAsiaTheme="minorEastAsia"/>
          <w:color w:val="auto"/>
          <w:szCs w:val="28"/>
        </w:rPr>
        <w:t>油品总储量为</w:t>
      </w:r>
      <w:r>
        <w:rPr>
          <w:rFonts w:hint="eastAsia" w:cs="Times New Roman" w:eastAsiaTheme="minorEastAsia"/>
          <w:color w:val="auto"/>
          <w:szCs w:val="28"/>
          <w:lang w:val="en-US" w:eastAsia="zh-CN"/>
        </w:rPr>
        <w:t>250</w:t>
      </w:r>
      <w:r>
        <w:rPr>
          <w:rFonts w:hint="default" w:ascii="Times New Roman" w:hAnsi="Times New Roman" w:cs="Times New Roman" w:eastAsiaTheme="minorEastAsia"/>
          <w:color w:val="auto"/>
          <w:szCs w:val="28"/>
        </w:rPr>
        <w:t>m</w:t>
      </w:r>
      <w:r>
        <w:rPr>
          <w:rFonts w:hint="default" w:ascii="Times New Roman" w:hAnsi="Times New Roman" w:cs="Times New Roman" w:eastAsiaTheme="minorEastAsia"/>
          <w:color w:val="auto"/>
          <w:szCs w:val="28"/>
          <w:vertAlign w:val="superscript"/>
        </w:rPr>
        <w:t>3</w:t>
      </w:r>
      <w:r>
        <w:rPr>
          <w:rFonts w:hint="default" w:ascii="Times New Roman" w:hAnsi="Times New Roman" w:cs="Times New Roman" w:eastAsiaTheme="minorEastAsia"/>
          <w:color w:val="auto"/>
          <w:szCs w:val="28"/>
        </w:rPr>
        <w:t>，计算油品</w:t>
      </w:r>
      <w:r>
        <w:rPr>
          <w:rFonts w:hint="eastAsia" w:cs="Times New Roman" w:eastAsiaTheme="minorEastAsia"/>
          <w:color w:val="auto"/>
          <w:szCs w:val="28"/>
          <w:lang w:eastAsia="zh-CN"/>
        </w:rPr>
        <w:t>总容积</w:t>
      </w:r>
      <w:r>
        <w:rPr>
          <w:rFonts w:hint="default" w:ascii="Times New Roman" w:hAnsi="Times New Roman" w:cs="Times New Roman" w:eastAsiaTheme="minorEastAsia"/>
          <w:color w:val="auto"/>
          <w:szCs w:val="28"/>
        </w:rPr>
        <w:t>为</w:t>
      </w:r>
      <w:r>
        <w:rPr>
          <w:rFonts w:hint="eastAsia" w:cs="Times New Roman" w:eastAsiaTheme="minorEastAsia"/>
          <w:color w:val="auto"/>
          <w:szCs w:val="28"/>
          <w:lang w:val="en-US" w:eastAsia="zh-CN"/>
        </w:rPr>
        <w:t>200</w:t>
      </w:r>
      <w:r>
        <w:rPr>
          <w:rFonts w:hint="default" w:ascii="Times New Roman" w:hAnsi="Times New Roman" w:cs="Times New Roman" w:eastAsiaTheme="minorEastAsia"/>
          <w:color w:val="auto"/>
          <w:szCs w:val="28"/>
        </w:rPr>
        <w:t>m³（柴油罐容积折半计入总容积）。依据《汽车加油加气站设计与施工规范（2014年版）》（GB50156-2012）第3.0.9条，</w:t>
      </w:r>
      <w:r>
        <w:rPr>
          <w:rFonts w:hint="eastAsia" w:cs="Times New Roman" w:eastAsiaTheme="minorEastAsia"/>
          <w:color w:val="auto"/>
          <w:szCs w:val="28"/>
          <w:lang w:eastAsia="zh-CN"/>
        </w:rPr>
        <w:t>该加油中心</w:t>
      </w:r>
      <w:r>
        <w:rPr>
          <w:rFonts w:hint="default" w:ascii="Times New Roman" w:hAnsi="Times New Roman" w:cs="Times New Roman" w:eastAsiaTheme="minorEastAsia"/>
          <w:color w:val="auto"/>
          <w:szCs w:val="28"/>
        </w:rPr>
        <w:t>属于</w:t>
      </w:r>
      <w:r>
        <w:rPr>
          <w:rFonts w:hint="eastAsia" w:cs="Times New Roman" w:eastAsiaTheme="minorEastAsia"/>
          <w:color w:val="auto"/>
          <w:szCs w:val="28"/>
          <w:lang w:val="en-US" w:eastAsia="zh-CN"/>
        </w:rPr>
        <w:t>一</w:t>
      </w:r>
      <w:r>
        <w:rPr>
          <w:rFonts w:hint="default" w:ascii="Times New Roman" w:hAnsi="Times New Roman" w:cs="Times New Roman" w:eastAsiaTheme="minorEastAsia"/>
          <w:color w:val="auto"/>
          <w:szCs w:val="28"/>
        </w:rPr>
        <w:t>级站。其储存情况见表</w:t>
      </w:r>
      <w:r>
        <w:rPr>
          <w:rFonts w:hint="default" w:ascii="Times New Roman" w:hAnsi="Times New Roman" w:cs="Times New Roman" w:eastAsiaTheme="minorEastAsia"/>
          <w:color w:val="auto"/>
          <w:szCs w:val="28"/>
          <w:lang w:val="en-US" w:eastAsia="zh-CN"/>
        </w:rPr>
        <w:t>2.2-1</w:t>
      </w:r>
      <w:r>
        <w:rPr>
          <w:rFonts w:hint="default" w:ascii="Times New Roman" w:hAnsi="Times New Roman" w:cs="Times New Roman" w:eastAsiaTheme="minorEastAsia"/>
          <w:color w:val="auto"/>
          <w:szCs w:val="28"/>
        </w:rPr>
        <w:t>。</w:t>
      </w:r>
    </w:p>
    <w:p>
      <w:pPr>
        <w:pStyle w:val="84"/>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表2.2-1 主要储存种类一览表</w:t>
      </w:r>
    </w:p>
    <w:tbl>
      <w:tblPr>
        <w:tblStyle w:val="29"/>
        <w:tblW w:w="8756" w:type="dxa"/>
        <w:tblInd w:w="30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92"/>
        <w:gridCol w:w="1948"/>
        <w:gridCol w:w="1933"/>
        <w:gridCol w:w="16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0"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名称</w:t>
            </w:r>
          </w:p>
        </w:tc>
        <w:tc>
          <w:tcPr>
            <w:tcW w:w="1292"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规格</w:t>
            </w:r>
          </w:p>
        </w:tc>
        <w:tc>
          <w:tcPr>
            <w:tcW w:w="1948"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最大储存量（t）</w:t>
            </w:r>
          </w:p>
        </w:tc>
        <w:tc>
          <w:tcPr>
            <w:tcW w:w="1933"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来源</w:t>
            </w:r>
          </w:p>
        </w:tc>
        <w:tc>
          <w:tcPr>
            <w:tcW w:w="1603"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储存形式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汽油</w:t>
            </w:r>
          </w:p>
        </w:tc>
        <w:tc>
          <w:tcPr>
            <w:tcW w:w="1292"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50</w:t>
            </w:r>
            <w:r>
              <w:rPr>
                <w:rFonts w:hint="default" w:ascii="Times New Roman" w:hAnsi="Times New Roman" w:cs="Times New Roman" w:eastAsiaTheme="minorEastAsia"/>
                <w:color w:val="auto"/>
                <w:sz w:val="21"/>
                <w:szCs w:val="21"/>
              </w:rPr>
              <w:t>m³×</w:t>
            </w:r>
            <w:r>
              <w:rPr>
                <w:rFonts w:hint="eastAsia" w:cs="Times New Roman" w:eastAsiaTheme="minorEastAsia"/>
                <w:color w:val="auto"/>
                <w:sz w:val="21"/>
                <w:szCs w:val="21"/>
                <w:lang w:val="en-US" w:eastAsia="zh-CN"/>
              </w:rPr>
              <w:t>3</w:t>
            </w:r>
          </w:p>
        </w:tc>
        <w:tc>
          <w:tcPr>
            <w:tcW w:w="1948"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115.5</w:t>
            </w:r>
          </w:p>
        </w:tc>
        <w:tc>
          <w:tcPr>
            <w:tcW w:w="1933"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炼化企业</w:t>
            </w:r>
          </w:p>
        </w:tc>
        <w:tc>
          <w:tcPr>
            <w:tcW w:w="1603"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埋地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0"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柴油</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（闭口闪点≤</w:t>
            </w:r>
            <w:r>
              <w:rPr>
                <w:rFonts w:hint="default" w:ascii="Times New Roman" w:hAnsi="Times New Roman" w:cs="Times New Roman" w:eastAsiaTheme="minorEastAsia"/>
                <w:color w:val="auto"/>
                <w:sz w:val="21"/>
                <w:szCs w:val="21"/>
                <w:lang w:val="en-US" w:eastAsia="zh-CN"/>
              </w:rPr>
              <w:t>60℃</w:t>
            </w:r>
            <w:r>
              <w:rPr>
                <w:rFonts w:hint="default" w:ascii="Times New Roman" w:hAnsi="Times New Roman" w:cs="Times New Roman" w:eastAsiaTheme="minorEastAsia"/>
                <w:color w:val="auto"/>
                <w:sz w:val="21"/>
                <w:szCs w:val="21"/>
                <w:lang w:eastAsia="zh-CN"/>
              </w:rPr>
              <w:t>）</w:t>
            </w:r>
          </w:p>
        </w:tc>
        <w:tc>
          <w:tcPr>
            <w:tcW w:w="1292"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50</w:t>
            </w:r>
            <w:r>
              <w:rPr>
                <w:rFonts w:hint="default" w:ascii="Times New Roman" w:hAnsi="Times New Roman" w:cs="Times New Roman" w:eastAsiaTheme="minorEastAsia"/>
                <w:color w:val="auto"/>
                <w:sz w:val="21"/>
                <w:szCs w:val="21"/>
              </w:rPr>
              <w:t>m³×</w:t>
            </w:r>
            <w:r>
              <w:rPr>
                <w:rFonts w:hint="eastAsia" w:cs="Times New Roman" w:eastAsiaTheme="minorEastAsia"/>
                <w:color w:val="auto"/>
                <w:sz w:val="21"/>
                <w:szCs w:val="21"/>
                <w:lang w:val="en-US" w:eastAsia="zh-CN"/>
              </w:rPr>
              <w:t>2</w:t>
            </w:r>
          </w:p>
        </w:tc>
        <w:tc>
          <w:tcPr>
            <w:tcW w:w="1948"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85</w:t>
            </w:r>
          </w:p>
        </w:tc>
        <w:tc>
          <w:tcPr>
            <w:tcW w:w="1933"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炼化企业</w:t>
            </w:r>
          </w:p>
        </w:tc>
        <w:tc>
          <w:tcPr>
            <w:tcW w:w="1603"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埋地</w:t>
            </w:r>
          </w:p>
        </w:tc>
      </w:tr>
    </w:tbl>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180" w:firstLineChars="100"/>
        <w:textAlignment w:val="auto"/>
        <w:rPr>
          <w:rFonts w:hint="default" w:ascii="Times New Roman" w:hAnsi="Times New Roman" w:cs="Times New Roman" w:eastAsiaTheme="minorEastAsia"/>
          <w:color w:val="auto"/>
          <w:sz w:val="18"/>
          <w:szCs w:val="18"/>
        </w:rPr>
      </w:pPr>
      <w:r>
        <w:rPr>
          <w:rFonts w:hint="default" w:ascii="Times New Roman" w:hAnsi="Times New Roman" w:cs="Times New Roman" w:eastAsiaTheme="minorEastAsia"/>
          <w:color w:val="auto"/>
          <w:sz w:val="18"/>
          <w:szCs w:val="18"/>
        </w:rPr>
        <w:t>注：该加油站设有</w:t>
      </w:r>
      <w:r>
        <w:rPr>
          <w:rFonts w:hint="eastAsia" w:cs="Times New Roman" w:eastAsiaTheme="minorEastAsia"/>
          <w:color w:val="auto"/>
          <w:sz w:val="18"/>
          <w:szCs w:val="18"/>
          <w:lang w:val="en-US" w:eastAsia="zh-CN"/>
        </w:rPr>
        <w:t>3</w:t>
      </w:r>
      <w:r>
        <w:rPr>
          <w:rFonts w:hint="default" w:ascii="Times New Roman" w:hAnsi="Times New Roman" w:cs="Times New Roman" w:eastAsiaTheme="minorEastAsia"/>
          <w:color w:val="auto"/>
          <w:sz w:val="18"/>
          <w:szCs w:val="18"/>
        </w:rPr>
        <w:t>个</w:t>
      </w:r>
      <w:r>
        <w:rPr>
          <w:rFonts w:hint="eastAsia" w:cs="Times New Roman" w:eastAsiaTheme="minorEastAsia"/>
          <w:color w:val="auto"/>
          <w:sz w:val="18"/>
          <w:szCs w:val="18"/>
          <w:lang w:val="en-US" w:eastAsia="zh-CN"/>
        </w:rPr>
        <w:t>5</w:t>
      </w:r>
      <w:r>
        <w:rPr>
          <w:rFonts w:hint="default" w:ascii="Times New Roman" w:hAnsi="Times New Roman" w:cs="Times New Roman" w:eastAsiaTheme="minorEastAsia"/>
          <w:color w:val="auto"/>
          <w:sz w:val="18"/>
          <w:szCs w:val="18"/>
        </w:rPr>
        <w:t>0m³汽油储罐，总容量为</w:t>
      </w:r>
      <w:r>
        <w:rPr>
          <w:rFonts w:hint="eastAsia" w:cs="Times New Roman" w:eastAsiaTheme="minorEastAsia"/>
          <w:color w:val="auto"/>
          <w:sz w:val="18"/>
          <w:szCs w:val="18"/>
          <w:lang w:val="en-US" w:eastAsia="zh-CN"/>
        </w:rPr>
        <w:t>150</w:t>
      </w:r>
      <w:r>
        <w:rPr>
          <w:rFonts w:hint="default" w:ascii="Times New Roman" w:hAnsi="Times New Roman" w:cs="Times New Roman" w:eastAsiaTheme="minorEastAsia"/>
          <w:color w:val="auto"/>
          <w:sz w:val="18"/>
          <w:szCs w:val="18"/>
        </w:rPr>
        <w:t>m³，汽油密度以0.77×10</w:t>
      </w:r>
      <w:r>
        <w:rPr>
          <w:rFonts w:hint="default" w:ascii="Times New Roman" w:hAnsi="Times New Roman" w:cs="Times New Roman" w:eastAsiaTheme="minorEastAsia"/>
          <w:color w:val="auto"/>
          <w:sz w:val="18"/>
          <w:szCs w:val="18"/>
          <w:vertAlign w:val="superscript"/>
        </w:rPr>
        <w:t>3</w:t>
      </w:r>
      <w:r>
        <w:rPr>
          <w:rFonts w:hint="default" w:ascii="Times New Roman" w:hAnsi="Times New Roman" w:cs="Times New Roman" w:eastAsiaTheme="minorEastAsia"/>
          <w:color w:val="auto"/>
          <w:sz w:val="18"/>
          <w:szCs w:val="18"/>
        </w:rPr>
        <w:t>kg/m³计，最大储量为</w:t>
      </w:r>
      <w:r>
        <w:rPr>
          <w:rFonts w:hint="eastAsia" w:cs="Times New Roman" w:eastAsiaTheme="minorEastAsia"/>
          <w:color w:val="auto"/>
          <w:sz w:val="18"/>
          <w:szCs w:val="18"/>
          <w:lang w:val="en-US" w:eastAsia="zh-CN"/>
        </w:rPr>
        <w:t>115.5</w:t>
      </w:r>
      <w:r>
        <w:rPr>
          <w:rFonts w:hint="default" w:ascii="Times New Roman" w:hAnsi="Times New Roman" w:cs="Times New Roman" w:eastAsiaTheme="minorEastAsia"/>
          <w:color w:val="auto"/>
          <w:sz w:val="18"/>
          <w:szCs w:val="18"/>
        </w:rPr>
        <w:t>t；</w:t>
      </w:r>
    </w:p>
    <w:p>
      <w:pPr>
        <w:keepNext w:val="0"/>
        <w:keepLines w:val="0"/>
        <w:pageBreakBefore w:val="0"/>
        <w:widowControl w:val="0"/>
        <w:kinsoku/>
        <w:wordWrap/>
        <w:overflowPunct/>
        <w:topLinePunct w:val="0"/>
        <w:autoSpaceDE/>
        <w:autoSpaceDN/>
        <w:bidi w:val="0"/>
        <w:adjustRightInd w:val="0"/>
        <w:snapToGrid w:val="0"/>
        <w:spacing w:line="240" w:lineRule="auto"/>
        <w:ind w:firstLine="540" w:firstLineChars="3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 w:val="18"/>
          <w:szCs w:val="18"/>
        </w:rPr>
        <w:t>该加油站设有</w:t>
      </w:r>
      <w:r>
        <w:rPr>
          <w:rFonts w:hint="eastAsia" w:cs="Times New Roman" w:eastAsiaTheme="minorEastAsia"/>
          <w:color w:val="auto"/>
          <w:sz w:val="18"/>
          <w:szCs w:val="18"/>
          <w:lang w:val="en-US" w:eastAsia="zh-CN"/>
        </w:rPr>
        <w:t>2</w:t>
      </w:r>
      <w:r>
        <w:rPr>
          <w:rFonts w:hint="default" w:ascii="Times New Roman" w:hAnsi="Times New Roman" w:cs="Times New Roman" w:eastAsiaTheme="minorEastAsia"/>
          <w:color w:val="auto"/>
          <w:sz w:val="18"/>
          <w:szCs w:val="18"/>
        </w:rPr>
        <w:t>个</w:t>
      </w:r>
      <w:r>
        <w:rPr>
          <w:rFonts w:hint="eastAsia" w:cs="Times New Roman" w:eastAsiaTheme="minorEastAsia"/>
          <w:color w:val="auto"/>
          <w:sz w:val="18"/>
          <w:szCs w:val="18"/>
          <w:lang w:val="en-US" w:eastAsia="zh-CN"/>
        </w:rPr>
        <w:t>50</w:t>
      </w:r>
      <w:r>
        <w:rPr>
          <w:rFonts w:hint="default" w:ascii="Times New Roman" w:hAnsi="Times New Roman" w:cs="Times New Roman" w:eastAsiaTheme="minorEastAsia"/>
          <w:color w:val="auto"/>
          <w:sz w:val="18"/>
          <w:szCs w:val="18"/>
        </w:rPr>
        <w:t>m³柴油储罐，总容量为</w:t>
      </w:r>
      <w:r>
        <w:rPr>
          <w:rFonts w:hint="eastAsia" w:cs="Times New Roman" w:eastAsiaTheme="minorEastAsia"/>
          <w:color w:val="auto"/>
          <w:sz w:val="18"/>
          <w:szCs w:val="18"/>
          <w:lang w:val="en-US" w:eastAsia="zh-CN"/>
        </w:rPr>
        <w:t>100</w:t>
      </w:r>
      <w:r>
        <w:rPr>
          <w:rFonts w:hint="default" w:ascii="Times New Roman" w:hAnsi="Times New Roman" w:cs="Times New Roman" w:eastAsiaTheme="minorEastAsia"/>
          <w:color w:val="auto"/>
          <w:sz w:val="18"/>
          <w:szCs w:val="18"/>
        </w:rPr>
        <w:t>m³，柴油密度以0.85×10</w:t>
      </w:r>
      <w:r>
        <w:rPr>
          <w:rFonts w:hint="default" w:ascii="Times New Roman" w:hAnsi="Times New Roman" w:cs="Times New Roman" w:eastAsiaTheme="minorEastAsia"/>
          <w:color w:val="auto"/>
          <w:sz w:val="18"/>
          <w:szCs w:val="18"/>
          <w:vertAlign w:val="superscript"/>
        </w:rPr>
        <w:t>3</w:t>
      </w:r>
      <w:r>
        <w:rPr>
          <w:rFonts w:hint="default" w:ascii="Times New Roman" w:hAnsi="Times New Roman" w:cs="Times New Roman" w:eastAsiaTheme="minorEastAsia"/>
          <w:color w:val="auto"/>
          <w:sz w:val="18"/>
          <w:szCs w:val="18"/>
        </w:rPr>
        <w:t>kg/m³计，最大储量为</w:t>
      </w:r>
      <w:r>
        <w:rPr>
          <w:rFonts w:hint="eastAsia" w:cs="Times New Roman" w:eastAsiaTheme="minorEastAsia"/>
          <w:color w:val="auto"/>
          <w:sz w:val="18"/>
          <w:szCs w:val="18"/>
          <w:lang w:val="en-US" w:eastAsia="zh-CN"/>
        </w:rPr>
        <w:t>85</w:t>
      </w:r>
      <w:r>
        <w:rPr>
          <w:rFonts w:hint="default" w:ascii="Times New Roman" w:hAnsi="Times New Roman" w:cs="Times New Roman" w:eastAsiaTheme="minorEastAsia"/>
          <w:color w:val="auto"/>
          <w:sz w:val="18"/>
          <w:szCs w:val="18"/>
        </w:rPr>
        <w:t>t。</w:t>
      </w:r>
    </w:p>
    <w:p>
      <w:pPr>
        <w:keepNext w:val="0"/>
        <w:keepLines w:val="0"/>
        <w:pageBreakBefore w:val="0"/>
        <w:widowControl w:val="0"/>
        <w:kinsoku/>
        <w:wordWrap/>
        <w:overflowPunct/>
        <w:topLinePunct w:val="0"/>
        <w:autoSpaceDE/>
        <w:autoSpaceDN/>
        <w:bidi w:val="0"/>
        <w:adjustRightInd w:val="0"/>
        <w:snapToGrid w:val="0"/>
        <w:spacing w:before="157" w:beforeLines="5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项目主要经营品种与规模见表</w:t>
      </w:r>
      <w:r>
        <w:rPr>
          <w:rFonts w:hint="default" w:ascii="Times New Roman" w:hAnsi="Times New Roman" w:cs="Times New Roman" w:eastAsiaTheme="minorEastAsia"/>
          <w:color w:val="auto"/>
          <w:szCs w:val="28"/>
          <w:lang w:val="en-US" w:eastAsia="zh-CN"/>
        </w:rPr>
        <w:t>2.2-2。</w:t>
      </w:r>
    </w:p>
    <w:p>
      <w:pPr>
        <w:pStyle w:val="84"/>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表2.2-2 主要经营油品种类一览表</w:t>
      </w:r>
    </w:p>
    <w:tbl>
      <w:tblPr>
        <w:tblStyle w:val="29"/>
        <w:tblW w:w="87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688"/>
        <w:gridCol w:w="1275"/>
        <w:gridCol w:w="929"/>
        <w:gridCol w:w="1940"/>
        <w:gridCol w:w="905"/>
        <w:gridCol w:w="646"/>
        <w:gridCol w:w="13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23"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名称</w:t>
            </w:r>
          </w:p>
        </w:tc>
        <w:tc>
          <w:tcPr>
            <w:tcW w:w="688"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规格</w:t>
            </w:r>
          </w:p>
        </w:tc>
        <w:tc>
          <w:tcPr>
            <w:tcW w:w="127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eastAsia="Times New Roman" w:cs="Times New Roman"/>
                <w:b/>
                <w:color w:val="auto"/>
                <w:sz w:val="21"/>
                <w:szCs w:val="21"/>
              </w:rPr>
              <w:t xml:space="preserve">CAS </w:t>
            </w:r>
            <w:r>
              <w:rPr>
                <w:rFonts w:hint="default" w:ascii="Times New Roman" w:hAnsi="Times New Roman" w:cs="Times New Roman"/>
                <w:b/>
                <w:color w:val="auto"/>
                <w:sz w:val="21"/>
                <w:szCs w:val="21"/>
              </w:rPr>
              <w:t>号</w:t>
            </w:r>
          </w:p>
        </w:tc>
        <w:tc>
          <w:tcPr>
            <w:tcW w:w="929"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储存能力（</w:t>
            </w:r>
            <w:r>
              <w:rPr>
                <w:rFonts w:hint="default" w:ascii="Times New Roman" w:hAnsi="Times New Roman" w:eastAsia="Times New Roman" w:cs="Times New Roman"/>
                <w:b/>
                <w:color w:val="auto"/>
                <w:sz w:val="21"/>
                <w:szCs w:val="21"/>
              </w:rPr>
              <w:t>m³</w:t>
            </w:r>
            <w:r>
              <w:rPr>
                <w:rFonts w:hint="default" w:ascii="Times New Roman" w:hAnsi="Times New Roman" w:cs="Times New Roman"/>
                <w:b/>
                <w:color w:val="auto"/>
                <w:sz w:val="21"/>
                <w:szCs w:val="21"/>
              </w:rPr>
              <w:t>）</w:t>
            </w:r>
          </w:p>
        </w:tc>
        <w:tc>
          <w:tcPr>
            <w:tcW w:w="1940"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储存方式</w:t>
            </w:r>
          </w:p>
        </w:tc>
        <w:tc>
          <w:tcPr>
            <w:tcW w:w="90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储存</w:t>
            </w:r>
          </w:p>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地点</w:t>
            </w:r>
          </w:p>
        </w:tc>
        <w:tc>
          <w:tcPr>
            <w:tcW w:w="646"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是否</w:t>
            </w:r>
          </w:p>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剧毒</w:t>
            </w:r>
          </w:p>
        </w:tc>
        <w:tc>
          <w:tcPr>
            <w:tcW w:w="133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023" w:type="dxa"/>
            <w:vMerge w:val="restart"/>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汽油</w:t>
            </w:r>
          </w:p>
        </w:tc>
        <w:tc>
          <w:tcPr>
            <w:tcW w:w="688"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92#</w:t>
            </w:r>
          </w:p>
        </w:tc>
        <w:tc>
          <w:tcPr>
            <w:tcW w:w="127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86290-81-5</w:t>
            </w:r>
          </w:p>
        </w:tc>
        <w:tc>
          <w:tcPr>
            <w:tcW w:w="929"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100</w:t>
            </w:r>
          </w:p>
        </w:tc>
        <w:tc>
          <w:tcPr>
            <w:tcW w:w="1940"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双层卧式埋地储罐</w:t>
            </w:r>
          </w:p>
        </w:tc>
        <w:tc>
          <w:tcPr>
            <w:tcW w:w="90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油罐区</w:t>
            </w:r>
          </w:p>
        </w:tc>
        <w:tc>
          <w:tcPr>
            <w:tcW w:w="646"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c>
          <w:tcPr>
            <w:tcW w:w="1335" w:type="dxa"/>
            <w:vMerge w:val="restart"/>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重点监管</w:t>
            </w:r>
          </w:p>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w:t>
            </w:r>
            <w:r>
              <w:rPr>
                <w:rFonts w:hint="default" w:ascii="Times New Roman" w:hAnsi="Times New Roman" w:cs="Times New Roman"/>
                <w:color w:val="auto"/>
                <w:sz w:val="21"/>
                <w:szCs w:val="21"/>
                <w:lang w:eastAsia="zh-CN"/>
              </w:rPr>
              <w:t>化学</w:t>
            </w:r>
            <w:r>
              <w:rPr>
                <w:rFonts w:hint="default" w:ascii="Times New Roman" w:hAnsi="Times New Roman" w:cs="Times New Roman"/>
                <w:color w:val="auto"/>
                <w:sz w:val="21"/>
                <w:szCs w:val="21"/>
              </w:rPr>
              <w:t>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23" w:type="dxa"/>
            <w:vMerge w:val="continue"/>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p>
        </w:tc>
        <w:tc>
          <w:tcPr>
            <w:tcW w:w="688"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95#</w:t>
            </w:r>
          </w:p>
        </w:tc>
        <w:tc>
          <w:tcPr>
            <w:tcW w:w="127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86290-81-5</w:t>
            </w:r>
          </w:p>
        </w:tc>
        <w:tc>
          <w:tcPr>
            <w:tcW w:w="929"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5</w:t>
            </w:r>
            <w:r>
              <w:rPr>
                <w:rFonts w:hint="default" w:ascii="Times New Roman" w:hAnsi="Times New Roman" w:cs="Times New Roman"/>
                <w:color w:val="auto"/>
                <w:sz w:val="21"/>
                <w:szCs w:val="21"/>
              </w:rPr>
              <w:t>0</w:t>
            </w:r>
          </w:p>
        </w:tc>
        <w:tc>
          <w:tcPr>
            <w:tcW w:w="1940"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双层卧式埋地储罐</w:t>
            </w:r>
          </w:p>
        </w:tc>
        <w:tc>
          <w:tcPr>
            <w:tcW w:w="90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油罐区</w:t>
            </w:r>
          </w:p>
        </w:tc>
        <w:tc>
          <w:tcPr>
            <w:tcW w:w="646"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c>
          <w:tcPr>
            <w:tcW w:w="1335" w:type="dxa"/>
            <w:vMerge w:val="continue"/>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23"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柴油</w:t>
            </w:r>
            <w:r>
              <w:rPr>
                <w:rFonts w:hint="default" w:ascii="Times New Roman" w:hAnsi="Times New Roman" w:cs="Times New Roman" w:eastAsiaTheme="minorEastAsia"/>
                <w:color w:val="auto"/>
                <w:sz w:val="21"/>
                <w:szCs w:val="21"/>
                <w:lang w:eastAsia="zh-CN"/>
              </w:rPr>
              <w:t>（闭口闪点≤</w:t>
            </w:r>
            <w:r>
              <w:rPr>
                <w:rFonts w:hint="default" w:ascii="Times New Roman" w:hAnsi="Times New Roman" w:cs="Times New Roman" w:eastAsiaTheme="minorEastAsia"/>
                <w:color w:val="auto"/>
                <w:sz w:val="21"/>
                <w:szCs w:val="21"/>
                <w:lang w:val="en-US" w:eastAsia="zh-CN"/>
              </w:rPr>
              <w:t>60℃</w:t>
            </w:r>
            <w:r>
              <w:rPr>
                <w:rFonts w:hint="default" w:ascii="Times New Roman" w:hAnsi="Times New Roman" w:cs="Times New Roman" w:eastAsiaTheme="minorEastAsia"/>
                <w:color w:val="auto"/>
                <w:sz w:val="21"/>
                <w:szCs w:val="21"/>
                <w:lang w:eastAsia="zh-CN"/>
              </w:rPr>
              <w:t>）</w:t>
            </w:r>
          </w:p>
        </w:tc>
        <w:tc>
          <w:tcPr>
            <w:tcW w:w="688"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0#</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-10#</w:t>
            </w:r>
          </w:p>
        </w:tc>
        <w:tc>
          <w:tcPr>
            <w:tcW w:w="127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rPr>
              <w:t>/</w:t>
            </w:r>
          </w:p>
        </w:tc>
        <w:tc>
          <w:tcPr>
            <w:tcW w:w="929"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100</w:t>
            </w:r>
          </w:p>
        </w:tc>
        <w:tc>
          <w:tcPr>
            <w:tcW w:w="1940"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双层卧式埋地储罐</w:t>
            </w:r>
          </w:p>
        </w:tc>
        <w:tc>
          <w:tcPr>
            <w:tcW w:w="90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油罐区</w:t>
            </w:r>
          </w:p>
        </w:tc>
        <w:tc>
          <w:tcPr>
            <w:tcW w:w="646"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否</w:t>
            </w:r>
          </w:p>
        </w:tc>
        <w:tc>
          <w:tcPr>
            <w:tcW w:w="1335" w:type="dxa"/>
            <w:tcBorders>
              <w:tl2br w:val="nil"/>
              <w:tr2bl w:val="nil"/>
            </w:tcBorders>
            <w:vAlign w:val="center"/>
          </w:tcPr>
          <w:p>
            <w:pPr>
              <w:pStyle w:val="87"/>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560"/>
        <w:jc w:val="left"/>
        <w:textAlignment w:val="auto"/>
        <w:rPr>
          <w:rFonts w:hint="default" w:ascii="Times New Roman" w:hAnsi="Times New Roman" w:cs="Times New Roman"/>
        </w:rPr>
      </w:pPr>
      <w:r>
        <w:rPr>
          <w:rFonts w:hint="default" w:ascii="Times New Roman" w:hAnsi="Times New Roman" w:cs="Times New Roman"/>
        </w:rPr>
        <w:t>201</w:t>
      </w:r>
      <w:r>
        <w:rPr>
          <w:rFonts w:hint="eastAsia" w:cs="Times New Roman"/>
          <w:lang w:val="en-US" w:eastAsia="zh-CN"/>
        </w:rPr>
        <w:t>8</w:t>
      </w:r>
      <w:r>
        <w:rPr>
          <w:rFonts w:hint="default" w:ascii="Times New Roman" w:hAnsi="Times New Roman" w:cs="Times New Roman"/>
        </w:rPr>
        <w:t>年</w:t>
      </w:r>
      <w:r>
        <w:rPr>
          <w:rFonts w:hint="eastAsia" w:cs="Times New Roman"/>
          <w:lang w:val="en-US" w:eastAsia="zh-CN"/>
        </w:rPr>
        <w:t>10</w:t>
      </w:r>
      <w:r>
        <w:rPr>
          <w:rFonts w:hint="default" w:ascii="Times New Roman" w:hAnsi="Times New Roman" w:cs="Times New Roman"/>
        </w:rPr>
        <w:t>月</w:t>
      </w:r>
      <w:r>
        <w:rPr>
          <w:rFonts w:hint="eastAsia" w:cs="Times New Roman"/>
          <w:lang w:val="en-US" w:eastAsia="zh-CN"/>
        </w:rPr>
        <w:t>18</w:t>
      </w:r>
      <w:r>
        <w:rPr>
          <w:rFonts w:hint="default" w:ascii="Times New Roman" w:hAnsi="Times New Roman" w:cs="Times New Roman"/>
        </w:rPr>
        <w:t>日山东省</w:t>
      </w:r>
      <w:r>
        <w:rPr>
          <w:rFonts w:hint="eastAsia" w:cs="Times New Roman"/>
          <w:lang w:eastAsia="zh-CN"/>
        </w:rPr>
        <w:t>经济和信息化委员会</w:t>
      </w:r>
      <w:r>
        <w:rPr>
          <w:rFonts w:hint="default" w:ascii="Times New Roman" w:hAnsi="Times New Roman" w:cs="Times New Roman"/>
        </w:rPr>
        <w:t>出具的《关于安丘市国源加油站等企业申请成品油零售网点规划确认的批复》（鲁</w:t>
      </w:r>
      <w:r>
        <w:rPr>
          <w:rFonts w:hint="eastAsia" w:cs="Times New Roman"/>
          <w:lang w:val="en-US" w:eastAsia="zh-CN"/>
        </w:rPr>
        <w:t>经信消</w:t>
      </w:r>
      <w:r>
        <w:rPr>
          <w:rFonts w:hint="default" w:ascii="Times New Roman" w:hAnsi="Times New Roman" w:cs="Times New Roman"/>
        </w:rPr>
        <w:t>[201</w:t>
      </w:r>
      <w:r>
        <w:rPr>
          <w:rFonts w:hint="eastAsia" w:cs="Times New Roman"/>
          <w:lang w:val="en-US" w:eastAsia="zh-CN"/>
        </w:rPr>
        <w:t>8</w:t>
      </w:r>
      <w:r>
        <w:rPr>
          <w:rFonts w:hint="default" w:ascii="Times New Roman" w:hAnsi="Times New Roman" w:cs="Times New Roman"/>
        </w:rPr>
        <w:t>]</w:t>
      </w:r>
      <w:r>
        <w:rPr>
          <w:rFonts w:hint="eastAsia" w:cs="Times New Roman"/>
          <w:lang w:val="en-US" w:eastAsia="zh-CN"/>
        </w:rPr>
        <w:t>375</w:t>
      </w:r>
      <w:r>
        <w:rPr>
          <w:rFonts w:hint="default" w:ascii="Times New Roman" w:hAnsi="Times New Roman" w:cs="Times New Roman"/>
        </w:rPr>
        <w:t>号），同意</w:t>
      </w:r>
      <w:r>
        <w:rPr>
          <w:rFonts w:hint="eastAsia" w:cs="Times New Roman"/>
          <w:lang w:eastAsia="zh-CN"/>
        </w:rPr>
        <w:t>山东万通集团垦利金顺油品有限公司第六加油中心</w:t>
      </w:r>
      <w:r>
        <w:rPr>
          <w:rFonts w:hint="eastAsia" w:cs="Times New Roman"/>
          <w:lang w:val="en-US" w:eastAsia="zh-CN"/>
        </w:rPr>
        <w:t>原址</w:t>
      </w:r>
      <w:r>
        <w:rPr>
          <w:rFonts w:hint="eastAsia" w:cs="Times New Roman"/>
          <w:lang w:eastAsia="zh-CN"/>
        </w:rPr>
        <w:t>改扩建</w:t>
      </w:r>
      <w:r>
        <w:rPr>
          <w:rFonts w:hint="default" w:ascii="Times New Roman" w:hAnsi="Times New Roman" w:cs="Times New Roman"/>
        </w:rPr>
        <w:t>。</w:t>
      </w:r>
    </w:p>
    <w:p>
      <w:pPr>
        <w:pStyle w:val="76"/>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20</w:t>
      </w:r>
      <w:r>
        <w:rPr>
          <w:rFonts w:hint="eastAsia" w:cs="Times New Roman" w:eastAsiaTheme="minorEastAsia"/>
          <w:color w:val="auto"/>
          <w:szCs w:val="28"/>
          <w:highlight w:val="none"/>
          <w:lang w:val="en-US" w:eastAsia="zh-CN"/>
        </w:rPr>
        <w:t>20</w:t>
      </w:r>
      <w:r>
        <w:rPr>
          <w:rFonts w:hint="default" w:ascii="Times New Roman" w:hAnsi="Times New Roman" w:cs="Times New Roman" w:eastAsiaTheme="minorEastAsia"/>
          <w:color w:val="auto"/>
          <w:szCs w:val="28"/>
          <w:highlight w:val="none"/>
        </w:rPr>
        <w:t>年</w:t>
      </w:r>
      <w:r>
        <w:rPr>
          <w:rFonts w:hint="eastAsia" w:cs="Times New Roman" w:eastAsiaTheme="minorEastAsia"/>
          <w:color w:val="auto"/>
          <w:szCs w:val="28"/>
          <w:highlight w:val="none"/>
          <w:lang w:val="en-US" w:eastAsia="zh-CN"/>
        </w:rPr>
        <w:t>04</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24</w:t>
      </w:r>
      <w:r>
        <w:rPr>
          <w:rFonts w:hint="default" w:ascii="Times New Roman" w:hAnsi="Times New Roman" w:cs="Times New Roman" w:eastAsiaTheme="minorEastAsia"/>
          <w:color w:val="auto"/>
          <w:szCs w:val="28"/>
          <w:highlight w:val="none"/>
        </w:rPr>
        <w:t>日</w:t>
      </w:r>
      <w:r>
        <w:rPr>
          <w:rFonts w:hint="eastAsia" w:cs="Times New Roman" w:eastAsiaTheme="minorEastAsia"/>
          <w:color w:val="auto"/>
          <w:szCs w:val="28"/>
          <w:highlight w:val="none"/>
          <w:lang w:eastAsia="zh-CN"/>
        </w:rPr>
        <w:t>该加油中心</w:t>
      </w:r>
      <w:r>
        <w:rPr>
          <w:rFonts w:hint="default" w:ascii="Times New Roman" w:hAnsi="Times New Roman" w:cs="Times New Roman" w:eastAsiaTheme="minorEastAsia"/>
          <w:color w:val="auto"/>
          <w:szCs w:val="28"/>
          <w:highlight w:val="none"/>
        </w:rPr>
        <w:t>换发了由</w:t>
      </w:r>
      <w:r>
        <w:rPr>
          <w:rFonts w:hint="eastAsia" w:cs="Times New Roman" w:eastAsiaTheme="minorEastAsia"/>
          <w:color w:val="auto"/>
          <w:szCs w:val="28"/>
          <w:highlight w:val="none"/>
          <w:lang w:eastAsia="zh-CN"/>
        </w:rPr>
        <w:t>东营市商务局</w:t>
      </w:r>
      <w:r>
        <w:rPr>
          <w:rFonts w:hint="default" w:ascii="Times New Roman" w:hAnsi="Times New Roman" w:cs="Times New Roman" w:eastAsiaTheme="minorEastAsia"/>
          <w:color w:val="auto"/>
          <w:szCs w:val="28"/>
          <w:highlight w:val="none"/>
        </w:rPr>
        <w:t>颁发的《成品油零售经营批准证书》，编号为鲁油零售证书第</w:t>
      </w:r>
      <w:r>
        <w:rPr>
          <w:rFonts w:hint="eastAsia" w:cs="Times New Roman" w:eastAsiaTheme="minorEastAsia"/>
          <w:color w:val="auto"/>
          <w:szCs w:val="28"/>
          <w:highlight w:val="none"/>
          <w:lang w:val="en-US" w:eastAsia="zh-CN"/>
        </w:rPr>
        <w:t>3705213022</w:t>
      </w:r>
      <w:r>
        <w:rPr>
          <w:rFonts w:hint="default" w:ascii="Times New Roman" w:hAnsi="Times New Roman" w:cs="Times New Roman" w:eastAsiaTheme="minorEastAsia"/>
          <w:color w:val="auto"/>
          <w:szCs w:val="28"/>
          <w:highlight w:val="none"/>
        </w:rPr>
        <w:t>号，有效期至20</w:t>
      </w:r>
      <w:r>
        <w:rPr>
          <w:rFonts w:hint="eastAsia" w:cs="Times New Roman" w:eastAsiaTheme="minorEastAsia"/>
          <w:color w:val="auto"/>
          <w:szCs w:val="28"/>
          <w:highlight w:val="none"/>
          <w:lang w:val="en-US" w:eastAsia="zh-CN"/>
        </w:rPr>
        <w:t>25</w:t>
      </w:r>
      <w:r>
        <w:rPr>
          <w:rFonts w:hint="default" w:ascii="Times New Roman" w:hAnsi="Times New Roman" w:cs="Times New Roman" w:eastAsiaTheme="minorEastAsia"/>
          <w:color w:val="auto"/>
          <w:szCs w:val="28"/>
          <w:highlight w:val="none"/>
        </w:rPr>
        <w:t>年</w:t>
      </w:r>
      <w:r>
        <w:rPr>
          <w:rFonts w:hint="eastAsia" w:cs="Times New Roman" w:eastAsiaTheme="minorEastAsia"/>
          <w:color w:val="auto"/>
          <w:szCs w:val="28"/>
          <w:highlight w:val="none"/>
          <w:lang w:val="en-US" w:eastAsia="zh-CN"/>
        </w:rPr>
        <w:t>04</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24</w:t>
      </w:r>
      <w:r>
        <w:rPr>
          <w:rFonts w:hint="default" w:ascii="Times New Roman" w:hAnsi="Times New Roman" w:cs="Times New Roman" w:eastAsiaTheme="minorEastAsia"/>
          <w:color w:val="auto"/>
          <w:szCs w:val="28"/>
          <w:highlight w:val="none"/>
        </w:rPr>
        <w:t>日。</w:t>
      </w:r>
    </w:p>
    <w:p>
      <w:pPr>
        <w:keepNext w:val="0"/>
        <w:keepLines w:val="0"/>
        <w:pageBreakBefore w:val="0"/>
        <w:widowControl w:val="0"/>
        <w:kinsoku/>
        <w:wordWrap/>
        <w:overflowPunct/>
        <w:topLinePunct w:val="0"/>
        <w:autoSpaceDE/>
        <w:autoSpaceDN/>
        <w:bidi w:val="0"/>
        <w:adjustRightInd w:val="0"/>
        <w:snapToGrid w:val="0"/>
        <w:ind w:firstLine="560"/>
        <w:jc w:val="left"/>
        <w:textAlignment w:val="auto"/>
        <w:rPr>
          <w:rFonts w:hint="eastAsia" w:cs="Times New Roman"/>
          <w:lang w:eastAsia="zh-CN"/>
        </w:rPr>
      </w:pPr>
      <w:r>
        <w:rPr>
          <w:rFonts w:hint="default" w:ascii="Times New Roman" w:hAnsi="Times New Roman" w:cs="Times New Roman" w:eastAsiaTheme="minorEastAsia"/>
          <w:color w:val="auto"/>
          <w:szCs w:val="28"/>
          <w:highlight w:val="none"/>
        </w:rPr>
        <w:t>201</w:t>
      </w:r>
      <w:r>
        <w:rPr>
          <w:rFonts w:hint="eastAsia" w:cs="Times New Roman" w:eastAsiaTheme="minorEastAsia"/>
          <w:color w:val="auto"/>
          <w:szCs w:val="28"/>
          <w:highlight w:val="none"/>
          <w:lang w:val="en-US" w:eastAsia="zh-CN"/>
        </w:rPr>
        <w:t>8</w:t>
      </w:r>
      <w:r>
        <w:rPr>
          <w:rFonts w:hint="default" w:ascii="Times New Roman" w:hAnsi="Times New Roman" w:cs="Times New Roman" w:eastAsiaTheme="minorEastAsia"/>
          <w:color w:val="auto"/>
          <w:szCs w:val="28"/>
          <w:highlight w:val="none"/>
        </w:rPr>
        <w:t>年</w:t>
      </w:r>
      <w:r>
        <w:rPr>
          <w:rFonts w:hint="eastAsia" w:cs="Times New Roman" w:eastAsiaTheme="minorEastAsia"/>
          <w:color w:val="auto"/>
          <w:szCs w:val="28"/>
          <w:highlight w:val="none"/>
          <w:lang w:val="en-US" w:eastAsia="zh-CN"/>
        </w:rPr>
        <w:t>09</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30</w:t>
      </w:r>
      <w:r>
        <w:rPr>
          <w:rFonts w:hint="default" w:ascii="Times New Roman" w:hAnsi="Times New Roman" w:cs="Times New Roman" w:eastAsiaTheme="minorEastAsia"/>
          <w:color w:val="auto"/>
          <w:szCs w:val="28"/>
          <w:highlight w:val="none"/>
        </w:rPr>
        <w:t>日</w:t>
      </w:r>
      <w:r>
        <w:rPr>
          <w:rFonts w:hint="eastAsia" w:cs="Times New Roman" w:eastAsiaTheme="minorEastAsia"/>
          <w:color w:val="auto"/>
          <w:szCs w:val="28"/>
          <w:highlight w:val="none"/>
          <w:lang w:eastAsia="zh-CN"/>
        </w:rPr>
        <w:t>该加油中心</w:t>
      </w:r>
      <w:r>
        <w:rPr>
          <w:rFonts w:hint="default" w:ascii="Times New Roman" w:hAnsi="Times New Roman" w:cs="Times New Roman" w:eastAsiaTheme="minorEastAsia"/>
          <w:color w:val="auto"/>
          <w:szCs w:val="28"/>
          <w:highlight w:val="none"/>
        </w:rPr>
        <w:t>取得由原东营市安全生产监督管理局</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现东营市应急管理局</w:t>
      </w:r>
      <w:r>
        <w:rPr>
          <w:rFonts w:hint="eastAsia" w:cs="Times New Roman" w:eastAsiaTheme="minorEastAsia"/>
          <w:color w:val="auto"/>
          <w:szCs w:val="28"/>
          <w:highlight w:val="none"/>
          <w:lang w:eastAsia="zh-CN"/>
        </w:rPr>
        <w:t>）</w:t>
      </w:r>
      <w:r>
        <w:rPr>
          <w:rFonts w:hint="default" w:ascii="Times New Roman" w:hAnsi="Times New Roman" w:cs="Times New Roman" w:eastAsiaTheme="minorEastAsia"/>
          <w:color w:val="auto"/>
          <w:szCs w:val="28"/>
          <w:highlight w:val="none"/>
        </w:rPr>
        <w:t>颁发的《危险化学品经营许可证》，证书编号：鲁东危化经 [2018]050</w:t>
      </w:r>
      <w:r>
        <w:rPr>
          <w:rFonts w:hint="eastAsia" w:cs="Times New Roman" w:eastAsiaTheme="minorEastAsia"/>
          <w:color w:val="auto"/>
          <w:szCs w:val="28"/>
          <w:highlight w:val="none"/>
          <w:lang w:val="en-US" w:eastAsia="zh-CN"/>
        </w:rPr>
        <w:t>037</w:t>
      </w:r>
      <w:r>
        <w:rPr>
          <w:rFonts w:hint="default" w:ascii="Times New Roman" w:hAnsi="Times New Roman" w:cs="Times New Roman" w:eastAsiaTheme="minorEastAsia"/>
          <w:color w:val="auto"/>
          <w:szCs w:val="28"/>
          <w:highlight w:val="none"/>
        </w:rPr>
        <w:t>号，有效期</w:t>
      </w:r>
      <w:r>
        <w:rPr>
          <w:rFonts w:hint="eastAsia" w:cs="Times New Roman" w:eastAsiaTheme="minorEastAsia"/>
          <w:color w:val="auto"/>
          <w:szCs w:val="28"/>
          <w:highlight w:val="none"/>
          <w:lang w:val="en-US" w:eastAsia="zh-CN"/>
        </w:rPr>
        <w:t>2018年10月30日</w:t>
      </w:r>
      <w:r>
        <w:rPr>
          <w:rFonts w:hint="default" w:ascii="Times New Roman" w:hAnsi="Times New Roman" w:cs="Times New Roman" w:eastAsiaTheme="minorEastAsia"/>
          <w:color w:val="auto"/>
          <w:szCs w:val="28"/>
          <w:highlight w:val="none"/>
        </w:rPr>
        <w:t>至2021年</w:t>
      </w:r>
      <w:r>
        <w:rPr>
          <w:rFonts w:hint="eastAsia" w:cs="Times New Roman" w:eastAsiaTheme="minorEastAsia"/>
          <w:color w:val="auto"/>
          <w:szCs w:val="28"/>
          <w:highlight w:val="none"/>
          <w:lang w:val="en-US" w:eastAsia="zh-CN"/>
        </w:rPr>
        <w:t>10</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29</w:t>
      </w:r>
      <w:r>
        <w:rPr>
          <w:rFonts w:hint="default" w:ascii="Times New Roman" w:hAnsi="Times New Roman" w:cs="Times New Roman" w:eastAsiaTheme="minorEastAsia"/>
          <w:color w:val="auto"/>
          <w:szCs w:val="28"/>
          <w:highlight w:val="none"/>
        </w:rPr>
        <w:t>日</w:t>
      </w:r>
      <w:r>
        <w:rPr>
          <w:rFonts w:hint="default" w:ascii="Times New Roman" w:hAnsi="Times New Roman" w:cs="Times New Roman" w:eastAsiaTheme="minorEastAsia"/>
          <w:color w:val="auto"/>
          <w:szCs w:val="2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ind w:firstLine="560"/>
        <w:jc w:val="left"/>
        <w:textAlignment w:val="auto"/>
        <w:rPr>
          <w:rFonts w:hint="eastAsia" w:ascii="Times New Roman" w:hAnsi="Times New Roman" w:eastAsia="宋体" w:cs="Times New Roman"/>
          <w:lang w:eastAsia="zh-CN"/>
        </w:rPr>
      </w:pPr>
      <w:r>
        <w:rPr>
          <w:rFonts w:hint="eastAsia" w:cs="Times New Roman"/>
          <w:lang w:eastAsia="zh-CN"/>
        </w:rPr>
        <w:t>该加油中心于20</w:t>
      </w:r>
      <w:r>
        <w:rPr>
          <w:rFonts w:hint="eastAsia" w:cs="Times New Roman"/>
          <w:lang w:val="en-US" w:eastAsia="zh-CN"/>
        </w:rPr>
        <w:t>20</w:t>
      </w:r>
      <w:r>
        <w:rPr>
          <w:rFonts w:hint="eastAsia" w:cs="Times New Roman"/>
          <w:lang w:eastAsia="zh-CN"/>
        </w:rPr>
        <w:t>年</w:t>
      </w:r>
      <w:r>
        <w:rPr>
          <w:rFonts w:hint="eastAsia" w:cs="Times New Roman"/>
          <w:lang w:val="en-US" w:eastAsia="zh-CN"/>
        </w:rPr>
        <w:t>10</w:t>
      </w:r>
      <w:r>
        <w:rPr>
          <w:rFonts w:hint="eastAsia" w:cs="Times New Roman"/>
          <w:lang w:eastAsia="zh-CN"/>
        </w:rPr>
        <w:t>月</w:t>
      </w:r>
      <w:r>
        <w:rPr>
          <w:rFonts w:hint="eastAsia" w:cs="Times New Roman"/>
          <w:lang w:val="en-US" w:eastAsia="zh-CN"/>
        </w:rPr>
        <w:t>19</w:t>
      </w:r>
      <w:r>
        <w:rPr>
          <w:rFonts w:hint="eastAsia" w:cs="Times New Roman"/>
          <w:lang w:eastAsia="zh-CN"/>
        </w:rPr>
        <w:t>日取得了由东营市</w:t>
      </w:r>
      <w:r>
        <w:rPr>
          <w:rFonts w:hint="eastAsia" w:cs="Times New Roman"/>
          <w:lang w:val="en-US" w:eastAsia="zh-CN"/>
        </w:rPr>
        <w:t>垦利区</w:t>
      </w:r>
      <w:r>
        <w:rPr>
          <w:rFonts w:hint="eastAsia" w:cs="Times New Roman"/>
          <w:color w:val="auto"/>
          <w:lang w:val="en-US" w:eastAsia="zh-CN"/>
        </w:rPr>
        <w:t>建筑工程管理中心</w:t>
      </w:r>
      <w:r>
        <w:rPr>
          <w:rFonts w:hint="eastAsia" w:cs="Times New Roman"/>
          <w:lang w:eastAsia="zh-CN"/>
        </w:rPr>
        <w:t>出具的《特殊建设工程消防验收意见书》，编号为</w:t>
      </w:r>
      <w:r>
        <w:rPr>
          <w:rFonts w:hint="eastAsia" w:cs="Times New Roman"/>
          <w:lang w:val="en-US" w:eastAsia="zh-CN"/>
        </w:rPr>
        <w:t>垦住建</w:t>
      </w:r>
      <w:r>
        <w:rPr>
          <w:rFonts w:hint="eastAsia" w:cs="Times New Roman"/>
          <w:lang w:eastAsia="zh-CN"/>
        </w:rPr>
        <w:t>消验字[20</w:t>
      </w:r>
      <w:r>
        <w:rPr>
          <w:rFonts w:hint="eastAsia" w:cs="Times New Roman"/>
          <w:lang w:val="en-US" w:eastAsia="zh-CN"/>
        </w:rPr>
        <w:t>20</w:t>
      </w:r>
      <w:r>
        <w:rPr>
          <w:rFonts w:hint="eastAsia" w:cs="Times New Roman"/>
          <w:lang w:eastAsia="zh-CN"/>
        </w:rPr>
        <w:t>]第01</w:t>
      </w:r>
      <w:r>
        <w:rPr>
          <w:rFonts w:hint="eastAsia" w:cs="Times New Roman"/>
          <w:lang w:val="en-US" w:eastAsia="zh-CN"/>
        </w:rPr>
        <w:t>8</w:t>
      </w:r>
      <w:r>
        <w:rPr>
          <w:rFonts w:hint="eastAsia" w:cs="Times New Roman"/>
          <w:lang w:eastAsia="zh-CN"/>
        </w:rPr>
        <w:t>号，结论为验收合格。</w:t>
      </w:r>
    </w:p>
    <w:p>
      <w:pPr>
        <w:keepNext w:val="0"/>
        <w:keepLines w:val="0"/>
        <w:pageBreakBefore w:val="0"/>
        <w:widowControl w:val="0"/>
        <w:kinsoku/>
        <w:wordWrap/>
        <w:overflowPunct/>
        <w:topLinePunct w:val="0"/>
        <w:autoSpaceDE/>
        <w:autoSpaceDN/>
        <w:bidi w:val="0"/>
        <w:adjustRightInd w:val="0"/>
        <w:snapToGrid w:val="0"/>
        <w:ind w:firstLine="560"/>
        <w:jc w:val="left"/>
        <w:textAlignment w:val="auto"/>
        <w:rPr>
          <w:rFonts w:hint="default" w:ascii="Times New Roman" w:hAnsi="Times New Roman" w:cs="Times New Roman" w:eastAsiaTheme="minorEastAsia"/>
          <w:bCs/>
          <w:snapToGrid w:val="0"/>
          <w:color w:val="auto"/>
          <w:kern w:val="0"/>
          <w:szCs w:val="28"/>
          <w:highlight w:val="none"/>
        </w:rPr>
      </w:pPr>
      <w:r>
        <w:rPr>
          <w:rFonts w:hint="eastAsia" w:cs="Times New Roman" w:eastAsiaTheme="minorEastAsia"/>
          <w:bCs/>
          <w:snapToGrid w:val="0"/>
          <w:color w:val="auto"/>
          <w:kern w:val="0"/>
          <w:szCs w:val="28"/>
          <w:highlight w:val="none"/>
          <w:lang w:eastAsia="zh-CN"/>
        </w:rPr>
        <w:t>该加油中心扩容项目</w:t>
      </w:r>
      <w:r>
        <w:rPr>
          <w:rFonts w:hint="default" w:ascii="Times New Roman" w:hAnsi="Times New Roman" w:cs="Times New Roman" w:eastAsiaTheme="minorEastAsia"/>
          <w:bCs/>
          <w:snapToGrid w:val="0"/>
          <w:color w:val="auto"/>
          <w:kern w:val="0"/>
          <w:szCs w:val="28"/>
          <w:highlight w:val="none"/>
        </w:rPr>
        <w:t>于20</w:t>
      </w:r>
      <w:r>
        <w:rPr>
          <w:rFonts w:hint="eastAsia"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rPr>
        <w:t>年</w:t>
      </w:r>
      <w:r>
        <w:rPr>
          <w:rFonts w:hint="eastAsia" w:cs="Times New Roman" w:eastAsiaTheme="minorEastAsia"/>
          <w:bCs/>
          <w:snapToGrid w:val="0"/>
          <w:color w:val="auto"/>
          <w:kern w:val="0"/>
          <w:szCs w:val="28"/>
          <w:highlight w:val="none"/>
          <w:lang w:val="en-US" w:eastAsia="zh-CN"/>
        </w:rPr>
        <w:t>8</w:t>
      </w:r>
      <w:r>
        <w:rPr>
          <w:rFonts w:hint="default" w:ascii="Times New Roman" w:hAnsi="Times New Roman" w:cs="Times New Roman" w:eastAsiaTheme="minorEastAsia"/>
          <w:bCs/>
          <w:snapToGrid w:val="0"/>
          <w:color w:val="auto"/>
          <w:kern w:val="0"/>
          <w:szCs w:val="28"/>
          <w:highlight w:val="none"/>
        </w:rPr>
        <w:t>月</w:t>
      </w:r>
      <w:r>
        <w:rPr>
          <w:rFonts w:hint="eastAsia" w:cs="Times New Roman" w:eastAsiaTheme="minorEastAsia"/>
          <w:bCs/>
          <w:snapToGrid w:val="0"/>
          <w:color w:val="auto"/>
          <w:kern w:val="0"/>
          <w:szCs w:val="28"/>
          <w:highlight w:val="none"/>
          <w:lang w:val="en-US" w:eastAsia="zh-CN"/>
        </w:rPr>
        <w:t>28日</w:t>
      </w:r>
      <w:r>
        <w:rPr>
          <w:rFonts w:hint="default" w:ascii="Times New Roman" w:hAnsi="Times New Roman" w:cs="Times New Roman" w:eastAsiaTheme="minorEastAsia"/>
          <w:bCs/>
          <w:snapToGrid w:val="0"/>
          <w:color w:val="auto"/>
          <w:kern w:val="0"/>
          <w:szCs w:val="28"/>
          <w:highlight w:val="none"/>
        </w:rPr>
        <w:t>开工建设，由</w:t>
      </w:r>
      <w:r>
        <w:rPr>
          <w:rFonts w:hint="eastAsia" w:cs="Times New Roman" w:eastAsiaTheme="minorEastAsia"/>
          <w:bCs/>
          <w:snapToGrid w:val="0"/>
          <w:color w:val="auto"/>
          <w:kern w:val="0"/>
          <w:szCs w:val="28"/>
          <w:highlight w:val="none"/>
          <w:lang w:eastAsia="zh-CN"/>
        </w:rPr>
        <w:t>山东军辉建设集团有限公司</w:t>
      </w:r>
      <w:r>
        <w:rPr>
          <w:rFonts w:hint="default" w:ascii="Times New Roman" w:hAnsi="Times New Roman" w:cs="Times New Roman" w:eastAsiaTheme="minorEastAsia"/>
          <w:bCs/>
          <w:snapToGrid w:val="0"/>
          <w:color w:val="auto"/>
          <w:kern w:val="0"/>
          <w:szCs w:val="28"/>
          <w:highlight w:val="none"/>
        </w:rPr>
        <w:t>负责施工，20</w:t>
      </w:r>
      <w:r>
        <w:rPr>
          <w:rFonts w:hint="default" w:ascii="Times New Roman" w:hAnsi="Times New Roman"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rPr>
        <w:t>年</w:t>
      </w:r>
      <w:r>
        <w:rPr>
          <w:rFonts w:hint="eastAsia" w:cs="Times New Roman" w:eastAsiaTheme="minorEastAsia"/>
          <w:bCs/>
          <w:snapToGrid w:val="0"/>
          <w:color w:val="auto"/>
          <w:kern w:val="0"/>
          <w:szCs w:val="28"/>
          <w:highlight w:val="none"/>
          <w:lang w:val="en-US" w:eastAsia="zh-CN"/>
        </w:rPr>
        <w:t>9</w:t>
      </w:r>
      <w:r>
        <w:rPr>
          <w:rFonts w:hint="default" w:ascii="Times New Roman" w:hAnsi="Times New Roman" w:cs="Times New Roman" w:eastAsiaTheme="minorEastAsia"/>
          <w:bCs/>
          <w:snapToGrid w:val="0"/>
          <w:color w:val="auto"/>
          <w:kern w:val="0"/>
          <w:szCs w:val="28"/>
          <w:highlight w:val="none"/>
        </w:rPr>
        <w:t>月</w:t>
      </w:r>
      <w:r>
        <w:rPr>
          <w:rFonts w:hint="eastAsia" w:cs="Times New Roman" w:eastAsiaTheme="minorEastAsia"/>
          <w:bCs/>
          <w:snapToGrid w:val="0"/>
          <w:color w:val="auto"/>
          <w:kern w:val="0"/>
          <w:szCs w:val="28"/>
          <w:highlight w:val="none"/>
          <w:lang w:val="en-US" w:eastAsia="zh-CN"/>
        </w:rPr>
        <w:t>25日</w:t>
      </w:r>
      <w:r>
        <w:rPr>
          <w:rFonts w:hint="default" w:ascii="Times New Roman" w:hAnsi="Times New Roman" w:cs="Times New Roman" w:eastAsiaTheme="minorEastAsia"/>
          <w:bCs/>
          <w:snapToGrid w:val="0"/>
          <w:color w:val="auto"/>
          <w:kern w:val="0"/>
          <w:szCs w:val="28"/>
          <w:highlight w:val="none"/>
        </w:rPr>
        <w:t>建设完成。</w:t>
      </w:r>
    </w:p>
    <w:p>
      <w:pPr>
        <w:keepNext w:val="0"/>
        <w:keepLines w:val="0"/>
        <w:pageBreakBefore w:val="0"/>
        <w:widowControl w:val="0"/>
        <w:kinsoku/>
        <w:wordWrap/>
        <w:overflowPunct/>
        <w:topLinePunct w:val="0"/>
        <w:autoSpaceDE/>
        <w:autoSpaceDN/>
        <w:bidi w:val="0"/>
        <w:adjustRightInd w:val="0"/>
        <w:snapToGrid w:val="0"/>
        <w:ind w:firstLine="56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rPr>
        <w:t>该</w:t>
      </w:r>
      <w:r>
        <w:rPr>
          <w:rFonts w:hint="default" w:ascii="Times New Roman" w:hAnsi="Times New Roman" w:cs="Times New Roman" w:eastAsiaTheme="minorEastAsia"/>
          <w:color w:val="auto"/>
          <w:highlight w:val="none"/>
          <w:lang w:eastAsia="zh-CN"/>
        </w:rPr>
        <w:t>加油站</w:t>
      </w:r>
      <w:r>
        <w:rPr>
          <w:rFonts w:hint="default" w:ascii="Times New Roman" w:hAnsi="Times New Roman" w:cs="Times New Roman" w:eastAsiaTheme="minorEastAsia"/>
          <w:color w:val="auto"/>
          <w:highlight w:val="none"/>
        </w:rPr>
        <w:t>参与设计、施工的单位资质详见表</w:t>
      </w:r>
      <w:r>
        <w:rPr>
          <w:rFonts w:hint="default" w:ascii="Times New Roman" w:hAnsi="Times New Roman" w:cs="Times New Roman" w:eastAsiaTheme="minorEastAsia"/>
          <w:color w:val="auto"/>
          <w:highlight w:val="none"/>
          <w:lang w:val="en-US" w:eastAsia="zh-CN"/>
        </w:rPr>
        <w:t>2.2-</w:t>
      </w:r>
      <w:r>
        <w:rPr>
          <w:rFonts w:hint="eastAsia" w:cs="Times New Roman" w:eastAsiaTheme="minorEastAsia"/>
          <w:color w:val="auto"/>
          <w:highlight w:val="none"/>
          <w:lang w:val="en-US" w:eastAsia="zh-CN"/>
        </w:rPr>
        <w:t>3</w:t>
      </w:r>
      <w:r>
        <w:rPr>
          <w:rFonts w:hint="default" w:ascii="Times New Roman" w:hAnsi="Times New Roman" w:cs="Times New Roman" w:eastAsiaTheme="minorEastAsia"/>
          <w:color w:val="auto"/>
          <w:highlight w:val="none"/>
          <w:lang w:val="en-US" w:eastAsia="zh-CN"/>
        </w:rPr>
        <w:t>。</w:t>
      </w:r>
    </w:p>
    <w:p>
      <w:pPr>
        <w:pStyle w:val="8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bCs/>
          <w:color w:val="auto"/>
          <w:sz w:val="10"/>
          <w:szCs w:val="10"/>
          <w:lang w:val="zh-CN"/>
        </w:rPr>
      </w:pPr>
      <w:r>
        <w:rPr>
          <w:rFonts w:hint="default" w:ascii="Times New Roman" w:hAnsi="Times New Roman" w:cs="Times New Roman"/>
          <w:b/>
          <w:bCs/>
          <w:color w:val="auto"/>
          <w:sz w:val="24"/>
          <w:szCs w:val="24"/>
          <w:lang w:val="zh-CN"/>
        </w:rPr>
        <w:t>表2</w:t>
      </w:r>
      <w:r>
        <w:rPr>
          <w:rFonts w:hint="default" w:ascii="Times New Roman" w:hAnsi="Times New Roman" w:cs="Times New Roman"/>
          <w:b/>
          <w:bCs/>
          <w:color w:val="auto"/>
          <w:sz w:val="24"/>
          <w:szCs w:val="24"/>
        </w:rPr>
        <w:t>.2</w:t>
      </w:r>
      <w:r>
        <w:rPr>
          <w:rFonts w:hint="default" w:ascii="Times New Roman" w:hAnsi="Times New Roman" w:cs="Times New Roman"/>
          <w:b/>
          <w:bCs/>
          <w:color w:val="auto"/>
          <w:sz w:val="24"/>
          <w:szCs w:val="24"/>
          <w:lang w:val="zh-CN"/>
        </w:rPr>
        <w:t>-</w:t>
      </w:r>
      <w:r>
        <w:rPr>
          <w:rFonts w:hint="eastAsia" w:cs="Times New Roman"/>
          <w:b/>
          <w:bCs/>
          <w:color w:val="auto"/>
          <w:sz w:val="24"/>
          <w:szCs w:val="24"/>
          <w:lang w:val="en-US" w:eastAsia="zh-CN"/>
        </w:rPr>
        <w:t>3</w:t>
      </w:r>
      <w:r>
        <w:rPr>
          <w:rFonts w:hint="default" w:ascii="Times New Roman" w:hAnsi="Times New Roman" w:cs="Times New Roman"/>
          <w:b/>
          <w:bCs/>
          <w:color w:val="auto"/>
          <w:sz w:val="24"/>
          <w:szCs w:val="24"/>
          <w:lang w:val="zh-CN"/>
        </w:rPr>
        <w:t xml:space="preserve"> 参与工程建设的主要设计、施工单位资质情况表</w:t>
      </w:r>
    </w:p>
    <w:tbl>
      <w:tblPr>
        <w:tblStyle w:val="28"/>
        <w:tblW w:w="93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4"/>
        <w:gridCol w:w="699"/>
        <w:gridCol w:w="1691"/>
        <w:gridCol w:w="4371"/>
        <w:gridCol w:w="18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4"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序号</w:t>
            </w:r>
          </w:p>
        </w:tc>
        <w:tc>
          <w:tcPr>
            <w:tcW w:w="699"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类别</w:t>
            </w:r>
          </w:p>
        </w:tc>
        <w:tc>
          <w:tcPr>
            <w:tcW w:w="169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单位</w:t>
            </w:r>
          </w:p>
        </w:tc>
        <w:tc>
          <w:tcPr>
            <w:tcW w:w="437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资质范围</w:t>
            </w:r>
          </w:p>
        </w:tc>
        <w:tc>
          <w:tcPr>
            <w:tcW w:w="1863"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所承担的工作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704" w:type="dxa"/>
            <w:vMerge w:val="restart"/>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bidi="ar-SA"/>
              </w:rPr>
            </w:pPr>
            <w:r>
              <w:rPr>
                <w:rFonts w:hint="eastAsia" w:cs="Times New Roman"/>
                <w:iCs/>
                <w:color w:val="auto"/>
                <w:kern w:val="0"/>
                <w:sz w:val="21"/>
                <w:szCs w:val="21"/>
                <w:lang w:val="en-US" w:eastAsia="zh-CN" w:bidi="ar-SA"/>
              </w:rPr>
              <w:t>1</w:t>
            </w:r>
          </w:p>
        </w:tc>
        <w:tc>
          <w:tcPr>
            <w:tcW w:w="699" w:type="dxa"/>
            <w:vMerge w:val="restart"/>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设计</w:t>
            </w:r>
          </w:p>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单位</w:t>
            </w:r>
          </w:p>
        </w:tc>
        <w:tc>
          <w:tcPr>
            <w:tcW w:w="1691" w:type="dxa"/>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eastAsia="zh-CN"/>
              </w:rPr>
              <w:t>广东政和工程有限公司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0512B8"/>
                <w:kern w:val="0"/>
                <w:sz w:val="21"/>
                <w:szCs w:val="21"/>
                <w:lang w:eastAsia="zh-CN"/>
              </w:rPr>
            </w:pPr>
            <w:r>
              <w:rPr>
                <w:rFonts w:hint="default" w:ascii="Times New Roman" w:hAnsi="Times New Roman" w:cs="Times New Roman" w:eastAsiaTheme="minorEastAsia"/>
                <w:color w:val="auto"/>
                <w:sz w:val="21"/>
                <w:szCs w:val="21"/>
                <w:highlight w:val="none"/>
              </w:rPr>
              <w:t>化工石化医药行业行业</w:t>
            </w:r>
            <w:r>
              <w:rPr>
                <w:rFonts w:hint="eastAsia"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化工工程</w:t>
            </w:r>
            <w:r>
              <w:rPr>
                <w:rFonts w:hint="eastAsia"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石油及化工产品储运</w:t>
            </w:r>
            <w:r>
              <w:rPr>
                <w:rFonts w:hint="eastAsia"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专业</w:t>
            </w:r>
            <w:r>
              <w:rPr>
                <w:rFonts w:hint="eastAsia" w:cs="Times New Roman" w:eastAsiaTheme="minorEastAsia"/>
                <w:color w:val="auto"/>
                <w:sz w:val="21"/>
                <w:szCs w:val="21"/>
                <w:highlight w:val="none"/>
                <w:lang w:val="en-US" w:eastAsia="zh-CN"/>
              </w:rPr>
              <w:t>甲</w:t>
            </w:r>
            <w:r>
              <w:rPr>
                <w:rFonts w:hint="default" w:ascii="Times New Roman" w:hAnsi="Times New Roman" w:cs="Times New Roman" w:eastAsiaTheme="minorEastAsia"/>
                <w:color w:val="auto"/>
                <w:sz w:val="21"/>
                <w:szCs w:val="21"/>
                <w:highlight w:val="none"/>
              </w:rPr>
              <w:t>级，</w:t>
            </w:r>
            <w:r>
              <w:rPr>
                <w:rFonts w:hint="eastAsia" w:cs="Times New Roman" w:eastAsiaTheme="minorEastAsia"/>
                <w:color w:val="auto"/>
                <w:sz w:val="21"/>
                <w:szCs w:val="21"/>
                <w:highlight w:val="none"/>
                <w:lang w:val="en-US" w:eastAsia="zh-CN"/>
              </w:rPr>
              <w:t>建筑行业（建筑工程）甲级，</w:t>
            </w:r>
            <w:r>
              <w:rPr>
                <w:rFonts w:hint="default" w:ascii="Times New Roman" w:hAnsi="Times New Roman" w:cs="Times New Roman" w:eastAsiaTheme="minorEastAsia"/>
                <w:color w:val="auto"/>
                <w:sz w:val="21"/>
                <w:szCs w:val="21"/>
                <w:highlight w:val="none"/>
              </w:rPr>
              <w:t>证书编号：A</w:t>
            </w:r>
            <w:r>
              <w:rPr>
                <w:rFonts w:hint="eastAsia" w:cs="Times New Roman" w:eastAsiaTheme="minorEastAsia"/>
                <w:color w:val="auto"/>
                <w:sz w:val="21"/>
                <w:szCs w:val="21"/>
                <w:highlight w:val="none"/>
                <w:lang w:val="en-US" w:eastAsia="zh-CN"/>
              </w:rPr>
              <w:t>144003911</w:t>
            </w:r>
          </w:p>
        </w:tc>
        <w:tc>
          <w:tcPr>
            <w:tcW w:w="1863" w:type="dxa"/>
            <w:vMerge w:val="restart"/>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iCs/>
                <w:color w:val="0512B8"/>
                <w:kern w:val="0"/>
                <w:sz w:val="21"/>
                <w:szCs w:val="21"/>
              </w:rPr>
            </w:pPr>
            <w:r>
              <w:rPr>
                <w:rFonts w:hint="eastAsia" w:cs="Times New Roman" w:eastAsiaTheme="minorEastAsia"/>
                <w:color w:val="auto"/>
                <w:kern w:val="0"/>
                <w:sz w:val="21"/>
                <w:szCs w:val="21"/>
                <w:lang w:val="en-US" w:eastAsia="zh-CN" w:bidi="ar-SA"/>
              </w:rPr>
              <w:t>扩容项目的整体设计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rPr>
            </w:pPr>
            <w:r>
              <w:rPr>
                <w:rFonts w:hint="eastAsia" w:cs="Times New Roman"/>
                <w:iCs/>
                <w:color w:val="auto"/>
                <w:kern w:val="0"/>
                <w:sz w:val="21"/>
                <w:szCs w:val="21"/>
                <w:lang w:val="en-US" w:eastAsia="zh-CN"/>
              </w:rPr>
              <w:t>2</w:t>
            </w:r>
          </w:p>
        </w:tc>
        <w:tc>
          <w:tcPr>
            <w:tcW w:w="699"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施工</w:t>
            </w:r>
          </w:p>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lang w:eastAsia="zh-CN"/>
              </w:rPr>
              <w:t>山东军辉建设集团有限公司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资质证号：</w:t>
            </w:r>
            <w:r>
              <w:rPr>
                <w:rFonts w:hint="default" w:ascii="Times New Roman" w:hAnsi="Times New Roman" w:cs="Times New Roman" w:eastAsiaTheme="minorEastAsia"/>
                <w:color w:val="auto"/>
                <w:kern w:val="0"/>
                <w:sz w:val="21"/>
                <w:szCs w:val="21"/>
                <w:lang w:val="en-US" w:eastAsia="zh-CN"/>
              </w:rPr>
              <w:t>D</w:t>
            </w:r>
            <w:r>
              <w:rPr>
                <w:rFonts w:hint="eastAsia" w:cs="Times New Roman" w:eastAsiaTheme="minorEastAsia"/>
                <w:color w:val="auto"/>
                <w:kern w:val="0"/>
                <w:sz w:val="21"/>
                <w:szCs w:val="21"/>
                <w:lang w:val="en-US" w:eastAsia="zh-CN"/>
              </w:rPr>
              <w:t>137056745</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0512B8"/>
                <w:kern w:val="0"/>
                <w:sz w:val="21"/>
                <w:szCs w:val="21"/>
                <w:lang w:val="en-US" w:eastAsia="zh-CN"/>
              </w:rPr>
            </w:pPr>
            <w:r>
              <w:rPr>
                <w:rFonts w:hint="default" w:ascii="Times New Roman" w:hAnsi="Times New Roman" w:cs="Times New Roman" w:eastAsiaTheme="minorEastAsia"/>
                <w:color w:val="auto"/>
                <w:kern w:val="0"/>
                <w:sz w:val="21"/>
                <w:szCs w:val="21"/>
              </w:rPr>
              <w:t>资质等级：</w:t>
            </w:r>
            <w:r>
              <w:rPr>
                <w:rFonts w:hint="default" w:ascii="Times New Roman" w:hAnsi="Times New Roman" w:cs="Times New Roman" w:eastAsiaTheme="minorEastAsia"/>
                <w:color w:val="auto"/>
                <w:kern w:val="0"/>
                <w:sz w:val="21"/>
                <w:szCs w:val="21"/>
                <w:lang w:val="en-US" w:eastAsia="zh-CN"/>
              </w:rPr>
              <w:t>建筑工程施工总承包壹级、石油化工工程施工总承包壹级、机电工程施工总承包壹级。</w:t>
            </w:r>
          </w:p>
        </w:tc>
        <w:tc>
          <w:tcPr>
            <w:tcW w:w="1863"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iCs/>
                <w:color w:val="0512B8"/>
                <w:kern w:val="0"/>
                <w:sz w:val="21"/>
                <w:szCs w:val="21"/>
              </w:rPr>
            </w:pPr>
            <w:r>
              <w:rPr>
                <w:rFonts w:hint="default" w:ascii="Times New Roman" w:hAnsi="Times New Roman" w:cs="Times New Roman"/>
                <w:iCs/>
                <w:color w:val="auto"/>
                <w:kern w:val="0"/>
                <w:sz w:val="21"/>
                <w:szCs w:val="21"/>
              </w:rPr>
              <w:t>罐区改造项目的设备、工艺、管道、电气等整体施工</w:t>
            </w:r>
          </w:p>
        </w:tc>
      </w:tr>
    </w:tbl>
    <w:p>
      <w:pPr>
        <w:pStyle w:val="10"/>
        <w:keepNext w:val="0"/>
        <w:keepLines w:val="0"/>
        <w:pageBreakBefore w:val="0"/>
        <w:widowControl w:val="0"/>
        <w:kinsoku/>
        <w:wordWrap/>
        <w:overflowPunct/>
        <w:topLinePunct w:val="0"/>
        <w:autoSpaceDE/>
        <w:autoSpaceDN/>
        <w:bidi w:val="0"/>
        <w:adjustRightInd w:val="0"/>
        <w:snapToGrid w:val="0"/>
        <w:spacing w:after="0" w:line="240" w:lineRule="auto"/>
        <w:ind w:right="0" w:firstLine="420" w:firstLineChars="20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注：①设计单位资质符合性判定依据为《关于印发&lt;工程设计资质标准&gt;的通知》</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建市[2007]86号</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w:t>
      </w:r>
    </w:p>
    <w:p>
      <w:pPr>
        <w:pStyle w:val="10"/>
        <w:keepNext w:val="0"/>
        <w:keepLines w:val="0"/>
        <w:pageBreakBefore w:val="0"/>
        <w:widowControl w:val="0"/>
        <w:kinsoku/>
        <w:wordWrap/>
        <w:overflowPunct/>
        <w:topLinePunct w:val="0"/>
        <w:autoSpaceDE/>
        <w:autoSpaceDN/>
        <w:bidi w:val="0"/>
        <w:adjustRightInd w:val="0"/>
        <w:snapToGrid w:val="0"/>
        <w:spacing w:after="0" w:line="240" w:lineRule="auto"/>
        <w:ind w:right="0" w:firstLine="420" w:firstLineChars="20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②施工单位资质符合性判定依据为《建筑业企业资质管理规定》</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中华人民共和国住房和城乡建设部令第22号，中华人民共和国住房和城乡建设部令第32号修订、第45号修正</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及《建筑企业资质标准》</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建市[2014]159号</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w:t>
      </w:r>
    </w:p>
    <w:p>
      <w:pPr>
        <w:pStyle w:val="10"/>
        <w:keepNext w:val="0"/>
        <w:keepLines w:val="0"/>
        <w:pageBreakBefore w:val="0"/>
        <w:widowControl w:val="0"/>
        <w:kinsoku/>
        <w:wordWrap/>
        <w:overflowPunct/>
        <w:topLinePunct w:val="0"/>
        <w:autoSpaceDE/>
        <w:autoSpaceDN/>
        <w:bidi w:val="0"/>
        <w:adjustRightInd w:val="0"/>
        <w:snapToGrid w:val="0"/>
        <w:spacing w:after="0" w:line="240" w:lineRule="auto"/>
        <w:ind w:right="0" w:firstLine="420" w:firstLineChars="20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③根据《建设工程监理范围和规模标准规定》</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中华人民共和国建设部令第86号</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第七条要求，项目总投资额在3000万元以上关系社会公共利益、公众安全的基础设施项目必须实行监理，本项目总投资</w:t>
      </w:r>
      <w:r>
        <w:rPr>
          <w:rFonts w:hint="eastAsia" w:cs="Times New Roman" w:eastAsiaTheme="minorEastAsia"/>
          <w:color w:val="auto"/>
          <w:sz w:val="21"/>
          <w:szCs w:val="21"/>
          <w:lang w:eastAsia="zh-CN"/>
        </w:rPr>
        <w:t>小于</w:t>
      </w:r>
      <w:r>
        <w:rPr>
          <w:rFonts w:hint="eastAsia" w:cs="Times New Roman" w:eastAsiaTheme="minorEastAsia"/>
          <w:color w:val="auto"/>
          <w:sz w:val="21"/>
          <w:szCs w:val="21"/>
          <w:lang w:val="en-US" w:eastAsia="zh-CN"/>
        </w:rPr>
        <w:t>3000万元</w:t>
      </w:r>
      <w:r>
        <w:rPr>
          <w:rFonts w:hint="default" w:ascii="Times New Roman" w:hAnsi="Times New Roman" w:cs="Times New Roman" w:eastAsiaTheme="minorEastAsia"/>
          <w:color w:val="auto"/>
          <w:sz w:val="21"/>
          <w:szCs w:val="21"/>
        </w:rPr>
        <w:t>，故未实行监理。</w:t>
      </w:r>
    </w:p>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2.2.2 项目所在位置与周边</w:t>
      </w:r>
    </w:p>
    <w:p>
      <w:pPr>
        <w:pStyle w:val="10"/>
        <w:keepNext w:val="0"/>
        <w:keepLines w:val="0"/>
        <w:pageBreakBefore w:val="0"/>
        <w:widowControl w:val="0"/>
        <w:kinsoku/>
        <w:wordWrap/>
        <w:overflowPunct/>
        <w:topLinePunct w:val="0"/>
        <w:autoSpaceDE/>
        <w:autoSpaceDN/>
        <w:bidi w:val="0"/>
        <w:adjustRightInd w:val="0"/>
        <w:snapToGrid w:val="0"/>
        <w:spacing w:after="0" w:line="360" w:lineRule="auto"/>
        <w:ind w:right="0" w:firstLine="560" w:firstLineChars="20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该加油</w:t>
      </w:r>
      <w:r>
        <w:rPr>
          <w:rFonts w:hint="eastAsia" w:cs="Times New Roman" w:eastAsiaTheme="minorEastAsia"/>
          <w:color w:val="auto"/>
          <w:sz w:val="28"/>
          <w:szCs w:val="28"/>
          <w:lang w:eastAsia="zh-CN"/>
        </w:rPr>
        <w:t>中心</w:t>
      </w:r>
      <w:r>
        <w:rPr>
          <w:rFonts w:hint="default" w:ascii="Times New Roman" w:hAnsi="Times New Roman" w:cs="Times New Roman" w:eastAsiaTheme="minorEastAsia"/>
          <w:color w:val="auto"/>
          <w:sz w:val="28"/>
          <w:szCs w:val="28"/>
        </w:rPr>
        <w:t>位于</w:t>
      </w:r>
      <w:r>
        <w:rPr>
          <w:rFonts w:hint="eastAsia" w:cs="Times New Roman" w:eastAsiaTheme="minorEastAsia"/>
          <w:color w:val="auto"/>
          <w:sz w:val="28"/>
          <w:szCs w:val="28"/>
          <w:lang w:eastAsia="zh-CN"/>
        </w:rPr>
        <w:t>东营市垦利区董集镇利津黄河大桥以东、永莘路南侧</w:t>
      </w:r>
      <w:r>
        <w:rPr>
          <w:rFonts w:hint="default" w:ascii="Times New Roman" w:hAnsi="Times New Roman" w:cs="Times New Roman"/>
          <w:color w:val="auto"/>
          <w:sz w:val="28"/>
          <w:szCs w:val="28"/>
        </w:rPr>
        <w:t>。</w:t>
      </w:r>
      <w:r>
        <w:rPr>
          <w:rFonts w:hint="eastAsia" w:cs="Times New Roman" w:eastAsiaTheme="minorEastAsia"/>
          <w:color w:val="auto"/>
          <w:sz w:val="28"/>
          <w:szCs w:val="28"/>
          <w:lang w:eastAsia="zh-CN"/>
        </w:rPr>
        <w:t>该加油中心</w:t>
      </w:r>
      <w:r>
        <w:rPr>
          <w:rFonts w:hint="default" w:ascii="Times New Roman" w:hAnsi="Times New Roman" w:cs="Times New Roman" w:eastAsiaTheme="minorEastAsia"/>
          <w:color w:val="auto"/>
          <w:sz w:val="28"/>
          <w:szCs w:val="28"/>
          <w:lang w:val="en-US" w:eastAsia="zh-CN"/>
        </w:rPr>
        <w:t>东面为民房（三类民用建筑物，建筑面积小于5000</w:t>
      </w:r>
      <w:r>
        <w:rPr>
          <w:rFonts w:hint="eastAsia" w:cs="Times New Roman" w:eastAsiaTheme="minorEastAsia"/>
          <w:color w:val="auto"/>
          <w:sz w:val="28"/>
          <w:szCs w:val="28"/>
          <w:lang w:val="en-US" w:eastAsia="zh-CN"/>
        </w:rPr>
        <w:t>m</w:t>
      </w:r>
      <w:r>
        <w:rPr>
          <w:rFonts w:hint="eastAsia" w:cs="Times New Roman" w:eastAsiaTheme="minorEastAsia"/>
          <w:color w:val="auto"/>
          <w:sz w:val="28"/>
          <w:szCs w:val="28"/>
          <w:vertAlign w:val="superscript"/>
          <w:lang w:val="en-US" w:eastAsia="zh-CN"/>
        </w:rPr>
        <w:t>3</w:t>
      </w:r>
      <w:r>
        <w:rPr>
          <w:rFonts w:hint="default" w:ascii="Times New Roman" w:hAnsi="Times New Roman" w:cs="Times New Roman" w:eastAsiaTheme="minorEastAsia"/>
          <w:color w:val="auto"/>
          <w:sz w:val="28"/>
          <w:szCs w:val="28"/>
          <w:lang w:val="en-US" w:eastAsia="zh-CN"/>
        </w:rPr>
        <w:t>）</w:t>
      </w:r>
      <w:r>
        <w:rPr>
          <w:rFonts w:hint="eastAsia" w:cs="Times New Roman" w:eastAsiaTheme="minorEastAsia"/>
          <w:color w:val="auto"/>
          <w:sz w:val="28"/>
          <w:szCs w:val="28"/>
          <w:lang w:val="en-US" w:eastAsia="zh-CN"/>
        </w:rPr>
        <w:t>，</w:t>
      </w:r>
      <w:r>
        <w:rPr>
          <w:rFonts w:hint="default" w:ascii="Times New Roman" w:hAnsi="Times New Roman" w:cs="Times New Roman" w:eastAsiaTheme="minorEastAsia"/>
          <w:color w:val="auto"/>
          <w:sz w:val="28"/>
          <w:szCs w:val="28"/>
          <w:lang w:val="en-US" w:eastAsia="zh-CN"/>
        </w:rPr>
        <w:t>西为</w:t>
      </w:r>
      <w:r>
        <w:rPr>
          <w:rFonts w:hint="eastAsia" w:cs="Times New Roman" w:eastAsiaTheme="minorEastAsia"/>
          <w:color w:val="auto"/>
          <w:sz w:val="28"/>
          <w:szCs w:val="28"/>
          <w:lang w:val="en-US" w:eastAsia="zh-CN"/>
        </w:rPr>
        <w:t>绿化林，</w:t>
      </w:r>
      <w:r>
        <w:rPr>
          <w:rFonts w:hint="default" w:ascii="Times New Roman" w:hAnsi="Times New Roman" w:cs="Times New Roman" w:eastAsiaTheme="minorEastAsia"/>
          <w:color w:val="auto"/>
          <w:sz w:val="28"/>
          <w:szCs w:val="28"/>
          <w:lang w:val="en-US" w:eastAsia="zh-CN"/>
        </w:rPr>
        <w:t>北面为永莘路</w:t>
      </w:r>
      <w:r>
        <w:rPr>
          <w:rFonts w:hint="eastAsia" w:cs="Times New Roman" w:eastAsiaTheme="minorEastAsia"/>
          <w:color w:val="auto"/>
          <w:sz w:val="28"/>
          <w:szCs w:val="28"/>
          <w:lang w:val="en-US" w:eastAsia="zh-CN"/>
        </w:rPr>
        <w:t>（S316省道）</w:t>
      </w:r>
      <w:r>
        <w:rPr>
          <w:rFonts w:hint="default" w:ascii="Times New Roman" w:hAnsi="Times New Roman" w:cs="Times New Roman" w:eastAsiaTheme="minorEastAsia"/>
          <w:color w:val="auto"/>
          <w:sz w:val="28"/>
          <w:szCs w:val="28"/>
          <w:lang w:val="en-US" w:eastAsia="zh-CN"/>
        </w:rPr>
        <w:t>，隔永莘路为中石化加油站，南面为南二路</w:t>
      </w:r>
      <w:r>
        <w:rPr>
          <w:rFonts w:hint="eastAsia" w:cs="Times New Roman" w:eastAsiaTheme="minorEastAsia"/>
          <w:color w:val="auto"/>
          <w:sz w:val="28"/>
          <w:szCs w:val="28"/>
          <w:lang w:val="en-US" w:eastAsia="zh-CN"/>
        </w:rPr>
        <w:t>（G220国道）</w:t>
      </w:r>
      <w:r>
        <w:rPr>
          <w:rFonts w:hint="default" w:ascii="Times New Roman" w:hAnsi="Times New Roman" w:cs="Times New Roman" w:eastAsiaTheme="minorEastAsia"/>
          <w:color w:val="auto"/>
          <w:sz w:val="28"/>
          <w:szCs w:val="28"/>
          <w:lang w:val="en-US" w:eastAsia="zh-CN"/>
        </w:rPr>
        <w:t>，隔南二路</w:t>
      </w:r>
      <w:r>
        <w:rPr>
          <w:rFonts w:hint="eastAsia" w:cs="Times New Roman" w:eastAsiaTheme="minorEastAsia"/>
          <w:color w:val="auto"/>
          <w:sz w:val="28"/>
          <w:szCs w:val="28"/>
          <w:lang w:val="en-US" w:eastAsia="zh-CN"/>
        </w:rPr>
        <w:t>（G220国道）</w:t>
      </w:r>
      <w:r>
        <w:rPr>
          <w:rFonts w:hint="default" w:ascii="Times New Roman" w:hAnsi="Times New Roman" w:cs="Times New Roman" w:eastAsiaTheme="minorEastAsia"/>
          <w:color w:val="auto"/>
          <w:sz w:val="28"/>
          <w:szCs w:val="28"/>
          <w:lang w:val="en-US" w:eastAsia="zh-CN"/>
        </w:rPr>
        <w:t>为加气站。</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560" w:firstLineChars="200"/>
        <w:textAlignment w:val="auto"/>
        <w:rPr>
          <w:rFonts w:hint="default" w:ascii="Times New Roman" w:hAnsi="Times New Roman" w:cs="Times New Roman" w:eastAsiaTheme="minorEastAsia"/>
          <w:color w:val="auto"/>
          <w:szCs w:val="28"/>
          <w:lang w:val="zh-CN" w:eastAsia="zh-CN"/>
        </w:rPr>
      </w:pPr>
      <w:r>
        <w:rPr>
          <w:rFonts w:hint="default" w:ascii="Times New Roman" w:hAnsi="Times New Roman" w:cs="Times New Roman" w:eastAsiaTheme="minorEastAsia"/>
          <w:color w:val="auto"/>
          <w:szCs w:val="28"/>
        </w:rPr>
        <w:t>站址上空无架空电线、通信线等设施，地下无覆压油田管线。</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560" w:firstLineChars="200"/>
        <w:textAlignment w:val="auto"/>
        <w:rPr>
          <w:rFonts w:hint="default" w:ascii="Times New Roman" w:hAnsi="Times New Roman" w:cs="Times New Roman" w:eastAsiaTheme="minorEastAsia"/>
          <w:color w:val="auto"/>
          <w:szCs w:val="28"/>
        </w:rPr>
      </w:pPr>
      <w:r>
        <w:rPr>
          <w:rFonts w:hint="eastAsia" w:cs="Times New Roman" w:eastAsiaTheme="minorEastAsia"/>
          <w:color w:val="auto"/>
          <w:lang w:eastAsia="zh-CN"/>
        </w:rPr>
        <w:t>该加油中心</w:t>
      </w:r>
      <w:r>
        <w:rPr>
          <w:rFonts w:hint="default" w:ascii="Times New Roman" w:hAnsi="Times New Roman" w:cs="Times New Roman" w:eastAsiaTheme="minorEastAsia"/>
          <w:color w:val="auto"/>
        </w:rPr>
        <w:t>内加油设施（埋地双层油罐、加油机和通气管口）与站外其他建、构筑物的防火距离符合《汽车加油加气站设计与施工规范（2014年版）》（GB50156-2012）的</w:t>
      </w:r>
      <w:r>
        <w:rPr>
          <w:rFonts w:hint="eastAsia" w:cs="Times New Roman" w:eastAsiaTheme="minorEastAsia"/>
          <w:color w:val="auto"/>
          <w:lang w:eastAsia="zh-CN"/>
        </w:rPr>
        <w:t>相关</w:t>
      </w:r>
      <w:r>
        <w:rPr>
          <w:rFonts w:hint="default" w:ascii="Times New Roman" w:hAnsi="Times New Roman" w:cs="Times New Roman" w:eastAsiaTheme="minorEastAsia"/>
          <w:color w:val="auto"/>
        </w:rPr>
        <w:t>规定，详见表2.2-</w:t>
      </w:r>
      <w:r>
        <w:rPr>
          <w:rFonts w:hint="eastAsia" w:cs="Times New Roman" w:eastAsiaTheme="minorEastAsia"/>
          <w:color w:val="auto"/>
          <w:lang w:val="en-US" w:eastAsia="zh-CN"/>
        </w:rPr>
        <w:t>4</w:t>
      </w:r>
      <w:r>
        <w:rPr>
          <w:rFonts w:hint="default" w:ascii="Times New Roman" w:hAnsi="Times New Roman" w:cs="Times New Roman" w:eastAsiaTheme="minorEastAsia"/>
          <w:color w:val="auto"/>
        </w:rPr>
        <w:t>、表2.2-</w:t>
      </w:r>
      <w:r>
        <w:rPr>
          <w:rFonts w:hint="eastAsia" w:cs="Times New Roman" w:eastAsiaTheme="minorEastAsia"/>
          <w:color w:val="auto"/>
          <w:lang w:val="en-US" w:eastAsia="zh-CN"/>
        </w:rPr>
        <w:t>5</w:t>
      </w:r>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left="753" w:firstLine="482"/>
        <w:rPr>
          <w:rFonts w:hint="default" w:ascii="Times New Roman" w:hAnsi="Times New Roman" w:eastAsia="宋体" w:cs="Times New Roman"/>
          <w:b/>
          <w:bCs/>
          <w:color w:val="auto"/>
          <w:kern w:val="2"/>
          <w:sz w:val="24"/>
          <w:szCs w:val="24"/>
          <w:lang w:val="zh-CN" w:eastAsia="zh-CN" w:bidi="ar-SA"/>
        </w:rPr>
      </w:pPr>
      <w:r>
        <w:rPr>
          <w:rFonts w:hint="default" w:ascii="Times New Roman" w:hAnsi="Times New Roman" w:eastAsia="宋体" w:cs="Times New Roman"/>
          <w:b/>
          <w:bCs/>
          <w:color w:val="auto"/>
          <w:kern w:val="2"/>
          <w:sz w:val="24"/>
          <w:szCs w:val="24"/>
          <w:lang w:val="zh-CN" w:eastAsia="zh-CN" w:bidi="ar-SA"/>
        </w:rPr>
        <w:t>表2.2-</w:t>
      </w:r>
      <w:r>
        <w:rPr>
          <w:rFonts w:hint="eastAsia" w:cs="Times New Roman"/>
          <w:b/>
          <w:bCs/>
          <w:color w:val="auto"/>
          <w:kern w:val="2"/>
          <w:sz w:val="24"/>
          <w:szCs w:val="24"/>
          <w:lang w:val="en-US" w:eastAsia="zh-CN" w:bidi="ar-SA"/>
        </w:rPr>
        <w:t xml:space="preserve">4 </w:t>
      </w:r>
      <w:r>
        <w:rPr>
          <w:rFonts w:hint="default" w:ascii="Times New Roman" w:hAnsi="Times New Roman" w:eastAsia="宋体" w:cs="Times New Roman"/>
          <w:b/>
          <w:bCs/>
          <w:color w:val="auto"/>
          <w:kern w:val="2"/>
          <w:sz w:val="24"/>
          <w:szCs w:val="24"/>
          <w:lang w:val="zh-CN" w:eastAsia="zh-CN" w:bidi="ar-SA"/>
        </w:rPr>
        <w:t>加油站（</w:t>
      </w:r>
      <w:r>
        <w:rPr>
          <w:rFonts w:hint="eastAsia" w:cs="Times New Roman"/>
          <w:b/>
          <w:bCs/>
          <w:color w:val="auto"/>
          <w:kern w:val="2"/>
          <w:sz w:val="24"/>
          <w:szCs w:val="24"/>
          <w:lang w:val="en-US" w:eastAsia="zh-CN" w:bidi="ar-SA"/>
        </w:rPr>
        <w:t>一</w:t>
      </w:r>
      <w:r>
        <w:rPr>
          <w:rFonts w:hint="default" w:ascii="Times New Roman" w:hAnsi="Times New Roman" w:eastAsia="宋体" w:cs="Times New Roman"/>
          <w:b/>
          <w:bCs/>
          <w:color w:val="auto"/>
          <w:kern w:val="2"/>
          <w:sz w:val="24"/>
          <w:szCs w:val="24"/>
          <w:lang w:val="zh-CN" w:eastAsia="zh-CN" w:bidi="ar-SA"/>
        </w:rPr>
        <w:t>级站）汽油设施与站外建、构筑物的安全间距</w:t>
      </w:r>
    </w:p>
    <w:tbl>
      <w:tblPr>
        <w:tblStyle w:val="28"/>
        <w:tblW w:w="939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491"/>
        <w:gridCol w:w="1628"/>
        <w:gridCol w:w="981"/>
        <w:gridCol w:w="1218"/>
        <w:gridCol w:w="1531"/>
        <w:gridCol w:w="1326"/>
        <w:gridCol w:w="1531"/>
        <w:gridCol w:w="6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49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序号</w:t>
            </w:r>
          </w:p>
        </w:tc>
        <w:tc>
          <w:tcPr>
            <w:tcW w:w="162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站外设施</w:t>
            </w:r>
          </w:p>
        </w:tc>
        <w:tc>
          <w:tcPr>
            <w:tcW w:w="98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与加油站相对位置</w:t>
            </w:r>
          </w:p>
        </w:tc>
        <w:tc>
          <w:tcPr>
            <w:tcW w:w="4075"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与下列设施距离/规范要求距离（m）</w:t>
            </w:r>
          </w:p>
        </w:tc>
        <w:tc>
          <w:tcPr>
            <w:tcW w:w="153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b/>
                <w:bCs/>
                <w:color w:val="auto"/>
                <w:sz w:val="21"/>
                <w:szCs w:val="21"/>
                <w:lang w:val="zh-CN"/>
              </w:rPr>
              <w:t>标准依据</w:t>
            </w:r>
          </w:p>
        </w:tc>
        <w:tc>
          <w:tcPr>
            <w:tcW w:w="68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rPr>
              <w:t>符合</w:t>
            </w:r>
            <w:r>
              <w:rPr>
                <w:rFonts w:hint="default" w:ascii="Times New Roman" w:hAnsi="Times New Roman" w:cs="Times New Roman" w:eastAsiaTheme="minorEastAsia"/>
                <w:b/>
                <w:bCs/>
                <w:color w:val="auto"/>
                <w:sz w:val="21"/>
                <w:szCs w:val="21"/>
                <w:lang w:eastAsia="zh-CN"/>
              </w:rPr>
              <w:t>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49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1628"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98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油罐</w:t>
            </w:r>
            <w:r>
              <w:rPr>
                <w:rFonts w:hint="default" w:ascii="Times New Roman" w:hAnsi="Times New Roman" w:cs="Times New Roman"/>
                <w:b/>
                <w:color w:val="auto"/>
                <w:sz w:val="21"/>
              </w:rPr>
              <w:t>（有卸油和加油回收系统）</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kern w:val="2"/>
                <w:sz w:val="21"/>
                <w:szCs w:val="21"/>
                <w:lang w:val="zh-CN" w:eastAsia="zh-CN" w:bidi="ar-SA"/>
              </w:rPr>
            </w:pPr>
            <w:r>
              <w:rPr>
                <w:rFonts w:hint="default" w:ascii="Times New Roman" w:hAnsi="Times New Roman" w:cs="Times New Roman" w:eastAsiaTheme="minorEastAsia"/>
                <w:b/>
                <w:bCs/>
                <w:color w:val="auto"/>
                <w:sz w:val="21"/>
                <w:szCs w:val="21"/>
                <w:lang w:val="zh-CN"/>
              </w:rPr>
              <w:t>通气管口</w:t>
            </w:r>
            <w:r>
              <w:rPr>
                <w:rFonts w:hint="default" w:ascii="Times New Roman" w:hAnsi="Times New Roman" w:cs="Times New Roman"/>
                <w:b/>
                <w:color w:val="auto"/>
                <w:sz w:val="21"/>
              </w:rPr>
              <w:t>（有卸油和加油回收系统）</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加油机</w:t>
            </w:r>
            <w:r>
              <w:rPr>
                <w:rFonts w:hint="default" w:ascii="Times New Roman" w:hAnsi="Times New Roman" w:cs="Times New Roman"/>
                <w:b/>
                <w:color w:val="auto"/>
                <w:sz w:val="21"/>
              </w:rPr>
              <w:t>（有卸油和加油回收系统）</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p>
        </w:tc>
        <w:tc>
          <w:tcPr>
            <w:tcW w:w="68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tc>
        <w:tc>
          <w:tcPr>
            <w:tcW w:w="162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val="en-US" w:eastAsia="zh-CN"/>
              </w:rPr>
              <w:t>民房</w:t>
            </w:r>
            <w:r>
              <w:rPr>
                <w:rFonts w:hint="eastAsia" w:cs="Times New Roman" w:eastAsiaTheme="minorEastAsia"/>
                <w:color w:val="auto"/>
                <w:sz w:val="21"/>
                <w:szCs w:val="21"/>
                <w:highlight w:val="none"/>
                <w:lang w:eastAsia="zh-CN"/>
              </w:rPr>
              <w:t>（</w:t>
            </w:r>
            <w:r>
              <w:rPr>
                <w:rFonts w:hint="eastAsia" w:cs="Times New Roman" w:eastAsiaTheme="minorEastAsia"/>
                <w:color w:val="auto"/>
                <w:sz w:val="21"/>
                <w:szCs w:val="21"/>
                <w:highlight w:val="none"/>
                <w:lang w:val="en-US" w:eastAsia="zh-CN"/>
              </w:rPr>
              <w:t>三</w:t>
            </w:r>
            <w:r>
              <w:rPr>
                <w:rFonts w:hint="eastAsia" w:cs="Times New Roman" w:eastAsiaTheme="minorEastAsia"/>
                <w:color w:val="auto"/>
                <w:sz w:val="21"/>
                <w:szCs w:val="21"/>
                <w:highlight w:val="none"/>
                <w:lang w:eastAsia="zh-CN"/>
              </w:rPr>
              <w:t>类保护物）</w:t>
            </w:r>
          </w:p>
        </w:tc>
        <w:tc>
          <w:tcPr>
            <w:tcW w:w="98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val="zh-CN" w:eastAsia="zh-CN"/>
              </w:rPr>
            </w:pPr>
            <w:r>
              <w:rPr>
                <w:rFonts w:hint="default" w:ascii="Times New Roman" w:hAnsi="Times New Roman" w:cs="Times New Roman" w:eastAsiaTheme="minorEastAsia"/>
                <w:color w:val="auto"/>
                <w:sz w:val="21"/>
                <w:szCs w:val="21"/>
                <w:highlight w:val="none"/>
                <w:lang w:eastAsia="zh-CN"/>
              </w:rPr>
              <w:t>东</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100/11</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109/7</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36</w:t>
            </w:r>
            <w:r>
              <w:rPr>
                <w:rFonts w:hint="eastAsia" w:cs="Times New Roman" w:eastAsiaTheme="minorEastAsia"/>
                <w:color w:val="0000FF"/>
                <w:sz w:val="21"/>
                <w:szCs w:val="21"/>
                <w:lang w:val="en-US" w:eastAsia="zh-CN"/>
              </w:rPr>
              <w:t>/</w:t>
            </w:r>
            <w:r>
              <w:rPr>
                <w:rFonts w:hint="eastAsia" w:cs="Times New Roman" w:eastAsiaTheme="minorEastAsia"/>
                <w:color w:val="auto"/>
                <w:sz w:val="21"/>
                <w:szCs w:val="21"/>
                <w:lang w:val="en-US" w:eastAsia="zh-CN"/>
              </w:rPr>
              <w:t>7</w:t>
            </w:r>
          </w:p>
        </w:tc>
        <w:tc>
          <w:tcPr>
            <w:tcW w:w="153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GB50156-2012（2014年版）</w:t>
            </w:r>
          </w:p>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4.0.4</w:t>
            </w: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91" w:hRule="atLeast"/>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w:t>
            </w:r>
          </w:p>
        </w:tc>
        <w:tc>
          <w:tcPr>
            <w:tcW w:w="162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val="en-US" w:eastAsia="zh-CN"/>
              </w:rPr>
              <w:t>绿化林</w:t>
            </w:r>
          </w:p>
        </w:tc>
        <w:tc>
          <w:tcPr>
            <w:tcW w:w="98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val="en-US" w:eastAsia="zh-CN"/>
              </w:rPr>
              <w:t>西</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36" w:hRule="atLeast"/>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w:t>
            </w:r>
          </w:p>
        </w:tc>
        <w:tc>
          <w:tcPr>
            <w:tcW w:w="162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南二路（G220国道）</w:t>
            </w:r>
          </w:p>
        </w:tc>
        <w:tc>
          <w:tcPr>
            <w:tcW w:w="98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eastAsia="zh-CN"/>
              </w:rPr>
              <w:t>南</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18/7</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30.2/5</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20/5</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66" w:hRule="atLeast"/>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4</w:t>
            </w:r>
          </w:p>
        </w:tc>
        <w:tc>
          <w:tcPr>
            <w:tcW w:w="162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加气站加气机（甲类）</w:t>
            </w:r>
          </w:p>
        </w:tc>
        <w:tc>
          <w:tcPr>
            <w:tcW w:w="98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南</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83/17.5</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93/12.5</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83/12.5</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91" w:hRule="atLeast"/>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w:t>
            </w:r>
          </w:p>
        </w:tc>
        <w:tc>
          <w:tcPr>
            <w:tcW w:w="162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永莘路（S316省道）</w:t>
            </w:r>
          </w:p>
        </w:tc>
        <w:tc>
          <w:tcPr>
            <w:tcW w:w="98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val="en-US" w:eastAsia="zh-CN"/>
              </w:rPr>
              <w:t>北</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16</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7</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25.9</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5</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17</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5</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913" w:hRule="atLeast"/>
          <w:jc w:val="center"/>
        </w:trPr>
        <w:tc>
          <w:tcPr>
            <w:tcW w:w="49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6</w:t>
            </w:r>
          </w:p>
        </w:tc>
        <w:tc>
          <w:tcPr>
            <w:tcW w:w="162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中石化加油站加油机（甲类）</w:t>
            </w:r>
          </w:p>
        </w:tc>
        <w:tc>
          <w:tcPr>
            <w:tcW w:w="98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北</w:t>
            </w:r>
          </w:p>
        </w:tc>
        <w:tc>
          <w:tcPr>
            <w:tcW w:w="121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71.6/17.5</w:t>
            </w:r>
          </w:p>
        </w:tc>
        <w:tc>
          <w:tcPr>
            <w:tcW w:w="153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81.5/12.5</w:t>
            </w:r>
          </w:p>
        </w:tc>
        <w:tc>
          <w:tcPr>
            <w:tcW w:w="1326"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70</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12.5</w:t>
            </w:r>
          </w:p>
        </w:tc>
        <w:tc>
          <w:tcPr>
            <w:tcW w:w="153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p>
        </w:tc>
        <w:tc>
          <w:tcPr>
            <w:tcW w:w="689"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符合</w:t>
            </w:r>
          </w:p>
        </w:tc>
      </w:tr>
    </w:tbl>
    <w:p>
      <w:pPr>
        <w:pStyle w:val="84"/>
        <w:pageBreakBefore w:val="0"/>
        <w:kinsoku/>
        <w:wordWrap/>
        <w:topLinePunct w:val="0"/>
        <w:bidi w:val="0"/>
        <w:adjustRightInd w:val="0"/>
        <w:snapToGrid w:val="0"/>
        <w:ind w:firstLine="201"/>
        <w:rPr>
          <w:rFonts w:hint="default" w:ascii="Times New Roman" w:hAnsi="Times New Roman" w:cs="Times New Roman"/>
          <w:b/>
          <w:bCs/>
          <w:color w:val="auto"/>
          <w:sz w:val="10"/>
          <w:szCs w:val="10"/>
          <w:lang w:val="zh-CN"/>
        </w:rPr>
      </w:pPr>
    </w:p>
    <w:p>
      <w:pPr>
        <w:pStyle w:val="84"/>
        <w:keepNext w:val="0"/>
        <w:keepLines w:val="0"/>
        <w:pageBreakBefore w:val="0"/>
        <w:widowControl w:val="0"/>
        <w:kinsoku w:val="0"/>
        <w:wordWrap/>
        <w:overflowPunct w:val="0"/>
        <w:topLinePunct w:val="0"/>
        <w:autoSpaceDE w:val="0"/>
        <w:autoSpaceDN w:val="0"/>
        <w:bidi w:val="0"/>
        <w:adjustRightInd w:val="0"/>
        <w:snapToGrid w:val="0"/>
        <w:spacing w:line="240" w:lineRule="auto"/>
        <w:jc w:val="center"/>
        <w:textAlignment w:val="auto"/>
        <w:rPr>
          <w:rFonts w:hint="default" w:ascii="Times New Roman" w:hAnsi="Times New Roman" w:cs="Times New Roman"/>
          <w:b/>
          <w:bCs/>
          <w:color w:val="auto"/>
          <w:sz w:val="24"/>
          <w:szCs w:val="24"/>
          <w:lang w:val="zh-CN"/>
        </w:rPr>
      </w:pPr>
      <w:r>
        <w:rPr>
          <w:rFonts w:hint="default" w:ascii="Times New Roman" w:hAnsi="Times New Roman" w:cs="Times New Roman"/>
          <w:b/>
          <w:bCs/>
          <w:color w:val="auto"/>
          <w:sz w:val="24"/>
          <w:szCs w:val="24"/>
          <w:lang w:val="zh-CN"/>
        </w:rPr>
        <w:t>表2</w:t>
      </w:r>
      <w:r>
        <w:rPr>
          <w:rFonts w:hint="default" w:ascii="Times New Roman" w:hAnsi="Times New Roman" w:cs="Times New Roman"/>
          <w:b/>
          <w:bCs/>
          <w:color w:val="auto"/>
          <w:sz w:val="24"/>
          <w:szCs w:val="24"/>
        </w:rPr>
        <w:t>.2</w:t>
      </w:r>
      <w:r>
        <w:rPr>
          <w:rFonts w:hint="default" w:ascii="Times New Roman" w:hAnsi="Times New Roman" w:cs="Times New Roman"/>
          <w:b/>
          <w:bCs/>
          <w:color w:val="auto"/>
          <w:sz w:val="24"/>
          <w:szCs w:val="24"/>
          <w:lang w:val="zh-CN"/>
        </w:rPr>
        <w:t>-</w:t>
      </w:r>
      <w:r>
        <w:rPr>
          <w:rFonts w:hint="eastAsia" w:cs="Times New Roman"/>
          <w:b/>
          <w:bCs/>
          <w:color w:val="auto"/>
          <w:sz w:val="24"/>
          <w:szCs w:val="24"/>
          <w:lang w:val="en-US" w:eastAsia="zh-CN"/>
        </w:rPr>
        <w:t xml:space="preserve">5 </w:t>
      </w:r>
      <w:r>
        <w:rPr>
          <w:rFonts w:hint="default" w:ascii="Times New Roman" w:hAnsi="Times New Roman" w:cs="Times New Roman"/>
          <w:b/>
          <w:bCs/>
          <w:color w:val="auto"/>
          <w:sz w:val="24"/>
          <w:szCs w:val="24"/>
          <w:lang w:val="zh-CN"/>
        </w:rPr>
        <w:t>加油站（</w:t>
      </w:r>
      <w:r>
        <w:rPr>
          <w:rFonts w:hint="eastAsia" w:cs="Times New Roman"/>
          <w:b/>
          <w:bCs/>
          <w:color w:val="auto"/>
          <w:sz w:val="24"/>
          <w:szCs w:val="24"/>
          <w:lang w:val="en-US" w:eastAsia="zh-CN"/>
        </w:rPr>
        <w:t>一</w:t>
      </w:r>
      <w:r>
        <w:rPr>
          <w:rFonts w:hint="default" w:ascii="Times New Roman" w:hAnsi="Times New Roman" w:cs="Times New Roman"/>
          <w:b/>
          <w:bCs/>
          <w:color w:val="auto"/>
          <w:sz w:val="24"/>
          <w:szCs w:val="24"/>
          <w:lang w:val="zh-CN"/>
        </w:rPr>
        <w:t>级站）柴油设施与站外设施距离</w:t>
      </w:r>
    </w:p>
    <w:tbl>
      <w:tblPr>
        <w:tblStyle w:val="28"/>
        <w:tblpPr w:leftFromText="180" w:rightFromText="180" w:vertAnchor="text" w:horzAnchor="page" w:tblpX="1503" w:tblpY="224"/>
        <w:tblOverlap w:val="never"/>
        <w:tblW w:w="928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491"/>
        <w:gridCol w:w="1601"/>
        <w:gridCol w:w="1008"/>
        <w:gridCol w:w="1362"/>
        <w:gridCol w:w="1335"/>
        <w:gridCol w:w="1264"/>
        <w:gridCol w:w="1531"/>
        <w:gridCol w:w="6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blHeader/>
        </w:trPr>
        <w:tc>
          <w:tcPr>
            <w:tcW w:w="491" w:type="dxa"/>
            <w:vMerge w:val="restart"/>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序号</w:t>
            </w:r>
          </w:p>
        </w:tc>
        <w:tc>
          <w:tcPr>
            <w:tcW w:w="1601" w:type="dxa"/>
            <w:vMerge w:val="restart"/>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站外设施</w:t>
            </w:r>
          </w:p>
        </w:tc>
        <w:tc>
          <w:tcPr>
            <w:tcW w:w="1008" w:type="dxa"/>
            <w:vMerge w:val="restart"/>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与加油站相对位置</w:t>
            </w:r>
          </w:p>
        </w:tc>
        <w:tc>
          <w:tcPr>
            <w:tcW w:w="3961" w:type="dxa"/>
            <w:gridSpan w:val="3"/>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与下列设施距离/规范要求距离（m）</w:t>
            </w:r>
          </w:p>
        </w:tc>
        <w:tc>
          <w:tcPr>
            <w:tcW w:w="1531" w:type="dxa"/>
            <w:vMerge w:val="restart"/>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b/>
                <w:bCs/>
                <w:color w:val="auto"/>
                <w:sz w:val="21"/>
                <w:szCs w:val="21"/>
                <w:lang w:val="zh-CN"/>
              </w:rPr>
              <w:t>标准依据</w:t>
            </w:r>
          </w:p>
        </w:tc>
        <w:tc>
          <w:tcPr>
            <w:tcW w:w="689" w:type="dxa"/>
            <w:vMerge w:val="restart"/>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rPr>
              <w:t>符合</w:t>
            </w:r>
            <w:r>
              <w:rPr>
                <w:rFonts w:hint="default" w:ascii="Times New Roman" w:hAnsi="Times New Roman" w:cs="Times New Roman" w:eastAsiaTheme="minorEastAsia"/>
                <w:b/>
                <w:bCs/>
                <w:color w:val="auto"/>
                <w:sz w:val="21"/>
                <w:szCs w:val="21"/>
                <w:lang w:eastAsia="zh-CN"/>
              </w:rPr>
              <w:t>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blHeader/>
        </w:trPr>
        <w:tc>
          <w:tcPr>
            <w:tcW w:w="491"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1601"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1008"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p>
        </w:tc>
        <w:tc>
          <w:tcPr>
            <w:tcW w:w="1362"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油罐</w:t>
            </w:r>
          </w:p>
        </w:tc>
        <w:tc>
          <w:tcPr>
            <w:tcW w:w="1335"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通气管口</w:t>
            </w:r>
          </w:p>
        </w:tc>
        <w:tc>
          <w:tcPr>
            <w:tcW w:w="1264"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加油机</w:t>
            </w:r>
          </w:p>
        </w:tc>
        <w:tc>
          <w:tcPr>
            <w:tcW w:w="1531"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p>
        </w:tc>
        <w:tc>
          <w:tcPr>
            <w:tcW w:w="689"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Pr>
        <w:tc>
          <w:tcPr>
            <w:tcW w:w="491"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tc>
        <w:tc>
          <w:tcPr>
            <w:tcW w:w="16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val="en-US" w:eastAsia="zh-CN"/>
              </w:rPr>
              <w:t>民房</w:t>
            </w:r>
            <w:r>
              <w:rPr>
                <w:rFonts w:hint="eastAsia" w:cs="Times New Roman" w:eastAsiaTheme="minorEastAsia"/>
                <w:color w:val="auto"/>
                <w:sz w:val="21"/>
                <w:szCs w:val="21"/>
                <w:highlight w:val="none"/>
                <w:lang w:eastAsia="zh-CN"/>
              </w:rPr>
              <w:t>（</w:t>
            </w:r>
            <w:r>
              <w:rPr>
                <w:rFonts w:hint="eastAsia" w:cs="Times New Roman" w:eastAsiaTheme="minorEastAsia"/>
                <w:color w:val="auto"/>
                <w:sz w:val="21"/>
                <w:szCs w:val="21"/>
                <w:highlight w:val="none"/>
                <w:lang w:val="en-US" w:eastAsia="zh-CN"/>
              </w:rPr>
              <w:t>三</w:t>
            </w:r>
            <w:r>
              <w:rPr>
                <w:rFonts w:hint="eastAsia" w:cs="Times New Roman" w:eastAsiaTheme="minorEastAsia"/>
                <w:color w:val="auto"/>
                <w:sz w:val="21"/>
                <w:szCs w:val="21"/>
                <w:highlight w:val="none"/>
                <w:lang w:eastAsia="zh-CN"/>
              </w:rPr>
              <w:t>类保护物）</w:t>
            </w:r>
          </w:p>
        </w:tc>
        <w:tc>
          <w:tcPr>
            <w:tcW w:w="10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val="zh-CN" w:eastAsia="zh-CN"/>
              </w:rPr>
            </w:pPr>
            <w:r>
              <w:rPr>
                <w:rFonts w:hint="default" w:ascii="Times New Roman" w:hAnsi="Times New Roman" w:cs="Times New Roman" w:eastAsiaTheme="minorEastAsia"/>
                <w:color w:val="auto"/>
                <w:sz w:val="21"/>
                <w:szCs w:val="21"/>
                <w:highlight w:val="none"/>
                <w:lang w:eastAsia="zh-CN"/>
              </w:rPr>
              <w:t>东</w:t>
            </w:r>
          </w:p>
        </w:tc>
        <w:tc>
          <w:tcPr>
            <w:tcW w:w="1362"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100/6</w:t>
            </w:r>
          </w:p>
        </w:tc>
        <w:tc>
          <w:tcPr>
            <w:tcW w:w="1335"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109/6</w:t>
            </w:r>
          </w:p>
        </w:tc>
        <w:tc>
          <w:tcPr>
            <w:tcW w:w="1264"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54/6</w:t>
            </w:r>
          </w:p>
        </w:tc>
        <w:tc>
          <w:tcPr>
            <w:tcW w:w="1531" w:type="dxa"/>
            <w:vMerge w:val="restart"/>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GB50156-2012（2014年版）</w:t>
            </w:r>
          </w:p>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4.0.</w:t>
            </w:r>
            <w:r>
              <w:rPr>
                <w:rFonts w:hint="eastAsia" w:cs="Times New Roman" w:eastAsiaTheme="minorEastAsia"/>
                <w:color w:val="auto"/>
                <w:sz w:val="21"/>
                <w:szCs w:val="21"/>
                <w:lang w:val="en-US" w:eastAsia="zh-CN"/>
              </w:rPr>
              <w:t>5</w:t>
            </w:r>
          </w:p>
        </w:tc>
        <w:tc>
          <w:tcPr>
            <w:tcW w:w="689"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Pr>
        <w:tc>
          <w:tcPr>
            <w:tcW w:w="491"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w:t>
            </w:r>
          </w:p>
        </w:tc>
        <w:tc>
          <w:tcPr>
            <w:tcW w:w="16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val="en-US" w:eastAsia="zh-CN"/>
              </w:rPr>
              <w:t>绿化林</w:t>
            </w:r>
          </w:p>
        </w:tc>
        <w:tc>
          <w:tcPr>
            <w:tcW w:w="10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val="en-US" w:eastAsia="zh-CN"/>
              </w:rPr>
              <w:t>西</w:t>
            </w:r>
          </w:p>
        </w:tc>
        <w:tc>
          <w:tcPr>
            <w:tcW w:w="1362"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w:t>
            </w:r>
          </w:p>
        </w:tc>
        <w:tc>
          <w:tcPr>
            <w:tcW w:w="1335"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w:t>
            </w:r>
          </w:p>
        </w:tc>
        <w:tc>
          <w:tcPr>
            <w:tcW w:w="1264"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w:t>
            </w:r>
          </w:p>
        </w:tc>
        <w:tc>
          <w:tcPr>
            <w:tcW w:w="1531"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89"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Pr>
        <w:tc>
          <w:tcPr>
            <w:tcW w:w="491"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w:t>
            </w:r>
          </w:p>
        </w:tc>
        <w:tc>
          <w:tcPr>
            <w:tcW w:w="16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val="en-US" w:eastAsia="zh-CN"/>
              </w:rPr>
              <w:t>南二路（G220国道）</w:t>
            </w:r>
          </w:p>
        </w:tc>
        <w:tc>
          <w:tcPr>
            <w:tcW w:w="10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eastAsia="zh-CN"/>
              </w:rPr>
              <w:t>南</w:t>
            </w:r>
          </w:p>
        </w:tc>
        <w:tc>
          <w:tcPr>
            <w:tcW w:w="1362"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21/3</w:t>
            </w:r>
          </w:p>
        </w:tc>
        <w:tc>
          <w:tcPr>
            <w:tcW w:w="1335"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30.2/3</w:t>
            </w:r>
          </w:p>
        </w:tc>
        <w:tc>
          <w:tcPr>
            <w:tcW w:w="1264"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20/3</w:t>
            </w:r>
          </w:p>
        </w:tc>
        <w:tc>
          <w:tcPr>
            <w:tcW w:w="1531"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89"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Pr>
        <w:tc>
          <w:tcPr>
            <w:tcW w:w="491"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4</w:t>
            </w:r>
          </w:p>
        </w:tc>
        <w:tc>
          <w:tcPr>
            <w:tcW w:w="16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加气站加气机（甲类）</w:t>
            </w:r>
          </w:p>
        </w:tc>
        <w:tc>
          <w:tcPr>
            <w:tcW w:w="10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eastAsia="zh-CN"/>
              </w:rPr>
              <w:t>南</w:t>
            </w:r>
          </w:p>
        </w:tc>
        <w:tc>
          <w:tcPr>
            <w:tcW w:w="1362"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86/12.5</w:t>
            </w:r>
          </w:p>
        </w:tc>
        <w:tc>
          <w:tcPr>
            <w:tcW w:w="1335"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93/9</w:t>
            </w:r>
          </w:p>
        </w:tc>
        <w:tc>
          <w:tcPr>
            <w:tcW w:w="1264"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83/9</w:t>
            </w:r>
          </w:p>
        </w:tc>
        <w:tc>
          <w:tcPr>
            <w:tcW w:w="1531"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rPr>
            </w:pPr>
          </w:p>
        </w:tc>
        <w:tc>
          <w:tcPr>
            <w:tcW w:w="689"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Pr>
        <w:tc>
          <w:tcPr>
            <w:tcW w:w="491"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w:t>
            </w:r>
          </w:p>
        </w:tc>
        <w:tc>
          <w:tcPr>
            <w:tcW w:w="16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val="en-US" w:eastAsia="zh-CN"/>
              </w:rPr>
              <w:t>永莘路（S316省道）</w:t>
            </w:r>
          </w:p>
        </w:tc>
        <w:tc>
          <w:tcPr>
            <w:tcW w:w="10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val="en-US" w:eastAsia="zh-CN"/>
              </w:rPr>
              <w:t>北</w:t>
            </w:r>
          </w:p>
        </w:tc>
        <w:tc>
          <w:tcPr>
            <w:tcW w:w="1362"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21</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3</w:t>
            </w:r>
          </w:p>
        </w:tc>
        <w:tc>
          <w:tcPr>
            <w:tcW w:w="1335"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25.9/3</w:t>
            </w:r>
          </w:p>
        </w:tc>
        <w:tc>
          <w:tcPr>
            <w:tcW w:w="1264"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17</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3</w:t>
            </w:r>
          </w:p>
        </w:tc>
        <w:tc>
          <w:tcPr>
            <w:tcW w:w="1531" w:type="dxa"/>
            <w:vMerge w:val="continue"/>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89"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cantSplit/>
        </w:trPr>
        <w:tc>
          <w:tcPr>
            <w:tcW w:w="491"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6</w:t>
            </w:r>
          </w:p>
        </w:tc>
        <w:tc>
          <w:tcPr>
            <w:tcW w:w="1601"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中石化加油站加油机（甲类）</w:t>
            </w:r>
          </w:p>
        </w:tc>
        <w:tc>
          <w:tcPr>
            <w:tcW w:w="1008"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北</w:t>
            </w:r>
          </w:p>
        </w:tc>
        <w:tc>
          <w:tcPr>
            <w:tcW w:w="1362"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78.6/12.5</w:t>
            </w:r>
          </w:p>
        </w:tc>
        <w:tc>
          <w:tcPr>
            <w:tcW w:w="1335"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82/9</w:t>
            </w:r>
          </w:p>
        </w:tc>
        <w:tc>
          <w:tcPr>
            <w:tcW w:w="1264" w:type="dxa"/>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100</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9</w:t>
            </w:r>
          </w:p>
        </w:tc>
        <w:tc>
          <w:tcPr>
            <w:tcW w:w="1531"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rPr>
            </w:pPr>
          </w:p>
        </w:tc>
        <w:tc>
          <w:tcPr>
            <w:tcW w:w="689"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符合</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42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1.站址选择、站内平面布置的安全间距和防火间距起止点，均按照GB50156-2012</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lang w:val="en-US" w:eastAsia="zh-CN"/>
        </w:rPr>
        <w:t>2014版</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附录A的规定进行计算。</w:t>
      </w:r>
    </w:p>
    <w:p>
      <w:pPr>
        <w:pageBreakBefore w:val="0"/>
        <w:kinsoku/>
        <w:wordWrap/>
        <w:topLinePunct w:val="0"/>
        <w:bidi w:val="0"/>
        <w:adjustRightInd w:val="0"/>
        <w:snapToGrid w:val="0"/>
        <w:spacing w:line="240" w:lineRule="auto"/>
        <w:ind w:firstLine="420"/>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表中“/”前的距离为</w:t>
      </w:r>
      <w:r>
        <w:rPr>
          <w:rFonts w:hint="default" w:ascii="Times New Roman" w:hAnsi="Times New Roman" w:cs="Times New Roman" w:eastAsiaTheme="minorEastAsia"/>
          <w:color w:val="auto"/>
          <w:sz w:val="21"/>
          <w:szCs w:val="21"/>
          <w:lang w:eastAsia="zh-CN"/>
        </w:rPr>
        <w:t>现场设施之间</w:t>
      </w:r>
      <w:r>
        <w:rPr>
          <w:rFonts w:hint="default" w:ascii="Times New Roman" w:hAnsi="Times New Roman" w:cs="Times New Roman" w:eastAsiaTheme="minorEastAsia"/>
          <w:color w:val="auto"/>
          <w:sz w:val="21"/>
          <w:szCs w:val="21"/>
        </w:rPr>
        <w:t>的</w:t>
      </w:r>
      <w:r>
        <w:rPr>
          <w:rFonts w:hint="default" w:ascii="Times New Roman" w:hAnsi="Times New Roman" w:cs="Times New Roman" w:eastAsiaTheme="minorEastAsia"/>
          <w:color w:val="auto"/>
          <w:sz w:val="21"/>
          <w:szCs w:val="21"/>
          <w:lang w:eastAsia="zh-CN"/>
        </w:rPr>
        <w:t>防火</w:t>
      </w:r>
      <w:r>
        <w:rPr>
          <w:rFonts w:hint="default" w:ascii="Times New Roman" w:hAnsi="Times New Roman" w:cs="Times New Roman" w:eastAsiaTheme="minorEastAsia"/>
          <w:color w:val="auto"/>
          <w:sz w:val="21"/>
          <w:szCs w:val="21"/>
        </w:rPr>
        <w:t>间距，“/”后数字为《汽车加油加气站设计与施工规范》（GB50156-2012）（2014年版）中要求的最小距离。</w:t>
      </w:r>
    </w:p>
    <w:p>
      <w:pPr>
        <w:pageBreakBefore w:val="0"/>
        <w:kinsoku/>
        <w:wordWrap/>
        <w:topLinePunct w:val="0"/>
        <w:bidi w:val="0"/>
        <w:adjustRightInd w:val="0"/>
        <w:snapToGrid w:val="0"/>
        <w:spacing w:line="240" w:lineRule="auto"/>
        <w:ind w:firstLine="42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.该加油站</w:t>
      </w:r>
      <w:r>
        <w:rPr>
          <w:rFonts w:hint="eastAsia" w:cs="Times New Roman" w:eastAsiaTheme="minorEastAsia"/>
          <w:color w:val="auto"/>
          <w:sz w:val="21"/>
          <w:szCs w:val="21"/>
          <w:lang w:val="en-US" w:eastAsia="zh-CN"/>
        </w:rPr>
        <w:t>为一</w:t>
      </w:r>
      <w:r>
        <w:rPr>
          <w:rFonts w:hint="default" w:ascii="Times New Roman" w:hAnsi="Times New Roman" w:cs="Times New Roman" w:eastAsiaTheme="minorEastAsia"/>
          <w:color w:val="auto"/>
          <w:sz w:val="21"/>
          <w:szCs w:val="21"/>
        </w:rPr>
        <w:t>级站，加油部分设有卸油油气回收系统与加油油气回收系统。</w:t>
      </w:r>
    </w:p>
    <w:p>
      <w:pPr>
        <w:pStyle w:val="20"/>
        <w:keepNext w:val="0"/>
        <w:keepLines w:val="0"/>
        <w:pageBreakBefore w:val="0"/>
        <w:widowControl w:val="0"/>
        <w:kinsoku/>
        <w:wordWrap/>
        <w:overflowPunct/>
        <w:topLinePunct w:val="0"/>
        <w:autoSpaceDE/>
        <w:autoSpaceDN/>
        <w:bidi w:val="0"/>
        <w:adjustRightInd w:val="0"/>
        <w:snapToGrid w:val="0"/>
        <w:spacing w:before="157" w:beforeLines="50" w:after="0" w:line="360" w:lineRule="auto"/>
        <w:ind w:firstLine="0" w:firstLineChars="0"/>
        <w:jc w:val="both"/>
        <w:textAlignment w:val="auto"/>
        <w:outlineLvl w:val="2"/>
        <w:rPr>
          <w:rFonts w:hint="default" w:ascii="Times New Roman" w:hAnsi="Times New Roman" w:cs="Times New Roman" w:eastAsiaTheme="minorEastAsia"/>
          <w:snapToGrid w:val="0"/>
          <w:color w:val="auto"/>
          <w:w w:val="95"/>
          <w:kern w:val="0"/>
          <w:sz w:val="28"/>
          <w:szCs w:val="28"/>
          <w:lang w:val="zh-CN"/>
        </w:rPr>
      </w:pPr>
      <w:bookmarkStart w:id="13" w:name="_Toc11216"/>
      <w:bookmarkStart w:id="14" w:name="_Toc21645"/>
      <w:bookmarkStart w:id="15" w:name="_Toc9299"/>
      <w:bookmarkStart w:id="16" w:name="_Toc27002"/>
      <w:bookmarkStart w:id="17" w:name="_Toc2327"/>
      <w:r>
        <w:rPr>
          <w:rFonts w:hint="default" w:ascii="Times New Roman" w:hAnsi="Times New Roman" w:cs="Times New Roman" w:eastAsiaTheme="minorEastAsia"/>
          <w:color w:val="auto"/>
          <w:sz w:val="28"/>
          <w:szCs w:val="28"/>
        </w:rPr>
        <w:t xml:space="preserve">2.2.3 </w:t>
      </w:r>
      <w:bookmarkStart w:id="18" w:name="_Toc413827929"/>
      <w:r>
        <w:rPr>
          <w:rFonts w:hint="default" w:ascii="Times New Roman" w:hAnsi="Times New Roman" w:cs="Times New Roman" w:eastAsiaTheme="minorEastAsia"/>
          <w:snapToGrid w:val="0"/>
          <w:color w:val="auto"/>
          <w:kern w:val="0"/>
          <w:sz w:val="28"/>
          <w:szCs w:val="28"/>
          <w:lang w:val="zh-CN"/>
        </w:rPr>
        <w:t>建设项目的主要工艺技术及与国内、外同类建设项目技术对比情况</w:t>
      </w:r>
      <w:bookmarkEnd w:id="13"/>
      <w:bookmarkEnd w:id="14"/>
      <w:bookmarkEnd w:id="15"/>
      <w:bookmarkEnd w:id="16"/>
      <w:bookmarkEnd w:id="17"/>
      <w:bookmarkEnd w:id="18"/>
    </w:p>
    <w:p>
      <w:pPr>
        <w:keepNext w:val="0"/>
        <w:keepLines w:val="0"/>
        <w:pageBreakBefore w:val="0"/>
        <w:widowControl w:val="0"/>
        <w:kinsoku/>
        <w:wordWrap/>
        <w:overflowPunct/>
        <w:topLinePunct w:val="0"/>
        <w:autoSpaceDE w:val="0"/>
        <w:autoSpaceDN w:val="0"/>
        <w:bidi w:val="0"/>
        <w:adjustRightInd w:val="0"/>
        <w:snapToGrid w:val="0"/>
        <w:ind w:firstLine="560"/>
        <w:textAlignment w:val="auto"/>
        <w:rPr>
          <w:rFonts w:hint="default" w:ascii="Times New Roman" w:hAnsi="Times New Roman" w:cs="Times New Roman"/>
          <w:color w:val="auto"/>
          <w:szCs w:val="28"/>
          <w:lang w:val="zh-CN"/>
        </w:rPr>
      </w:pPr>
      <w:r>
        <w:rPr>
          <w:rFonts w:hint="eastAsia" w:cs="Times New Roman"/>
          <w:color w:val="auto"/>
          <w:szCs w:val="28"/>
          <w:lang w:val="zh-CN"/>
        </w:rPr>
        <w:t>该加油中心</w:t>
      </w:r>
      <w:r>
        <w:rPr>
          <w:rFonts w:hint="default" w:ascii="Times New Roman" w:hAnsi="Times New Roman" w:cs="Times New Roman"/>
          <w:color w:val="auto"/>
          <w:szCs w:val="28"/>
          <w:lang w:val="zh-CN"/>
        </w:rPr>
        <w:t>采用潜油泵式加油工艺。成品油罐车来油先卸到储油罐中，油罐中的油泵将油品由储油罐中送到加油机中，经加油机给汽车加油。油罐卸油时采取</w:t>
      </w:r>
      <w:r>
        <w:rPr>
          <w:rFonts w:hint="default" w:ascii="Times New Roman" w:hAnsi="Times New Roman" w:cs="Times New Roman"/>
          <w:color w:val="auto"/>
          <w:szCs w:val="28"/>
        </w:rPr>
        <w:t>液位报警及</w:t>
      </w:r>
      <w:r>
        <w:rPr>
          <w:rFonts w:hint="default" w:ascii="Times New Roman" w:hAnsi="Times New Roman" w:cs="Times New Roman"/>
          <w:color w:val="auto"/>
          <w:szCs w:val="28"/>
          <w:lang w:eastAsia="zh-CN"/>
        </w:rPr>
        <w:t>电子</w:t>
      </w:r>
      <w:r>
        <w:rPr>
          <w:rFonts w:hint="default" w:ascii="Times New Roman" w:hAnsi="Times New Roman" w:cs="Times New Roman"/>
          <w:color w:val="auto"/>
          <w:szCs w:val="28"/>
        </w:rPr>
        <w:t>防溢阀</w:t>
      </w:r>
      <w:r>
        <w:rPr>
          <w:rFonts w:hint="default" w:ascii="Times New Roman" w:hAnsi="Times New Roman" w:cs="Times New Roman"/>
          <w:color w:val="auto"/>
          <w:szCs w:val="28"/>
          <w:lang w:eastAsia="zh-CN"/>
        </w:rPr>
        <w:t>（紧急切断阀）</w:t>
      </w:r>
      <w:r>
        <w:rPr>
          <w:rFonts w:hint="default" w:ascii="Times New Roman" w:hAnsi="Times New Roman" w:cs="Times New Roman"/>
          <w:color w:val="auto"/>
          <w:szCs w:val="28"/>
        </w:rPr>
        <w:t>等</w:t>
      </w:r>
      <w:r>
        <w:rPr>
          <w:rFonts w:hint="default" w:ascii="Times New Roman" w:hAnsi="Times New Roman" w:cs="Times New Roman"/>
          <w:color w:val="auto"/>
          <w:szCs w:val="28"/>
          <w:lang w:val="zh-CN"/>
        </w:rPr>
        <w:t>防溢满措施，卸油时，液位仪实时监测油罐内油位高度，通过预先设定好的高位报警值，当油位达到报警点后，紧急切断阀控制箱发送动作信号，紧急切断阀控制箱接收到指令后会瞬间通电，紧急切断阀会</w:t>
      </w:r>
      <w:r>
        <w:rPr>
          <w:rFonts w:hint="eastAsia" w:cs="Times New Roman"/>
          <w:color w:val="auto"/>
          <w:szCs w:val="28"/>
          <w:lang w:val="zh-CN"/>
        </w:rPr>
        <w:t>紧急</w:t>
      </w:r>
      <w:r>
        <w:rPr>
          <w:rFonts w:hint="default" w:ascii="Times New Roman" w:hAnsi="Times New Roman" w:cs="Times New Roman"/>
          <w:color w:val="auto"/>
          <w:szCs w:val="28"/>
          <w:lang w:val="zh-CN"/>
        </w:rPr>
        <w:t>自动关闭，从而达到卸油防满溢目的。</w:t>
      </w:r>
    </w:p>
    <w:p>
      <w:pPr>
        <w:keepNext w:val="0"/>
        <w:keepLines w:val="0"/>
        <w:pageBreakBefore w:val="0"/>
        <w:widowControl w:val="0"/>
        <w:kinsoku/>
        <w:wordWrap/>
        <w:overflowPunct/>
        <w:topLinePunct w:val="0"/>
        <w:bidi w:val="0"/>
        <w:adjustRightInd w:val="0"/>
        <w:snapToGrid w:val="0"/>
        <w:ind w:firstLine="560"/>
        <w:textAlignment w:val="auto"/>
        <w:rPr>
          <w:rFonts w:hint="default" w:ascii="Times New Roman" w:hAnsi="Times New Roman" w:cs="Times New Roman"/>
          <w:color w:val="auto"/>
          <w:szCs w:val="28"/>
          <w:lang w:val="zh-CN"/>
        </w:rPr>
      </w:pPr>
      <w:r>
        <w:rPr>
          <w:rFonts w:hint="default" w:ascii="Times New Roman" w:hAnsi="Times New Roman" w:cs="Times New Roman"/>
          <w:color w:val="auto"/>
          <w:szCs w:val="28"/>
          <w:lang w:val="zh-CN"/>
        </w:rPr>
        <w:t>加油过程工艺成熟可靠，加油机采用</w:t>
      </w:r>
      <w:r>
        <w:rPr>
          <w:rFonts w:hint="default" w:ascii="Times New Roman" w:hAnsi="Times New Roman" w:cs="Times New Roman"/>
          <w:color w:val="auto"/>
          <w:szCs w:val="28"/>
          <w:lang w:val="en-US" w:eastAsia="zh-CN"/>
        </w:rPr>
        <w:t>IC卡</w:t>
      </w:r>
      <w:r>
        <w:rPr>
          <w:rFonts w:hint="default" w:ascii="Times New Roman" w:hAnsi="Times New Roman" w:cs="Times New Roman"/>
          <w:color w:val="auto"/>
          <w:szCs w:val="28"/>
          <w:lang w:val="zh-CN"/>
        </w:rPr>
        <w:t>税控燃油加油机，其加油泵采用</w:t>
      </w:r>
      <w:r>
        <w:rPr>
          <w:rFonts w:hint="default" w:ascii="Times New Roman" w:hAnsi="Times New Roman" w:cs="Times New Roman"/>
          <w:color w:val="auto"/>
          <w:szCs w:val="28"/>
        </w:rPr>
        <w:t>潜油泵</w:t>
      </w:r>
      <w:r>
        <w:rPr>
          <w:rFonts w:hint="default" w:ascii="Times New Roman" w:hAnsi="Times New Roman" w:cs="Times New Roman"/>
          <w:color w:val="auto"/>
          <w:szCs w:val="28"/>
          <w:lang w:val="zh-CN"/>
        </w:rPr>
        <w:t>，密封效</w:t>
      </w:r>
      <w:r>
        <w:rPr>
          <w:rFonts w:hint="default" w:ascii="Times New Roman" w:hAnsi="Times New Roman" w:cs="Times New Roman"/>
          <w:color w:val="auto"/>
          <w:szCs w:val="28"/>
          <w:highlight w:val="none"/>
          <w:lang w:val="zh-CN"/>
        </w:rPr>
        <w:t>果较好，自动化程度较高。油罐设通气管，汽柴油罐的通气管分开设置，通气管</w:t>
      </w:r>
      <w:r>
        <w:rPr>
          <w:rFonts w:hint="default" w:ascii="Times New Roman" w:hAnsi="Times New Roman" w:cs="Times New Roman"/>
          <w:color w:val="auto"/>
          <w:szCs w:val="28"/>
          <w:lang w:val="zh-CN"/>
        </w:rPr>
        <w:t>直径为</w:t>
      </w:r>
      <w:r>
        <w:rPr>
          <w:rFonts w:hint="eastAsia" w:cs="Times New Roman"/>
          <w:color w:val="auto"/>
          <w:szCs w:val="28"/>
          <w:lang w:val="zh-CN"/>
        </w:rPr>
        <w:t>DN50</w:t>
      </w:r>
      <w:r>
        <w:rPr>
          <w:rFonts w:hint="default" w:ascii="Times New Roman" w:hAnsi="Times New Roman" w:cs="Times New Roman"/>
          <w:color w:val="auto"/>
          <w:szCs w:val="28"/>
          <w:lang w:val="zh-CN"/>
        </w:rPr>
        <w:t>，柴油通气管</w:t>
      </w:r>
      <w:r>
        <w:rPr>
          <w:rFonts w:hint="default" w:ascii="Times New Roman" w:hAnsi="Times New Roman" w:cs="Times New Roman"/>
          <w:color w:val="auto"/>
          <w:szCs w:val="28"/>
          <w:highlight w:val="none"/>
          <w:lang w:val="zh-CN"/>
        </w:rPr>
        <w:t>管口安装防雨阻火通气</w:t>
      </w:r>
      <w:r>
        <w:rPr>
          <w:rFonts w:hint="eastAsia" w:cs="Times New Roman"/>
          <w:color w:val="auto"/>
          <w:szCs w:val="28"/>
          <w:highlight w:val="none"/>
          <w:lang w:val="zh-CN"/>
        </w:rPr>
        <w:t>罩</w:t>
      </w:r>
      <w:r>
        <w:rPr>
          <w:rFonts w:hint="default" w:ascii="Times New Roman" w:hAnsi="Times New Roman" w:cs="Times New Roman"/>
          <w:color w:val="auto"/>
          <w:szCs w:val="28"/>
          <w:highlight w:val="none"/>
          <w:lang w:val="zh-CN"/>
        </w:rPr>
        <w:t>、汽油通气管管口安装</w:t>
      </w:r>
      <w:r>
        <w:rPr>
          <w:rFonts w:hint="eastAsia" w:cs="Times New Roman"/>
          <w:color w:val="auto"/>
          <w:szCs w:val="28"/>
          <w:highlight w:val="none"/>
          <w:lang w:val="zh-CN"/>
        </w:rPr>
        <w:t>阻火型机械式呼吸阀</w:t>
      </w:r>
      <w:r>
        <w:rPr>
          <w:rFonts w:hint="default" w:ascii="Times New Roman" w:hAnsi="Times New Roman" w:cs="Times New Roman"/>
          <w:color w:val="auto"/>
          <w:szCs w:val="28"/>
          <w:lang w:val="zh-CN"/>
        </w:rPr>
        <w:t>。</w:t>
      </w:r>
      <w:r>
        <w:rPr>
          <w:rFonts w:hint="eastAsia" w:cs="Times New Roman"/>
          <w:color w:val="auto"/>
          <w:szCs w:val="28"/>
          <w:lang w:val="zh-CN"/>
        </w:rPr>
        <w:t>该加油中心</w:t>
      </w:r>
      <w:r>
        <w:rPr>
          <w:rFonts w:hint="default" w:ascii="Times New Roman" w:hAnsi="Times New Roman" w:cs="Times New Roman"/>
          <w:color w:val="auto"/>
          <w:szCs w:val="28"/>
          <w:lang w:val="zh-CN"/>
        </w:rPr>
        <w:t>设置</w:t>
      </w:r>
      <w:r>
        <w:rPr>
          <w:rFonts w:hint="default" w:ascii="Times New Roman" w:hAnsi="Times New Roman" w:cs="Times New Roman"/>
          <w:color w:val="auto"/>
          <w:szCs w:val="28"/>
        </w:rPr>
        <w:t>有</w:t>
      </w:r>
      <w:r>
        <w:rPr>
          <w:rFonts w:hint="default" w:ascii="Times New Roman" w:hAnsi="Times New Roman" w:cs="Times New Roman"/>
          <w:color w:val="auto"/>
          <w:szCs w:val="28"/>
          <w:lang w:val="zh-CN"/>
        </w:rPr>
        <w:t>卸油油气回收、加油油气回收系统。</w:t>
      </w:r>
    </w:p>
    <w:p>
      <w:pPr>
        <w:keepNext w:val="0"/>
        <w:keepLines w:val="0"/>
        <w:pageBreakBefore w:val="0"/>
        <w:widowControl w:val="0"/>
        <w:kinsoku/>
        <w:wordWrap/>
        <w:overflowPunct/>
        <w:topLinePunct w:val="0"/>
        <w:bidi w:val="0"/>
        <w:adjustRightInd w:val="0"/>
        <w:snapToGrid w:val="0"/>
        <w:ind w:firstLine="560"/>
        <w:textAlignment w:val="auto"/>
        <w:rPr>
          <w:rFonts w:hint="default" w:ascii="Times New Roman" w:hAnsi="Times New Roman" w:cs="Times New Roman" w:eastAsiaTheme="minorEastAsia"/>
          <w:color w:val="auto"/>
          <w:szCs w:val="28"/>
        </w:rPr>
      </w:pPr>
      <w:r>
        <w:rPr>
          <w:rFonts w:hint="eastAsia" w:cs="Times New Roman"/>
          <w:color w:val="auto"/>
          <w:szCs w:val="28"/>
          <w:lang w:val="zh-CN"/>
        </w:rPr>
        <w:t>该加油中心</w:t>
      </w:r>
      <w:r>
        <w:rPr>
          <w:rFonts w:hint="default" w:ascii="Times New Roman" w:hAnsi="Times New Roman" w:cs="Times New Roman"/>
          <w:color w:val="auto"/>
          <w:szCs w:val="28"/>
          <w:lang w:val="zh-CN"/>
        </w:rPr>
        <w:t>采用的加油工艺为国内现今各加油站通用的成熟工艺。根据《产业结构调整指导目录（201</w:t>
      </w:r>
      <w:r>
        <w:rPr>
          <w:rFonts w:hint="default" w:ascii="Times New Roman" w:hAnsi="Times New Roman" w:cs="Times New Roman"/>
          <w:color w:val="auto"/>
          <w:szCs w:val="28"/>
        </w:rPr>
        <w:t>9</w:t>
      </w:r>
      <w:r>
        <w:rPr>
          <w:rFonts w:hint="default" w:ascii="Times New Roman" w:hAnsi="Times New Roman" w:cs="Times New Roman"/>
          <w:color w:val="auto"/>
          <w:szCs w:val="28"/>
          <w:lang w:val="zh-CN"/>
        </w:rPr>
        <w:t>年本）》（发改委令201</w:t>
      </w:r>
      <w:r>
        <w:rPr>
          <w:rFonts w:hint="default" w:ascii="Times New Roman" w:hAnsi="Times New Roman" w:cs="Times New Roman"/>
          <w:color w:val="auto"/>
          <w:szCs w:val="28"/>
        </w:rPr>
        <w:t>9</w:t>
      </w:r>
      <w:r>
        <w:rPr>
          <w:rFonts w:hint="default" w:ascii="Times New Roman" w:hAnsi="Times New Roman" w:cs="Times New Roman"/>
          <w:color w:val="auto"/>
          <w:szCs w:val="28"/>
          <w:lang w:val="zh-CN"/>
        </w:rPr>
        <w:t>第2</w:t>
      </w:r>
      <w:r>
        <w:rPr>
          <w:rFonts w:hint="default" w:ascii="Times New Roman" w:hAnsi="Times New Roman" w:cs="Times New Roman"/>
          <w:color w:val="auto"/>
          <w:szCs w:val="28"/>
        </w:rPr>
        <w:t>9</w:t>
      </w:r>
      <w:r>
        <w:rPr>
          <w:rFonts w:hint="default" w:ascii="Times New Roman" w:hAnsi="Times New Roman" w:cs="Times New Roman"/>
          <w:color w:val="auto"/>
          <w:szCs w:val="28"/>
          <w:lang w:val="zh-CN"/>
        </w:rPr>
        <w:t>号）</w:t>
      </w:r>
      <w:r>
        <w:rPr>
          <w:rFonts w:hint="eastAsia" w:cs="Times New Roman"/>
          <w:color w:val="auto"/>
          <w:szCs w:val="28"/>
          <w:lang w:val="zh-CN"/>
        </w:rPr>
        <w:t>、《</w:t>
      </w:r>
      <w:r>
        <w:rPr>
          <w:rFonts w:hint="eastAsia" w:cs="Times New Roman"/>
          <w:color w:val="auto"/>
          <w:szCs w:val="28"/>
          <w:lang w:val="en-US" w:eastAsia="zh-CN"/>
        </w:rPr>
        <w:t>应急管理部办公厅关于印发〈淘汰落后危险化学品安全生产工艺技术设备目录（第一批）〉的通知</w:t>
      </w:r>
      <w:r>
        <w:rPr>
          <w:rFonts w:hint="eastAsia" w:cs="Times New Roman"/>
          <w:color w:val="auto"/>
          <w:szCs w:val="28"/>
          <w:lang w:val="zh-CN"/>
        </w:rPr>
        <w:t>》（</w:t>
      </w:r>
      <w:r>
        <w:rPr>
          <w:rFonts w:hint="eastAsia" w:cs="Times New Roman"/>
          <w:color w:val="auto"/>
          <w:szCs w:val="28"/>
          <w:lang w:val="en-US" w:eastAsia="zh-CN"/>
        </w:rPr>
        <w:t>应急厅[2020]38号</w:t>
      </w:r>
      <w:r>
        <w:rPr>
          <w:rFonts w:hint="eastAsia" w:cs="Times New Roman"/>
          <w:color w:val="auto"/>
          <w:szCs w:val="28"/>
          <w:lang w:val="zh-CN"/>
        </w:rPr>
        <w:t>）</w:t>
      </w:r>
      <w:r>
        <w:rPr>
          <w:rFonts w:hint="default" w:ascii="Times New Roman" w:hAnsi="Times New Roman" w:cs="Times New Roman"/>
          <w:color w:val="auto"/>
          <w:szCs w:val="28"/>
          <w:lang w:val="zh-CN"/>
        </w:rPr>
        <w:t>中的相关规定，</w:t>
      </w:r>
      <w:r>
        <w:rPr>
          <w:rFonts w:hint="eastAsia" w:cs="Times New Roman"/>
          <w:color w:val="auto"/>
          <w:szCs w:val="28"/>
          <w:lang w:val="zh-CN"/>
        </w:rPr>
        <w:t>本次改造</w:t>
      </w:r>
      <w:r>
        <w:rPr>
          <w:rFonts w:hint="default" w:ascii="Times New Roman" w:hAnsi="Times New Roman" w:cs="Times New Roman"/>
          <w:color w:val="auto"/>
          <w:szCs w:val="28"/>
          <w:lang w:val="zh-CN"/>
        </w:rPr>
        <w:t>不属于淘汰类项目；站内各装置、设备也不涉及到国家规定的淘汰类装置设备，</w:t>
      </w:r>
      <w:r>
        <w:rPr>
          <w:rFonts w:hint="eastAsia" w:cs="Times New Roman"/>
          <w:color w:val="auto"/>
          <w:szCs w:val="28"/>
          <w:lang w:val="zh-CN"/>
        </w:rPr>
        <w:t>本次改造</w:t>
      </w:r>
      <w:r>
        <w:rPr>
          <w:rFonts w:hint="default" w:ascii="Times New Roman" w:hAnsi="Times New Roman" w:cs="Times New Roman"/>
          <w:color w:val="auto"/>
          <w:szCs w:val="28"/>
          <w:lang w:val="zh-CN"/>
        </w:rPr>
        <w:t>符合国家产业政策。</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2.2.4 所在地环境条件</w:t>
      </w:r>
    </w:p>
    <w:p>
      <w:pPr>
        <w:pStyle w:val="86"/>
      </w:pPr>
      <w:r>
        <w:rPr>
          <w:rFonts w:hint="eastAsia"/>
          <w:lang w:eastAsia="zh-CN"/>
        </w:rPr>
        <w:t>山东万通集团垦利金顺油品有限公司第六加油中心</w:t>
      </w:r>
      <w:r>
        <w:t>位于山东省东营市</w:t>
      </w:r>
      <w:r>
        <w:rPr>
          <w:rFonts w:hint="eastAsia"/>
          <w:lang w:eastAsia="zh-CN"/>
        </w:rPr>
        <w:t>垦利</w:t>
      </w:r>
      <w:r>
        <w:rPr>
          <w:rFonts w:hint="eastAsia"/>
          <w:lang w:val="en-US" w:eastAsia="zh-CN"/>
        </w:rPr>
        <w:t>区</w:t>
      </w:r>
      <w:r>
        <w:t>，东营市地处中纬度，位于暖温带，背陆面海，受欧亚大陆和太平洋的共同影响，属暖温带季风型大陆气候。由于黄河泥沙淤积，近海浅水域宽阔，热量吸收能力小，又因境域地势平坦，大陆性季风影响甚于海洋，故属暖温带季风型大陆性气候。基本气候特征是冬寒夏热，四季分明，光照充足，雨热同季，有时受台风袭击，境内气候差异不明显。主要气象、气候数据如下：</w:t>
      </w:r>
    </w:p>
    <w:p>
      <w:pPr>
        <w:pStyle w:val="13"/>
        <w:adjustRightInd w:val="0"/>
        <w:snapToGrid w:val="0"/>
        <w:spacing w:line="360" w:lineRule="auto"/>
        <w:ind w:right="-49" w:firstLine="600"/>
        <w:rPr>
          <w:rFonts w:ascii="Times New Roman" w:hAnsi="Times New Roman"/>
          <w:spacing w:val="10"/>
          <w:sz w:val="28"/>
        </w:rPr>
      </w:pPr>
      <w:bookmarkStart w:id="19" w:name="_Toc202759419"/>
      <w:r>
        <w:rPr>
          <w:rFonts w:ascii="Times New Roman" w:hAnsi="Times New Roman"/>
          <w:spacing w:val="10"/>
          <w:sz w:val="28"/>
        </w:rPr>
        <w:t>（1）气候</w:t>
      </w:r>
    </w:p>
    <w:p>
      <w:pPr>
        <w:pStyle w:val="13"/>
        <w:adjustRightInd w:val="0"/>
        <w:snapToGrid w:val="0"/>
        <w:spacing w:line="360" w:lineRule="auto"/>
        <w:ind w:right="-49" w:firstLine="600"/>
        <w:rPr>
          <w:rFonts w:ascii="Times New Roman" w:hAnsi="Times New Roman"/>
          <w:spacing w:val="10"/>
          <w:sz w:val="28"/>
        </w:rPr>
      </w:pPr>
      <w:r>
        <w:rPr>
          <w:rFonts w:ascii="Times New Roman" w:hAnsi="Times New Roman"/>
          <w:spacing w:val="10"/>
          <w:sz w:val="28"/>
        </w:rPr>
        <w:t>1）气温</w:t>
      </w:r>
    </w:p>
    <w:tbl>
      <w:tblPr>
        <w:tblStyle w:val="28"/>
        <w:tblW w:w="9286" w:type="dxa"/>
        <w:tblInd w:w="0" w:type="dxa"/>
        <w:tblLayout w:type="fixed"/>
        <w:tblCellMar>
          <w:top w:w="0" w:type="dxa"/>
          <w:left w:w="108" w:type="dxa"/>
          <w:bottom w:w="0" w:type="dxa"/>
          <w:right w:w="108" w:type="dxa"/>
        </w:tblCellMar>
      </w:tblPr>
      <w:tblGrid>
        <w:gridCol w:w="4643"/>
        <w:gridCol w:w="4643"/>
      </w:tblGrid>
      <w:tr>
        <w:tc>
          <w:tcPr>
            <w:tcW w:w="4643" w:type="dxa"/>
            <w:noWrap w:val="0"/>
            <w:vAlign w:val="top"/>
          </w:tcPr>
          <w:p>
            <w:pPr>
              <w:pStyle w:val="13"/>
              <w:adjustRightInd w:val="0"/>
              <w:snapToGrid w:val="0"/>
              <w:spacing w:line="360" w:lineRule="auto"/>
              <w:ind w:right="-49" w:firstLine="600"/>
              <w:rPr>
                <w:rFonts w:ascii="Times New Roman" w:hAnsi="Times New Roman"/>
                <w:spacing w:val="10"/>
                <w:sz w:val="28"/>
              </w:rPr>
            </w:pPr>
            <w:r>
              <w:rPr>
                <w:rFonts w:ascii="Times New Roman" w:hAnsi="Times New Roman"/>
                <w:spacing w:val="10"/>
                <w:sz w:val="28"/>
              </w:rPr>
              <w:t>年平均温度：</w:t>
            </w:r>
          </w:p>
        </w:tc>
        <w:tc>
          <w:tcPr>
            <w:tcW w:w="4643" w:type="dxa"/>
            <w:noWrap w:val="0"/>
            <w:vAlign w:val="top"/>
          </w:tcPr>
          <w:p>
            <w:pPr>
              <w:pStyle w:val="13"/>
              <w:adjustRightInd w:val="0"/>
              <w:snapToGrid w:val="0"/>
              <w:spacing w:line="360" w:lineRule="auto"/>
              <w:ind w:right="-49" w:firstLine="600"/>
              <w:rPr>
                <w:rFonts w:ascii="Times New Roman" w:hAnsi="Times New Roman"/>
                <w:spacing w:val="10"/>
                <w:sz w:val="28"/>
              </w:rPr>
            </w:pPr>
            <w:r>
              <w:rPr>
                <w:rFonts w:ascii="Times New Roman" w:hAnsi="Times New Roman"/>
                <w:spacing w:val="10"/>
                <w:sz w:val="28"/>
              </w:rPr>
              <w:t>12.3℃</w:t>
            </w:r>
          </w:p>
        </w:tc>
      </w:tr>
      <w:tr>
        <w:tc>
          <w:tcPr>
            <w:tcW w:w="4643" w:type="dxa"/>
            <w:noWrap w:val="0"/>
            <w:vAlign w:val="top"/>
          </w:tcPr>
          <w:p>
            <w:pPr>
              <w:pStyle w:val="13"/>
              <w:adjustRightInd w:val="0"/>
              <w:snapToGrid w:val="0"/>
              <w:spacing w:line="360" w:lineRule="auto"/>
              <w:ind w:right="-49" w:firstLine="600"/>
              <w:rPr>
                <w:rFonts w:ascii="Times New Roman" w:hAnsi="Times New Roman"/>
                <w:spacing w:val="10"/>
                <w:sz w:val="28"/>
              </w:rPr>
            </w:pPr>
            <w:r>
              <w:rPr>
                <w:rFonts w:ascii="Times New Roman" w:hAnsi="Times New Roman"/>
                <w:spacing w:val="10"/>
                <w:sz w:val="28"/>
              </w:rPr>
              <w:t>极端最高温度：</w:t>
            </w:r>
          </w:p>
        </w:tc>
        <w:tc>
          <w:tcPr>
            <w:tcW w:w="4643" w:type="dxa"/>
            <w:noWrap w:val="0"/>
            <w:vAlign w:val="top"/>
          </w:tcPr>
          <w:p>
            <w:pPr>
              <w:pStyle w:val="13"/>
              <w:adjustRightInd w:val="0"/>
              <w:snapToGrid w:val="0"/>
              <w:spacing w:line="360" w:lineRule="auto"/>
              <w:ind w:right="-49" w:firstLine="600"/>
              <w:rPr>
                <w:rFonts w:ascii="Times New Roman" w:hAnsi="Times New Roman"/>
                <w:spacing w:val="10"/>
                <w:sz w:val="28"/>
              </w:rPr>
            </w:pPr>
            <w:r>
              <w:rPr>
                <w:rFonts w:ascii="Times New Roman" w:hAnsi="Times New Roman"/>
                <w:spacing w:val="10"/>
                <w:sz w:val="28"/>
              </w:rPr>
              <w:t>41.9℃</w:t>
            </w:r>
          </w:p>
        </w:tc>
      </w:tr>
      <w:tr>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极端最低温度：</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-23.3℃</w:t>
            </w:r>
          </w:p>
        </w:tc>
      </w:tr>
    </w:tbl>
    <w:p>
      <w:pPr>
        <w:adjustRightInd w:val="0"/>
        <w:snapToGrid w:val="0"/>
        <w:spacing w:line="360" w:lineRule="auto"/>
        <w:ind w:firstLine="600"/>
        <w:rPr>
          <w:rFonts w:ascii="Times New Roman"/>
          <w:spacing w:val="10"/>
          <w:sz w:val="28"/>
        </w:rPr>
      </w:pPr>
      <w:r>
        <w:rPr>
          <w:rFonts w:ascii="Times New Roman"/>
          <w:spacing w:val="10"/>
          <w:sz w:val="28"/>
        </w:rPr>
        <w:t>2）降雨量</w:t>
      </w:r>
    </w:p>
    <w:tbl>
      <w:tblPr>
        <w:tblStyle w:val="28"/>
        <w:tblW w:w="9286" w:type="dxa"/>
        <w:tblInd w:w="0" w:type="dxa"/>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年平均降雨量：</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589.9mm</w:t>
            </w:r>
          </w:p>
        </w:tc>
      </w:tr>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年平均降雨日：</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74.2天</w:t>
            </w:r>
          </w:p>
        </w:tc>
      </w:tr>
    </w:tbl>
    <w:p>
      <w:pPr>
        <w:adjustRightInd w:val="0"/>
        <w:snapToGrid w:val="0"/>
        <w:spacing w:line="360" w:lineRule="auto"/>
        <w:ind w:firstLine="600"/>
        <w:rPr>
          <w:rFonts w:ascii="Times New Roman"/>
          <w:spacing w:val="10"/>
          <w:sz w:val="28"/>
        </w:rPr>
      </w:pPr>
      <w:r>
        <w:rPr>
          <w:rFonts w:ascii="Times New Roman"/>
          <w:spacing w:val="10"/>
          <w:sz w:val="28"/>
        </w:rPr>
        <w:t>3）风</w:t>
      </w:r>
    </w:p>
    <w:tbl>
      <w:tblPr>
        <w:tblStyle w:val="28"/>
        <w:tblW w:w="9286" w:type="dxa"/>
        <w:tblInd w:w="0" w:type="dxa"/>
        <w:tblLayout w:type="fixed"/>
        <w:tblCellMar>
          <w:top w:w="0" w:type="dxa"/>
          <w:left w:w="108" w:type="dxa"/>
          <w:bottom w:w="0" w:type="dxa"/>
          <w:right w:w="108" w:type="dxa"/>
        </w:tblCellMar>
      </w:tblPr>
      <w:tblGrid>
        <w:gridCol w:w="4645"/>
        <w:gridCol w:w="4641"/>
      </w:tblGrid>
      <w:tr>
        <w:tblPrEx>
          <w:tblCellMar>
            <w:top w:w="0" w:type="dxa"/>
            <w:left w:w="108" w:type="dxa"/>
            <w:bottom w:w="0" w:type="dxa"/>
            <w:right w:w="108" w:type="dxa"/>
          </w:tblCellMar>
        </w:tblPrEx>
        <w:tc>
          <w:tcPr>
            <w:tcW w:w="4645"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全年主导风向及频率：</w:t>
            </w:r>
          </w:p>
        </w:tc>
        <w:tc>
          <w:tcPr>
            <w:tcW w:w="4641"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东南风10%</w:t>
            </w:r>
          </w:p>
        </w:tc>
      </w:tr>
      <w:tr>
        <w:tblPrEx>
          <w:tblCellMar>
            <w:top w:w="0" w:type="dxa"/>
            <w:left w:w="108" w:type="dxa"/>
            <w:bottom w:w="0" w:type="dxa"/>
            <w:right w:w="108" w:type="dxa"/>
          </w:tblCellMar>
        </w:tblPrEx>
        <w:tc>
          <w:tcPr>
            <w:tcW w:w="4645"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夏季主导风向及频率：</w:t>
            </w:r>
          </w:p>
        </w:tc>
        <w:tc>
          <w:tcPr>
            <w:tcW w:w="4641"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东南风16%</w:t>
            </w:r>
          </w:p>
        </w:tc>
      </w:tr>
      <w:tr>
        <w:tblPrEx>
          <w:tblCellMar>
            <w:top w:w="0" w:type="dxa"/>
            <w:left w:w="108" w:type="dxa"/>
            <w:bottom w:w="0" w:type="dxa"/>
            <w:right w:w="108" w:type="dxa"/>
          </w:tblCellMar>
        </w:tblPrEx>
        <w:tc>
          <w:tcPr>
            <w:tcW w:w="4645"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冬季主导风向及频率：</w:t>
            </w:r>
          </w:p>
        </w:tc>
        <w:tc>
          <w:tcPr>
            <w:tcW w:w="4641"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西北、西风9%</w:t>
            </w:r>
          </w:p>
        </w:tc>
      </w:tr>
      <w:tr>
        <w:tc>
          <w:tcPr>
            <w:tcW w:w="4645"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年平均风速：</w:t>
            </w:r>
          </w:p>
        </w:tc>
        <w:tc>
          <w:tcPr>
            <w:tcW w:w="4641"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2.9m/s</w:t>
            </w:r>
          </w:p>
        </w:tc>
      </w:tr>
      <w:tr>
        <w:tblPrEx>
          <w:tblCellMar>
            <w:top w:w="0" w:type="dxa"/>
            <w:left w:w="108" w:type="dxa"/>
            <w:bottom w:w="0" w:type="dxa"/>
            <w:right w:w="108" w:type="dxa"/>
          </w:tblCellMar>
        </w:tblPrEx>
        <w:tc>
          <w:tcPr>
            <w:tcW w:w="4645"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瞬时最大风速：</w:t>
            </w:r>
          </w:p>
        </w:tc>
        <w:tc>
          <w:tcPr>
            <w:tcW w:w="4641" w:type="dxa"/>
            <w:noWrap w:val="0"/>
            <w:vAlign w:val="center"/>
          </w:tcPr>
          <w:p>
            <w:pPr>
              <w:adjustRightInd w:val="0"/>
              <w:snapToGrid w:val="0"/>
              <w:spacing w:line="360" w:lineRule="auto"/>
              <w:ind w:firstLine="600"/>
              <w:rPr>
                <w:rFonts w:ascii="Times New Roman"/>
                <w:spacing w:val="10"/>
                <w:sz w:val="28"/>
              </w:rPr>
            </w:pPr>
            <w:r>
              <w:rPr>
                <w:rFonts w:ascii="Times New Roman"/>
                <w:spacing w:val="10"/>
                <w:sz w:val="28"/>
              </w:rPr>
              <w:t>28.0m/s</w:t>
            </w:r>
          </w:p>
        </w:tc>
      </w:tr>
    </w:tbl>
    <w:p>
      <w:pPr>
        <w:adjustRightInd w:val="0"/>
        <w:snapToGrid w:val="0"/>
        <w:spacing w:line="360" w:lineRule="auto"/>
        <w:ind w:firstLine="600"/>
        <w:rPr>
          <w:rFonts w:ascii="Times New Roman"/>
          <w:spacing w:val="10"/>
          <w:sz w:val="28"/>
        </w:rPr>
      </w:pPr>
      <w:r>
        <w:rPr>
          <w:rFonts w:ascii="Times New Roman"/>
          <w:spacing w:val="10"/>
          <w:sz w:val="28"/>
        </w:rPr>
        <w:t>4）湿度</w:t>
      </w:r>
    </w:p>
    <w:tbl>
      <w:tblPr>
        <w:tblStyle w:val="28"/>
        <w:tblW w:w="9286" w:type="dxa"/>
        <w:tblInd w:w="0" w:type="dxa"/>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年平均相对湿度：</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63-67%</w:t>
            </w:r>
          </w:p>
        </w:tc>
      </w:tr>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月平均最大相对湿度：</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80%</w:t>
            </w:r>
          </w:p>
        </w:tc>
      </w:tr>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月平均最小相对湿度：</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55%</w:t>
            </w:r>
          </w:p>
        </w:tc>
      </w:tr>
    </w:tbl>
    <w:p>
      <w:pPr>
        <w:adjustRightInd w:val="0"/>
        <w:snapToGrid w:val="0"/>
        <w:spacing w:line="360" w:lineRule="auto"/>
        <w:ind w:firstLine="600"/>
        <w:rPr>
          <w:rFonts w:ascii="Times New Roman"/>
          <w:spacing w:val="10"/>
          <w:sz w:val="28"/>
        </w:rPr>
      </w:pPr>
      <w:r>
        <w:rPr>
          <w:rFonts w:ascii="Times New Roman"/>
          <w:spacing w:val="10"/>
          <w:sz w:val="28"/>
        </w:rPr>
        <w:t>5）气压</w:t>
      </w:r>
    </w:p>
    <w:tbl>
      <w:tblPr>
        <w:tblStyle w:val="28"/>
        <w:tblW w:w="9286" w:type="dxa"/>
        <w:tblInd w:w="0" w:type="dxa"/>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年平均大气压：</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101500.3Pa</w:t>
            </w:r>
          </w:p>
        </w:tc>
      </w:tr>
    </w:tbl>
    <w:p>
      <w:pPr>
        <w:adjustRightInd w:val="0"/>
        <w:snapToGrid w:val="0"/>
        <w:spacing w:line="360" w:lineRule="auto"/>
        <w:ind w:firstLine="600"/>
        <w:rPr>
          <w:rFonts w:ascii="Times New Roman"/>
          <w:spacing w:val="10"/>
          <w:sz w:val="28"/>
        </w:rPr>
      </w:pPr>
      <w:r>
        <w:rPr>
          <w:rFonts w:ascii="Times New Roman"/>
          <w:spacing w:val="10"/>
          <w:sz w:val="28"/>
        </w:rPr>
        <w:t>6）冻土深度</w:t>
      </w:r>
    </w:p>
    <w:tbl>
      <w:tblPr>
        <w:tblStyle w:val="28"/>
        <w:tblW w:w="9286" w:type="dxa"/>
        <w:tblInd w:w="0" w:type="dxa"/>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冻土深度：</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0.55m</w:t>
            </w:r>
          </w:p>
        </w:tc>
      </w:tr>
    </w:tbl>
    <w:p>
      <w:pPr>
        <w:pStyle w:val="13"/>
        <w:adjustRightInd w:val="0"/>
        <w:snapToGrid w:val="0"/>
        <w:spacing w:line="360" w:lineRule="auto"/>
        <w:ind w:firstLine="576" w:firstLineChars="192"/>
        <w:rPr>
          <w:rFonts w:ascii="Times New Roman" w:hAnsi="Times New Roman"/>
          <w:spacing w:val="10"/>
          <w:sz w:val="28"/>
        </w:rPr>
      </w:pPr>
      <w:r>
        <w:rPr>
          <w:rFonts w:ascii="Times New Roman" w:hAnsi="Times New Roman"/>
          <w:spacing w:val="10"/>
          <w:sz w:val="28"/>
        </w:rPr>
        <w:t>7）降雪</w:t>
      </w:r>
    </w:p>
    <w:tbl>
      <w:tblPr>
        <w:tblStyle w:val="28"/>
        <w:tblW w:w="9286" w:type="dxa"/>
        <w:tblInd w:w="0" w:type="dxa"/>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c>
          <w:tcPr>
            <w:tcW w:w="4643" w:type="dxa"/>
            <w:noWrap w:val="0"/>
            <w:vAlign w:val="top"/>
          </w:tcPr>
          <w:p>
            <w:pPr>
              <w:pStyle w:val="13"/>
              <w:adjustRightInd w:val="0"/>
              <w:snapToGrid w:val="0"/>
              <w:spacing w:line="360" w:lineRule="auto"/>
              <w:ind w:firstLine="600"/>
              <w:rPr>
                <w:rFonts w:ascii="Times New Roman" w:hAnsi="Times New Roman"/>
                <w:spacing w:val="10"/>
                <w:sz w:val="28"/>
              </w:rPr>
            </w:pPr>
            <w:r>
              <w:rPr>
                <w:rFonts w:ascii="Times New Roman" w:hAnsi="Times New Roman"/>
                <w:spacing w:val="10"/>
                <w:sz w:val="28"/>
              </w:rPr>
              <w:t>最大积雪厚度：</w:t>
            </w:r>
          </w:p>
        </w:tc>
        <w:tc>
          <w:tcPr>
            <w:tcW w:w="4643" w:type="dxa"/>
            <w:noWrap w:val="0"/>
            <w:vAlign w:val="top"/>
          </w:tcPr>
          <w:p>
            <w:pPr>
              <w:pStyle w:val="13"/>
              <w:adjustRightInd w:val="0"/>
              <w:snapToGrid w:val="0"/>
              <w:spacing w:line="360" w:lineRule="auto"/>
              <w:ind w:firstLine="600"/>
              <w:rPr>
                <w:rFonts w:ascii="Times New Roman" w:hAnsi="Times New Roman"/>
                <w:spacing w:val="10"/>
                <w:sz w:val="28"/>
              </w:rPr>
            </w:pPr>
            <w:r>
              <w:rPr>
                <w:rFonts w:ascii="Times New Roman" w:hAnsi="Times New Roman"/>
                <w:spacing w:val="10"/>
                <w:sz w:val="28"/>
              </w:rPr>
              <w:t>20.5cm</w:t>
            </w:r>
          </w:p>
        </w:tc>
      </w:tr>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firstLineChars="200"/>
              <w:rPr>
                <w:rFonts w:ascii="Times New Roman"/>
                <w:spacing w:val="10"/>
                <w:sz w:val="28"/>
              </w:rPr>
            </w:pPr>
            <w:r>
              <w:rPr>
                <w:rFonts w:ascii="Times New Roman"/>
                <w:spacing w:val="10"/>
                <w:sz w:val="28"/>
              </w:rPr>
              <w:t>8）雷暴日：</w:t>
            </w:r>
          </w:p>
        </w:tc>
        <w:tc>
          <w:tcPr>
            <w:tcW w:w="4643" w:type="dxa"/>
            <w:noWrap w:val="0"/>
            <w:vAlign w:val="top"/>
          </w:tcPr>
          <w:p>
            <w:pPr>
              <w:adjustRightInd w:val="0"/>
              <w:snapToGrid w:val="0"/>
              <w:spacing w:line="360" w:lineRule="auto"/>
              <w:ind w:firstLine="600"/>
              <w:rPr>
                <w:rFonts w:ascii="Times New Roman"/>
                <w:spacing w:val="10"/>
                <w:sz w:val="28"/>
              </w:rPr>
            </w:pPr>
            <w:r>
              <w:rPr>
                <w:rFonts w:ascii="Times New Roman"/>
                <w:spacing w:val="10"/>
                <w:sz w:val="28"/>
              </w:rPr>
              <w:t>32.2d/a</w:t>
            </w:r>
          </w:p>
        </w:tc>
      </w:tr>
    </w:tbl>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9）地震烈度</w:t>
      </w:r>
    </w:p>
    <w:tbl>
      <w:tblPr>
        <w:tblStyle w:val="28"/>
        <w:tblW w:w="9286" w:type="dxa"/>
        <w:tblInd w:w="0" w:type="dxa"/>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基本地震烈度：</w:t>
            </w:r>
          </w:p>
        </w:tc>
        <w:tc>
          <w:tcPr>
            <w:tcW w:w="4643" w:type="dxa"/>
            <w:noWrap w:val="0"/>
            <w:vAlign w:val="top"/>
          </w:tcPr>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7度</w:t>
            </w:r>
          </w:p>
        </w:tc>
      </w:tr>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抗震设防地震烈度：</w:t>
            </w:r>
          </w:p>
        </w:tc>
        <w:tc>
          <w:tcPr>
            <w:tcW w:w="4643" w:type="dxa"/>
            <w:noWrap w:val="0"/>
            <w:vAlign w:val="top"/>
          </w:tcPr>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7度</w:t>
            </w:r>
          </w:p>
        </w:tc>
      </w:tr>
    </w:tbl>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10）日照</w:t>
      </w:r>
    </w:p>
    <w:tbl>
      <w:tblPr>
        <w:tblStyle w:val="28"/>
        <w:tblW w:w="9286" w:type="dxa"/>
        <w:tblInd w:w="0" w:type="dxa"/>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年平均日照：</w:t>
            </w:r>
          </w:p>
        </w:tc>
        <w:tc>
          <w:tcPr>
            <w:tcW w:w="4643" w:type="dxa"/>
            <w:noWrap w:val="0"/>
            <w:vAlign w:val="top"/>
          </w:tcPr>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2570.4h</w:t>
            </w:r>
          </w:p>
        </w:tc>
      </w:tr>
      <w:tr>
        <w:tblPrEx>
          <w:tblCellMar>
            <w:top w:w="0" w:type="dxa"/>
            <w:left w:w="108" w:type="dxa"/>
            <w:bottom w:w="0" w:type="dxa"/>
            <w:right w:w="108" w:type="dxa"/>
          </w:tblCellMar>
        </w:tblPrEx>
        <w:tc>
          <w:tcPr>
            <w:tcW w:w="4643" w:type="dxa"/>
            <w:noWrap w:val="0"/>
            <w:vAlign w:val="top"/>
          </w:tcPr>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年平均日照百分率：</w:t>
            </w:r>
          </w:p>
        </w:tc>
        <w:tc>
          <w:tcPr>
            <w:tcW w:w="4643" w:type="dxa"/>
            <w:noWrap w:val="0"/>
            <w:vAlign w:val="top"/>
          </w:tcPr>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69.8</w:t>
            </w:r>
            <w:r>
              <w:rPr>
                <w:rFonts w:ascii="Times New Roman"/>
                <w:spacing w:val="10"/>
                <w:sz w:val="28"/>
              </w:rPr>
              <w:t>%</w:t>
            </w:r>
          </w:p>
        </w:tc>
      </w:tr>
    </w:tbl>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（2）地质、水文</w:t>
      </w:r>
    </w:p>
    <w:p>
      <w:pPr>
        <w:pStyle w:val="86"/>
      </w:pPr>
      <w:r>
        <w:t>该地区属黄泛滨海冲积平原，地势平坦，地形境域属典型的黄河三角洲地貌。地势南高北低，西高东低，西南部最高高程7.6m，东、北部最低高程1m，自然比降为1/10000。主要有4种类型的地貌：缓岗和河滩高地，面积占全区总面积的11％；浅平洼地，占24％；微斜平地，占47％；海滩地，占18％所在区域首层地质以冲积为主，并由湖沼相及海沉积，地表土壤主要为灰黄粉质粘土，含盐量较高，区内最高地下水位0.8m，最大冻土层0.6m，地基承载力为中等，约120kPa，地震烈度为7度，地震分组为第</w:t>
      </w:r>
      <w:r>
        <w:rPr>
          <w:rFonts w:hint="eastAsia"/>
          <w:lang w:eastAsia="zh-CN"/>
        </w:rPr>
        <w:t>三</w:t>
      </w:r>
      <w:r>
        <w:t>组。</w:t>
      </w:r>
    </w:p>
    <w:p>
      <w:pPr>
        <w:pStyle w:val="86"/>
      </w:pPr>
      <w:r>
        <w:t>该区附近地下水位埋深多在12.0m以下，可以不考虑地下水水位的影响。该区域范围内场地地岩性不均，结构松散，固结性较差，属偏高压缩性土，土层基本一致，均可适用于建设各类建筑物。</w:t>
      </w:r>
    </w:p>
    <w:bookmarkEnd w:id="19"/>
    <w:p>
      <w:pPr>
        <w:adjustRightInd w:val="0"/>
        <w:snapToGrid w:val="0"/>
        <w:spacing w:line="360" w:lineRule="auto"/>
        <w:ind w:firstLine="600"/>
        <w:rPr>
          <w:rFonts w:ascii="Times New Roman"/>
          <w:color w:val="000000"/>
          <w:spacing w:val="10"/>
          <w:sz w:val="28"/>
          <w:szCs w:val="28"/>
        </w:rPr>
      </w:pPr>
      <w:r>
        <w:rPr>
          <w:rFonts w:ascii="Times New Roman"/>
          <w:color w:val="000000"/>
          <w:spacing w:val="10"/>
          <w:sz w:val="28"/>
          <w:szCs w:val="28"/>
        </w:rPr>
        <w:t>（3）地震烈度</w:t>
      </w:r>
    </w:p>
    <w:p>
      <w:pPr>
        <w:pStyle w:val="86"/>
        <w:rPr>
          <w:bCs/>
          <w:lang w:val="en-GB"/>
        </w:rPr>
      </w:pPr>
      <w:r>
        <w:t>根据《建筑抗震设计规范（2016年版）》（GB50011</w:t>
      </w:r>
      <w:r>
        <w:rPr>
          <w:rFonts w:hint="eastAsia"/>
          <w:lang w:val="en-US" w:eastAsia="zh-CN"/>
        </w:rPr>
        <w:t>-</w:t>
      </w:r>
      <w:r>
        <w:t>2010）附录A我国主要城镇抗震设防烈度、设计基本地震加速度和设计地震分组，该地区抗震设防烈度为7度，设计基本地震加速度值为0.10g。</w:t>
      </w:r>
    </w:p>
    <w:p>
      <w:pPr>
        <w:pStyle w:val="92"/>
        <w:adjustRightInd w:val="0"/>
        <w:snapToGrid w:val="0"/>
        <w:rPr>
          <w:rFonts w:ascii="Times New Roman" w:hAnsi="Times New Roman" w:cs="Times New Roman"/>
          <w:color w:val="auto"/>
          <w:szCs w:val="28"/>
        </w:rPr>
      </w:pPr>
      <w:r>
        <w:rPr>
          <w:rFonts w:ascii="Times New Roman" w:hAnsi="Times New Roman" w:cs="Times New Roman"/>
          <w:color w:val="auto"/>
          <w:szCs w:val="28"/>
        </w:rPr>
        <w:t>（4）外部救援</w:t>
      </w:r>
    </w:p>
    <w:p>
      <w:pPr>
        <w:pageBreakBefore w:val="0"/>
        <w:numPr>
          <w:ilvl w:val="0"/>
          <w:numId w:val="0"/>
        </w:numPr>
        <w:kinsoku/>
        <w:wordWrap/>
        <w:topLinePunct w:val="0"/>
        <w:autoSpaceDE w:val="0"/>
        <w:autoSpaceDN w:val="0"/>
        <w:bidi w:val="0"/>
        <w:adjustRightInd w:val="0"/>
        <w:snapToGrid w:val="0"/>
        <w:ind w:firstLine="560" w:firstLineChars="200"/>
        <w:rPr>
          <w:rFonts w:hint="default" w:ascii="Times New Roman" w:hAnsi="Times New Roman" w:cs="Times New Roman" w:eastAsiaTheme="minorEastAsia"/>
          <w:snapToGrid w:val="0"/>
          <w:color w:val="auto"/>
          <w:kern w:val="0"/>
          <w:szCs w:val="28"/>
        </w:rPr>
      </w:pPr>
      <w:r>
        <w:rPr>
          <w:color w:val="auto"/>
        </w:rPr>
        <w:t>距离站址所在地最近的消防队为</w:t>
      </w:r>
      <w:r>
        <w:rPr>
          <w:rFonts w:hint="eastAsia"/>
          <w:color w:val="auto"/>
          <w:lang w:eastAsia="zh-CN"/>
        </w:rPr>
        <w:t>利津</w:t>
      </w:r>
      <w:r>
        <w:rPr>
          <w:rFonts w:hint="eastAsia"/>
          <w:color w:val="auto"/>
          <w:lang w:val="en-US" w:eastAsia="zh-CN"/>
        </w:rPr>
        <w:t>县</w:t>
      </w:r>
      <w:r>
        <w:rPr>
          <w:rFonts w:hint="eastAsia"/>
          <w:color w:val="auto"/>
          <w:lang w:eastAsia="zh-CN"/>
        </w:rPr>
        <w:t>消防大队</w:t>
      </w:r>
      <w:r>
        <w:rPr>
          <w:color w:val="auto"/>
        </w:rPr>
        <w:t>，距离</w:t>
      </w:r>
      <w:r>
        <w:rPr>
          <w:rFonts w:hint="eastAsia"/>
          <w:color w:val="auto"/>
          <w:lang w:eastAsia="zh-CN"/>
        </w:rPr>
        <w:t>约</w:t>
      </w:r>
      <w:r>
        <w:rPr>
          <w:rFonts w:hint="eastAsia"/>
          <w:color w:val="auto"/>
          <w:lang w:val="en-US" w:eastAsia="zh-CN"/>
        </w:rPr>
        <w:t>8.5</w:t>
      </w:r>
      <w:r>
        <w:rPr>
          <w:color w:val="auto"/>
        </w:rPr>
        <w:t>km</w:t>
      </w:r>
      <w:r>
        <w:rPr>
          <w:rFonts w:hint="eastAsia"/>
          <w:color w:val="auto"/>
          <w:lang w:eastAsia="zh-CN"/>
        </w:rPr>
        <w:t>；</w:t>
      </w:r>
      <w:r>
        <w:rPr>
          <w:color w:val="auto"/>
        </w:rPr>
        <w:t>最近的医疗卫生服务机构为</w:t>
      </w:r>
      <w:r>
        <w:rPr>
          <w:rFonts w:hint="eastAsia"/>
          <w:color w:val="auto"/>
          <w:lang w:eastAsia="zh-CN"/>
        </w:rPr>
        <w:t>利津</w:t>
      </w:r>
      <w:r>
        <w:rPr>
          <w:rFonts w:hint="eastAsia"/>
          <w:color w:val="auto"/>
          <w:lang w:val="en-US" w:eastAsia="zh-CN"/>
        </w:rPr>
        <w:t>县中心</w:t>
      </w:r>
      <w:r>
        <w:rPr>
          <w:color w:val="auto"/>
        </w:rPr>
        <w:t>医院，距离</w:t>
      </w:r>
      <w:r>
        <w:rPr>
          <w:rFonts w:hint="eastAsia"/>
          <w:color w:val="auto"/>
          <w:lang w:eastAsia="zh-CN"/>
        </w:rPr>
        <w:t>约</w:t>
      </w:r>
      <w:r>
        <w:rPr>
          <w:rFonts w:hint="eastAsia"/>
          <w:color w:val="auto"/>
          <w:lang w:val="en-US" w:eastAsia="zh-CN"/>
        </w:rPr>
        <w:t>5.5</w:t>
      </w:r>
      <w:r>
        <w:rPr>
          <w:rFonts w:hint="eastAsia"/>
          <w:color w:val="auto"/>
        </w:rPr>
        <w:t>k</w:t>
      </w:r>
      <w:r>
        <w:rPr>
          <w:color w:val="auto"/>
        </w:rPr>
        <w:t>m。在事故状态下，可以提供及时的救援和救护</w:t>
      </w:r>
      <w:r>
        <w:rPr>
          <w:rFonts w:hint="default" w:ascii="Times New Roman" w:hAnsi="Times New Roman" w:cs="Times New Roman" w:eastAsiaTheme="minorEastAsia"/>
          <w:color w:val="auto"/>
          <w:szCs w:val="28"/>
        </w:rPr>
        <w:t>。</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snapToGrid w:val="0"/>
          <w:color w:val="auto"/>
          <w:kern w:val="0"/>
          <w:sz w:val="28"/>
          <w:szCs w:val="28"/>
        </w:rPr>
      </w:pPr>
      <w:bookmarkStart w:id="20" w:name="_Toc29498"/>
      <w:r>
        <w:rPr>
          <w:rFonts w:hint="default" w:ascii="Times New Roman" w:hAnsi="Times New Roman" w:cs="Times New Roman" w:eastAsiaTheme="minorEastAsia"/>
          <w:b/>
          <w:bCs w:val="0"/>
          <w:snapToGrid w:val="0"/>
          <w:color w:val="auto"/>
          <w:kern w:val="0"/>
          <w:sz w:val="28"/>
          <w:szCs w:val="28"/>
        </w:rPr>
        <w:t>2.3 项目概况</w:t>
      </w:r>
      <w:bookmarkEnd w:id="20"/>
    </w:p>
    <w:p>
      <w:pPr>
        <w:pStyle w:val="5"/>
        <w:pageBreakBefore w:val="0"/>
        <w:kinsoku/>
        <w:wordWrap/>
        <w:topLinePunct w:val="0"/>
        <w:bidi w:val="0"/>
        <w:adjustRightInd w:val="0"/>
        <w:snapToGrid w:val="0"/>
        <w:rPr>
          <w:rFonts w:hint="default" w:ascii="Times New Roman" w:hAnsi="Times New Roman" w:cs="Times New Roman" w:eastAsiaTheme="minorEastAsia"/>
          <w:snapToGrid w:val="0"/>
          <w:color w:val="auto"/>
          <w:kern w:val="0"/>
          <w:lang w:val="en-US"/>
        </w:rPr>
      </w:pPr>
      <w:r>
        <w:rPr>
          <w:rFonts w:hint="default" w:ascii="Times New Roman" w:hAnsi="Times New Roman" w:cs="Times New Roman" w:eastAsiaTheme="minorEastAsia"/>
          <w:snapToGrid w:val="0"/>
          <w:color w:val="auto"/>
          <w:kern w:val="0"/>
        </w:rPr>
        <w:t xml:space="preserve">2.3.1 </w:t>
      </w:r>
      <w:r>
        <w:rPr>
          <w:rFonts w:hint="eastAsia" w:cs="Times New Roman" w:eastAsiaTheme="minorEastAsia"/>
          <w:snapToGrid w:val="0"/>
          <w:color w:val="auto"/>
          <w:kern w:val="0"/>
          <w:lang w:val="en-US" w:eastAsia="zh-CN"/>
        </w:rPr>
        <w:t>设备明细</w:t>
      </w:r>
    </w:p>
    <w:p>
      <w:pPr>
        <w:keepNext w:val="0"/>
        <w:keepLines w:val="0"/>
        <w:pageBreakBefore w:val="0"/>
        <w:widowControl w:val="0"/>
        <w:kinsoku/>
        <w:wordWrap/>
        <w:overflowPunct/>
        <w:topLinePunct w:val="0"/>
        <w:autoSpaceDE/>
        <w:autoSpaceDN/>
        <w:bidi w:val="0"/>
        <w:adjustRightInd w:val="0"/>
        <w:snapToGrid w:val="0"/>
        <w:ind w:firstLine="482"/>
        <w:jc w:val="both"/>
        <w:textAlignment w:val="auto"/>
        <w:rPr>
          <w:rFonts w:hint="default" w:ascii="Times New Roman" w:hAnsi="Times New Roman" w:cs="Times New Roman" w:eastAsiaTheme="minorEastAsia"/>
          <w:color w:val="auto"/>
          <w:highlight w:val="none"/>
        </w:rPr>
      </w:pPr>
      <w:r>
        <w:rPr>
          <w:rFonts w:hint="eastAsia" w:cs="Times New Roman" w:eastAsiaTheme="minorEastAsia"/>
          <w:color w:val="auto"/>
          <w:highlight w:val="none"/>
          <w:lang w:eastAsia="zh-CN"/>
        </w:rPr>
        <w:t>该加油中心扩容项目涉及的主要设备、设施包括</w:t>
      </w:r>
      <w:r>
        <w:rPr>
          <w:rFonts w:hint="eastAsia" w:cs="Times New Roman" w:eastAsiaTheme="minorEastAsia"/>
          <w:color w:val="auto"/>
          <w:highlight w:val="none"/>
          <w:lang w:val="en-US" w:eastAsia="zh-CN"/>
        </w:rPr>
        <w:t>3</w:t>
      </w:r>
      <w:r>
        <w:rPr>
          <w:rFonts w:hint="eastAsia" w:cs="Times New Roman" w:eastAsiaTheme="minorEastAsia"/>
          <w:color w:val="auto"/>
          <w:highlight w:val="none"/>
          <w:lang w:eastAsia="zh-CN"/>
        </w:rPr>
        <w:t>台埋地汽油储罐、</w:t>
      </w:r>
      <w:r>
        <w:rPr>
          <w:rFonts w:hint="eastAsia" w:cs="Times New Roman" w:eastAsiaTheme="minorEastAsia"/>
          <w:color w:val="auto"/>
          <w:highlight w:val="none"/>
          <w:lang w:val="en-US" w:eastAsia="zh-CN"/>
        </w:rPr>
        <w:t>2</w:t>
      </w:r>
      <w:r>
        <w:rPr>
          <w:rFonts w:hint="eastAsia" w:cs="Times New Roman" w:eastAsiaTheme="minorEastAsia"/>
          <w:color w:val="auto"/>
          <w:highlight w:val="none"/>
          <w:lang w:eastAsia="zh-CN"/>
        </w:rPr>
        <w:t>台埋地柴油储罐及相关附件等，详见下表</w:t>
      </w:r>
      <w:r>
        <w:rPr>
          <w:rFonts w:hint="default" w:ascii="Times New Roman" w:hAnsi="Times New Roman" w:cs="Times New Roman" w:eastAsiaTheme="minorEastAsia"/>
          <w:color w:val="auto"/>
          <w:highlight w:val="none"/>
        </w:rPr>
        <w:t>。</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eastAsiaTheme="minorEastAsia"/>
          <w:b/>
          <w:color w:val="auto"/>
          <w:sz w:val="24"/>
          <w:szCs w:val="24"/>
          <w:highlight w:val="none"/>
        </w:rPr>
      </w:pPr>
      <w:r>
        <w:rPr>
          <w:rFonts w:hint="default" w:ascii="Times New Roman" w:hAnsi="Times New Roman" w:cs="Times New Roman" w:eastAsiaTheme="minorEastAsia"/>
          <w:b/>
          <w:color w:val="auto"/>
          <w:sz w:val="24"/>
          <w:szCs w:val="24"/>
          <w:highlight w:val="none"/>
        </w:rPr>
        <w:t>表2.3-</w:t>
      </w:r>
      <w:r>
        <w:rPr>
          <w:rFonts w:hint="eastAsia" w:cs="Times New Roman" w:eastAsiaTheme="minorEastAsia"/>
          <w:b/>
          <w:color w:val="auto"/>
          <w:sz w:val="24"/>
          <w:szCs w:val="24"/>
          <w:highlight w:val="none"/>
          <w:lang w:val="en-US" w:eastAsia="zh-CN"/>
        </w:rPr>
        <w:t>1</w:t>
      </w:r>
      <w:r>
        <w:rPr>
          <w:rFonts w:hint="default" w:ascii="Times New Roman" w:hAnsi="Times New Roman" w:cs="Times New Roman" w:eastAsiaTheme="minorEastAsia"/>
          <w:b/>
          <w:color w:val="auto"/>
          <w:sz w:val="24"/>
          <w:szCs w:val="24"/>
          <w:highlight w:val="none"/>
        </w:rPr>
        <w:t xml:space="preserve"> 主要设备一览表</w:t>
      </w:r>
    </w:p>
    <w:tbl>
      <w:tblPr>
        <w:tblStyle w:val="28"/>
        <w:tblW w:w="928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914"/>
        <w:gridCol w:w="2715"/>
        <w:gridCol w:w="797"/>
        <w:gridCol w:w="746"/>
        <w:gridCol w:w="22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1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序号</w:t>
            </w:r>
          </w:p>
        </w:tc>
        <w:tc>
          <w:tcPr>
            <w:tcW w:w="191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名称</w:t>
            </w:r>
          </w:p>
        </w:tc>
        <w:tc>
          <w:tcPr>
            <w:tcW w:w="271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设备型号</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数量</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单位</w:t>
            </w:r>
          </w:p>
        </w:tc>
        <w:tc>
          <w:tcPr>
            <w:tcW w:w="22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1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w:t>
            </w:r>
          </w:p>
        </w:tc>
        <w:tc>
          <w:tcPr>
            <w:tcW w:w="191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汽油储罐</w:t>
            </w:r>
          </w:p>
        </w:tc>
        <w:tc>
          <w:tcPr>
            <w:tcW w:w="271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V=</w:t>
            </w:r>
            <w:r>
              <w:rPr>
                <w:rFonts w:hint="eastAsia" w:cs="Times New Roman" w:eastAsiaTheme="minorEastAsia"/>
                <w:color w:val="auto"/>
                <w:sz w:val="21"/>
                <w:szCs w:val="21"/>
                <w:highlight w:val="none"/>
                <w:lang w:val="en-US" w:eastAsia="zh-CN"/>
              </w:rPr>
              <w:t>5</w:t>
            </w:r>
            <w:r>
              <w:rPr>
                <w:rFonts w:hint="default" w:ascii="Times New Roman" w:hAnsi="Times New Roman" w:cs="Times New Roman" w:eastAsiaTheme="minorEastAsia"/>
                <w:color w:val="auto"/>
                <w:sz w:val="21"/>
                <w:szCs w:val="21"/>
                <w:highlight w:val="none"/>
              </w:rPr>
              <w:t>0m³</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Ф</w:t>
            </w:r>
            <w:r>
              <w:rPr>
                <w:rFonts w:hint="default" w:ascii="Times New Roman" w:hAnsi="Times New Roman" w:cs="Times New Roman" w:eastAsiaTheme="minorEastAsia"/>
                <w:color w:val="auto"/>
                <w:sz w:val="21"/>
                <w:szCs w:val="21"/>
                <w:highlight w:val="none"/>
                <w:lang w:val="en-US" w:eastAsia="zh-CN"/>
              </w:rPr>
              <w:t>2</w:t>
            </w:r>
            <w:r>
              <w:rPr>
                <w:rFonts w:hint="eastAsia" w:cs="Times New Roman" w:eastAsiaTheme="minorEastAsia"/>
                <w:color w:val="auto"/>
                <w:sz w:val="21"/>
                <w:szCs w:val="21"/>
                <w:highlight w:val="none"/>
                <w:lang w:val="en-US" w:eastAsia="zh-CN"/>
              </w:rPr>
              <w:t>6</w:t>
            </w:r>
            <w:r>
              <w:rPr>
                <w:rFonts w:hint="default" w:ascii="Times New Roman" w:hAnsi="Times New Roman" w:cs="Times New Roman" w:eastAsiaTheme="minorEastAsia"/>
                <w:color w:val="auto"/>
                <w:sz w:val="21"/>
                <w:szCs w:val="21"/>
                <w:highlight w:val="none"/>
                <w:lang w:val="en-US" w:eastAsia="zh-CN"/>
              </w:rPr>
              <w:t>00</w:t>
            </w:r>
            <w:r>
              <w:rPr>
                <w:rFonts w:hint="default" w:ascii="Times New Roman" w:hAnsi="Times New Roman" w:cs="Times New Roman" w:eastAsiaTheme="minorEastAsia"/>
                <w:color w:val="auto"/>
                <w:sz w:val="21"/>
                <w:szCs w:val="21"/>
                <w:highlight w:val="none"/>
              </w:rPr>
              <w:t>×</w:t>
            </w:r>
            <w:r>
              <w:rPr>
                <w:rFonts w:hint="eastAsia" w:cs="Times New Roman" w:eastAsiaTheme="minorEastAsia"/>
                <w:color w:val="auto"/>
                <w:sz w:val="21"/>
                <w:szCs w:val="21"/>
                <w:highlight w:val="none"/>
                <w:lang w:val="en-US" w:eastAsia="zh-CN"/>
              </w:rPr>
              <w:t>9800</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3</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eastAsia="zh-CN"/>
              </w:rPr>
              <w:t>座</w:t>
            </w:r>
          </w:p>
        </w:tc>
        <w:tc>
          <w:tcPr>
            <w:tcW w:w="2294" w:type="dxa"/>
            <w:vMerge w:val="restart"/>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SF（内钢外玻璃纤维），罐壁与防渗池壁间距不小于1m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1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2</w:t>
            </w:r>
          </w:p>
        </w:tc>
        <w:tc>
          <w:tcPr>
            <w:tcW w:w="191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柴油储罐</w:t>
            </w:r>
          </w:p>
        </w:tc>
        <w:tc>
          <w:tcPr>
            <w:tcW w:w="271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V=</w:t>
            </w:r>
            <w:r>
              <w:rPr>
                <w:rFonts w:hint="eastAsia" w:cs="Times New Roman" w:eastAsiaTheme="minorEastAsia"/>
                <w:color w:val="auto"/>
                <w:sz w:val="21"/>
                <w:szCs w:val="21"/>
                <w:highlight w:val="none"/>
                <w:lang w:val="en-US" w:eastAsia="zh-CN"/>
              </w:rPr>
              <w:t>50</w:t>
            </w:r>
            <w:r>
              <w:rPr>
                <w:rFonts w:hint="default" w:ascii="Times New Roman" w:hAnsi="Times New Roman" w:cs="Times New Roman" w:eastAsiaTheme="minorEastAsia"/>
                <w:color w:val="auto"/>
                <w:sz w:val="21"/>
                <w:szCs w:val="21"/>
                <w:highlight w:val="none"/>
              </w:rPr>
              <w:t>m³</w:t>
            </w:r>
            <w:r>
              <w:rPr>
                <w:rFonts w:hint="default" w:ascii="Times New Roman" w:hAnsi="Times New Roman"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Ф</w:t>
            </w:r>
            <w:r>
              <w:rPr>
                <w:rFonts w:hint="default" w:ascii="Times New Roman" w:hAnsi="Times New Roman" w:cs="Times New Roman" w:eastAsiaTheme="minorEastAsia"/>
                <w:color w:val="auto"/>
                <w:sz w:val="21"/>
                <w:szCs w:val="21"/>
                <w:highlight w:val="none"/>
                <w:lang w:val="en-US" w:eastAsia="zh-CN"/>
              </w:rPr>
              <w:t>2</w:t>
            </w:r>
            <w:r>
              <w:rPr>
                <w:rFonts w:hint="eastAsia" w:cs="Times New Roman" w:eastAsiaTheme="minorEastAsia"/>
                <w:color w:val="auto"/>
                <w:sz w:val="21"/>
                <w:szCs w:val="21"/>
                <w:highlight w:val="none"/>
                <w:lang w:val="en-US" w:eastAsia="zh-CN"/>
              </w:rPr>
              <w:t>6</w:t>
            </w:r>
            <w:r>
              <w:rPr>
                <w:rFonts w:hint="default" w:ascii="Times New Roman" w:hAnsi="Times New Roman" w:cs="Times New Roman" w:eastAsiaTheme="minorEastAsia"/>
                <w:color w:val="auto"/>
                <w:sz w:val="21"/>
                <w:szCs w:val="21"/>
                <w:highlight w:val="none"/>
                <w:lang w:val="en-US" w:eastAsia="zh-CN"/>
              </w:rPr>
              <w:t>00</w:t>
            </w:r>
            <w:r>
              <w:rPr>
                <w:rFonts w:hint="default" w:ascii="Times New Roman" w:hAnsi="Times New Roman" w:cs="Times New Roman" w:eastAsiaTheme="minorEastAsia"/>
                <w:color w:val="auto"/>
                <w:sz w:val="21"/>
                <w:szCs w:val="21"/>
                <w:highlight w:val="none"/>
              </w:rPr>
              <w:t>×</w:t>
            </w:r>
            <w:r>
              <w:rPr>
                <w:rFonts w:hint="eastAsia" w:cs="Times New Roman" w:eastAsiaTheme="minorEastAsia"/>
                <w:color w:val="auto"/>
                <w:sz w:val="21"/>
                <w:szCs w:val="21"/>
                <w:highlight w:val="none"/>
                <w:lang w:val="en-US" w:eastAsia="zh-CN"/>
              </w:rPr>
              <w:t>9800</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sz w:val="21"/>
                <w:szCs w:val="21"/>
                <w:highlight w:val="none"/>
                <w:lang w:val="en-US" w:eastAsia="zh-CN"/>
              </w:rPr>
              <w:t>2</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lang w:eastAsia="zh-CN"/>
              </w:rPr>
              <w:t>座</w:t>
            </w:r>
          </w:p>
        </w:tc>
        <w:tc>
          <w:tcPr>
            <w:tcW w:w="2294" w:type="dxa"/>
            <w:vMerge w:val="continue"/>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1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3</w:t>
            </w:r>
          </w:p>
        </w:tc>
        <w:tc>
          <w:tcPr>
            <w:tcW w:w="191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eastAsia"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潜油泵</w:t>
            </w:r>
          </w:p>
        </w:tc>
        <w:tc>
          <w:tcPr>
            <w:tcW w:w="271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红夹克4英寸标准型</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5</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台</w:t>
            </w:r>
          </w:p>
        </w:tc>
        <w:tc>
          <w:tcPr>
            <w:tcW w:w="22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1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4</w:t>
            </w:r>
          </w:p>
        </w:tc>
        <w:tc>
          <w:tcPr>
            <w:tcW w:w="191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kern w:val="2"/>
                <w:sz w:val="21"/>
                <w:szCs w:val="21"/>
                <w:highlight w:val="none"/>
                <w:lang w:val="en-US" w:eastAsia="zh-CN" w:bidi="ar-SA"/>
              </w:rPr>
              <w:t>高液位报警系统</w:t>
            </w:r>
          </w:p>
        </w:tc>
        <w:tc>
          <w:tcPr>
            <w:tcW w:w="271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贵和测控TCM-2</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kern w:val="2"/>
                <w:sz w:val="21"/>
                <w:szCs w:val="21"/>
                <w:highlight w:val="none"/>
                <w:lang w:val="en-US" w:eastAsia="zh-CN" w:bidi="ar-SA"/>
              </w:rPr>
              <w:t>1</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eastAsia" w:cs="Times New Roman" w:eastAsiaTheme="minorEastAsia"/>
                <w:color w:val="auto"/>
                <w:kern w:val="2"/>
                <w:sz w:val="21"/>
                <w:szCs w:val="21"/>
                <w:highlight w:val="none"/>
                <w:lang w:val="en-US" w:eastAsia="zh-CN" w:bidi="ar-SA"/>
              </w:rPr>
              <w:t>台</w:t>
            </w:r>
          </w:p>
        </w:tc>
        <w:tc>
          <w:tcPr>
            <w:tcW w:w="22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1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5</w:t>
            </w:r>
          </w:p>
        </w:tc>
        <w:tc>
          <w:tcPr>
            <w:tcW w:w="191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eastAsia"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双层罐测漏报警</w:t>
            </w:r>
          </w:p>
        </w:tc>
        <w:tc>
          <w:tcPr>
            <w:tcW w:w="271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GH-SL1</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台</w:t>
            </w:r>
          </w:p>
        </w:tc>
        <w:tc>
          <w:tcPr>
            <w:tcW w:w="22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1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eastAsiaTheme="minorEastAsia"/>
                <w:color w:val="auto"/>
                <w:sz w:val="21"/>
                <w:szCs w:val="21"/>
                <w:highlight w:val="none"/>
              </w:rPr>
              <w:t>6</w:t>
            </w:r>
          </w:p>
        </w:tc>
        <w:tc>
          <w:tcPr>
            <w:tcW w:w="191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eastAsia" w:ascii="Times New Roman" w:hAnsi="Times New Roman" w:cs="Times New Roman" w:eastAsiaTheme="minorEastAsia"/>
                <w:color w:val="auto"/>
                <w:sz w:val="21"/>
                <w:szCs w:val="21"/>
                <w:highlight w:val="none"/>
                <w:lang w:eastAsia="zh-CN"/>
              </w:rPr>
            </w:pPr>
            <w:r>
              <w:rPr>
                <w:rFonts w:hint="eastAsia" w:cs="Times New Roman" w:eastAsiaTheme="minorEastAsia"/>
                <w:color w:val="auto"/>
                <w:sz w:val="21"/>
                <w:szCs w:val="21"/>
                <w:highlight w:val="none"/>
                <w:lang w:eastAsia="zh-CN"/>
              </w:rPr>
              <w:t>双层管道渗漏报警</w:t>
            </w:r>
          </w:p>
        </w:tc>
        <w:tc>
          <w:tcPr>
            <w:tcW w:w="271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GH-SL1</w:t>
            </w:r>
          </w:p>
        </w:tc>
        <w:tc>
          <w:tcPr>
            <w:tcW w:w="797"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eastAsia"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w:t>
            </w:r>
          </w:p>
        </w:tc>
        <w:tc>
          <w:tcPr>
            <w:tcW w:w="74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eastAsia="zh-CN"/>
              </w:rPr>
              <w:t>台</w:t>
            </w:r>
          </w:p>
        </w:tc>
        <w:tc>
          <w:tcPr>
            <w:tcW w:w="22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highlight w:val="none"/>
              </w:rPr>
            </w:pPr>
          </w:p>
        </w:tc>
      </w:tr>
    </w:tbl>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2.3.2 平面布置</w:t>
      </w:r>
    </w:p>
    <w:p>
      <w:pPr>
        <w:keepNext w:val="0"/>
        <w:keepLines w:val="0"/>
        <w:pageBreakBefore w:val="0"/>
        <w:widowControl w:val="0"/>
        <w:kinsoku/>
        <w:wordWrap/>
        <w:overflowPunct/>
        <w:topLinePunct w:val="0"/>
        <w:autoSpaceDE/>
        <w:autoSpaceDN/>
        <w:bidi w:val="0"/>
        <w:adjustRightInd w:val="0"/>
        <w:snapToGrid w:val="0"/>
        <w:ind w:firstLine="560"/>
        <w:textAlignment w:val="auto"/>
        <w:rPr>
          <w:color w:val="0512B8"/>
        </w:rPr>
      </w:pPr>
      <w:bookmarkStart w:id="21" w:name="OLE_LINK2"/>
      <w:r>
        <w:rPr>
          <w:rFonts w:hint="default" w:ascii="Times New Roman" w:hAnsi="Times New Roman" w:cs="Times New Roman"/>
          <w:color w:val="auto"/>
          <w:szCs w:val="28"/>
        </w:rPr>
        <w:t>该加油</w:t>
      </w:r>
      <w:r>
        <w:rPr>
          <w:rFonts w:hint="eastAsia" w:cs="Times New Roman"/>
          <w:color w:val="auto"/>
          <w:szCs w:val="28"/>
          <w:lang w:eastAsia="zh-CN"/>
        </w:rPr>
        <w:t>中心</w:t>
      </w:r>
      <w:r>
        <w:rPr>
          <w:rFonts w:hint="default" w:ascii="Times New Roman" w:hAnsi="Times New Roman" w:cs="Times New Roman"/>
          <w:color w:val="auto"/>
          <w:szCs w:val="28"/>
        </w:rPr>
        <w:t>占地面积</w:t>
      </w:r>
      <w:r>
        <w:rPr>
          <w:rFonts w:hint="eastAsia" w:cs="Times New Roman"/>
          <w:color w:val="auto"/>
          <w:szCs w:val="28"/>
          <w:lang w:val="en-US" w:eastAsia="zh-CN"/>
        </w:rPr>
        <w:t>4515.4</w:t>
      </w:r>
      <w:r>
        <w:rPr>
          <w:rFonts w:hint="default" w:ascii="Times New Roman" w:hAnsi="Times New Roman" w:cs="Times New Roman"/>
          <w:color w:val="auto"/>
          <w:szCs w:val="28"/>
        </w:rPr>
        <w:t>m²</w:t>
      </w:r>
      <w:r>
        <w:rPr>
          <w:rFonts w:hint="eastAsia" w:cs="Times New Roman"/>
          <w:color w:val="auto"/>
          <w:szCs w:val="28"/>
          <w:lang w:eastAsia="zh-CN"/>
        </w:rPr>
        <w:t>，</w:t>
      </w:r>
      <w:r>
        <w:rPr>
          <w:rFonts w:hint="default" w:ascii="Times New Roman" w:hAnsi="Times New Roman" w:cs="Times New Roman"/>
          <w:color w:val="auto"/>
          <w:szCs w:val="28"/>
        </w:rPr>
        <w:t>站区设</w:t>
      </w:r>
      <w:r>
        <w:rPr>
          <w:rFonts w:hint="eastAsia" w:cs="Times New Roman"/>
          <w:color w:val="auto"/>
          <w:szCs w:val="28"/>
          <w:lang w:val="en-US" w:eastAsia="zh-CN"/>
        </w:rPr>
        <w:t>4</w:t>
      </w:r>
      <w:r>
        <w:rPr>
          <w:rFonts w:hint="default" w:ascii="Times New Roman" w:hAnsi="Times New Roman" w:cs="Times New Roman"/>
          <w:color w:val="auto"/>
          <w:szCs w:val="28"/>
        </w:rPr>
        <w:t>个出入口，分开布置</w:t>
      </w:r>
      <w:r>
        <w:rPr>
          <w:rFonts w:hint="eastAsia" w:cs="Times New Roman"/>
          <w:color w:val="auto"/>
          <w:szCs w:val="28"/>
          <w:lang w:eastAsia="zh-CN"/>
        </w:rPr>
        <w:t>，</w:t>
      </w:r>
      <w:r>
        <w:rPr>
          <w:rFonts w:hint="eastAsia" w:cs="Times New Roman"/>
          <w:color w:val="auto"/>
          <w:szCs w:val="28"/>
          <w:lang w:val="en-US" w:eastAsia="zh-CN"/>
        </w:rPr>
        <w:t>分别</w:t>
      </w:r>
      <w:r>
        <w:rPr>
          <w:rFonts w:hint="default" w:ascii="Times New Roman" w:hAnsi="Times New Roman" w:cs="Times New Roman"/>
          <w:color w:val="auto"/>
          <w:szCs w:val="28"/>
          <w:lang w:eastAsia="zh-CN"/>
        </w:rPr>
        <w:t>与</w:t>
      </w:r>
      <w:r>
        <w:rPr>
          <w:rFonts w:hint="eastAsia" w:cs="Times New Roman"/>
          <w:color w:val="auto"/>
          <w:szCs w:val="28"/>
          <w:lang w:val="en-US" w:eastAsia="zh-CN"/>
        </w:rPr>
        <w:t>南二</w:t>
      </w:r>
      <w:r>
        <w:rPr>
          <w:rFonts w:hint="eastAsia" w:cs="Times New Roman"/>
          <w:color w:val="auto"/>
          <w:szCs w:val="28"/>
          <w:lang w:eastAsia="zh-CN"/>
        </w:rPr>
        <w:t>路（</w:t>
      </w:r>
      <w:r>
        <w:rPr>
          <w:rFonts w:hint="eastAsia" w:cs="Times New Roman"/>
          <w:color w:val="auto"/>
          <w:szCs w:val="28"/>
          <w:lang w:val="en-US" w:eastAsia="zh-CN"/>
        </w:rPr>
        <w:t>G220国道</w:t>
      </w:r>
      <w:r>
        <w:rPr>
          <w:rFonts w:hint="eastAsia" w:cs="Times New Roman"/>
          <w:color w:val="auto"/>
          <w:szCs w:val="28"/>
          <w:lang w:eastAsia="zh-CN"/>
        </w:rPr>
        <w:t>）、</w:t>
      </w:r>
      <w:r>
        <w:rPr>
          <w:rFonts w:hint="eastAsia" w:cs="Times New Roman"/>
          <w:color w:val="auto"/>
          <w:szCs w:val="28"/>
          <w:lang w:val="en-US" w:eastAsia="zh-CN"/>
        </w:rPr>
        <w:t>永莘路（S316省道）</w:t>
      </w:r>
      <w:r>
        <w:rPr>
          <w:rFonts w:hint="default" w:ascii="Times New Roman" w:hAnsi="Times New Roman" w:cs="Times New Roman"/>
          <w:color w:val="auto"/>
          <w:szCs w:val="28"/>
        </w:rPr>
        <w:t>相通。</w:t>
      </w:r>
      <w:r>
        <w:rPr>
          <w:rFonts w:hint="eastAsia" w:cs="Times New Roman"/>
          <w:color w:val="auto"/>
          <w:szCs w:val="28"/>
          <w:lang w:eastAsia="zh-CN"/>
        </w:rPr>
        <w:t>站区</w:t>
      </w:r>
      <w:r>
        <w:rPr>
          <w:rFonts w:hint="default" w:ascii="Times New Roman" w:hAnsi="Times New Roman" w:cs="Times New Roman"/>
          <w:color w:val="auto"/>
          <w:szCs w:val="28"/>
        </w:rPr>
        <w:t>分区布置，</w:t>
      </w:r>
      <w:r>
        <w:rPr>
          <w:rFonts w:hint="default" w:ascii="Times New Roman" w:hAnsi="Times New Roman" w:cs="Times New Roman"/>
          <w:color w:val="auto"/>
          <w:szCs w:val="28"/>
          <w:lang w:val="en-US" w:eastAsia="zh-CN"/>
        </w:rPr>
        <w:t>由东向西依次为</w:t>
      </w:r>
      <w:r>
        <w:rPr>
          <w:rFonts w:hint="default" w:ascii="Times New Roman" w:hAnsi="Times New Roman" w:cs="Times New Roman"/>
          <w:color w:val="auto"/>
          <w:szCs w:val="28"/>
        </w:rPr>
        <w:t>站房</w:t>
      </w:r>
      <w:r>
        <w:rPr>
          <w:rFonts w:hint="eastAsia" w:cs="Times New Roman"/>
          <w:color w:val="auto"/>
          <w:szCs w:val="28"/>
          <w:lang w:eastAsia="zh-CN"/>
        </w:rPr>
        <w:t>、</w:t>
      </w:r>
      <w:r>
        <w:rPr>
          <w:rFonts w:hint="default" w:ascii="Times New Roman" w:hAnsi="Times New Roman" w:cs="Times New Roman"/>
          <w:color w:val="auto"/>
          <w:szCs w:val="28"/>
        </w:rPr>
        <w:t>加油</w:t>
      </w:r>
      <w:r>
        <w:rPr>
          <w:rFonts w:hint="eastAsia" w:cs="Times New Roman"/>
          <w:color w:val="auto"/>
          <w:szCs w:val="28"/>
          <w:lang w:eastAsia="zh-CN"/>
        </w:rPr>
        <w:t>作业</w:t>
      </w:r>
      <w:r>
        <w:rPr>
          <w:rFonts w:hint="default" w:ascii="Times New Roman" w:hAnsi="Times New Roman" w:cs="Times New Roman"/>
          <w:color w:val="auto"/>
          <w:szCs w:val="28"/>
        </w:rPr>
        <w:t>区</w:t>
      </w:r>
      <w:r>
        <w:rPr>
          <w:rFonts w:hint="eastAsia" w:cs="Times New Roman"/>
          <w:color w:val="auto"/>
          <w:szCs w:val="28"/>
          <w:lang w:eastAsia="zh-CN"/>
        </w:rPr>
        <w:t>以及油罐区</w:t>
      </w:r>
      <w:r>
        <w:rPr>
          <w:color w:val="auto"/>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color w:val="000000"/>
          <w:sz w:val="28"/>
          <w:szCs w:val="28"/>
          <w:lang w:eastAsia="zh-CN"/>
        </w:rPr>
      </w:pPr>
      <w:r>
        <w:rPr>
          <w:rFonts w:ascii="Times New Roman"/>
          <w:color w:val="000000"/>
          <w:sz w:val="28"/>
          <w:szCs w:val="28"/>
        </w:rPr>
        <w:t>加油作业区</w:t>
      </w:r>
      <w:r>
        <w:rPr>
          <w:rFonts w:hint="eastAsia"/>
          <w:color w:val="000000"/>
          <w:sz w:val="28"/>
          <w:szCs w:val="28"/>
          <w:lang w:val="en-US" w:eastAsia="zh-CN"/>
        </w:rPr>
        <w:t>东</w:t>
      </w:r>
      <w:r>
        <w:rPr>
          <w:rFonts w:ascii="Times New Roman"/>
          <w:color w:val="000000"/>
          <w:sz w:val="28"/>
          <w:szCs w:val="28"/>
        </w:rPr>
        <w:t>侧为</w:t>
      </w:r>
      <w:r>
        <w:rPr>
          <w:rFonts w:hint="eastAsia" w:ascii="Times New Roman"/>
          <w:color w:val="000000"/>
          <w:sz w:val="28"/>
          <w:szCs w:val="28"/>
          <w:lang w:eastAsia="zh-CN"/>
        </w:rPr>
        <w:t>站房</w:t>
      </w:r>
      <w:r>
        <w:rPr>
          <w:rFonts w:ascii="Times New Roman"/>
          <w:color w:val="000000"/>
          <w:sz w:val="28"/>
          <w:szCs w:val="28"/>
        </w:rPr>
        <w:t>，</w:t>
      </w:r>
      <w:r>
        <w:rPr>
          <w:rFonts w:hint="default" w:ascii="Times New Roman" w:hAnsi="Times New Roman" w:cs="Times New Roman"/>
          <w:color w:val="auto"/>
          <w:szCs w:val="28"/>
        </w:rPr>
        <w:t>为</w:t>
      </w:r>
      <w:r>
        <w:rPr>
          <w:rFonts w:hint="default" w:ascii="Times New Roman" w:hAnsi="Times New Roman" w:cs="Times New Roman"/>
          <w:color w:val="auto"/>
          <w:szCs w:val="28"/>
          <w:lang w:eastAsia="zh-CN"/>
        </w:rPr>
        <w:t>两</w:t>
      </w:r>
      <w:r>
        <w:rPr>
          <w:rFonts w:hint="default" w:ascii="Times New Roman" w:hAnsi="Times New Roman" w:cs="Times New Roman"/>
          <w:color w:val="auto"/>
          <w:szCs w:val="28"/>
        </w:rPr>
        <w:t>层</w:t>
      </w:r>
      <w:r>
        <w:rPr>
          <w:rFonts w:hint="eastAsia" w:cs="Times New Roman"/>
          <w:color w:val="auto"/>
          <w:szCs w:val="28"/>
          <w:lang w:val="en-US" w:eastAsia="zh-CN"/>
        </w:rPr>
        <w:t>砖混结构</w:t>
      </w:r>
      <w:r>
        <w:rPr>
          <w:rFonts w:hint="default" w:ascii="Times New Roman" w:hAnsi="Times New Roman" w:cs="Times New Roman"/>
          <w:color w:val="auto"/>
          <w:szCs w:val="28"/>
        </w:rPr>
        <w:t>建筑，</w:t>
      </w:r>
      <w:r>
        <w:rPr>
          <w:rFonts w:hint="eastAsia" w:ascii="Times New Roman"/>
          <w:color w:val="000000"/>
          <w:sz w:val="28"/>
          <w:szCs w:val="28"/>
          <w:lang w:eastAsia="zh-CN"/>
        </w:rPr>
        <w:t>室外变压器位于</w:t>
      </w:r>
      <w:r>
        <w:rPr>
          <w:rFonts w:hint="eastAsia"/>
          <w:color w:val="000000"/>
          <w:sz w:val="28"/>
          <w:szCs w:val="28"/>
          <w:lang w:val="en-US" w:eastAsia="zh-CN"/>
        </w:rPr>
        <w:t>站房北</w:t>
      </w:r>
      <w:r>
        <w:rPr>
          <w:rFonts w:hint="eastAsia"/>
          <w:color w:val="000000"/>
          <w:sz w:val="28"/>
          <w:szCs w:val="28"/>
          <w:lang w:eastAsia="zh-CN"/>
        </w:rPr>
        <w:t>侧，</w:t>
      </w:r>
      <w:r>
        <w:rPr>
          <w:rFonts w:hint="eastAsia" w:cs="Times New Roman"/>
          <w:color w:val="auto"/>
          <w:szCs w:val="28"/>
          <w:lang w:val="en-US" w:eastAsia="zh-CN"/>
        </w:rPr>
        <w:t>配电室位于站房</w:t>
      </w:r>
      <w:r>
        <w:rPr>
          <w:rFonts w:hint="eastAsia"/>
          <w:color w:val="000000"/>
          <w:sz w:val="28"/>
          <w:szCs w:val="28"/>
          <w:lang w:eastAsia="zh-CN"/>
        </w:rPr>
        <w:t>南</w:t>
      </w:r>
      <w:r>
        <w:rPr>
          <w:rFonts w:hint="eastAsia" w:ascii="Times New Roman"/>
          <w:color w:val="000000"/>
          <w:sz w:val="28"/>
          <w:szCs w:val="28"/>
          <w:lang w:eastAsia="zh-CN"/>
        </w:rPr>
        <w:t>侧</w:t>
      </w:r>
      <w:r>
        <w:rPr>
          <w:rFonts w:hint="eastAsia"/>
          <w:color w:val="000000"/>
          <w:sz w:val="28"/>
          <w:szCs w:val="28"/>
          <w:lang w:val="en-US" w:eastAsia="zh-CN"/>
        </w:rPr>
        <w:t>辅助用房处</w:t>
      </w:r>
      <w:r>
        <w:rPr>
          <w:rFonts w:hint="eastAsia"/>
          <w:color w:val="00000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cs="Times New Roman" w:eastAsiaTheme="minorEastAsia"/>
          <w:color w:val="auto"/>
          <w:szCs w:val="28"/>
          <w:lang w:val="en-US" w:eastAsia="zh-CN"/>
        </w:rPr>
      </w:pPr>
      <w:r>
        <w:rPr>
          <w:rFonts w:hint="eastAsia"/>
          <w:color w:val="000000"/>
          <w:sz w:val="28"/>
          <w:szCs w:val="28"/>
          <w:lang w:eastAsia="zh-CN"/>
        </w:rPr>
        <w:t>该加油中心</w:t>
      </w:r>
      <w:r>
        <w:rPr>
          <w:rFonts w:ascii="Times New Roman"/>
          <w:color w:val="000000"/>
          <w:sz w:val="28"/>
          <w:szCs w:val="28"/>
        </w:rPr>
        <w:t>罩棚为钢网架结构</w:t>
      </w:r>
      <w:r>
        <w:rPr>
          <w:rFonts w:ascii="Times New Roman"/>
          <w:color w:val="auto"/>
          <w:sz w:val="28"/>
          <w:szCs w:val="28"/>
        </w:rPr>
        <w:t>，净空高度</w:t>
      </w:r>
      <w:r>
        <w:rPr>
          <w:rFonts w:hint="eastAsia"/>
          <w:color w:val="auto"/>
          <w:sz w:val="28"/>
          <w:szCs w:val="28"/>
          <w:lang w:val="en-US" w:eastAsia="zh-CN"/>
        </w:rPr>
        <w:t>8.5</w:t>
      </w:r>
      <w:r>
        <w:rPr>
          <w:rFonts w:ascii="Times New Roman"/>
          <w:color w:val="auto"/>
          <w:sz w:val="28"/>
          <w:szCs w:val="28"/>
        </w:rPr>
        <w:t>m。</w:t>
      </w:r>
      <w:r>
        <w:rPr>
          <w:rFonts w:hint="eastAsia" w:cs="Times New Roman" w:eastAsiaTheme="minorEastAsia"/>
          <w:color w:val="auto"/>
          <w:szCs w:val="28"/>
          <w:lang w:eastAsia="zh-CN"/>
        </w:rPr>
        <w:t>该加油中心</w:t>
      </w:r>
      <w:r>
        <w:rPr>
          <w:rFonts w:hint="default" w:ascii="Times New Roman" w:hAnsi="Times New Roman" w:cs="Times New Roman" w:eastAsiaTheme="minorEastAsia"/>
          <w:color w:val="auto"/>
          <w:szCs w:val="28"/>
        </w:rPr>
        <w:t>现</w:t>
      </w:r>
      <w:r>
        <w:rPr>
          <w:rFonts w:hint="eastAsia" w:cs="Times New Roman" w:eastAsiaTheme="minorEastAsia"/>
          <w:color w:val="auto"/>
          <w:szCs w:val="28"/>
          <w:lang w:eastAsia="zh-CN"/>
        </w:rPr>
        <w:t>共</w:t>
      </w:r>
      <w:r>
        <w:rPr>
          <w:rFonts w:hint="default" w:ascii="Times New Roman" w:hAnsi="Times New Roman" w:cs="Times New Roman" w:eastAsiaTheme="minorEastAsia"/>
          <w:color w:val="auto"/>
          <w:szCs w:val="28"/>
        </w:rPr>
        <w:t>有</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台加油机</w:t>
      </w: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其中1台停用</w:t>
      </w:r>
      <w:r>
        <w:rPr>
          <w:rFonts w:hint="eastAsia" w:cs="Times New Roman" w:eastAsiaTheme="minorEastAsia"/>
          <w:color w:val="auto"/>
          <w:szCs w:val="28"/>
          <w:lang w:eastAsia="zh-CN"/>
        </w:rPr>
        <w:t>，正常使</w:t>
      </w:r>
      <w:r>
        <w:rPr>
          <w:rFonts w:hint="eastAsia" w:cs="Times New Roman" w:eastAsiaTheme="minorEastAsia"/>
          <w:color w:val="auto"/>
          <w:szCs w:val="28"/>
          <w:lang w:val="en-US" w:eastAsia="zh-CN"/>
        </w:rPr>
        <w:t>用6台，包括3</w:t>
      </w:r>
      <w:r>
        <w:rPr>
          <w:rFonts w:hint="default" w:ascii="Times New Roman" w:hAnsi="Times New Roman" w:cs="Times New Roman" w:eastAsiaTheme="minorEastAsia"/>
          <w:color w:val="auto"/>
          <w:szCs w:val="28"/>
        </w:rPr>
        <w:t>台汽油加油机、</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台柴油加油机，均为一机</w:t>
      </w:r>
      <w:r>
        <w:rPr>
          <w:rFonts w:hint="eastAsia" w:cs="Times New Roman" w:eastAsiaTheme="minorEastAsia"/>
          <w:color w:val="auto"/>
          <w:szCs w:val="28"/>
          <w:lang w:val="en-US" w:eastAsia="zh-CN"/>
        </w:rPr>
        <w:t>单</w:t>
      </w:r>
      <w:r>
        <w:rPr>
          <w:rFonts w:hint="default" w:ascii="Times New Roman" w:hAnsi="Times New Roman" w:cs="Times New Roman" w:eastAsiaTheme="minorEastAsia"/>
          <w:color w:val="auto"/>
          <w:szCs w:val="28"/>
        </w:rPr>
        <w:t>枪加油机</w:t>
      </w:r>
      <w:r>
        <w:rPr>
          <w:rFonts w:hint="eastAsia"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color w:val="000000"/>
          <w:sz w:val="28"/>
          <w:szCs w:val="28"/>
          <w:lang w:eastAsia="zh-CN"/>
        </w:rPr>
      </w:pPr>
      <w:r>
        <w:t>油罐区设置</w:t>
      </w:r>
      <w:r>
        <w:rPr>
          <w:rFonts w:hint="eastAsia"/>
          <w:lang w:val="en-US" w:eastAsia="zh-CN"/>
        </w:rPr>
        <w:t>5</w:t>
      </w:r>
      <w:r>
        <w:t>个</w:t>
      </w:r>
      <w:r>
        <w:rPr>
          <w:rFonts w:hint="eastAsia"/>
          <w:lang w:val="en-US" w:eastAsia="zh-CN"/>
        </w:rPr>
        <w:t>5</w:t>
      </w:r>
      <w:r>
        <w:t>0m</w:t>
      </w:r>
      <w:r>
        <w:rPr>
          <w:vertAlign w:val="superscript"/>
        </w:rPr>
        <w:t>3</w:t>
      </w:r>
      <w:r>
        <w:t>埋地油罐</w:t>
      </w:r>
      <w:r>
        <w:rPr>
          <w:rFonts w:hint="eastAsia"/>
          <w:lang w:eastAsia="zh-CN"/>
        </w:rPr>
        <w:t>，</w:t>
      </w:r>
      <w:r>
        <w:rPr>
          <w:rFonts w:hint="default" w:ascii="Times New Roman" w:hAnsi="Times New Roman" w:cs="Times New Roman"/>
          <w:color w:val="auto"/>
          <w:sz w:val="28"/>
        </w:rPr>
        <w:t>自</w:t>
      </w:r>
      <w:r>
        <w:rPr>
          <w:rFonts w:hint="eastAsia" w:cs="Times New Roman"/>
          <w:color w:val="auto"/>
          <w:sz w:val="28"/>
          <w:lang w:val="en-US" w:eastAsia="zh-CN"/>
        </w:rPr>
        <w:t>北</w:t>
      </w:r>
      <w:r>
        <w:rPr>
          <w:rFonts w:hint="default" w:ascii="Times New Roman" w:hAnsi="Times New Roman" w:cs="Times New Roman"/>
          <w:color w:val="auto"/>
          <w:sz w:val="28"/>
        </w:rPr>
        <w:t>向</w:t>
      </w:r>
      <w:r>
        <w:rPr>
          <w:rFonts w:hint="eastAsia" w:cs="Times New Roman"/>
          <w:color w:val="auto"/>
          <w:sz w:val="28"/>
          <w:lang w:val="en-US" w:eastAsia="zh-CN"/>
        </w:rPr>
        <w:t>南</w:t>
      </w:r>
      <w:r>
        <w:rPr>
          <w:rFonts w:hint="default" w:ascii="Times New Roman" w:hAnsi="Times New Roman" w:cs="Times New Roman"/>
          <w:color w:val="auto"/>
          <w:sz w:val="28"/>
        </w:rPr>
        <w:t>排列，依次为</w:t>
      </w:r>
      <w:r>
        <w:rPr>
          <w:rFonts w:hint="eastAsia" w:cs="Times New Roman"/>
          <w:color w:val="auto"/>
          <w:sz w:val="28"/>
          <w:lang w:val="en-US" w:eastAsia="zh-CN"/>
        </w:rPr>
        <w:t>2</w:t>
      </w:r>
      <w:r>
        <w:rPr>
          <w:rFonts w:hint="default" w:ascii="Times New Roman" w:hAnsi="Times New Roman" w:cs="Times New Roman"/>
          <w:color w:val="auto"/>
          <w:sz w:val="28"/>
        </w:rPr>
        <w:t>台92#汽油储罐、</w:t>
      </w:r>
      <w:r>
        <w:rPr>
          <w:rFonts w:hint="eastAsia" w:cs="Times New Roman"/>
          <w:color w:val="auto"/>
          <w:sz w:val="28"/>
          <w:lang w:val="en-US" w:eastAsia="zh-CN"/>
        </w:rPr>
        <w:t>1</w:t>
      </w:r>
      <w:r>
        <w:rPr>
          <w:rFonts w:hint="default" w:ascii="Times New Roman" w:hAnsi="Times New Roman" w:cs="Times New Roman"/>
          <w:color w:val="auto"/>
          <w:sz w:val="28"/>
        </w:rPr>
        <w:t>台</w:t>
      </w:r>
      <w:r>
        <w:rPr>
          <w:rFonts w:hint="default" w:ascii="Times New Roman" w:hAnsi="Times New Roman" w:cs="Times New Roman"/>
          <w:color w:val="auto"/>
          <w:sz w:val="28"/>
          <w:lang w:val="en-US" w:eastAsia="zh-CN"/>
        </w:rPr>
        <w:t>0</w:t>
      </w:r>
      <w:r>
        <w:rPr>
          <w:rFonts w:hint="default" w:ascii="Times New Roman" w:hAnsi="Times New Roman" w:cs="Times New Roman"/>
          <w:color w:val="auto"/>
          <w:sz w:val="28"/>
        </w:rPr>
        <w:t>#</w:t>
      </w:r>
      <w:r>
        <w:rPr>
          <w:rFonts w:hint="default" w:ascii="Times New Roman" w:hAnsi="Times New Roman" w:cs="Times New Roman"/>
          <w:color w:val="auto"/>
          <w:sz w:val="28"/>
          <w:lang w:eastAsia="zh-CN"/>
        </w:rPr>
        <w:t>柴油</w:t>
      </w:r>
      <w:r>
        <w:rPr>
          <w:rFonts w:hint="default" w:ascii="Times New Roman" w:hAnsi="Times New Roman" w:cs="Times New Roman"/>
          <w:color w:val="auto"/>
          <w:sz w:val="28"/>
        </w:rPr>
        <w:t>储罐</w:t>
      </w:r>
      <w:r>
        <w:rPr>
          <w:rFonts w:hint="eastAsia" w:cs="Times New Roman"/>
          <w:color w:val="auto"/>
          <w:sz w:val="28"/>
          <w:lang w:eastAsia="zh-CN"/>
        </w:rPr>
        <w:t>，</w:t>
      </w:r>
      <w:r>
        <w:rPr>
          <w:rFonts w:hint="eastAsia" w:cs="Times New Roman"/>
          <w:color w:val="auto"/>
          <w:sz w:val="28"/>
          <w:lang w:val="en-US" w:eastAsia="zh-CN"/>
        </w:rPr>
        <w:t>1</w:t>
      </w:r>
      <w:r>
        <w:rPr>
          <w:rFonts w:hint="eastAsia" w:cs="Times New Roman"/>
          <w:color w:val="auto"/>
          <w:sz w:val="28"/>
          <w:lang w:eastAsia="zh-CN"/>
        </w:rPr>
        <w:t>台</w:t>
      </w:r>
      <w:r>
        <w:rPr>
          <w:rFonts w:hint="eastAsia" w:cs="Times New Roman"/>
          <w:color w:val="auto"/>
          <w:sz w:val="28"/>
          <w:lang w:val="en-US" w:eastAsia="zh-CN"/>
        </w:rPr>
        <w:t>0#/-10</w:t>
      </w:r>
      <w:r>
        <w:rPr>
          <w:rFonts w:hint="eastAsia" w:cs="Times New Roman"/>
          <w:color w:val="auto"/>
          <w:sz w:val="28"/>
          <w:lang w:eastAsia="zh-CN"/>
        </w:rPr>
        <w:t>#柴油储罐，</w:t>
      </w:r>
      <w:r>
        <w:rPr>
          <w:rFonts w:hint="default" w:ascii="Times New Roman" w:hAnsi="Times New Roman" w:cs="Times New Roman"/>
          <w:color w:val="auto"/>
          <w:sz w:val="28"/>
          <w:lang w:val="en-US" w:eastAsia="zh-CN"/>
        </w:rPr>
        <w:t>1</w:t>
      </w:r>
      <w:r>
        <w:rPr>
          <w:rFonts w:hint="default" w:ascii="Times New Roman" w:hAnsi="Times New Roman" w:cs="Times New Roman"/>
          <w:color w:val="auto"/>
          <w:sz w:val="28"/>
        </w:rPr>
        <w:t>台9</w:t>
      </w:r>
      <w:r>
        <w:rPr>
          <w:rFonts w:hint="default" w:ascii="Times New Roman" w:hAnsi="Times New Roman" w:cs="Times New Roman"/>
          <w:color w:val="auto"/>
          <w:sz w:val="28"/>
          <w:lang w:val="en-US" w:eastAsia="zh-CN"/>
        </w:rPr>
        <w:t>5</w:t>
      </w:r>
      <w:r>
        <w:rPr>
          <w:rFonts w:hint="default" w:ascii="Times New Roman" w:hAnsi="Times New Roman" w:cs="Times New Roman"/>
          <w:color w:val="auto"/>
          <w:sz w:val="28"/>
        </w:rPr>
        <w:t>#汽油储罐</w:t>
      </w:r>
      <w:r>
        <w:rPr>
          <w:rFonts w:hint="eastAsia" w:ascii="Times New Roman" w:hAnsi="Times New Roman" w:cs="Times New Roman"/>
          <w:color w:val="auto"/>
          <w:sz w:val="28"/>
          <w:lang w:eastAsia="zh-CN"/>
        </w:rPr>
        <w:t>，</w:t>
      </w:r>
      <w:r>
        <w:rPr>
          <w:rFonts w:hint="default" w:ascii="Times New Roman" w:hAnsi="Times New Roman" w:cs="Times New Roman" w:eastAsiaTheme="minorEastAsia"/>
          <w:color w:val="auto"/>
          <w:szCs w:val="28"/>
        </w:rPr>
        <w:t>储罐均为SF双层地埋储罐，</w:t>
      </w:r>
      <w:r>
        <w:t>设有防止上浮措施</w:t>
      </w:r>
      <w:r>
        <w:rPr>
          <w:rFonts w:hint="eastAsia"/>
          <w:lang w:eastAsia="zh-CN"/>
        </w:rPr>
        <w:t>；</w:t>
      </w:r>
      <w:r>
        <w:rPr>
          <w:rFonts w:hint="default" w:ascii="Times New Roman" w:hAnsi="Times New Roman" w:cs="Times New Roman" w:eastAsiaTheme="minorEastAsia"/>
          <w:color w:val="auto"/>
          <w:szCs w:val="28"/>
        </w:rPr>
        <w:t>储罐均设有液位报警装置、防满溢紧急切断阀、双层管线泄漏仪、双层储罐泄漏仪</w:t>
      </w:r>
      <w:r>
        <w:rPr>
          <w:rFonts w:hint="eastAsia"/>
          <w:lang w:eastAsia="zh-CN"/>
        </w:rPr>
        <w:t>。</w:t>
      </w:r>
      <w:r>
        <w:rPr>
          <w:rFonts w:hint="eastAsia" w:ascii="Times New Roman"/>
          <w:color w:val="000000"/>
          <w:sz w:val="28"/>
          <w:szCs w:val="28"/>
          <w:lang w:eastAsia="zh-CN"/>
        </w:rPr>
        <w:t>卸油口位于油罐区的</w:t>
      </w:r>
      <w:r>
        <w:rPr>
          <w:rFonts w:hint="eastAsia"/>
          <w:color w:val="000000"/>
          <w:sz w:val="28"/>
          <w:szCs w:val="28"/>
          <w:lang w:val="en-US" w:eastAsia="zh-CN"/>
        </w:rPr>
        <w:t>东</w:t>
      </w:r>
      <w:r>
        <w:rPr>
          <w:rFonts w:hint="eastAsia"/>
          <w:color w:val="000000"/>
          <w:sz w:val="28"/>
          <w:szCs w:val="28"/>
          <w:lang w:eastAsia="zh-CN"/>
        </w:rPr>
        <w:t>北</w:t>
      </w:r>
      <w:r>
        <w:rPr>
          <w:rFonts w:hint="eastAsia" w:ascii="Times New Roman"/>
          <w:color w:val="000000"/>
          <w:sz w:val="28"/>
          <w:szCs w:val="28"/>
          <w:lang w:eastAsia="zh-CN"/>
        </w:rPr>
        <w:t>侧，通气管口位于油罐区的</w:t>
      </w:r>
      <w:r>
        <w:rPr>
          <w:rFonts w:hint="eastAsia"/>
          <w:color w:val="000000"/>
          <w:sz w:val="28"/>
          <w:szCs w:val="28"/>
          <w:lang w:val="en-US" w:eastAsia="zh-CN"/>
        </w:rPr>
        <w:t>西</w:t>
      </w:r>
      <w:r>
        <w:rPr>
          <w:rFonts w:hint="eastAsia" w:ascii="Times New Roman"/>
          <w:color w:val="000000"/>
          <w:sz w:val="28"/>
          <w:szCs w:val="28"/>
          <w:lang w:eastAsia="zh-CN"/>
        </w:rPr>
        <w:t>侧</w:t>
      </w:r>
      <w:r>
        <w:rPr>
          <w:rFonts w:hint="eastAsia"/>
          <w:color w:val="000000"/>
          <w:sz w:val="28"/>
          <w:szCs w:val="28"/>
          <w:lang w:eastAsia="zh-CN"/>
        </w:rPr>
        <w:t>。</w:t>
      </w:r>
    </w:p>
    <w:bookmarkEnd w:id="21"/>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加油站站内道路为混凝土路面，站内工艺管道埋地敷设，且不穿过站房</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站内</w:t>
      </w:r>
      <w:r>
        <w:rPr>
          <w:rFonts w:hint="default" w:ascii="Times New Roman" w:hAnsi="Times New Roman" w:cs="Times New Roman" w:eastAsiaTheme="minorEastAsia"/>
          <w:color w:val="auto"/>
          <w:szCs w:val="28"/>
          <w:lang w:eastAsia="zh-CN"/>
        </w:rPr>
        <w:t>无</w:t>
      </w:r>
      <w:r>
        <w:rPr>
          <w:rFonts w:hint="default" w:ascii="Times New Roman" w:hAnsi="Times New Roman" w:cs="Times New Roman" w:eastAsiaTheme="minorEastAsia"/>
          <w:color w:val="auto"/>
          <w:szCs w:val="28"/>
        </w:rPr>
        <w:t>油性植物。</w:t>
      </w:r>
    </w:p>
    <w:p>
      <w:pPr>
        <w:pageBreakBefore w:val="0"/>
        <w:kinsoku/>
        <w:wordWrap/>
        <w:topLinePunct w:val="0"/>
        <w:bidi w:val="0"/>
        <w:adjustRightInd w:val="0"/>
        <w:snapToGrid w:val="0"/>
        <w:ind w:firstLine="560"/>
        <w:jc w:val="left"/>
        <w:rPr>
          <w:rFonts w:hint="default" w:ascii="Times New Roman" w:hAnsi="Times New Roman" w:cs="Times New Roman" w:eastAsiaTheme="minorEastAsia"/>
          <w:b/>
          <w:color w:val="auto"/>
          <w:sz w:val="24"/>
          <w:szCs w:val="24"/>
          <w:highlight w:val="none"/>
          <w:lang w:val="zh-CN"/>
        </w:rPr>
      </w:pPr>
      <w:r>
        <w:rPr>
          <w:rFonts w:hint="default" w:ascii="Times New Roman" w:hAnsi="Times New Roman" w:cs="Times New Roman" w:eastAsiaTheme="minorEastAsia"/>
          <w:color w:val="auto"/>
          <w:highlight w:val="none"/>
        </w:rPr>
        <w:t>站内设施之间的防火距离符合《汽车加油加气站设计与施工规范（2014年版）》（GB50156-2012）的</w:t>
      </w:r>
      <w:r>
        <w:rPr>
          <w:rFonts w:hint="eastAsia" w:cs="Times New Roman" w:eastAsiaTheme="minorEastAsia"/>
          <w:color w:val="auto"/>
          <w:highlight w:val="none"/>
          <w:lang w:eastAsia="zh-CN"/>
        </w:rPr>
        <w:t>相关</w:t>
      </w:r>
      <w:r>
        <w:rPr>
          <w:rFonts w:hint="default" w:ascii="Times New Roman" w:hAnsi="Times New Roman" w:cs="Times New Roman" w:eastAsiaTheme="minorEastAsia"/>
          <w:color w:val="auto"/>
          <w:highlight w:val="none"/>
        </w:rPr>
        <w:t>规定，站内</w:t>
      </w:r>
      <w:r>
        <w:rPr>
          <w:rFonts w:hint="default" w:ascii="Times New Roman" w:hAnsi="Times New Roman" w:cs="Times New Roman" w:eastAsiaTheme="minorEastAsia"/>
          <w:color w:val="auto"/>
          <w:highlight w:val="none"/>
          <w:lang w:eastAsia="zh-CN"/>
        </w:rPr>
        <w:t>设施</w:t>
      </w:r>
      <w:r>
        <w:rPr>
          <w:rFonts w:hint="default" w:ascii="Times New Roman" w:hAnsi="Times New Roman" w:cs="Times New Roman" w:eastAsiaTheme="minorEastAsia"/>
          <w:color w:val="auto"/>
          <w:highlight w:val="none"/>
        </w:rPr>
        <w:t>防火间距</w:t>
      </w:r>
      <w:r>
        <w:rPr>
          <w:rFonts w:hint="default" w:ascii="Times New Roman" w:hAnsi="Times New Roman" w:cs="Times New Roman" w:eastAsiaTheme="minorEastAsia"/>
          <w:color w:val="auto"/>
          <w:highlight w:val="none"/>
          <w:lang w:eastAsia="zh-CN"/>
        </w:rPr>
        <w:t>符合性见表</w:t>
      </w:r>
      <w:r>
        <w:rPr>
          <w:rFonts w:hint="default" w:ascii="Times New Roman" w:hAnsi="Times New Roman" w:cs="Times New Roman" w:eastAsiaTheme="minorEastAsia"/>
          <w:color w:val="auto"/>
          <w:highlight w:val="none"/>
          <w:lang w:val="en-US" w:eastAsia="zh-CN"/>
        </w:rPr>
        <w:t>2.3-</w:t>
      </w:r>
      <w:r>
        <w:rPr>
          <w:rFonts w:hint="eastAsia" w:cs="Times New Roman" w:eastAsiaTheme="minorEastAsia"/>
          <w:color w:val="auto"/>
          <w:highlight w:val="none"/>
          <w:lang w:val="en-US" w:eastAsia="zh-CN"/>
        </w:rPr>
        <w:t>2</w:t>
      </w:r>
      <w:r>
        <w:rPr>
          <w:rFonts w:hint="default" w:ascii="Times New Roman" w:hAnsi="Times New Roman" w:cs="Times New Roman" w:eastAsiaTheme="minorEastAsia"/>
          <w:color w:val="auto"/>
          <w:highlight w:val="none"/>
        </w:rPr>
        <w:t>：</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szCs w:val="24"/>
          <w:highlight w:val="yellow"/>
          <w:lang w:val="zh-CN"/>
        </w:rPr>
      </w:pPr>
      <w:r>
        <w:rPr>
          <w:rFonts w:hint="default" w:ascii="Times New Roman" w:hAnsi="Times New Roman" w:cs="Times New Roman" w:eastAsiaTheme="minorEastAsia"/>
          <w:b/>
          <w:color w:val="auto"/>
          <w:sz w:val="24"/>
          <w:szCs w:val="24"/>
          <w:highlight w:val="none"/>
          <w:lang w:val="zh-CN"/>
        </w:rPr>
        <w:t>表2</w:t>
      </w:r>
      <w:r>
        <w:rPr>
          <w:rFonts w:hint="default" w:ascii="Times New Roman" w:hAnsi="Times New Roman" w:cs="Times New Roman" w:eastAsiaTheme="minorEastAsia"/>
          <w:b/>
          <w:color w:val="auto"/>
          <w:sz w:val="24"/>
          <w:szCs w:val="24"/>
          <w:highlight w:val="none"/>
        </w:rPr>
        <w:t>.3</w:t>
      </w:r>
      <w:r>
        <w:rPr>
          <w:rFonts w:hint="default" w:ascii="Times New Roman" w:hAnsi="Times New Roman" w:cs="Times New Roman" w:eastAsiaTheme="minorEastAsia"/>
          <w:b/>
          <w:color w:val="auto"/>
          <w:sz w:val="24"/>
          <w:szCs w:val="24"/>
          <w:highlight w:val="none"/>
          <w:lang w:val="zh-CN"/>
        </w:rPr>
        <w:t>-</w:t>
      </w:r>
      <w:r>
        <w:rPr>
          <w:rFonts w:hint="eastAsia" w:cs="Times New Roman" w:eastAsiaTheme="minorEastAsia"/>
          <w:b/>
          <w:color w:val="auto"/>
          <w:sz w:val="24"/>
          <w:szCs w:val="24"/>
          <w:highlight w:val="none"/>
          <w:lang w:val="en-US" w:eastAsia="zh-CN"/>
        </w:rPr>
        <w:t>2</w:t>
      </w:r>
      <w:r>
        <w:rPr>
          <w:rFonts w:hint="default" w:ascii="Times New Roman" w:hAnsi="Times New Roman" w:cs="Times New Roman" w:eastAsiaTheme="minorEastAsia"/>
          <w:b/>
          <w:color w:val="auto"/>
          <w:sz w:val="24"/>
          <w:szCs w:val="24"/>
          <w:highlight w:val="none"/>
          <w:lang w:val="zh-CN"/>
        </w:rPr>
        <w:t xml:space="preserve"> 加油站内设施距离一览表</w:t>
      </w:r>
    </w:p>
    <w:tbl>
      <w:tblPr>
        <w:tblStyle w:val="28"/>
        <w:tblW w:w="949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454"/>
        <w:gridCol w:w="846"/>
        <w:gridCol w:w="911"/>
        <w:gridCol w:w="1035"/>
        <w:gridCol w:w="885"/>
        <w:gridCol w:w="945"/>
        <w:gridCol w:w="930"/>
        <w:gridCol w:w="1309"/>
        <w:gridCol w:w="1523"/>
        <w:gridCol w:w="6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tblHeader/>
          <w:jc w:val="center"/>
        </w:trPr>
        <w:tc>
          <w:tcPr>
            <w:tcW w:w="454" w:type="dxa"/>
            <w:vMerge w:val="restart"/>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序号</w:t>
            </w:r>
          </w:p>
        </w:tc>
        <w:tc>
          <w:tcPr>
            <w:tcW w:w="846" w:type="dxa"/>
            <w:vMerge w:val="restart"/>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站内</w:t>
            </w:r>
          </w:p>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设施</w:t>
            </w:r>
          </w:p>
        </w:tc>
        <w:tc>
          <w:tcPr>
            <w:tcW w:w="6015" w:type="dxa"/>
            <w:gridSpan w:val="6"/>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与下列设施距离/规范要求距离（m）</w:t>
            </w:r>
          </w:p>
        </w:tc>
        <w:tc>
          <w:tcPr>
            <w:tcW w:w="1523" w:type="dxa"/>
            <w:vMerge w:val="restart"/>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标准依据</w:t>
            </w:r>
          </w:p>
        </w:tc>
        <w:tc>
          <w:tcPr>
            <w:tcW w:w="653" w:type="dxa"/>
            <w:vMerge w:val="restart"/>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746" w:hRule="atLeast"/>
          <w:tblHeader/>
          <w:jc w:val="center"/>
        </w:trPr>
        <w:tc>
          <w:tcPr>
            <w:tcW w:w="454" w:type="dxa"/>
            <w:vMerge w:val="continue"/>
            <w:vAlign w:val="center"/>
          </w:tcPr>
          <w:p>
            <w:pPr>
              <w:pageBreakBefore w:val="0"/>
              <w:kinsoku/>
              <w:wordWrap/>
              <w:topLinePunct w:val="0"/>
              <w:bidi w:val="0"/>
              <w:adjustRightInd w:val="0"/>
              <w:snapToGrid w:val="0"/>
              <w:spacing w:line="240" w:lineRule="auto"/>
              <w:ind w:firstLine="422"/>
              <w:jc w:val="center"/>
              <w:rPr>
                <w:rFonts w:hint="default" w:ascii="Times New Roman" w:hAnsi="Times New Roman" w:cs="Times New Roman"/>
                <w:b/>
                <w:bCs/>
                <w:color w:val="auto"/>
                <w:sz w:val="21"/>
                <w:szCs w:val="21"/>
              </w:rPr>
            </w:pPr>
          </w:p>
        </w:tc>
        <w:tc>
          <w:tcPr>
            <w:tcW w:w="846" w:type="dxa"/>
            <w:vMerge w:val="continue"/>
            <w:vAlign w:val="center"/>
          </w:tcPr>
          <w:p>
            <w:pPr>
              <w:pageBreakBefore w:val="0"/>
              <w:kinsoku/>
              <w:wordWrap/>
              <w:topLinePunct w:val="0"/>
              <w:bidi w:val="0"/>
              <w:adjustRightInd w:val="0"/>
              <w:snapToGrid w:val="0"/>
              <w:spacing w:line="240" w:lineRule="auto"/>
              <w:ind w:firstLine="422"/>
              <w:jc w:val="center"/>
              <w:rPr>
                <w:rFonts w:hint="default" w:ascii="Times New Roman" w:hAnsi="Times New Roman" w:cs="Times New Roman"/>
                <w:b/>
                <w:bCs/>
                <w:color w:val="auto"/>
                <w:sz w:val="21"/>
                <w:szCs w:val="21"/>
              </w:rPr>
            </w:pP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汽油罐</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柴油罐</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汽油通气管口</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柴油通气管口</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加油机</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kern w:val="0"/>
                <w:sz w:val="21"/>
                <w:szCs w:val="21"/>
              </w:rPr>
            </w:pPr>
            <w:r>
              <w:rPr>
                <w:rFonts w:hint="default" w:ascii="Times New Roman" w:hAnsi="Times New Roman" w:cs="Times New Roman" w:eastAsiaTheme="minorEastAsia"/>
                <w:b/>
                <w:bCs/>
                <w:color w:val="auto"/>
                <w:kern w:val="0"/>
                <w:sz w:val="21"/>
                <w:szCs w:val="21"/>
              </w:rPr>
              <w:t>油品卸车点</w:t>
            </w:r>
          </w:p>
        </w:tc>
        <w:tc>
          <w:tcPr>
            <w:tcW w:w="1523" w:type="dxa"/>
            <w:vMerge w:val="continue"/>
            <w:vAlign w:val="center"/>
          </w:tcPr>
          <w:p>
            <w:pPr>
              <w:pageBreakBefore w:val="0"/>
              <w:kinsoku/>
              <w:wordWrap/>
              <w:topLinePunct w:val="0"/>
              <w:bidi w:val="0"/>
              <w:adjustRightInd w:val="0"/>
              <w:snapToGrid w:val="0"/>
              <w:spacing w:line="240" w:lineRule="auto"/>
              <w:ind w:firstLine="420"/>
              <w:jc w:val="center"/>
              <w:rPr>
                <w:rFonts w:hint="default" w:ascii="Times New Roman" w:hAnsi="Times New Roman" w:cs="Times New Roman"/>
                <w:color w:val="auto"/>
                <w:sz w:val="21"/>
                <w:szCs w:val="21"/>
              </w:rPr>
            </w:pPr>
          </w:p>
        </w:tc>
        <w:tc>
          <w:tcPr>
            <w:tcW w:w="653" w:type="dxa"/>
            <w:vMerge w:val="continue"/>
            <w:vAlign w:val="center"/>
          </w:tcPr>
          <w:p>
            <w:pPr>
              <w:pageBreakBefore w:val="0"/>
              <w:kinsoku/>
              <w:wordWrap/>
              <w:topLinePunct w:val="0"/>
              <w:bidi w:val="0"/>
              <w:adjustRightInd w:val="0"/>
              <w:snapToGrid w:val="0"/>
              <w:spacing w:line="240" w:lineRule="auto"/>
              <w:ind w:firstLine="420"/>
              <w:jc w:val="center"/>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13" w:hRule="atLeast"/>
          <w:jc w:val="center"/>
        </w:trPr>
        <w:tc>
          <w:tcPr>
            <w:tcW w:w="454"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1</w:t>
            </w:r>
          </w:p>
        </w:tc>
        <w:tc>
          <w:tcPr>
            <w:tcW w:w="846"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汽油罐</w:t>
            </w: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0.5</w:t>
            </w:r>
            <w:r>
              <w:rPr>
                <w:rFonts w:hint="default" w:ascii="Times New Roman" w:hAnsi="Times New Roman" w:cs="Times New Roman" w:eastAsiaTheme="minorEastAsia"/>
                <w:color w:val="auto"/>
                <w:kern w:val="0"/>
                <w:sz w:val="21"/>
                <w:szCs w:val="21"/>
              </w:rPr>
              <w:t>/0.5</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0.5</w:t>
            </w:r>
            <w:r>
              <w:rPr>
                <w:rFonts w:hint="default" w:ascii="Times New Roman" w:hAnsi="Times New Roman" w:cs="Times New Roman" w:eastAsiaTheme="minorEastAsia"/>
                <w:color w:val="auto"/>
                <w:kern w:val="0"/>
                <w:sz w:val="21"/>
                <w:szCs w:val="21"/>
              </w:rPr>
              <w:t>/0.5</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523" w:type="dxa"/>
            <w:vMerge w:val="restart"/>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GB50156-2012（2014年版）5.0.13</w:t>
            </w:r>
          </w:p>
        </w:tc>
        <w:tc>
          <w:tcPr>
            <w:tcW w:w="653"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54"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2</w:t>
            </w:r>
          </w:p>
        </w:tc>
        <w:tc>
          <w:tcPr>
            <w:tcW w:w="846"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柴油罐</w:t>
            </w: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0.5/0.5</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lang w:val="en-US" w:eastAsia="zh-CN"/>
              </w:rPr>
              <w:t>0.5</w:t>
            </w:r>
            <w:r>
              <w:rPr>
                <w:rFonts w:hint="default" w:ascii="Times New Roman" w:hAnsi="Times New Roman" w:cs="Times New Roman" w:eastAsiaTheme="minorEastAsia"/>
                <w:color w:val="auto"/>
                <w:kern w:val="0"/>
                <w:sz w:val="21"/>
                <w:szCs w:val="21"/>
              </w:rPr>
              <w:t>/0.5</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523" w:type="dxa"/>
            <w:vMerge w:val="continue"/>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p>
        </w:tc>
        <w:tc>
          <w:tcPr>
            <w:tcW w:w="653"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54"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3</w:t>
            </w:r>
          </w:p>
        </w:tc>
        <w:tc>
          <w:tcPr>
            <w:tcW w:w="846"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汽油通气管口</w:t>
            </w: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11</w:t>
            </w:r>
            <w:r>
              <w:rPr>
                <w:rFonts w:hint="default" w:ascii="Times New Roman" w:hAnsi="Times New Roman" w:cs="Times New Roman" w:eastAsiaTheme="minorEastAsia"/>
                <w:color w:val="auto"/>
                <w:kern w:val="0"/>
                <w:sz w:val="21"/>
                <w:szCs w:val="21"/>
              </w:rPr>
              <w:t>/3</w:t>
            </w:r>
          </w:p>
        </w:tc>
        <w:tc>
          <w:tcPr>
            <w:tcW w:w="1523" w:type="dxa"/>
            <w:vMerge w:val="continue"/>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p>
        </w:tc>
        <w:tc>
          <w:tcPr>
            <w:tcW w:w="653"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54"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4</w:t>
            </w:r>
          </w:p>
        </w:tc>
        <w:tc>
          <w:tcPr>
            <w:tcW w:w="846"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柴油通气管口</w:t>
            </w: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11.2</w:t>
            </w:r>
            <w:r>
              <w:rPr>
                <w:rFonts w:hint="default" w:ascii="Times New Roman" w:hAnsi="Times New Roman" w:cs="Times New Roman" w:eastAsiaTheme="minorEastAsia"/>
                <w:color w:val="auto"/>
                <w:kern w:val="0"/>
                <w:sz w:val="21"/>
                <w:szCs w:val="21"/>
              </w:rPr>
              <w:t>/2</w:t>
            </w:r>
          </w:p>
        </w:tc>
        <w:tc>
          <w:tcPr>
            <w:tcW w:w="1523" w:type="dxa"/>
            <w:vMerge w:val="continue"/>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p>
        </w:tc>
        <w:tc>
          <w:tcPr>
            <w:tcW w:w="653"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36" w:hRule="atLeast"/>
          <w:jc w:val="center"/>
        </w:trPr>
        <w:tc>
          <w:tcPr>
            <w:tcW w:w="454"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5</w:t>
            </w:r>
          </w:p>
        </w:tc>
        <w:tc>
          <w:tcPr>
            <w:tcW w:w="846"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加油机</w:t>
            </w: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w:t>
            </w:r>
          </w:p>
        </w:tc>
        <w:tc>
          <w:tcPr>
            <w:tcW w:w="1523" w:type="dxa"/>
            <w:vMerge w:val="continue"/>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p>
        </w:tc>
        <w:tc>
          <w:tcPr>
            <w:tcW w:w="653"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54"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7</w:t>
            </w:r>
          </w:p>
        </w:tc>
        <w:tc>
          <w:tcPr>
            <w:tcW w:w="846"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站房</w:t>
            </w: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69.3</w:t>
            </w:r>
            <w:r>
              <w:rPr>
                <w:rFonts w:hint="default" w:ascii="Times New Roman" w:hAnsi="Times New Roman" w:cs="Times New Roman" w:eastAsiaTheme="minorEastAsia"/>
                <w:color w:val="auto"/>
                <w:kern w:val="0"/>
                <w:sz w:val="21"/>
                <w:szCs w:val="21"/>
              </w:rPr>
              <w:t>/4</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70</w:t>
            </w:r>
            <w:r>
              <w:rPr>
                <w:rFonts w:hint="default" w:ascii="Times New Roman" w:hAnsi="Times New Roman" w:cs="Times New Roman" w:eastAsiaTheme="minorEastAsia"/>
                <w:color w:val="auto"/>
                <w:kern w:val="0"/>
                <w:sz w:val="21"/>
                <w:szCs w:val="21"/>
              </w:rPr>
              <w:t>/3</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82</w:t>
            </w:r>
            <w:r>
              <w:rPr>
                <w:rFonts w:hint="default" w:ascii="Times New Roman" w:hAnsi="Times New Roman" w:cs="Times New Roman" w:eastAsiaTheme="minorEastAsia"/>
                <w:color w:val="auto"/>
                <w:kern w:val="0"/>
                <w:sz w:val="21"/>
                <w:szCs w:val="21"/>
              </w:rPr>
              <w:t>/4</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82</w:t>
            </w:r>
            <w:r>
              <w:rPr>
                <w:rFonts w:hint="default" w:ascii="Times New Roman" w:hAnsi="Times New Roman" w:cs="Times New Roman" w:eastAsiaTheme="minorEastAsia"/>
                <w:color w:val="auto"/>
                <w:kern w:val="0"/>
                <w:sz w:val="21"/>
                <w:szCs w:val="21"/>
              </w:rPr>
              <w:t>/3.5</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eastAsia" w:ascii="Times New Roman" w:hAnsi="Times New Roman" w:cs="Times New Roman" w:eastAsiaTheme="minorEastAsia"/>
                <w:color w:val="auto"/>
                <w:kern w:val="0"/>
                <w:sz w:val="21"/>
                <w:szCs w:val="21"/>
                <w:highlight w:val="none"/>
                <w:lang w:val="en-US" w:eastAsia="zh-CN"/>
              </w:rPr>
            </w:pPr>
            <w:r>
              <w:rPr>
                <w:rFonts w:hint="default" w:ascii="Times New Roman" w:hAnsi="Times New Roman" w:cs="Times New Roman" w:eastAsiaTheme="minorEastAsia"/>
                <w:color w:val="auto"/>
                <w:kern w:val="0"/>
                <w:sz w:val="21"/>
                <w:szCs w:val="21"/>
              </w:rPr>
              <w:t>6</w:t>
            </w:r>
            <w:r>
              <w:rPr>
                <w:rFonts w:hint="eastAsia" w:cs="Times New Roman" w:eastAsiaTheme="minorEastAsia"/>
                <w:color w:val="auto"/>
                <w:kern w:val="0"/>
                <w:sz w:val="21"/>
                <w:szCs w:val="21"/>
                <w:lang w:val="en-US" w:eastAsia="zh-CN"/>
              </w:rPr>
              <w:t>.6</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5</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highlight w:val="none"/>
              </w:rPr>
            </w:pPr>
            <w:r>
              <w:rPr>
                <w:rFonts w:hint="eastAsia" w:cs="Times New Roman" w:eastAsiaTheme="minorEastAsia"/>
                <w:color w:val="auto"/>
                <w:kern w:val="0"/>
                <w:sz w:val="21"/>
                <w:szCs w:val="21"/>
                <w:highlight w:val="none"/>
                <w:lang w:val="en-US" w:eastAsia="zh-CN"/>
              </w:rPr>
              <w:t>67</w:t>
            </w:r>
            <w:r>
              <w:rPr>
                <w:rFonts w:hint="default" w:ascii="Times New Roman" w:hAnsi="Times New Roman" w:cs="Times New Roman" w:eastAsiaTheme="minorEastAsia"/>
                <w:color w:val="auto"/>
                <w:kern w:val="0"/>
                <w:sz w:val="21"/>
                <w:szCs w:val="21"/>
                <w:highlight w:val="none"/>
              </w:rPr>
              <w:t>/5</w:t>
            </w:r>
          </w:p>
        </w:tc>
        <w:tc>
          <w:tcPr>
            <w:tcW w:w="1523" w:type="dxa"/>
            <w:vMerge w:val="continue"/>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p>
        </w:tc>
        <w:tc>
          <w:tcPr>
            <w:tcW w:w="653"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54"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8</w:t>
            </w:r>
          </w:p>
        </w:tc>
        <w:tc>
          <w:tcPr>
            <w:tcW w:w="846"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室外变压器</w:t>
            </w: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94</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4.5（人孔）</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95</w:t>
            </w:r>
            <w:r>
              <w:rPr>
                <w:rFonts w:hint="default" w:ascii="Times New Roman" w:hAnsi="Times New Roman" w:cs="Times New Roman" w:eastAsiaTheme="minorEastAsia"/>
                <w:color w:val="auto"/>
                <w:kern w:val="0"/>
                <w:sz w:val="21"/>
                <w:szCs w:val="21"/>
              </w:rPr>
              <w:t>/3</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100</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5</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100</w:t>
            </w:r>
            <w:r>
              <w:rPr>
                <w:rFonts w:hint="default" w:ascii="Times New Roman" w:hAnsi="Times New Roman" w:cs="Times New Roman" w:eastAsiaTheme="minorEastAsia"/>
                <w:color w:val="auto"/>
                <w:kern w:val="0"/>
                <w:sz w:val="21"/>
                <w:szCs w:val="21"/>
              </w:rPr>
              <w:t>/3</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31</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6</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91</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4.5</w:t>
            </w:r>
          </w:p>
        </w:tc>
        <w:tc>
          <w:tcPr>
            <w:tcW w:w="1523" w:type="dxa"/>
            <w:vMerge w:val="restart"/>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GB50156-2012（2014年版）5.0.8</w:t>
            </w:r>
          </w:p>
        </w:tc>
        <w:tc>
          <w:tcPr>
            <w:tcW w:w="653"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12" w:hRule="atLeast"/>
          <w:jc w:val="center"/>
        </w:trPr>
        <w:tc>
          <w:tcPr>
            <w:tcW w:w="454"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9</w:t>
            </w:r>
          </w:p>
        </w:tc>
        <w:tc>
          <w:tcPr>
            <w:tcW w:w="846"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配电室</w:t>
            </w:r>
          </w:p>
        </w:tc>
        <w:tc>
          <w:tcPr>
            <w:tcW w:w="911"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89</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4.5（人孔）</w:t>
            </w:r>
          </w:p>
        </w:tc>
        <w:tc>
          <w:tcPr>
            <w:tcW w:w="103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87</w:t>
            </w:r>
            <w:r>
              <w:rPr>
                <w:rFonts w:hint="default" w:ascii="Times New Roman" w:hAnsi="Times New Roman" w:cs="Times New Roman" w:eastAsiaTheme="minorEastAsia"/>
                <w:color w:val="auto"/>
                <w:kern w:val="0"/>
                <w:sz w:val="21"/>
                <w:szCs w:val="21"/>
              </w:rPr>
              <w:t>/3</w:t>
            </w:r>
          </w:p>
        </w:tc>
        <w:tc>
          <w:tcPr>
            <w:tcW w:w="88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lang w:eastAsia="zh-CN"/>
              </w:rPr>
            </w:pPr>
            <w:r>
              <w:rPr>
                <w:rFonts w:hint="eastAsia" w:cs="Times New Roman" w:eastAsiaTheme="minorEastAsia"/>
                <w:color w:val="auto"/>
                <w:kern w:val="0"/>
                <w:sz w:val="21"/>
                <w:szCs w:val="21"/>
                <w:lang w:val="en-US" w:eastAsia="zh-CN"/>
              </w:rPr>
              <w:t>93</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5</w:t>
            </w:r>
          </w:p>
        </w:tc>
        <w:tc>
          <w:tcPr>
            <w:tcW w:w="945"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93</w:t>
            </w:r>
            <w:r>
              <w:rPr>
                <w:rFonts w:hint="default" w:ascii="Times New Roman" w:hAnsi="Times New Roman" w:cs="Times New Roman" w:eastAsiaTheme="minorEastAsia"/>
                <w:color w:val="auto"/>
                <w:kern w:val="0"/>
                <w:sz w:val="21"/>
                <w:szCs w:val="21"/>
                <w:lang w:val="en-US" w:eastAsia="zh-CN"/>
              </w:rPr>
              <w:t>/</w:t>
            </w:r>
            <w:r>
              <w:rPr>
                <w:rFonts w:hint="default" w:ascii="Times New Roman" w:hAnsi="Times New Roman" w:cs="Times New Roman" w:eastAsiaTheme="minorEastAsia"/>
                <w:color w:val="auto"/>
                <w:kern w:val="0"/>
                <w:sz w:val="21"/>
                <w:szCs w:val="21"/>
              </w:rPr>
              <w:t>3</w:t>
            </w:r>
          </w:p>
        </w:tc>
        <w:tc>
          <w:tcPr>
            <w:tcW w:w="930"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22</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6</w:t>
            </w:r>
          </w:p>
        </w:tc>
        <w:tc>
          <w:tcPr>
            <w:tcW w:w="1309"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84</w:t>
            </w:r>
            <w:r>
              <w:rPr>
                <w:rFonts w:hint="default" w:ascii="Times New Roman" w:hAnsi="Times New Roman" w:cs="Times New Roman" w:eastAsiaTheme="minorEastAsia"/>
                <w:color w:val="auto"/>
                <w:kern w:val="0"/>
                <w:sz w:val="21"/>
                <w:szCs w:val="21"/>
              </w:rPr>
              <w:t>/</w:t>
            </w:r>
            <w:r>
              <w:rPr>
                <w:rFonts w:hint="eastAsia" w:cs="Times New Roman" w:eastAsiaTheme="minorEastAsia"/>
                <w:color w:val="auto"/>
                <w:kern w:val="0"/>
                <w:sz w:val="21"/>
                <w:szCs w:val="21"/>
                <w:lang w:val="en-US" w:eastAsia="zh-CN"/>
              </w:rPr>
              <w:t>4.5</w:t>
            </w:r>
          </w:p>
        </w:tc>
        <w:tc>
          <w:tcPr>
            <w:tcW w:w="1523" w:type="dxa"/>
            <w:vMerge w:val="continue"/>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p>
        </w:tc>
        <w:tc>
          <w:tcPr>
            <w:tcW w:w="653" w:type="dxa"/>
            <w:vAlign w:val="center"/>
          </w:tcPr>
          <w:p>
            <w:pPr>
              <w:pStyle w:val="44"/>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kern w:val="0"/>
                <w:sz w:val="21"/>
                <w:szCs w:val="21"/>
              </w:rPr>
            </w:pPr>
            <w:r>
              <w:rPr>
                <w:rFonts w:hint="default" w:ascii="Times New Roman" w:hAnsi="Times New Roman" w:cs="Times New Roman" w:eastAsiaTheme="minorEastAsia"/>
                <w:color w:val="auto"/>
                <w:kern w:val="0"/>
                <w:sz w:val="21"/>
                <w:szCs w:val="21"/>
              </w:rPr>
              <w:t>符合</w:t>
            </w:r>
          </w:p>
        </w:tc>
      </w:tr>
    </w:tbl>
    <w:p>
      <w:pPr>
        <w:pageBreakBefore w:val="0"/>
        <w:kinsoku/>
        <w:wordWrap/>
        <w:topLinePunct w:val="0"/>
        <w:bidi w:val="0"/>
        <w:adjustRightInd w:val="0"/>
        <w:snapToGrid w:val="0"/>
        <w:jc w:val="center"/>
        <w:rPr>
          <w:rFonts w:hint="default" w:ascii="Times New Roman" w:hAnsi="Times New Roman" w:cs="Times New Roman" w:eastAsiaTheme="minorEastAsia"/>
          <w:color w:val="auto"/>
          <w:sz w:val="10"/>
          <w:szCs w:val="10"/>
        </w:rPr>
      </w:pPr>
    </w:p>
    <w:p>
      <w:pPr>
        <w:pStyle w:val="38"/>
        <w:pageBreakBefore w:val="0"/>
        <w:numPr>
          <w:ilvl w:val="0"/>
          <w:numId w:val="0"/>
        </w:numPr>
        <w:kinsoku/>
        <w:wordWrap/>
        <w:topLinePunct w:val="0"/>
        <w:bidi w:val="0"/>
        <w:adjustRightInd w:val="0"/>
        <w:snapToGrid w:val="0"/>
        <w:spacing w:line="240" w:lineRule="auto"/>
        <w:jc w:val="both"/>
        <w:outlineLvl w:val="9"/>
        <w:rPr>
          <w:rFonts w:hint="default" w:ascii="Times New Roman" w:hAnsi="Times New Roman" w:cs="Times New Roman" w:eastAsiaTheme="minorEastAsia"/>
          <w:color w:val="auto"/>
          <w:sz w:val="21"/>
          <w:szCs w:val="21"/>
        </w:rPr>
      </w:pPr>
      <w:bookmarkStart w:id="22" w:name="_Toc23778"/>
      <w:bookmarkStart w:id="23" w:name="_Toc22450"/>
      <w:bookmarkStart w:id="24" w:name="_Toc12793"/>
      <w:bookmarkStart w:id="25" w:name="_Toc28958"/>
      <w:bookmarkStart w:id="26" w:name="_Toc31566"/>
      <w:bookmarkStart w:id="27" w:name="_Toc8606"/>
      <w:bookmarkStart w:id="28" w:name="_Toc4494"/>
      <w:r>
        <w:rPr>
          <w:rFonts w:hint="default" w:ascii="Times New Roman" w:hAnsi="Times New Roman" w:cs="Times New Roman" w:eastAsiaTheme="minorEastAsia"/>
          <w:color w:val="auto"/>
          <w:sz w:val="21"/>
          <w:szCs w:val="21"/>
        </w:rPr>
        <w:t>注：</w:t>
      </w:r>
      <w:r>
        <w:rPr>
          <w:rFonts w:hint="default" w:ascii="Times New Roman" w:hAnsi="Times New Roman" w:cs="Times New Roman" w:eastAsiaTheme="minorEastAsia"/>
          <w:bCs w:val="0"/>
          <w:color w:val="auto"/>
          <w:kern w:val="2"/>
          <w:sz w:val="21"/>
          <w:szCs w:val="21"/>
          <w:lang w:val="en-US" w:eastAsia="zh-CN" w:bidi="ar-SA"/>
        </w:rPr>
        <w:t>1.表中“/”前的距离为现场设施之间防火间距，“/”后数字为《汽车加油加气站设计与施工规范（2014年版）》（GB50156-2012）中要求的最小距离。防火间距的起止点为路面边缘、管道中心线、储罐外壁、加油机中心线、设备外绝缘、建筑物外墙轴线、卸油罐车的固定接头。</w:t>
      </w:r>
      <w:bookmarkEnd w:id="22"/>
      <w:bookmarkEnd w:id="23"/>
      <w:bookmarkEnd w:id="24"/>
      <w:bookmarkEnd w:id="25"/>
      <w:bookmarkEnd w:id="26"/>
      <w:bookmarkEnd w:id="27"/>
      <w:bookmarkEnd w:id="28"/>
    </w:p>
    <w:p>
      <w:pPr>
        <w:pStyle w:val="38"/>
        <w:pageBreakBefore w:val="0"/>
        <w:numPr>
          <w:ilvl w:val="0"/>
          <w:numId w:val="0"/>
        </w:numPr>
        <w:kinsoku/>
        <w:wordWrap/>
        <w:topLinePunct w:val="0"/>
        <w:bidi w:val="0"/>
        <w:adjustRightInd w:val="0"/>
        <w:snapToGrid w:val="0"/>
        <w:spacing w:line="240" w:lineRule="auto"/>
        <w:ind w:firstLine="420" w:firstLineChars="200"/>
        <w:jc w:val="both"/>
        <w:outlineLvl w:val="9"/>
        <w:rPr>
          <w:rFonts w:hint="default" w:ascii="Times New Roman" w:hAnsi="Times New Roman" w:cs="Times New Roman" w:eastAsiaTheme="minorEastAsia"/>
          <w:bCs w:val="0"/>
          <w:color w:val="auto"/>
          <w:kern w:val="2"/>
          <w:sz w:val="21"/>
          <w:szCs w:val="21"/>
        </w:rPr>
      </w:pPr>
      <w:bookmarkStart w:id="29" w:name="_Toc28694"/>
      <w:bookmarkStart w:id="30" w:name="_Toc21485"/>
      <w:bookmarkStart w:id="31" w:name="_Toc13640"/>
      <w:bookmarkStart w:id="32" w:name="_Toc32557"/>
      <w:bookmarkStart w:id="33" w:name="_Toc15965"/>
      <w:bookmarkStart w:id="34" w:name="_Toc17029"/>
      <w:bookmarkStart w:id="35" w:name="_Toc27595"/>
      <w:bookmarkStart w:id="36" w:name="_Toc19335"/>
      <w:r>
        <w:rPr>
          <w:rFonts w:hint="default" w:ascii="Times New Roman" w:hAnsi="Times New Roman" w:cs="Times New Roman" w:eastAsiaTheme="minorEastAsia"/>
          <w:bCs w:val="0"/>
          <w:color w:val="auto"/>
          <w:kern w:val="2"/>
          <w:sz w:val="21"/>
          <w:szCs w:val="21"/>
          <w:lang w:val="en-US" w:eastAsia="zh-CN" w:bidi="ar-SA"/>
        </w:rPr>
        <w:t>2.</w:t>
      </w:r>
      <w:r>
        <w:rPr>
          <w:rFonts w:hint="eastAsia" w:ascii="Times New Roman" w:hAnsi="Times New Roman" w:cs="Times New Roman" w:eastAsiaTheme="minorEastAsia"/>
          <w:bCs w:val="0"/>
          <w:color w:val="auto"/>
          <w:kern w:val="2"/>
          <w:sz w:val="21"/>
          <w:szCs w:val="21"/>
          <w:lang w:val="en-US" w:eastAsia="zh-CN" w:bidi="ar-SA"/>
        </w:rPr>
        <w:t>加油站的变配电间或室外变压器布置在爆炸危险区域之外，且与爆炸危险区域边界线的距离不小于3m</w:t>
      </w:r>
      <w:r>
        <w:rPr>
          <w:rFonts w:hint="default" w:ascii="Times New Roman" w:hAnsi="Times New Roman" w:cs="Times New Roman" w:eastAsiaTheme="minorEastAsia"/>
          <w:bCs w:val="0"/>
          <w:color w:val="auto"/>
          <w:kern w:val="2"/>
          <w:sz w:val="21"/>
          <w:szCs w:val="21"/>
          <w:lang w:val="en-US" w:eastAsia="zh-CN" w:bidi="ar-SA"/>
        </w:rPr>
        <w:t>。</w:t>
      </w:r>
      <w:bookmarkEnd w:id="29"/>
      <w:r>
        <w:rPr>
          <w:rFonts w:hint="eastAsia" w:ascii="Times New Roman" w:hAnsi="Times New Roman" w:cs="Times New Roman" w:eastAsiaTheme="minorEastAsia"/>
          <w:bCs w:val="0"/>
          <w:color w:val="auto"/>
          <w:kern w:val="2"/>
          <w:sz w:val="21"/>
          <w:szCs w:val="21"/>
          <w:lang w:val="en-US" w:eastAsia="zh-CN" w:bidi="ar-SA"/>
        </w:rPr>
        <w:t>变配电间的起算点为门窗等洞口。</w:t>
      </w:r>
      <w:bookmarkEnd w:id="30"/>
      <w:bookmarkEnd w:id="31"/>
      <w:bookmarkEnd w:id="32"/>
      <w:bookmarkEnd w:id="33"/>
      <w:bookmarkEnd w:id="34"/>
      <w:bookmarkEnd w:id="35"/>
    </w:p>
    <w:p>
      <w:pPr>
        <w:pStyle w:val="38"/>
        <w:pageBreakBefore w:val="0"/>
        <w:numPr>
          <w:ilvl w:val="0"/>
          <w:numId w:val="0"/>
        </w:numPr>
        <w:kinsoku/>
        <w:wordWrap/>
        <w:topLinePunct w:val="0"/>
        <w:bidi w:val="0"/>
        <w:adjustRightInd w:val="0"/>
        <w:snapToGrid w:val="0"/>
        <w:spacing w:line="240" w:lineRule="auto"/>
        <w:ind w:firstLine="420" w:firstLineChars="200"/>
        <w:jc w:val="both"/>
        <w:outlineLvl w:val="9"/>
        <w:rPr>
          <w:rFonts w:hint="default" w:ascii="Times New Roman" w:hAnsi="Times New Roman" w:cs="Times New Roman" w:eastAsiaTheme="minorEastAsia"/>
          <w:bCs w:val="0"/>
          <w:color w:val="auto"/>
          <w:kern w:val="2"/>
          <w:sz w:val="21"/>
          <w:szCs w:val="21"/>
        </w:rPr>
      </w:pPr>
      <w:bookmarkStart w:id="37" w:name="_Toc25254"/>
      <w:bookmarkStart w:id="38" w:name="_Toc3017"/>
      <w:bookmarkStart w:id="39" w:name="_Toc21377"/>
      <w:bookmarkStart w:id="40" w:name="_Toc32433"/>
      <w:bookmarkStart w:id="41" w:name="_Toc10142"/>
      <w:bookmarkStart w:id="42" w:name="_Toc12568"/>
      <w:bookmarkStart w:id="43" w:name="_Toc6929"/>
      <w:r>
        <w:rPr>
          <w:rFonts w:hint="default" w:ascii="Times New Roman" w:hAnsi="Times New Roman" w:cs="Times New Roman" w:eastAsiaTheme="minorEastAsia"/>
          <w:bCs w:val="0"/>
          <w:color w:val="auto"/>
          <w:kern w:val="2"/>
          <w:sz w:val="21"/>
          <w:szCs w:val="21"/>
          <w:lang w:val="en-US" w:eastAsia="zh-CN" w:bidi="ar-SA"/>
        </w:rPr>
        <w:t>3.表中“--”表示无防火间距要求。</w:t>
      </w:r>
      <w:bookmarkEnd w:id="36"/>
      <w:bookmarkEnd w:id="37"/>
      <w:bookmarkEnd w:id="38"/>
      <w:bookmarkEnd w:id="39"/>
      <w:bookmarkEnd w:id="40"/>
      <w:bookmarkEnd w:id="41"/>
      <w:bookmarkEnd w:id="42"/>
      <w:bookmarkEnd w:id="43"/>
    </w:p>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2.3.3 主要工艺流程</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（1）</w:t>
      </w:r>
      <w:r>
        <w:rPr>
          <w:rFonts w:hint="eastAsia" w:cs="Times New Roman"/>
          <w:color w:val="auto"/>
          <w:szCs w:val="28"/>
          <w:lang w:eastAsia="zh-CN"/>
        </w:rPr>
        <w:t>汽油</w:t>
      </w:r>
      <w:r>
        <w:rPr>
          <w:rFonts w:hint="default" w:ascii="Times New Roman" w:hAnsi="Times New Roman" w:cs="Times New Roman"/>
          <w:color w:val="auto"/>
          <w:szCs w:val="28"/>
        </w:rPr>
        <w:t>工艺流程</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cs="Times New Roman"/>
          <w:color w:val="auto"/>
          <w:szCs w:val="28"/>
          <w:lang w:eastAsia="zh-CN"/>
        </w:rPr>
      </w:pPr>
      <w:r>
        <w:rPr>
          <w:sz w:val="28"/>
        </w:rPr>
        <mc:AlternateContent>
          <mc:Choice Requires="wps">
            <w:drawing>
              <wp:anchor distT="0" distB="0" distL="114300" distR="114300" simplePos="0" relativeHeight="251669504" behindDoc="0" locked="0" layoutInCell="1" allowOverlap="1">
                <wp:simplePos x="0" y="0"/>
                <wp:positionH relativeFrom="column">
                  <wp:posOffset>4800600</wp:posOffset>
                </wp:positionH>
                <wp:positionV relativeFrom="paragraph">
                  <wp:posOffset>344805</wp:posOffset>
                </wp:positionV>
                <wp:extent cx="952500" cy="381000"/>
                <wp:effectExtent l="4445" t="4445" r="14605" b="14605"/>
                <wp:wrapNone/>
                <wp:docPr id="25" name="矩形 25"/>
                <wp:cNvGraphicFramePr/>
                <a:graphic xmlns:a="http://schemas.openxmlformats.org/drawingml/2006/main">
                  <a:graphicData uri="http://schemas.microsoft.com/office/word/2010/wordprocessingShape">
                    <wps:wsp>
                      <wps:cNvSpPr/>
                      <wps:spPr>
                        <a:xfrm>
                          <a:off x="0" y="0"/>
                          <a:ext cx="952500" cy="381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汽油储油罐</w:t>
                            </w:r>
                          </w:p>
                        </w:txbxContent>
                      </wps:txbx>
                      <wps:bodyPr upright="1"/>
                    </wps:wsp>
                  </a:graphicData>
                </a:graphic>
              </wp:anchor>
            </w:drawing>
          </mc:Choice>
          <mc:Fallback>
            <w:pict>
              <v:rect id="_x0000_s1026" o:spid="_x0000_s1026" o:spt="1" style="position:absolute;left:0pt;margin-left:378pt;margin-top:27.15pt;height:30pt;width:75pt;z-index:251669504;mso-width-relative:page;mso-height-relative:page;" fillcolor="#FFFFFF" filled="t" stroked="t" coordsize="21600,21600" o:gfxdata="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GjPf1wAAAAoBAAAPAAAAAAAAAAEAIAAAACIAAABkcnMvZG93bnJl&#10;di54bWxQSwECFAAUAAAACACHTuJAbhFgG/4BAAAqBAAADgAAAAAAAAABACAAAAAmAQAAZHJzL2Uy&#10;b0RvYy54bWxQSwUGAAAAAAYABgBZAQAAlgU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汽油储油罐</w:t>
                      </w:r>
                    </w:p>
                  </w:txbxContent>
                </v:textbox>
              </v:rect>
            </w:pict>
          </mc:Fallback>
        </mc:AlternateContent>
      </w:r>
      <w:r>
        <w:rPr>
          <w:rFonts w:hint="default" w:ascii="Times New Roman" w:hAnsi="Times New Roman" w:cs="Times New Roman"/>
          <w:color w:val="auto"/>
          <w:szCs w:val="28"/>
        </w:rPr>
        <w:t>1）汽油卸油</w:t>
      </w:r>
      <w:r>
        <w:rPr>
          <w:rFonts w:hint="eastAsia" w:cs="Times New Roman"/>
          <w:color w:val="auto"/>
          <w:szCs w:val="28"/>
          <w:lang w:eastAsia="zh-CN"/>
        </w:rPr>
        <w:t>工艺流程简图如下：</w:t>
      </w:r>
    </w:p>
    <w:p>
      <w:pPr>
        <w:pStyle w:val="94"/>
        <w:rPr>
          <w:rFonts w:hint="eastAsia" w:cs="Times New Roman"/>
          <w:color w:val="auto"/>
          <w:szCs w:val="28"/>
          <w:lang w:eastAsia="zh-CN"/>
        </w:rPr>
      </w:pPr>
      <w:r>
        <w:rPr>
          <w:sz w:val="28"/>
        </w:rPr>
        <mc:AlternateContent>
          <mc:Choice Requires="wps">
            <w:drawing>
              <wp:anchor distT="0" distB="0" distL="114300" distR="114300" simplePos="0" relativeHeight="251662336" behindDoc="0" locked="0" layoutInCell="1" allowOverlap="1">
                <wp:simplePos x="0" y="0"/>
                <wp:positionH relativeFrom="column">
                  <wp:posOffset>4552315</wp:posOffset>
                </wp:positionH>
                <wp:positionV relativeFrom="paragraph">
                  <wp:posOffset>189865</wp:posOffset>
                </wp:positionV>
                <wp:extent cx="247650" cy="635"/>
                <wp:effectExtent l="0" t="37465" r="0" b="38100"/>
                <wp:wrapNone/>
                <wp:docPr id="19" name="直接连接符 19"/>
                <wp:cNvGraphicFramePr/>
                <a:graphic xmlns:a="http://schemas.openxmlformats.org/drawingml/2006/main">
                  <a:graphicData uri="http://schemas.microsoft.com/office/word/2010/wordprocessingShape">
                    <wps:wsp>
                      <wps:cNvCnPr/>
                      <wps:spPr>
                        <a:xfrm>
                          <a:off x="0" y="0"/>
                          <a:ext cx="24765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58.45pt;margin-top:14.95pt;height:0.05pt;width:19.5pt;z-index:251662336;mso-width-relative:page;mso-height-relative:page;" filled="f" stroked="t" coordsize="21600,21600" o:gfxdata="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FUV37aAAAACQEAAA8AAAAAAAAAAQAgAAAAIgAAAGRycy9kb3du&#10;cmV2LnhtbFBLAQIUABQAAAAIAIdO4kD0j4fr/QEAAOsDAAAOAAAAAAAAAAEAIAAAACkBAABkcnMv&#10;ZTJvRG9jLnhtbFBLBQYAAAAABgAGAFkBAACYBQ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3923665</wp:posOffset>
                </wp:positionH>
                <wp:positionV relativeFrom="paragraph">
                  <wp:posOffset>18415</wp:posOffset>
                </wp:positionV>
                <wp:extent cx="620395" cy="361950"/>
                <wp:effectExtent l="5080" t="4445" r="22225" b="14605"/>
                <wp:wrapNone/>
                <wp:docPr id="22" name="矩形 22"/>
                <wp:cNvGraphicFramePr/>
                <a:graphic xmlns:a="http://schemas.openxmlformats.org/drawingml/2006/main">
                  <a:graphicData uri="http://schemas.microsoft.com/office/word/2010/wordprocessingShape">
                    <wps:wsp>
                      <wps:cNvSpPr/>
                      <wps:spPr>
                        <a:xfrm>
                          <a:off x="0" y="0"/>
                          <a:ext cx="620395" cy="361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进油管</w:t>
                            </w:r>
                          </w:p>
                        </w:txbxContent>
                      </wps:txbx>
                      <wps:bodyPr upright="1"/>
                    </wps:wsp>
                  </a:graphicData>
                </a:graphic>
              </wp:anchor>
            </w:drawing>
          </mc:Choice>
          <mc:Fallback>
            <w:pict>
              <v:rect id="_x0000_s1026" o:spid="_x0000_s1026" o:spt="1" style="position:absolute;left:0pt;margin-left:308.95pt;margin-top:1.45pt;height:28.5pt;width:48.85pt;z-index:251668480;mso-width-relative:page;mso-height-relative:page;" fillcolor="#FFFFFF" filled="t" stroked="t" coordsize="21600,21600" o:gfxdata="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3dpvDXAAAACAEAAA8AAAAAAAAAAQAgAAAAIgAAAGRycy9k&#10;b3ducmV2LnhtbFBLAQIUABQAAAAIAIdO4kDEib3YAwIAACoEAAAOAAAAAAAAAAEAIAAAACYBAABk&#10;cnMvZTJvRG9jLnhtbFBLBQYAAAAABgAGAFkBAACbBQ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进油管</w:t>
                      </w:r>
                    </w:p>
                  </w:txbxContent>
                </v:textbox>
              </v:rect>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3580765</wp:posOffset>
                </wp:positionH>
                <wp:positionV relativeFrom="paragraph">
                  <wp:posOffset>208915</wp:posOffset>
                </wp:positionV>
                <wp:extent cx="342900" cy="635"/>
                <wp:effectExtent l="0" t="37465" r="0" b="38100"/>
                <wp:wrapNone/>
                <wp:docPr id="20" name="直接连接符 20"/>
                <wp:cNvGraphicFramePr/>
                <a:graphic xmlns:a="http://schemas.openxmlformats.org/drawingml/2006/main">
                  <a:graphicData uri="http://schemas.microsoft.com/office/word/2010/wordprocessingShape">
                    <wps:wsp>
                      <wps:cNvCnPr/>
                      <wps:spPr>
                        <a:xfrm>
                          <a:off x="0" y="0"/>
                          <a:ext cx="3429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81.95pt;margin-top:16.45pt;height:0.05pt;width:27pt;z-index:251667456;mso-width-relative:page;mso-height-relative:page;" filled="f" stroked="t" coordsize="21600,21600" o:gfxdata="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x2hNkAAAAJAQAADwAAAAAAAAABACAAAAAiAAAAZHJzL2Rvd25y&#10;ZXYueG1sUEsBAhQAFAAAAAgAh07iQBEHqv39AQAA6wMAAA4AAAAAAAAAAQAgAAAAKAEAAGRycy9l&#10;Mm9Eb2MueG1sUEsFBgAAAAAGAAYAWQEAAJcFA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2561590</wp:posOffset>
                </wp:positionH>
                <wp:positionV relativeFrom="paragraph">
                  <wp:posOffset>18415</wp:posOffset>
                </wp:positionV>
                <wp:extent cx="1019175" cy="380365"/>
                <wp:effectExtent l="4445" t="4445" r="5080" b="15240"/>
                <wp:wrapNone/>
                <wp:docPr id="24" name="矩形 24"/>
                <wp:cNvGraphicFramePr/>
                <a:graphic xmlns:a="http://schemas.openxmlformats.org/drawingml/2006/main">
                  <a:graphicData uri="http://schemas.microsoft.com/office/word/2010/wordprocessingShape">
                    <wps:wsp>
                      <wps:cNvSpPr/>
                      <wps:spPr>
                        <a:xfrm>
                          <a:off x="0" y="0"/>
                          <a:ext cx="1019175" cy="3803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卸油连通软管</w:t>
                            </w:r>
                          </w:p>
                        </w:txbxContent>
                      </wps:txbx>
                      <wps:bodyPr upright="1"/>
                    </wps:wsp>
                  </a:graphicData>
                </a:graphic>
              </wp:anchor>
            </w:drawing>
          </mc:Choice>
          <mc:Fallback>
            <w:pict>
              <v:rect id="_x0000_s1026" o:spid="_x0000_s1026" o:spt="1" style="position:absolute;left:0pt;margin-left:201.7pt;margin-top:1.45pt;height:29.95pt;width:80.25pt;z-index:251666432;mso-width-relative:page;mso-height-relative:page;" fillcolor="#FFFFFF" filled="t" stroked="t" coordsize="21600,21600" o:gfxdata="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594NDYAAAACAEAAA8AAAAAAAAAAQAgAAAAIgAAAGRycy9k&#10;b3ducmV2LnhtbFBLAQIUABQAAAAIAIdO4kBpdt7+AgIAACsEAAAOAAAAAAAAAAEAIAAAACcBAABk&#10;cnMvZTJvRG9jLnhtbFBLBQYAAAAABgAGAFkBAACbBQ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卸油连通软管</w:t>
                      </w:r>
                    </w:p>
                  </w:txbxContent>
                </v:textbox>
              </v:rect>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2218690</wp:posOffset>
                </wp:positionH>
                <wp:positionV relativeFrom="paragraph">
                  <wp:posOffset>200025</wp:posOffset>
                </wp:positionV>
                <wp:extent cx="342900" cy="8890"/>
                <wp:effectExtent l="0" t="36195" r="0" b="31115"/>
                <wp:wrapNone/>
                <wp:docPr id="23" name="直接连接符 23"/>
                <wp:cNvGraphicFramePr/>
                <a:graphic xmlns:a="http://schemas.openxmlformats.org/drawingml/2006/main">
                  <a:graphicData uri="http://schemas.microsoft.com/office/word/2010/wordprocessingShape">
                    <wps:wsp>
                      <wps:cNvCnPr/>
                      <wps:spPr>
                        <a:xfrm flipV="1">
                          <a:off x="0" y="0"/>
                          <a:ext cx="342900" cy="88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74.7pt;margin-top:15.75pt;height:0.7pt;width:27pt;z-index:251665408;mso-width-relative:page;mso-height-relative:page;" filled="f" stroked="t" coordsize="21600,21600" o:gfxdata="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6VIDLdkAAAAJAQAADwAAAAAAAAABACAAAAAi&#10;AAAAZHJzL2Rvd25yZXYueG1sUEsBAhQAFAAAAAgAh07iQCkAna0JAgAA9gMAAA4AAAAAAAAAAQAg&#10;AAAAKAEAAGRycy9lMm9Eb2MueG1sUEsFBgAAAAAGAAYAWQEAAKMFA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column">
                  <wp:posOffset>1304290</wp:posOffset>
                </wp:positionH>
                <wp:positionV relativeFrom="paragraph">
                  <wp:posOffset>27940</wp:posOffset>
                </wp:positionV>
                <wp:extent cx="906145" cy="371475"/>
                <wp:effectExtent l="4445" t="4445" r="22860" b="5080"/>
                <wp:wrapNone/>
                <wp:docPr id="26" name="矩形 26"/>
                <wp:cNvGraphicFramePr/>
                <a:graphic xmlns:a="http://schemas.openxmlformats.org/drawingml/2006/main">
                  <a:graphicData uri="http://schemas.microsoft.com/office/word/2010/wordprocessingShape">
                    <wps:wsp>
                      <wps:cNvSpPr/>
                      <wps:spPr>
                        <a:xfrm>
                          <a:off x="0" y="0"/>
                          <a:ext cx="906145" cy="3714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卸油管接口</w:t>
                            </w:r>
                          </w:p>
                        </w:txbxContent>
                      </wps:txbx>
                      <wps:bodyPr upright="1"/>
                    </wps:wsp>
                  </a:graphicData>
                </a:graphic>
              </wp:anchor>
            </w:drawing>
          </mc:Choice>
          <mc:Fallback>
            <w:pict>
              <v:rect id="_x0000_s1026" o:spid="_x0000_s1026" o:spt="1" style="position:absolute;left:0pt;margin-left:102.7pt;margin-top:2.2pt;height:29.25pt;width:71.35pt;z-index:251664384;mso-width-relative:page;mso-height-relative:page;" fillcolor="#FFFFFF" filled="t" stroked="t" coordsize="21600,21600" o:gfxdata="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AscrL2AAAAAgBAAAPAAAAAAAAAAEAIAAAACIAAABkcnMvZG93&#10;bnJldi54bWxQSwECFAAUAAAACACHTuJAn1OmpwACAAAqBAAADgAAAAAAAAABACAAAAAnAQAAZHJz&#10;L2Uyb0RvYy54bWxQSwUGAAAAAAYABgBZAQAAmQU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卸油管接口</w:t>
                      </w:r>
                    </w:p>
                  </w:txbxContent>
                </v:textbox>
              </v:rect>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981075</wp:posOffset>
                </wp:positionH>
                <wp:positionV relativeFrom="paragraph">
                  <wp:posOffset>227965</wp:posOffset>
                </wp:positionV>
                <wp:extent cx="313690" cy="635"/>
                <wp:effectExtent l="0" t="37465" r="10160" b="38100"/>
                <wp:wrapNone/>
                <wp:docPr id="21" name="直接连接符 21"/>
                <wp:cNvGraphicFramePr/>
                <a:graphic xmlns:a="http://schemas.openxmlformats.org/drawingml/2006/main">
                  <a:graphicData uri="http://schemas.microsoft.com/office/word/2010/wordprocessingShape">
                    <wps:wsp>
                      <wps:cNvCnPr/>
                      <wps:spPr>
                        <a:xfrm>
                          <a:off x="0" y="0"/>
                          <a:ext cx="31369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7.25pt;margin-top:17.95pt;height:0.05pt;width:24.7pt;z-index:251663360;mso-width-relative:page;mso-height-relative:page;" filled="f" stroked="t" coordsize="21600,21600" o:gfxdata="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MsIP2QAAAAkBAAAPAAAAAAAAAAEAIAAAACIAAABkcnMvZG93bnJl&#10;di54bWxQSwECFAAUAAAACACHTuJAvs2i1fwBAADrAwAADgAAAAAAAAABACAAAAAoAQAAZHJzL2Uy&#10;b0RvYy54bWxQSwUGAAAAAAYABgBZAQAAlgU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237490</wp:posOffset>
                </wp:positionH>
                <wp:positionV relativeFrom="paragraph">
                  <wp:posOffset>27940</wp:posOffset>
                </wp:positionV>
                <wp:extent cx="734060" cy="371475"/>
                <wp:effectExtent l="4445" t="4445" r="23495" b="5080"/>
                <wp:wrapNone/>
                <wp:docPr id="18" name="矩形 18"/>
                <wp:cNvGraphicFramePr/>
                <a:graphic xmlns:a="http://schemas.openxmlformats.org/drawingml/2006/main">
                  <a:graphicData uri="http://schemas.microsoft.com/office/word/2010/wordprocessingShape">
                    <wps:wsp>
                      <wps:cNvSpPr/>
                      <wps:spPr>
                        <a:xfrm>
                          <a:off x="0" y="0"/>
                          <a:ext cx="734060" cy="3714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汽油罐车</w:t>
                            </w:r>
                          </w:p>
                        </w:txbxContent>
                      </wps:txbx>
                      <wps:bodyPr upright="1"/>
                    </wps:wsp>
                  </a:graphicData>
                </a:graphic>
              </wp:anchor>
            </w:drawing>
          </mc:Choice>
          <mc:Fallback>
            <w:pict>
              <v:rect id="_x0000_s1026" o:spid="_x0000_s1026" o:spt="1" style="position:absolute;left:0pt;margin-left:18.7pt;margin-top:2.2pt;height:29.25pt;width:57.8pt;z-index:251662336;mso-width-relative:page;mso-height-relative:page;" fillcolor="#FFFFFF" filled="t" stroked="t" coordsize="21600,21600" o:gfxdata="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mxOSXWAAAABwEAAA8AAAAAAAAAAQAgAAAAIgAAAGRycy9kb3du&#10;cmV2LnhtbFBLAQIUABQAAAAIAIdO4kAOEFV0AQIAACoEAAAOAAAAAAAAAAEAIAAAACUBAABkcnMv&#10;ZTJvRG9jLnhtbFBLBQYAAAAABgAGAFkBAACYBQ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汽油罐车</w:t>
                      </w:r>
                    </w:p>
                  </w:txbxContent>
                </v:textbox>
              </v:rect>
            </w:pict>
          </mc:Fallback>
        </mc:AlternateContent>
      </w:r>
    </w:p>
    <w:p>
      <w:pPr>
        <w:pStyle w:val="94"/>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s="Times New Roman"/>
          <w:color w:val="auto"/>
          <w:szCs w:val="28"/>
          <w:lang w:eastAsia="zh-CN"/>
        </w:rPr>
      </w:pPr>
    </w:p>
    <w:p>
      <w:pPr>
        <w:pStyle w:val="94"/>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0"/>
          <w:kern w:val="2"/>
          <w:sz w:val="28"/>
          <w:szCs w:val="28"/>
          <w:lang w:val="en-US" w:eastAsia="zh-CN" w:bidi="ar-SA"/>
        </w:rPr>
      </w:pPr>
      <w:r>
        <w:rPr>
          <w:rFonts w:hint="eastAsia" w:eastAsia="宋体" w:cs="Times New Roman"/>
          <w:b w:val="0"/>
          <w:snapToGrid/>
          <w:color w:val="auto"/>
          <w:spacing w:val="0"/>
          <w:kern w:val="2"/>
          <w:sz w:val="28"/>
          <w:szCs w:val="28"/>
          <w:lang w:val="en-US" w:eastAsia="zh-CN" w:bidi="ar-SA"/>
        </w:rPr>
        <w:t>2）汽油</w:t>
      </w:r>
      <w:r>
        <w:rPr>
          <w:rFonts w:hint="eastAsia" w:ascii="Times New Roman" w:hAnsi="Times New Roman" w:eastAsia="宋体" w:cs="Times New Roman"/>
          <w:b w:val="0"/>
          <w:snapToGrid/>
          <w:color w:val="auto"/>
          <w:spacing w:val="0"/>
          <w:kern w:val="2"/>
          <w:sz w:val="28"/>
          <w:szCs w:val="28"/>
          <w:lang w:val="en-US" w:eastAsia="zh-CN" w:bidi="ar-SA"/>
        </w:rPr>
        <w:t>卸油</w:t>
      </w:r>
      <w:r>
        <w:rPr>
          <w:rFonts w:hint="eastAsia" w:eastAsia="宋体" w:cs="Times New Roman"/>
          <w:b w:val="0"/>
          <w:snapToGrid/>
          <w:color w:val="auto"/>
          <w:spacing w:val="0"/>
          <w:kern w:val="2"/>
          <w:sz w:val="28"/>
          <w:szCs w:val="28"/>
          <w:lang w:val="en-US" w:eastAsia="zh-CN" w:bidi="ar-SA"/>
        </w:rPr>
        <w:t>工艺流程</w:t>
      </w:r>
    </w:p>
    <w:p>
      <w:pPr>
        <w:pStyle w:val="27"/>
        <w:keepNext w:val="0"/>
        <w:keepLines w:val="0"/>
        <w:pageBreakBefore w:val="0"/>
        <w:widowControl/>
        <w:kinsoku/>
        <w:wordWrap/>
        <w:overflowPunct/>
        <w:topLinePunct w:val="0"/>
        <w:autoSpaceDE/>
        <w:autoSpaceDN/>
        <w:bidi w:val="0"/>
        <w:adjustRightInd w:val="0"/>
        <w:snapToGrid w:val="0"/>
        <w:spacing w:after="0" w:line="360" w:lineRule="auto"/>
        <w:ind w:left="0" w:leftChars="0" w:firstLine="600" w:firstLineChars="200"/>
        <w:jc w:val="both"/>
        <w:textAlignment w:val="auto"/>
        <w:rPr>
          <w:rFonts w:hint="default" w:ascii="Times New Roman" w:hAnsi="Times New Roman" w:cs="Times New Roman"/>
          <w:color w:val="auto"/>
          <w:spacing w:val="10"/>
          <w:sz w:val="28"/>
          <w:szCs w:val="28"/>
        </w:rPr>
      </w:pPr>
      <w:r>
        <w:rPr>
          <w:rFonts w:hint="eastAsia" w:ascii="Times New Roman" w:hAnsi="Times New Roman" w:cs="Times New Roman"/>
          <w:color w:val="auto"/>
          <w:spacing w:val="10"/>
          <w:sz w:val="28"/>
          <w:szCs w:val="28"/>
          <w:lang w:val="en-US" w:eastAsia="zh-CN"/>
        </w:rPr>
        <w:t>该加油中心</w:t>
      </w:r>
      <w:r>
        <w:rPr>
          <w:rFonts w:hint="default" w:ascii="Times New Roman" w:hAnsi="Times New Roman" w:cs="Times New Roman"/>
          <w:color w:val="auto"/>
          <w:spacing w:val="10"/>
          <w:sz w:val="28"/>
          <w:szCs w:val="28"/>
        </w:rPr>
        <w:t>采用油罐车经连通软管与油罐卸油孔连通卸油的方式卸油，利用位差使油品自流至油罐。</w:t>
      </w:r>
    </w:p>
    <w:p>
      <w:pPr>
        <w:pStyle w:val="94"/>
        <w:keepNext w:val="0"/>
        <w:keepLines w:val="0"/>
        <w:pageBreakBefore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10"/>
          <w:kern w:val="2"/>
          <w:sz w:val="28"/>
          <w:szCs w:val="28"/>
          <w:lang w:val="en-US" w:eastAsia="zh-CN" w:bidi="ar-SA"/>
        </w:rPr>
      </w:pPr>
      <w:r>
        <w:rPr>
          <w:rFonts w:hint="default" w:ascii="Times New Roman" w:hAnsi="Times New Roman" w:eastAsia="宋体" w:cs="Times New Roman"/>
          <w:b w:val="0"/>
          <w:snapToGrid/>
          <w:color w:val="auto"/>
          <w:spacing w:val="10"/>
          <w:kern w:val="2"/>
          <w:sz w:val="28"/>
          <w:szCs w:val="28"/>
          <w:lang w:val="en-US" w:eastAsia="zh-CN" w:bidi="ar-SA"/>
        </w:rPr>
        <w:t>装载汽油的油槽车到达加油站罐区后，停稳熄火，卸油工检查接地装置是否良好，消防器材是否到位。连通静电接地装置导出静电，静置15min后，用快速接头把油罐车的卸油管与储油罐的卸油口连接。（汽油卸油时：汽油油罐的卸油油气回收气相接口与汽油油罐车的气相口连接。连通好后进行卸油作业，汽油油气经回收管线回收至汽油油罐车。）同时使用带高</w:t>
      </w:r>
      <w:r>
        <w:rPr>
          <w:rFonts w:hint="eastAsia" w:eastAsia="宋体" w:cs="Times New Roman"/>
          <w:b w:val="0"/>
          <w:snapToGrid/>
          <w:color w:val="auto"/>
          <w:spacing w:val="10"/>
          <w:kern w:val="2"/>
          <w:sz w:val="28"/>
          <w:szCs w:val="28"/>
          <w:lang w:val="en-US" w:eastAsia="zh-CN" w:bidi="ar-SA"/>
        </w:rPr>
        <w:t>低</w:t>
      </w:r>
      <w:r>
        <w:rPr>
          <w:rFonts w:hint="default" w:ascii="Times New Roman" w:hAnsi="Times New Roman" w:eastAsia="宋体" w:cs="Times New Roman"/>
          <w:b w:val="0"/>
          <w:snapToGrid/>
          <w:color w:val="auto"/>
          <w:spacing w:val="10"/>
          <w:kern w:val="2"/>
          <w:sz w:val="28"/>
          <w:szCs w:val="28"/>
          <w:lang w:val="en-US" w:eastAsia="zh-CN" w:bidi="ar-SA"/>
        </w:rPr>
        <w:t>液位报警功能的液位计计量储油罐中的储油量，以防卸油时发生冒油事故。</w:t>
      </w:r>
    </w:p>
    <w:p>
      <w:pPr>
        <w:pStyle w:val="94"/>
        <w:keepNext w:val="0"/>
        <w:keepLines w:val="0"/>
        <w:pageBreakBefore w:val="0"/>
        <w:kinsoku/>
        <w:wordWrap/>
        <w:overflowPunct/>
        <w:topLinePunct w:val="0"/>
        <w:autoSpaceDE/>
        <w:autoSpaceDN/>
        <w:bidi w:val="0"/>
        <w:adjustRightInd w:val="0"/>
        <w:snapToGrid w:val="0"/>
        <w:spacing w:line="360" w:lineRule="auto"/>
        <w:ind w:left="0" w:leftChars="0"/>
        <w:jc w:val="both"/>
        <w:textAlignment w:val="auto"/>
        <w:rPr>
          <w:rFonts w:hint="default" w:ascii="Times New Roman" w:hAnsi="Times New Roman" w:eastAsia="宋体" w:cs="Times New Roman"/>
          <w:b w:val="0"/>
          <w:snapToGrid/>
          <w:color w:val="auto"/>
          <w:spacing w:val="10"/>
          <w:kern w:val="2"/>
          <w:sz w:val="28"/>
          <w:szCs w:val="28"/>
          <w:lang w:val="en-US" w:eastAsia="zh-CN" w:bidi="ar-SA"/>
        </w:rPr>
      </w:pPr>
      <w:r>
        <w:rPr>
          <w:rFonts w:hint="eastAsia" w:ascii="Times New Roman" w:hAnsi="Times New Roman" w:eastAsia="宋体" w:cs="Times New Roman"/>
          <w:b w:val="0"/>
          <w:snapToGrid/>
          <w:color w:val="auto"/>
          <w:spacing w:val="10"/>
          <w:kern w:val="2"/>
          <w:sz w:val="28"/>
          <w:szCs w:val="28"/>
          <w:lang w:val="en-US" w:eastAsia="zh-CN" w:bidi="ar-SA"/>
        </w:rPr>
        <w:t>3）</w:t>
      </w:r>
      <w:r>
        <w:rPr>
          <w:rFonts w:hint="default" w:ascii="Times New Roman" w:hAnsi="Times New Roman" w:eastAsia="宋体" w:cs="Times New Roman"/>
          <w:b w:val="0"/>
          <w:snapToGrid/>
          <w:color w:val="auto"/>
          <w:spacing w:val="10"/>
          <w:kern w:val="2"/>
          <w:sz w:val="28"/>
          <w:szCs w:val="28"/>
          <w:lang w:val="en-US" w:eastAsia="zh-CN" w:bidi="ar-SA"/>
        </w:rPr>
        <w:t>汽油</w:t>
      </w:r>
      <w:r>
        <w:rPr>
          <w:rFonts w:hint="eastAsia" w:eastAsia="宋体" w:cs="Times New Roman"/>
          <w:b w:val="0"/>
          <w:snapToGrid/>
          <w:color w:val="auto"/>
          <w:spacing w:val="10"/>
          <w:kern w:val="2"/>
          <w:sz w:val="28"/>
          <w:szCs w:val="28"/>
          <w:lang w:val="en-US" w:eastAsia="zh-CN" w:bidi="ar-SA"/>
        </w:rPr>
        <w:t>加</w:t>
      </w:r>
      <w:r>
        <w:rPr>
          <w:rFonts w:hint="default" w:ascii="Times New Roman" w:hAnsi="Times New Roman" w:eastAsia="宋体" w:cs="Times New Roman"/>
          <w:b w:val="0"/>
          <w:snapToGrid/>
          <w:color w:val="auto"/>
          <w:spacing w:val="10"/>
          <w:kern w:val="2"/>
          <w:sz w:val="28"/>
          <w:szCs w:val="28"/>
          <w:lang w:val="en-US" w:eastAsia="zh-CN" w:bidi="ar-SA"/>
        </w:rPr>
        <w:t>油</w:t>
      </w:r>
      <w:r>
        <w:rPr>
          <w:rFonts w:hint="eastAsia" w:ascii="Times New Roman" w:hAnsi="Times New Roman" w:eastAsia="宋体" w:cs="Times New Roman"/>
          <w:b w:val="0"/>
          <w:snapToGrid/>
          <w:color w:val="auto"/>
          <w:spacing w:val="10"/>
          <w:kern w:val="2"/>
          <w:sz w:val="28"/>
          <w:szCs w:val="28"/>
          <w:lang w:val="en-US" w:eastAsia="zh-CN" w:bidi="ar-SA"/>
        </w:rPr>
        <w:t>工艺流程简图如下：</w:t>
      </w:r>
    </w:p>
    <w:p>
      <w:pPr>
        <w:pStyle w:val="86"/>
      </w:pPr>
      <w:r>
        <mc:AlternateContent>
          <mc:Choice Requires="wps">
            <w:drawing>
              <wp:anchor distT="0" distB="0" distL="114300" distR="114300" simplePos="0" relativeHeight="251678720" behindDoc="0" locked="0" layoutInCell="1" allowOverlap="1">
                <wp:simplePos x="0" y="0"/>
                <wp:positionH relativeFrom="column">
                  <wp:posOffset>4041775</wp:posOffset>
                </wp:positionH>
                <wp:positionV relativeFrom="paragraph">
                  <wp:posOffset>323215</wp:posOffset>
                </wp:positionV>
                <wp:extent cx="389255" cy="0"/>
                <wp:effectExtent l="0" t="38100" r="10795" b="38100"/>
                <wp:wrapNone/>
                <wp:docPr id="17" name="直接箭头连接符 17"/>
                <wp:cNvGraphicFramePr/>
                <a:graphic xmlns:a="http://schemas.openxmlformats.org/drawingml/2006/main">
                  <a:graphicData uri="http://schemas.microsoft.com/office/word/2010/wordprocessingShape">
                    <wps:wsp>
                      <wps:cNvCnPr>
                        <a:cxnSpLocks noChangeShapeType="1"/>
                      </wps:cNvCnPr>
                      <wps:spPr bwMode="auto">
                        <a:xfrm>
                          <a:off x="0" y="0"/>
                          <a:ext cx="389255" cy="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318.25pt;margin-top:25.45pt;height:0pt;width:30.65pt;z-index:251678720;mso-width-relative:page;mso-height-relative:page;" filled="f" stroked="t" coordsize="21600,21600" o:gfxdata="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T7fs3YAAAACQEAAA8AAAAA&#10;AAAAAQAgAAAAIgAAAGRycy9kb3ducmV2LnhtbFBLAQIUABQAAAAIAIdO4kB/3wZQFAIAAPsDAAAO&#10;AAAAAAAAAAEAIAAAACcBAABkcnMvZTJvRG9jLnhtbFBLBQYAAAAABgAGAFkBAACt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3063875</wp:posOffset>
                </wp:positionH>
                <wp:positionV relativeFrom="paragraph">
                  <wp:posOffset>323215</wp:posOffset>
                </wp:positionV>
                <wp:extent cx="389255" cy="0"/>
                <wp:effectExtent l="0" t="38100" r="10795" b="38100"/>
                <wp:wrapNone/>
                <wp:docPr id="16" name="直接箭头连接符 16"/>
                <wp:cNvGraphicFramePr/>
                <a:graphic xmlns:a="http://schemas.openxmlformats.org/drawingml/2006/main">
                  <a:graphicData uri="http://schemas.microsoft.com/office/word/2010/wordprocessingShape">
                    <wps:wsp>
                      <wps:cNvCnPr>
                        <a:cxnSpLocks noChangeShapeType="1"/>
                      </wps:cNvCnPr>
                      <wps:spPr bwMode="auto">
                        <a:xfrm>
                          <a:off x="0" y="0"/>
                          <a:ext cx="389255" cy="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241.25pt;margin-top:25.45pt;height:0pt;width:30.65pt;z-index:251675648;mso-width-relative:page;mso-height-relative:page;" filled="f" stroked="t" coordsize="21600,21600" o:gfxdata="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ZlXDs2QAAAAkBAAAPAAAA&#10;AAAAAAEAIAAAACIAAABkcnMvZG93bnJldi54bWxQSwECFAAUAAAACACHTuJAyyjQphQCAAD7AwAA&#10;DgAAAAAAAAABACAAAAAoAQAAZHJzL2Uyb0RvYy54bWxQSwUGAAAAAAYABgBZAQAAr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2073275</wp:posOffset>
                </wp:positionH>
                <wp:positionV relativeFrom="paragraph">
                  <wp:posOffset>323215</wp:posOffset>
                </wp:positionV>
                <wp:extent cx="389255" cy="0"/>
                <wp:effectExtent l="0" t="38100" r="10795" b="38100"/>
                <wp:wrapNone/>
                <wp:docPr id="15" name="直接箭头连接符 15"/>
                <wp:cNvGraphicFramePr/>
                <a:graphic xmlns:a="http://schemas.openxmlformats.org/drawingml/2006/main">
                  <a:graphicData uri="http://schemas.microsoft.com/office/word/2010/wordprocessingShape">
                    <wps:wsp>
                      <wps:cNvCnPr>
                        <a:cxnSpLocks noChangeShapeType="1"/>
                      </wps:cNvCnPr>
                      <wps:spPr bwMode="auto">
                        <a:xfrm>
                          <a:off x="0" y="0"/>
                          <a:ext cx="389255" cy="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163.25pt;margin-top:25.45pt;height:0pt;width:30.65pt;z-index:251674624;mso-width-relative:page;mso-height-relative:page;" filled="f" stroked="t" coordsize="21600,21600" o:gfxdata="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v2vwvZAAAACQEAAA8AAAAA&#10;AAAAAQAgAAAAIgAAAGRycy9kb3ducmV2LnhtbFBLAQIUABQAAAAIAIdO4kBWNtpmEwIAAPsDAAAO&#10;AAAAAAAAAAEAIAAAACgBAABkcnMvZTJvRG9jLnhtbFBLBQYAAAAABgAGAFkBAACt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1074420</wp:posOffset>
                </wp:positionH>
                <wp:positionV relativeFrom="paragraph">
                  <wp:posOffset>323215</wp:posOffset>
                </wp:positionV>
                <wp:extent cx="389255" cy="0"/>
                <wp:effectExtent l="0" t="38100" r="10795" b="38100"/>
                <wp:wrapNone/>
                <wp:docPr id="14" name="直接箭头连接符 14"/>
                <wp:cNvGraphicFramePr/>
                <a:graphic xmlns:a="http://schemas.openxmlformats.org/drawingml/2006/main">
                  <a:graphicData uri="http://schemas.microsoft.com/office/word/2010/wordprocessingShape">
                    <wps:wsp>
                      <wps:cNvCnPr>
                        <a:cxnSpLocks noChangeShapeType="1"/>
                      </wps:cNvCnPr>
                      <wps:spPr bwMode="auto">
                        <a:xfrm>
                          <a:off x="0" y="0"/>
                          <a:ext cx="389255" cy="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84.6pt;margin-top:25.45pt;height:0pt;width:30.65pt;z-index:251671552;mso-width-relative:page;mso-height-relative:page;" filled="f" stroked="t" coordsize="21600,21600" o:gfxdata="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6L3WFdcAAAAJAQAADwAAAAAA&#10;AAABACAAAAAiAAAAZHJzL2Rvd25yZXYueG1sUEsBAhQAFAAAAAgAh07iQOLBDJAUAgAA+wMAAA4A&#10;AAAAAAAAAQAgAAAAJgEAAGRycy9lMm9Eb2MueG1sUEsFBgAAAAAGAAYAWQEAAKw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4454525</wp:posOffset>
                </wp:positionH>
                <wp:positionV relativeFrom="paragraph">
                  <wp:posOffset>128905</wp:posOffset>
                </wp:positionV>
                <wp:extent cx="593725" cy="353695"/>
                <wp:effectExtent l="4445" t="5080" r="11430" b="22225"/>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rPr>
                              <w:t>车辆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0.75pt;margin-top:10.15pt;height:27.85pt;width:46.75pt;z-index:251677696;mso-width-relative:page;mso-height-relative:page;" fillcolor="#FFFFFF" filled="t" stroked="t" coordsize="21600,21600" o:gfxdata="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RHPT42AAAAAkBAAAPAAAAAAAAAAEAIAAA&#10;ACIAAABkcnMvZG93bnJldi54bWxQSwECFAAUAAAACACHTuJAqEGFKkUCAACWBAAADgAAAAAAAAAB&#10;ACAAAAAnAQAAZHJzL2Uyb0RvYy54bWxQSwUGAAAAAAYABgBZAQAA3gU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rPr>
                        <w:t>车辆</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3448050</wp:posOffset>
                </wp:positionH>
                <wp:positionV relativeFrom="paragraph">
                  <wp:posOffset>128905</wp:posOffset>
                </wp:positionV>
                <wp:extent cx="593725" cy="353695"/>
                <wp:effectExtent l="4445" t="5080" r="11430" b="22225"/>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rPr>
                              <w:t>加油枪</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1.5pt;margin-top:10.15pt;height:27.85pt;width:46.75pt;z-index:251676672;mso-width-relative:page;mso-height-relative:page;" fillcolor="#FFFFFF" filled="t" stroked="t" coordsize="21600,21600" o:gfxdata="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QOJEnZAAAACQEAAA8AAAAAAAAAAQAg&#10;AAAAIgAAAGRycy9kb3ducmV2LnhtbFBLAQIUABQAAAAIAIdO4kA8ByNKRgIAAJYEAAAOAAAAAAAA&#10;AAEAIAAAACgBAABkcnMvZTJvRG9jLnhtbFBLBQYAAAAABgAGAFkBAADgBQ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rPr>
                        <w:t>加油枪</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2462530</wp:posOffset>
                </wp:positionH>
                <wp:positionV relativeFrom="paragraph">
                  <wp:posOffset>128905</wp:posOffset>
                </wp:positionV>
                <wp:extent cx="593725" cy="353695"/>
                <wp:effectExtent l="4445" t="5080" r="11430" b="22225"/>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rPr>
                              <w:t>加油机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93.9pt;margin-top:10.15pt;height:27.85pt;width:46.75pt;z-index:251673600;mso-width-relative:page;mso-height-relative:page;" fillcolor="#FFFFFF" filled="t" stroked="t" coordsize="21600,21600" o:gfxdata="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QjBCvZAAAACQEAAA8AAAAAAAAAAQAg&#10;AAAAIgAAAGRycy9kb3ducmV2LnhtbFBLAQIUABQAAAAIAIdO4kCAzMnrRgIAAJYEAAAOAAAAAAAA&#10;AAEAIAAAACgBAABkcnMvZTJvRG9jLnhtbFBLBQYAAAAABgAGAFkBAADgBQ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rPr>
                        <w:t>加油机</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1466215</wp:posOffset>
                </wp:positionH>
                <wp:positionV relativeFrom="paragraph">
                  <wp:posOffset>128905</wp:posOffset>
                </wp:positionV>
                <wp:extent cx="593725" cy="353695"/>
                <wp:effectExtent l="4445" t="5080" r="11430" b="22225"/>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lang w:eastAsia="zh-CN"/>
                              </w:rPr>
                              <w:t>潜油</w:t>
                            </w:r>
                            <w:r>
                              <w:rPr>
                                <w:rFonts w:hint="eastAsia"/>
                                <w:sz w:val="21"/>
                                <w:szCs w:val="21"/>
                              </w:rPr>
                              <w:t>泵</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5.45pt;margin-top:10.15pt;height:27.85pt;width:46.75pt;z-index:251672576;mso-width-relative:page;mso-height-relative:page;" fillcolor="#FFFFFF" filled="t" stroked="t" coordsize="21600,21600" o:gfxdata="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co53TZAAAACQEAAA8AAAAAAAAAAQAg&#10;AAAAIgAAAGRycy9kb3ducmV2LnhtbFBLAQIUABQAAAAIAIdO4kAUim+LRgIAAJYEAAAOAAAAAAAA&#10;AAEAIAAAACgBAABkcnMvZTJvRG9jLnhtbFBLBQYAAAAABgAGAFkBAADgBQ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lang w:eastAsia="zh-CN"/>
                        </w:rPr>
                        <w:t>潜油</w:t>
                      </w:r>
                      <w:r>
                        <w:rPr>
                          <w:rFonts w:hint="eastAsia"/>
                          <w:sz w:val="21"/>
                          <w:szCs w:val="21"/>
                        </w:rPr>
                        <w:t>泵</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461645</wp:posOffset>
                </wp:positionH>
                <wp:positionV relativeFrom="paragraph">
                  <wp:posOffset>128905</wp:posOffset>
                </wp:positionV>
                <wp:extent cx="593725" cy="353695"/>
                <wp:effectExtent l="4445" t="5080" r="11430" b="22225"/>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rPr>
                              <w:t>储油罐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35pt;margin-top:10.15pt;height:27.85pt;width:46.75pt;z-index:251670528;mso-width-relative:page;mso-height-relative:page;" fillcolor="#FFFFFF" filled="t" stroked="t" coordsize="21600,21600" o:gfxdata="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p2bxKtYAAAAIAQAADwAAAAAAAAABACAAAAAi&#10;AAAAZHJzL2Rvd25yZXYueG1sUEsBAhQAFAAAAAgAh07iQJZYdTNFAgAAlAQAAA4AAAAAAAAAAQAg&#10;AAAAJQEAAGRycy9lMm9Eb2MueG1sUEsFBgAAAAAGAAYAWQEAANwFA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rPr>
                        <w:t>储油罐</w:t>
                      </w:r>
                    </w:p>
                  </w:txbxContent>
                </v:textbox>
              </v:shape>
            </w:pict>
          </mc:Fallback>
        </mc:AlternateContent>
      </w:r>
    </w:p>
    <w:p>
      <w:pPr>
        <w:pStyle w:val="94"/>
        <w:rPr>
          <w:rFonts w:hint="eastAsia" w:cs="Times New Roman"/>
          <w:color w:val="auto"/>
          <w:szCs w:val="28"/>
          <w:lang w:eastAsia="zh-CN"/>
        </w:rPr>
      </w:pPr>
    </w:p>
    <w:p>
      <w:pPr>
        <w:pStyle w:val="94"/>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default" w:ascii="Times New Roman" w:hAnsi="Times New Roman" w:eastAsia="宋体" w:cs="Times New Roman"/>
          <w:b w:val="0"/>
          <w:snapToGrid/>
          <w:color w:val="auto"/>
          <w:spacing w:val="10"/>
          <w:kern w:val="2"/>
          <w:sz w:val="28"/>
          <w:szCs w:val="28"/>
          <w:lang w:val="en-US" w:eastAsia="zh-CN" w:bidi="ar-SA"/>
        </w:rPr>
      </w:pPr>
      <w:r>
        <w:rPr>
          <w:rFonts w:hint="eastAsia" w:eastAsia="宋体" w:cs="Times New Roman"/>
          <w:b w:val="0"/>
          <w:snapToGrid/>
          <w:color w:val="auto"/>
          <w:spacing w:val="10"/>
          <w:kern w:val="2"/>
          <w:sz w:val="28"/>
          <w:szCs w:val="28"/>
          <w:lang w:val="en-US" w:eastAsia="zh-CN" w:bidi="ar-SA"/>
        </w:rPr>
        <w:t>4）汽油加油工艺流程</w:t>
      </w:r>
    </w:p>
    <w:p>
      <w:pPr>
        <w:pStyle w:val="94"/>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10"/>
          <w:kern w:val="2"/>
          <w:sz w:val="28"/>
          <w:szCs w:val="28"/>
          <w:lang w:val="en-US" w:eastAsia="zh-CN" w:bidi="ar-SA"/>
        </w:rPr>
      </w:pPr>
      <w:r>
        <w:rPr>
          <w:rFonts w:hint="default" w:ascii="Times New Roman" w:hAnsi="Times New Roman" w:eastAsia="宋体" w:cs="Times New Roman"/>
          <w:b w:val="0"/>
          <w:snapToGrid/>
          <w:color w:val="auto"/>
          <w:spacing w:val="10"/>
          <w:kern w:val="2"/>
          <w:sz w:val="28"/>
          <w:szCs w:val="28"/>
          <w:lang w:val="en-US" w:eastAsia="zh-CN" w:bidi="ar-SA"/>
        </w:rPr>
        <w:t>汽油销售时，油品从储油罐中经潜油泵提升加压后送到加油机再注入到</w:t>
      </w:r>
      <w:r>
        <w:rPr>
          <w:rFonts w:hint="eastAsia" w:eastAsia="宋体" w:cs="Times New Roman"/>
          <w:b w:val="0"/>
          <w:snapToGrid/>
          <w:color w:val="auto"/>
          <w:spacing w:val="10"/>
          <w:kern w:val="2"/>
          <w:sz w:val="28"/>
          <w:szCs w:val="28"/>
          <w:lang w:val="en-US" w:eastAsia="zh-CN" w:bidi="ar-SA"/>
        </w:rPr>
        <w:t>车辆</w:t>
      </w:r>
      <w:r>
        <w:rPr>
          <w:rFonts w:hint="default" w:ascii="Times New Roman" w:hAnsi="Times New Roman" w:eastAsia="宋体" w:cs="Times New Roman"/>
          <w:b w:val="0"/>
          <w:snapToGrid/>
          <w:color w:val="auto"/>
          <w:spacing w:val="10"/>
          <w:kern w:val="2"/>
          <w:sz w:val="28"/>
          <w:szCs w:val="28"/>
          <w:lang w:val="en-US" w:eastAsia="zh-CN" w:bidi="ar-SA"/>
        </w:rPr>
        <w:t>油箱中，加油枪流量不超过50L/min。</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ascii="Times New Roman" w:hAnsi="Times New Roman" w:cs="Times New Roman"/>
          <w:color w:val="auto"/>
        </w:rPr>
      </w:pPr>
      <w:r>
        <w:rPr>
          <w:rFonts w:hint="eastAsia" w:cs="Times New Roman"/>
          <w:color w:val="auto"/>
          <w:lang w:eastAsia="zh-CN"/>
        </w:rPr>
        <w:t>（</w:t>
      </w:r>
      <w:r>
        <w:rPr>
          <w:rFonts w:hint="eastAsia" w:cs="Times New Roman"/>
          <w:color w:val="auto"/>
          <w:lang w:val="en-US" w:eastAsia="zh-CN"/>
        </w:rPr>
        <w:t>2</w:t>
      </w:r>
      <w:r>
        <w:rPr>
          <w:rFonts w:hint="eastAsia" w:cs="Times New Roman"/>
          <w:color w:val="auto"/>
          <w:lang w:eastAsia="zh-CN"/>
        </w:rPr>
        <w:t>）</w:t>
      </w:r>
      <w:r>
        <w:rPr>
          <w:rFonts w:hint="default" w:ascii="Times New Roman" w:hAnsi="Times New Roman" w:cs="Times New Roman"/>
          <w:color w:val="auto"/>
        </w:rPr>
        <w:t>柴油工艺流程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cs="Times New Roman"/>
          <w:color w:val="auto"/>
          <w:szCs w:val="28"/>
          <w:lang w:eastAsia="zh-CN"/>
        </w:rPr>
      </w:pPr>
      <w:r>
        <w:rPr>
          <w:sz w:val="28"/>
        </w:rPr>
        <mc:AlternateContent>
          <mc:Choice Requires="wps">
            <w:drawing>
              <wp:anchor distT="0" distB="0" distL="114300" distR="114300" simplePos="0" relativeHeight="251686912" behindDoc="0" locked="0" layoutInCell="1" allowOverlap="1">
                <wp:simplePos x="0" y="0"/>
                <wp:positionH relativeFrom="column">
                  <wp:posOffset>4800600</wp:posOffset>
                </wp:positionH>
                <wp:positionV relativeFrom="paragraph">
                  <wp:posOffset>344805</wp:posOffset>
                </wp:positionV>
                <wp:extent cx="952500" cy="381000"/>
                <wp:effectExtent l="4445" t="4445" r="14605" b="14605"/>
                <wp:wrapNone/>
                <wp:docPr id="31" name="矩形 31"/>
                <wp:cNvGraphicFramePr/>
                <a:graphic xmlns:a="http://schemas.openxmlformats.org/drawingml/2006/main">
                  <a:graphicData uri="http://schemas.microsoft.com/office/word/2010/wordprocessingShape">
                    <wps:wsp>
                      <wps:cNvSpPr/>
                      <wps:spPr>
                        <a:xfrm>
                          <a:off x="0" y="0"/>
                          <a:ext cx="952500" cy="381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柴油储油罐</w:t>
                            </w:r>
                          </w:p>
                        </w:txbxContent>
                      </wps:txbx>
                      <wps:bodyPr upright="1"/>
                    </wps:wsp>
                  </a:graphicData>
                </a:graphic>
              </wp:anchor>
            </w:drawing>
          </mc:Choice>
          <mc:Fallback>
            <w:pict>
              <v:rect id="_x0000_s1026" o:spid="_x0000_s1026" o:spt="1" style="position:absolute;left:0pt;margin-left:378pt;margin-top:27.15pt;height:30pt;width:75pt;z-index:251686912;mso-width-relative:page;mso-height-relative:page;" fillcolor="#FFFFFF" filled="t" stroked="t" coordsize="21600,21600" o:gfxdata="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Roz39cAAAAKAQAADwAAAAAAAAABACAAAAAiAAAAZHJzL2Rvd25y&#10;ZXYueG1sUEsBAhQAFAAAAAgAh07iQKs/QKv/AQAAKgQAAA4AAAAAAAAAAQAgAAAAJgEAAGRycy9l&#10;Mm9Eb2MueG1sUEsFBgAAAAAGAAYAWQEAAJcFA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柴油储油罐</w:t>
                      </w:r>
                    </w:p>
                  </w:txbxContent>
                </v:textbox>
              </v:rect>
            </w:pict>
          </mc:Fallback>
        </mc:AlternateContent>
      </w:r>
      <w:r>
        <w:rPr>
          <w:rFonts w:hint="default" w:ascii="Times New Roman" w:hAnsi="Times New Roman" w:cs="Times New Roman"/>
          <w:color w:val="auto"/>
          <w:szCs w:val="28"/>
        </w:rPr>
        <w:t>1）</w:t>
      </w:r>
      <w:r>
        <w:rPr>
          <w:rFonts w:hint="eastAsia" w:cs="Times New Roman"/>
          <w:color w:val="auto"/>
          <w:szCs w:val="28"/>
          <w:lang w:eastAsia="zh-CN"/>
        </w:rPr>
        <w:t>柴</w:t>
      </w:r>
      <w:r>
        <w:rPr>
          <w:rFonts w:hint="default" w:ascii="Times New Roman" w:hAnsi="Times New Roman" w:cs="Times New Roman"/>
          <w:color w:val="auto"/>
          <w:szCs w:val="28"/>
        </w:rPr>
        <w:t>油卸油</w:t>
      </w:r>
      <w:r>
        <w:rPr>
          <w:rFonts w:hint="eastAsia" w:cs="Times New Roman"/>
          <w:color w:val="auto"/>
          <w:szCs w:val="28"/>
          <w:lang w:eastAsia="zh-CN"/>
        </w:rPr>
        <w:t>工艺流程简图如下：</w:t>
      </w:r>
    </w:p>
    <w:p>
      <w:pPr>
        <w:pStyle w:val="94"/>
        <w:rPr>
          <w:rFonts w:hint="eastAsia" w:cs="Times New Roman"/>
          <w:color w:val="auto"/>
          <w:szCs w:val="28"/>
          <w:lang w:eastAsia="zh-CN"/>
        </w:rPr>
      </w:pPr>
      <w:r>
        <w:rPr>
          <w:sz w:val="28"/>
        </w:rPr>
        <mc:AlternateContent>
          <mc:Choice Requires="wps">
            <w:drawing>
              <wp:anchor distT="0" distB="0" distL="114300" distR="114300" simplePos="0" relativeHeight="251679744" behindDoc="0" locked="0" layoutInCell="1" allowOverlap="1">
                <wp:simplePos x="0" y="0"/>
                <wp:positionH relativeFrom="column">
                  <wp:posOffset>4552315</wp:posOffset>
                </wp:positionH>
                <wp:positionV relativeFrom="paragraph">
                  <wp:posOffset>189865</wp:posOffset>
                </wp:positionV>
                <wp:extent cx="247650" cy="635"/>
                <wp:effectExtent l="0" t="37465" r="0" b="38100"/>
                <wp:wrapNone/>
                <wp:docPr id="29" name="直接连接符 29"/>
                <wp:cNvGraphicFramePr/>
                <a:graphic xmlns:a="http://schemas.openxmlformats.org/drawingml/2006/main">
                  <a:graphicData uri="http://schemas.microsoft.com/office/word/2010/wordprocessingShape">
                    <wps:wsp>
                      <wps:cNvCnPr/>
                      <wps:spPr>
                        <a:xfrm>
                          <a:off x="0" y="0"/>
                          <a:ext cx="24765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58.45pt;margin-top:14.95pt;height:0.05pt;width:19.5pt;z-index:251679744;mso-width-relative:page;mso-height-relative:page;" filled="f" stroked="t" coordsize="21600,21600" o:gfxdata="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hVFd+2gAAAAkBAAAPAAAAAAAAAAEAIAAAACIAAABkcnMvZG93&#10;bnJldi54bWxQSwECFAAUAAAACACHTuJAu/XD9/4BAADrAwAADgAAAAAAAAABACAAAAApAQAAZHJz&#10;L2Uyb0RvYy54bWxQSwUGAAAAAAYABgBZAQAAmQU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85888" behindDoc="0" locked="0" layoutInCell="1" allowOverlap="1">
                <wp:simplePos x="0" y="0"/>
                <wp:positionH relativeFrom="column">
                  <wp:posOffset>3923665</wp:posOffset>
                </wp:positionH>
                <wp:positionV relativeFrom="paragraph">
                  <wp:posOffset>18415</wp:posOffset>
                </wp:positionV>
                <wp:extent cx="620395" cy="361950"/>
                <wp:effectExtent l="5080" t="4445" r="22225" b="14605"/>
                <wp:wrapNone/>
                <wp:docPr id="33" name="矩形 33"/>
                <wp:cNvGraphicFramePr/>
                <a:graphic xmlns:a="http://schemas.openxmlformats.org/drawingml/2006/main">
                  <a:graphicData uri="http://schemas.microsoft.com/office/word/2010/wordprocessingShape">
                    <wps:wsp>
                      <wps:cNvSpPr/>
                      <wps:spPr>
                        <a:xfrm>
                          <a:off x="0" y="0"/>
                          <a:ext cx="620395" cy="361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进油管</w:t>
                            </w:r>
                          </w:p>
                        </w:txbxContent>
                      </wps:txbx>
                      <wps:bodyPr upright="1"/>
                    </wps:wsp>
                  </a:graphicData>
                </a:graphic>
              </wp:anchor>
            </w:drawing>
          </mc:Choice>
          <mc:Fallback>
            <w:pict>
              <v:rect id="_x0000_s1026" o:spid="_x0000_s1026" o:spt="1" style="position:absolute;left:0pt;margin-left:308.95pt;margin-top:1.45pt;height:28.5pt;width:48.85pt;z-index:251685888;mso-width-relative:page;mso-height-relative:page;" fillcolor="#FFFFFF" filled="t" stroked="t" coordsize="21600,21600" o:gfxdata="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t3abw1wAAAAgBAAAPAAAAAAAAAAEAIAAAACIAAABkcnMv&#10;ZG93bnJldi54bWxQSwECFAAUAAAACACHTuJAGYMKawQCAAAqBAAADgAAAAAAAAABACAAAAAmAQAA&#10;ZHJzL2Uyb0RvYy54bWxQSwUGAAAAAAYABgBZAQAAnAU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进油管</w:t>
                      </w:r>
                    </w:p>
                  </w:txbxContent>
                </v:textbox>
              </v:rect>
            </w:pict>
          </mc:Fallback>
        </mc:AlternateContent>
      </w:r>
      <w:r>
        <w:rPr>
          <w:sz w:val="28"/>
        </w:rPr>
        <mc:AlternateContent>
          <mc:Choice Requires="wps">
            <w:drawing>
              <wp:anchor distT="0" distB="0" distL="114300" distR="114300" simplePos="0" relativeHeight="251684864" behindDoc="0" locked="0" layoutInCell="1" allowOverlap="1">
                <wp:simplePos x="0" y="0"/>
                <wp:positionH relativeFrom="column">
                  <wp:posOffset>3580765</wp:posOffset>
                </wp:positionH>
                <wp:positionV relativeFrom="paragraph">
                  <wp:posOffset>208915</wp:posOffset>
                </wp:positionV>
                <wp:extent cx="342900" cy="635"/>
                <wp:effectExtent l="0" t="37465" r="0" b="38100"/>
                <wp:wrapNone/>
                <wp:docPr id="30" name="直接连接符 30"/>
                <wp:cNvGraphicFramePr/>
                <a:graphic xmlns:a="http://schemas.openxmlformats.org/drawingml/2006/main">
                  <a:graphicData uri="http://schemas.microsoft.com/office/word/2010/wordprocessingShape">
                    <wps:wsp>
                      <wps:cNvCnPr/>
                      <wps:spPr>
                        <a:xfrm>
                          <a:off x="0" y="0"/>
                          <a:ext cx="3429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81.95pt;margin-top:16.45pt;height:0.05pt;width:27pt;z-index:251684864;mso-width-relative:page;mso-height-relative:page;" filled="f" stroked="t" coordsize="21600,21600" o:gfxdata="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x2hNkAAAAJAQAADwAAAAAAAAABACAAAAAiAAAAZHJzL2Rvd25y&#10;ZXYueG1sUEsBAhQAFAAAAAgAh07iQOssuUD9AQAA6wMAAA4AAAAAAAAAAQAgAAAAKAEAAGRycy9l&#10;Mm9Eb2MueG1sUEsFBgAAAAAGAAYAWQEAAJcFA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83840" behindDoc="0" locked="0" layoutInCell="1" allowOverlap="1">
                <wp:simplePos x="0" y="0"/>
                <wp:positionH relativeFrom="column">
                  <wp:posOffset>2561590</wp:posOffset>
                </wp:positionH>
                <wp:positionV relativeFrom="paragraph">
                  <wp:posOffset>18415</wp:posOffset>
                </wp:positionV>
                <wp:extent cx="1019175" cy="380365"/>
                <wp:effectExtent l="4445" t="4445" r="5080" b="15240"/>
                <wp:wrapNone/>
                <wp:docPr id="32" name="矩形 32"/>
                <wp:cNvGraphicFramePr/>
                <a:graphic xmlns:a="http://schemas.openxmlformats.org/drawingml/2006/main">
                  <a:graphicData uri="http://schemas.microsoft.com/office/word/2010/wordprocessingShape">
                    <wps:wsp>
                      <wps:cNvSpPr/>
                      <wps:spPr>
                        <a:xfrm>
                          <a:off x="0" y="0"/>
                          <a:ext cx="1019175" cy="3803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卸油连通软管</w:t>
                            </w:r>
                          </w:p>
                        </w:txbxContent>
                      </wps:txbx>
                      <wps:bodyPr upright="1"/>
                    </wps:wsp>
                  </a:graphicData>
                </a:graphic>
              </wp:anchor>
            </w:drawing>
          </mc:Choice>
          <mc:Fallback>
            <w:pict>
              <v:rect id="_x0000_s1026" o:spid="_x0000_s1026" o:spt="1" style="position:absolute;left:0pt;margin-left:201.7pt;margin-top:1.45pt;height:29.95pt;width:80.25pt;z-index:251683840;mso-width-relative:page;mso-height-relative:page;" fillcolor="#FFFFFF" filled="t" stroked="t" coordsize="21600,21600" o:gfxdata="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594NDYAAAACAEAAA8AAAAAAAAAAQAgAAAAIgAAAGRycy9k&#10;b3ducmV2LnhtbFBLAQIUABQAAAAIAIdO4kBZmLxzAgIAACsEAAAOAAAAAAAAAAEAIAAAACcBAABk&#10;cnMvZTJvRG9jLnhtbFBLBQYAAAAABgAGAFkBAACbBQ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卸油连通软管</w:t>
                      </w:r>
                    </w:p>
                  </w:txbxContent>
                </v:textbox>
              </v:rect>
            </w:pict>
          </mc:Fallback>
        </mc:AlternateContent>
      </w:r>
      <w:r>
        <w:rPr>
          <w:sz w:val="28"/>
        </w:rPr>
        <mc:AlternateContent>
          <mc:Choice Requires="wps">
            <w:drawing>
              <wp:anchor distT="0" distB="0" distL="114300" distR="114300" simplePos="0" relativeHeight="251682816" behindDoc="0" locked="0" layoutInCell="1" allowOverlap="1">
                <wp:simplePos x="0" y="0"/>
                <wp:positionH relativeFrom="column">
                  <wp:posOffset>2218690</wp:posOffset>
                </wp:positionH>
                <wp:positionV relativeFrom="paragraph">
                  <wp:posOffset>200025</wp:posOffset>
                </wp:positionV>
                <wp:extent cx="342900" cy="8890"/>
                <wp:effectExtent l="0" t="36195" r="0" b="31115"/>
                <wp:wrapNone/>
                <wp:docPr id="6" name="直接连接符 6"/>
                <wp:cNvGraphicFramePr/>
                <a:graphic xmlns:a="http://schemas.openxmlformats.org/drawingml/2006/main">
                  <a:graphicData uri="http://schemas.microsoft.com/office/word/2010/wordprocessingShape">
                    <wps:wsp>
                      <wps:cNvCnPr/>
                      <wps:spPr>
                        <a:xfrm flipV="1">
                          <a:off x="0" y="0"/>
                          <a:ext cx="342900" cy="88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74.7pt;margin-top:15.75pt;height:0.7pt;width:27pt;z-index:251682816;mso-width-relative:page;mso-height-relative:page;" filled="f" stroked="t" coordsize="21600,21600" o:gfxdata="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lSAy3ZAAAACQEAAA8AAAAAAAAAAQAgAAAAIgAA&#10;AGRycy9kb3ducmV2LnhtbFBLAQIUABQAAAAIAIdO4kAC4t+3BwIAAPQDAAAOAAAAAAAAAAEAIAAA&#10;ACgBAABkcnMvZTJvRG9jLnhtbFBLBQYAAAAABgAGAFkBAAChBQ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81792" behindDoc="0" locked="0" layoutInCell="1" allowOverlap="1">
                <wp:simplePos x="0" y="0"/>
                <wp:positionH relativeFrom="column">
                  <wp:posOffset>1304290</wp:posOffset>
                </wp:positionH>
                <wp:positionV relativeFrom="paragraph">
                  <wp:posOffset>27940</wp:posOffset>
                </wp:positionV>
                <wp:extent cx="906145" cy="371475"/>
                <wp:effectExtent l="4445" t="4445" r="22860" b="5080"/>
                <wp:wrapNone/>
                <wp:docPr id="1" name="矩形 1"/>
                <wp:cNvGraphicFramePr/>
                <a:graphic xmlns:a="http://schemas.openxmlformats.org/drawingml/2006/main">
                  <a:graphicData uri="http://schemas.microsoft.com/office/word/2010/wordprocessingShape">
                    <wps:wsp>
                      <wps:cNvSpPr/>
                      <wps:spPr>
                        <a:xfrm>
                          <a:off x="0" y="0"/>
                          <a:ext cx="906145" cy="3714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卸油管接口</w:t>
                            </w:r>
                          </w:p>
                        </w:txbxContent>
                      </wps:txbx>
                      <wps:bodyPr upright="1"/>
                    </wps:wsp>
                  </a:graphicData>
                </a:graphic>
              </wp:anchor>
            </w:drawing>
          </mc:Choice>
          <mc:Fallback>
            <w:pict>
              <v:rect id="_x0000_s1026" o:spid="_x0000_s1026" o:spt="1" style="position:absolute;left:0pt;margin-left:102.7pt;margin-top:2.2pt;height:29.25pt;width:71.35pt;z-index:251681792;mso-width-relative:page;mso-height-relative:page;" fillcolor="#FFFFFF" filled="t" stroked="t" coordsize="21600,21600" o:gfxdata="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LHKy9gAAAAIAQAADwAAAAAAAAABACAAAAAiAAAAZHJzL2Rvd25y&#10;ZXYueG1sUEsBAhQAFAAAAAgAh07iQOt6cU/+AQAAKAQAAA4AAAAAAAAAAQAgAAAAJwEAAGRycy9l&#10;Mm9Eb2MueG1sUEsFBgAAAAAGAAYAWQEAAJcFA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卸油管接口</w:t>
                      </w:r>
                    </w:p>
                  </w:txbxContent>
                </v:textbox>
              </v:rect>
            </w:pict>
          </mc:Fallback>
        </mc:AlternateContent>
      </w:r>
      <w:r>
        <w:rPr>
          <w:sz w:val="28"/>
        </w:rPr>
        <mc:AlternateContent>
          <mc:Choice Requires="wps">
            <w:drawing>
              <wp:anchor distT="0" distB="0" distL="114300" distR="114300" simplePos="0" relativeHeight="251680768" behindDoc="0" locked="0" layoutInCell="1" allowOverlap="1">
                <wp:simplePos x="0" y="0"/>
                <wp:positionH relativeFrom="column">
                  <wp:posOffset>981075</wp:posOffset>
                </wp:positionH>
                <wp:positionV relativeFrom="paragraph">
                  <wp:posOffset>227965</wp:posOffset>
                </wp:positionV>
                <wp:extent cx="313690" cy="635"/>
                <wp:effectExtent l="0" t="37465" r="10160" b="38100"/>
                <wp:wrapNone/>
                <wp:docPr id="5" name="直接连接符 5"/>
                <wp:cNvGraphicFramePr/>
                <a:graphic xmlns:a="http://schemas.openxmlformats.org/drawingml/2006/main">
                  <a:graphicData uri="http://schemas.microsoft.com/office/word/2010/wordprocessingShape">
                    <wps:wsp>
                      <wps:cNvCnPr/>
                      <wps:spPr>
                        <a:xfrm>
                          <a:off x="0" y="0"/>
                          <a:ext cx="31369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7.25pt;margin-top:17.95pt;height:0.05pt;width:24.7pt;z-index:251680768;mso-width-relative:page;mso-height-relative:page;" filled="f" stroked="t" coordsize="21600,21600" o:gfxdata="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Yywg/ZAAAACQEAAA8AAAAAAAAAAQAgAAAAIgAAAGRycy9kb3du&#10;cmV2LnhtbFBLAQIUABQAAAAIAIdO4kAHQZWS/gEAAOkDAAAOAAAAAAAAAAEAIAAAACgBAABkcnMv&#10;ZTJvRG9jLnhtbFBLBQYAAAAABgAGAFkBAACYBQ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79744" behindDoc="0" locked="0" layoutInCell="1" allowOverlap="1">
                <wp:simplePos x="0" y="0"/>
                <wp:positionH relativeFrom="column">
                  <wp:posOffset>237490</wp:posOffset>
                </wp:positionH>
                <wp:positionV relativeFrom="paragraph">
                  <wp:posOffset>27940</wp:posOffset>
                </wp:positionV>
                <wp:extent cx="734060" cy="371475"/>
                <wp:effectExtent l="4445" t="4445" r="23495" b="5080"/>
                <wp:wrapNone/>
                <wp:docPr id="8" name="矩形 8"/>
                <wp:cNvGraphicFramePr/>
                <a:graphic xmlns:a="http://schemas.openxmlformats.org/drawingml/2006/main">
                  <a:graphicData uri="http://schemas.microsoft.com/office/word/2010/wordprocessingShape">
                    <wps:wsp>
                      <wps:cNvSpPr/>
                      <wps:spPr>
                        <a:xfrm>
                          <a:off x="0" y="0"/>
                          <a:ext cx="734060" cy="3714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柴油</w:t>
                            </w:r>
                            <w:r>
                              <w:rPr>
                                <w:rFonts w:hint="eastAsia" w:ascii="Times New Roman" w:hAnsi="Times New Roman" w:cs="Times New Roman"/>
                                <w:sz w:val="21"/>
                                <w:szCs w:val="21"/>
                                <w:lang w:eastAsia="zh-CN"/>
                              </w:rPr>
                              <w:t>罐车</w:t>
                            </w:r>
                          </w:p>
                        </w:txbxContent>
                      </wps:txbx>
                      <wps:bodyPr upright="1"/>
                    </wps:wsp>
                  </a:graphicData>
                </a:graphic>
              </wp:anchor>
            </w:drawing>
          </mc:Choice>
          <mc:Fallback>
            <w:pict>
              <v:rect id="_x0000_s1026" o:spid="_x0000_s1026" o:spt="1" style="position:absolute;left:0pt;margin-left:18.7pt;margin-top:2.2pt;height:29.25pt;width:57.8pt;z-index:251679744;mso-width-relative:page;mso-height-relative:page;" fillcolor="#FFFFFF" filled="t" stroked="t" coordsize="21600,21600" o:gfxdata="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mxOSXWAAAABwEAAA8AAAAAAAAAAQAgAAAAIgAAAGRycy9kb3du&#10;cmV2LnhtbFBLAQIUABQAAAAIAIdO4kDZ2hW5AQIAACgEAAAOAAAAAAAAAAEAIAAAACUBAABkcnMv&#10;ZTJvRG9jLnhtbFBLBQYAAAAABgAGAFkBAACYBQAAAAA=&#10;">
                <v:fill on="t" focussize="0,0"/>
                <v:stroke color="#000000" joinstyle="miter"/>
                <v:imagedata o:title=""/>
                <o:lock v:ext="edit" aspectratio="f"/>
                <v:textbox>
                  <w:txbxContent>
                    <w:p>
                      <w:pPr>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柴油</w:t>
                      </w:r>
                      <w:r>
                        <w:rPr>
                          <w:rFonts w:hint="eastAsia" w:ascii="Times New Roman" w:hAnsi="Times New Roman" w:cs="Times New Roman"/>
                          <w:sz w:val="21"/>
                          <w:szCs w:val="21"/>
                          <w:lang w:eastAsia="zh-CN"/>
                        </w:rPr>
                        <w:t>罐车</w:t>
                      </w:r>
                    </w:p>
                  </w:txbxContent>
                </v:textbox>
              </v:rect>
            </w:pict>
          </mc:Fallback>
        </mc:AlternateContent>
      </w:r>
    </w:p>
    <w:p>
      <w:pPr>
        <w:pStyle w:val="94"/>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cs="Times New Roman"/>
          <w:color w:val="auto"/>
          <w:szCs w:val="28"/>
          <w:lang w:eastAsia="zh-CN"/>
        </w:rPr>
      </w:pPr>
    </w:p>
    <w:p>
      <w:pPr>
        <w:pStyle w:val="94"/>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0"/>
          <w:kern w:val="2"/>
          <w:sz w:val="28"/>
          <w:szCs w:val="28"/>
          <w:lang w:val="en-US" w:eastAsia="zh-CN" w:bidi="ar-SA"/>
        </w:rPr>
      </w:pPr>
      <w:r>
        <w:rPr>
          <w:rFonts w:hint="eastAsia" w:eastAsia="宋体" w:cs="Times New Roman"/>
          <w:b w:val="0"/>
          <w:snapToGrid/>
          <w:color w:val="auto"/>
          <w:spacing w:val="0"/>
          <w:kern w:val="2"/>
          <w:sz w:val="28"/>
          <w:szCs w:val="28"/>
          <w:lang w:val="en-US" w:eastAsia="zh-CN" w:bidi="ar-SA"/>
        </w:rPr>
        <w:t>2）柴油</w:t>
      </w:r>
      <w:r>
        <w:rPr>
          <w:rFonts w:hint="eastAsia" w:ascii="Times New Roman" w:hAnsi="Times New Roman" w:eastAsia="宋体" w:cs="Times New Roman"/>
          <w:b w:val="0"/>
          <w:snapToGrid/>
          <w:color w:val="auto"/>
          <w:spacing w:val="0"/>
          <w:kern w:val="2"/>
          <w:sz w:val="28"/>
          <w:szCs w:val="28"/>
          <w:lang w:val="en-US" w:eastAsia="zh-CN" w:bidi="ar-SA"/>
        </w:rPr>
        <w:t>卸油</w:t>
      </w:r>
      <w:r>
        <w:rPr>
          <w:rFonts w:hint="eastAsia" w:eastAsia="宋体" w:cs="Times New Roman"/>
          <w:b w:val="0"/>
          <w:snapToGrid/>
          <w:color w:val="auto"/>
          <w:spacing w:val="0"/>
          <w:kern w:val="2"/>
          <w:sz w:val="28"/>
          <w:szCs w:val="28"/>
          <w:lang w:val="en-US" w:eastAsia="zh-CN" w:bidi="ar-SA"/>
        </w:rPr>
        <w:t>工艺流程</w:t>
      </w:r>
    </w:p>
    <w:p>
      <w:pPr>
        <w:pStyle w:val="27"/>
        <w:keepNext w:val="0"/>
        <w:keepLines w:val="0"/>
        <w:pageBreakBefore w:val="0"/>
        <w:widowControl/>
        <w:kinsoku/>
        <w:wordWrap/>
        <w:overflowPunct/>
        <w:topLinePunct w:val="0"/>
        <w:autoSpaceDE/>
        <w:autoSpaceDN/>
        <w:bidi w:val="0"/>
        <w:adjustRightInd w:val="0"/>
        <w:snapToGrid w:val="0"/>
        <w:spacing w:after="0" w:line="360" w:lineRule="auto"/>
        <w:ind w:left="0" w:leftChars="0" w:firstLine="600" w:firstLineChars="200"/>
        <w:jc w:val="both"/>
        <w:textAlignment w:val="auto"/>
        <w:rPr>
          <w:rFonts w:hint="default" w:ascii="Times New Roman" w:hAnsi="Times New Roman" w:cs="Times New Roman"/>
          <w:color w:val="auto"/>
          <w:spacing w:val="10"/>
          <w:sz w:val="28"/>
          <w:szCs w:val="28"/>
        </w:rPr>
      </w:pPr>
      <w:r>
        <w:rPr>
          <w:rFonts w:hint="eastAsia" w:ascii="Times New Roman" w:hAnsi="Times New Roman" w:cs="Times New Roman"/>
          <w:color w:val="auto"/>
          <w:spacing w:val="10"/>
          <w:sz w:val="28"/>
          <w:szCs w:val="28"/>
          <w:lang w:val="en-US" w:eastAsia="zh-CN"/>
        </w:rPr>
        <w:t>该加油中心</w:t>
      </w:r>
      <w:r>
        <w:rPr>
          <w:rFonts w:hint="default" w:ascii="Times New Roman" w:hAnsi="Times New Roman" w:cs="Times New Roman"/>
          <w:color w:val="auto"/>
          <w:spacing w:val="10"/>
          <w:sz w:val="28"/>
          <w:szCs w:val="28"/>
        </w:rPr>
        <w:t>采用油罐车经连通软管与油罐卸油孔连通卸油的方式卸油，利用位差使油品自流至油罐。</w:t>
      </w:r>
    </w:p>
    <w:p>
      <w:pPr>
        <w:pStyle w:val="94"/>
        <w:keepNext w:val="0"/>
        <w:keepLines w:val="0"/>
        <w:pageBreakBefore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10"/>
          <w:kern w:val="2"/>
          <w:sz w:val="28"/>
          <w:szCs w:val="28"/>
          <w:lang w:val="en-US" w:eastAsia="zh-CN" w:bidi="ar-SA"/>
        </w:rPr>
      </w:pPr>
      <w:r>
        <w:rPr>
          <w:rFonts w:hint="default" w:ascii="Times New Roman" w:hAnsi="Times New Roman" w:eastAsia="宋体" w:cs="Times New Roman"/>
          <w:b w:val="0"/>
          <w:snapToGrid/>
          <w:color w:val="auto"/>
          <w:spacing w:val="10"/>
          <w:kern w:val="2"/>
          <w:sz w:val="28"/>
          <w:szCs w:val="28"/>
          <w:lang w:val="en-US" w:eastAsia="zh-CN" w:bidi="ar-SA"/>
        </w:rPr>
        <w:t>装载柴油的油槽车到达加油站罐区后，停稳熄火，卸油工检查接地装置是否良好，消防器材是否到位。连通静电接地装置导出静电，静置15min后，用快速接头把油罐车的卸油管与储油罐的卸油口连接。连通好后进行卸油作业，同时使用带高</w:t>
      </w:r>
      <w:r>
        <w:rPr>
          <w:rFonts w:hint="eastAsia" w:eastAsia="宋体" w:cs="Times New Roman"/>
          <w:b w:val="0"/>
          <w:snapToGrid/>
          <w:color w:val="auto"/>
          <w:spacing w:val="10"/>
          <w:kern w:val="2"/>
          <w:sz w:val="28"/>
          <w:szCs w:val="28"/>
          <w:lang w:val="en-US" w:eastAsia="zh-CN" w:bidi="ar-SA"/>
        </w:rPr>
        <w:t>低</w:t>
      </w:r>
      <w:r>
        <w:rPr>
          <w:rFonts w:hint="default" w:ascii="Times New Roman" w:hAnsi="Times New Roman" w:eastAsia="宋体" w:cs="Times New Roman"/>
          <w:b w:val="0"/>
          <w:snapToGrid/>
          <w:color w:val="auto"/>
          <w:spacing w:val="10"/>
          <w:kern w:val="2"/>
          <w:sz w:val="28"/>
          <w:szCs w:val="28"/>
          <w:lang w:val="en-US" w:eastAsia="zh-CN" w:bidi="ar-SA"/>
        </w:rPr>
        <w:t>液位报警功能的液位计计量储油罐中的储油量，以防卸油时发生冒油事故。</w:t>
      </w:r>
    </w:p>
    <w:p>
      <w:pPr>
        <w:pStyle w:val="94"/>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default" w:ascii="Times New Roman" w:hAnsi="Times New Roman" w:eastAsia="宋体" w:cs="Times New Roman"/>
          <w:b w:val="0"/>
          <w:snapToGrid/>
          <w:color w:val="auto"/>
          <w:spacing w:val="10"/>
          <w:kern w:val="2"/>
          <w:sz w:val="28"/>
          <w:szCs w:val="28"/>
          <w:lang w:val="en-US" w:eastAsia="zh-CN" w:bidi="ar-SA"/>
        </w:rPr>
      </w:pPr>
      <w:r>
        <w:rPr>
          <w:rFonts w:hint="eastAsia" w:ascii="Times New Roman" w:hAnsi="Times New Roman" w:eastAsia="宋体" w:cs="Times New Roman"/>
          <w:b w:val="0"/>
          <w:snapToGrid/>
          <w:color w:val="auto"/>
          <w:spacing w:val="10"/>
          <w:kern w:val="2"/>
          <w:sz w:val="28"/>
          <w:szCs w:val="28"/>
          <w:lang w:val="en-US" w:eastAsia="zh-CN" w:bidi="ar-SA"/>
        </w:rPr>
        <w:t>3）</w:t>
      </w:r>
      <w:r>
        <w:rPr>
          <w:rFonts w:hint="eastAsia" w:eastAsia="宋体" w:cs="Times New Roman"/>
          <w:b w:val="0"/>
          <w:snapToGrid/>
          <w:color w:val="auto"/>
          <w:spacing w:val="10"/>
          <w:kern w:val="2"/>
          <w:sz w:val="28"/>
          <w:szCs w:val="28"/>
          <w:lang w:val="en-US" w:eastAsia="zh-CN" w:bidi="ar-SA"/>
        </w:rPr>
        <w:t>柴油加</w:t>
      </w:r>
      <w:r>
        <w:rPr>
          <w:rFonts w:hint="default" w:ascii="Times New Roman" w:hAnsi="Times New Roman" w:eastAsia="宋体" w:cs="Times New Roman"/>
          <w:b w:val="0"/>
          <w:snapToGrid/>
          <w:color w:val="auto"/>
          <w:spacing w:val="10"/>
          <w:kern w:val="2"/>
          <w:sz w:val="28"/>
          <w:szCs w:val="28"/>
          <w:lang w:val="en-US" w:eastAsia="zh-CN" w:bidi="ar-SA"/>
        </w:rPr>
        <w:t>油</w:t>
      </w:r>
      <w:r>
        <w:rPr>
          <w:rFonts w:hint="eastAsia" w:ascii="Times New Roman" w:hAnsi="Times New Roman" w:eastAsia="宋体" w:cs="Times New Roman"/>
          <w:b w:val="0"/>
          <w:snapToGrid/>
          <w:color w:val="auto"/>
          <w:spacing w:val="10"/>
          <w:kern w:val="2"/>
          <w:sz w:val="28"/>
          <w:szCs w:val="28"/>
          <w:lang w:val="en-US" w:eastAsia="zh-CN" w:bidi="ar-SA"/>
        </w:rPr>
        <w:t>工艺流程简图如下：</w:t>
      </w:r>
    </w:p>
    <w:p>
      <w:pPr>
        <w:pStyle w:val="86"/>
        <w:rPr>
          <w:rFonts w:hint="eastAsia" w:cs="Times New Roman"/>
          <w:color w:val="auto"/>
          <w:szCs w:val="28"/>
          <w:lang w:eastAsia="zh-CN"/>
        </w:rPr>
      </w:pPr>
      <w:r>
        <mc:AlternateContent>
          <mc:Choice Requires="wps">
            <w:drawing>
              <wp:anchor distT="0" distB="0" distL="114300" distR="114300" simplePos="0" relativeHeight="251695104" behindDoc="0" locked="0" layoutInCell="1" allowOverlap="1">
                <wp:simplePos x="0" y="0"/>
                <wp:positionH relativeFrom="column">
                  <wp:posOffset>4319905</wp:posOffset>
                </wp:positionH>
                <wp:positionV relativeFrom="paragraph">
                  <wp:posOffset>38735</wp:posOffset>
                </wp:positionV>
                <wp:extent cx="593725" cy="353695"/>
                <wp:effectExtent l="4445" t="5080" r="11430" b="22225"/>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rPr>
                              <w:t>车辆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40.15pt;margin-top:3.05pt;height:27.85pt;width:46.75pt;z-index:251695104;mso-width-relative:page;mso-height-relative:page;" fillcolor="#FFFFFF" filled="t" stroked="t" coordsize="21600,21600" o:gfxdata="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HH8I1bWAAAACAEAAA8AAAAAAAAAAQAgAAAA&#10;IgAAAGRycy9kb3ducmV2LnhtbFBLAQIUABQAAAAIAIdO4kBdeG63RgIAAJYEAAAOAAAAAAAAAAEA&#10;IAAAACUBAABkcnMvZTJvRG9jLnhtbFBLBQYAAAAABgAGAFkBAADdBQ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rPr>
                        <w:t>车辆</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3922395</wp:posOffset>
                </wp:positionH>
                <wp:positionV relativeFrom="paragraph">
                  <wp:posOffset>209550</wp:posOffset>
                </wp:positionV>
                <wp:extent cx="389255" cy="0"/>
                <wp:effectExtent l="0" t="38100" r="10795" b="38100"/>
                <wp:wrapNone/>
                <wp:docPr id="40" name="直接箭头连接符 40"/>
                <wp:cNvGraphicFramePr/>
                <a:graphic xmlns:a="http://schemas.openxmlformats.org/drawingml/2006/main">
                  <a:graphicData uri="http://schemas.microsoft.com/office/word/2010/wordprocessingShape">
                    <wps:wsp>
                      <wps:cNvCnPr>
                        <a:cxnSpLocks noChangeShapeType="1"/>
                      </wps:cNvCnPr>
                      <wps:spPr bwMode="auto">
                        <a:xfrm>
                          <a:off x="0" y="0"/>
                          <a:ext cx="389255" cy="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308.85pt;margin-top:16.5pt;height:0pt;width:30.65pt;z-index:251696128;mso-width-relative:page;mso-height-relative:page;" filled="f" stroked="t" coordsize="21600,21600" o:gfxdata="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k+sZPYAAAACQEAAA8AAAAA&#10;AAAAAQAgAAAAIgAAAGRycy9kb3ducmV2LnhtbFBLAQIUABQAAAAIAIdO4kDYO0e0FAIAAPsDAAAO&#10;AAAAAAAAAAEAIAAAACcBAABkcnMvZTJvRG9jLnhtbFBLBQYAAAAABgAGAFkBAACt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3328670</wp:posOffset>
                </wp:positionH>
                <wp:positionV relativeFrom="paragraph">
                  <wp:posOffset>46355</wp:posOffset>
                </wp:positionV>
                <wp:extent cx="593725" cy="353695"/>
                <wp:effectExtent l="4445" t="5080" r="11430" b="22225"/>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rPr>
                              <w:t>加油枪</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2.1pt;margin-top:3.65pt;height:27.85pt;width:46.75pt;z-index:251694080;mso-width-relative:page;mso-height-relative:page;" fillcolor="#FFFFFF" filled="t" stroked="t" coordsize="21600,21600" o:gfxdata="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XcT/sNgAAAAIAQAADwAAAAAAAAABACAA&#10;AAAiAAAAZHJzL2Rvd25yZXYueG1sUEsBAhQAFAAAAAgAh07iQMk+yNdGAgAAlgQAAA4AAAAAAAAA&#10;AQAgAAAAJwEAAGRycy9lMm9Eb2MueG1sUEsFBgAAAAAGAAYAWQEAAN8FA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rPr>
                        <w:t>加油枪</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2929255</wp:posOffset>
                </wp:positionH>
                <wp:positionV relativeFrom="paragraph">
                  <wp:posOffset>201295</wp:posOffset>
                </wp:positionV>
                <wp:extent cx="389255" cy="0"/>
                <wp:effectExtent l="0" t="38100" r="10795" b="38100"/>
                <wp:wrapNone/>
                <wp:docPr id="41" name="直接箭头连接符 41"/>
                <wp:cNvGraphicFramePr/>
                <a:graphic xmlns:a="http://schemas.openxmlformats.org/drawingml/2006/main">
                  <a:graphicData uri="http://schemas.microsoft.com/office/word/2010/wordprocessingShape">
                    <wps:wsp>
                      <wps:cNvCnPr>
                        <a:cxnSpLocks noChangeShapeType="1"/>
                      </wps:cNvCnPr>
                      <wps:spPr bwMode="auto">
                        <a:xfrm>
                          <a:off x="0" y="0"/>
                          <a:ext cx="389255" cy="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230.65pt;margin-top:15.85pt;height:0pt;width:30.65pt;z-index:251693056;mso-width-relative:page;mso-height-relative:page;" filled="f" stroked="t" coordsize="21600,21600" o:gfxdata="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0qSffZAAAACQEAAA8AAAAA&#10;AAAAAQAgAAAAIgAAAGRycy9kb3ducmV2LnhtbFBLAQIUABQAAAAIAIdO4kBszJFCEwIAAPsDAAAO&#10;AAAAAAAAAAEAIAAAACgBAABkcnMvZTJvRG9jLnhtbFBLBQYAAAAABgAGAFkBAACt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2327275</wp:posOffset>
                </wp:positionH>
                <wp:positionV relativeFrom="paragraph">
                  <wp:posOffset>38735</wp:posOffset>
                </wp:positionV>
                <wp:extent cx="593725" cy="353695"/>
                <wp:effectExtent l="4445" t="5080" r="11430" b="22225"/>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rPr>
                              <w:t>加油机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3.25pt;margin-top:3.05pt;height:27.85pt;width:46.75pt;z-index:251691008;mso-width-relative:page;mso-height-relative:page;" fillcolor="#FFFFFF" filled="t" stroked="t" coordsize="21600,21600" o:gfxdata="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Qv3jzWAAAACAEAAA8AAAAAAAAAAQAgAAAA&#10;IgAAAGRycy9kb3ducmV2LnhtbFBLAQIUABQAAAAIAIdO4kBBVssNRgIAAJYEAAAOAAAAAAAAAAEA&#10;IAAAACUBAABkcnMvZTJvRG9jLnhtbFBLBQYAAAAABgAGAFkBAADdBQ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rPr>
                        <w:t>加油机</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1930400</wp:posOffset>
                </wp:positionH>
                <wp:positionV relativeFrom="paragraph">
                  <wp:posOffset>193040</wp:posOffset>
                </wp:positionV>
                <wp:extent cx="389255" cy="0"/>
                <wp:effectExtent l="0" t="38100" r="10795" b="38100"/>
                <wp:wrapNone/>
                <wp:docPr id="44" name="直接箭头连接符 44"/>
                <wp:cNvGraphicFramePr/>
                <a:graphic xmlns:a="http://schemas.openxmlformats.org/drawingml/2006/main">
                  <a:graphicData uri="http://schemas.microsoft.com/office/word/2010/wordprocessingShape">
                    <wps:wsp>
                      <wps:cNvCnPr>
                        <a:cxnSpLocks noChangeShapeType="1"/>
                      </wps:cNvCnPr>
                      <wps:spPr bwMode="auto">
                        <a:xfrm>
                          <a:off x="0" y="0"/>
                          <a:ext cx="389255" cy="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152pt;margin-top:15.2pt;height:0pt;width:30.65pt;z-index:251692032;mso-width-relative:page;mso-height-relative:page;" filled="f" stroked="t" coordsize="21600,21600" o:gfxdata="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3yfyDYAAAACQEAAA8AAAAA&#10;AAAAAQAgAAAAIgAAAGRycy9kb3ducmV2LnhtbFBLAQIUABQAAAAIAIdO4kCK6f7ZFAIAAPsDAAAO&#10;AAAAAAAAAAEAIAAAACcBAABkcnMvZTJvRG9jLnhtbFBLBQYAAAAABgAGAFkBAACt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1330960</wp:posOffset>
                </wp:positionH>
                <wp:positionV relativeFrom="paragraph">
                  <wp:posOffset>31115</wp:posOffset>
                </wp:positionV>
                <wp:extent cx="593725" cy="353695"/>
                <wp:effectExtent l="4445" t="5080" r="11430" b="22225"/>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lang w:eastAsia="zh-CN"/>
                              </w:rPr>
                              <w:t>潜油</w:t>
                            </w:r>
                            <w:r>
                              <w:rPr>
                                <w:rFonts w:hint="eastAsia"/>
                                <w:sz w:val="21"/>
                                <w:szCs w:val="21"/>
                              </w:rPr>
                              <w:t>泵</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4.8pt;margin-top:2.45pt;height:27.85pt;width:46.75pt;z-index:251689984;mso-width-relative:page;mso-height-relative:page;" fillcolor="#FFFFFF" filled="t" stroked="t" coordsize="21600,21600" o:gfxdata="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p72e61wAAAAgBAAAPAAAAAAAAAAEAIAAA&#10;ACIAAABkcnMvZG93bnJldi54bWxQSwECFAAUAAAACACHTuJAZOnKL0YCAACWBAAADgAAAAAAAAAB&#10;ACAAAAAmAQAAZHJzL2Uyb0RvYy54bWxQSwUGAAAAAAYABgBZAQAA3gU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lang w:eastAsia="zh-CN"/>
                        </w:rPr>
                        <w:t>潜油</w:t>
                      </w:r>
                      <w:r>
                        <w:rPr>
                          <w:rFonts w:hint="eastAsia"/>
                          <w:sz w:val="21"/>
                          <w:szCs w:val="21"/>
                        </w:rPr>
                        <w:t>泵</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923290</wp:posOffset>
                </wp:positionH>
                <wp:positionV relativeFrom="paragraph">
                  <wp:posOffset>185420</wp:posOffset>
                </wp:positionV>
                <wp:extent cx="389255" cy="0"/>
                <wp:effectExtent l="0" t="38100" r="10795" b="38100"/>
                <wp:wrapNone/>
                <wp:docPr id="39" name="直接箭头连接符 39"/>
                <wp:cNvGraphicFramePr/>
                <a:graphic xmlns:a="http://schemas.openxmlformats.org/drawingml/2006/main">
                  <a:graphicData uri="http://schemas.microsoft.com/office/word/2010/wordprocessingShape">
                    <wps:wsp>
                      <wps:cNvCnPr>
                        <a:cxnSpLocks noChangeShapeType="1"/>
                      </wps:cNvCnPr>
                      <wps:spPr bwMode="auto">
                        <a:xfrm>
                          <a:off x="0" y="0"/>
                          <a:ext cx="389255" cy="0"/>
                        </a:xfrm>
                        <a:prstGeom prst="straightConnector1">
                          <a:avLst/>
                        </a:prstGeom>
                        <a:noFill/>
                        <a:ln w="9525">
                          <a:solidFill>
                            <a:srgbClr val="000000"/>
                          </a:solidFill>
                          <a:round/>
                          <a:tailEnd type="triangle" w="med" len="med"/>
                        </a:ln>
                        <a:effectLst/>
                      </wps:spPr>
                      <wps:bodyPr/>
                    </wps:wsp>
                  </a:graphicData>
                </a:graphic>
              </wp:anchor>
            </w:drawing>
          </mc:Choice>
          <mc:Fallback>
            <w:pict>
              <v:shape id="_x0000_s1026" o:spid="_x0000_s1026" o:spt="32" type="#_x0000_t32" style="position:absolute;left:0pt;margin-left:72.7pt;margin-top:14.6pt;height:0pt;width:30.65pt;z-index:251688960;mso-width-relative:page;mso-height-relative:page;" filled="f" stroked="t" coordsize="21600,21600" o:gfxdata="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vP1vHYAAAACQEAAA8AAAAA&#10;AAAAAQAgAAAAIgAAAGRycy9kb3ducmV2LnhtbFBLAQIUABQAAAAIAIdO4kAlBJSSFAIAAPsDAAAO&#10;AAAAAAAAAAEAIAAAACcBAABkcnMvZTJvRG9jLnhtbFBLBQYAAAAABgAGAFkBAACt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318770</wp:posOffset>
                </wp:positionH>
                <wp:positionV relativeFrom="paragraph">
                  <wp:posOffset>31115</wp:posOffset>
                </wp:positionV>
                <wp:extent cx="593725" cy="353695"/>
                <wp:effectExtent l="4445" t="5080" r="11430" b="22225"/>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593725" cy="353695"/>
                        </a:xfrm>
                        <a:prstGeom prst="rect">
                          <a:avLst/>
                        </a:prstGeom>
                        <a:solidFill>
                          <a:srgbClr val="FFFFFF"/>
                        </a:solidFill>
                        <a:ln w="9525">
                          <a:solidFill>
                            <a:srgbClr val="000000"/>
                          </a:solidFill>
                          <a:miter lim="800000"/>
                        </a:ln>
                        <a:effectLst/>
                      </wps:spPr>
                      <wps:txbx>
                        <w:txbxContent>
                          <w:p>
                            <w:pPr>
                              <w:ind w:left="0" w:leftChars="0" w:firstLine="0" w:firstLineChars="0"/>
                              <w:jc w:val="center"/>
                            </w:pPr>
                            <w:r>
                              <w:rPr>
                                <w:rFonts w:hint="eastAsia"/>
                                <w:sz w:val="21"/>
                                <w:szCs w:val="21"/>
                              </w:rPr>
                              <w:t>储油罐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5.1pt;margin-top:2.45pt;height:27.85pt;width:46.75pt;z-index:251687936;mso-width-relative:page;mso-height-relative:page;" fillcolor="#FFFFFF" filled="t" stroked="t" coordsize="21600,21600" o:gfxdata="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6QzU/WAAAABwEAAA8AAAAAAAAAAQAgAAAA&#10;IgAAAGRycy9kb3ducmV2LnhtbFBLAQIUABQAAAAIAIdO4kDmNFWHRgIAAJYEAAAOAAAAAAAAAAEA&#10;IAAAACUBAABkcnMvZTJvRG9jLnhtbFBLBQYAAAAABgAGAFkBAADdBQAAAAA=&#10;">
                <v:fill on="t" focussize="0,0"/>
                <v:stroke color="#000000" miterlimit="8" joinstyle="miter"/>
                <v:imagedata o:title=""/>
                <o:lock v:ext="edit" aspectratio="f"/>
                <v:textbox>
                  <w:txbxContent>
                    <w:p>
                      <w:pPr>
                        <w:ind w:left="0" w:leftChars="0" w:firstLine="0" w:firstLineChars="0"/>
                        <w:jc w:val="center"/>
                      </w:pPr>
                      <w:r>
                        <w:rPr>
                          <w:rFonts w:hint="eastAsia"/>
                          <w:sz w:val="21"/>
                          <w:szCs w:val="21"/>
                        </w:rPr>
                        <w:t>储油罐</w:t>
                      </w:r>
                    </w:p>
                  </w:txbxContent>
                </v:textbox>
              </v:shape>
            </w:pict>
          </mc:Fallback>
        </mc:AlternateContent>
      </w:r>
    </w:p>
    <w:p>
      <w:pPr>
        <w:pStyle w:val="86"/>
        <w:rPr>
          <w:rFonts w:hint="eastAsia" w:cs="Times New Roman"/>
          <w:color w:val="auto"/>
          <w:szCs w:val="28"/>
          <w:lang w:eastAsia="zh-CN"/>
        </w:rPr>
      </w:pPr>
    </w:p>
    <w:p>
      <w:pPr>
        <w:pStyle w:val="94"/>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default" w:ascii="Times New Roman" w:hAnsi="Times New Roman" w:eastAsia="宋体" w:cs="Times New Roman"/>
          <w:b w:val="0"/>
          <w:snapToGrid/>
          <w:color w:val="auto"/>
          <w:spacing w:val="10"/>
          <w:kern w:val="2"/>
          <w:sz w:val="28"/>
          <w:szCs w:val="28"/>
          <w:lang w:val="en-US" w:eastAsia="zh-CN" w:bidi="ar-SA"/>
        </w:rPr>
      </w:pPr>
      <w:r>
        <w:rPr>
          <w:rFonts w:hint="eastAsia" w:eastAsia="宋体" w:cs="Times New Roman"/>
          <w:b w:val="0"/>
          <w:snapToGrid/>
          <w:color w:val="auto"/>
          <w:spacing w:val="10"/>
          <w:kern w:val="2"/>
          <w:sz w:val="28"/>
          <w:szCs w:val="28"/>
          <w:lang w:val="en-US" w:eastAsia="zh-CN" w:bidi="ar-SA"/>
        </w:rPr>
        <w:t>4）柴油加油工艺流程</w:t>
      </w:r>
    </w:p>
    <w:p>
      <w:pPr>
        <w:pStyle w:val="94"/>
        <w:keepNext w:val="0"/>
        <w:keepLines w:val="0"/>
        <w:pageBreakBefore w:val="0"/>
        <w:widowControl w:val="0"/>
        <w:kinsoku/>
        <w:wordWrap/>
        <w:overflowPunct/>
        <w:topLinePunct w:val="0"/>
        <w:autoSpaceDE/>
        <w:autoSpaceDN/>
        <w:bidi w:val="0"/>
        <w:adjustRightInd w:val="0"/>
        <w:snapToGrid w:val="0"/>
        <w:spacing w:line="360" w:lineRule="auto"/>
        <w:ind w:left="0" w:leftChars="0"/>
        <w:jc w:val="both"/>
        <w:textAlignment w:val="auto"/>
        <w:rPr>
          <w:rFonts w:hint="eastAsia" w:ascii="Times New Roman" w:hAnsi="Times New Roman" w:eastAsia="宋体" w:cs="Times New Roman"/>
          <w:b w:val="0"/>
          <w:snapToGrid/>
          <w:color w:val="auto"/>
          <w:spacing w:val="10"/>
          <w:kern w:val="2"/>
          <w:sz w:val="28"/>
          <w:szCs w:val="28"/>
          <w:lang w:val="en-US" w:eastAsia="zh-CN" w:bidi="ar-SA"/>
        </w:rPr>
      </w:pPr>
      <w:r>
        <w:rPr>
          <w:rFonts w:hint="eastAsia" w:eastAsia="宋体" w:cs="Times New Roman"/>
          <w:b w:val="0"/>
          <w:snapToGrid/>
          <w:color w:val="auto"/>
          <w:spacing w:val="10"/>
          <w:kern w:val="2"/>
          <w:sz w:val="28"/>
          <w:szCs w:val="28"/>
          <w:lang w:val="en-US" w:eastAsia="zh-CN" w:bidi="ar-SA"/>
        </w:rPr>
        <w:t>柴油</w:t>
      </w:r>
      <w:r>
        <w:rPr>
          <w:rFonts w:hint="default" w:ascii="Times New Roman" w:hAnsi="Times New Roman" w:eastAsia="宋体" w:cs="Times New Roman"/>
          <w:b w:val="0"/>
          <w:snapToGrid/>
          <w:color w:val="auto"/>
          <w:spacing w:val="10"/>
          <w:kern w:val="2"/>
          <w:sz w:val="28"/>
          <w:szCs w:val="28"/>
          <w:lang w:val="en-US" w:eastAsia="zh-CN" w:bidi="ar-SA"/>
        </w:rPr>
        <w:t>销售时，油品从储油罐中经潜油泵提升加压后送到加油机再注入到</w:t>
      </w:r>
      <w:r>
        <w:rPr>
          <w:rFonts w:hint="eastAsia" w:eastAsia="宋体" w:cs="Times New Roman"/>
          <w:b w:val="0"/>
          <w:snapToGrid/>
          <w:color w:val="auto"/>
          <w:spacing w:val="10"/>
          <w:kern w:val="2"/>
          <w:sz w:val="28"/>
          <w:szCs w:val="28"/>
          <w:lang w:val="en-US" w:eastAsia="zh-CN" w:bidi="ar-SA"/>
        </w:rPr>
        <w:t>车辆</w:t>
      </w:r>
      <w:r>
        <w:rPr>
          <w:rFonts w:hint="default" w:ascii="Times New Roman" w:hAnsi="Times New Roman" w:eastAsia="宋体" w:cs="Times New Roman"/>
          <w:b w:val="0"/>
          <w:snapToGrid/>
          <w:color w:val="auto"/>
          <w:spacing w:val="10"/>
          <w:kern w:val="2"/>
          <w:sz w:val="28"/>
          <w:szCs w:val="28"/>
          <w:lang w:val="en-US" w:eastAsia="zh-CN" w:bidi="ar-SA"/>
        </w:rPr>
        <w:t>油箱中，加油枪流量不超过</w:t>
      </w:r>
      <w:r>
        <w:rPr>
          <w:rFonts w:hint="eastAsia" w:eastAsia="宋体" w:cs="Times New Roman"/>
          <w:b w:val="0"/>
          <w:snapToGrid/>
          <w:color w:val="auto"/>
          <w:spacing w:val="10"/>
          <w:kern w:val="2"/>
          <w:sz w:val="28"/>
          <w:szCs w:val="28"/>
          <w:lang w:val="en-US" w:eastAsia="zh-CN" w:bidi="ar-SA"/>
        </w:rPr>
        <w:t>7</w:t>
      </w:r>
      <w:r>
        <w:rPr>
          <w:rFonts w:hint="default" w:ascii="Times New Roman" w:hAnsi="Times New Roman" w:eastAsia="宋体" w:cs="Times New Roman"/>
          <w:b w:val="0"/>
          <w:snapToGrid/>
          <w:color w:val="auto"/>
          <w:spacing w:val="10"/>
          <w:kern w:val="2"/>
          <w:sz w:val="28"/>
          <w:szCs w:val="28"/>
          <w:lang w:val="en-US" w:eastAsia="zh-CN" w:bidi="ar-SA"/>
        </w:rPr>
        <w:t>0L/min。</w:t>
      </w:r>
    </w:p>
    <w:p>
      <w:pPr>
        <w:keepNext w:val="0"/>
        <w:keepLines w:val="0"/>
        <w:pageBreakBefore w:val="0"/>
        <w:kinsoku/>
        <w:wordWrap/>
        <w:overflowPunct/>
        <w:topLinePunct w:val="0"/>
        <w:autoSpaceDE/>
        <w:autoSpaceDN/>
        <w:bidi w:val="0"/>
        <w:adjustRightInd w:val="0"/>
        <w:snapToGrid w:val="0"/>
        <w:ind w:firstLine="560"/>
        <w:jc w:val="both"/>
        <w:textAlignment w:val="auto"/>
        <w:rPr>
          <w:rFonts w:hint="default" w:ascii="Times New Roman" w:hAnsi="Times New Roman" w:cs="Times New Roman"/>
          <w:bCs/>
          <w:color w:val="auto"/>
          <w:szCs w:val="28"/>
        </w:rPr>
      </w:pPr>
      <w:r>
        <w:rPr>
          <w:rFonts w:hint="eastAsia" w:cs="Times New Roman"/>
          <w:bCs/>
          <w:color w:val="auto"/>
          <w:szCs w:val="28"/>
          <w:lang w:eastAsia="zh-CN"/>
        </w:rPr>
        <w:t>（</w:t>
      </w:r>
      <w:r>
        <w:rPr>
          <w:rFonts w:hint="eastAsia" w:cs="Times New Roman"/>
          <w:bCs/>
          <w:color w:val="auto"/>
          <w:szCs w:val="28"/>
          <w:lang w:val="en-US" w:eastAsia="zh-CN"/>
        </w:rPr>
        <w:t>3</w:t>
      </w:r>
      <w:r>
        <w:rPr>
          <w:rFonts w:hint="eastAsia" w:cs="Times New Roman"/>
          <w:bCs/>
          <w:color w:val="auto"/>
          <w:szCs w:val="28"/>
          <w:lang w:eastAsia="zh-CN"/>
        </w:rPr>
        <w:t>）</w:t>
      </w:r>
      <w:r>
        <w:rPr>
          <w:rFonts w:hint="default" w:ascii="Times New Roman" w:hAnsi="Times New Roman" w:cs="Times New Roman"/>
          <w:bCs/>
          <w:color w:val="auto"/>
          <w:szCs w:val="28"/>
        </w:rPr>
        <w:t>油气回收流程</w:t>
      </w:r>
    </w:p>
    <w:p>
      <w:pPr>
        <w:keepNext w:val="0"/>
        <w:keepLines w:val="0"/>
        <w:pageBreakBefore w:val="0"/>
        <w:kinsoku/>
        <w:wordWrap/>
        <w:overflowPunct/>
        <w:topLinePunct w:val="0"/>
        <w:autoSpaceDE/>
        <w:autoSpaceDN/>
        <w:bidi w:val="0"/>
        <w:adjustRightInd w:val="0"/>
        <w:snapToGrid w:val="0"/>
        <w:ind w:firstLine="560"/>
        <w:jc w:val="both"/>
        <w:textAlignment w:val="auto"/>
        <w:rPr>
          <w:rFonts w:hint="default" w:ascii="Times New Roman" w:hAnsi="Times New Roman" w:cs="Times New Roman"/>
          <w:bCs/>
          <w:color w:val="auto"/>
          <w:szCs w:val="28"/>
        </w:rPr>
      </w:pPr>
      <w:r>
        <w:rPr>
          <w:rFonts w:hint="eastAsia" w:cs="Times New Roman"/>
          <w:bCs/>
          <w:color w:val="auto"/>
          <w:szCs w:val="28"/>
          <w:lang w:val="en-US" w:eastAsia="zh-CN"/>
        </w:rPr>
        <w:t>该加油中心汽油设施</w:t>
      </w:r>
      <w:r>
        <w:rPr>
          <w:rFonts w:hint="default" w:ascii="Times New Roman" w:hAnsi="Times New Roman" w:cs="Times New Roman"/>
          <w:bCs/>
          <w:color w:val="auto"/>
          <w:szCs w:val="28"/>
        </w:rPr>
        <w:t>采用</w:t>
      </w:r>
      <w:r>
        <w:rPr>
          <w:rFonts w:hint="eastAsia" w:cs="Times New Roman"/>
          <w:bCs/>
          <w:color w:val="auto"/>
          <w:szCs w:val="28"/>
          <w:lang w:val="en-US" w:eastAsia="zh-CN"/>
        </w:rPr>
        <w:t>两</w:t>
      </w:r>
      <w:r>
        <w:rPr>
          <w:rFonts w:hint="default" w:ascii="Times New Roman" w:hAnsi="Times New Roman" w:cs="Times New Roman"/>
          <w:bCs/>
          <w:color w:val="auto"/>
          <w:szCs w:val="28"/>
        </w:rPr>
        <w:t>次油气回收，包括卸油油气回收（将卸油时的油气回收到油罐车里），加油油气回收（</w:t>
      </w:r>
      <w:r>
        <w:rPr>
          <w:rFonts w:hint="eastAsia" w:cs="Times New Roman"/>
          <w:bCs/>
          <w:color w:val="auto"/>
          <w:szCs w:val="28"/>
          <w:lang w:eastAsia="zh-CN"/>
        </w:rPr>
        <w:t>加</w:t>
      </w:r>
      <w:r>
        <w:rPr>
          <w:rFonts w:hint="default" w:ascii="Times New Roman" w:hAnsi="Times New Roman" w:cs="Times New Roman"/>
          <w:bCs/>
          <w:color w:val="auto"/>
          <w:szCs w:val="28"/>
        </w:rPr>
        <w:t>油站给汽车加油时，将加油时的油气通过改造后的加油枪密封回收</w:t>
      </w:r>
      <w:r>
        <w:rPr>
          <w:rFonts w:hint="eastAsia" w:cs="Times New Roman"/>
          <w:bCs/>
          <w:color w:val="auto"/>
          <w:szCs w:val="28"/>
          <w:lang w:eastAsia="zh-CN"/>
        </w:rPr>
        <w:t>至</w:t>
      </w:r>
      <w:r>
        <w:rPr>
          <w:rFonts w:hint="default" w:ascii="Times New Roman" w:hAnsi="Times New Roman" w:cs="Times New Roman"/>
          <w:bCs/>
          <w:color w:val="auto"/>
          <w:szCs w:val="28"/>
        </w:rPr>
        <w:t>加油站的油罐）。油气回收工艺流程如下：</w:t>
      </w:r>
    </w:p>
    <w:p>
      <w:pPr>
        <w:keepNext w:val="0"/>
        <w:keepLines w:val="0"/>
        <w:pageBreakBefore w:val="0"/>
        <w:kinsoku/>
        <w:wordWrap/>
        <w:overflowPunct/>
        <w:topLinePunct w:val="0"/>
        <w:autoSpaceDE/>
        <w:autoSpaceDN/>
        <w:bidi w:val="0"/>
        <w:adjustRightInd w:val="0"/>
        <w:snapToGrid w:val="0"/>
        <w:ind w:firstLine="560"/>
        <w:jc w:val="both"/>
        <w:textAlignment w:val="auto"/>
        <w:rPr>
          <w:rFonts w:hint="default" w:ascii="Times New Roman" w:hAnsi="Times New Roman" w:cs="Times New Roman"/>
          <w:color w:val="auto"/>
        </w:rPr>
      </w:pPr>
      <w:r>
        <w:rPr>
          <w:rFonts w:hint="eastAsia" w:cs="Times New Roman"/>
          <w:color w:val="auto"/>
          <w:kern w:val="0"/>
          <w:szCs w:val="28"/>
          <w:lang w:val="en-US" w:eastAsia="zh-CN" w:bidi="ar"/>
        </w:rPr>
        <w:t>汽油</w:t>
      </w:r>
      <w:r>
        <w:rPr>
          <w:rFonts w:hint="default" w:ascii="Times New Roman" w:hAnsi="Times New Roman" w:cs="Times New Roman"/>
          <w:color w:val="auto"/>
          <w:kern w:val="0"/>
          <w:szCs w:val="28"/>
          <w:lang w:bidi="ar"/>
        </w:rPr>
        <w:t>卸油油气回收：</w:t>
      </w:r>
      <w:r>
        <w:rPr>
          <w:rFonts w:hint="default" w:ascii="Times New Roman" w:hAnsi="Times New Roman" w:cs="Times New Roman"/>
          <w:color w:val="auto"/>
          <w:spacing w:val="10"/>
          <w:sz w:val="28"/>
          <w:szCs w:val="28"/>
        </w:rPr>
        <w:t>汽油油罐车卸油油气回收系统采用平衡式密闭油气回收系统，是在油罐车装卸过程中，实现全封闭气体回收，限制油气向大气中排放。即在油罐车与储油槽之输油管及油气回收管连接成一密闭的油气回收管路。油罐车通过卸油管路卸油的同时，加油站油罐中的油气通过回气管路回到油罐车中</w:t>
      </w:r>
      <w:r>
        <w:rPr>
          <w:rFonts w:hint="default" w:ascii="Times New Roman" w:hAnsi="Times New Roman" w:cs="Times New Roman"/>
          <w:color w:val="auto"/>
          <w:kern w:val="0"/>
          <w:szCs w:val="28"/>
          <w:lang w:bidi="ar"/>
        </w:rPr>
        <w:t>。</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bCs/>
          <w:color w:val="auto"/>
          <w:szCs w:val="28"/>
        </w:rPr>
      </w:pPr>
      <w:r>
        <w:rPr>
          <w:rFonts w:hint="default" w:ascii="Times New Roman" w:hAnsi="Times New Roman" w:cs="Times New Roman"/>
          <w:bCs/>
          <w:color w:val="auto"/>
          <w:szCs w:val="28"/>
        </w:rPr>
        <w:t>汽油加油油气回收：</w:t>
      </w:r>
      <w:r>
        <w:rPr>
          <w:rFonts w:hint="default" w:ascii="Times New Roman" w:hAnsi="Times New Roman" w:eastAsia="宋体" w:cs="Times New Roman"/>
          <w:color w:val="auto"/>
          <w:kern w:val="0"/>
          <w:sz w:val="28"/>
          <w:szCs w:val="28"/>
          <w:lang w:bidi="ar"/>
        </w:rPr>
        <w:t>在汽车加油过程中，将汽车油箱内及加油枪口散溢的油气，通过油气回收专用加油枪收集，经油气回收管线输送至汽油储罐，实现加油与油气等体积置换。油气回收管线设止逆阀，防止油气返回</w:t>
      </w:r>
      <w:r>
        <w:rPr>
          <w:rFonts w:hint="default" w:ascii="Times New Roman" w:hAnsi="Times New Roman" w:cs="Times New Roman"/>
          <w:bCs/>
          <w:color w:val="auto"/>
          <w:szCs w:val="28"/>
        </w:rPr>
        <w:t>。每个加油机底部供油管线上设有剪切阀，并在加油软管设有安全拉断阀，作用是在加油机收到冲击或者发生火灾时阻止油品连续泄漏。</w:t>
      </w:r>
    </w:p>
    <w:p>
      <w:pPr>
        <w:pStyle w:val="5"/>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2.3.4 公用工程及辅助设施</w:t>
      </w:r>
    </w:p>
    <w:p>
      <w:pPr>
        <w:adjustRightInd w:val="0"/>
        <w:snapToGrid w:val="0"/>
        <w:spacing w:line="360" w:lineRule="auto"/>
        <w:ind w:firstLine="560" w:firstLineChars="200"/>
        <w:rPr>
          <w:rFonts w:ascii="Times New Roman"/>
          <w:sz w:val="28"/>
          <w:szCs w:val="28"/>
        </w:rPr>
      </w:pPr>
      <w:r>
        <w:rPr>
          <w:rFonts w:ascii="Times New Roman"/>
          <w:sz w:val="28"/>
          <w:szCs w:val="28"/>
        </w:rPr>
        <w:t>（1）给、排水</w:t>
      </w:r>
    </w:p>
    <w:p>
      <w:pPr>
        <w:pStyle w:val="10"/>
        <w:adjustRightInd w:val="0"/>
        <w:snapToGrid w:val="0"/>
        <w:spacing w:after="0" w:line="360" w:lineRule="auto"/>
        <w:ind w:firstLine="560" w:firstLineChars="200"/>
        <w:rPr>
          <w:rFonts w:ascii="Times New Roman"/>
          <w:sz w:val="28"/>
          <w:szCs w:val="28"/>
        </w:rPr>
      </w:pPr>
      <w:r>
        <w:rPr>
          <w:rFonts w:ascii="Times New Roman"/>
          <w:sz w:val="28"/>
          <w:szCs w:val="28"/>
        </w:rPr>
        <w:t>该加油</w:t>
      </w:r>
      <w:r>
        <w:rPr>
          <w:rFonts w:hint="eastAsia"/>
          <w:sz w:val="28"/>
          <w:szCs w:val="28"/>
          <w:lang w:eastAsia="zh-CN"/>
        </w:rPr>
        <w:t>中心</w:t>
      </w:r>
      <w:r>
        <w:rPr>
          <w:rFonts w:ascii="Times New Roman"/>
          <w:sz w:val="28"/>
          <w:szCs w:val="28"/>
        </w:rPr>
        <w:t>用水来源</w:t>
      </w:r>
      <w:r>
        <w:rPr>
          <w:rFonts w:hint="eastAsia"/>
          <w:sz w:val="28"/>
          <w:szCs w:val="28"/>
          <w:lang w:eastAsia="zh-CN"/>
        </w:rPr>
        <w:t>由小街村供给</w:t>
      </w:r>
      <w:r>
        <w:rPr>
          <w:rFonts w:ascii="Times New Roman"/>
          <w:sz w:val="28"/>
          <w:szCs w:val="28"/>
        </w:rPr>
        <w:t>，主要为生活用水；排水主要为雨水、生活污水，</w:t>
      </w:r>
      <w:r>
        <w:rPr>
          <w:rFonts w:ascii="Times New Roman" w:hAnsi="Times New Roman" w:cs="Times New Roman"/>
          <w:sz w:val="28"/>
          <w:szCs w:val="28"/>
        </w:rPr>
        <w:t>雨水为地面</w:t>
      </w:r>
      <w:r>
        <w:rPr>
          <w:rFonts w:hint="eastAsia" w:cs="Times New Roman"/>
          <w:sz w:val="28"/>
          <w:szCs w:val="28"/>
          <w:lang w:eastAsia="zh-CN"/>
        </w:rPr>
        <w:t>漫流</w:t>
      </w:r>
      <w:r>
        <w:rPr>
          <w:rFonts w:ascii="Times New Roman" w:hAnsi="Times New Roman" w:cs="Times New Roman"/>
          <w:sz w:val="28"/>
          <w:szCs w:val="28"/>
        </w:rPr>
        <w:t>，</w:t>
      </w:r>
      <w:r>
        <w:rPr>
          <w:rFonts w:hint="default" w:ascii="Times New Roman" w:hAnsi="Times New Roman" w:cs="Times New Roman"/>
          <w:sz w:val="28"/>
          <w:szCs w:val="28"/>
          <w:lang w:val="zh-CN"/>
        </w:rPr>
        <w:t>站内生活污水排入化粪池，经处理后</w:t>
      </w:r>
      <w:r>
        <w:rPr>
          <w:rFonts w:hint="eastAsia" w:ascii="Times New Roman" w:hAnsi="Times New Roman" w:cs="Times New Roman"/>
          <w:sz w:val="28"/>
          <w:szCs w:val="28"/>
          <w:lang w:val="zh-CN"/>
        </w:rPr>
        <w:t>由专用收集车辆进行清运</w:t>
      </w:r>
      <w:r>
        <w:rPr>
          <w:rFonts w:ascii="Times New Roman"/>
          <w:sz w:val="28"/>
          <w:szCs w:val="28"/>
        </w:rPr>
        <w:t>。</w:t>
      </w:r>
    </w:p>
    <w:p>
      <w:pPr>
        <w:pStyle w:val="10"/>
        <w:adjustRightInd w:val="0"/>
        <w:snapToGrid w:val="0"/>
        <w:spacing w:after="0" w:line="360" w:lineRule="auto"/>
        <w:ind w:firstLine="560" w:firstLineChars="200"/>
        <w:rPr>
          <w:rFonts w:ascii="Times New Roman"/>
          <w:sz w:val="28"/>
          <w:szCs w:val="28"/>
        </w:rPr>
      </w:pPr>
      <w:r>
        <w:rPr>
          <w:rFonts w:ascii="Times New Roman"/>
          <w:sz w:val="28"/>
          <w:szCs w:val="28"/>
        </w:rPr>
        <w:t>（2）供配电</w:t>
      </w:r>
    </w:p>
    <w:p>
      <w:pPr>
        <w:pStyle w:val="86"/>
      </w:pPr>
      <w:r>
        <w:t>该加油站用电由</w:t>
      </w:r>
      <w:r>
        <w:rPr>
          <w:rFonts w:hint="eastAsia"/>
          <w:lang w:eastAsia="zh-CN"/>
        </w:rPr>
        <w:t>市政供电电网</w:t>
      </w:r>
      <w:r>
        <w:t>提供，项目供电负荷为三级负荷，通过10kV电力线</w:t>
      </w:r>
      <w:r>
        <w:rPr>
          <w:rFonts w:hint="eastAsia"/>
          <w:lang w:eastAsia="zh-CN"/>
        </w:rPr>
        <w:t>架空</w:t>
      </w:r>
      <w:r>
        <w:t>引入站区</w:t>
      </w:r>
      <w:r>
        <w:rPr>
          <w:rFonts w:hint="eastAsia"/>
          <w:lang w:val="en-US" w:eastAsia="zh-CN"/>
        </w:rPr>
        <w:t>东北</w:t>
      </w:r>
      <w:r>
        <w:rPr>
          <w:rFonts w:hint="eastAsia"/>
          <w:lang w:eastAsia="zh-CN"/>
        </w:rPr>
        <w:t>侧</w:t>
      </w:r>
      <w:r>
        <w:t>一台型号为</w:t>
      </w:r>
      <w:r>
        <w:rPr>
          <w:rFonts w:hint="eastAsia"/>
          <w:lang w:val="en-US" w:eastAsia="zh-CN"/>
        </w:rPr>
        <w:t>S11-M-50/10</w:t>
      </w:r>
      <w:r>
        <w:t>的</w:t>
      </w:r>
      <w:r>
        <w:rPr>
          <w:rFonts w:hint="eastAsia"/>
          <w:lang w:eastAsia="zh-CN"/>
        </w:rPr>
        <w:t>露天</w:t>
      </w:r>
      <w:r>
        <w:t>变压器，经配电室分配至各用电设备使用，该项目用电负荷</w:t>
      </w:r>
      <w:r>
        <w:rPr>
          <w:rFonts w:hint="eastAsia"/>
          <w:lang w:eastAsia="zh-CN"/>
        </w:rPr>
        <w:t>约</w:t>
      </w:r>
      <w:r>
        <w:t>为</w:t>
      </w:r>
      <w:r>
        <w:rPr>
          <w:rFonts w:hint="eastAsia"/>
          <w:lang w:val="en-US" w:eastAsia="zh-CN"/>
        </w:rPr>
        <w:t>27</w:t>
      </w:r>
      <w:r>
        <w:t>kW，站内电力线路埋地敷设</w:t>
      </w:r>
      <w:r>
        <w:rPr>
          <w:rFonts w:hint="eastAsia"/>
          <w:lang w:val="en-US" w:eastAsia="zh-CN"/>
        </w:rPr>
        <w:t>，</w:t>
      </w:r>
      <w:r>
        <w:t>电力供应能够满足营业需求。</w:t>
      </w:r>
    </w:p>
    <w:p>
      <w:pPr>
        <w:pStyle w:val="86"/>
        <w:rPr>
          <w:rFonts w:hint="default" w:eastAsia="宋体"/>
          <w:lang w:val="en-US" w:eastAsia="zh-CN"/>
        </w:rPr>
      </w:pPr>
      <w:r>
        <w:rPr>
          <w:rFonts w:hint="eastAsia"/>
          <w:lang w:eastAsia="zh-CN"/>
        </w:rPr>
        <w:t>该站区高低液位报警系统及测漏装置配备</w:t>
      </w:r>
      <w:r>
        <w:rPr>
          <w:rFonts w:hint="eastAsia"/>
          <w:lang w:val="en-US" w:eastAsia="zh-CN"/>
        </w:rPr>
        <w:t>UPS电源，持续时间不低于30min</w:t>
      </w:r>
      <w:r>
        <w:rPr>
          <w:rFonts w:hint="eastAsia"/>
          <w:lang w:eastAsia="zh-CN"/>
        </w:rPr>
        <w:t>。</w:t>
      </w:r>
      <w:r>
        <w:rPr>
          <w:rFonts w:hint="eastAsia"/>
          <w:lang w:val="en-US" w:eastAsia="zh-CN"/>
        </w:rPr>
        <w:t>视频监控供电系统配置有UPS电源，持续时间不低于2h，符合</w:t>
      </w:r>
      <w:r>
        <w:rPr>
          <w:rFonts w:hint="eastAsia" w:ascii="Times New Roman" w:hAnsi="Times New Roman" w:eastAsia="宋体" w:cs="Times New Roman"/>
          <w:szCs w:val="21"/>
          <w:lang w:val="en-US" w:eastAsia="zh-CN"/>
        </w:rPr>
        <w:t>《加油加气站视频安防监控系统技术》（AQ/T3050-2013）的要求</w:t>
      </w:r>
      <w:r>
        <w:rPr>
          <w:rFonts w:hint="eastAsia"/>
          <w:lang w:val="en-US" w:eastAsia="zh-CN"/>
        </w:rPr>
        <w:t>。</w:t>
      </w:r>
    </w:p>
    <w:p>
      <w:pPr>
        <w:adjustRightInd w:val="0"/>
        <w:snapToGrid w:val="0"/>
        <w:spacing w:line="360" w:lineRule="auto"/>
        <w:ind w:firstLine="560" w:firstLineChars="200"/>
        <w:rPr>
          <w:rFonts w:ascii="Times New Roman"/>
          <w:sz w:val="28"/>
          <w:szCs w:val="28"/>
        </w:rPr>
      </w:pPr>
      <w:r>
        <w:rPr>
          <w:rFonts w:ascii="Times New Roman"/>
          <w:sz w:val="28"/>
          <w:szCs w:val="28"/>
        </w:rPr>
        <w:t>（3）防雷、防静电</w:t>
      </w:r>
    </w:p>
    <w:p>
      <w:pPr>
        <w:adjustRightInd w:val="0"/>
        <w:snapToGrid w:val="0"/>
        <w:spacing w:line="360" w:lineRule="auto"/>
        <w:ind w:firstLine="560" w:firstLineChars="200"/>
        <w:rPr>
          <w:rFonts w:ascii="Times New Roman"/>
          <w:sz w:val="28"/>
          <w:szCs w:val="28"/>
        </w:rPr>
      </w:pPr>
      <w:r>
        <w:rPr>
          <w:rFonts w:ascii="Times New Roman"/>
          <w:sz w:val="28"/>
          <w:szCs w:val="28"/>
        </w:rPr>
        <w:t>1）防雷</w:t>
      </w:r>
    </w:p>
    <w:p>
      <w:pPr>
        <w:pStyle w:val="86"/>
      </w:pPr>
      <w:r>
        <w:t>该加油站</w:t>
      </w:r>
      <w:r>
        <w:rPr>
          <w:rFonts w:hint="eastAsia"/>
          <w:lang w:eastAsia="zh-CN"/>
        </w:rPr>
        <w:t>罩棚按第二类防雷建筑物设防，站房、辅助用房</w:t>
      </w:r>
      <w:r>
        <w:t>按照</w:t>
      </w:r>
      <w:r>
        <w:rPr>
          <w:rFonts w:hint="eastAsia"/>
          <w:lang w:eastAsia="zh-CN"/>
        </w:rPr>
        <w:t>第三</w:t>
      </w:r>
      <w:r>
        <w:t>类防雷建构筑物设防。</w:t>
      </w:r>
    </w:p>
    <w:p>
      <w:pPr>
        <w:pStyle w:val="86"/>
      </w:pPr>
      <w:r>
        <w:rPr>
          <w:rFonts w:hint="eastAsia"/>
          <w:lang w:eastAsia="zh-CN"/>
        </w:rPr>
        <w:t>站房的接地利用基础内钢筋，罩棚防雷引下线在距地</w:t>
      </w:r>
      <w:r>
        <w:rPr>
          <w:rFonts w:hint="eastAsia"/>
          <w:lang w:val="en-US" w:eastAsia="zh-CN"/>
        </w:rPr>
        <w:t>0.5m的地方设置断接卡子，接地极采用40×4热镀锌扁钢，深埋1.0m。接地极采用50×50×5热镀锌角钢</w:t>
      </w:r>
      <w:r>
        <w:t xml:space="preserve">。 </w:t>
      </w:r>
    </w:p>
    <w:p>
      <w:pPr>
        <w:pStyle w:val="86"/>
      </w:pPr>
      <w:r>
        <w:rPr>
          <w:rFonts w:hint="eastAsia"/>
          <w:lang w:eastAsia="zh-CN"/>
        </w:rPr>
        <w:t>双层油罐顶部的金属部件和罐内的各金属部件，与非埋地部分的工艺金属管道相互做电气连接并与站区内的接地装置连接。通气管、密闭卸油口就近与接地网可靠连接。罩棚柱、储罐与接地装置连接处均设置断接卡</w:t>
      </w:r>
      <w:r>
        <w:t>。</w:t>
      </w:r>
    </w:p>
    <w:p>
      <w:pPr>
        <w:pStyle w:val="86"/>
      </w:pPr>
      <w:r>
        <w:t>该</w:t>
      </w:r>
      <w:r>
        <w:rPr>
          <w:rFonts w:hint="eastAsia"/>
          <w:lang w:eastAsia="zh-CN"/>
        </w:rPr>
        <w:t>加油中心防雷、防静电接地、电气设备的工作接地、保护接地及信息系统的接地等共用接地装置，其接地电阻</w:t>
      </w:r>
      <w:r>
        <w:rPr>
          <w:rFonts w:hint="eastAsia"/>
          <w:lang w:val="en-US" w:eastAsia="zh-CN"/>
        </w:rPr>
        <w:t>R≤4Ω</w:t>
      </w:r>
      <w:r>
        <w:rPr>
          <w:rFonts w:hint="eastAsia"/>
          <w:color w:val="auto"/>
        </w:rPr>
        <w:t>。</w:t>
      </w:r>
      <w:r>
        <w:rPr>
          <w:color w:val="auto"/>
        </w:rPr>
        <w:t>该加油</w:t>
      </w:r>
      <w:r>
        <w:rPr>
          <w:rFonts w:hint="eastAsia"/>
          <w:color w:val="auto"/>
          <w:lang w:eastAsia="zh-CN"/>
        </w:rPr>
        <w:t>中心</w:t>
      </w:r>
      <w:r>
        <w:rPr>
          <w:color w:val="auto"/>
        </w:rPr>
        <w:t>于</w:t>
      </w:r>
      <w:r>
        <w:rPr>
          <w:rFonts w:hint="eastAsia"/>
          <w:color w:val="auto"/>
        </w:rPr>
        <w:t>20</w:t>
      </w:r>
      <w:r>
        <w:rPr>
          <w:rFonts w:hint="eastAsia"/>
          <w:color w:val="auto"/>
          <w:lang w:val="en-US" w:eastAsia="zh-CN"/>
        </w:rPr>
        <w:t>21</w:t>
      </w:r>
      <w:r>
        <w:rPr>
          <w:rFonts w:hint="eastAsia"/>
          <w:color w:val="auto"/>
        </w:rPr>
        <w:t>年</w:t>
      </w:r>
      <w:r>
        <w:rPr>
          <w:rFonts w:hint="eastAsia"/>
          <w:color w:val="auto"/>
          <w:lang w:val="en-US" w:eastAsia="zh-CN"/>
        </w:rPr>
        <w:t>1</w:t>
      </w:r>
      <w:r>
        <w:rPr>
          <w:rFonts w:hint="eastAsia"/>
          <w:color w:val="auto"/>
        </w:rPr>
        <w:t>月</w:t>
      </w:r>
      <w:r>
        <w:rPr>
          <w:rFonts w:hint="eastAsia"/>
          <w:color w:val="auto"/>
          <w:lang w:val="en-US" w:eastAsia="zh-CN"/>
        </w:rPr>
        <w:t>8</w:t>
      </w:r>
      <w:r>
        <w:rPr>
          <w:rFonts w:hint="eastAsia"/>
          <w:color w:val="auto"/>
        </w:rPr>
        <w:t>日</w:t>
      </w:r>
      <w:r>
        <w:rPr>
          <w:rFonts w:hint="eastAsia"/>
          <w:color w:val="auto"/>
          <w:lang w:eastAsia="zh-CN"/>
        </w:rPr>
        <w:t>由吉林省宇泰安全技术服务有限公司</w:t>
      </w:r>
      <w:r>
        <w:rPr>
          <w:color w:val="auto"/>
        </w:rPr>
        <w:t>出具的</w:t>
      </w:r>
      <w:r>
        <w:rPr>
          <w:rFonts w:hint="eastAsia"/>
          <w:color w:val="auto"/>
          <w:lang w:eastAsia="zh-CN"/>
        </w:rPr>
        <w:t>防雷（静电）</w:t>
      </w:r>
      <w:r>
        <w:rPr>
          <w:color w:val="auto"/>
        </w:rPr>
        <w:t>装置检测报告</w:t>
      </w:r>
      <w:r>
        <w:rPr>
          <w:rFonts w:hint="eastAsia"/>
          <w:color w:val="auto"/>
        </w:rPr>
        <w:t>，</w:t>
      </w:r>
      <w:r>
        <w:rPr>
          <w:rFonts w:hint="eastAsia"/>
          <w:color w:val="auto"/>
          <w:lang w:eastAsia="zh-CN"/>
        </w:rPr>
        <w:t>报告编号</w:t>
      </w:r>
      <w:r>
        <w:rPr>
          <w:rFonts w:hint="eastAsia"/>
          <w:color w:val="auto"/>
          <w:lang w:val="en-US" w:eastAsia="zh-CN"/>
        </w:rPr>
        <w:t>1072017002[鲁01雷定安检]20210007，有效期至2021年7月7日，</w:t>
      </w:r>
      <w:r>
        <w:rPr>
          <w:color w:val="auto"/>
        </w:rPr>
        <w:t>检测结论：</w:t>
      </w:r>
      <w:r>
        <w:rPr>
          <w:rFonts w:hint="eastAsia"/>
          <w:color w:val="auto"/>
          <w:lang w:eastAsia="zh-CN"/>
        </w:rPr>
        <w:t>本次所检项目检测时状态均</w:t>
      </w:r>
      <w:r>
        <w:rPr>
          <w:color w:val="auto"/>
        </w:rPr>
        <w:t>符合国家相关规范</w:t>
      </w:r>
      <w:r>
        <w:t>。</w:t>
      </w:r>
    </w:p>
    <w:p>
      <w:pPr>
        <w:adjustRightInd w:val="0"/>
        <w:snapToGrid w:val="0"/>
        <w:spacing w:line="360" w:lineRule="auto"/>
        <w:ind w:firstLine="560" w:firstLineChars="200"/>
        <w:rPr>
          <w:rFonts w:ascii="Times New Roman"/>
          <w:sz w:val="28"/>
          <w:szCs w:val="28"/>
        </w:rPr>
      </w:pPr>
      <w:r>
        <w:rPr>
          <w:rFonts w:ascii="Times New Roman"/>
          <w:sz w:val="28"/>
          <w:szCs w:val="28"/>
        </w:rPr>
        <w:t>2）防静电</w:t>
      </w:r>
    </w:p>
    <w:p>
      <w:pPr>
        <w:pStyle w:val="86"/>
      </w:pPr>
      <w:r>
        <w:t>该项目设备接地线路进行并联，不串联，并在卸油区设置供油罐车用的静电接地桩。设备设置防静电接地，静电接地系统的各个固定连接处，采用焊接</w:t>
      </w:r>
      <w:r>
        <w:rPr>
          <w:rFonts w:hint="eastAsia"/>
          <w:lang w:eastAsia="zh-CN"/>
        </w:rPr>
        <w:t>、</w:t>
      </w:r>
      <w:r>
        <w:t>螺栓紧固</w:t>
      </w:r>
      <w:r>
        <w:rPr>
          <w:rFonts w:hint="eastAsia"/>
          <w:lang w:val="en-US" w:eastAsia="zh-CN"/>
        </w:rPr>
        <w:t>等方式</w:t>
      </w:r>
      <w:r>
        <w:t>连接，埋地部分采用焊接。</w:t>
      </w:r>
    </w:p>
    <w:p>
      <w:pPr>
        <w:adjustRightInd w:val="0"/>
        <w:snapToGrid w:val="0"/>
        <w:spacing w:line="360" w:lineRule="auto"/>
        <w:ind w:firstLine="560" w:firstLineChars="200"/>
        <w:rPr>
          <w:rFonts w:hint="eastAsia" w:ascii="Times New Roman" w:eastAsia="宋体"/>
          <w:sz w:val="28"/>
          <w:szCs w:val="28"/>
          <w:lang w:eastAsia="zh-CN"/>
        </w:rPr>
      </w:pPr>
      <w:r>
        <w:rPr>
          <w:rFonts w:hint="eastAsia" w:ascii="Times New Roman"/>
          <w:sz w:val="28"/>
          <w:szCs w:val="28"/>
          <w:lang w:eastAsia="zh-CN"/>
        </w:rPr>
        <w:t>工艺金属管道、穿线钢管等与就近接地网做可靠电气连接</w:t>
      </w:r>
      <w:r>
        <w:rPr>
          <w:rFonts w:ascii="Times New Roman"/>
          <w:sz w:val="28"/>
          <w:szCs w:val="28"/>
        </w:rPr>
        <w:t>。</w:t>
      </w:r>
      <w:r>
        <w:rPr>
          <w:rFonts w:hint="eastAsia" w:ascii="Times New Roman"/>
          <w:sz w:val="28"/>
          <w:szCs w:val="28"/>
          <w:lang w:eastAsia="zh-CN"/>
        </w:rPr>
        <w:t>工艺管线始末端和分支处接地，管线上的法兰两端进行防静电跨接。</w:t>
      </w:r>
    </w:p>
    <w:p>
      <w:pPr>
        <w:adjustRightInd w:val="0"/>
        <w:snapToGrid w:val="0"/>
        <w:spacing w:line="360" w:lineRule="auto"/>
        <w:ind w:firstLine="560" w:firstLineChars="200"/>
        <w:rPr>
          <w:rFonts w:ascii="Times New Roman"/>
          <w:sz w:val="28"/>
          <w:szCs w:val="28"/>
        </w:rPr>
      </w:pPr>
      <w:r>
        <w:rPr>
          <w:rFonts w:ascii="Times New Roman"/>
          <w:sz w:val="28"/>
          <w:szCs w:val="28"/>
        </w:rPr>
        <w:t>（4）消防</w:t>
      </w:r>
    </w:p>
    <w:p>
      <w:pPr>
        <w:keepNext w:val="0"/>
        <w:keepLines w:val="0"/>
        <w:pageBreakBefore w:val="0"/>
        <w:widowControl w:val="0"/>
        <w:kinsoku/>
        <w:wordWrap/>
        <w:overflowPunct/>
        <w:topLinePunct w:val="0"/>
        <w:autoSpaceDE/>
        <w:autoSpaceDN/>
        <w:bidi w:val="0"/>
        <w:adjustRightInd w:val="0"/>
        <w:snapToGrid w:val="0"/>
        <w:ind w:firstLine="560"/>
        <w:jc w:val="left"/>
        <w:textAlignment w:val="auto"/>
        <w:rPr>
          <w:rFonts w:ascii="Times New Roman"/>
          <w:sz w:val="28"/>
          <w:szCs w:val="28"/>
        </w:rPr>
      </w:pPr>
      <w:r>
        <w:rPr>
          <w:rFonts w:ascii="Times New Roman"/>
          <w:sz w:val="28"/>
          <w:szCs w:val="28"/>
        </w:rPr>
        <w:t>根据《汽车加油加气站设计与施工规范（2014年版）》（GB50156-2012）第10.2.3条的规定，</w:t>
      </w:r>
      <w:r>
        <w:rPr>
          <w:rFonts w:hint="eastAsia" w:ascii="Times New Roman"/>
          <w:sz w:val="28"/>
          <w:szCs w:val="28"/>
        </w:rPr>
        <w:t>该加油</w:t>
      </w:r>
      <w:r>
        <w:rPr>
          <w:rFonts w:ascii="Times New Roman"/>
          <w:sz w:val="28"/>
          <w:szCs w:val="28"/>
        </w:rPr>
        <w:t>站可不设消防给水系统。该加油站经营场所、站房、油罐区配备相应的消防器材。</w:t>
      </w:r>
    </w:p>
    <w:p>
      <w:pPr>
        <w:adjustRightInd w:val="0"/>
        <w:snapToGrid w:val="0"/>
        <w:spacing w:line="360" w:lineRule="auto"/>
        <w:ind w:firstLine="560" w:firstLineChars="200"/>
        <w:rPr>
          <w:rFonts w:ascii="Times New Roman"/>
          <w:sz w:val="28"/>
          <w:szCs w:val="28"/>
        </w:rPr>
      </w:pPr>
      <w:r>
        <w:rPr>
          <w:rFonts w:hint="eastAsia" w:cs="Times New Roman"/>
          <w:lang w:eastAsia="zh-CN"/>
        </w:rPr>
        <w:t>该加油中心于20</w:t>
      </w:r>
      <w:r>
        <w:rPr>
          <w:rFonts w:hint="eastAsia" w:cs="Times New Roman"/>
          <w:lang w:val="en-US" w:eastAsia="zh-CN"/>
        </w:rPr>
        <w:t>20</w:t>
      </w:r>
      <w:r>
        <w:rPr>
          <w:rFonts w:hint="eastAsia" w:cs="Times New Roman"/>
          <w:lang w:eastAsia="zh-CN"/>
        </w:rPr>
        <w:t>年</w:t>
      </w:r>
      <w:r>
        <w:rPr>
          <w:rFonts w:hint="eastAsia" w:cs="Times New Roman"/>
          <w:lang w:val="en-US" w:eastAsia="zh-CN"/>
        </w:rPr>
        <w:t>10</w:t>
      </w:r>
      <w:r>
        <w:rPr>
          <w:rFonts w:hint="eastAsia" w:cs="Times New Roman"/>
          <w:lang w:eastAsia="zh-CN"/>
        </w:rPr>
        <w:t>月</w:t>
      </w:r>
      <w:r>
        <w:rPr>
          <w:rFonts w:hint="eastAsia" w:cs="Times New Roman"/>
          <w:lang w:val="en-US" w:eastAsia="zh-CN"/>
        </w:rPr>
        <w:t>19</w:t>
      </w:r>
      <w:r>
        <w:rPr>
          <w:rFonts w:hint="eastAsia" w:cs="Times New Roman"/>
          <w:lang w:eastAsia="zh-CN"/>
        </w:rPr>
        <w:t>日取得了由东营市</w:t>
      </w:r>
      <w:r>
        <w:rPr>
          <w:rFonts w:hint="eastAsia" w:cs="Times New Roman"/>
          <w:lang w:val="en-US" w:eastAsia="zh-CN"/>
        </w:rPr>
        <w:t>垦利区</w:t>
      </w:r>
      <w:r>
        <w:rPr>
          <w:rFonts w:hint="eastAsia" w:cs="Times New Roman"/>
          <w:lang w:eastAsia="zh-CN"/>
        </w:rPr>
        <w:t>住房和城乡建设管理局出具的《特殊建设工程消防验收意见书》，编号为</w:t>
      </w:r>
      <w:r>
        <w:rPr>
          <w:rFonts w:hint="eastAsia" w:cs="Times New Roman"/>
          <w:lang w:val="en-US" w:eastAsia="zh-CN"/>
        </w:rPr>
        <w:t>垦住建</w:t>
      </w:r>
      <w:r>
        <w:rPr>
          <w:rFonts w:hint="eastAsia" w:cs="Times New Roman"/>
          <w:lang w:eastAsia="zh-CN"/>
        </w:rPr>
        <w:t>消验字[20</w:t>
      </w:r>
      <w:r>
        <w:rPr>
          <w:rFonts w:hint="eastAsia" w:cs="Times New Roman"/>
          <w:lang w:val="en-US" w:eastAsia="zh-CN"/>
        </w:rPr>
        <w:t>20</w:t>
      </w:r>
      <w:r>
        <w:rPr>
          <w:rFonts w:hint="eastAsia" w:cs="Times New Roman"/>
          <w:lang w:eastAsia="zh-CN"/>
        </w:rPr>
        <w:t>]第01</w:t>
      </w:r>
      <w:r>
        <w:rPr>
          <w:rFonts w:hint="eastAsia" w:cs="Times New Roman"/>
          <w:lang w:val="en-US" w:eastAsia="zh-CN"/>
        </w:rPr>
        <w:t>8</w:t>
      </w:r>
      <w:r>
        <w:rPr>
          <w:rFonts w:hint="eastAsia" w:cs="Times New Roman"/>
          <w:lang w:eastAsia="zh-CN"/>
        </w:rPr>
        <w:t>号，结论为验收合格。</w:t>
      </w:r>
      <w:r>
        <w:rPr>
          <w:rFonts w:ascii="Times New Roman"/>
          <w:color w:val="auto"/>
          <w:sz w:val="28"/>
          <w:szCs w:val="28"/>
        </w:rPr>
        <w:t>消</w:t>
      </w:r>
      <w:r>
        <w:rPr>
          <w:rFonts w:ascii="Times New Roman"/>
          <w:sz w:val="28"/>
          <w:szCs w:val="28"/>
        </w:rPr>
        <w:t>防器材配备情况见表2.</w:t>
      </w:r>
      <w:r>
        <w:rPr>
          <w:rFonts w:hint="eastAsia"/>
          <w:sz w:val="28"/>
          <w:szCs w:val="28"/>
          <w:lang w:val="en-US" w:eastAsia="zh-CN"/>
        </w:rPr>
        <w:t>3</w:t>
      </w:r>
      <w:r>
        <w:rPr>
          <w:rFonts w:ascii="Times New Roman"/>
          <w:sz w:val="28"/>
          <w:szCs w:val="28"/>
        </w:rPr>
        <w:t>-</w:t>
      </w:r>
      <w:r>
        <w:rPr>
          <w:rFonts w:hint="eastAsia"/>
          <w:sz w:val="28"/>
          <w:szCs w:val="28"/>
          <w:lang w:val="en-US" w:eastAsia="zh-CN"/>
        </w:rPr>
        <w:t>3</w:t>
      </w:r>
      <w:r>
        <w:rPr>
          <w:rFonts w:ascii="Times New Roman"/>
          <w:sz w:val="28"/>
          <w:szCs w:val="28"/>
        </w:rPr>
        <w:t>。</w:t>
      </w:r>
    </w:p>
    <w:p>
      <w:pPr>
        <w:pStyle w:val="8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bCs/>
        </w:rPr>
      </w:pPr>
    </w:p>
    <w:p>
      <w:pPr>
        <w:pStyle w:val="8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bCs/>
        </w:rPr>
      </w:pPr>
    </w:p>
    <w:p>
      <w:pPr>
        <w:pStyle w:val="8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bCs/>
        </w:rPr>
      </w:pPr>
    </w:p>
    <w:p>
      <w:pPr>
        <w:pStyle w:val="8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b/>
          <w:bCs/>
        </w:rPr>
      </w:pPr>
      <w:r>
        <w:rPr>
          <w:rFonts w:hint="default" w:ascii="Times New Roman" w:hAnsi="Times New Roman" w:cs="Times New Roman"/>
          <w:b/>
          <w:bCs/>
        </w:rPr>
        <w:t>表2.</w:t>
      </w:r>
      <w:r>
        <w:rPr>
          <w:rFonts w:hint="eastAsia" w:ascii="Times New Roman" w:hAnsi="Times New Roman" w:cs="Times New Roman"/>
          <w:b/>
          <w:bCs/>
          <w:lang w:val="en-US" w:eastAsia="zh-CN"/>
        </w:rPr>
        <w:t>3</w:t>
      </w:r>
      <w:r>
        <w:rPr>
          <w:rFonts w:hint="default" w:ascii="Times New Roman" w:hAnsi="Times New Roman" w:cs="Times New Roman"/>
          <w:b/>
          <w:bCs/>
        </w:rPr>
        <w:t>-</w:t>
      </w:r>
      <w:r>
        <w:rPr>
          <w:rFonts w:hint="eastAsia" w:ascii="Times New Roman" w:hAnsi="Times New Roman" w:cs="Times New Roman"/>
          <w:b/>
          <w:bCs/>
          <w:lang w:val="en-US" w:eastAsia="zh-CN"/>
        </w:rPr>
        <w:t>3</w:t>
      </w:r>
      <w:r>
        <w:rPr>
          <w:rFonts w:hint="default" w:ascii="Times New Roman" w:hAnsi="Times New Roman" w:cs="Times New Roman"/>
          <w:b/>
          <w:bCs/>
        </w:rPr>
        <w:t xml:space="preserve">  加油站消防器材一览表</w:t>
      </w:r>
    </w:p>
    <w:tbl>
      <w:tblPr>
        <w:tblStyle w:val="28"/>
        <w:tblW w:w="89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5"/>
        <w:gridCol w:w="2738"/>
        <w:gridCol w:w="1496"/>
        <w:gridCol w:w="995"/>
        <w:gridCol w:w="30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序号</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rPr>
              <w:t>安全与消防设施</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规格型号</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数量</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存放位置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推车式干粉灭火器</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1A1FF2"/>
                <w:sz w:val="21"/>
                <w:szCs w:val="21"/>
              </w:rPr>
            </w:pPr>
            <w:r>
              <w:rPr>
                <w:rFonts w:hint="default" w:ascii="Times New Roman" w:hAnsi="Times New Roman" w:cs="Times New Roman" w:eastAsiaTheme="minorEastAsia"/>
                <w:color w:val="auto"/>
                <w:sz w:val="21"/>
                <w:szCs w:val="21"/>
              </w:rPr>
              <w:t>MFT</w:t>
            </w:r>
            <w:r>
              <w:rPr>
                <w:rFonts w:hint="default" w:ascii="Times New Roman" w:hAnsi="Times New Roman" w:cs="Times New Roman" w:eastAsiaTheme="minorEastAsia"/>
                <w:color w:val="auto"/>
                <w:sz w:val="21"/>
                <w:szCs w:val="21"/>
                <w:lang w:val="en-US"/>
              </w:rPr>
              <w:t>Z/ABC</w:t>
            </w:r>
            <w:r>
              <w:rPr>
                <w:rFonts w:hint="default" w:ascii="Times New Roman" w:hAnsi="Times New Roman" w:cs="Times New Roman" w:eastAsiaTheme="minorEastAsia"/>
                <w:color w:val="auto"/>
                <w:sz w:val="21"/>
                <w:szCs w:val="21"/>
              </w:rPr>
              <w:t>35</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val="en-US" w:eastAsia="zh-CN"/>
              </w:rPr>
              <w:t>4</w:t>
            </w:r>
            <w:r>
              <w:rPr>
                <w:rFonts w:hint="default" w:ascii="Times New Roman" w:hAnsi="Times New Roman" w:cs="Times New Roman" w:eastAsiaTheme="minorEastAsia"/>
                <w:color w:val="auto"/>
                <w:sz w:val="21"/>
                <w:szCs w:val="21"/>
                <w:lang w:eastAsia="zh-CN"/>
              </w:rPr>
              <w:t>台</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eastAsia="zh-CN"/>
              </w:rPr>
              <w:t>微型消防站</w:t>
            </w:r>
            <w:r>
              <w:rPr>
                <w:rFonts w:hint="eastAsia" w:cs="Times New Roman" w:eastAsiaTheme="minorEastAsia"/>
                <w:color w:val="auto"/>
                <w:sz w:val="21"/>
                <w:szCs w:val="21"/>
                <w:lang w:eastAsia="zh-CN"/>
              </w:rPr>
              <w:t>、</w:t>
            </w:r>
            <w:r>
              <w:rPr>
                <w:rFonts w:hint="eastAsia" w:cs="Times New Roman" w:eastAsiaTheme="minorEastAsia"/>
                <w:color w:val="auto"/>
                <w:sz w:val="21"/>
                <w:szCs w:val="21"/>
                <w:lang w:val="en-US" w:eastAsia="zh-CN"/>
              </w:rPr>
              <w:t>消防间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手提式磷酸铵盐干粉灭火器</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eastAsia"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rPr>
              <w:t>MF</w:t>
            </w:r>
            <w:r>
              <w:rPr>
                <w:rFonts w:hint="eastAsia" w:ascii="Times New Roman" w:hAnsi="Times New Roman" w:cs="Times New Roman" w:eastAsiaTheme="minorEastAsia"/>
                <w:color w:val="auto"/>
                <w:sz w:val="21"/>
                <w:szCs w:val="21"/>
                <w:lang w:val="en-US" w:eastAsia="zh-CN"/>
              </w:rPr>
              <w:t>Z</w:t>
            </w:r>
            <w:r>
              <w:rPr>
                <w:rFonts w:hint="default" w:ascii="Times New Roman" w:hAnsi="Times New Roman" w:cs="Times New Roman" w:eastAsiaTheme="minorEastAsia"/>
                <w:color w:val="auto"/>
                <w:sz w:val="21"/>
                <w:szCs w:val="21"/>
                <w:lang w:val="en-US"/>
              </w:rPr>
              <w:t>/ABC</w:t>
            </w:r>
            <w:r>
              <w:rPr>
                <w:rFonts w:hint="eastAsia" w:cs="Times New Roman" w:eastAsiaTheme="minorEastAsia"/>
                <w:color w:val="auto"/>
                <w:sz w:val="21"/>
                <w:szCs w:val="21"/>
                <w:lang w:val="en-US" w:eastAsia="zh-CN"/>
              </w:rPr>
              <w:t>8</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rPr>
            </w:pPr>
            <w:r>
              <w:rPr>
                <w:rFonts w:hint="eastAsia" w:ascii="Times New Roman" w:hAnsi="Times New Roman" w:cs="Times New Roman" w:eastAsiaTheme="minorEastAsia"/>
                <w:color w:val="auto"/>
                <w:sz w:val="21"/>
                <w:szCs w:val="21"/>
                <w:lang w:val="en-US" w:eastAsia="zh-CN"/>
              </w:rPr>
              <w:t>1</w:t>
            </w:r>
            <w:r>
              <w:rPr>
                <w:rFonts w:hint="eastAsia" w:cs="Times New Roman" w:eastAsiaTheme="minorEastAsia"/>
                <w:color w:val="auto"/>
                <w:sz w:val="21"/>
                <w:szCs w:val="21"/>
                <w:lang w:val="en-US" w:eastAsia="zh-CN"/>
              </w:rPr>
              <w:t>3</w:t>
            </w:r>
            <w:r>
              <w:rPr>
                <w:rFonts w:hint="default" w:ascii="Times New Roman" w:hAnsi="Times New Roman" w:cs="Times New Roman" w:eastAsiaTheme="minorEastAsia"/>
                <w:color w:val="auto"/>
                <w:sz w:val="21"/>
                <w:szCs w:val="21"/>
              </w:rPr>
              <w:t>具</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eastAsia="zh-CN"/>
              </w:rPr>
              <w:t>加油作业区</w:t>
            </w:r>
            <w:r>
              <w:rPr>
                <w:rFonts w:hint="default" w:ascii="Times New Roman" w:hAnsi="Times New Roman" w:cs="Times New Roman" w:eastAsiaTheme="minorEastAsia"/>
                <w:color w:val="auto"/>
                <w:sz w:val="21"/>
                <w:szCs w:val="21"/>
              </w:rPr>
              <w:t>、站房</w:t>
            </w:r>
            <w:r>
              <w:rPr>
                <w:rFonts w:hint="eastAsia" w:cs="Times New Roman" w:eastAsiaTheme="minorEastAsia"/>
                <w:color w:val="auto"/>
                <w:sz w:val="21"/>
                <w:szCs w:val="21"/>
                <w:lang w:eastAsia="zh-CN"/>
              </w:rPr>
              <w:t>、</w:t>
            </w:r>
            <w:r>
              <w:rPr>
                <w:rFonts w:hint="eastAsia" w:cs="Times New Roman" w:eastAsiaTheme="minorEastAsia"/>
                <w:color w:val="auto"/>
                <w:sz w:val="21"/>
                <w:szCs w:val="21"/>
                <w:lang w:val="en-US" w:eastAsia="zh-CN"/>
              </w:rPr>
              <w:t>消防间、微型消防站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3</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手提式二氧化碳灭火器</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eastAsia"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MT</w:t>
            </w:r>
            <w:r>
              <w:rPr>
                <w:rFonts w:hint="default" w:ascii="Times New Roman" w:hAnsi="Times New Roman" w:cs="Times New Roman" w:eastAsiaTheme="minorEastAsia"/>
                <w:color w:val="auto"/>
                <w:sz w:val="21"/>
                <w:szCs w:val="21"/>
                <w:lang w:val="en-US" w:eastAsia="zh-CN"/>
              </w:rPr>
              <w:t>/</w:t>
            </w:r>
            <w:r>
              <w:rPr>
                <w:rFonts w:hint="eastAsia" w:cs="Times New Roman" w:eastAsiaTheme="minorEastAsia"/>
                <w:color w:val="auto"/>
                <w:sz w:val="21"/>
                <w:szCs w:val="21"/>
                <w:lang w:val="en-US" w:eastAsia="zh-CN"/>
              </w:rPr>
              <w:t>3</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6</w:t>
            </w:r>
            <w:r>
              <w:rPr>
                <w:rFonts w:hint="default" w:ascii="Times New Roman" w:hAnsi="Times New Roman" w:cs="Times New Roman" w:eastAsiaTheme="minorEastAsia"/>
                <w:color w:val="auto"/>
                <w:sz w:val="21"/>
                <w:szCs w:val="21"/>
              </w:rPr>
              <w:t>具</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eastAsia="zh-CN"/>
              </w:rPr>
              <w:t>站房、</w:t>
            </w:r>
            <w:r>
              <w:rPr>
                <w:rFonts w:hint="default" w:ascii="Times New Roman" w:hAnsi="Times New Roman" w:cs="Times New Roman" w:eastAsiaTheme="minorEastAsia"/>
                <w:color w:val="auto"/>
                <w:sz w:val="21"/>
                <w:szCs w:val="21"/>
              </w:rPr>
              <w:t>配电室</w:t>
            </w:r>
            <w:r>
              <w:rPr>
                <w:rFonts w:hint="eastAsia" w:cs="Times New Roman" w:eastAsiaTheme="minorEastAsia"/>
                <w:color w:val="auto"/>
                <w:sz w:val="21"/>
                <w:szCs w:val="21"/>
                <w:lang w:eastAsia="zh-CN"/>
              </w:rPr>
              <w:t>、</w:t>
            </w:r>
            <w:r>
              <w:rPr>
                <w:rFonts w:hint="eastAsia" w:cs="Times New Roman" w:eastAsiaTheme="minorEastAsia"/>
                <w:color w:val="auto"/>
                <w:sz w:val="21"/>
                <w:szCs w:val="21"/>
                <w:lang w:val="en-US" w:eastAsia="zh-CN"/>
              </w:rPr>
              <w:t>微型消防站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4</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消防砂</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2m³</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eastAsia"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砂池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5</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消防桶</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9</w:t>
            </w:r>
            <w:r>
              <w:rPr>
                <w:rFonts w:hint="default" w:ascii="Times New Roman" w:hAnsi="Times New Roman" w:cs="Times New Roman" w:eastAsiaTheme="minorEastAsia"/>
                <w:color w:val="auto"/>
                <w:sz w:val="21"/>
                <w:szCs w:val="21"/>
              </w:rPr>
              <w:t>个</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kern w:val="2"/>
                <w:sz w:val="21"/>
                <w:szCs w:val="21"/>
                <w:lang w:val="en-US" w:eastAsia="zh-CN" w:bidi="ar-SA"/>
              </w:rPr>
              <w:t>微型消防站、</w:t>
            </w:r>
            <w:r>
              <w:rPr>
                <w:rFonts w:hint="eastAsia" w:cs="Times New Roman" w:eastAsiaTheme="minorEastAsia"/>
                <w:color w:val="auto"/>
                <w:sz w:val="21"/>
                <w:szCs w:val="21"/>
                <w:lang w:val="en-US" w:eastAsia="zh-CN"/>
              </w:rPr>
              <w:t>消防间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6</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消防锨</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1A1FF2"/>
                <w:kern w:val="2"/>
                <w:sz w:val="21"/>
                <w:szCs w:val="21"/>
                <w:lang w:val="en-US" w:eastAsia="zh-CN" w:bidi="ar-SA"/>
              </w:rPr>
            </w:pPr>
            <w:r>
              <w:rPr>
                <w:rFonts w:hint="default" w:ascii="Times New Roman" w:hAnsi="Times New Roman" w:cs="Times New Roman" w:eastAsiaTheme="minorEastAsia"/>
                <w:color w:val="1A1FF2"/>
                <w:sz w:val="21"/>
                <w:szCs w:val="21"/>
                <w:lang w:val="en-US" w:eastAsia="zh-CN"/>
              </w:rPr>
              <w:t>--</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9</w:t>
            </w:r>
            <w:r>
              <w:rPr>
                <w:rFonts w:hint="default" w:ascii="Times New Roman" w:hAnsi="Times New Roman" w:cs="Times New Roman" w:eastAsiaTheme="minorEastAsia"/>
                <w:color w:val="auto"/>
                <w:sz w:val="21"/>
                <w:szCs w:val="21"/>
              </w:rPr>
              <w:t>把</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微型消防站</w:t>
            </w:r>
            <w:r>
              <w:rPr>
                <w:rFonts w:hint="eastAsia" w:cs="Times New Roman" w:eastAsiaTheme="minorEastAsia"/>
                <w:color w:val="auto"/>
                <w:sz w:val="21"/>
                <w:szCs w:val="21"/>
                <w:lang w:val="en-US" w:eastAsia="zh-CN"/>
              </w:rPr>
              <w:t>、消防间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7</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rPr>
              <w:t>灭火毯</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sz w:val="21"/>
                <w:szCs w:val="21"/>
                <w:lang w:val="en-US" w:eastAsia="zh-CN"/>
              </w:rPr>
              <w:t>--</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12</w:t>
            </w:r>
            <w:r>
              <w:rPr>
                <w:rFonts w:hint="default" w:ascii="Times New Roman" w:hAnsi="Times New Roman" w:cs="Times New Roman" w:eastAsiaTheme="minorEastAsia"/>
                <w:color w:val="auto"/>
                <w:sz w:val="21"/>
                <w:szCs w:val="21"/>
              </w:rPr>
              <w:t>块</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eastAsia="zh-CN"/>
              </w:rPr>
              <w:t>加油作业区</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lang w:val="en-US" w:eastAsia="zh-CN"/>
              </w:rPr>
              <w:t>微型消防站</w:t>
            </w:r>
            <w:r>
              <w:rPr>
                <w:rFonts w:hint="eastAsia" w:cs="Times New Roman" w:eastAsiaTheme="minorEastAsia"/>
                <w:color w:val="auto"/>
                <w:sz w:val="21"/>
                <w:szCs w:val="21"/>
                <w:lang w:val="en-US" w:eastAsia="zh-CN"/>
              </w:rPr>
              <w:t>、消防间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4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8</w:t>
            </w:r>
          </w:p>
        </w:tc>
        <w:tc>
          <w:tcPr>
            <w:tcW w:w="2738"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过滤式自救呼吸器</w:t>
            </w:r>
          </w:p>
        </w:tc>
        <w:tc>
          <w:tcPr>
            <w:tcW w:w="1496"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w:t>
            </w:r>
          </w:p>
        </w:tc>
        <w:tc>
          <w:tcPr>
            <w:tcW w:w="995"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2个</w:t>
            </w:r>
          </w:p>
        </w:tc>
        <w:tc>
          <w:tcPr>
            <w:tcW w:w="3094" w:type="dxa"/>
            <w:tcBorders>
              <w:tl2br w:val="nil"/>
              <w:tr2bl w:val="nil"/>
            </w:tcBorders>
            <w:vAlign w:val="center"/>
          </w:tcPr>
          <w:p>
            <w:pPr>
              <w:pageBreakBefore w:val="0"/>
              <w:kinsoku/>
              <w:wordWrap/>
              <w:topLinePunct w:val="0"/>
              <w:bidi w:val="0"/>
              <w:adjustRightInd w:val="0"/>
              <w:snapToGrid w:val="0"/>
              <w:spacing w:line="30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en-US" w:eastAsia="zh-CN"/>
              </w:rPr>
              <w:t>微型消防站</w:t>
            </w:r>
          </w:p>
        </w:tc>
      </w:tr>
    </w:tbl>
    <w:p>
      <w:pPr>
        <w:adjustRightInd w:val="0"/>
        <w:snapToGrid w:val="0"/>
        <w:spacing w:before="120" w:beforeLines="50" w:line="360" w:lineRule="auto"/>
        <w:ind w:firstLine="560" w:firstLineChars="200"/>
        <w:rPr>
          <w:rFonts w:ascii="Times New Roman"/>
          <w:sz w:val="28"/>
          <w:szCs w:val="28"/>
        </w:rPr>
      </w:pPr>
      <w:r>
        <w:rPr>
          <w:rFonts w:ascii="Times New Roman"/>
          <w:sz w:val="28"/>
          <w:szCs w:val="28"/>
        </w:rPr>
        <w:t>（5）采暖通风</w:t>
      </w:r>
    </w:p>
    <w:p>
      <w:pPr>
        <w:adjustRightInd w:val="0"/>
        <w:snapToGrid w:val="0"/>
        <w:spacing w:line="360" w:lineRule="auto"/>
        <w:ind w:firstLine="560" w:firstLineChars="200"/>
        <w:rPr>
          <w:rFonts w:ascii="Times New Roman"/>
          <w:sz w:val="28"/>
          <w:szCs w:val="28"/>
        </w:rPr>
      </w:pPr>
      <w:r>
        <w:rPr>
          <w:rFonts w:ascii="Times New Roman"/>
          <w:sz w:val="28"/>
          <w:szCs w:val="28"/>
        </w:rPr>
        <w:t>站房内采用空调采暖，自然通风。</w:t>
      </w:r>
    </w:p>
    <w:p>
      <w:pPr>
        <w:adjustRightInd w:val="0"/>
        <w:snapToGrid w:val="0"/>
        <w:spacing w:line="360" w:lineRule="auto"/>
        <w:ind w:firstLine="560" w:firstLineChars="200"/>
        <w:rPr>
          <w:rFonts w:ascii="Times New Roman"/>
          <w:sz w:val="28"/>
          <w:szCs w:val="28"/>
        </w:rPr>
      </w:pPr>
      <w:r>
        <w:rPr>
          <w:rFonts w:ascii="Times New Roman"/>
          <w:sz w:val="28"/>
          <w:szCs w:val="28"/>
        </w:rPr>
        <w:t>（6）照明</w:t>
      </w:r>
    </w:p>
    <w:p>
      <w:pPr>
        <w:adjustRightInd w:val="0"/>
        <w:snapToGrid w:val="0"/>
        <w:spacing w:line="360" w:lineRule="auto"/>
        <w:ind w:firstLine="560" w:firstLineChars="200"/>
        <w:rPr>
          <w:rFonts w:ascii="Times New Roman"/>
          <w:sz w:val="28"/>
          <w:szCs w:val="28"/>
        </w:rPr>
      </w:pPr>
      <w:r>
        <w:rPr>
          <w:rFonts w:hint="eastAsia"/>
          <w:sz w:val="28"/>
          <w:szCs w:val="28"/>
          <w:lang w:eastAsia="zh-CN"/>
        </w:rPr>
        <w:t>加油作业区</w:t>
      </w:r>
      <w:r>
        <w:rPr>
          <w:rFonts w:ascii="Times New Roman"/>
          <w:sz w:val="28"/>
          <w:szCs w:val="28"/>
        </w:rPr>
        <w:t>白天利用自然光，夜间采用射灯进行照明。</w:t>
      </w:r>
      <w:r>
        <w:rPr>
          <w:rFonts w:hint="eastAsia" w:ascii="Times New Roman"/>
          <w:sz w:val="28"/>
          <w:szCs w:val="28"/>
          <w:lang w:eastAsia="zh-CN"/>
        </w:rPr>
        <w:t>罩棚、</w:t>
      </w:r>
      <w:r>
        <w:rPr>
          <w:rFonts w:ascii="Times New Roman"/>
          <w:sz w:val="28"/>
          <w:szCs w:val="28"/>
        </w:rPr>
        <w:t>配电室设置应急照明灯具，供电时间不低于30min。</w:t>
      </w:r>
    </w:p>
    <w:p>
      <w:pPr>
        <w:pStyle w:val="86"/>
      </w:pPr>
      <w:r>
        <w:t>（7）爆炸危险区域划分和电气设备的防爆及防护等级</w:t>
      </w:r>
    </w:p>
    <w:p>
      <w:pPr>
        <w:pStyle w:val="86"/>
      </w:pPr>
      <w:r>
        <w:t>1）加油机壳体内部空间为1区。</w:t>
      </w:r>
    </w:p>
    <w:p>
      <w:pPr>
        <w:pStyle w:val="86"/>
      </w:pPr>
      <w:r>
        <w:t>2）以加油机中心线为中心线，以半径为3.0米的地面区域为</w:t>
      </w:r>
      <w:r>
        <w:rPr>
          <w:rFonts w:hint="eastAsia"/>
          <w:lang w:val="en-US" w:eastAsia="zh-CN"/>
        </w:rPr>
        <w:t>底</w:t>
      </w:r>
      <w:r>
        <w:t>面和以加油机顶部以上0.15米半径为1.5米的平面为顶面的圆台形空间为2区。</w:t>
      </w:r>
    </w:p>
    <w:p>
      <w:pPr>
        <w:pStyle w:val="86"/>
      </w:pPr>
      <w:r>
        <w:t>3）埋地卧式汽油储罐内部油品表面以上的空间为0区。</w:t>
      </w:r>
    </w:p>
    <w:p>
      <w:pPr>
        <w:pStyle w:val="86"/>
      </w:pPr>
      <w:r>
        <w:t>4）以通气管管口为中心，半径为0.75米的球形空间和以密闭卸油口为中心，半径为0.5米的球形空间为1区。</w:t>
      </w:r>
    </w:p>
    <w:p>
      <w:pPr>
        <w:pStyle w:val="86"/>
      </w:pPr>
      <w:r>
        <w:t>5）距人孔井外边缘1.5米以内，自地面算起1米高的圆柱形空间、以通气管管口为中心，半径为2米的球形空间和以密闭卸油口为中心，半径为1.5米的球形并延至地面的空间为2区。</w:t>
      </w:r>
    </w:p>
    <w:p>
      <w:pPr>
        <w:pStyle w:val="86"/>
        <w:rPr>
          <w:rFonts w:hint="default" w:eastAsia="宋体"/>
          <w:lang w:val="en-US" w:eastAsia="zh-CN"/>
        </w:rPr>
      </w:pPr>
      <w:r>
        <w:rPr>
          <w:rFonts w:hint="eastAsia"/>
          <w:lang w:val="en-US" w:eastAsia="zh-CN"/>
        </w:rPr>
        <w:t>6）油罐车内部的油品表面以上空间划分为0区。</w:t>
      </w:r>
    </w:p>
    <w:p>
      <w:pPr>
        <w:pStyle w:val="86"/>
      </w:pPr>
      <w:r>
        <w:t>防爆区域内的电气设备</w:t>
      </w:r>
      <w:r>
        <w:rPr>
          <w:rFonts w:hint="eastAsia"/>
          <w:lang w:eastAsia="zh-CN"/>
        </w:rPr>
        <w:t>防爆等级不低于</w:t>
      </w:r>
      <w:r>
        <w:t>ExdⅡAT</w:t>
      </w:r>
      <w:r>
        <w:rPr>
          <w:rFonts w:hint="eastAsia"/>
          <w:lang w:val="en-US" w:eastAsia="zh-CN"/>
        </w:rPr>
        <w:t>3</w:t>
      </w:r>
      <w:r>
        <w:t>，进入防爆区域内的各类电缆采用耐火阻燃电缆。爆炸性气体环境内设置的电气设备选型符合《爆炸危险环境电力装置设计规范》（GB50058-2014）要求。</w:t>
      </w:r>
    </w:p>
    <w:p>
      <w:pPr>
        <w:adjustRightInd w:val="0"/>
        <w:snapToGrid w:val="0"/>
        <w:spacing w:line="360" w:lineRule="auto"/>
        <w:ind w:firstLine="560" w:firstLineChars="200"/>
        <w:rPr>
          <w:rFonts w:ascii="Times New Roman"/>
          <w:sz w:val="28"/>
          <w:szCs w:val="28"/>
        </w:rPr>
      </w:pPr>
      <w:r>
        <w:rPr>
          <w:rFonts w:ascii="Times New Roman"/>
          <w:sz w:val="28"/>
          <w:szCs w:val="28"/>
        </w:rPr>
        <w:t>（8）土建</w:t>
      </w:r>
    </w:p>
    <w:p>
      <w:pPr>
        <w:adjustRightInd w:val="0"/>
        <w:snapToGrid w:val="0"/>
        <w:spacing w:line="360" w:lineRule="auto"/>
        <w:ind w:firstLine="560" w:firstLineChars="200"/>
        <w:rPr>
          <w:rFonts w:ascii="Times New Roman"/>
          <w:sz w:val="28"/>
          <w:szCs w:val="28"/>
        </w:rPr>
      </w:pPr>
      <w:r>
        <w:rPr>
          <w:rFonts w:hint="eastAsia"/>
          <w:sz w:val="28"/>
          <w:szCs w:val="28"/>
          <w:lang w:eastAsia="zh-CN"/>
        </w:rPr>
        <w:t>该加油中心</w:t>
      </w:r>
      <w:r>
        <w:rPr>
          <w:rFonts w:ascii="Times New Roman"/>
          <w:sz w:val="28"/>
          <w:szCs w:val="28"/>
        </w:rPr>
        <w:t>土建主要包括</w:t>
      </w:r>
      <w:r>
        <w:rPr>
          <w:rFonts w:hint="eastAsia" w:ascii="Times New Roman"/>
          <w:sz w:val="28"/>
          <w:szCs w:val="28"/>
          <w:lang w:eastAsia="zh-CN"/>
        </w:rPr>
        <w:t>站房</w:t>
      </w:r>
      <w:r>
        <w:rPr>
          <w:rFonts w:ascii="Times New Roman"/>
          <w:sz w:val="28"/>
          <w:szCs w:val="28"/>
        </w:rPr>
        <w:t>、</w:t>
      </w:r>
      <w:r>
        <w:rPr>
          <w:rFonts w:hint="eastAsia"/>
          <w:sz w:val="28"/>
          <w:szCs w:val="28"/>
          <w:lang w:eastAsia="zh-CN"/>
        </w:rPr>
        <w:t>辅助用房、</w:t>
      </w:r>
      <w:r>
        <w:rPr>
          <w:rFonts w:ascii="Times New Roman"/>
          <w:sz w:val="28"/>
          <w:szCs w:val="28"/>
        </w:rPr>
        <w:t>罩棚、加油岛、埋地油罐、围墙等。</w:t>
      </w:r>
    </w:p>
    <w:p>
      <w:pPr>
        <w:adjustRightInd w:val="0"/>
        <w:snapToGrid w:val="0"/>
        <w:spacing w:line="360" w:lineRule="auto"/>
        <w:ind w:firstLine="560" w:firstLineChars="200"/>
        <w:rPr>
          <w:rFonts w:ascii="Times New Roman"/>
          <w:sz w:val="28"/>
          <w:szCs w:val="28"/>
        </w:rPr>
      </w:pPr>
      <w:r>
        <w:rPr>
          <w:rFonts w:ascii="Times New Roman"/>
          <w:sz w:val="28"/>
          <w:szCs w:val="28"/>
        </w:rPr>
        <w:t>1）站房</w:t>
      </w:r>
    </w:p>
    <w:p>
      <w:pPr>
        <w:adjustRightInd w:val="0"/>
        <w:snapToGrid w:val="0"/>
        <w:spacing w:line="360" w:lineRule="auto"/>
        <w:ind w:firstLine="560" w:firstLineChars="200"/>
        <w:rPr>
          <w:rFonts w:ascii="Times New Roman"/>
          <w:color w:val="FF0000"/>
          <w:sz w:val="28"/>
          <w:szCs w:val="28"/>
        </w:rPr>
      </w:pPr>
      <w:r>
        <w:rPr>
          <w:rFonts w:hint="eastAsia" w:ascii="Times New Roman"/>
          <w:sz w:val="28"/>
          <w:szCs w:val="28"/>
          <w:lang w:eastAsia="zh-CN"/>
        </w:rPr>
        <w:t>站房长</w:t>
      </w:r>
      <w:r>
        <w:rPr>
          <w:rFonts w:hint="eastAsia"/>
          <w:color w:val="auto"/>
          <w:sz w:val="28"/>
          <w:szCs w:val="28"/>
          <w:lang w:val="en-US" w:eastAsia="zh-CN"/>
        </w:rPr>
        <w:t>25.2</w:t>
      </w:r>
      <w:r>
        <w:rPr>
          <w:rFonts w:hint="eastAsia" w:ascii="Times New Roman"/>
          <w:color w:val="auto"/>
          <w:sz w:val="28"/>
          <w:szCs w:val="28"/>
          <w:lang w:val="en-US" w:eastAsia="zh-CN"/>
        </w:rPr>
        <w:t>m，宽</w:t>
      </w:r>
      <w:r>
        <w:rPr>
          <w:rFonts w:hint="eastAsia"/>
          <w:color w:val="auto"/>
          <w:sz w:val="28"/>
          <w:szCs w:val="28"/>
          <w:lang w:val="en-US" w:eastAsia="zh-CN"/>
        </w:rPr>
        <w:t>8</w:t>
      </w:r>
      <w:r>
        <w:rPr>
          <w:rFonts w:hint="eastAsia" w:ascii="Times New Roman"/>
          <w:color w:val="auto"/>
          <w:sz w:val="28"/>
          <w:szCs w:val="28"/>
          <w:lang w:val="en-US" w:eastAsia="zh-CN"/>
        </w:rPr>
        <w:t>m</w:t>
      </w:r>
      <w:r>
        <w:rPr>
          <w:rFonts w:hint="eastAsia" w:ascii="Times New Roman"/>
          <w:sz w:val="28"/>
          <w:szCs w:val="28"/>
          <w:lang w:val="en-US" w:eastAsia="zh-CN"/>
        </w:rPr>
        <w:t>，建筑面积为</w:t>
      </w:r>
      <w:r>
        <w:rPr>
          <w:rFonts w:hint="eastAsia"/>
          <w:sz w:val="28"/>
          <w:szCs w:val="28"/>
          <w:lang w:val="en-US" w:eastAsia="zh-CN"/>
        </w:rPr>
        <w:t>201.6</w:t>
      </w:r>
      <w:r>
        <w:rPr>
          <w:rFonts w:hint="eastAsia" w:ascii="Times New Roman"/>
          <w:sz w:val="28"/>
          <w:szCs w:val="28"/>
          <w:lang w:val="en-US" w:eastAsia="zh-CN"/>
        </w:rPr>
        <w:t>m</w:t>
      </w:r>
      <w:r>
        <w:rPr>
          <w:rFonts w:hint="eastAsia" w:ascii="Times New Roman"/>
          <w:sz w:val="28"/>
          <w:szCs w:val="28"/>
          <w:vertAlign w:val="superscript"/>
          <w:lang w:val="en-US" w:eastAsia="zh-CN"/>
        </w:rPr>
        <w:t>2</w:t>
      </w:r>
      <w:r>
        <w:rPr>
          <w:rFonts w:hint="eastAsia" w:ascii="Times New Roman"/>
          <w:sz w:val="28"/>
          <w:szCs w:val="28"/>
          <w:lang w:val="en-US" w:eastAsia="zh-CN"/>
        </w:rPr>
        <w:t>，</w:t>
      </w:r>
      <w:r>
        <w:rPr>
          <w:rFonts w:ascii="Times New Roman"/>
          <w:sz w:val="28"/>
          <w:szCs w:val="28"/>
        </w:rPr>
        <w:t>采用砖混结构，为</w:t>
      </w:r>
      <w:r>
        <w:rPr>
          <w:rFonts w:hint="eastAsia"/>
          <w:sz w:val="28"/>
          <w:szCs w:val="28"/>
          <w:lang w:eastAsia="zh-CN"/>
        </w:rPr>
        <w:t>二</w:t>
      </w:r>
      <w:r>
        <w:rPr>
          <w:rFonts w:ascii="Times New Roman"/>
          <w:sz w:val="28"/>
          <w:szCs w:val="28"/>
        </w:rPr>
        <w:t>层建筑</w:t>
      </w:r>
      <w:r>
        <w:rPr>
          <w:rFonts w:hint="eastAsia" w:ascii="Times New Roman"/>
          <w:sz w:val="28"/>
          <w:szCs w:val="28"/>
        </w:rPr>
        <w:t>。</w:t>
      </w:r>
    </w:p>
    <w:p>
      <w:pPr>
        <w:adjustRightInd w:val="0"/>
        <w:snapToGrid w:val="0"/>
        <w:spacing w:line="360" w:lineRule="auto"/>
        <w:ind w:firstLine="560" w:firstLineChars="200"/>
        <w:rPr>
          <w:rFonts w:hint="default" w:ascii="Times New Roman" w:eastAsia="宋体"/>
          <w:sz w:val="28"/>
          <w:szCs w:val="28"/>
          <w:lang w:val="en-US" w:eastAsia="zh-CN"/>
        </w:rPr>
      </w:pPr>
      <w:r>
        <w:rPr>
          <w:rFonts w:hint="eastAsia"/>
          <w:sz w:val="28"/>
          <w:szCs w:val="28"/>
          <w:lang w:val="en-US" w:eastAsia="zh-CN"/>
        </w:rPr>
        <w:t>2</w:t>
      </w:r>
      <w:r>
        <w:rPr>
          <w:rFonts w:ascii="Times New Roman"/>
          <w:sz w:val="28"/>
          <w:szCs w:val="28"/>
        </w:rPr>
        <w:t>）</w:t>
      </w:r>
      <w:r>
        <w:rPr>
          <w:rFonts w:hint="eastAsia"/>
          <w:sz w:val="28"/>
          <w:szCs w:val="28"/>
          <w:lang w:val="en-US" w:eastAsia="zh-CN"/>
        </w:rPr>
        <w:t>辅助用房</w:t>
      </w:r>
    </w:p>
    <w:p>
      <w:pPr>
        <w:adjustRightInd w:val="0"/>
        <w:snapToGrid w:val="0"/>
        <w:spacing w:line="360" w:lineRule="auto"/>
        <w:ind w:firstLine="560" w:firstLineChars="200"/>
        <w:rPr>
          <w:rFonts w:ascii="Times New Roman"/>
          <w:sz w:val="28"/>
          <w:szCs w:val="28"/>
        </w:rPr>
      </w:pPr>
      <w:r>
        <w:rPr>
          <w:rFonts w:hint="eastAsia"/>
          <w:sz w:val="28"/>
          <w:szCs w:val="28"/>
          <w:lang w:val="en-US" w:eastAsia="zh-CN"/>
        </w:rPr>
        <w:t>辅助用房</w:t>
      </w:r>
      <w:r>
        <w:rPr>
          <w:rFonts w:hint="eastAsia" w:ascii="Times New Roman"/>
          <w:sz w:val="28"/>
          <w:szCs w:val="28"/>
          <w:lang w:eastAsia="zh-CN"/>
        </w:rPr>
        <w:t>长</w:t>
      </w:r>
      <w:r>
        <w:rPr>
          <w:rFonts w:hint="eastAsia"/>
          <w:sz w:val="28"/>
          <w:szCs w:val="28"/>
          <w:lang w:val="en-US" w:eastAsia="zh-CN"/>
        </w:rPr>
        <w:t>18</w:t>
      </w:r>
      <w:r>
        <w:rPr>
          <w:rFonts w:hint="eastAsia" w:ascii="Times New Roman"/>
          <w:sz w:val="28"/>
          <w:szCs w:val="28"/>
          <w:lang w:val="en-US" w:eastAsia="zh-CN"/>
        </w:rPr>
        <w:t>m，宽</w:t>
      </w:r>
      <w:r>
        <w:rPr>
          <w:rFonts w:hint="eastAsia"/>
          <w:sz w:val="28"/>
          <w:szCs w:val="28"/>
          <w:lang w:val="en-US" w:eastAsia="zh-CN"/>
        </w:rPr>
        <w:t>7.3</w:t>
      </w:r>
      <w:r>
        <w:rPr>
          <w:rFonts w:hint="eastAsia" w:ascii="Times New Roman"/>
          <w:sz w:val="28"/>
          <w:szCs w:val="28"/>
          <w:lang w:val="en-US" w:eastAsia="zh-CN"/>
        </w:rPr>
        <w:t>m，建筑面积为</w:t>
      </w:r>
      <w:r>
        <w:rPr>
          <w:rFonts w:hint="eastAsia"/>
          <w:sz w:val="28"/>
          <w:szCs w:val="28"/>
          <w:lang w:val="en-US" w:eastAsia="zh-CN"/>
        </w:rPr>
        <w:t>131.4</w:t>
      </w:r>
      <w:r>
        <w:rPr>
          <w:rFonts w:hint="eastAsia" w:ascii="Times New Roman"/>
          <w:sz w:val="28"/>
          <w:szCs w:val="28"/>
          <w:lang w:val="en-US" w:eastAsia="zh-CN"/>
        </w:rPr>
        <w:t>m</w:t>
      </w:r>
      <w:r>
        <w:rPr>
          <w:rFonts w:hint="eastAsia" w:ascii="Times New Roman"/>
          <w:sz w:val="28"/>
          <w:szCs w:val="28"/>
          <w:vertAlign w:val="superscript"/>
          <w:lang w:val="en-US" w:eastAsia="zh-CN"/>
        </w:rPr>
        <w:t>2</w:t>
      </w:r>
      <w:r>
        <w:rPr>
          <w:rFonts w:hint="eastAsia" w:ascii="Times New Roman"/>
          <w:sz w:val="28"/>
          <w:szCs w:val="28"/>
          <w:lang w:val="en-US" w:eastAsia="zh-CN"/>
        </w:rPr>
        <w:t>，</w:t>
      </w:r>
      <w:r>
        <w:rPr>
          <w:rFonts w:ascii="Times New Roman"/>
          <w:sz w:val="28"/>
          <w:szCs w:val="28"/>
        </w:rPr>
        <w:t>采用砖混结构</w:t>
      </w:r>
      <w:r>
        <w:rPr>
          <w:rFonts w:hint="eastAsia"/>
          <w:sz w:val="28"/>
          <w:szCs w:val="28"/>
          <w:lang w:eastAsia="zh-CN"/>
        </w:rPr>
        <w:t>，</w:t>
      </w:r>
      <w:r>
        <w:rPr>
          <w:rFonts w:ascii="Times New Roman"/>
          <w:sz w:val="28"/>
          <w:szCs w:val="28"/>
        </w:rPr>
        <w:t>为</w:t>
      </w:r>
      <w:r>
        <w:rPr>
          <w:rFonts w:hint="eastAsia"/>
          <w:sz w:val="28"/>
          <w:szCs w:val="28"/>
          <w:lang w:val="en-US" w:eastAsia="zh-CN"/>
        </w:rPr>
        <w:t>单</w:t>
      </w:r>
      <w:r>
        <w:rPr>
          <w:rFonts w:ascii="Times New Roman"/>
          <w:sz w:val="28"/>
          <w:szCs w:val="28"/>
        </w:rPr>
        <w:t>层建筑</w:t>
      </w:r>
      <w:r>
        <w:rPr>
          <w:rFonts w:hint="eastAsia" w:ascii="Times New Roman"/>
          <w:sz w:val="28"/>
          <w:szCs w:val="28"/>
        </w:rPr>
        <w:t>。</w:t>
      </w:r>
    </w:p>
    <w:p>
      <w:pPr>
        <w:adjustRightInd w:val="0"/>
        <w:snapToGrid w:val="0"/>
        <w:spacing w:line="360" w:lineRule="auto"/>
        <w:ind w:firstLine="560" w:firstLineChars="200"/>
        <w:rPr>
          <w:rFonts w:ascii="Times New Roman"/>
          <w:sz w:val="28"/>
          <w:szCs w:val="28"/>
        </w:rPr>
      </w:pPr>
      <w:r>
        <w:rPr>
          <w:rFonts w:hint="eastAsia"/>
          <w:sz w:val="28"/>
          <w:szCs w:val="28"/>
          <w:lang w:val="en-US" w:eastAsia="zh-CN"/>
        </w:rPr>
        <w:t>3</w:t>
      </w:r>
      <w:r>
        <w:rPr>
          <w:rFonts w:ascii="Times New Roman"/>
          <w:sz w:val="28"/>
          <w:szCs w:val="28"/>
        </w:rPr>
        <w:t>）罩棚</w:t>
      </w:r>
    </w:p>
    <w:p>
      <w:pPr>
        <w:adjustRightInd w:val="0"/>
        <w:snapToGrid w:val="0"/>
        <w:spacing w:line="360" w:lineRule="auto"/>
        <w:ind w:firstLine="560" w:firstLineChars="200"/>
        <w:rPr>
          <w:rFonts w:ascii="Times New Roman"/>
          <w:sz w:val="28"/>
          <w:szCs w:val="28"/>
        </w:rPr>
      </w:pPr>
      <w:r>
        <w:rPr>
          <w:rFonts w:ascii="Times New Roman"/>
          <w:sz w:val="28"/>
          <w:szCs w:val="28"/>
        </w:rPr>
        <w:t>加油站罩</w:t>
      </w:r>
      <w:r>
        <w:rPr>
          <w:rFonts w:ascii="Times New Roman"/>
          <w:color w:val="auto"/>
          <w:sz w:val="28"/>
          <w:szCs w:val="28"/>
        </w:rPr>
        <w:t>棚高</w:t>
      </w:r>
      <w:r>
        <w:rPr>
          <w:rFonts w:hint="eastAsia"/>
          <w:color w:val="auto"/>
          <w:sz w:val="28"/>
          <w:szCs w:val="28"/>
          <w:lang w:val="en-US" w:eastAsia="zh-CN"/>
        </w:rPr>
        <w:t>8.5</w:t>
      </w:r>
      <w:r>
        <w:rPr>
          <w:rFonts w:ascii="Times New Roman"/>
          <w:color w:val="auto"/>
          <w:sz w:val="28"/>
          <w:szCs w:val="28"/>
        </w:rPr>
        <w:t>m，</w:t>
      </w:r>
      <w:r>
        <w:rPr>
          <w:rFonts w:ascii="Times New Roman"/>
          <w:sz w:val="28"/>
          <w:szCs w:val="28"/>
        </w:rPr>
        <w:t>采用网架钢结构、钢筋混凝土独立基础，使用非燃烧轻质材料隔热、防雨。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sz w:val="28"/>
          <w:szCs w:val="28"/>
        </w:rPr>
      </w:pPr>
      <w:r>
        <w:rPr>
          <w:rFonts w:hint="eastAsia"/>
          <w:sz w:val="28"/>
          <w:szCs w:val="28"/>
          <w:lang w:val="en-US" w:eastAsia="zh-CN"/>
        </w:rPr>
        <w:t>4</w:t>
      </w:r>
      <w:r>
        <w:rPr>
          <w:rFonts w:ascii="Times New Roman"/>
          <w:sz w:val="28"/>
          <w:szCs w:val="28"/>
        </w:rPr>
        <w:t>）油罐区</w:t>
      </w:r>
    </w:p>
    <w:p>
      <w:pPr>
        <w:pStyle w:val="86"/>
        <w:keepNext w:val="0"/>
        <w:keepLines w:val="0"/>
        <w:pageBreakBefore w:val="0"/>
        <w:widowControl w:val="0"/>
        <w:kinsoku/>
        <w:wordWrap/>
        <w:overflowPunct/>
        <w:topLinePunct w:val="0"/>
        <w:autoSpaceDE/>
        <w:autoSpaceDN/>
        <w:bidi w:val="0"/>
        <w:adjustRightInd w:val="0"/>
        <w:snapToGrid w:val="0"/>
        <w:textAlignment w:val="auto"/>
      </w:pPr>
      <w:r>
        <w:t>油罐区位于加油站</w:t>
      </w:r>
      <w:r>
        <w:rPr>
          <w:rFonts w:hint="eastAsia"/>
          <w:lang w:val="en-US" w:eastAsia="zh-CN"/>
        </w:rPr>
        <w:t>西</w:t>
      </w:r>
      <w:r>
        <w:t>侧，</w:t>
      </w:r>
      <w:r>
        <w:rPr>
          <w:rFonts w:hint="eastAsia"/>
          <w:lang w:val="en-US" w:eastAsia="zh-CN"/>
        </w:rPr>
        <w:t>长22.10m，宽12.13m，</w:t>
      </w:r>
      <w:r>
        <w:t>罐区内设</w:t>
      </w:r>
      <w:r>
        <w:rPr>
          <w:rFonts w:hint="eastAsia"/>
          <w:lang w:val="en-US" w:eastAsia="zh-CN"/>
        </w:rPr>
        <w:t>5</w:t>
      </w:r>
      <w:r>
        <w:t>个埋地油罐，</w:t>
      </w:r>
      <w:r>
        <w:rPr>
          <w:rFonts w:hint="default" w:ascii="Times New Roman" w:hAnsi="Times New Roman" w:cs="Times New Roman"/>
          <w:color w:val="auto"/>
          <w:sz w:val="28"/>
        </w:rPr>
        <w:t>自</w:t>
      </w:r>
      <w:r>
        <w:rPr>
          <w:rFonts w:hint="eastAsia" w:cs="Times New Roman"/>
          <w:color w:val="auto"/>
          <w:sz w:val="28"/>
          <w:lang w:val="en-US" w:eastAsia="zh-CN"/>
        </w:rPr>
        <w:t>北</w:t>
      </w:r>
      <w:r>
        <w:rPr>
          <w:rFonts w:hint="default" w:ascii="Times New Roman" w:hAnsi="Times New Roman" w:cs="Times New Roman"/>
          <w:color w:val="auto"/>
          <w:sz w:val="28"/>
        </w:rPr>
        <w:t>向</w:t>
      </w:r>
      <w:r>
        <w:rPr>
          <w:rFonts w:hint="eastAsia" w:cs="Times New Roman"/>
          <w:color w:val="auto"/>
          <w:sz w:val="28"/>
          <w:lang w:val="en-US" w:eastAsia="zh-CN"/>
        </w:rPr>
        <w:t>南</w:t>
      </w:r>
      <w:r>
        <w:rPr>
          <w:rFonts w:hint="default" w:ascii="Times New Roman" w:hAnsi="Times New Roman" w:cs="Times New Roman"/>
          <w:color w:val="auto"/>
          <w:sz w:val="28"/>
        </w:rPr>
        <w:t>排列，依次为</w:t>
      </w:r>
      <w:r>
        <w:rPr>
          <w:rFonts w:hint="eastAsia" w:cs="Times New Roman"/>
          <w:color w:val="auto"/>
          <w:sz w:val="28"/>
          <w:lang w:val="en-US" w:eastAsia="zh-CN"/>
        </w:rPr>
        <w:t>2</w:t>
      </w:r>
      <w:r>
        <w:rPr>
          <w:rFonts w:hint="default" w:ascii="Times New Roman" w:hAnsi="Times New Roman" w:cs="Times New Roman"/>
          <w:color w:val="auto"/>
          <w:sz w:val="28"/>
        </w:rPr>
        <w:t>台92#汽油储罐、</w:t>
      </w:r>
      <w:r>
        <w:rPr>
          <w:rFonts w:hint="eastAsia" w:cs="Times New Roman"/>
          <w:color w:val="auto"/>
          <w:sz w:val="28"/>
          <w:lang w:val="en-US" w:eastAsia="zh-CN"/>
        </w:rPr>
        <w:t>1</w:t>
      </w:r>
      <w:r>
        <w:rPr>
          <w:rFonts w:hint="default" w:ascii="Times New Roman" w:hAnsi="Times New Roman" w:cs="Times New Roman"/>
          <w:color w:val="auto"/>
          <w:sz w:val="28"/>
        </w:rPr>
        <w:t>台</w:t>
      </w:r>
      <w:r>
        <w:rPr>
          <w:rFonts w:hint="default" w:ascii="Times New Roman" w:hAnsi="Times New Roman" w:cs="Times New Roman"/>
          <w:color w:val="auto"/>
          <w:sz w:val="28"/>
          <w:lang w:val="en-US" w:eastAsia="zh-CN"/>
        </w:rPr>
        <w:t>0</w:t>
      </w:r>
      <w:r>
        <w:rPr>
          <w:rFonts w:hint="default" w:ascii="Times New Roman" w:hAnsi="Times New Roman" w:cs="Times New Roman"/>
          <w:color w:val="auto"/>
          <w:sz w:val="28"/>
        </w:rPr>
        <w:t>#</w:t>
      </w:r>
      <w:r>
        <w:rPr>
          <w:rFonts w:hint="default" w:ascii="Times New Roman" w:hAnsi="Times New Roman" w:cs="Times New Roman"/>
          <w:color w:val="auto"/>
          <w:sz w:val="28"/>
          <w:lang w:eastAsia="zh-CN"/>
        </w:rPr>
        <w:t>柴油</w:t>
      </w:r>
      <w:r>
        <w:rPr>
          <w:rFonts w:hint="default" w:ascii="Times New Roman" w:hAnsi="Times New Roman" w:cs="Times New Roman"/>
          <w:color w:val="auto"/>
          <w:sz w:val="28"/>
        </w:rPr>
        <w:t>储罐</w:t>
      </w:r>
      <w:r>
        <w:rPr>
          <w:rFonts w:hint="eastAsia" w:cs="Times New Roman"/>
          <w:color w:val="auto"/>
          <w:sz w:val="28"/>
          <w:lang w:eastAsia="zh-CN"/>
        </w:rPr>
        <w:t>，</w:t>
      </w:r>
      <w:r>
        <w:rPr>
          <w:rFonts w:hint="eastAsia" w:cs="Times New Roman"/>
          <w:color w:val="auto"/>
          <w:sz w:val="28"/>
          <w:lang w:val="en-US" w:eastAsia="zh-CN"/>
        </w:rPr>
        <w:t>1</w:t>
      </w:r>
      <w:r>
        <w:rPr>
          <w:rFonts w:hint="eastAsia" w:cs="Times New Roman"/>
          <w:color w:val="auto"/>
          <w:sz w:val="28"/>
          <w:lang w:eastAsia="zh-CN"/>
        </w:rPr>
        <w:t>台</w:t>
      </w:r>
      <w:r>
        <w:rPr>
          <w:rFonts w:hint="eastAsia" w:cs="Times New Roman"/>
          <w:color w:val="auto"/>
          <w:sz w:val="28"/>
          <w:lang w:val="en-US" w:eastAsia="zh-CN"/>
        </w:rPr>
        <w:t>0#/-10</w:t>
      </w:r>
      <w:r>
        <w:rPr>
          <w:rFonts w:hint="eastAsia" w:cs="Times New Roman"/>
          <w:color w:val="auto"/>
          <w:sz w:val="28"/>
          <w:lang w:eastAsia="zh-CN"/>
        </w:rPr>
        <w:t>#柴油储罐，</w:t>
      </w:r>
      <w:r>
        <w:rPr>
          <w:rFonts w:hint="default" w:ascii="Times New Roman" w:hAnsi="Times New Roman" w:cs="Times New Roman"/>
          <w:color w:val="auto"/>
          <w:sz w:val="28"/>
          <w:lang w:val="en-US" w:eastAsia="zh-CN"/>
        </w:rPr>
        <w:t>1</w:t>
      </w:r>
      <w:r>
        <w:rPr>
          <w:rFonts w:hint="default" w:ascii="Times New Roman" w:hAnsi="Times New Roman" w:cs="Times New Roman"/>
          <w:color w:val="auto"/>
          <w:sz w:val="28"/>
        </w:rPr>
        <w:t>台9</w:t>
      </w:r>
      <w:r>
        <w:rPr>
          <w:rFonts w:hint="default" w:ascii="Times New Roman" w:hAnsi="Times New Roman" w:cs="Times New Roman"/>
          <w:color w:val="auto"/>
          <w:sz w:val="28"/>
          <w:lang w:val="en-US" w:eastAsia="zh-CN"/>
        </w:rPr>
        <w:t>5</w:t>
      </w:r>
      <w:r>
        <w:rPr>
          <w:rFonts w:hint="default" w:ascii="Times New Roman" w:hAnsi="Times New Roman" w:cs="Times New Roman"/>
          <w:color w:val="auto"/>
          <w:sz w:val="28"/>
        </w:rPr>
        <w:t>#汽油储罐</w:t>
      </w:r>
      <w:r>
        <w:rPr>
          <w:color w:val="auto"/>
        </w:rPr>
        <w:t>；油罐均为双层罐，罐池为钢筋混凝土结构。</w:t>
      </w:r>
    </w:p>
    <w:p>
      <w:pPr>
        <w:pStyle w:val="76"/>
        <w:keepNext w:val="0"/>
        <w:keepLines w:val="0"/>
        <w:pageBreakBefore w:val="0"/>
        <w:widowControl w:val="0"/>
        <w:kinsoku/>
        <w:wordWrap/>
        <w:overflowPunct/>
        <w:topLinePunct w:val="0"/>
        <w:autoSpaceDE/>
        <w:autoSpaceDN/>
        <w:bidi w:val="0"/>
        <w:adjustRightInd w:val="0"/>
        <w:snapToGrid w:val="0"/>
        <w:ind w:firstLine="560"/>
        <w:textAlignment w:val="auto"/>
        <w:rPr>
          <w:rFonts w:cs="Times New Roman"/>
          <w:color w:val="0000FF"/>
        </w:rPr>
      </w:pPr>
      <w:r>
        <w:rPr>
          <w:rFonts w:cs="Times New Roman"/>
        </w:rPr>
        <w:t>罐区设置</w:t>
      </w:r>
      <w:r>
        <w:rPr>
          <w:rFonts w:hint="eastAsia" w:cs="Times New Roman"/>
          <w:lang w:val="en-US" w:eastAsia="zh-CN"/>
        </w:rPr>
        <w:t>5</w:t>
      </w:r>
      <w:r>
        <w:rPr>
          <w:rFonts w:cs="Times New Roman"/>
        </w:rPr>
        <w:t>根通气管</w:t>
      </w:r>
      <w:r>
        <w:rPr>
          <w:rFonts w:hint="eastAsia" w:cs="Times New Roman"/>
        </w:rPr>
        <w:t>，</w:t>
      </w:r>
      <w:r>
        <w:rPr>
          <w:rFonts w:cs="Times New Roman"/>
        </w:rPr>
        <w:t>汽油罐与柴油罐的通气管分开设置</w:t>
      </w:r>
      <w:r>
        <w:rPr>
          <w:rFonts w:hint="eastAsia" w:cs="Times New Roman"/>
        </w:rPr>
        <w:t>，</w:t>
      </w:r>
      <w:r>
        <w:rPr>
          <w:rFonts w:hint="eastAsia" w:cs="Times New Roman"/>
          <w:color w:val="auto"/>
          <w:lang w:val="en-US" w:eastAsia="zh-CN"/>
        </w:rPr>
        <w:t>3</w:t>
      </w:r>
      <w:r>
        <w:rPr>
          <w:rFonts w:cs="Times New Roman"/>
          <w:color w:val="auto"/>
        </w:rPr>
        <w:t>根汽油通气管串联</w:t>
      </w:r>
      <w:r>
        <w:rPr>
          <w:rFonts w:hint="eastAsia" w:cs="Times New Roman"/>
          <w:color w:val="auto"/>
        </w:rPr>
        <w:t>，</w:t>
      </w:r>
      <w:r>
        <w:rPr>
          <w:rFonts w:hint="eastAsia" w:cs="Times New Roman"/>
          <w:color w:val="auto"/>
          <w:lang w:val="en-US" w:eastAsia="zh-CN"/>
        </w:rPr>
        <w:t>其中2根通气管安装防雨阻火通气罩，阀门为常关，另外1根通气管安装阻火型机械式呼吸阀；</w:t>
      </w:r>
      <w:r>
        <w:rPr>
          <w:rFonts w:cs="Times New Roman"/>
          <w:color w:val="auto"/>
        </w:rPr>
        <w:t>埋地柴油罐</w:t>
      </w:r>
      <w:r>
        <w:rPr>
          <w:rFonts w:hint="eastAsia" w:cs="Times New Roman"/>
          <w:color w:val="auto"/>
          <w:lang w:eastAsia="zh-CN"/>
        </w:rPr>
        <w:t>设置</w:t>
      </w:r>
      <w:r>
        <w:rPr>
          <w:rFonts w:hint="eastAsia" w:cs="Times New Roman"/>
          <w:color w:val="auto"/>
          <w:lang w:val="en-US" w:eastAsia="zh-CN"/>
        </w:rPr>
        <w:t>2</w:t>
      </w:r>
      <w:r>
        <w:rPr>
          <w:rFonts w:cs="Times New Roman"/>
          <w:color w:val="auto"/>
        </w:rPr>
        <w:t>根通气管</w:t>
      </w:r>
      <w:r>
        <w:rPr>
          <w:rFonts w:hint="eastAsia" w:cs="Times New Roman"/>
          <w:color w:val="auto"/>
          <w:lang w:eastAsia="zh-CN"/>
        </w:rPr>
        <w:t>，</w:t>
      </w:r>
      <w:r>
        <w:rPr>
          <w:rFonts w:hint="eastAsia" w:cs="Times New Roman"/>
          <w:color w:val="auto"/>
          <w:lang w:val="en-US" w:eastAsia="zh-CN"/>
        </w:rPr>
        <w:t>安装防雨阻火通气罩。</w:t>
      </w:r>
      <w:r>
        <w:rPr>
          <w:rFonts w:hint="default" w:ascii="Times New Roman" w:hAnsi="Times New Roman" w:cs="Times New Roman"/>
          <w:color w:val="auto"/>
          <w:szCs w:val="28"/>
          <w:lang w:val="zh-CN"/>
        </w:rPr>
        <w:t>呼吸阀的工作正压为2~3kPa，工作负压为1.5~2kPa</w:t>
      </w:r>
      <w:r>
        <w:rPr>
          <w:rFonts w:hint="eastAsia" w:cs="Times New Roman"/>
          <w:color w:val="auto"/>
          <w:szCs w:val="28"/>
          <w:lang w:val="zh-CN"/>
        </w:rPr>
        <w:t>，防止罐内超压。</w:t>
      </w:r>
      <w:r>
        <w:rPr>
          <w:rFonts w:cs="Times New Roman"/>
        </w:rPr>
        <w:t>油罐通气管管口高出地面</w:t>
      </w:r>
      <w:r>
        <w:rPr>
          <w:rFonts w:cs="Times New Roman"/>
          <w:color w:val="auto"/>
        </w:rPr>
        <w:t>4m</w:t>
      </w:r>
      <w:r>
        <w:rPr>
          <w:rFonts w:hint="eastAsia" w:cs="Times New Roman"/>
          <w:color w:val="auto"/>
          <w:lang w:eastAsia="zh-CN"/>
        </w:rPr>
        <w:t>以上</w:t>
      </w:r>
      <w:r>
        <w:rPr>
          <w:rFonts w:cs="Times New Roman"/>
          <w:color w:val="auto"/>
        </w:rPr>
        <w:t>，通气管</w:t>
      </w:r>
      <w:r>
        <w:rPr>
          <w:rFonts w:hint="eastAsia" w:cs="Times New Roman"/>
          <w:color w:val="auto"/>
          <w:lang w:eastAsia="zh-CN"/>
        </w:rPr>
        <w:t>管径</w:t>
      </w:r>
      <w:r>
        <w:rPr>
          <w:rFonts w:hint="eastAsia" w:cs="Times New Roman"/>
          <w:color w:val="auto"/>
          <w:lang w:val="en-US" w:eastAsia="zh-CN"/>
        </w:rPr>
        <w:t>DN50</w:t>
      </w:r>
      <w:r>
        <w:rPr>
          <w:rFonts w:hint="eastAsia" w:cs="Times New Roman"/>
          <w:color w:val="auto"/>
        </w:rPr>
        <w:t>。</w:t>
      </w:r>
    </w:p>
    <w:p>
      <w:pPr>
        <w:pStyle w:val="86"/>
        <w:keepNext w:val="0"/>
        <w:keepLines w:val="0"/>
        <w:pageBreakBefore w:val="0"/>
        <w:widowControl w:val="0"/>
        <w:kinsoku/>
        <w:wordWrap/>
        <w:overflowPunct/>
        <w:topLinePunct w:val="0"/>
        <w:autoSpaceDE/>
        <w:autoSpaceDN/>
        <w:bidi w:val="0"/>
        <w:adjustRightInd w:val="0"/>
        <w:snapToGrid w:val="0"/>
        <w:textAlignment w:val="auto"/>
      </w:pPr>
      <w:r>
        <w:rPr>
          <w:rFonts w:hint="default" w:ascii="Times New Roman" w:hAnsi="Times New Roman" w:eastAsia="宋体" w:cs="Times New Roman"/>
          <w:color w:val="auto"/>
        </w:rPr>
        <w:t>埋地双层油罐采用SF材质，油罐周边用砂土填实。</w:t>
      </w:r>
      <w:r>
        <w:t>油罐的人孔设置了操作井</w:t>
      </w:r>
      <w:r>
        <w:rPr>
          <w:rFonts w:hint="eastAsia"/>
          <w:lang w:eastAsia="zh-CN"/>
        </w:rPr>
        <w:t>，</w:t>
      </w:r>
      <w:r>
        <w:rPr>
          <w:rFonts w:hint="eastAsia"/>
          <w:lang w:val="en-US" w:eastAsia="zh-CN"/>
        </w:rPr>
        <w:t>操作井内铁板直接与罐焊接在一起进行防渗</w:t>
      </w:r>
      <w:r>
        <w:t>。油罐的各接合管，均设在油罐的顶部，其中进油接合管、出油接合管，均设在人孔盖上，操作井选用防水、防尘的铝合金密封井盖。</w:t>
      </w:r>
      <w:r>
        <w:rPr>
          <w:rFonts w:hint="eastAsia"/>
          <w:lang w:eastAsia="zh-CN"/>
        </w:rPr>
        <w:t>每个储罐</w:t>
      </w:r>
      <w:r>
        <w:rPr>
          <w:rFonts w:hint="default" w:ascii="Times New Roman" w:hAnsi="Times New Roman" w:eastAsia="宋体" w:cs="Times New Roman"/>
          <w:color w:val="auto"/>
        </w:rPr>
        <w:t>罐底预制钢筋水泥底板并预埋螺栓，固定油罐支架，用绑带对油罐进行绑扎</w:t>
      </w:r>
      <w:r>
        <w:rPr>
          <w:color w:val="auto"/>
        </w:rPr>
        <w:t>。</w:t>
      </w:r>
      <w:r>
        <w:rPr>
          <w:rFonts w:hint="eastAsia"/>
          <w:color w:val="auto"/>
          <w:lang w:eastAsia="zh-CN"/>
        </w:rPr>
        <w:t>罐区设有检测立管，</w:t>
      </w:r>
      <w:r>
        <w:rPr>
          <w:rFonts w:hint="default"/>
          <w:color w:val="auto"/>
          <w:lang w:eastAsia="zh-CN"/>
        </w:rPr>
        <w:t>检测立管的底部管口与油罐内、外壁间隙相连通，顶部管口安装防尘盖。</w:t>
      </w:r>
      <w:r>
        <w:t>双层油罐及双层油管均设置在线渗漏检测系统</w:t>
      </w:r>
      <w:r>
        <w:rPr>
          <w:rFonts w:hint="eastAsia"/>
        </w:rPr>
        <w:t>，</w:t>
      </w:r>
      <w:r>
        <w:t>测漏报警控制器设置在</w:t>
      </w:r>
      <w:r>
        <w:rPr>
          <w:rFonts w:hint="eastAsia"/>
          <w:lang w:eastAsia="zh-CN"/>
        </w:rPr>
        <w:t>站房</w:t>
      </w:r>
      <w:r>
        <w:t>。</w:t>
      </w:r>
    </w:p>
    <w:p>
      <w:pPr>
        <w:adjustRightInd w:val="0"/>
        <w:snapToGrid w:val="0"/>
        <w:spacing w:line="360" w:lineRule="auto"/>
        <w:ind w:firstLine="560" w:firstLineChars="200"/>
        <w:rPr>
          <w:rFonts w:ascii="Times New Roman"/>
          <w:sz w:val="28"/>
          <w:szCs w:val="28"/>
        </w:rPr>
      </w:pPr>
      <w:r>
        <w:rPr>
          <w:rFonts w:hint="eastAsia"/>
          <w:sz w:val="28"/>
          <w:szCs w:val="28"/>
          <w:lang w:val="en-US" w:eastAsia="zh-CN"/>
        </w:rPr>
        <w:t>6</w:t>
      </w:r>
      <w:r>
        <w:rPr>
          <w:rFonts w:ascii="Times New Roman"/>
          <w:sz w:val="28"/>
          <w:szCs w:val="28"/>
        </w:rPr>
        <w:t>）卸车设施</w:t>
      </w:r>
    </w:p>
    <w:p>
      <w:pPr>
        <w:pStyle w:val="86"/>
      </w:pPr>
      <w:r>
        <w:t>罐区</w:t>
      </w:r>
      <w:r>
        <w:rPr>
          <w:rFonts w:hint="eastAsia"/>
          <w:lang w:eastAsia="zh-CN"/>
        </w:rPr>
        <w:t>东北</w:t>
      </w:r>
      <w:r>
        <w:t>侧为卸油区，设有</w:t>
      </w:r>
      <w:r>
        <w:rPr>
          <w:rFonts w:hint="eastAsia"/>
          <w:lang w:val="en-US" w:eastAsia="zh-CN"/>
        </w:rPr>
        <w:t>5</w:t>
      </w:r>
      <w:r>
        <w:t>个卸油管口，标有卸油口标识，整个卸油过程采用密闭卸油方式，避免油品的洒落和油气的散发，同时配有静电接地仪，使卸油车辆在卸油过程中不带静电荷，避免因车辆带静电荷产生点火源的情况。</w:t>
      </w:r>
    </w:p>
    <w:p>
      <w:pPr>
        <w:pStyle w:val="86"/>
        <w:rPr>
          <w:rFonts w:hint="eastAsia" w:eastAsia="宋体"/>
          <w:lang w:eastAsia="zh-CN"/>
        </w:rPr>
      </w:pPr>
      <w:r>
        <w:t>罐车密闭卸油管道的各操作接口</w:t>
      </w:r>
      <w:r>
        <w:rPr>
          <w:color w:val="auto"/>
        </w:rPr>
        <w:t>处，设快速接头及密封盖；</w:t>
      </w:r>
      <w:r>
        <w:rPr>
          <w:rFonts w:hint="default" w:ascii="Times New Roman" w:hAnsi="Times New Roman" w:cs="Times New Roman"/>
          <w:color w:val="auto"/>
        </w:rPr>
        <w:t>油罐设置磁致伸缩液位监测系统，具备高低液位报警功能</w:t>
      </w:r>
      <w:r>
        <w:rPr>
          <w:color w:val="auto"/>
        </w:rPr>
        <w:t>，油品</w:t>
      </w:r>
      <w:r>
        <w:rPr>
          <w:rFonts w:hint="eastAsia"/>
          <w:color w:val="auto"/>
          <w:lang w:eastAsia="zh-CN"/>
        </w:rPr>
        <w:t>液位</w:t>
      </w:r>
      <w:r>
        <w:rPr>
          <w:color w:val="auto"/>
        </w:rPr>
        <w:t>低于</w:t>
      </w:r>
      <w:r>
        <w:rPr>
          <w:rFonts w:hint="eastAsia"/>
          <w:color w:val="auto"/>
          <w:lang w:val="en-US" w:eastAsia="zh-CN"/>
        </w:rPr>
        <w:t>400mm（约10%）</w:t>
      </w:r>
      <w:r>
        <w:rPr>
          <w:color w:val="auto"/>
        </w:rPr>
        <w:t>时，触动低液位报警；油品</w:t>
      </w:r>
      <w:r>
        <w:rPr>
          <w:rFonts w:hint="eastAsia"/>
          <w:color w:val="auto"/>
          <w:lang w:eastAsia="zh-CN"/>
        </w:rPr>
        <w:t>液位</w:t>
      </w:r>
      <w:r>
        <w:rPr>
          <w:color w:val="auto"/>
        </w:rPr>
        <w:t>达到</w:t>
      </w:r>
      <w:r>
        <w:rPr>
          <w:rFonts w:hint="eastAsia"/>
          <w:color w:val="auto"/>
          <w:lang w:val="en-US" w:eastAsia="zh-CN"/>
        </w:rPr>
        <w:t>2260mm（约90%）</w:t>
      </w:r>
      <w:r>
        <w:rPr>
          <w:color w:val="auto"/>
        </w:rPr>
        <w:t>时，触动高液位报警装置</w:t>
      </w:r>
      <w:r>
        <w:rPr>
          <w:rFonts w:hint="eastAsia"/>
          <w:color w:val="auto"/>
          <w:lang w:eastAsia="zh-CN"/>
        </w:rPr>
        <w:t>，</w:t>
      </w:r>
      <w:r>
        <w:rPr>
          <w:rFonts w:hint="eastAsia" w:cs="Times New Roman"/>
          <w:color w:val="auto"/>
          <w:lang w:eastAsia="zh-CN"/>
        </w:rPr>
        <w:t>紧急切断</w:t>
      </w:r>
      <w:r>
        <w:rPr>
          <w:rFonts w:hint="default" w:ascii="Times New Roman" w:hAnsi="Times New Roman" w:cs="Times New Roman"/>
          <w:color w:val="auto"/>
          <w:lang w:eastAsia="zh-CN"/>
        </w:rPr>
        <w:t>卸油口电子防溢阀（紧急切断阀）</w:t>
      </w:r>
      <w:r>
        <w:rPr>
          <w:rFonts w:hint="eastAsia" w:hAnsi="Times New Roman" w:cs="Times New Roman"/>
          <w:color w:val="auto"/>
          <w:lang w:eastAsia="zh-CN"/>
        </w:rPr>
        <w:t>。</w:t>
      </w:r>
    </w:p>
    <w:p>
      <w:pPr>
        <w:adjustRightInd w:val="0"/>
        <w:snapToGrid w:val="0"/>
        <w:spacing w:line="360" w:lineRule="auto"/>
        <w:ind w:firstLine="560" w:firstLineChars="200"/>
        <w:rPr>
          <w:rFonts w:ascii="Times New Roman"/>
          <w:sz w:val="28"/>
          <w:szCs w:val="28"/>
        </w:rPr>
      </w:pPr>
      <w:r>
        <w:rPr>
          <w:rFonts w:hint="eastAsia"/>
          <w:sz w:val="28"/>
          <w:szCs w:val="28"/>
          <w:lang w:val="en-US" w:eastAsia="zh-CN"/>
        </w:rPr>
        <w:t>7</w:t>
      </w:r>
      <w:r>
        <w:rPr>
          <w:rFonts w:ascii="Times New Roman"/>
          <w:sz w:val="28"/>
          <w:szCs w:val="28"/>
        </w:rPr>
        <w:t>）加油岛</w:t>
      </w:r>
    </w:p>
    <w:p>
      <w:pPr>
        <w:adjustRightInd w:val="0"/>
        <w:snapToGrid w:val="0"/>
        <w:spacing w:line="360" w:lineRule="auto"/>
        <w:ind w:firstLine="560" w:firstLineChars="200"/>
        <w:rPr>
          <w:rFonts w:hint="default" w:ascii="Times New Roman" w:eastAsia="宋体"/>
          <w:sz w:val="28"/>
          <w:szCs w:val="22"/>
          <w:lang w:val="en-US" w:eastAsia="zh-CN"/>
        </w:rPr>
      </w:pPr>
      <w:r>
        <w:rPr>
          <w:rFonts w:hint="eastAsia"/>
          <w:sz w:val="28"/>
          <w:lang w:eastAsia="zh-CN"/>
        </w:rPr>
        <w:t>加油作业区</w:t>
      </w:r>
      <w:r>
        <w:rPr>
          <w:rFonts w:ascii="Times New Roman"/>
          <w:sz w:val="28"/>
        </w:rPr>
        <w:t>共设有</w:t>
      </w:r>
      <w:r>
        <w:rPr>
          <w:rFonts w:hint="eastAsia" w:ascii="Times New Roman"/>
          <w:sz w:val="28"/>
          <w:lang w:val="en-US" w:eastAsia="zh-CN"/>
        </w:rPr>
        <w:t>6</w:t>
      </w:r>
      <w:r>
        <w:rPr>
          <w:rFonts w:ascii="Times New Roman"/>
          <w:sz w:val="28"/>
        </w:rPr>
        <w:t>个加油岛，</w:t>
      </w:r>
      <w:r>
        <w:rPr>
          <w:rFonts w:hint="eastAsia"/>
          <w:sz w:val="28"/>
          <w:lang w:val="en-US" w:eastAsia="zh-CN"/>
        </w:rPr>
        <w:t>其中西侧的南北两个加油岛闲置，南排最东侧加油岛设置1台加油机，其余</w:t>
      </w:r>
      <w:r>
        <w:rPr>
          <w:rFonts w:hint="eastAsia" w:ascii="Times New Roman"/>
          <w:sz w:val="28"/>
          <w:lang w:eastAsia="zh-CN"/>
        </w:rPr>
        <w:t>每</w:t>
      </w:r>
      <w:r>
        <w:rPr>
          <w:rFonts w:ascii="Times New Roman"/>
          <w:sz w:val="28"/>
        </w:rPr>
        <w:t>个加油岛上</w:t>
      </w:r>
      <w:r>
        <w:rPr>
          <w:rFonts w:hint="eastAsia" w:ascii="Times New Roman"/>
          <w:sz w:val="28"/>
          <w:lang w:eastAsia="zh-CN"/>
        </w:rPr>
        <w:t>设置</w:t>
      </w:r>
      <w:r>
        <w:rPr>
          <w:rFonts w:hint="eastAsia"/>
          <w:sz w:val="28"/>
          <w:lang w:val="en-US" w:eastAsia="zh-CN"/>
        </w:rPr>
        <w:t>两</w:t>
      </w:r>
      <w:r>
        <w:rPr>
          <w:rFonts w:ascii="Times New Roman"/>
          <w:sz w:val="28"/>
        </w:rPr>
        <w:t>台加油机</w:t>
      </w:r>
      <w:r>
        <w:rPr>
          <w:rFonts w:hint="eastAsia" w:ascii="Times New Roman"/>
          <w:sz w:val="28"/>
        </w:rPr>
        <w:t>，加油岛外侧</w:t>
      </w:r>
      <w:r>
        <w:rPr>
          <w:rFonts w:ascii="Times New Roman"/>
          <w:sz w:val="28"/>
        </w:rPr>
        <w:t>设置高为0.</w:t>
      </w:r>
      <w:r>
        <w:rPr>
          <w:rFonts w:hint="eastAsia"/>
          <w:sz w:val="28"/>
          <w:lang w:val="en-US" w:eastAsia="zh-CN"/>
        </w:rPr>
        <w:t>55</w:t>
      </w:r>
      <w:r>
        <w:rPr>
          <w:rFonts w:ascii="Times New Roman"/>
          <w:sz w:val="28"/>
        </w:rPr>
        <w:t>m的防撞栏；加油岛高出地坪0.2</w:t>
      </w:r>
      <w:r>
        <w:rPr>
          <w:rFonts w:hint="eastAsia"/>
          <w:sz w:val="28"/>
          <w:lang w:val="en-US" w:eastAsia="zh-CN"/>
        </w:rPr>
        <w:t>0</w:t>
      </w:r>
      <w:r>
        <w:rPr>
          <w:rFonts w:ascii="Times New Roman"/>
          <w:sz w:val="28"/>
        </w:rPr>
        <w:t>m，呈椭圆型，两端宽度1.2m，罩棚支柱距岛端部距离</w:t>
      </w:r>
      <w:r>
        <w:rPr>
          <w:rFonts w:hint="eastAsia"/>
          <w:sz w:val="28"/>
          <w:lang w:val="en-US" w:eastAsia="zh-CN"/>
        </w:rPr>
        <w:t>2.9</w:t>
      </w:r>
      <w:r>
        <w:rPr>
          <w:rFonts w:ascii="Times New Roman"/>
          <w:sz w:val="28"/>
          <w:szCs w:val="22"/>
        </w:rPr>
        <w:t>m。</w:t>
      </w:r>
      <w:r>
        <w:rPr>
          <w:rFonts w:hint="eastAsia"/>
          <w:sz w:val="28"/>
          <w:szCs w:val="22"/>
          <w:lang w:eastAsia="zh-CN"/>
        </w:rPr>
        <w:t>该加油中心</w:t>
      </w:r>
      <w:r>
        <w:rPr>
          <w:rFonts w:hint="default" w:ascii="Times New Roman"/>
          <w:sz w:val="28"/>
          <w:szCs w:val="22"/>
        </w:rPr>
        <w:t>工艺采取潜油泵式加油机，</w:t>
      </w:r>
      <w:r>
        <w:rPr>
          <w:rFonts w:hint="default" w:ascii="Times New Roman" w:hAnsi="Times New Roman" w:cs="Times New Roman" w:eastAsiaTheme="minorEastAsia"/>
          <w:color w:val="auto"/>
          <w:szCs w:val="28"/>
        </w:rPr>
        <w:t>加油机底部与油气回收立管的连接处安装一个用于检测液阻和系统密闭性的丝接三通，其旁通短管上设公称直径为25mm的球阀及丝堵</w:t>
      </w:r>
      <w:r>
        <w:rPr>
          <w:rFonts w:hint="eastAsia" w:cs="Times New Roman" w:eastAsiaTheme="minorEastAsia"/>
          <w:color w:val="auto"/>
          <w:szCs w:val="28"/>
          <w:lang w:eastAsia="zh-CN"/>
        </w:rPr>
        <w:t>，</w:t>
      </w:r>
      <w:r>
        <w:rPr>
          <w:rFonts w:hint="default" w:ascii="Times New Roman"/>
          <w:sz w:val="28"/>
          <w:szCs w:val="22"/>
        </w:rPr>
        <w:t>且在加油机底部设置剪切阀，</w:t>
      </w:r>
      <w:r>
        <w:rPr>
          <w:rFonts w:hint="default" w:ascii="Times New Roman"/>
          <w:sz w:val="28"/>
          <w:szCs w:val="22"/>
          <w:lang w:eastAsia="zh-CN"/>
        </w:rPr>
        <w:t>在</w:t>
      </w:r>
      <w:r>
        <w:rPr>
          <w:rFonts w:hint="default" w:ascii="Times New Roman"/>
          <w:sz w:val="28"/>
          <w:szCs w:val="22"/>
        </w:rPr>
        <w:t>加油机因碰撞或发生火灾时，阀芯</w:t>
      </w:r>
      <w:r>
        <w:rPr>
          <w:rFonts w:hint="default" w:ascii="Times New Roman"/>
          <w:sz w:val="28"/>
          <w:szCs w:val="22"/>
          <w:lang w:eastAsia="zh-CN"/>
        </w:rPr>
        <w:t>可</w:t>
      </w:r>
      <w:r>
        <w:rPr>
          <w:rFonts w:hint="default" w:ascii="Times New Roman"/>
          <w:sz w:val="28"/>
          <w:szCs w:val="22"/>
        </w:rPr>
        <w:t>自动封闭，切断管路油流。加油机</w:t>
      </w:r>
      <w:r>
        <w:rPr>
          <w:rFonts w:hint="eastAsia"/>
          <w:sz w:val="28"/>
          <w:szCs w:val="22"/>
          <w:lang w:val="en-US" w:eastAsia="zh-CN"/>
        </w:rPr>
        <w:t>防渗措施：</w:t>
      </w:r>
      <w:r>
        <w:rPr>
          <w:rFonts w:hint="default" w:ascii="Times New Roman"/>
          <w:sz w:val="28"/>
          <w:szCs w:val="22"/>
        </w:rPr>
        <w:t>底座池</w:t>
      </w:r>
      <w:r>
        <w:rPr>
          <w:rFonts w:hint="eastAsia"/>
          <w:sz w:val="28"/>
          <w:szCs w:val="22"/>
          <w:lang w:val="en-US" w:eastAsia="zh-CN"/>
        </w:rPr>
        <w:t>采</w:t>
      </w:r>
      <w:r>
        <w:rPr>
          <w:rFonts w:hint="default" w:ascii="Times New Roman"/>
          <w:sz w:val="28"/>
          <w:szCs w:val="22"/>
        </w:rPr>
        <w:t>用商砼进行浇灌，并进行涂刷防渗油环保漆</w:t>
      </w:r>
      <w:r>
        <w:rPr>
          <w:rFonts w:hint="eastAsia"/>
          <w:sz w:val="28"/>
          <w:szCs w:val="22"/>
          <w:lang w:val="en-US" w:eastAsia="zh-CN"/>
        </w:rPr>
        <w:t>。</w:t>
      </w:r>
    </w:p>
    <w:p>
      <w:pPr>
        <w:pStyle w:val="76"/>
        <w:adjustRightInd w:val="0"/>
        <w:snapToGrid w:val="0"/>
        <w:ind w:firstLine="560"/>
        <w:rPr>
          <w:rFonts w:hint="eastAsia" w:ascii="Times New Roman" w:hAnsi="Times New Roman" w:eastAsia="宋体" w:cs="Times New Roman"/>
          <w:color w:val="auto"/>
          <w:lang w:eastAsia="zh-CN"/>
        </w:rPr>
      </w:pPr>
      <w:r>
        <w:rPr>
          <w:rFonts w:hint="eastAsia" w:cs="Times New Roman"/>
          <w:color w:val="auto"/>
          <w:lang w:val="en-US" w:eastAsia="zh-CN"/>
        </w:rPr>
        <w:t>8</w:t>
      </w:r>
      <w:r>
        <w:rPr>
          <w:rFonts w:hint="default" w:ascii="Times New Roman" w:hAnsi="Times New Roman" w:cs="Times New Roman"/>
          <w:color w:val="auto"/>
        </w:rPr>
        <w:t>）</w:t>
      </w:r>
      <w:r>
        <w:rPr>
          <w:rFonts w:hint="eastAsia" w:cs="Times New Roman"/>
          <w:color w:val="auto"/>
          <w:lang w:eastAsia="zh-CN"/>
        </w:rPr>
        <w:t>紧急切断系统</w:t>
      </w:r>
    </w:p>
    <w:p>
      <w:pPr>
        <w:adjustRightInd w:val="0"/>
        <w:snapToGrid w:val="0"/>
        <w:spacing w:line="360" w:lineRule="auto"/>
        <w:ind w:firstLine="560" w:firstLineChars="200"/>
        <w:rPr>
          <w:rFonts w:hint="eastAsia"/>
          <w:sz w:val="28"/>
          <w:szCs w:val="22"/>
          <w:lang w:val="en-US" w:eastAsia="zh-CN"/>
        </w:rPr>
      </w:pPr>
      <w:r>
        <w:rPr>
          <w:rFonts w:hint="eastAsia" w:cs="Times New Roman"/>
          <w:color w:val="auto"/>
          <w:lang w:val="en-US" w:eastAsia="zh-CN"/>
        </w:rPr>
        <w:t>站房以及</w:t>
      </w:r>
      <w:r>
        <w:rPr>
          <w:rFonts w:hint="default" w:ascii="Times New Roman" w:hAnsi="Times New Roman" w:cs="Times New Roman"/>
          <w:color w:val="auto"/>
        </w:rPr>
        <w:t>加油机</w:t>
      </w:r>
      <w:r>
        <w:rPr>
          <w:rFonts w:hint="eastAsia" w:cs="Times New Roman"/>
          <w:color w:val="auto"/>
          <w:lang w:val="en-US" w:eastAsia="zh-CN"/>
        </w:rPr>
        <w:t>各</w:t>
      </w:r>
      <w:r>
        <w:rPr>
          <w:rFonts w:hint="default" w:ascii="Times New Roman" w:hAnsi="Times New Roman" w:cs="Times New Roman"/>
          <w:color w:val="auto"/>
        </w:rPr>
        <w:t>设</w:t>
      </w:r>
      <w:r>
        <w:rPr>
          <w:rFonts w:hint="eastAsia" w:cs="Times New Roman"/>
          <w:color w:val="auto"/>
          <w:lang w:val="en-US" w:eastAsia="zh-CN"/>
        </w:rPr>
        <w:t>有</w:t>
      </w:r>
      <w:r>
        <w:rPr>
          <w:rFonts w:hint="default" w:ascii="Times New Roman" w:hAnsi="Times New Roman" w:cs="Times New Roman"/>
          <w:color w:val="auto"/>
        </w:rPr>
        <w:t>紧急切断按钮，在事故状态下迅速切断潜油泵、加油机等重要电源。紧急切断系统具有失效保护功能，并能由手动启动的远程控制切断系统操纵关闭，且只能手动复位。</w:t>
      </w:r>
    </w:p>
    <w:p>
      <w:pPr>
        <w:adjustRightInd w:val="0"/>
        <w:snapToGrid w:val="0"/>
        <w:spacing w:line="360" w:lineRule="auto"/>
        <w:ind w:firstLine="560" w:firstLineChars="200"/>
        <w:rPr>
          <w:rFonts w:hint="eastAsia" w:ascii="Times New Roman" w:eastAsia="宋体"/>
          <w:sz w:val="28"/>
          <w:szCs w:val="22"/>
          <w:lang w:val="en-US" w:eastAsia="zh-CN"/>
        </w:rPr>
      </w:pPr>
      <w:r>
        <w:rPr>
          <w:rFonts w:hint="eastAsia"/>
          <w:sz w:val="28"/>
          <w:szCs w:val="22"/>
          <w:lang w:val="en-US" w:eastAsia="zh-CN"/>
        </w:rPr>
        <w:t>9</w:t>
      </w:r>
      <w:r>
        <w:rPr>
          <w:rFonts w:hint="eastAsia" w:ascii="Times New Roman"/>
          <w:sz w:val="28"/>
          <w:szCs w:val="22"/>
          <w:lang w:val="en-US" w:eastAsia="zh-CN"/>
        </w:rPr>
        <w:t>）管线布置</w:t>
      </w:r>
    </w:p>
    <w:p>
      <w:pPr>
        <w:pStyle w:val="69"/>
        <w:adjustRightInd w:val="0"/>
        <w:snapToGrid w:val="0"/>
        <w:spacing w:line="360" w:lineRule="auto"/>
        <w:jc w:val="both"/>
        <w:rPr>
          <w:rFonts w:hint="default"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eastAsia="zh-CN"/>
        </w:rPr>
        <w:t>站</w:t>
      </w:r>
      <w:r>
        <w:rPr>
          <w:rFonts w:hint="default" w:ascii="Times New Roman" w:hAnsi="Times New Roman" w:eastAsia="宋体" w:cs="Times New Roman"/>
          <w:color w:val="auto"/>
          <w:sz w:val="28"/>
          <w:szCs w:val="28"/>
        </w:rPr>
        <w:t>区工程管线有给水管、污水管、电力电缆、通讯电缆、输油管道等，站区内室外管线基本采用直埋铺设。</w:t>
      </w:r>
    </w:p>
    <w:p>
      <w:pPr>
        <w:adjustRightInd w:val="0"/>
        <w:snapToGrid w:val="0"/>
        <w:spacing w:line="360" w:lineRule="auto"/>
        <w:ind w:firstLine="560" w:firstLineChars="200"/>
        <w:rPr>
          <w:rFonts w:hint="default" w:ascii="Times New Roman" w:hAnsi="Times New Roman" w:eastAsia="宋体" w:cs="Times New Roman"/>
          <w:color w:val="0000FF"/>
          <w:sz w:val="28"/>
          <w:szCs w:val="28"/>
          <w:lang w:eastAsia="zh-CN"/>
        </w:rPr>
      </w:pPr>
      <w:r>
        <w:rPr>
          <w:rFonts w:hint="default" w:ascii="Times New Roman" w:hAnsi="Times New Roman" w:cs="Times New Roman"/>
          <w:color w:val="auto"/>
          <w:sz w:val="28"/>
          <w:szCs w:val="28"/>
          <w:lang w:eastAsia="zh-CN"/>
        </w:rPr>
        <w:t>站</w:t>
      </w:r>
      <w:r>
        <w:rPr>
          <w:rFonts w:hint="default" w:ascii="Times New Roman" w:hAnsi="Times New Roman" w:cs="Times New Roman"/>
          <w:color w:val="auto"/>
          <w:sz w:val="28"/>
          <w:szCs w:val="28"/>
        </w:rPr>
        <w:t>区内的油管线采用管沟敷设，</w:t>
      </w:r>
      <w:r>
        <w:rPr>
          <w:rFonts w:hint="eastAsia" w:cs="Times New Roman"/>
          <w:color w:val="auto"/>
          <w:sz w:val="28"/>
          <w:szCs w:val="28"/>
          <w:lang w:val="en-US" w:eastAsia="zh-CN"/>
        </w:rPr>
        <w:t>坡度不小于1%，坡向埋地油罐</w:t>
      </w:r>
      <w:r>
        <w:rPr>
          <w:rFonts w:hint="default" w:ascii="Times New Roman" w:hAnsi="Times New Roman" w:cs="Times New Roman"/>
          <w:color w:val="auto"/>
          <w:sz w:val="28"/>
          <w:szCs w:val="28"/>
        </w:rPr>
        <w:t>。管沟采取密封、防水措施。管沟内管道用洁净细砂将管沟填实，以防可燃气体积聚。场区内其余管道采用埋地敷设，穿越行车道部分加套管保护</w:t>
      </w:r>
      <w:r>
        <w:rPr>
          <w:rFonts w:hint="default" w:ascii="Times New Roman" w:hAnsi="Times New Roman" w:cs="Times New Roman"/>
          <w:sz w:val="28"/>
          <w:szCs w:val="28"/>
          <w:lang w:eastAsia="zh-CN"/>
        </w:rPr>
        <w:t>。</w:t>
      </w:r>
    </w:p>
    <w:p>
      <w:pPr>
        <w:numPr>
          <w:ilvl w:val="0"/>
          <w:numId w:val="0"/>
        </w:numPr>
        <w:adjustRightInd w:val="0"/>
        <w:snapToGrid w:val="0"/>
        <w:spacing w:line="360" w:lineRule="auto"/>
        <w:ind w:firstLine="560" w:firstLineChars="200"/>
        <w:rPr>
          <w:rFonts w:ascii="Times New Roman"/>
          <w:sz w:val="28"/>
          <w:szCs w:val="28"/>
        </w:rPr>
      </w:pPr>
      <w:r>
        <w:rPr>
          <w:rFonts w:hint="eastAsia"/>
          <w:sz w:val="28"/>
          <w:szCs w:val="28"/>
          <w:lang w:val="en-US" w:eastAsia="zh-CN"/>
        </w:rPr>
        <w:t>10）</w:t>
      </w:r>
      <w:r>
        <w:rPr>
          <w:rFonts w:ascii="Times New Roman"/>
          <w:sz w:val="28"/>
          <w:szCs w:val="28"/>
        </w:rPr>
        <w:t>地震设防烈度</w:t>
      </w:r>
    </w:p>
    <w:p>
      <w:pPr>
        <w:pStyle w:val="76"/>
        <w:pageBreakBefore w:val="0"/>
        <w:kinsoku/>
        <w:wordWrap/>
        <w:topLinePunct w:val="0"/>
        <w:bidi w:val="0"/>
        <w:adjustRightInd w:val="0"/>
        <w:snapToGrid w:val="0"/>
        <w:ind w:firstLine="560"/>
        <w:rPr>
          <w:rFonts w:hint="default" w:ascii="Times New Roman" w:hAnsi="Times New Roman" w:cs="Times New Roman"/>
          <w:color w:val="auto"/>
        </w:rPr>
      </w:pPr>
      <w:r>
        <w:rPr>
          <w:rFonts w:hint="default" w:ascii="Times New Roman" w:hAnsi="Times New Roman" w:cs="Times New Roman"/>
          <w:color w:val="auto"/>
          <w:sz w:val="28"/>
          <w:szCs w:val="28"/>
          <w:lang w:eastAsia="zh-CN"/>
        </w:rPr>
        <w:t>根据《建筑抗震设计规范（</w:t>
      </w:r>
      <w:r>
        <w:rPr>
          <w:rFonts w:hint="default" w:ascii="Times New Roman" w:hAnsi="Times New Roman" w:cs="Times New Roman"/>
          <w:color w:val="auto"/>
          <w:sz w:val="28"/>
          <w:szCs w:val="28"/>
          <w:lang w:val="en-US" w:eastAsia="zh-CN"/>
        </w:rPr>
        <w:t>2016版</w:t>
      </w:r>
      <w:r>
        <w:rPr>
          <w:rFonts w:hint="default" w:ascii="Times New Roman" w:hAnsi="Times New Roman" w:cs="Times New Roman"/>
          <w:color w:val="auto"/>
          <w:sz w:val="28"/>
          <w:szCs w:val="28"/>
          <w:lang w:eastAsia="zh-CN"/>
        </w:rPr>
        <w:t>）》（GB50011-2010）站区所在区域地震基本烈度为7度，</w:t>
      </w:r>
      <w:r>
        <w:rPr>
          <w:rFonts w:hint="eastAsia" w:ascii="Times New Roman" w:hAnsi="Times New Roman" w:cs="Times New Roman"/>
          <w:color w:val="auto"/>
          <w:sz w:val="28"/>
          <w:szCs w:val="28"/>
          <w:lang w:eastAsia="zh-CN"/>
        </w:rPr>
        <w:t>该加油站</w:t>
      </w:r>
      <w:r>
        <w:rPr>
          <w:rFonts w:hint="default" w:ascii="Times New Roman" w:hAnsi="Times New Roman" w:cs="Times New Roman"/>
          <w:color w:val="auto"/>
          <w:sz w:val="28"/>
          <w:szCs w:val="28"/>
          <w:lang w:eastAsia="zh-CN"/>
        </w:rPr>
        <w:t>罐区、罩棚、站房等建</w:t>
      </w:r>
      <w:r>
        <w:rPr>
          <w:rFonts w:hint="eastAsia" w:ascii="Times New Roman" w:hAnsi="Times New Roman" w:cs="Times New Roman"/>
          <w:color w:val="auto"/>
          <w:sz w:val="28"/>
          <w:szCs w:val="28"/>
          <w:lang w:eastAsia="zh-CN"/>
        </w:rPr>
        <w:t>构筑物抗震设防类别为标准设防类，</w:t>
      </w:r>
      <w:r>
        <w:rPr>
          <w:rFonts w:hint="default" w:ascii="Times New Roman" w:hAnsi="Times New Roman" w:cs="Times New Roman"/>
          <w:color w:val="auto"/>
          <w:sz w:val="28"/>
          <w:szCs w:val="28"/>
          <w:lang w:eastAsia="zh-CN"/>
        </w:rPr>
        <w:t>按7度设防</w:t>
      </w:r>
      <w:r>
        <w:rPr>
          <w:rFonts w:hint="eastAsia" w:ascii="Times New Roman" w:hAnsi="Times New Roman" w:cs="Times New Roman"/>
          <w:color w:val="auto"/>
          <w:sz w:val="28"/>
          <w:szCs w:val="28"/>
          <w:lang w:eastAsia="zh-CN"/>
        </w:rPr>
        <w:t>，符合《建筑工程抗震设防分类标准》（</w:t>
      </w:r>
      <w:r>
        <w:rPr>
          <w:rFonts w:hint="eastAsia" w:ascii="Times New Roman" w:hAnsi="Times New Roman" w:cs="Times New Roman"/>
          <w:color w:val="auto"/>
          <w:sz w:val="28"/>
          <w:szCs w:val="28"/>
          <w:lang w:val="en-US" w:eastAsia="zh-CN"/>
        </w:rPr>
        <w:t>GB50223-2008</w:t>
      </w:r>
      <w:r>
        <w:rPr>
          <w:rFonts w:hint="eastAsia" w:ascii="Times New Roman" w:hAnsi="Times New Roman" w:cs="Times New Roman"/>
          <w:color w:val="auto"/>
          <w:sz w:val="28"/>
          <w:szCs w:val="28"/>
          <w:lang w:eastAsia="zh-CN"/>
        </w:rPr>
        <w:t>）要求</w:t>
      </w:r>
      <w:r>
        <w:rPr>
          <w:rFonts w:hint="default" w:ascii="Times New Roman" w:hAnsi="Times New Roman" w:cs="Times New Roman"/>
          <w:color w:val="auto"/>
          <w:szCs w:val="28"/>
          <w:lang w:val="zh-CN"/>
        </w:rPr>
        <w:t>。</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2.3.</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 xml:space="preserve"> 工作制度及劳动定员</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highlight w:val="none"/>
        </w:rPr>
      </w:pPr>
      <w:r>
        <w:rPr>
          <w:rFonts w:hint="eastAsia" w:cs="Times New Roman" w:eastAsiaTheme="minorEastAsia"/>
          <w:color w:val="auto"/>
          <w:szCs w:val="28"/>
          <w:highlight w:val="none"/>
          <w:lang w:eastAsia="zh-CN"/>
        </w:rPr>
        <w:t>该加油中心</w:t>
      </w:r>
      <w:r>
        <w:rPr>
          <w:rFonts w:hint="default" w:ascii="Times New Roman" w:hAnsi="Times New Roman" w:cs="Times New Roman" w:eastAsiaTheme="minorEastAsia"/>
          <w:color w:val="auto"/>
          <w:szCs w:val="28"/>
          <w:highlight w:val="none"/>
        </w:rPr>
        <w:t>劳动定员</w:t>
      </w:r>
      <w:r>
        <w:rPr>
          <w:rFonts w:hint="eastAsia" w:cs="Times New Roman" w:eastAsiaTheme="minorEastAsia"/>
          <w:color w:val="auto"/>
          <w:szCs w:val="28"/>
          <w:highlight w:val="none"/>
          <w:lang w:val="en-US" w:eastAsia="zh-CN"/>
        </w:rPr>
        <w:t>7</w:t>
      </w:r>
      <w:r>
        <w:rPr>
          <w:rFonts w:hint="default" w:ascii="Times New Roman" w:hAnsi="Times New Roman" w:cs="Times New Roman" w:eastAsiaTheme="minorEastAsia"/>
          <w:color w:val="auto"/>
          <w:szCs w:val="28"/>
          <w:highlight w:val="none"/>
        </w:rPr>
        <w:t>人，其中安全管理人员</w:t>
      </w:r>
      <w:r>
        <w:rPr>
          <w:rFonts w:hint="eastAsia" w:cs="Times New Roman" w:eastAsiaTheme="minorEastAsia"/>
          <w:color w:val="auto"/>
          <w:szCs w:val="28"/>
          <w:highlight w:val="none"/>
          <w:lang w:val="en-US" w:eastAsia="zh-CN"/>
        </w:rPr>
        <w:t>2</w:t>
      </w:r>
      <w:r>
        <w:rPr>
          <w:rFonts w:hint="default" w:ascii="Times New Roman" w:hAnsi="Times New Roman" w:cs="Times New Roman" w:eastAsiaTheme="minorEastAsia"/>
          <w:color w:val="auto"/>
          <w:szCs w:val="28"/>
          <w:highlight w:val="none"/>
        </w:rPr>
        <w:t>人。年操作日365天，实行</w:t>
      </w:r>
      <w:r>
        <w:rPr>
          <w:rFonts w:hint="eastAsia" w:cs="Times New Roman" w:eastAsiaTheme="minorEastAsia"/>
          <w:color w:val="auto"/>
          <w:szCs w:val="28"/>
          <w:highlight w:val="none"/>
          <w:lang w:eastAsia="zh-CN"/>
        </w:rPr>
        <w:t>两</w:t>
      </w:r>
      <w:r>
        <w:rPr>
          <w:rFonts w:hint="default" w:ascii="Times New Roman" w:hAnsi="Times New Roman" w:cs="Times New Roman" w:eastAsiaTheme="minorEastAsia"/>
          <w:color w:val="auto"/>
          <w:szCs w:val="28"/>
          <w:highlight w:val="none"/>
        </w:rPr>
        <w:t>班两运转，每班工作</w:t>
      </w:r>
      <w:r>
        <w:rPr>
          <w:rFonts w:hint="eastAsia" w:cs="Times New Roman" w:eastAsiaTheme="minorEastAsia"/>
          <w:color w:val="auto"/>
          <w:szCs w:val="28"/>
          <w:highlight w:val="none"/>
          <w:lang w:val="en-US" w:eastAsia="zh-CN"/>
        </w:rPr>
        <w:t>12</w:t>
      </w:r>
      <w:r>
        <w:rPr>
          <w:rFonts w:hint="default" w:ascii="Times New Roman" w:hAnsi="Times New Roman" w:cs="Times New Roman" w:eastAsiaTheme="minorEastAsia"/>
          <w:color w:val="auto"/>
          <w:szCs w:val="28"/>
          <w:highlight w:val="none"/>
          <w:lang w:val="en-US" w:eastAsia="zh-CN"/>
        </w:rPr>
        <w:t>h</w:t>
      </w:r>
      <w:r>
        <w:rPr>
          <w:rFonts w:hint="default" w:ascii="Times New Roman" w:hAnsi="Times New Roman" w:cs="Times New Roman" w:eastAsiaTheme="minorEastAsia"/>
          <w:color w:val="auto"/>
          <w:szCs w:val="28"/>
          <w:highlight w:val="none"/>
        </w:rPr>
        <w:t>。管理人员实行单班8</w:t>
      </w:r>
      <w:r>
        <w:rPr>
          <w:rFonts w:hint="default" w:ascii="Times New Roman" w:hAnsi="Times New Roman" w:cs="Times New Roman" w:eastAsiaTheme="minorEastAsia"/>
          <w:color w:val="auto"/>
          <w:szCs w:val="28"/>
          <w:highlight w:val="none"/>
          <w:lang w:val="en-US" w:eastAsia="zh-CN"/>
        </w:rPr>
        <w:t>h</w:t>
      </w:r>
      <w:r>
        <w:rPr>
          <w:rFonts w:hint="default" w:ascii="Times New Roman" w:hAnsi="Times New Roman" w:cs="Times New Roman" w:eastAsiaTheme="minorEastAsia"/>
          <w:color w:val="auto"/>
          <w:szCs w:val="28"/>
          <w:highlight w:val="none"/>
        </w:rPr>
        <w:t>工作制。</w:t>
      </w:r>
    </w:p>
    <w:p>
      <w:pPr>
        <w:adjustRightInd w:val="0"/>
        <w:snapToGrid w:val="0"/>
        <w:ind w:firstLine="0" w:firstLineChars="0"/>
        <w:outlineLvl w:val="1"/>
        <w:rPr>
          <w:rFonts w:hint="default" w:ascii="Times New Roman" w:hAnsi="Times New Roman" w:cs="Times New Roman" w:eastAsiaTheme="minorEastAsia"/>
          <w:b/>
          <w:color w:val="auto"/>
          <w:szCs w:val="28"/>
        </w:rPr>
      </w:pPr>
      <w:bookmarkStart w:id="44" w:name="_Toc22173"/>
      <w:bookmarkStart w:id="45" w:name="_Toc31289"/>
      <w:r>
        <w:rPr>
          <w:rFonts w:hint="default" w:ascii="Times New Roman" w:hAnsi="Times New Roman" w:cs="Times New Roman" w:eastAsiaTheme="minorEastAsia"/>
          <w:b/>
          <w:color w:val="auto"/>
          <w:szCs w:val="28"/>
        </w:rPr>
        <w:t>2.4 安全设施的施工、检验、检测和调试情况</w:t>
      </w:r>
      <w:bookmarkEnd w:id="44"/>
      <w:bookmarkEnd w:id="45"/>
    </w:p>
    <w:p>
      <w:pPr>
        <w:adjustRightInd w:val="0"/>
        <w:snapToGrid w:val="0"/>
        <w:ind w:firstLine="0" w:firstLineChars="0"/>
        <w:outlineLvl w:val="2"/>
        <w:rPr>
          <w:rFonts w:hint="default" w:ascii="Times New Roman" w:hAnsi="Times New Roman" w:cs="Times New Roman" w:eastAsiaTheme="minorEastAsia"/>
          <w:b/>
          <w:bCs/>
          <w:color w:val="auto"/>
          <w:szCs w:val="28"/>
        </w:rPr>
      </w:pPr>
      <w:r>
        <w:rPr>
          <w:rFonts w:hint="default" w:ascii="Times New Roman" w:hAnsi="Times New Roman" w:cs="Times New Roman" w:eastAsiaTheme="minorEastAsia"/>
          <w:b/>
          <w:bCs/>
          <w:color w:val="auto"/>
          <w:szCs w:val="28"/>
        </w:rPr>
        <w:t>2.4.1 安全设施设计专篇安全措施的落实</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eastAsia="zh-CN"/>
        </w:rPr>
        <w:t>山东万通集团垦利金顺油品有限公司</w:t>
      </w:r>
      <w:r>
        <w:rPr>
          <w:rFonts w:hint="eastAsia" w:cs="Times New Roman" w:eastAsiaTheme="minorEastAsia"/>
          <w:color w:val="auto"/>
          <w:szCs w:val="28"/>
          <w:lang w:val="en-US" w:eastAsia="zh-CN"/>
        </w:rPr>
        <w:t>第六加油中心扩容项目</w:t>
      </w:r>
      <w:r>
        <w:rPr>
          <w:rFonts w:hint="default" w:ascii="Times New Roman" w:hAnsi="Times New Roman" w:cs="Times New Roman" w:eastAsiaTheme="minorEastAsia"/>
          <w:color w:val="auto"/>
          <w:szCs w:val="28"/>
        </w:rPr>
        <w:t>安全设施设计专篇》在站场总平面布置、加油设备及储罐设施、电气、消防等方面提出了安全对策措施，该公司已基本落实，能够保证加油站的安全运营。具体落实情况见报告第7.1章节。</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2.4.2 建设项目安全设施的施工质量</w:t>
      </w:r>
    </w:p>
    <w:p>
      <w:pPr>
        <w:adjustRightInd w:val="0"/>
        <w:snapToGrid w:val="0"/>
        <w:ind w:firstLine="560"/>
        <w:rPr>
          <w:rFonts w:hint="default" w:ascii="Times New Roman" w:hAnsi="Times New Roman" w:cs="Times New Roman" w:eastAsiaTheme="minorEastAsia"/>
          <w:color w:val="auto"/>
          <w:szCs w:val="28"/>
          <w:lang w:eastAsia="zh-CN"/>
        </w:rPr>
      </w:pPr>
      <w:r>
        <w:rPr>
          <w:rFonts w:hint="eastAsia" w:cs="Times New Roman" w:eastAsiaTheme="minorEastAsia"/>
          <w:color w:val="auto"/>
          <w:szCs w:val="28"/>
          <w:lang w:eastAsia="zh-CN"/>
        </w:rPr>
        <w:t>山东万通集团垦利金顺油品有限公司</w:t>
      </w:r>
      <w:r>
        <w:rPr>
          <w:rFonts w:hint="eastAsia" w:cs="Times New Roman" w:eastAsiaTheme="minorEastAsia"/>
          <w:color w:val="auto"/>
          <w:szCs w:val="28"/>
          <w:lang w:val="en-US" w:eastAsia="zh-CN"/>
        </w:rPr>
        <w:t>第六加油中心扩容项目</w:t>
      </w:r>
      <w:r>
        <w:rPr>
          <w:rFonts w:hint="default" w:ascii="Times New Roman" w:hAnsi="Times New Roman" w:cs="Times New Roman" w:eastAsiaTheme="minorEastAsia"/>
          <w:color w:val="auto"/>
          <w:szCs w:val="28"/>
        </w:rPr>
        <w:t>的安全设施由</w:t>
      </w:r>
      <w:r>
        <w:rPr>
          <w:rFonts w:hint="eastAsia" w:cs="Times New Roman" w:eastAsiaTheme="minorEastAsia"/>
          <w:color w:val="auto"/>
          <w:szCs w:val="28"/>
          <w:lang w:eastAsia="zh-CN"/>
        </w:rPr>
        <w:t>山东军辉建设集团有限公司</w:t>
      </w:r>
      <w:r>
        <w:rPr>
          <w:rFonts w:hint="default" w:ascii="Times New Roman" w:hAnsi="Times New Roman" w:cs="Times New Roman" w:eastAsiaTheme="minorEastAsia"/>
          <w:color w:val="auto"/>
          <w:szCs w:val="28"/>
        </w:rPr>
        <w:t>进行施工，施工质量良好。该项目施工完成后，由</w:t>
      </w:r>
      <w:r>
        <w:rPr>
          <w:rFonts w:hint="default" w:ascii="Times New Roman" w:hAnsi="Times New Roman" w:cs="Times New Roman" w:eastAsiaTheme="minorEastAsia"/>
          <w:color w:val="auto"/>
          <w:szCs w:val="28"/>
          <w:lang w:eastAsia="zh-CN"/>
        </w:rPr>
        <w:t>设计单位、施工</w:t>
      </w:r>
      <w:r>
        <w:rPr>
          <w:rFonts w:hint="default" w:ascii="Times New Roman" w:hAnsi="Times New Roman" w:cs="Times New Roman" w:eastAsiaTheme="minorEastAsia"/>
          <w:color w:val="auto"/>
          <w:szCs w:val="28"/>
        </w:rPr>
        <w:t>单位和建设单位</w:t>
      </w:r>
      <w:r>
        <w:rPr>
          <w:rFonts w:hint="eastAsia" w:cs="Times New Roman" w:eastAsiaTheme="minorEastAsia"/>
          <w:color w:val="auto"/>
          <w:szCs w:val="28"/>
          <w:lang w:val="en-US" w:eastAsia="zh-CN"/>
        </w:rPr>
        <w:t>三</w:t>
      </w:r>
      <w:r>
        <w:rPr>
          <w:rFonts w:hint="default" w:ascii="Times New Roman" w:hAnsi="Times New Roman" w:cs="Times New Roman" w:eastAsiaTheme="minorEastAsia"/>
          <w:color w:val="auto"/>
          <w:szCs w:val="28"/>
        </w:rPr>
        <w:t>方面进行了</w:t>
      </w:r>
      <w:r>
        <w:rPr>
          <w:rFonts w:hint="eastAsia" w:cs="Times New Roman" w:eastAsiaTheme="minorEastAsia"/>
          <w:color w:val="auto"/>
          <w:szCs w:val="28"/>
          <w:lang w:val="en-US" w:eastAsia="zh-CN"/>
        </w:rPr>
        <w:t>工程竣工联合</w:t>
      </w:r>
      <w:r>
        <w:rPr>
          <w:rFonts w:hint="default" w:ascii="Times New Roman" w:hAnsi="Times New Roman" w:cs="Times New Roman" w:eastAsiaTheme="minorEastAsia"/>
          <w:color w:val="auto"/>
          <w:szCs w:val="28"/>
        </w:rPr>
        <w:t>验收，</w:t>
      </w:r>
      <w:r>
        <w:rPr>
          <w:rFonts w:hint="default" w:ascii="Times New Roman" w:hAnsi="Times New Roman" w:cs="Times New Roman" w:eastAsiaTheme="minorEastAsia"/>
          <w:color w:val="auto"/>
          <w:szCs w:val="28"/>
          <w:lang w:eastAsia="zh-CN"/>
        </w:rPr>
        <w:t>验收结论为：</w:t>
      </w:r>
      <w:r>
        <w:rPr>
          <w:rFonts w:hint="eastAsia" w:cs="Times New Roman" w:eastAsiaTheme="minorEastAsia"/>
          <w:color w:val="auto"/>
          <w:szCs w:val="28"/>
          <w:lang w:val="en-US" w:eastAsia="zh-CN"/>
        </w:rPr>
        <w:t>同意</w:t>
      </w:r>
      <w:r>
        <w:rPr>
          <w:rFonts w:hint="default" w:ascii="Times New Roman" w:hAnsi="Times New Roman" w:cs="Times New Roman" w:eastAsiaTheme="minorEastAsia"/>
          <w:color w:val="auto"/>
          <w:szCs w:val="28"/>
          <w:lang w:eastAsia="zh-CN"/>
        </w:rPr>
        <w:t>验收。</w:t>
      </w:r>
    </w:p>
    <w:p>
      <w:pPr>
        <w:pStyle w:val="5"/>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2.4.3 安全设施的检测检验情况</w:t>
      </w:r>
    </w:p>
    <w:p>
      <w:pPr>
        <w:adjustRightInd w:val="0"/>
        <w:snapToGrid w:val="0"/>
        <w:ind w:firstLine="560"/>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color w:val="auto"/>
          <w:szCs w:val="28"/>
        </w:rPr>
        <w:t>该</w:t>
      </w:r>
      <w:r>
        <w:rPr>
          <w:rFonts w:hint="eastAsia" w:cs="Times New Roman" w:eastAsiaTheme="minorEastAsia"/>
          <w:color w:val="auto"/>
          <w:szCs w:val="28"/>
          <w:lang w:val="en-US" w:eastAsia="zh-CN"/>
        </w:rPr>
        <w:t>加油站扩容项目</w:t>
      </w:r>
      <w:r>
        <w:rPr>
          <w:rFonts w:hint="default" w:ascii="Times New Roman" w:hAnsi="Times New Roman" w:cs="Times New Roman" w:eastAsiaTheme="minorEastAsia"/>
          <w:color w:val="auto"/>
          <w:szCs w:val="28"/>
        </w:rPr>
        <w:t>消防、防雷等其他强制检测、检验情况见下表。</w:t>
      </w:r>
    </w:p>
    <w:p>
      <w:pPr>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表2.4-1 消防、防雷基础资料一览表</w:t>
      </w:r>
    </w:p>
    <w:tbl>
      <w:tblPr>
        <w:tblStyle w:val="29"/>
        <w:tblW w:w="928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345"/>
        <w:gridCol w:w="1590"/>
        <w:gridCol w:w="1565"/>
        <w:gridCol w:w="2214"/>
        <w:gridCol w:w="1177"/>
        <w:gridCol w:w="6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序号</w:t>
            </w:r>
          </w:p>
        </w:tc>
        <w:tc>
          <w:tcPr>
            <w:tcW w:w="1345" w:type="dxa"/>
            <w:vAlign w:val="center"/>
          </w:tcPr>
          <w:p>
            <w:pPr>
              <w:spacing w:line="240" w:lineRule="auto"/>
              <w:ind w:firstLine="0" w:firstLineChars="0"/>
              <w:jc w:val="center"/>
              <w:rPr>
                <w:rFonts w:hint="eastAsia"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时间</w:t>
            </w:r>
          </w:p>
        </w:tc>
        <w:tc>
          <w:tcPr>
            <w:tcW w:w="1590" w:type="dxa"/>
            <w:vAlign w:val="center"/>
          </w:tcPr>
          <w:p>
            <w:pPr>
              <w:spacing w:line="240" w:lineRule="auto"/>
              <w:ind w:firstLine="0" w:firstLineChars="0"/>
              <w:jc w:val="center"/>
              <w:rPr>
                <w:rFonts w:hint="eastAsia"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手续文件</w:t>
            </w:r>
          </w:p>
        </w:tc>
        <w:tc>
          <w:tcPr>
            <w:tcW w:w="1565" w:type="dxa"/>
            <w:vAlign w:val="center"/>
          </w:tcPr>
          <w:p>
            <w:pPr>
              <w:spacing w:line="240" w:lineRule="auto"/>
              <w:ind w:firstLine="0" w:firstLineChars="0"/>
              <w:jc w:val="center"/>
              <w:rPr>
                <w:rFonts w:hint="eastAsia"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出具单位</w:t>
            </w:r>
          </w:p>
        </w:tc>
        <w:tc>
          <w:tcPr>
            <w:tcW w:w="2214" w:type="dxa"/>
            <w:vAlign w:val="center"/>
          </w:tcPr>
          <w:p>
            <w:pPr>
              <w:spacing w:line="240" w:lineRule="auto"/>
              <w:ind w:firstLine="0" w:firstLineChars="0"/>
              <w:jc w:val="center"/>
              <w:rPr>
                <w:rFonts w:hint="eastAsia" w:ascii="Times New Roman" w:hAnsi="Times New Roman" w:cs="Times New Roman" w:eastAsiaTheme="minorEastAsia"/>
                <w:b/>
                <w:bCs/>
                <w:color w:val="auto"/>
                <w:sz w:val="21"/>
                <w:szCs w:val="21"/>
                <w:highlight w:val="none"/>
                <w:lang w:eastAsia="zh-CN"/>
              </w:rPr>
            </w:pPr>
            <w:r>
              <w:rPr>
                <w:rFonts w:hint="eastAsia" w:cs="Times New Roman" w:eastAsiaTheme="minorEastAsia"/>
                <w:b/>
                <w:bCs/>
                <w:color w:val="auto"/>
                <w:sz w:val="21"/>
                <w:szCs w:val="21"/>
                <w:highlight w:val="none"/>
                <w:lang w:eastAsia="zh-CN"/>
              </w:rPr>
              <w:t>文件编号</w:t>
            </w:r>
          </w:p>
        </w:tc>
        <w:tc>
          <w:tcPr>
            <w:tcW w:w="1177"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lang w:eastAsia="zh-CN"/>
              </w:rPr>
              <w:t>有效</w:t>
            </w:r>
            <w:r>
              <w:rPr>
                <w:rFonts w:hint="default" w:ascii="Times New Roman" w:hAnsi="Times New Roman" w:cs="Times New Roman" w:eastAsiaTheme="minorEastAsia"/>
                <w:b/>
                <w:bCs/>
                <w:color w:val="auto"/>
                <w:sz w:val="21"/>
                <w:szCs w:val="21"/>
                <w:highlight w:val="none"/>
              </w:rPr>
              <w:t>日期</w:t>
            </w:r>
          </w:p>
        </w:tc>
        <w:tc>
          <w:tcPr>
            <w:tcW w:w="696" w:type="dxa"/>
            <w:vAlign w:val="center"/>
          </w:tcPr>
          <w:p>
            <w:pPr>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bCs/>
                <w:color w:val="auto"/>
                <w:sz w:val="21"/>
                <w:szCs w:val="21"/>
                <w:highlight w:val="none"/>
              </w:rPr>
              <w:t>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1</w:t>
            </w:r>
          </w:p>
        </w:tc>
        <w:tc>
          <w:tcPr>
            <w:tcW w:w="1345"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20</w:t>
            </w:r>
            <w:r>
              <w:rPr>
                <w:rFonts w:hint="default" w:ascii="Times New Roman" w:hAnsi="Times New Roman" w:cs="Times New Roman" w:eastAsiaTheme="minorEastAsia"/>
                <w:color w:val="auto"/>
                <w:kern w:val="0"/>
                <w:sz w:val="21"/>
                <w:szCs w:val="21"/>
                <w:highlight w:val="none"/>
                <w:lang w:val="en-US"/>
              </w:rPr>
              <w:t>20.</w:t>
            </w:r>
            <w:r>
              <w:rPr>
                <w:rFonts w:hint="eastAsia" w:cs="Times New Roman" w:eastAsiaTheme="minorEastAsia"/>
                <w:color w:val="auto"/>
                <w:kern w:val="0"/>
                <w:sz w:val="21"/>
                <w:szCs w:val="21"/>
                <w:highlight w:val="none"/>
                <w:lang w:val="en-US" w:eastAsia="zh-CN"/>
              </w:rPr>
              <w:t>10</w:t>
            </w:r>
            <w:r>
              <w:rPr>
                <w:rFonts w:hint="default" w:ascii="Times New Roman" w:hAnsi="Times New Roman" w:cs="Times New Roman" w:eastAsiaTheme="minorEastAsia"/>
                <w:color w:val="auto"/>
                <w:kern w:val="0"/>
                <w:sz w:val="21"/>
                <w:szCs w:val="21"/>
                <w:highlight w:val="none"/>
                <w:lang w:val="en-US"/>
              </w:rPr>
              <w:t>.</w:t>
            </w:r>
            <w:r>
              <w:rPr>
                <w:rFonts w:hint="eastAsia" w:cs="Times New Roman" w:eastAsiaTheme="minorEastAsia"/>
                <w:color w:val="auto"/>
                <w:kern w:val="0"/>
                <w:sz w:val="21"/>
                <w:szCs w:val="21"/>
                <w:highlight w:val="none"/>
                <w:lang w:val="en-US" w:eastAsia="zh-CN"/>
              </w:rPr>
              <w:t>19</w:t>
            </w:r>
          </w:p>
        </w:tc>
        <w:tc>
          <w:tcPr>
            <w:tcW w:w="1590"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cs="Times New Roman" w:eastAsiaTheme="minorEastAsia"/>
                <w:color w:val="auto"/>
                <w:kern w:val="0"/>
                <w:sz w:val="21"/>
                <w:szCs w:val="21"/>
                <w:highlight w:val="none"/>
                <w:lang w:eastAsia="zh-CN"/>
              </w:rPr>
              <w:t>特殊</w:t>
            </w:r>
            <w:r>
              <w:rPr>
                <w:rFonts w:hint="default" w:ascii="Times New Roman" w:hAnsi="Times New Roman" w:cs="Times New Roman" w:eastAsiaTheme="minorEastAsia"/>
                <w:color w:val="auto"/>
                <w:kern w:val="0"/>
                <w:sz w:val="21"/>
                <w:szCs w:val="21"/>
                <w:highlight w:val="none"/>
              </w:rPr>
              <w:t>建设工程消防验收意见书</w:t>
            </w:r>
          </w:p>
        </w:tc>
        <w:tc>
          <w:tcPr>
            <w:tcW w:w="1565" w:type="dxa"/>
            <w:vAlign w:val="center"/>
          </w:tcPr>
          <w:p>
            <w:pPr>
              <w:autoSpaceDE w:val="0"/>
              <w:autoSpaceDN w:val="0"/>
              <w:adjustRightInd w:val="0"/>
              <w:snapToGrid w:val="0"/>
              <w:spacing w:before="100" w:after="100" w:line="240" w:lineRule="exact"/>
              <w:ind w:firstLine="0" w:firstLineChars="0"/>
              <w:jc w:val="center"/>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hAnsi="Times New Roman" w:cs="Times New Roman" w:eastAsiaTheme="minorEastAsia"/>
                <w:color w:val="auto"/>
                <w:kern w:val="0"/>
                <w:sz w:val="21"/>
                <w:szCs w:val="21"/>
                <w:highlight w:val="none"/>
                <w:lang w:eastAsia="zh-CN"/>
              </w:rPr>
              <w:t>东营市</w:t>
            </w:r>
            <w:r>
              <w:rPr>
                <w:rFonts w:hint="eastAsia" w:ascii="Times New Roman" w:hAnsi="Times New Roman" w:cs="Times New Roman" w:eastAsiaTheme="minorEastAsia"/>
                <w:color w:val="auto"/>
                <w:kern w:val="0"/>
                <w:sz w:val="21"/>
                <w:szCs w:val="21"/>
                <w:highlight w:val="none"/>
                <w:lang w:val="en-US" w:eastAsia="zh-CN"/>
              </w:rPr>
              <w:t>垦利区</w:t>
            </w:r>
            <w:r>
              <w:rPr>
                <w:rFonts w:hint="eastAsia" w:ascii="Times New Roman" w:hAnsi="Times New Roman" w:cs="Times New Roman" w:eastAsiaTheme="minorEastAsia"/>
                <w:color w:val="auto"/>
                <w:kern w:val="0"/>
                <w:sz w:val="21"/>
                <w:szCs w:val="21"/>
                <w:highlight w:val="none"/>
                <w:lang w:eastAsia="zh-CN"/>
              </w:rPr>
              <w:t>住房和城乡建设管理局</w:t>
            </w:r>
          </w:p>
        </w:tc>
        <w:tc>
          <w:tcPr>
            <w:tcW w:w="221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cs="Times New Roman" w:eastAsiaTheme="minorEastAsia"/>
                <w:color w:val="auto"/>
                <w:kern w:val="0"/>
                <w:sz w:val="21"/>
                <w:szCs w:val="21"/>
                <w:highlight w:val="none"/>
                <w:lang w:val="en-US" w:eastAsia="zh-CN" w:bidi="ar-SA"/>
              </w:rPr>
              <w:t>垦住建消验字[2020]第018号</w:t>
            </w:r>
          </w:p>
        </w:tc>
        <w:tc>
          <w:tcPr>
            <w:tcW w:w="1177"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cs="Times New Roman" w:eastAsiaTheme="minorEastAsia"/>
                <w:color w:val="auto"/>
                <w:kern w:val="0"/>
                <w:sz w:val="21"/>
                <w:szCs w:val="21"/>
                <w:highlight w:val="none"/>
                <w:lang w:val="en-US" w:eastAsia="zh-CN"/>
              </w:rPr>
              <w:t>--</w:t>
            </w:r>
          </w:p>
        </w:tc>
        <w:tc>
          <w:tcPr>
            <w:tcW w:w="696"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vAlign w:val="center"/>
          </w:tcPr>
          <w:p>
            <w:pPr>
              <w:autoSpaceDE w:val="0"/>
              <w:autoSpaceDN w:val="0"/>
              <w:adjustRightInd w:val="0"/>
              <w:snapToGrid w:val="0"/>
              <w:spacing w:before="100" w:after="100" w:line="240" w:lineRule="exact"/>
              <w:ind w:firstLine="0" w:firstLineChars="0"/>
              <w:jc w:val="center"/>
              <w:rPr>
                <w:rFonts w:hint="eastAsia" w:ascii="Times New Roman" w:hAnsi="Times New Roman" w:cs="Times New Roman" w:eastAsiaTheme="minorEastAsia"/>
                <w:color w:val="auto"/>
                <w:kern w:val="0"/>
                <w:sz w:val="21"/>
                <w:szCs w:val="21"/>
                <w:highlight w:val="none"/>
                <w:lang w:val="en-US" w:eastAsia="zh-CN"/>
              </w:rPr>
            </w:pPr>
            <w:r>
              <w:rPr>
                <w:rFonts w:hint="eastAsia" w:cs="Times New Roman" w:eastAsiaTheme="minorEastAsia"/>
                <w:color w:val="auto"/>
                <w:kern w:val="0"/>
                <w:sz w:val="21"/>
                <w:szCs w:val="21"/>
                <w:highlight w:val="none"/>
                <w:lang w:val="en-US" w:eastAsia="zh-CN"/>
              </w:rPr>
              <w:t>2</w:t>
            </w:r>
          </w:p>
        </w:tc>
        <w:tc>
          <w:tcPr>
            <w:tcW w:w="1345" w:type="dxa"/>
            <w:vAlign w:val="center"/>
          </w:tcPr>
          <w:p>
            <w:pPr>
              <w:autoSpaceDE w:val="0"/>
              <w:autoSpaceDN w:val="0"/>
              <w:adjustRightInd w:val="0"/>
              <w:snapToGrid w:val="0"/>
              <w:spacing w:before="100" w:after="100" w:line="240" w:lineRule="exact"/>
              <w:ind w:firstLine="0" w:firstLineChars="0"/>
              <w:jc w:val="center"/>
              <w:rPr>
                <w:rFonts w:hint="eastAsia"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20</w:t>
            </w:r>
            <w:r>
              <w:rPr>
                <w:rFonts w:hint="default" w:ascii="Times New Roman" w:hAnsi="Times New Roman" w:cs="Times New Roman" w:eastAsiaTheme="minorEastAsia"/>
                <w:color w:val="auto"/>
                <w:kern w:val="0"/>
                <w:sz w:val="21"/>
                <w:szCs w:val="21"/>
                <w:highlight w:val="none"/>
                <w:lang w:val="en-US" w:eastAsia="zh-CN"/>
              </w:rPr>
              <w:t>2</w:t>
            </w:r>
            <w:r>
              <w:rPr>
                <w:rFonts w:hint="eastAsia" w:cs="Times New Roman" w:eastAsiaTheme="minorEastAsia"/>
                <w:color w:val="auto"/>
                <w:kern w:val="0"/>
                <w:sz w:val="21"/>
                <w:szCs w:val="21"/>
                <w:highlight w:val="none"/>
                <w:lang w:val="en-US" w:eastAsia="zh-CN"/>
              </w:rPr>
              <w:t>1</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1</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8</w:t>
            </w:r>
          </w:p>
        </w:tc>
        <w:tc>
          <w:tcPr>
            <w:tcW w:w="1590"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防雷装置检测报告</w:t>
            </w:r>
          </w:p>
        </w:tc>
        <w:tc>
          <w:tcPr>
            <w:tcW w:w="1565"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cs="Times New Roman" w:eastAsiaTheme="minorEastAsia"/>
                <w:color w:val="auto"/>
                <w:kern w:val="0"/>
                <w:sz w:val="21"/>
                <w:szCs w:val="21"/>
                <w:highlight w:val="none"/>
                <w:lang w:val="en-US" w:eastAsia="zh-CN" w:bidi="ar-SA"/>
              </w:rPr>
              <w:t>吉林省</w:t>
            </w:r>
            <w:r>
              <w:rPr>
                <w:rFonts w:hint="eastAsia" w:ascii="Times New Roman" w:hAnsi="Times New Roman" w:cs="Times New Roman" w:eastAsiaTheme="minorEastAsia"/>
                <w:color w:val="auto"/>
                <w:kern w:val="0"/>
                <w:sz w:val="21"/>
                <w:szCs w:val="21"/>
                <w:highlight w:val="none"/>
                <w:lang w:eastAsia="zh-CN"/>
              </w:rPr>
              <w:t>宇泰安全技术服务有限公司</w:t>
            </w:r>
          </w:p>
        </w:tc>
        <w:tc>
          <w:tcPr>
            <w:tcW w:w="2214"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cs="Times New Roman" w:eastAsiaTheme="minorEastAsia"/>
                <w:color w:val="auto"/>
                <w:kern w:val="0"/>
                <w:sz w:val="21"/>
                <w:szCs w:val="21"/>
                <w:highlight w:val="none"/>
                <w:lang w:val="en-US" w:eastAsia="zh-CN" w:bidi="ar-SA"/>
              </w:rPr>
              <w:t>1072017002[鲁01雷定安检]20210007</w:t>
            </w:r>
          </w:p>
        </w:tc>
        <w:tc>
          <w:tcPr>
            <w:tcW w:w="1177" w:type="dxa"/>
            <w:vAlign w:val="center"/>
          </w:tcPr>
          <w:p>
            <w:pPr>
              <w:autoSpaceDE w:val="0"/>
              <w:autoSpaceDN w:val="0"/>
              <w:adjustRightInd w:val="0"/>
              <w:snapToGrid w:val="0"/>
              <w:spacing w:before="100" w:after="100" w:line="240" w:lineRule="exact"/>
              <w:ind w:firstLine="0" w:firstLineChars="0"/>
              <w:jc w:val="center"/>
              <w:rPr>
                <w:rFonts w:hint="eastAsia" w:ascii="Times New Roman" w:hAnsi="Times New Roman" w:cs="Times New Roman" w:eastAsiaTheme="minorEastAsia"/>
                <w:color w:val="auto"/>
                <w:kern w:val="0"/>
                <w:sz w:val="21"/>
                <w:szCs w:val="21"/>
                <w:highlight w:val="none"/>
                <w:lang w:val="en-US" w:eastAsia="zh-CN" w:bidi="ar-SA"/>
              </w:rPr>
            </w:pPr>
            <w:r>
              <w:rPr>
                <w:rFonts w:hint="default" w:ascii="Times New Roman" w:hAnsi="Times New Roman" w:cs="Times New Roman" w:eastAsiaTheme="minorEastAsia"/>
                <w:color w:val="auto"/>
                <w:kern w:val="0"/>
                <w:sz w:val="21"/>
                <w:szCs w:val="21"/>
                <w:highlight w:val="none"/>
              </w:rPr>
              <w:t>202</w:t>
            </w:r>
            <w:r>
              <w:rPr>
                <w:rFonts w:hint="eastAsia" w:cs="Times New Roman" w:eastAsiaTheme="minorEastAsia"/>
                <w:color w:val="auto"/>
                <w:kern w:val="0"/>
                <w:sz w:val="21"/>
                <w:szCs w:val="21"/>
                <w:highlight w:val="none"/>
                <w:lang w:val="en-US" w:eastAsia="zh-CN"/>
              </w:rPr>
              <w:t>1</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7</w:t>
            </w:r>
            <w:r>
              <w:rPr>
                <w:rFonts w:hint="default" w:ascii="Times New Roman" w:hAnsi="Times New Roman" w:cs="Times New Roman" w:eastAsiaTheme="minorEastAsia"/>
                <w:color w:val="auto"/>
                <w:kern w:val="0"/>
                <w:sz w:val="21"/>
                <w:szCs w:val="21"/>
                <w:highlight w:val="none"/>
              </w:rPr>
              <w:t>.</w:t>
            </w:r>
            <w:r>
              <w:rPr>
                <w:rFonts w:hint="eastAsia" w:cs="Times New Roman" w:eastAsiaTheme="minorEastAsia"/>
                <w:color w:val="auto"/>
                <w:kern w:val="0"/>
                <w:sz w:val="21"/>
                <w:szCs w:val="21"/>
                <w:highlight w:val="none"/>
                <w:lang w:val="en-US" w:eastAsia="zh-CN"/>
              </w:rPr>
              <w:t>7</w:t>
            </w:r>
          </w:p>
        </w:tc>
        <w:tc>
          <w:tcPr>
            <w:tcW w:w="696" w:type="dxa"/>
            <w:vAlign w:val="center"/>
          </w:tcPr>
          <w:p>
            <w:pPr>
              <w:autoSpaceDE w:val="0"/>
              <w:autoSpaceDN w:val="0"/>
              <w:adjustRightInd w:val="0"/>
              <w:snapToGrid w:val="0"/>
              <w:spacing w:before="100" w:after="100" w:line="240" w:lineRule="exact"/>
              <w:ind w:firstLine="0" w:firstLineChars="0"/>
              <w:jc w:val="center"/>
              <w:rPr>
                <w:rFonts w:hint="default" w:ascii="Times New Roman" w:hAnsi="Times New Roman" w:cs="Times New Roman" w:eastAsiaTheme="minorEastAsia"/>
                <w:color w:val="auto"/>
                <w:kern w:val="0"/>
                <w:sz w:val="21"/>
                <w:szCs w:val="21"/>
                <w:highlight w:val="none"/>
              </w:rPr>
            </w:pPr>
            <w:r>
              <w:rPr>
                <w:rFonts w:hint="default" w:ascii="Times New Roman" w:hAnsi="Times New Roman" w:cs="Times New Roman" w:eastAsiaTheme="minorEastAsia"/>
                <w:color w:val="auto"/>
                <w:kern w:val="0"/>
                <w:sz w:val="21"/>
                <w:szCs w:val="21"/>
                <w:highlight w:val="none"/>
              </w:rPr>
              <w:t>合格</w:t>
            </w:r>
          </w:p>
        </w:tc>
      </w:tr>
    </w:tbl>
    <w:p>
      <w:pPr>
        <w:keepNext/>
        <w:keepLines/>
        <w:adjustRightInd w:val="0"/>
        <w:snapToGrid w:val="0"/>
        <w:rPr>
          <w:rFonts w:hint="default" w:ascii="Times New Roman" w:hAnsi="Times New Roman" w:cs="Times New Roman" w:eastAsiaTheme="minorEastAsia"/>
          <w:color w:val="auto"/>
          <w:sz w:val="10"/>
          <w:szCs w:val="10"/>
        </w:rPr>
      </w:pPr>
    </w:p>
    <w:p>
      <w:pPr>
        <w:pStyle w:val="5"/>
        <w:adjustRightInd w:val="0"/>
        <w:snapToGrid w:val="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2.4.4 安全设施使用前的调试情况</w:t>
      </w:r>
    </w:p>
    <w:p>
      <w:pPr>
        <w:pageBreakBefore w:val="0"/>
        <w:kinsoku/>
        <w:wordWrap/>
        <w:topLinePunct w:val="0"/>
        <w:bidi w:val="0"/>
        <w:adjustRightInd w:val="0"/>
        <w:snapToGrid w:val="0"/>
        <w:ind w:firstLine="560"/>
        <w:rPr>
          <w:rFonts w:hint="eastAsia" w:ascii="Times New Roman" w:hAnsi="Times New Roman" w:cs="Times New Roman" w:eastAsiaTheme="minorEastAsia"/>
          <w:color w:val="auto"/>
          <w:szCs w:val="28"/>
          <w:highlight w:val="none"/>
          <w:lang w:eastAsia="zh-CN"/>
        </w:rPr>
      </w:pPr>
      <w:r>
        <w:rPr>
          <w:rFonts w:hint="eastAsia" w:cs="Times New Roman" w:eastAsiaTheme="minorEastAsia"/>
          <w:color w:val="auto"/>
          <w:lang w:val="en-US" w:eastAsia="zh-CN"/>
        </w:rPr>
        <w:t>该</w:t>
      </w:r>
      <w:r>
        <w:rPr>
          <w:rFonts w:hint="default" w:ascii="Times New Roman" w:hAnsi="Times New Roman" w:cs="Times New Roman" w:eastAsiaTheme="minorEastAsia"/>
          <w:color w:val="auto"/>
        </w:rPr>
        <w:t>加油站</w:t>
      </w:r>
      <w:r>
        <w:rPr>
          <w:rFonts w:hint="eastAsia" w:cs="Times New Roman" w:eastAsiaTheme="minorEastAsia"/>
          <w:color w:val="auto"/>
          <w:lang w:val="en-US" w:eastAsia="zh-CN"/>
        </w:rPr>
        <w:t>扩容项目</w:t>
      </w:r>
      <w:r>
        <w:rPr>
          <w:rFonts w:hint="default" w:ascii="Times New Roman" w:hAnsi="Times New Roman" w:cs="Times New Roman" w:eastAsiaTheme="minorEastAsia"/>
          <w:color w:val="auto"/>
        </w:rPr>
        <w:t>安全设施在使用前进行了调试，安全设施</w:t>
      </w:r>
      <w:r>
        <w:rPr>
          <w:rFonts w:hint="eastAsia" w:cs="Times New Roman" w:eastAsiaTheme="minorEastAsia"/>
          <w:color w:val="auto"/>
          <w:lang w:eastAsia="zh-CN"/>
        </w:rPr>
        <w:t>能够正常运行，</w:t>
      </w:r>
      <w:r>
        <w:rPr>
          <w:rFonts w:hint="default" w:ascii="Times New Roman" w:hAnsi="Times New Roman" w:cs="Times New Roman" w:eastAsiaTheme="minorEastAsia"/>
          <w:color w:val="auto"/>
        </w:rPr>
        <w:t>效果良好，可以保证系统的安全运行</w:t>
      </w:r>
      <w:r>
        <w:rPr>
          <w:rFonts w:hint="eastAsia" w:cs="Times New Roman" w:eastAsiaTheme="minorEastAsia"/>
          <w:color w:val="auto"/>
          <w:szCs w:val="28"/>
          <w:highlight w:val="none"/>
          <w:lang w:eastAsia="zh-CN"/>
        </w:rPr>
        <w:t>。</w:t>
      </w:r>
    </w:p>
    <w:p>
      <w:pPr>
        <w:keepNext/>
        <w:keepLines/>
        <w:pageBreakBefore w:val="0"/>
        <w:kinsoku/>
        <w:wordWrap/>
        <w:topLinePunct w:val="0"/>
        <w:bidi w:val="0"/>
        <w:adjustRightInd w:val="0"/>
        <w:snapToGrid w:val="0"/>
        <w:spacing w:before="156" w:after="156" w:line="520" w:lineRule="exact"/>
        <w:ind w:firstLine="560"/>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color w:val="auto"/>
        </w:rPr>
        <w:t xml:space="preserve"> </w:t>
      </w:r>
    </w:p>
    <w:p>
      <w:pPr>
        <w:pStyle w:val="3"/>
        <w:pageBreakBefore w:val="0"/>
        <w:kinsoku/>
        <w:wordWrap/>
        <w:topLinePunct w:val="0"/>
        <w:bidi w:val="0"/>
        <w:adjustRightInd w:val="0"/>
        <w:snapToGrid w:val="0"/>
        <w:spacing w:before="156" w:after="156" w:line="520" w:lineRule="exact"/>
        <w:rPr>
          <w:rFonts w:hint="default" w:ascii="Times New Roman" w:hAnsi="Times New Roman" w:cs="Times New Roman" w:eastAsiaTheme="minorEastAsia"/>
          <w:color w:val="auto"/>
          <w:sz w:val="32"/>
          <w:szCs w:val="32"/>
        </w:rPr>
      </w:pPr>
      <w:r>
        <w:rPr>
          <w:rFonts w:hint="default" w:ascii="Times New Roman" w:hAnsi="Times New Roman" w:cs="Times New Roman" w:eastAsiaTheme="minorEastAsia"/>
          <w:color w:val="auto"/>
          <w:sz w:val="32"/>
          <w:szCs w:val="32"/>
        </w:rPr>
        <w:t xml:space="preserve"> </w:t>
      </w:r>
      <w:bookmarkStart w:id="46" w:name="_Toc24840"/>
      <w:r>
        <w:rPr>
          <w:rFonts w:hint="default" w:ascii="Times New Roman" w:hAnsi="Times New Roman" w:cs="Times New Roman" w:eastAsiaTheme="minorEastAsia"/>
          <w:color w:val="auto"/>
          <w:sz w:val="32"/>
          <w:szCs w:val="32"/>
        </w:rPr>
        <w:t>3 主要危险、有害因素分析结果</w:t>
      </w:r>
      <w:bookmarkEnd w:id="46"/>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47" w:name="_Toc32315"/>
      <w:r>
        <w:rPr>
          <w:rFonts w:hint="default" w:ascii="Times New Roman" w:hAnsi="Times New Roman" w:cs="Times New Roman" w:eastAsiaTheme="minorEastAsia"/>
          <w:b/>
          <w:bCs w:val="0"/>
          <w:color w:val="auto"/>
          <w:sz w:val="28"/>
          <w:szCs w:val="28"/>
        </w:rPr>
        <w:t>3.1 主要危险、有害物质</w:t>
      </w:r>
      <w:bookmarkEnd w:id="47"/>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eastAsia" w:cs="Times New Roman" w:eastAsiaTheme="minorEastAsia"/>
          <w:color w:val="auto"/>
          <w:sz w:val="28"/>
          <w:szCs w:val="28"/>
          <w:lang w:eastAsia="zh-CN"/>
        </w:rPr>
        <w:t>该加油中心</w:t>
      </w:r>
      <w:r>
        <w:rPr>
          <w:rFonts w:hint="default" w:ascii="Times New Roman" w:hAnsi="Times New Roman" w:cs="Times New Roman" w:eastAsiaTheme="minorEastAsia"/>
          <w:color w:val="auto"/>
          <w:sz w:val="28"/>
          <w:szCs w:val="28"/>
        </w:rPr>
        <w:t>涉及的主要危险、有害物质有汽油、柴油</w:t>
      </w:r>
      <w:r>
        <w:rPr>
          <w:rFonts w:hint="default" w:ascii="Times New Roman" w:hAnsi="Times New Roman" w:cs="Times New Roman" w:eastAsiaTheme="minorEastAsia"/>
          <w:color w:val="auto"/>
          <w:sz w:val="28"/>
          <w:szCs w:val="28"/>
          <w:lang w:eastAsia="zh-CN"/>
        </w:rPr>
        <w:t>（闭口</w:t>
      </w:r>
      <w:r>
        <w:rPr>
          <w:rFonts w:hint="default" w:ascii="Times New Roman" w:hAnsi="Times New Roman" w:cs="Times New Roman" w:eastAsiaTheme="minorEastAsia"/>
          <w:color w:val="auto"/>
          <w:sz w:val="28"/>
          <w:szCs w:val="28"/>
          <w:lang w:val="en-US" w:eastAsia="zh-CN"/>
        </w:rPr>
        <w:t>闪点≤60℃</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根据《危险化学品</w:t>
      </w:r>
      <w:r>
        <w:rPr>
          <w:rFonts w:hint="default" w:ascii="Times New Roman" w:hAnsi="Times New Roman" w:cs="Times New Roman" w:eastAsiaTheme="minorEastAsia"/>
          <w:color w:val="auto"/>
          <w:sz w:val="28"/>
          <w:szCs w:val="28"/>
          <w:lang w:val="en-US" w:eastAsia="zh-CN"/>
        </w:rPr>
        <w:t>目</w:t>
      </w:r>
      <w:r>
        <w:rPr>
          <w:rFonts w:hint="default" w:ascii="Times New Roman" w:hAnsi="Times New Roman" w:cs="Times New Roman" w:eastAsiaTheme="minorEastAsia"/>
          <w:color w:val="auto"/>
          <w:sz w:val="28"/>
          <w:szCs w:val="28"/>
        </w:rPr>
        <w:t>录》（2015版）辨识，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涉及的危险化学品</w:t>
      </w:r>
      <w:r>
        <w:rPr>
          <w:rFonts w:hint="default" w:ascii="Times New Roman" w:hAnsi="Times New Roman" w:cs="Times New Roman" w:eastAsiaTheme="minorEastAsia"/>
          <w:color w:val="auto"/>
          <w:sz w:val="28"/>
          <w:szCs w:val="28"/>
          <w:lang w:eastAsia="zh-CN"/>
        </w:rPr>
        <w:t>为</w:t>
      </w:r>
      <w:r>
        <w:rPr>
          <w:rFonts w:hint="default" w:ascii="Times New Roman" w:hAnsi="Times New Roman" w:cs="Times New Roman" w:eastAsiaTheme="minorEastAsia"/>
          <w:color w:val="auto"/>
          <w:sz w:val="28"/>
          <w:szCs w:val="28"/>
        </w:rPr>
        <w:t>汽油</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柴油</w:t>
      </w:r>
      <w:r>
        <w:rPr>
          <w:rFonts w:hint="default" w:ascii="Times New Roman" w:hAnsi="Times New Roman" w:cs="Times New Roman" w:eastAsiaTheme="minorEastAsia"/>
          <w:color w:val="auto"/>
          <w:sz w:val="28"/>
          <w:szCs w:val="28"/>
          <w:lang w:eastAsia="zh-CN"/>
        </w:rPr>
        <w:t>（闭口</w:t>
      </w:r>
      <w:r>
        <w:rPr>
          <w:rFonts w:hint="default" w:ascii="Times New Roman" w:hAnsi="Times New Roman" w:cs="Times New Roman" w:eastAsiaTheme="minorEastAsia"/>
          <w:color w:val="auto"/>
          <w:sz w:val="28"/>
          <w:szCs w:val="28"/>
          <w:lang w:val="en-US" w:eastAsia="zh-CN"/>
        </w:rPr>
        <w:t>闪点≤60℃</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均不属于剧毒化学品。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根据《高毒物品目录》（卫生部卫发监发[2003]142号）辨识，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不涉及高毒物品。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根据《各类监控化学品名录》（</w:t>
      </w:r>
      <w:r>
        <w:rPr>
          <w:rFonts w:ascii="Times New Roman"/>
          <w:color w:val="000000"/>
          <w:sz w:val="28"/>
          <w:szCs w:val="28"/>
        </w:rPr>
        <w:t>中华人民共和国</w:t>
      </w:r>
      <w:r>
        <w:rPr>
          <w:rFonts w:hint="eastAsia" w:ascii="Times New Roman"/>
          <w:color w:val="000000"/>
          <w:sz w:val="28"/>
          <w:szCs w:val="28"/>
          <w:lang w:eastAsia="zh-CN"/>
        </w:rPr>
        <w:t>工业和信息化部令第</w:t>
      </w:r>
      <w:r>
        <w:rPr>
          <w:rFonts w:hint="eastAsia" w:ascii="Times New Roman"/>
          <w:color w:val="000000"/>
          <w:sz w:val="28"/>
          <w:szCs w:val="28"/>
          <w:lang w:val="en-US" w:eastAsia="zh-CN"/>
        </w:rPr>
        <w:t>52号</w:t>
      </w:r>
      <w:r>
        <w:rPr>
          <w:rFonts w:hint="default" w:ascii="Times New Roman" w:hAnsi="Times New Roman" w:cs="Times New Roman" w:eastAsiaTheme="minorEastAsia"/>
          <w:color w:val="auto"/>
          <w:sz w:val="28"/>
          <w:szCs w:val="28"/>
        </w:rPr>
        <w:t>）辨识，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不涉及各类监控化学品。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根据《易制毒化学品管理条例》（国务院令[2005]第445号</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lang w:val="en-US" w:eastAsia="zh-CN"/>
        </w:rPr>
        <w:t>根据666号令修改，2016年2月6日修订，2018年9月18日修订，</w:t>
      </w:r>
      <w:r>
        <w:rPr>
          <w:rFonts w:hint="default" w:ascii="Times New Roman" w:hAnsi="Times New Roman" w:cs="Times New Roman"/>
          <w:sz w:val="28"/>
          <w:szCs w:val="28"/>
        </w:rPr>
        <w:t>国办函</w:t>
      </w:r>
      <w:r>
        <w:rPr>
          <w:rFonts w:hint="eastAsia" w:cs="Times New Roman"/>
          <w:sz w:val="28"/>
          <w:szCs w:val="28"/>
          <w:lang w:val="en-US" w:eastAsia="zh-CN"/>
        </w:rPr>
        <w:t>[</w:t>
      </w:r>
      <w:r>
        <w:rPr>
          <w:rFonts w:hint="default" w:ascii="Times New Roman" w:hAnsi="Times New Roman" w:cs="Times New Roman"/>
          <w:sz w:val="28"/>
          <w:szCs w:val="28"/>
        </w:rPr>
        <w:t>2017</w:t>
      </w:r>
      <w:r>
        <w:rPr>
          <w:rFonts w:hint="eastAsia" w:cs="Times New Roman"/>
          <w:sz w:val="28"/>
          <w:szCs w:val="28"/>
          <w:lang w:val="en-US" w:eastAsia="zh-CN"/>
        </w:rPr>
        <w:t>]</w:t>
      </w:r>
      <w:r>
        <w:rPr>
          <w:rFonts w:hint="default" w:ascii="Times New Roman" w:hAnsi="Times New Roman" w:cs="Times New Roman"/>
          <w:sz w:val="28"/>
          <w:szCs w:val="28"/>
        </w:rPr>
        <w:t>120号补充</w:t>
      </w:r>
      <w:r>
        <w:rPr>
          <w:rFonts w:hint="default" w:ascii="Times New Roman" w:hAnsi="Times New Roman" w:cs="Times New Roman" w:eastAsiaTheme="minorEastAsia"/>
          <w:color w:val="auto"/>
          <w:sz w:val="28"/>
          <w:szCs w:val="28"/>
        </w:rPr>
        <w:t>）辨识，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项目不涉及各类易制毒化学品。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根据《重点监管的危险化学品名录》（2013年完整版）辨识，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项目涉及的重点监管化学品为汽油。</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eastAsiaTheme="minorEastAsia"/>
          <w:color w:val="auto"/>
          <w:sz w:val="28"/>
          <w:szCs w:val="28"/>
        </w:rPr>
        <w:t>根据《易制爆危险化学品名录》（201</w:t>
      </w:r>
      <w:r>
        <w:rPr>
          <w:rFonts w:hint="default" w:ascii="Times New Roman" w:hAnsi="Times New Roman" w:cs="Times New Roman" w:eastAsiaTheme="minorEastAsia"/>
          <w:color w:val="auto"/>
          <w:sz w:val="28"/>
          <w:szCs w:val="28"/>
          <w:lang w:val="en-US" w:eastAsia="zh-CN"/>
        </w:rPr>
        <w:t>7</w:t>
      </w:r>
      <w:r>
        <w:rPr>
          <w:rFonts w:hint="default" w:ascii="Times New Roman" w:hAnsi="Times New Roman" w:cs="Times New Roman" w:eastAsiaTheme="minorEastAsia"/>
          <w:color w:val="auto"/>
          <w:sz w:val="28"/>
          <w:szCs w:val="28"/>
        </w:rPr>
        <w:t>年版）辨识，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项目不涉及易制爆危</w:t>
      </w:r>
      <w:r>
        <w:rPr>
          <w:rFonts w:hint="default" w:ascii="Times New Roman" w:hAnsi="Times New Roman" w:cs="Times New Roman"/>
          <w:color w:val="auto"/>
          <w:sz w:val="28"/>
          <w:szCs w:val="28"/>
          <w:lang w:eastAsia="zh-CN"/>
        </w:rPr>
        <w:t>险化学品。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根据《山东省禁止危险化学品目录（第一批）》（鲁应急发[</w:t>
      </w:r>
      <w:r>
        <w:rPr>
          <w:rFonts w:hint="default" w:ascii="Times New Roman" w:hAnsi="Times New Roman" w:cs="Times New Roman"/>
          <w:color w:val="auto"/>
          <w:sz w:val="28"/>
          <w:szCs w:val="28"/>
          <w:lang w:val="en-US" w:eastAsia="zh-CN"/>
        </w:rPr>
        <w:t>2019</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37</w:t>
      </w:r>
      <w:r>
        <w:rPr>
          <w:rFonts w:hint="default" w:ascii="Times New Roman" w:hAnsi="Times New Roman" w:cs="Times New Roman"/>
          <w:color w:val="auto"/>
          <w:sz w:val="28"/>
          <w:szCs w:val="28"/>
          <w:lang w:eastAsia="zh-CN"/>
        </w:rPr>
        <w:t>号）的规定，</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项目不涉及山东省禁止危险化学品。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根据《特别管控危险化学品目录（第一版）》（</w:t>
      </w:r>
      <w:r>
        <w:rPr>
          <w:rFonts w:hint="default" w:ascii="Times New Roman" w:hAnsi="Times New Roman" w:cs="Times New Roman"/>
          <w:color w:val="auto"/>
          <w:sz w:val="28"/>
          <w:szCs w:val="28"/>
          <w:lang w:val="en-US" w:eastAsia="zh-CN"/>
        </w:rPr>
        <w:t>应急管理部、工业和信息化部、公安部、交通运输部公告2020年第3号</w:t>
      </w:r>
      <w:r>
        <w:rPr>
          <w:rFonts w:hint="default" w:ascii="Times New Roman" w:hAnsi="Times New Roman" w:cs="Times New Roman"/>
          <w:color w:val="auto"/>
          <w:sz w:val="28"/>
          <w:szCs w:val="28"/>
          <w:lang w:eastAsia="zh-CN"/>
        </w:rPr>
        <w:t>）辨识，</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项目涉及的特别管控危险化学品为汽油。</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根据《中国严格限制的有毒化学品名录》（2020）辨识，</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w:t>
      </w:r>
      <w:r>
        <w:rPr>
          <w:rFonts w:hint="eastAsia" w:cs="Times New Roman"/>
          <w:color w:val="auto"/>
          <w:sz w:val="28"/>
          <w:szCs w:val="28"/>
          <w:lang w:eastAsia="zh-CN"/>
        </w:rPr>
        <w:t>目</w:t>
      </w:r>
      <w:r>
        <w:rPr>
          <w:rFonts w:hint="default" w:ascii="Times New Roman" w:hAnsi="Times New Roman" w:cs="Times New Roman"/>
          <w:color w:val="auto"/>
          <w:sz w:val="28"/>
          <w:szCs w:val="28"/>
          <w:lang w:eastAsia="zh-CN"/>
        </w:rPr>
        <w:t>不涉及中国严格限制的有毒化学品。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（1）危险化学品理化性质</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危险化学品理化性质见表3</w:t>
      </w:r>
      <w:r>
        <w:rPr>
          <w:rFonts w:hint="default" w:ascii="Times New Roman" w:hAnsi="Times New Roman" w:cs="Times New Roman" w:eastAsiaTheme="minorEastAsia"/>
          <w:color w:val="auto"/>
          <w:sz w:val="28"/>
          <w:szCs w:val="28"/>
          <w:lang w:val="en-US" w:eastAsia="zh-CN"/>
        </w:rPr>
        <w:t>.1</w:t>
      </w:r>
      <w:r>
        <w:rPr>
          <w:rFonts w:hint="default" w:ascii="Times New Roman" w:hAnsi="Times New Roman" w:cs="Times New Roman" w:eastAsiaTheme="minorEastAsia"/>
          <w:color w:val="auto"/>
          <w:sz w:val="28"/>
          <w:szCs w:val="28"/>
        </w:rPr>
        <w:t>-1：</w:t>
      </w:r>
    </w:p>
    <w:p>
      <w:pPr>
        <w:pageBreakBefore w:val="0"/>
        <w:kinsoku/>
        <w:wordWrap/>
        <w:topLinePunct w:val="0"/>
        <w:bidi w:val="0"/>
        <w:adjustRightInd w:val="0"/>
        <w:snapToGrid w:val="0"/>
        <w:ind w:firstLine="482"/>
        <w:jc w:val="center"/>
        <w:rPr>
          <w:rFonts w:hint="eastAsia" w:ascii="Times New Roman" w:hAnsi="Times New Roman" w:cs="Times New Roman" w:eastAsiaTheme="minorEastAsia"/>
          <w:b/>
          <w:bCs/>
          <w:color w:val="auto"/>
          <w:sz w:val="10"/>
          <w:szCs w:val="10"/>
          <w:lang w:eastAsia="zh-CN"/>
        </w:rPr>
      </w:pPr>
      <w:r>
        <w:rPr>
          <w:rFonts w:hint="default" w:ascii="Times New Roman" w:hAnsi="Times New Roman" w:cs="Times New Roman" w:eastAsiaTheme="minorEastAsia"/>
          <w:b/>
          <w:color w:val="auto"/>
          <w:sz w:val="24"/>
          <w:szCs w:val="24"/>
        </w:rPr>
        <w:t>表3.1-1 危险化学品理化性质表</w:t>
      </w:r>
      <w:r>
        <w:rPr>
          <w:rFonts w:hint="eastAsia" w:cs="Times New Roman" w:eastAsiaTheme="minorEastAsia"/>
          <w:b/>
          <w:color w:val="auto"/>
          <w:sz w:val="24"/>
          <w:szCs w:val="24"/>
          <w:lang w:eastAsia="zh-CN"/>
        </w:rPr>
        <w:t>（</w:t>
      </w:r>
      <w:r>
        <w:rPr>
          <w:rFonts w:hint="eastAsia" w:cs="Times New Roman" w:eastAsiaTheme="minorEastAsia"/>
          <w:b/>
          <w:color w:val="auto"/>
          <w:sz w:val="24"/>
          <w:szCs w:val="24"/>
          <w:lang w:val="en-US" w:eastAsia="zh-CN"/>
        </w:rPr>
        <w:t>详细数据保密</w:t>
      </w:r>
      <w:r>
        <w:rPr>
          <w:rFonts w:hint="eastAsia" w:cs="Times New Roman" w:eastAsiaTheme="minorEastAsia"/>
          <w:b/>
          <w:color w:val="auto"/>
          <w:sz w:val="24"/>
          <w:szCs w:val="24"/>
          <w:lang w:eastAsia="zh-CN"/>
        </w:rPr>
        <w:t>）</w:t>
      </w:r>
    </w:p>
    <w:tbl>
      <w:tblPr>
        <w:tblStyle w:val="28"/>
        <w:tblW w:w="923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83"/>
        <w:gridCol w:w="779"/>
        <w:gridCol w:w="692"/>
        <w:gridCol w:w="865"/>
        <w:gridCol w:w="741"/>
        <w:gridCol w:w="961"/>
        <w:gridCol w:w="1212"/>
        <w:gridCol w:w="1500"/>
        <w:gridCol w:w="11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3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物质</w:t>
            </w:r>
          </w:p>
        </w:tc>
        <w:tc>
          <w:tcPr>
            <w:tcW w:w="77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火灾危险分类</w:t>
            </w:r>
          </w:p>
        </w:tc>
        <w:tc>
          <w:tcPr>
            <w:tcW w:w="69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熔点</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w:t>
            </w:r>
          </w:p>
        </w:tc>
        <w:tc>
          <w:tcPr>
            <w:tcW w:w="86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沸点（℃）</w:t>
            </w:r>
          </w:p>
        </w:tc>
        <w:tc>
          <w:tcPr>
            <w:tcW w:w="74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闪点（℃）</w:t>
            </w:r>
          </w:p>
        </w:tc>
        <w:tc>
          <w:tcPr>
            <w:tcW w:w="9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引燃温度（℃）</w:t>
            </w:r>
          </w:p>
        </w:tc>
        <w:tc>
          <w:tcPr>
            <w:tcW w:w="12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密度（10</w:t>
            </w:r>
            <w:r>
              <w:rPr>
                <w:rFonts w:hint="default" w:ascii="Times New Roman" w:hAnsi="Times New Roman" w:cs="Times New Roman" w:eastAsiaTheme="minorEastAsia"/>
                <w:b/>
                <w:bCs/>
                <w:color w:val="auto"/>
                <w:sz w:val="18"/>
                <w:szCs w:val="18"/>
                <w:vertAlign w:val="superscript"/>
              </w:rPr>
              <w:t>3</w:t>
            </w:r>
            <w:r>
              <w:rPr>
                <w:rFonts w:hint="default" w:ascii="Times New Roman" w:hAnsi="Times New Roman" w:cs="Times New Roman" w:eastAsiaTheme="minorEastAsia"/>
                <w:b/>
                <w:bCs/>
                <w:color w:val="auto"/>
                <w:sz w:val="18"/>
                <w:szCs w:val="18"/>
              </w:rPr>
              <w:t>kg/m</w:t>
            </w:r>
            <w:r>
              <w:rPr>
                <w:rFonts w:hint="default" w:ascii="Times New Roman" w:hAnsi="Times New Roman" w:cs="Times New Roman" w:eastAsiaTheme="minorEastAsia"/>
                <w:b/>
                <w:bCs/>
                <w:color w:val="auto"/>
                <w:sz w:val="18"/>
                <w:szCs w:val="18"/>
                <w:vertAlign w:val="superscript"/>
              </w:rPr>
              <w:t>3</w:t>
            </w:r>
            <w:r>
              <w:rPr>
                <w:rFonts w:hint="default" w:ascii="Times New Roman" w:hAnsi="Times New Roman" w:cs="Times New Roman" w:eastAsiaTheme="minorEastAsia"/>
                <w:b/>
                <w:bCs/>
                <w:color w:val="auto"/>
                <w:sz w:val="18"/>
                <w:szCs w:val="18"/>
              </w:rPr>
              <w:t>）</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爆炸极限（V%）</w:t>
            </w:r>
          </w:p>
        </w:tc>
        <w:tc>
          <w:tcPr>
            <w:tcW w:w="110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18"/>
                <w:szCs w:val="18"/>
              </w:rPr>
            </w:pPr>
            <w:r>
              <w:rPr>
                <w:rFonts w:hint="default" w:ascii="Times New Roman" w:hAnsi="Times New Roman" w:cs="Times New Roman" w:eastAsiaTheme="minorEastAsia"/>
                <w:b/>
                <w:bCs/>
                <w:color w:val="auto"/>
                <w:sz w:val="18"/>
                <w:szCs w:val="18"/>
              </w:rPr>
              <w:t>CAS号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3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18"/>
                <w:szCs w:val="18"/>
              </w:rPr>
            </w:pPr>
            <w:r>
              <w:rPr>
                <w:rFonts w:hint="default" w:ascii="Times New Roman" w:hAnsi="Times New Roman" w:cs="Times New Roman" w:eastAsiaTheme="minorEastAsia"/>
                <w:color w:val="auto"/>
                <w:sz w:val="18"/>
                <w:szCs w:val="18"/>
              </w:rPr>
              <w:t>汽油</w:t>
            </w:r>
          </w:p>
        </w:tc>
        <w:tc>
          <w:tcPr>
            <w:tcW w:w="77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69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86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74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9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2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10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38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18"/>
                <w:szCs w:val="18"/>
              </w:rPr>
            </w:pPr>
            <w:r>
              <w:rPr>
                <w:rFonts w:hint="default" w:ascii="Times New Roman" w:hAnsi="Times New Roman" w:cs="Times New Roman" w:eastAsiaTheme="minorEastAsia"/>
                <w:color w:val="auto"/>
                <w:sz w:val="18"/>
                <w:szCs w:val="18"/>
              </w:rPr>
              <w:t>柴油</w:t>
            </w:r>
            <w:r>
              <w:rPr>
                <w:rFonts w:hint="default" w:ascii="Times New Roman" w:hAnsi="Times New Roman" w:cs="Times New Roman" w:eastAsiaTheme="minorEastAsia"/>
                <w:color w:val="auto"/>
                <w:sz w:val="18"/>
                <w:szCs w:val="18"/>
                <w:lang w:eastAsia="zh-CN"/>
              </w:rPr>
              <w:t>（闭口</w:t>
            </w:r>
            <w:r>
              <w:rPr>
                <w:rFonts w:hint="default" w:ascii="Times New Roman" w:hAnsi="Times New Roman" w:cs="Times New Roman" w:eastAsiaTheme="minorEastAsia"/>
                <w:color w:val="auto"/>
                <w:sz w:val="18"/>
                <w:szCs w:val="18"/>
                <w:lang w:val="en-US" w:eastAsia="zh-CN"/>
              </w:rPr>
              <w:t>闪点≤60℃</w:t>
            </w:r>
            <w:r>
              <w:rPr>
                <w:rFonts w:hint="default" w:ascii="Times New Roman" w:hAnsi="Times New Roman" w:cs="Times New Roman" w:eastAsiaTheme="minorEastAsia"/>
                <w:color w:val="auto"/>
                <w:sz w:val="18"/>
                <w:szCs w:val="18"/>
                <w:lang w:eastAsia="zh-CN"/>
              </w:rPr>
              <w:t>）</w:t>
            </w:r>
          </w:p>
        </w:tc>
        <w:tc>
          <w:tcPr>
            <w:tcW w:w="77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69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highlight w:val="none"/>
                <w:lang w:val="en-US" w:eastAsia="zh-CN"/>
              </w:rPr>
            </w:pPr>
            <w:r>
              <w:rPr>
                <w:rFonts w:hint="eastAsia" w:cs="Times New Roman" w:eastAsiaTheme="minorEastAsia"/>
                <w:color w:val="auto"/>
                <w:sz w:val="18"/>
                <w:szCs w:val="18"/>
                <w:highlight w:val="none"/>
                <w:lang w:val="en-US" w:eastAsia="zh-CN"/>
              </w:rPr>
              <w:t>-</w:t>
            </w:r>
          </w:p>
        </w:tc>
        <w:tc>
          <w:tcPr>
            <w:tcW w:w="86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74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9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21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5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c>
          <w:tcPr>
            <w:tcW w:w="110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color w:val="auto"/>
                <w:sz w:val="18"/>
                <w:szCs w:val="18"/>
                <w:lang w:val="en-US" w:eastAsia="zh-CN"/>
              </w:rPr>
            </w:pPr>
            <w:r>
              <w:rPr>
                <w:rFonts w:hint="eastAsia" w:cs="Times New Roman" w:eastAsiaTheme="minorEastAsia"/>
                <w:color w:val="auto"/>
                <w:sz w:val="18"/>
                <w:szCs w:val="18"/>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right="0" w:rightChars="0" w:firstLine="560" w:firstLineChars="20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（2）危险物质的包装、储存和运输</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sz w:val="28"/>
          <w:szCs w:val="28"/>
        </w:rPr>
        <w:t>项目涉及的危险物质包括</w:t>
      </w:r>
      <w:bookmarkStart w:id="229" w:name="_GoBack"/>
      <w:bookmarkEnd w:id="229"/>
      <w:r>
        <w:rPr>
          <w:rFonts w:hint="default" w:ascii="Times New Roman" w:hAnsi="Times New Roman" w:cs="Times New Roman" w:eastAsiaTheme="minorEastAsia"/>
          <w:color w:val="auto"/>
          <w:sz w:val="28"/>
          <w:szCs w:val="28"/>
        </w:rPr>
        <w:t>：汽油、柴油，它们的包装、储存、运输的技术要求见表3</w:t>
      </w:r>
      <w:r>
        <w:rPr>
          <w:rFonts w:hint="default" w:ascii="Times New Roman" w:hAnsi="Times New Roman" w:cs="Times New Roman" w:eastAsiaTheme="minorEastAsia"/>
          <w:color w:val="auto"/>
          <w:sz w:val="28"/>
          <w:szCs w:val="28"/>
          <w:lang w:val="en-US" w:eastAsia="zh-CN"/>
        </w:rPr>
        <w:t>.1</w:t>
      </w:r>
      <w:r>
        <w:rPr>
          <w:rFonts w:hint="default" w:ascii="Times New Roman" w:hAnsi="Times New Roman" w:cs="Times New Roman" w:eastAsiaTheme="minorEastAsia"/>
          <w:color w:val="auto"/>
          <w:sz w:val="28"/>
          <w:szCs w:val="28"/>
        </w:rPr>
        <w:t>-2。</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表3</w:t>
      </w:r>
      <w:r>
        <w:rPr>
          <w:rFonts w:hint="default" w:ascii="Times New Roman" w:hAnsi="Times New Roman" w:cs="Times New Roman" w:eastAsiaTheme="minorEastAsia"/>
          <w:b/>
          <w:color w:val="auto"/>
          <w:sz w:val="24"/>
          <w:szCs w:val="24"/>
          <w:lang w:val="en-US" w:eastAsia="zh-CN"/>
        </w:rPr>
        <w:t>.1</w:t>
      </w:r>
      <w:r>
        <w:rPr>
          <w:rFonts w:hint="default" w:ascii="Times New Roman" w:hAnsi="Times New Roman" w:cs="Times New Roman" w:eastAsiaTheme="minorEastAsia"/>
          <w:b/>
          <w:color w:val="auto"/>
          <w:sz w:val="24"/>
          <w:szCs w:val="24"/>
        </w:rPr>
        <w:t>-2 危险物质包装、储运技术要求</w:t>
      </w:r>
    </w:p>
    <w:tbl>
      <w:tblPr>
        <w:tblStyle w:val="28"/>
        <w:tblW w:w="9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0"/>
        <w:gridCol w:w="1725"/>
        <w:gridCol w:w="2615"/>
        <w:gridCol w:w="40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890" w:type="dxa"/>
            <w:tcBorders>
              <w:top w:val="single" w:color="auto" w:sz="12" w:space="0"/>
              <w:bottom w:val="single" w:color="auto" w:sz="6" w:space="0"/>
            </w:tcBorders>
            <w:shd w:val="clear" w:color="auto" w:fill="auto"/>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品名</w:t>
            </w:r>
          </w:p>
        </w:tc>
        <w:tc>
          <w:tcPr>
            <w:tcW w:w="1725" w:type="dxa"/>
            <w:tcBorders>
              <w:top w:val="single" w:color="auto" w:sz="12" w:space="0"/>
              <w:bottom w:val="single" w:color="auto" w:sz="6" w:space="0"/>
            </w:tcBorders>
            <w:shd w:val="clear" w:color="auto" w:fill="auto"/>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包装要求</w:t>
            </w:r>
          </w:p>
        </w:tc>
        <w:tc>
          <w:tcPr>
            <w:tcW w:w="2615" w:type="dxa"/>
            <w:tcBorders>
              <w:top w:val="single" w:color="auto" w:sz="12" w:space="0"/>
              <w:bottom w:val="single" w:color="auto" w:sz="6" w:space="0"/>
            </w:tcBorders>
            <w:shd w:val="clear" w:color="auto" w:fill="auto"/>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储存要求</w:t>
            </w:r>
          </w:p>
        </w:tc>
        <w:tc>
          <w:tcPr>
            <w:tcW w:w="4054" w:type="dxa"/>
            <w:tcBorders>
              <w:top w:val="single" w:color="auto" w:sz="12" w:space="0"/>
              <w:bottom w:val="single" w:color="auto" w:sz="6" w:space="0"/>
            </w:tcBorders>
            <w:shd w:val="clear" w:color="auto" w:fill="auto"/>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运输要求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90" w:type="dxa"/>
            <w:tcBorders>
              <w:top w:val="single" w:color="auto" w:sz="6" w:space="0"/>
            </w:tcBorders>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汽油</w:t>
            </w:r>
          </w:p>
        </w:tc>
        <w:tc>
          <w:tcPr>
            <w:tcW w:w="1725" w:type="dxa"/>
            <w:tcBorders>
              <w:top w:val="single" w:color="auto" w:sz="6" w:space="0"/>
            </w:tcBorders>
            <w:vAlign w:val="center"/>
          </w:tcPr>
          <w:p>
            <w:pPr>
              <w:pageBreakBefore w:val="0"/>
              <w:widowControl/>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包装标志：易燃液体；包装类别：Ⅱ包装方法：埋地储罐。</w:t>
            </w:r>
          </w:p>
        </w:tc>
        <w:tc>
          <w:tcPr>
            <w:tcW w:w="2615" w:type="dxa"/>
            <w:tcBorders>
              <w:top w:val="single" w:color="auto" w:sz="6" w:space="0"/>
            </w:tcBorders>
            <w:vAlign w:val="center"/>
          </w:tcPr>
          <w:p>
            <w:pPr>
              <w:pageBreakBefore w:val="0"/>
              <w:widowControl/>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远离火种、热源。保持容器密封。应与氧化剂分开存放，切忌混储。采用防爆型照明、通风设施。禁止使用易产生火花的机械设备和工具。</w:t>
            </w:r>
          </w:p>
        </w:tc>
        <w:tc>
          <w:tcPr>
            <w:tcW w:w="4054" w:type="dxa"/>
            <w:tcBorders>
              <w:top w:val="single" w:color="auto" w:sz="6" w:space="0"/>
            </w:tcBorders>
            <w:vAlign w:val="center"/>
          </w:tcPr>
          <w:p>
            <w:pPr>
              <w:pageBreakBefore w:val="0"/>
              <w:widowControl/>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90"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柴油</w:t>
            </w:r>
          </w:p>
        </w:tc>
        <w:tc>
          <w:tcPr>
            <w:tcW w:w="1725" w:type="dxa"/>
            <w:vAlign w:val="center"/>
          </w:tcPr>
          <w:p>
            <w:pPr>
              <w:pageBreakBefore w:val="0"/>
              <w:widowControl/>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包装标志：易燃液体；包装类别：Ⅱ包装方法：埋地储罐。</w:t>
            </w:r>
          </w:p>
        </w:tc>
        <w:tc>
          <w:tcPr>
            <w:tcW w:w="2615" w:type="dxa"/>
            <w:vAlign w:val="center"/>
          </w:tcPr>
          <w:p>
            <w:pPr>
              <w:pageBreakBefore w:val="0"/>
              <w:widowControl/>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远离火种、热源。应与氧化剂、卤素分开存放，切忌混储。采用防爆型照明、通风设施。禁止使用易产生火花的机械设备和工具。储区应备有泄漏应急处理设备和合适的收容材料。</w:t>
            </w:r>
          </w:p>
        </w:tc>
        <w:tc>
          <w:tcPr>
            <w:tcW w:w="4054" w:type="dxa"/>
            <w:vAlign w:val="center"/>
          </w:tcPr>
          <w:p>
            <w:pPr>
              <w:pageBreakBefore w:val="0"/>
              <w:widowControl/>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w:t>
            </w:r>
          </w:p>
        </w:tc>
      </w:tr>
    </w:tbl>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48" w:name="_Toc22124"/>
      <w:r>
        <w:rPr>
          <w:rFonts w:hint="default" w:ascii="Times New Roman" w:hAnsi="Times New Roman" w:cs="Times New Roman" w:eastAsiaTheme="minorEastAsia"/>
          <w:b/>
          <w:bCs w:val="0"/>
          <w:color w:val="auto"/>
          <w:sz w:val="28"/>
          <w:szCs w:val="28"/>
        </w:rPr>
        <w:t>3.2 危险、有害因素分布</w:t>
      </w:r>
      <w:bookmarkEnd w:id="48"/>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r>
        <w:rPr>
          <w:rFonts w:hint="eastAsia" w:cs="Times New Roman" w:eastAsiaTheme="minorEastAsia"/>
          <w:color w:val="auto"/>
          <w:lang w:eastAsia="zh-CN"/>
        </w:rPr>
        <w:t>该</w:t>
      </w:r>
      <w:r>
        <w:rPr>
          <w:rFonts w:hint="default" w:ascii="Times New Roman" w:hAnsi="Times New Roman" w:cs="Times New Roman" w:eastAsiaTheme="minorEastAsia"/>
          <w:color w:val="auto"/>
        </w:rPr>
        <w:t>项目涉及的主要危险、有害因素分析结合功能区的划分及涉及到的危险化学品，综合考虑起因物、引起事故的诱导性原因、致害物、伤害方式等，参照《企业职工伤亡事故分类》（GB6441-1986）进行辨识和分析。经过分析</w:t>
      </w:r>
      <w:r>
        <w:rPr>
          <w:rFonts w:hint="eastAsia" w:cs="Times New Roman" w:eastAsiaTheme="minorEastAsia"/>
          <w:color w:val="auto"/>
          <w:lang w:eastAsia="zh-CN"/>
        </w:rPr>
        <w:t>该</w:t>
      </w:r>
      <w:r>
        <w:rPr>
          <w:rFonts w:hint="default" w:ascii="Times New Roman" w:hAnsi="Times New Roman" w:cs="Times New Roman" w:eastAsiaTheme="minorEastAsia"/>
          <w:color w:val="auto"/>
        </w:rPr>
        <w:t>项目中存在的危险、有害因素主要为火灾</w:t>
      </w:r>
      <w:r>
        <w:rPr>
          <w:rFonts w:hint="default" w:ascii="Times New Roman" w:hAnsi="Times New Roman" w:cs="Times New Roman" w:eastAsiaTheme="minorEastAsia"/>
          <w:color w:val="auto"/>
          <w:lang w:eastAsia="zh-CN"/>
        </w:rPr>
        <w:t>、</w:t>
      </w:r>
      <w:r>
        <w:rPr>
          <w:rFonts w:hint="default" w:ascii="Times New Roman" w:hAnsi="Times New Roman" w:cs="Times New Roman" w:eastAsiaTheme="minorEastAsia"/>
          <w:color w:val="auto"/>
        </w:rPr>
        <w:t>爆炸、中毒</w:t>
      </w:r>
      <w:r>
        <w:rPr>
          <w:rFonts w:hint="default" w:ascii="Times New Roman" w:hAnsi="Times New Roman" w:cs="Times New Roman" w:eastAsiaTheme="minorEastAsia"/>
          <w:color w:val="auto"/>
          <w:lang w:eastAsia="zh-CN"/>
        </w:rPr>
        <w:t>和</w:t>
      </w:r>
      <w:r>
        <w:rPr>
          <w:rFonts w:hint="default" w:ascii="Times New Roman" w:hAnsi="Times New Roman" w:cs="Times New Roman" w:eastAsiaTheme="minorEastAsia"/>
          <w:color w:val="auto"/>
        </w:rPr>
        <w:t>窒息、触电、高处坠落、物体打击、车辆伤害、坍塌与毒物危害等。危险、有害因素分布情况见表3.2-1。</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表3.2-1 主要危险、有害因素分布表</w:t>
      </w:r>
    </w:p>
    <w:tbl>
      <w:tblPr>
        <w:tblStyle w:val="28"/>
        <w:tblW w:w="928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43"/>
        <w:gridCol w:w="5624"/>
        <w:gridCol w:w="18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843" w:type="dxa"/>
            <w:shd w:val="clear" w:color="auto" w:fill="auto"/>
            <w:vAlign w:val="center"/>
          </w:tcPr>
          <w:p>
            <w:pPr>
              <w:pageBreakBefore w:val="0"/>
              <w:kinsoku/>
              <w:wordWrap/>
              <w:topLinePunct w:val="0"/>
              <w:bidi w:val="0"/>
              <w:adjustRightInd w:val="0"/>
              <w:snapToGrid w:val="0"/>
              <w:spacing w:line="340" w:lineRule="exact"/>
              <w:ind w:firstLine="0" w:firstLineChars="0"/>
              <w:jc w:val="center"/>
              <w:rPr>
                <w:rFonts w:hint="default" w:ascii="Times New Roman" w:hAnsi="Times New Roman" w:cs="Times New Roman" w:eastAsiaTheme="minorEastAsia"/>
                <w:b/>
                <w:bCs/>
                <w:color w:val="auto"/>
                <w:sz w:val="21"/>
                <w:szCs w:val="21"/>
              </w:rPr>
            </w:pPr>
            <w:bookmarkStart w:id="49" w:name="_Toc328576266"/>
            <w:bookmarkStart w:id="50" w:name="_Toc333233407"/>
            <w:r>
              <w:rPr>
                <w:rFonts w:hint="default" w:ascii="Times New Roman" w:hAnsi="Times New Roman" w:cs="Times New Roman" w:eastAsiaTheme="minorEastAsia"/>
                <w:b/>
                <w:bCs/>
                <w:color w:val="auto"/>
                <w:sz w:val="21"/>
                <w:szCs w:val="21"/>
              </w:rPr>
              <w:t>部位</w:t>
            </w:r>
          </w:p>
        </w:tc>
        <w:tc>
          <w:tcPr>
            <w:tcW w:w="5624" w:type="dxa"/>
            <w:shd w:val="clear" w:color="auto" w:fill="auto"/>
            <w:vAlign w:val="center"/>
          </w:tcPr>
          <w:p>
            <w:pPr>
              <w:pageBreakBefore w:val="0"/>
              <w:kinsoku/>
              <w:wordWrap/>
              <w:topLinePunct w:val="0"/>
              <w:bidi w:val="0"/>
              <w:adjustRightInd w:val="0"/>
              <w:snapToGrid w:val="0"/>
              <w:spacing w:line="3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危险因素</w:t>
            </w:r>
          </w:p>
        </w:tc>
        <w:tc>
          <w:tcPr>
            <w:tcW w:w="1819" w:type="dxa"/>
            <w:shd w:val="clear" w:color="auto" w:fill="auto"/>
            <w:vAlign w:val="center"/>
          </w:tcPr>
          <w:p>
            <w:pPr>
              <w:pageBreakBefore w:val="0"/>
              <w:kinsoku/>
              <w:wordWrap/>
              <w:topLinePunct w:val="0"/>
              <w:bidi w:val="0"/>
              <w:adjustRightInd w:val="0"/>
              <w:snapToGrid w:val="0"/>
              <w:spacing w:line="340" w:lineRule="exact"/>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有害因素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43" w:type="dxa"/>
            <w:vAlign w:val="center"/>
          </w:tcPr>
          <w:p>
            <w:pPr>
              <w:pageBreakBefore w:val="0"/>
              <w:kinsoku/>
              <w:wordWrap/>
              <w:topLinePunct w:val="0"/>
              <w:bidi w:val="0"/>
              <w:adjustRightInd w:val="0"/>
              <w:snapToGrid w:val="0"/>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卸油</w:t>
            </w:r>
            <w:r>
              <w:rPr>
                <w:rFonts w:hint="eastAsia" w:cs="Times New Roman" w:eastAsiaTheme="minorEastAsia"/>
                <w:color w:val="auto"/>
                <w:sz w:val="21"/>
                <w:szCs w:val="21"/>
                <w:lang w:eastAsia="zh-CN"/>
              </w:rPr>
              <w:t>及储罐</w:t>
            </w:r>
            <w:r>
              <w:rPr>
                <w:rFonts w:hint="default" w:ascii="Times New Roman" w:hAnsi="Times New Roman" w:cs="Times New Roman" w:eastAsiaTheme="minorEastAsia"/>
                <w:color w:val="auto"/>
                <w:sz w:val="21"/>
                <w:szCs w:val="21"/>
              </w:rPr>
              <w:t>区</w:t>
            </w:r>
          </w:p>
        </w:tc>
        <w:tc>
          <w:tcPr>
            <w:tcW w:w="5624" w:type="dxa"/>
            <w:vAlign w:val="center"/>
          </w:tcPr>
          <w:p>
            <w:pPr>
              <w:pageBreakBefore w:val="0"/>
              <w:kinsoku/>
              <w:wordWrap/>
              <w:topLinePunct w:val="0"/>
              <w:bidi w:val="0"/>
              <w:adjustRightInd w:val="0"/>
              <w:snapToGrid w:val="0"/>
              <w:spacing w:line="340" w:lineRule="exact"/>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火灾</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爆炸、中毒</w:t>
            </w:r>
            <w:r>
              <w:rPr>
                <w:rFonts w:hint="default" w:ascii="Times New Roman" w:hAnsi="Times New Roman" w:cs="Times New Roman" w:eastAsiaTheme="minorEastAsia"/>
                <w:color w:val="auto"/>
                <w:sz w:val="21"/>
                <w:szCs w:val="21"/>
                <w:lang w:eastAsia="zh-CN"/>
              </w:rPr>
              <w:t>和</w:t>
            </w:r>
            <w:r>
              <w:rPr>
                <w:rFonts w:hint="default" w:ascii="Times New Roman" w:hAnsi="Times New Roman" w:cs="Times New Roman" w:eastAsiaTheme="minorEastAsia"/>
                <w:color w:val="auto"/>
                <w:sz w:val="21"/>
                <w:szCs w:val="21"/>
              </w:rPr>
              <w:t>窒息、车辆伤害、物体打击、触电</w:t>
            </w:r>
          </w:p>
        </w:tc>
        <w:tc>
          <w:tcPr>
            <w:tcW w:w="1819" w:type="dxa"/>
            <w:vAlign w:val="center"/>
          </w:tcPr>
          <w:p>
            <w:pPr>
              <w:pageBreakBefore w:val="0"/>
              <w:kinsoku/>
              <w:wordWrap/>
              <w:topLinePunct w:val="0"/>
              <w:bidi w:val="0"/>
              <w:adjustRightInd w:val="0"/>
              <w:snapToGrid w:val="0"/>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毒物危害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43" w:type="dxa"/>
            <w:vAlign w:val="center"/>
          </w:tcPr>
          <w:p>
            <w:pPr>
              <w:pageBreakBefore w:val="0"/>
              <w:kinsoku/>
              <w:wordWrap/>
              <w:topLinePunct w:val="0"/>
              <w:bidi w:val="0"/>
              <w:adjustRightInd w:val="0"/>
              <w:snapToGrid w:val="0"/>
              <w:spacing w:line="340" w:lineRule="exact"/>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加油作业区</w:t>
            </w:r>
          </w:p>
        </w:tc>
        <w:tc>
          <w:tcPr>
            <w:tcW w:w="5624" w:type="dxa"/>
            <w:vAlign w:val="center"/>
          </w:tcPr>
          <w:p>
            <w:pPr>
              <w:pageBreakBefore w:val="0"/>
              <w:kinsoku/>
              <w:wordWrap/>
              <w:topLinePunct w:val="0"/>
              <w:bidi w:val="0"/>
              <w:adjustRightInd w:val="0"/>
              <w:snapToGrid w:val="0"/>
              <w:spacing w:line="340" w:lineRule="exact"/>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火灾</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爆炸、中毒</w:t>
            </w:r>
            <w:r>
              <w:rPr>
                <w:rFonts w:hint="default" w:ascii="Times New Roman" w:hAnsi="Times New Roman" w:cs="Times New Roman" w:eastAsiaTheme="minorEastAsia"/>
                <w:color w:val="auto"/>
                <w:sz w:val="21"/>
                <w:szCs w:val="21"/>
                <w:lang w:eastAsia="zh-CN"/>
              </w:rPr>
              <w:t>和</w:t>
            </w:r>
            <w:r>
              <w:rPr>
                <w:rFonts w:hint="default" w:ascii="Times New Roman" w:hAnsi="Times New Roman" w:cs="Times New Roman" w:eastAsiaTheme="minorEastAsia"/>
                <w:color w:val="auto"/>
                <w:sz w:val="21"/>
                <w:szCs w:val="21"/>
              </w:rPr>
              <w:t>窒息、触电、高处坠落、物体打击、车辆伤害、坍塌</w:t>
            </w:r>
          </w:p>
        </w:tc>
        <w:tc>
          <w:tcPr>
            <w:tcW w:w="1819" w:type="dxa"/>
            <w:vAlign w:val="center"/>
          </w:tcPr>
          <w:p>
            <w:pPr>
              <w:pageBreakBefore w:val="0"/>
              <w:kinsoku/>
              <w:wordWrap/>
              <w:topLinePunct w:val="0"/>
              <w:bidi w:val="0"/>
              <w:adjustRightInd w:val="0"/>
              <w:snapToGrid w:val="0"/>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毒物危害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43" w:type="dxa"/>
            <w:vAlign w:val="center"/>
          </w:tcPr>
          <w:p>
            <w:pPr>
              <w:pageBreakBefore w:val="0"/>
              <w:kinsoku/>
              <w:wordWrap/>
              <w:topLinePunct w:val="0"/>
              <w:bidi w:val="0"/>
              <w:adjustRightInd w:val="0"/>
              <w:snapToGrid w:val="0"/>
              <w:spacing w:line="340" w:lineRule="exact"/>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办公区</w:t>
            </w:r>
          </w:p>
        </w:tc>
        <w:tc>
          <w:tcPr>
            <w:tcW w:w="5624" w:type="dxa"/>
            <w:vAlign w:val="center"/>
          </w:tcPr>
          <w:p>
            <w:pPr>
              <w:pageBreakBefore w:val="0"/>
              <w:kinsoku/>
              <w:wordWrap/>
              <w:topLinePunct w:val="0"/>
              <w:bidi w:val="0"/>
              <w:adjustRightInd w:val="0"/>
              <w:snapToGrid w:val="0"/>
              <w:spacing w:line="340" w:lineRule="exact"/>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火灾、触电</w:t>
            </w:r>
          </w:p>
        </w:tc>
        <w:tc>
          <w:tcPr>
            <w:tcW w:w="1819" w:type="dxa"/>
            <w:vAlign w:val="center"/>
          </w:tcPr>
          <w:p>
            <w:pPr>
              <w:pageBreakBefore w:val="0"/>
              <w:kinsoku/>
              <w:wordWrap/>
              <w:topLinePunct w:val="0"/>
              <w:bidi w:val="0"/>
              <w:adjustRightInd w:val="0"/>
              <w:snapToGrid w:val="0"/>
              <w:spacing w:line="340" w:lineRule="exact"/>
              <w:ind w:firstLine="420"/>
              <w:rPr>
                <w:rFonts w:hint="default" w:ascii="Times New Roman" w:hAnsi="Times New Roman" w:cs="Times New Roman" w:eastAsiaTheme="minorEastAsia"/>
                <w:color w:val="auto"/>
                <w:sz w:val="21"/>
                <w:szCs w:val="21"/>
              </w:rPr>
            </w:pPr>
          </w:p>
        </w:tc>
      </w:tr>
    </w:tbl>
    <w:p>
      <w:pPr>
        <w:pStyle w:val="4"/>
        <w:keepNext/>
        <w:keepLines/>
        <w:pageBreakBefore w:val="0"/>
        <w:widowControl w:val="0"/>
        <w:kinsoku/>
        <w:wordWrap/>
        <w:overflowPunct/>
        <w:topLinePunct w:val="0"/>
        <w:autoSpaceDE/>
        <w:autoSpaceDN/>
        <w:bidi w:val="0"/>
        <w:adjustRightInd w:val="0"/>
        <w:snapToGrid w:val="0"/>
        <w:spacing w:before="157" w:beforeLines="50" w:afterLines="0"/>
        <w:textAlignment w:val="auto"/>
        <w:rPr>
          <w:rFonts w:hint="eastAsia" w:ascii="Times New Roman" w:hAnsi="Times New Roman" w:cs="Times New Roman" w:eastAsiaTheme="minorEastAsia"/>
          <w:b/>
          <w:bCs w:val="0"/>
          <w:color w:val="auto"/>
          <w:sz w:val="28"/>
          <w:szCs w:val="28"/>
          <w:lang w:eastAsia="zh-CN"/>
        </w:rPr>
      </w:pPr>
      <w:bookmarkStart w:id="51" w:name="_Toc4199"/>
      <w:r>
        <w:rPr>
          <w:rFonts w:hint="default" w:ascii="Times New Roman" w:hAnsi="Times New Roman" w:cs="Times New Roman" w:eastAsiaTheme="minorEastAsia"/>
          <w:b/>
          <w:bCs w:val="0"/>
          <w:color w:val="auto"/>
          <w:sz w:val="28"/>
          <w:szCs w:val="28"/>
        </w:rPr>
        <w:t>3.3 重大危险源辨识</w:t>
      </w:r>
      <w:bookmarkEnd w:id="49"/>
      <w:bookmarkEnd w:id="50"/>
      <w:r>
        <w:rPr>
          <w:rFonts w:hint="eastAsia" w:cs="Times New Roman" w:eastAsiaTheme="minorEastAsia"/>
          <w:b/>
          <w:bCs w:val="0"/>
          <w:color w:val="auto"/>
          <w:sz w:val="28"/>
          <w:szCs w:val="28"/>
          <w:lang w:eastAsia="zh-CN"/>
        </w:rPr>
        <w:t>结果</w:t>
      </w:r>
      <w:bookmarkEnd w:id="51"/>
    </w:p>
    <w:p>
      <w:pPr>
        <w:pStyle w:val="15"/>
        <w:adjustRightInd w:val="0"/>
        <w:snapToGrid w:val="0"/>
        <w:spacing w:after="0" w:line="360" w:lineRule="auto"/>
        <w:ind w:left="0" w:leftChars="0" w:firstLine="560" w:firstLineChars="200"/>
        <w:rPr>
          <w:rFonts w:ascii="Times New Roman"/>
          <w:color w:val="000000"/>
          <w:sz w:val="28"/>
          <w:szCs w:val="28"/>
        </w:rPr>
      </w:pPr>
      <w:r>
        <w:rPr>
          <w:rFonts w:ascii="Times New Roman"/>
          <w:color w:val="000000"/>
          <w:sz w:val="28"/>
          <w:szCs w:val="28"/>
        </w:rPr>
        <w:t>根据《危险化学品重大危险源辨识》（GB18218-20</w:t>
      </w:r>
      <w:r>
        <w:rPr>
          <w:rFonts w:hint="eastAsia" w:ascii="Times New Roman"/>
          <w:color w:val="000000"/>
          <w:sz w:val="28"/>
          <w:szCs w:val="28"/>
          <w:lang w:val="en-US" w:eastAsia="zh-CN"/>
        </w:rPr>
        <w:t>18</w:t>
      </w:r>
      <w:r>
        <w:rPr>
          <w:rFonts w:ascii="Times New Roman"/>
          <w:color w:val="000000"/>
          <w:sz w:val="28"/>
          <w:szCs w:val="28"/>
        </w:rPr>
        <w:t>）</w:t>
      </w:r>
      <w:r>
        <w:rPr>
          <w:rFonts w:hint="eastAsia" w:ascii="Times New Roman"/>
          <w:color w:val="000000"/>
          <w:sz w:val="28"/>
          <w:szCs w:val="28"/>
          <w:lang w:eastAsia="zh-CN"/>
        </w:rPr>
        <w:t>关于单元</w:t>
      </w:r>
      <w:r>
        <w:rPr>
          <w:rFonts w:ascii="Times New Roman"/>
          <w:color w:val="000000"/>
          <w:sz w:val="28"/>
          <w:szCs w:val="28"/>
        </w:rPr>
        <w:t>的规定，</w:t>
      </w:r>
      <w:r>
        <w:rPr>
          <w:rFonts w:hint="eastAsia" w:ascii="Times New Roman"/>
          <w:color w:val="000000"/>
          <w:sz w:val="28"/>
          <w:szCs w:val="28"/>
          <w:lang w:eastAsia="zh-CN"/>
        </w:rPr>
        <w:t>将</w:t>
      </w:r>
      <w:r>
        <w:rPr>
          <w:rFonts w:ascii="Times New Roman"/>
          <w:color w:val="000000"/>
          <w:sz w:val="28"/>
          <w:szCs w:val="28"/>
        </w:rPr>
        <w:t>该加油站</w:t>
      </w:r>
      <w:r>
        <w:rPr>
          <w:rFonts w:hint="eastAsia" w:ascii="Times New Roman"/>
          <w:color w:val="000000"/>
          <w:sz w:val="28"/>
          <w:szCs w:val="28"/>
          <w:lang w:eastAsia="zh-CN"/>
        </w:rPr>
        <w:t>涉及到</w:t>
      </w:r>
      <w:r>
        <w:rPr>
          <w:rFonts w:ascii="Times New Roman"/>
          <w:color w:val="000000"/>
          <w:sz w:val="28"/>
          <w:szCs w:val="28"/>
        </w:rPr>
        <w:t>重大危险源</w:t>
      </w:r>
      <w:r>
        <w:rPr>
          <w:rFonts w:hint="eastAsia" w:ascii="Times New Roman"/>
          <w:color w:val="000000"/>
          <w:sz w:val="28"/>
          <w:szCs w:val="28"/>
          <w:lang w:eastAsia="zh-CN"/>
        </w:rPr>
        <w:t>辨识物质汽油、柴油的划分为</w:t>
      </w:r>
      <w:r>
        <w:rPr>
          <w:rFonts w:hint="eastAsia" w:ascii="Times New Roman"/>
          <w:color w:val="000000"/>
          <w:sz w:val="28"/>
          <w:szCs w:val="28"/>
          <w:lang w:val="en-US" w:eastAsia="zh-CN"/>
        </w:rPr>
        <w:t>1个储存单元：油罐区单元</w:t>
      </w:r>
      <w:r>
        <w:rPr>
          <w:rFonts w:ascii="Times New Roman"/>
          <w:color w:val="000000"/>
          <w:sz w:val="28"/>
          <w:szCs w:val="28"/>
        </w:rPr>
        <w:t>。</w:t>
      </w:r>
    </w:p>
    <w:p>
      <w:pPr>
        <w:pStyle w:val="84"/>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default" w:ascii="Times New Roman" w:hAnsi="Times New Roman" w:cs="Times New Roman" w:eastAsiaTheme="minorEastAsia"/>
          <w:b/>
          <w:color w:val="auto"/>
          <w:kern w:val="2"/>
          <w:sz w:val="24"/>
          <w:szCs w:val="24"/>
          <w:lang w:val="en-US" w:eastAsia="zh-CN" w:bidi="ar-SA"/>
        </w:rPr>
      </w:pPr>
      <w:r>
        <w:rPr>
          <w:rFonts w:hint="default" w:ascii="Times New Roman" w:hAnsi="Times New Roman" w:cs="Times New Roman" w:eastAsiaTheme="minorEastAsia"/>
          <w:b/>
          <w:color w:val="auto"/>
          <w:kern w:val="2"/>
          <w:sz w:val="24"/>
          <w:szCs w:val="24"/>
          <w:lang w:val="en-US" w:eastAsia="zh-CN" w:bidi="ar-SA"/>
        </w:rPr>
        <w:t>表3</w:t>
      </w:r>
      <w:r>
        <w:rPr>
          <w:rFonts w:hint="eastAsia" w:ascii="Times New Roman" w:hAnsi="Times New Roman" w:cs="Times New Roman" w:eastAsiaTheme="minorEastAsia"/>
          <w:b/>
          <w:color w:val="auto"/>
          <w:kern w:val="2"/>
          <w:sz w:val="24"/>
          <w:szCs w:val="24"/>
          <w:lang w:val="en-US" w:eastAsia="zh-CN" w:bidi="ar-SA"/>
        </w:rPr>
        <w:t>.3-1</w:t>
      </w:r>
      <w:r>
        <w:rPr>
          <w:rFonts w:hint="default" w:ascii="Times New Roman" w:hAnsi="Times New Roman" w:cs="Times New Roman" w:eastAsiaTheme="minorEastAsia"/>
          <w:b/>
          <w:color w:val="auto"/>
          <w:kern w:val="2"/>
          <w:sz w:val="24"/>
          <w:szCs w:val="24"/>
          <w:lang w:val="en-US" w:eastAsia="zh-CN" w:bidi="ar-SA"/>
        </w:rPr>
        <w:t xml:space="preserve">  危险化学品重大危险源辨识结果一览表</w:t>
      </w:r>
    </w:p>
    <w:tbl>
      <w:tblPr>
        <w:tblStyle w:val="28"/>
        <w:tblW w:w="819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58"/>
        <w:gridCol w:w="829"/>
        <w:gridCol w:w="987"/>
        <w:gridCol w:w="1263"/>
        <w:gridCol w:w="1158"/>
        <w:gridCol w:w="855"/>
        <w:gridCol w:w="1026"/>
        <w:gridCol w:w="16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458"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序号</w:t>
            </w:r>
          </w:p>
        </w:tc>
        <w:tc>
          <w:tcPr>
            <w:tcW w:w="829"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ascii="Times New Roman" w:eastAsia="宋体"/>
                <w:b/>
                <w:bCs/>
                <w:color w:val="000000"/>
                <w:sz w:val="21"/>
                <w:szCs w:val="21"/>
                <w:lang w:eastAsia="zh-CN"/>
              </w:rPr>
            </w:pPr>
            <w:r>
              <w:rPr>
                <w:rFonts w:hint="eastAsia" w:ascii="Times New Roman"/>
                <w:b/>
                <w:bCs/>
                <w:color w:val="000000"/>
                <w:sz w:val="21"/>
                <w:szCs w:val="21"/>
                <w:lang w:eastAsia="zh-CN"/>
              </w:rPr>
              <w:t>辨识单元</w:t>
            </w:r>
          </w:p>
        </w:tc>
        <w:tc>
          <w:tcPr>
            <w:tcW w:w="987"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lang w:val="en-US" w:eastAsia="zh-CN" w:bidi="ar-SA"/>
              </w:rPr>
            </w:pPr>
            <w:r>
              <w:rPr>
                <w:rFonts w:ascii="Times New Roman"/>
                <w:b/>
                <w:bCs/>
                <w:color w:val="000000"/>
                <w:sz w:val="21"/>
                <w:szCs w:val="21"/>
              </w:rPr>
              <w:t>危险化学品名称</w:t>
            </w:r>
          </w:p>
        </w:tc>
        <w:tc>
          <w:tcPr>
            <w:tcW w:w="1263"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标准中的分类</w:t>
            </w:r>
          </w:p>
        </w:tc>
        <w:tc>
          <w:tcPr>
            <w:tcW w:w="1158"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危险性分类及说明</w:t>
            </w: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临界量（t）</w:t>
            </w: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单元数量（t）</w:t>
            </w:r>
          </w:p>
        </w:tc>
        <w:tc>
          <w:tcPr>
            <w:tcW w:w="1623" w:type="dxa"/>
            <w:noWrap w:val="0"/>
            <w:vAlign w:val="center"/>
          </w:tcPr>
          <w:p>
            <w:pPr>
              <w:pStyle w:val="6"/>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b/>
                <w:bCs/>
                <w:color w:val="000000"/>
                <w:sz w:val="21"/>
              </w:rPr>
            </w:pPr>
            <w:r>
              <w:rPr>
                <w:rFonts w:ascii="Times New Roman"/>
                <w:b/>
                <w:bCs/>
                <w:color w:val="000000"/>
                <w:sz w:val="21"/>
              </w:rPr>
              <w:t>是否构成重大危险源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58" w:type="dxa"/>
            <w:noWrap w:val="0"/>
            <w:vAlign w:val="center"/>
          </w:tcPr>
          <w:p>
            <w:pPr>
              <w:pStyle w:val="6"/>
              <w:keepNext w:val="0"/>
              <w:keepLines w:val="0"/>
              <w:pageBreakBefore w:val="0"/>
              <w:widowControl/>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color w:val="000000"/>
                <w:sz w:val="21"/>
              </w:rPr>
            </w:pPr>
            <w:r>
              <w:rPr>
                <w:rFonts w:ascii="Times New Roman"/>
                <w:color w:val="000000"/>
                <w:sz w:val="21"/>
              </w:rPr>
              <w:t>1</w:t>
            </w:r>
          </w:p>
        </w:tc>
        <w:tc>
          <w:tcPr>
            <w:tcW w:w="829" w:type="dxa"/>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ascii="Times New Roman" w:eastAsia="宋体"/>
                <w:color w:val="000000"/>
                <w:sz w:val="21"/>
                <w:szCs w:val="21"/>
                <w:lang w:eastAsia="zh-CN"/>
              </w:rPr>
            </w:pPr>
            <w:r>
              <w:rPr>
                <w:rFonts w:hint="eastAsia" w:ascii="Times New Roman"/>
                <w:color w:val="000000"/>
                <w:sz w:val="21"/>
                <w:szCs w:val="21"/>
                <w:lang w:eastAsia="zh-CN"/>
              </w:rPr>
              <w:t>油罐区单元</w:t>
            </w:r>
          </w:p>
        </w:tc>
        <w:tc>
          <w:tcPr>
            <w:tcW w:w="987"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lang w:val="en-US" w:eastAsia="zh-CN" w:bidi="ar-SA"/>
              </w:rPr>
            </w:pPr>
            <w:r>
              <w:rPr>
                <w:rFonts w:ascii="Times New Roman"/>
                <w:color w:val="000000"/>
                <w:sz w:val="21"/>
                <w:szCs w:val="21"/>
              </w:rPr>
              <w:t>汽油</w:t>
            </w:r>
          </w:p>
        </w:tc>
        <w:tc>
          <w:tcPr>
            <w:tcW w:w="1263"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易燃液体</w:t>
            </w:r>
          </w:p>
        </w:tc>
        <w:tc>
          <w:tcPr>
            <w:tcW w:w="1158"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w:t>
            </w: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sz w:val="21"/>
                <w:szCs w:val="21"/>
              </w:rPr>
            </w:pPr>
            <w:r>
              <w:rPr>
                <w:rFonts w:ascii="Times New Roman"/>
                <w:sz w:val="21"/>
                <w:szCs w:val="21"/>
              </w:rPr>
              <w:t>200</w:t>
            </w: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sz w:val="21"/>
                <w:szCs w:val="21"/>
                <w:lang w:val="en-US" w:eastAsia="zh-CN"/>
              </w:rPr>
            </w:pPr>
            <w:r>
              <w:rPr>
                <w:rFonts w:hint="eastAsia"/>
                <w:sz w:val="21"/>
                <w:szCs w:val="21"/>
                <w:lang w:val="en-US" w:eastAsia="zh-CN"/>
              </w:rPr>
              <w:t>115.5</w:t>
            </w:r>
          </w:p>
        </w:tc>
        <w:tc>
          <w:tcPr>
            <w:tcW w:w="1623" w:type="dxa"/>
            <w:vMerge w:val="restart"/>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color w:val="000000"/>
                <w:sz w:val="21"/>
                <w:szCs w:val="21"/>
                <w:lang w:val="en-US" w:eastAsia="zh-CN"/>
              </w:rPr>
            </w:pPr>
            <w:r>
              <w:rPr>
                <w:rFonts w:hint="eastAsia"/>
                <w:color w:val="000000"/>
                <w:sz w:val="21"/>
                <w:szCs w:val="21"/>
                <w:lang w:eastAsia="zh-CN"/>
              </w:rPr>
              <w:t>∑</w:t>
            </w:r>
            <w:r>
              <w:rPr>
                <w:rFonts w:hint="eastAsia"/>
                <w:color w:val="000000"/>
                <w:sz w:val="21"/>
                <w:szCs w:val="21"/>
                <w:lang w:val="en-US" w:eastAsia="zh-CN"/>
              </w:rPr>
              <w:t>q/Q=</w:t>
            </w:r>
            <w:r>
              <w:rPr>
                <w:rFonts w:hint="eastAsia"/>
                <w:sz w:val="21"/>
                <w:szCs w:val="21"/>
                <w:lang w:val="en-US" w:eastAsia="zh-CN"/>
              </w:rPr>
              <w:t>115.5</w:t>
            </w:r>
            <w:r>
              <w:rPr>
                <w:rFonts w:ascii="Times New Roman"/>
                <w:sz w:val="21"/>
                <w:szCs w:val="21"/>
              </w:rPr>
              <w:t>/200+</w:t>
            </w:r>
            <w:r>
              <w:rPr>
                <w:rFonts w:hint="eastAsia"/>
                <w:sz w:val="21"/>
                <w:szCs w:val="21"/>
                <w:lang w:val="en-US" w:eastAsia="zh-CN"/>
              </w:rPr>
              <w:t>85</w:t>
            </w:r>
            <w:r>
              <w:rPr>
                <w:rFonts w:ascii="Times New Roman"/>
                <w:sz w:val="21"/>
                <w:szCs w:val="21"/>
              </w:rPr>
              <w:t>/5000=</w:t>
            </w:r>
            <w:r>
              <w:rPr>
                <w:rFonts w:hint="eastAsia"/>
                <w:sz w:val="21"/>
                <w:szCs w:val="21"/>
                <w:lang w:val="en-US" w:eastAsia="zh-CN"/>
              </w:rPr>
              <w:t>0.5775</w:t>
            </w:r>
            <w:r>
              <w:rPr>
                <w:rFonts w:ascii="Times New Roman"/>
                <w:sz w:val="21"/>
                <w:szCs w:val="21"/>
              </w:rPr>
              <w:t>+</w:t>
            </w:r>
            <w:r>
              <w:rPr>
                <w:rFonts w:hint="eastAsia"/>
                <w:sz w:val="21"/>
                <w:szCs w:val="21"/>
                <w:lang w:val="en-US" w:eastAsia="zh-CN"/>
              </w:rPr>
              <w:t>0.017</w:t>
            </w:r>
            <w:r>
              <w:rPr>
                <w:rFonts w:ascii="Times New Roman"/>
                <w:sz w:val="21"/>
                <w:szCs w:val="21"/>
              </w:rPr>
              <w:t>=0.</w:t>
            </w:r>
            <w:r>
              <w:rPr>
                <w:rFonts w:hint="eastAsia"/>
                <w:sz w:val="21"/>
                <w:szCs w:val="21"/>
                <w:lang w:val="en-US" w:eastAsia="zh-CN"/>
              </w:rPr>
              <w:t>5945</w:t>
            </w:r>
            <w:r>
              <w:rPr>
                <w:rFonts w:ascii="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58" w:type="dxa"/>
            <w:noWrap w:val="0"/>
            <w:vAlign w:val="center"/>
          </w:tcPr>
          <w:p>
            <w:pPr>
              <w:pStyle w:val="6"/>
              <w:keepNext w:val="0"/>
              <w:keepLines w:val="0"/>
              <w:pageBreakBefore w:val="0"/>
              <w:widowControl/>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color w:val="000000"/>
                <w:sz w:val="21"/>
              </w:rPr>
            </w:pPr>
            <w:r>
              <w:rPr>
                <w:rFonts w:ascii="Times New Roman"/>
                <w:color w:val="000000"/>
                <w:sz w:val="21"/>
              </w:rPr>
              <w:t>2</w:t>
            </w:r>
          </w:p>
        </w:tc>
        <w:tc>
          <w:tcPr>
            <w:tcW w:w="829" w:type="dxa"/>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p>
        </w:tc>
        <w:tc>
          <w:tcPr>
            <w:tcW w:w="987"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lang w:val="en-US" w:eastAsia="zh-CN" w:bidi="ar-SA"/>
              </w:rPr>
            </w:pPr>
            <w:r>
              <w:rPr>
                <w:rFonts w:ascii="Times New Roman"/>
                <w:color w:val="000000"/>
                <w:sz w:val="21"/>
                <w:szCs w:val="21"/>
              </w:rPr>
              <w:t>柴油</w:t>
            </w:r>
          </w:p>
        </w:tc>
        <w:tc>
          <w:tcPr>
            <w:tcW w:w="1263"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color w:val="000000"/>
                <w:sz w:val="21"/>
                <w:szCs w:val="21"/>
                <w:lang w:val="en-US" w:eastAsia="zh-CN"/>
              </w:rPr>
            </w:pPr>
            <w:r>
              <w:rPr>
                <w:rFonts w:ascii="Times New Roman"/>
                <w:color w:val="000000"/>
                <w:sz w:val="21"/>
                <w:szCs w:val="21"/>
              </w:rPr>
              <w:t>易燃液体</w:t>
            </w:r>
            <w:r>
              <w:rPr>
                <w:rFonts w:hint="eastAsia" w:ascii="Times New Roman"/>
                <w:color w:val="000000"/>
                <w:sz w:val="21"/>
                <w:szCs w:val="21"/>
                <w:lang w:eastAsia="zh-CN"/>
              </w:rPr>
              <w:t>类别</w:t>
            </w:r>
            <w:r>
              <w:rPr>
                <w:rFonts w:hint="eastAsia" w:ascii="Times New Roman"/>
                <w:color w:val="000000"/>
                <w:sz w:val="21"/>
                <w:szCs w:val="21"/>
                <w:lang w:val="en-US" w:eastAsia="zh-CN"/>
              </w:rPr>
              <w:t>3</w:t>
            </w:r>
          </w:p>
        </w:tc>
        <w:tc>
          <w:tcPr>
            <w:tcW w:w="1158"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w:t>
            </w: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sz w:val="21"/>
                <w:szCs w:val="21"/>
              </w:rPr>
            </w:pPr>
            <w:r>
              <w:rPr>
                <w:rFonts w:ascii="Times New Roman"/>
                <w:sz w:val="21"/>
                <w:szCs w:val="21"/>
              </w:rPr>
              <w:t>5000</w:t>
            </w: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sz w:val="21"/>
                <w:szCs w:val="21"/>
                <w:lang w:val="en-US" w:eastAsia="zh-CN"/>
              </w:rPr>
            </w:pPr>
            <w:r>
              <w:rPr>
                <w:rFonts w:hint="eastAsia"/>
                <w:sz w:val="21"/>
                <w:szCs w:val="21"/>
                <w:lang w:val="en-US" w:eastAsia="zh-CN"/>
              </w:rPr>
              <w:t>85</w:t>
            </w:r>
          </w:p>
        </w:tc>
        <w:tc>
          <w:tcPr>
            <w:tcW w:w="1623" w:type="dxa"/>
            <w:vMerge w:val="continue"/>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8199" w:type="dxa"/>
            <w:gridSpan w:val="8"/>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是否构成重大危险源：否</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color w:val="000000"/>
          <w:sz w:val="21"/>
          <w:szCs w:val="21"/>
        </w:rPr>
      </w:pPr>
      <w:r>
        <w:rPr>
          <w:rFonts w:ascii="Times New Roman"/>
          <w:b/>
          <w:color w:val="000000"/>
          <w:sz w:val="21"/>
          <w:szCs w:val="21"/>
        </w:rPr>
        <w:t>说明：</w:t>
      </w:r>
      <w:r>
        <w:rPr>
          <w:rFonts w:hint="eastAsia" w:ascii="Times New Roman"/>
          <w:b w:val="0"/>
          <w:bCs/>
          <w:color w:val="000000"/>
          <w:sz w:val="21"/>
          <w:szCs w:val="21"/>
          <w:lang w:val="en-US" w:eastAsia="zh-CN"/>
        </w:rPr>
        <w:t>1、</w:t>
      </w:r>
      <w:r>
        <w:rPr>
          <w:rFonts w:ascii="Times New Roman"/>
          <w:color w:val="000000"/>
          <w:sz w:val="21"/>
          <w:szCs w:val="21"/>
        </w:rPr>
        <w:t>表中q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——每种危险化学品实际存在量，单位为（t）。Q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——与各危险化学品相对应的临界量，单位为（t）。若式中q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≥1，则定为重大危险源。</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textAlignment w:val="auto"/>
        <w:rPr>
          <w:rFonts w:hint="eastAsia" w:ascii="Times New Roman" w:eastAsia="宋体"/>
          <w:color w:val="000000"/>
          <w:sz w:val="21"/>
          <w:szCs w:val="21"/>
          <w:lang w:eastAsia="zh-CN"/>
        </w:rPr>
      </w:pPr>
      <w:r>
        <w:rPr>
          <w:rFonts w:hint="eastAsia" w:cs="Times New Roman"/>
          <w:color w:val="auto"/>
          <w:sz w:val="21"/>
          <w:szCs w:val="21"/>
          <w:highlight w:val="none"/>
          <w:lang w:val="en-US" w:eastAsia="zh-CN"/>
        </w:rPr>
        <w:t>2</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临</w:t>
      </w:r>
      <w:r>
        <w:rPr>
          <w:rFonts w:hint="default" w:ascii="Times New Roman" w:hAnsi="Times New Roman" w:cs="Times New Roman"/>
          <w:color w:val="auto"/>
          <w:sz w:val="21"/>
          <w:szCs w:val="21"/>
          <w:highlight w:val="none"/>
          <w:lang w:val="en-US" w:eastAsia="zh-CN"/>
        </w:rPr>
        <w:t>界量取值依据《危险化学品重大危险源辨识》（GB18218-2018）第4.1.2条表1，汽油临界量为200t，</w:t>
      </w:r>
      <w:r>
        <w:rPr>
          <w:rFonts w:hint="default" w:ascii="Times New Roman" w:hAnsi="Times New Roman" w:cs="Times New Roman"/>
          <w:color w:val="auto"/>
          <w:sz w:val="21"/>
          <w:szCs w:val="21"/>
          <w:highlight w:val="none"/>
          <w:lang w:val="zh-CN" w:eastAsia="zh-CN"/>
        </w:rPr>
        <w:t>根据《化学品分类和标签规范 第7部分：易燃液体》（GB30000.7-2013）第4.2规定，</w:t>
      </w:r>
      <w:r>
        <w:rPr>
          <w:rFonts w:hint="default" w:ascii="Times New Roman" w:hAnsi="Times New Roman" w:cs="Times New Roman"/>
          <w:color w:val="auto"/>
          <w:sz w:val="21"/>
          <w:szCs w:val="21"/>
          <w:highlight w:val="none"/>
          <w:lang w:val="en-US" w:eastAsia="zh-CN"/>
        </w:rPr>
        <w:t>本加油站柴油为易燃液体类别3，对照《危险化学品重大危险源辨识》（GB18218-2018）第4.1.2条表2，柴油的临界量为5000t。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auto"/>
          <w:kern w:val="0"/>
          <w:position w:val="2"/>
          <w:sz w:val="21"/>
          <w:szCs w:val="21"/>
          <w:highlight w:val="none"/>
          <w:lang w:val="zh-CN"/>
        </w:rPr>
      </w:pPr>
      <w:r>
        <w:rPr>
          <w:rFonts w:hint="eastAsia" w:cs="Times New Roman"/>
          <w:color w:val="auto"/>
          <w:sz w:val="21"/>
          <w:szCs w:val="21"/>
          <w:highlight w:val="none"/>
          <w:lang w:val="en-US" w:eastAsia="zh-CN"/>
        </w:rPr>
        <w:t>3</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zh-CN" w:eastAsia="zh-CN"/>
        </w:rPr>
        <w:t>根据《</w:t>
      </w:r>
      <w:r>
        <w:rPr>
          <w:rFonts w:hint="default" w:ascii="Times New Roman" w:hAnsi="Times New Roman" w:cs="Times New Roman"/>
          <w:color w:val="auto"/>
          <w:kern w:val="0"/>
          <w:position w:val="2"/>
          <w:sz w:val="21"/>
          <w:szCs w:val="21"/>
          <w:highlight w:val="none"/>
          <w:lang w:val="zh-CN"/>
        </w:rPr>
        <w:t>危险化学品重大危险源辨识》（GB18218-2018）第4.2.2条，危险化学品储罐的实际存在量按设计最大量确定，本次评价储罐容积按照设计公称容积确定。</w:t>
      </w:r>
    </w:p>
    <w:p>
      <w:pPr>
        <w:pStyle w:val="13"/>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auto"/>
          <w:sz w:val="28"/>
          <w:szCs w:val="28"/>
          <w:lang w:val="en-US"/>
        </w:rPr>
      </w:pPr>
      <w:r>
        <w:rPr>
          <w:rFonts w:hint="default" w:ascii="Times New Roman" w:hAnsi="Times New Roman" w:cs="Times New Roman"/>
          <w:color w:val="auto"/>
          <w:sz w:val="28"/>
          <w:szCs w:val="28"/>
          <w:lang w:val="en-US"/>
        </w:rPr>
        <w:t>根据《危险化学品重大危险源辨识》规定，该</w:t>
      </w:r>
      <w:r>
        <w:rPr>
          <w:rFonts w:hint="default" w:ascii="Times New Roman" w:hAnsi="Times New Roman" w:cs="Times New Roman"/>
          <w:color w:val="auto"/>
          <w:sz w:val="28"/>
          <w:szCs w:val="28"/>
          <w:lang w:val="en-US" w:eastAsia="zh-CN"/>
        </w:rPr>
        <w:t>加油</w:t>
      </w:r>
      <w:r>
        <w:rPr>
          <w:rFonts w:hint="eastAsia" w:ascii="Times New Roman" w:hAnsi="Times New Roman" w:cs="Times New Roman"/>
          <w:color w:val="auto"/>
          <w:sz w:val="28"/>
          <w:szCs w:val="28"/>
          <w:lang w:val="en-US" w:eastAsia="zh-CN"/>
        </w:rPr>
        <w:t>中心</w:t>
      </w:r>
      <w:r>
        <w:rPr>
          <w:rFonts w:hint="default" w:ascii="Times New Roman" w:hAnsi="Times New Roman" w:cs="Times New Roman"/>
          <w:color w:val="auto"/>
          <w:sz w:val="28"/>
          <w:szCs w:val="28"/>
          <w:lang w:val="en-US"/>
        </w:rPr>
        <w:t>危险化学品的数量未构成危险化学品重大危险源。</w:t>
      </w:r>
    </w:p>
    <w:p>
      <w:pPr>
        <w:pageBreakBefore w:val="0"/>
        <w:kinsoku/>
        <w:wordWrap/>
        <w:topLinePunct w:val="0"/>
        <w:bidi w:val="0"/>
        <w:adjustRightInd w:val="0"/>
        <w:snapToGrid w:val="0"/>
        <w:spacing w:before="312" w:beforeLines="100"/>
        <w:ind w:firstLine="560"/>
        <w:rPr>
          <w:rFonts w:hint="default" w:ascii="Times New Roman" w:hAnsi="Times New Roman" w:cs="Times New Roman" w:eastAsiaTheme="minorEastAsia"/>
          <w:color w:val="auto"/>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bookmarkStart w:id="52" w:name="_Toc20327"/>
      <w:bookmarkStart w:id="53" w:name="_Toc330277391"/>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32"/>
          <w:szCs w:val="32"/>
        </w:rPr>
      </w:pPr>
      <w:bookmarkStart w:id="54" w:name="_Toc25857"/>
      <w:r>
        <w:rPr>
          <w:rFonts w:hint="default" w:ascii="Times New Roman" w:hAnsi="Times New Roman" w:cs="Times New Roman" w:eastAsiaTheme="minorEastAsia"/>
          <w:color w:val="auto"/>
          <w:sz w:val="32"/>
          <w:szCs w:val="32"/>
        </w:rPr>
        <w:t>4 评价单元的划分与评价方法的选择</w:t>
      </w:r>
      <w:bookmarkEnd w:id="52"/>
      <w:bookmarkEnd w:id="54"/>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55" w:name="_Toc30988"/>
      <w:bookmarkStart w:id="56" w:name="_Toc16646"/>
      <w:r>
        <w:rPr>
          <w:rFonts w:hint="default" w:ascii="Times New Roman" w:hAnsi="Times New Roman" w:cs="Times New Roman" w:eastAsiaTheme="minorEastAsia"/>
          <w:b/>
          <w:bCs w:val="0"/>
          <w:color w:val="auto"/>
          <w:sz w:val="28"/>
          <w:szCs w:val="28"/>
        </w:rPr>
        <w:t>4.1评价单元划分</w:t>
      </w:r>
      <w:bookmarkEnd w:id="53"/>
      <w:bookmarkEnd w:id="55"/>
      <w:bookmarkEnd w:id="56"/>
    </w:p>
    <w:p>
      <w:pPr>
        <w:pStyle w:val="86"/>
        <w:keepNext w:val="0"/>
        <w:keepLines w:val="0"/>
        <w:pageBreakBefore w:val="0"/>
        <w:widowControl w:val="0"/>
        <w:kinsoku/>
        <w:wordWrap/>
        <w:overflowPunct/>
        <w:topLinePunct w:val="0"/>
        <w:autoSpaceDE/>
        <w:autoSpaceDN/>
        <w:bidi w:val="0"/>
        <w:adjustRightInd w:val="0"/>
        <w:snapToGrid w:val="0"/>
        <w:ind w:firstLine="560" w:firstLineChars="200"/>
        <w:textAlignment w:val="auto"/>
      </w:pPr>
      <w:r>
        <w:t>根据山东省安全生产监督管理局鲁安监发[2006]114号《山东省加油站安全评价导则》和加油站实际情况，将该项目划分为</w:t>
      </w:r>
      <w:r>
        <w:rPr>
          <w:rFonts w:hint="eastAsia"/>
          <w:lang w:val="en-US" w:eastAsia="zh-CN"/>
        </w:rPr>
        <w:t>五</w:t>
      </w:r>
      <w:r>
        <w:t>个单元来实施评价，具体情况如下：</w:t>
      </w:r>
    </w:p>
    <w:p>
      <w:pPr>
        <w:pStyle w:val="15"/>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560" w:firstLineChars="200"/>
        <w:textAlignment w:val="auto"/>
        <w:rPr>
          <w:rFonts w:ascii="Times New Roman"/>
          <w:bCs/>
          <w:color w:val="000000"/>
          <w:sz w:val="28"/>
          <w:szCs w:val="28"/>
        </w:rPr>
      </w:pPr>
      <w:r>
        <w:rPr>
          <w:rFonts w:ascii="Times New Roman"/>
          <w:bCs/>
          <w:color w:val="000000"/>
          <w:sz w:val="28"/>
          <w:szCs w:val="28"/>
        </w:rPr>
        <w:t>（1）安全管理</w:t>
      </w:r>
      <w:r>
        <w:rPr>
          <w:rFonts w:hint="eastAsia"/>
          <w:bCs/>
          <w:color w:val="000000"/>
          <w:sz w:val="28"/>
          <w:szCs w:val="28"/>
          <w:lang w:val="en-US" w:eastAsia="zh-CN"/>
        </w:rPr>
        <w:t>单元</w:t>
      </w:r>
      <w:r>
        <w:rPr>
          <w:rFonts w:ascii="Times New Roman"/>
          <w:bCs/>
          <w:color w:val="000000"/>
          <w:sz w:val="28"/>
          <w:szCs w:val="28"/>
        </w:rPr>
        <w:t>；</w:t>
      </w:r>
    </w:p>
    <w:p>
      <w:pPr>
        <w:pStyle w:val="15"/>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560" w:firstLineChars="200"/>
        <w:textAlignment w:val="auto"/>
        <w:rPr>
          <w:rFonts w:ascii="Times New Roman"/>
          <w:bCs/>
          <w:color w:val="000000"/>
          <w:sz w:val="28"/>
          <w:szCs w:val="28"/>
        </w:rPr>
      </w:pPr>
      <w:r>
        <w:rPr>
          <w:rFonts w:ascii="Times New Roman"/>
          <w:bCs/>
          <w:color w:val="000000"/>
          <w:sz w:val="28"/>
          <w:szCs w:val="28"/>
        </w:rPr>
        <w:t>（2）站址选择及总平面布置</w:t>
      </w:r>
      <w:r>
        <w:rPr>
          <w:rFonts w:hint="eastAsia"/>
          <w:bCs/>
          <w:color w:val="000000"/>
          <w:sz w:val="28"/>
          <w:szCs w:val="28"/>
          <w:lang w:val="en-US" w:eastAsia="zh-CN"/>
        </w:rPr>
        <w:t>单元</w:t>
      </w:r>
      <w:r>
        <w:rPr>
          <w:rFonts w:ascii="Times New Roman"/>
          <w:bCs/>
          <w:color w:val="000000"/>
          <w:sz w:val="28"/>
          <w:szCs w:val="28"/>
        </w:rPr>
        <w:t>；</w:t>
      </w:r>
    </w:p>
    <w:p>
      <w:pPr>
        <w:pStyle w:val="15"/>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560" w:firstLineChars="200"/>
        <w:textAlignment w:val="auto"/>
        <w:rPr>
          <w:rFonts w:ascii="Times New Roman"/>
          <w:bCs/>
          <w:color w:val="000000"/>
          <w:sz w:val="28"/>
          <w:szCs w:val="28"/>
        </w:rPr>
      </w:pPr>
      <w:r>
        <w:rPr>
          <w:rFonts w:ascii="Times New Roman"/>
          <w:bCs/>
          <w:color w:val="000000"/>
          <w:sz w:val="28"/>
          <w:szCs w:val="28"/>
        </w:rPr>
        <w:t>（3）加油工艺及设施</w:t>
      </w:r>
      <w:r>
        <w:rPr>
          <w:rFonts w:hint="eastAsia"/>
          <w:bCs/>
          <w:color w:val="000000"/>
          <w:sz w:val="28"/>
          <w:szCs w:val="28"/>
          <w:lang w:val="en-US" w:eastAsia="zh-CN"/>
        </w:rPr>
        <w:t>单元</w:t>
      </w:r>
      <w:r>
        <w:rPr>
          <w:rFonts w:ascii="Times New Roman"/>
          <w:bCs/>
          <w:color w:val="000000"/>
          <w:sz w:val="28"/>
          <w:szCs w:val="28"/>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eastAsia="宋体"/>
          <w:bCs/>
          <w:color w:val="000000"/>
          <w:sz w:val="28"/>
          <w:szCs w:val="28"/>
          <w:lang w:val="en-US" w:eastAsia="zh-CN"/>
        </w:rPr>
      </w:pPr>
      <w:r>
        <w:rPr>
          <w:rFonts w:ascii="Times New Roman"/>
          <w:bCs/>
          <w:color w:val="000000"/>
          <w:sz w:val="28"/>
          <w:szCs w:val="28"/>
        </w:rPr>
        <w:t>（4）</w:t>
      </w:r>
      <w:r>
        <w:rPr>
          <w:rFonts w:hint="eastAsia"/>
          <w:bCs/>
          <w:color w:val="000000"/>
          <w:sz w:val="28"/>
          <w:szCs w:val="28"/>
          <w:lang w:val="en-US" w:eastAsia="zh-CN"/>
        </w:rPr>
        <w:t>公用辅助工程单元；</w:t>
      </w:r>
    </w:p>
    <w:p>
      <w:pPr>
        <w:pStyle w:val="2"/>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cs="Times New Roman" w:eastAsiaTheme="minorEastAsia"/>
          <w:color w:val="auto"/>
        </w:rPr>
      </w:pPr>
      <w:r>
        <w:rPr>
          <w:rFonts w:hint="eastAsia"/>
          <w:bCs/>
          <w:color w:val="000000"/>
          <w:sz w:val="28"/>
          <w:szCs w:val="28"/>
          <w:lang w:eastAsia="zh-CN"/>
        </w:rPr>
        <w:t>（</w:t>
      </w:r>
      <w:r>
        <w:rPr>
          <w:rFonts w:hint="eastAsia"/>
          <w:bCs/>
          <w:color w:val="000000"/>
          <w:sz w:val="28"/>
          <w:szCs w:val="28"/>
          <w:lang w:val="en-US" w:eastAsia="zh-CN"/>
        </w:rPr>
        <w:t>5</w:t>
      </w:r>
      <w:r>
        <w:rPr>
          <w:rFonts w:hint="eastAsia"/>
          <w:bCs/>
          <w:color w:val="000000"/>
          <w:sz w:val="28"/>
          <w:szCs w:val="28"/>
          <w:lang w:eastAsia="zh-CN"/>
        </w:rPr>
        <w:t>）</w:t>
      </w:r>
      <w:r>
        <w:rPr>
          <w:rFonts w:ascii="Times New Roman"/>
          <w:bCs/>
          <w:color w:val="000000"/>
          <w:sz w:val="28"/>
          <w:szCs w:val="28"/>
        </w:rPr>
        <w:t>其</w:t>
      </w:r>
      <w:r>
        <w:rPr>
          <w:rFonts w:hint="eastAsia"/>
          <w:bCs/>
          <w:color w:val="000000"/>
          <w:sz w:val="28"/>
          <w:szCs w:val="28"/>
          <w:lang w:eastAsia="zh-CN"/>
        </w:rPr>
        <w:t>他</w:t>
      </w:r>
      <w:r>
        <w:rPr>
          <w:rFonts w:ascii="Times New Roman"/>
          <w:bCs/>
          <w:color w:val="000000"/>
          <w:sz w:val="28"/>
          <w:szCs w:val="28"/>
        </w:rPr>
        <w:t>设施</w:t>
      </w:r>
      <w:r>
        <w:rPr>
          <w:rFonts w:hint="eastAsia"/>
          <w:bCs/>
          <w:color w:val="000000"/>
          <w:sz w:val="28"/>
          <w:szCs w:val="28"/>
          <w:lang w:val="en-US" w:eastAsia="zh-CN"/>
        </w:rPr>
        <w:t>单元</w:t>
      </w:r>
      <w:r>
        <w:rPr>
          <w:rFonts w:ascii="Times New Roman"/>
          <w:bCs/>
          <w:color w:val="000000"/>
          <w:sz w:val="28"/>
          <w:szCs w:val="28"/>
        </w:rPr>
        <w:t>。</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57" w:name="_Toc330277392"/>
      <w:bookmarkStart w:id="58" w:name="_Toc24863"/>
      <w:bookmarkStart w:id="59" w:name="_Toc15150"/>
      <w:r>
        <w:rPr>
          <w:rFonts w:hint="default" w:ascii="Times New Roman" w:hAnsi="Times New Roman" w:cs="Times New Roman" w:eastAsiaTheme="minorEastAsia"/>
          <w:b/>
          <w:bCs w:val="0"/>
          <w:color w:val="auto"/>
          <w:sz w:val="28"/>
          <w:szCs w:val="28"/>
        </w:rPr>
        <w:t>4.2评价方法的选择</w:t>
      </w:r>
      <w:bookmarkEnd w:id="57"/>
      <w:bookmarkEnd w:id="58"/>
      <w:bookmarkEnd w:id="59"/>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为了达到对工程项目进行系统、科学、全面的安全评价目的，针对该项目主要危险、有害因素的分析，遵循充分性、适应性、系统性、针对性和合理性的原则。在项目评价中采用定性评价与定量评价相结合的综合评价方法。</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根据该项目的特点，本次评价主要选择以下评价方法：安全检查表法（SCL）、</w:t>
      </w:r>
      <w:r>
        <w:rPr>
          <w:rFonts w:hint="eastAsia" w:cs="Times New Roman" w:eastAsiaTheme="minorEastAsia"/>
          <w:color w:val="auto"/>
          <w:szCs w:val="28"/>
          <w:lang w:eastAsia="zh-CN"/>
        </w:rPr>
        <w:t>预先危险性分析（</w:t>
      </w:r>
      <w:r>
        <w:rPr>
          <w:rFonts w:hint="eastAsia" w:cs="Times New Roman" w:eastAsiaTheme="minorEastAsia"/>
          <w:color w:val="auto"/>
          <w:szCs w:val="28"/>
          <w:lang w:val="en-US" w:eastAsia="zh-CN"/>
        </w:rPr>
        <w:t>PHA</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在具体评价中，针对各单元的不同特点，可有选择地应用上述评价方法，具体情况见下表4.2-1。</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表4.2-1各评价单元采用的安全评价方法</w:t>
      </w:r>
    </w:p>
    <w:tbl>
      <w:tblPr>
        <w:tblStyle w:val="28"/>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09"/>
        <w:gridCol w:w="50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350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pacing w:val="10"/>
                <w:sz w:val="21"/>
                <w:szCs w:val="21"/>
              </w:rPr>
            </w:pPr>
            <w:bookmarkStart w:id="60" w:name="_Toc267919771"/>
            <w:r>
              <w:rPr>
                <w:rFonts w:hint="default" w:ascii="Times New Roman" w:hAnsi="Times New Roman" w:cs="Times New Roman" w:eastAsiaTheme="minorEastAsia"/>
                <w:b/>
                <w:bCs/>
                <w:color w:val="auto"/>
                <w:spacing w:val="10"/>
                <w:sz w:val="21"/>
                <w:szCs w:val="21"/>
              </w:rPr>
              <w:t>评价单元</w:t>
            </w:r>
            <w:bookmarkEnd w:id="60"/>
          </w:p>
        </w:tc>
        <w:tc>
          <w:tcPr>
            <w:tcW w:w="5013"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pacing w:val="10"/>
                <w:sz w:val="21"/>
                <w:szCs w:val="21"/>
              </w:rPr>
            </w:pPr>
            <w:r>
              <w:rPr>
                <w:rFonts w:hint="default" w:ascii="Times New Roman" w:hAnsi="Times New Roman" w:cs="Times New Roman" w:eastAsiaTheme="minorEastAsia"/>
                <w:b/>
                <w:bCs/>
                <w:color w:val="auto"/>
                <w:spacing w:val="10"/>
                <w:sz w:val="21"/>
                <w:szCs w:val="21"/>
              </w:rPr>
              <w:t>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安全管理单元</w:t>
            </w:r>
          </w:p>
        </w:tc>
        <w:tc>
          <w:tcPr>
            <w:tcW w:w="5013"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SCL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站址选择及总平面布置单元</w:t>
            </w:r>
          </w:p>
        </w:tc>
        <w:tc>
          <w:tcPr>
            <w:tcW w:w="5013"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SCL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加油工艺及设施单元</w:t>
            </w:r>
          </w:p>
        </w:tc>
        <w:tc>
          <w:tcPr>
            <w:tcW w:w="5013"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SCL、</w:t>
            </w:r>
            <w:r>
              <w:rPr>
                <w:rFonts w:hint="eastAsia" w:cs="Times New Roman" w:eastAsiaTheme="minorEastAsia"/>
                <w:color w:val="auto"/>
                <w:spacing w:val="10"/>
                <w:sz w:val="21"/>
                <w:szCs w:val="21"/>
                <w:lang w:val="en-US" w:eastAsia="zh-CN"/>
              </w:rPr>
              <w:t>PHA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eastAsia" w:cs="Times New Roman" w:eastAsiaTheme="minorEastAsia"/>
                <w:color w:val="auto"/>
                <w:spacing w:val="10"/>
                <w:sz w:val="21"/>
                <w:szCs w:val="21"/>
                <w:lang w:val="en-US" w:eastAsia="zh-CN"/>
              </w:rPr>
              <w:t>公用辅助工程</w:t>
            </w:r>
            <w:r>
              <w:rPr>
                <w:rFonts w:hint="default" w:ascii="Times New Roman" w:hAnsi="Times New Roman" w:cs="Times New Roman" w:eastAsiaTheme="minorEastAsia"/>
                <w:color w:val="auto"/>
                <w:spacing w:val="10"/>
                <w:sz w:val="21"/>
                <w:szCs w:val="21"/>
              </w:rPr>
              <w:t>单元</w:t>
            </w:r>
          </w:p>
        </w:tc>
        <w:tc>
          <w:tcPr>
            <w:tcW w:w="5013"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kern w:val="2"/>
                <w:sz w:val="21"/>
                <w:szCs w:val="21"/>
                <w:lang w:val="en-US" w:eastAsia="zh-CN" w:bidi="ar-SA"/>
              </w:rPr>
            </w:pPr>
            <w:r>
              <w:rPr>
                <w:rFonts w:hint="default" w:ascii="Times New Roman" w:hAnsi="Times New Roman" w:cs="Times New Roman" w:eastAsiaTheme="minorEastAsia"/>
                <w:color w:val="auto"/>
                <w:spacing w:val="10"/>
                <w:sz w:val="21"/>
                <w:szCs w:val="21"/>
              </w:rPr>
              <w:t>SCL</w:t>
            </w:r>
            <w:r>
              <w:rPr>
                <w:rFonts w:hint="eastAsia" w:cs="Times New Roman" w:eastAsiaTheme="minorEastAsia"/>
                <w:color w:val="auto"/>
                <w:spacing w:val="10"/>
                <w:sz w:val="21"/>
                <w:szCs w:val="21"/>
                <w:lang w:eastAsia="zh-CN"/>
              </w:rPr>
              <w:t>、</w:t>
            </w:r>
            <w:r>
              <w:rPr>
                <w:rFonts w:hint="eastAsia" w:cs="Times New Roman" w:eastAsiaTheme="minorEastAsia"/>
                <w:color w:val="auto"/>
                <w:spacing w:val="10"/>
                <w:sz w:val="21"/>
                <w:szCs w:val="21"/>
                <w:lang w:val="en-US" w:eastAsia="zh-CN"/>
              </w:rPr>
              <w:t>PHA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509" w:type="dxa"/>
            <w:vAlign w:val="center"/>
          </w:tcPr>
          <w:p>
            <w:pPr>
              <w:pageBreakBefore w:val="0"/>
              <w:kinsoku/>
              <w:wordWrap/>
              <w:topLinePunct w:val="0"/>
              <w:bidi w:val="0"/>
              <w:adjustRightInd w:val="0"/>
              <w:snapToGrid w:val="0"/>
              <w:spacing w:line="240" w:lineRule="auto"/>
              <w:ind w:firstLine="0" w:firstLineChars="0"/>
              <w:jc w:val="center"/>
              <w:rPr>
                <w:rFonts w:hint="default" w:cs="Times New Roman" w:eastAsiaTheme="minorEastAsia"/>
                <w:color w:val="auto"/>
                <w:spacing w:val="10"/>
                <w:sz w:val="21"/>
                <w:szCs w:val="21"/>
                <w:lang w:val="en-US" w:eastAsia="zh-CN"/>
              </w:rPr>
            </w:pPr>
            <w:r>
              <w:rPr>
                <w:rFonts w:hint="eastAsia" w:cs="Times New Roman" w:eastAsiaTheme="minorEastAsia"/>
                <w:color w:val="auto"/>
                <w:spacing w:val="10"/>
                <w:sz w:val="21"/>
                <w:szCs w:val="21"/>
                <w:lang w:val="en-US" w:eastAsia="zh-CN"/>
              </w:rPr>
              <w:t>其他设施单元</w:t>
            </w:r>
          </w:p>
        </w:tc>
        <w:tc>
          <w:tcPr>
            <w:tcW w:w="5013"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pacing w:val="10"/>
                <w:sz w:val="21"/>
                <w:szCs w:val="21"/>
              </w:rPr>
            </w:pPr>
            <w:r>
              <w:rPr>
                <w:rFonts w:hint="default" w:ascii="Times New Roman" w:hAnsi="Times New Roman" w:cs="Times New Roman" w:eastAsiaTheme="minorEastAsia"/>
                <w:color w:val="auto"/>
                <w:spacing w:val="10"/>
                <w:sz w:val="21"/>
                <w:szCs w:val="21"/>
              </w:rPr>
              <w:t>SCL</w:t>
            </w:r>
            <w:r>
              <w:rPr>
                <w:rFonts w:hint="eastAsia" w:cs="Times New Roman" w:eastAsiaTheme="minorEastAsia"/>
                <w:color w:val="auto"/>
                <w:spacing w:val="10"/>
                <w:sz w:val="21"/>
                <w:szCs w:val="21"/>
                <w:lang w:eastAsia="zh-CN"/>
              </w:rPr>
              <w:t>、</w:t>
            </w:r>
            <w:r>
              <w:rPr>
                <w:rFonts w:hint="eastAsia" w:cs="Times New Roman" w:eastAsiaTheme="minorEastAsia"/>
                <w:color w:val="auto"/>
                <w:spacing w:val="10"/>
                <w:sz w:val="21"/>
                <w:szCs w:val="21"/>
                <w:lang w:val="en-US" w:eastAsia="zh-CN"/>
              </w:rPr>
              <w:t>PHA</w:t>
            </w:r>
          </w:p>
        </w:tc>
      </w:tr>
    </w:tbl>
    <w:p>
      <w:pPr>
        <w:pageBreakBefore w:val="0"/>
        <w:kinsoku/>
        <w:wordWrap/>
        <w:topLinePunct w:val="0"/>
        <w:bidi w:val="0"/>
        <w:adjustRightInd w:val="0"/>
        <w:snapToGrid w:val="0"/>
        <w:ind w:firstLine="560"/>
        <w:jc w:val="center"/>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jc w:val="center"/>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jc w:val="center"/>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32"/>
          <w:szCs w:val="32"/>
          <w:highlight w:val="none"/>
        </w:rPr>
      </w:pPr>
      <w:bookmarkStart w:id="61" w:name="_Toc333233411"/>
      <w:bookmarkStart w:id="62" w:name="_Toc306973772"/>
      <w:bookmarkStart w:id="63" w:name="_Toc328576270"/>
      <w:bookmarkStart w:id="64" w:name="_Toc3842"/>
      <w:r>
        <w:rPr>
          <w:rFonts w:hint="default" w:ascii="Times New Roman" w:hAnsi="Times New Roman" w:cs="Times New Roman" w:eastAsiaTheme="minorEastAsia"/>
          <w:color w:val="auto"/>
          <w:sz w:val="32"/>
          <w:szCs w:val="32"/>
          <w:highlight w:val="none"/>
        </w:rPr>
        <w:t>5定性、定量评价</w:t>
      </w:r>
      <w:bookmarkEnd w:id="61"/>
      <w:bookmarkEnd w:id="62"/>
      <w:bookmarkEnd w:id="63"/>
      <w:r>
        <w:rPr>
          <w:rFonts w:hint="default" w:ascii="Times New Roman" w:hAnsi="Times New Roman" w:cs="Times New Roman" w:eastAsiaTheme="minorEastAsia"/>
          <w:color w:val="auto"/>
          <w:sz w:val="32"/>
          <w:szCs w:val="32"/>
          <w:highlight w:val="none"/>
        </w:rPr>
        <w:t>结果</w:t>
      </w:r>
      <w:bookmarkEnd w:id="64"/>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65" w:name="_Toc17872"/>
      <w:r>
        <w:rPr>
          <w:rFonts w:hint="default" w:ascii="Times New Roman" w:hAnsi="Times New Roman" w:cs="Times New Roman" w:eastAsiaTheme="minorEastAsia"/>
          <w:b/>
          <w:bCs w:val="0"/>
          <w:color w:val="auto"/>
          <w:sz w:val="28"/>
          <w:szCs w:val="28"/>
        </w:rPr>
        <w:t>5.1 安全检查表评价结果</w:t>
      </w:r>
      <w:bookmarkEnd w:id="65"/>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5.1.1 安全管理单元</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安全管理单元检查表共列出13项检查内容，</w:t>
      </w:r>
      <w:r>
        <w:rPr>
          <w:rFonts w:hint="eastAsia" w:cs="Times New Roman" w:eastAsiaTheme="minorEastAsia"/>
          <w:color w:val="auto"/>
          <w:szCs w:val="28"/>
          <w:lang w:eastAsia="zh-CN"/>
        </w:rPr>
        <w:t>其中</w:t>
      </w:r>
      <w:r>
        <w:rPr>
          <w:rFonts w:hint="eastAsia" w:cs="Times New Roman" w:eastAsiaTheme="minorEastAsia"/>
          <w:color w:val="auto"/>
          <w:szCs w:val="28"/>
          <w:lang w:val="en-US" w:eastAsia="zh-CN"/>
        </w:rPr>
        <w:t>1项不</w:t>
      </w:r>
      <w:r>
        <w:rPr>
          <w:rFonts w:hint="default" w:ascii="Times New Roman" w:hAnsi="Times New Roman" w:cs="Times New Roman" w:eastAsiaTheme="minorEastAsia"/>
          <w:color w:val="auto"/>
          <w:szCs w:val="28"/>
        </w:rPr>
        <w:t>符合要求。通过安全检查表可知，该项目在制度规程的制定、安全管理机构与人员的设置与配备、从业人员资格管理、事故应急救援预案管理、重大危险源管理、基础资料管理等安全管理方面基本符合要求，安全管理基本可靠，</w:t>
      </w:r>
      <w:r>
        <w:rPr>
          <w:rFonts w:hint="eastAsia" w:cs="Times New Roman" w:eastAsiaTheme="minorEastAsia"/>
          <w:color w:val="auto"/>
          <w:szCs w:val="28"/>
          <w:lang w:eastAsia="zh-CN"/>
        </w:rPr>
        <w:t>建议</w:t>
      </w:r>
      <w:r>
        <w:rPr>
          <w:rFonts w:hint="default" w:ascii="Times New Roman" w:hAnsi="Times New Roman" w:cs="Times New Roman" w:eastAsiaTheme="minorEastAsia"/>
          <w:color w:val="auto"/>
          <w:szCs w:val="28"/>
        </w:rPr>
        <w:t>企业在</w:t>
      </w:r>
      <w:r>
        <w:rPr>
          <w:rFonts w:hint="eastAsia" w:cs="Times New Roman" w:eastAsiaTheme="minorEastAsia"/>
          <w:color w:val="auto"/>
          <w:szCs w:val="28"/>
          <w:lang w:eastAsia="zh-CN"/>
        </w:rPr>
        <w:t>以后经营过程中持续</w:t>
      </w:r>
      <w:r>
        <w:rPr>
          <w:rFonts w:hint="default" w:ascii="Times New Roman" w:hAnsi="Times New Roman" w:cs="Times New Roman" w:eastAsiaTheme="minorEastAsia"/>
          <w:color w:val="auto"/>
          <w:szCs w:val="28"/>
        </w:rPr>
        <w:t>完善与落实安全管理制度</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岗位操作规程</w:t>
      </w:r>
      <w:r>
        <w:rPr>
          <w:rFonts w:hint="eastAsia" w:cs="Times New Roman" w:eastAsiaTheme="minorEastAsia"/>
          <w:color w:val="auto"/>
          <w:szCs w:val="28"/>
          <w:lang w:eastAsia="zh-CN"/>
        </w:rPr>
        <w:t>、安全标志管理等</w:t>
      </w:r>
      <w:r>
        <w:rPr>
          <w:rFonts w:hint="default" w:ascii="Times New Roman" w:hAnsi="Times New Roman" w:cs="Times New Roman" w:eastAsiaTheme="minorEastAsia"/>
          <w:color w:val="auto"/>
          <w:szCs w:val="28"/>
        </w:rPr>
        <w:t>。</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5.1.2 站址选择及总平面单元</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站址选择及总平面单元检查表共列出10项检查内容，全部</w:t>
      </w:r>
      <w:r>
        <w:rPr>
          <w:rFonts w:hint="default" w:ascii="Times New Roman" w:hAnsi="Times New Roman" w:cs="Times New Roman" w:eastAsiaTheme="minorEastAsia"/>
          <w:color w:val="auto"/>
          <w:szCs w:val="28"/>
          <w:lang w:eastAsia="zh-CN"/>
        </w:rPr>
        <w:t>符合</w:t>
      </w:r>
      <w:r>
        <w:rPr>
          <w:rFonts w:hint="eastAsia" w:cs="Times New Roman" w:eastAsiaTheme="minorEastAsia"/>
          <w:color w:val="auto"/>
          <w:szCs w:val="28"/>
          <w:lang w:eastAsia="zh-CN"/>
        </w:rPr>
        <w:t>要求</w:t>
      </w:r>
      <w:r>
        <w:rPr>
          <w:rFonts w:hint="default" w:ascii="Times New Roman" w:hAnsi="Times New Roman" w:cs="Times New Roman" w:eastAsiaTheme="minorEastAsia"/>
          <w:color w:val="auto"/>
          <w:szCs w:val="28"/>
        </w:rPr>
        <w:t>。通过安全检查表进行评价可以看出：</w:t>
      </w:r>
      <w:r>
        <w:rPr>
          <w:rFonts w:hint="eastAsia" w:cs="Times New Roman" w:eastAsiaTheme="minorEastAsia"/>
          <w:color w:val="auto"/>
          <w:szCs w:val="28"/>
          <w:lang w:eastAsia="zh-CN"/>
        </w:rPr>
        <w:t>该</w:t>
      </w:r>
      <w:r>
        <w:rPr>
          <w:rFonts w:hint="default" w:ascii="Times New Roman" w:hAnsi="Times New Roman" w:cs="Times New Roman" w:eastAsiaTheme="minorEastAsia"/>
          <w:color w:val="auto"/>
          <w:szCs w:val="28"/>
        </w:rPr>
        <w:t>加油</w:t>
      </w:r>
      <w:r>
        <w:rPr>
          <w:rFonts w:hint="eastAsia" w:cs="Times New Roman" w:eastAsiaTheme="minorEastAsia"/>
          <w:color w:val="auto"/>
          <w:szCs w:val="28"/>
          <w:lang w:eastAsia="zh-CN"/>
        </w:rPr>
        <w:t>中心</w:t>
      </w:r>
      <w:r>
        <w:rPr>
          <w:rFonts w:hint="default" w:ascii="Times New Roman" w:hAnsi="Times New Roman" w:cs="Times New Roman" w:eastAsiaTheme="minorEastAsia"/>
          <w:color w:val="auto"/>
          <w:szCs w:val="28"/>
        </w:rPr>
        <w:t>建设位置与周围居民区、相邻厂矿企业和交通线路等的防火间距符合《汽车加油加气站设计与施工规范（2014年版）》（GB50156-2012）</w:t>
      </w:r>
      <w:r>
        <w:rPr>
          <w:rFonts w:hint="eastAsia" w:cs="Times New Roman" w:eastAsiaTheme="minorEastAsia"/>
          <w:color w:val="auto"/>
          <w:szCs w:val="28"/>
          <w:lang w:eastAsia="zh-CN"/>
        </w:rPr>
        <w:t>等标准规范</w:t>
      </w:r>
      <w:r>
        <w:rPr>
          <w:rFonts w:hint="default" w:ascii="Times New Roman" w:hAnsi="Times New Roman" w:cs="Times New Roman" w:eastAsiaTheme="minorEastAsia"/>
          <w:color w:val="auto"/>
          <w:szCs w:val="28"/>
        </w:rPr>
        <w:t>要求，站址选择</w:t>
      </w:r>
      <w:r>
        <w:rPr>
          <w:rFonts w:hint="eastAsia" w:cs="Times New Roman" w:eastAsiaTheme="minorEastAsia"/>
          <w:color w:val="auto"/>
          <w:szCs w:val="28"/>
          <w:lang w:eastAsia="zh-CN"/>
        </w:rPr>
        <w:t>合理</w:t>
      </w:r>
      <w:r>
        <w:rPr>
          <w:rFonts w:hint="default" w:ascii="Times New Roman" w:hAnsi="Times New Roman" w:cs="Times New Roman" w:eastAsiaTheme="minorEastAsia"/>
          <w:color w:val="auto"/>
          <w:szCs w:val="28"/>
        </w:rPr>
        <w:t>；在总平面布置上，各设施按功能分区，分为</w:t>
      </w:r>
      <w:r>
        <w:rPr>
          <w:rFonts w:hint="default" w:ascii="Times New Roman" w:hAnsi="Times New Roman" w:cs="Times New Roman"/>
          <w:color w:val="auto"/>
          <w:szCs w:val="28"/>
        </w:rPr>
        <w:t>加油</w:t>
      </w:r>
      <w:r>
        <w:rPr>
          <w:rFonts w:hint="eastAsia" w:cs="Times New Roman"/>
          <w:color w:val="auto"/>
          <w:szCs w:val="28"/>
          <w:lang w:eastAsia="zh-CN"/>
        </w:rPr>
        <w:t>作业</w:t>
      </w:r>
      <w:r>
        <w:rPr>
          <w:rFonts w:hint="default" w:ascii="Times New Roman" w:hAnsi="Times New Roman" w:cs="Times New Roman"/>
          <w:color w:val="auto"/>
          <w:szCs w:val="28"/>
        </w:rPr>
        <w:t>区、站房</w:t>
      </w:r>
      <w:r>
        <w:rPr>
          <w:rFonts w:hint="eastAsia" w:cs="Times New Roman"/>
          <w:color w:val="auto"/>
          <w:szCs w:val="28"/>
          <w:lang w:eastAsia="zh-CN"/>
        </w:rPr>
        <w:t>以及油罐区</w:t>
      </w:r>
      <w:r>
        <w:rPr>
          <w:rFonts w:hint="default" w:ascii="Times New Roman" w:hAnsi="Times New Roman" w:cs="Times New Roman" w:eastAsiaTheme="minorEastAsia"/>
          <w:color w:val="auto"/>
          <w:szCs w:val="28"/>
        </w:rPr>
        <w:t>，设施之间的距离满足安全要求，总平面布置合理。</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5.1.3 加油工艺及设施单元</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加油工艺及设施单元检查表共列出19项检查内容，</w:t>
      </w:r>
      <w:r>
        <w:rPr>
          <w:rFonts w:hint="default" w:ascii="Times New Roman" w:hAnsi="Times New Roman" w:cs="Times New Roman" w:eastAsiaTheme="minorEastAsia"/>
          <w:color w:val="auto"/>
          <w:szCs w:val="28"/>
          <w:lang w:val="en-US" w:eastAsia="zh-CN"/>
        </w:rPr>
        <w:t>5</w:t>
      </w:r>
      <w:r>
        <w:rPr>
          <w:rFonts w:hint="default" w:ascii="Times New Roman" w:hAnsi="Times New Roman" w:cs="Times New Roman" w:eastAsiaTheme="minorEastAsia"/>
          <w:color w:val="auto"/>
          <w:szCs w:val="28"/>
        </w:rPr>
        <w:t>项不涉及，</w:t>
      </w:r>
      <w:r>
        <w:rPr>
          <w:rFonts w:hint="eastAsia" w:cs="Times New Roman" w:eastAsiaTheme="minorEastAsia"/>
          <w:color w:val="auto"/>
          <w:szCs w:val="28"/>
          <w:lang w:val="en-US" w:eastAsia="zh-CN"/>
        </w:rPr>
        <w:t>2项不符合要求，</w:t>
      </w: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项</w:t>
      </w:r>
      <w:r>
        <w:rPr>
          <w:rFonts w:hint="default" w:ascii="Times New Roman" w:hAnsi="Times New Roman" w:cs="Times New Roman" w:eastAsiaTheme="minorEastAsia"/>
          <w:color w:val="auto"/>
          <w:szCs w:val="28"/>
          <w:lang w:eastAsia="zh-CN"/>
        </w:rPr>
        <w:t>符合</w:t>
      </w:r>
      <w:r>
        <w:rPr>
          <w:rFonts w:hint="eastAsia" w:cs="Times New Roman" w:eastAsiaTheme="minorEastAsia"/>
          <w:color w:val="auto"/>
          <w:szCs w:val="28"/>
          <w:lang w:eastAsia="zh-CN"/>
        </w:rPr>
        <w:t>要求</w:t>
      </w:r>
      <w:r>
        <w:rPr>
          <w:rFonts w:hint="default" w:ascii="Times New Roman" w:hAnsi="Times New Roman" w:cs="Times New Roman" w:eastAsiaTheme="minorEastAsia"/>
          <w:color w:val="auto"/>
          <w:szCs w:val="28"/>
        </w:rPr>
        <w:t>。针对储油罐和工艺系统</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对防止火灾、爆炸等危险事故的发生采取了必要的防范措施，为企业的安全经营提供了有利保障。</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 xml:space="preserve">5.1.4 </w:t>
      </w:r>
      <w:r>
        <w:rPr>
          <w:rFonts w:hint="eastAsia" w:cs="Times New Roman" w:eastAsiaTheme="minorEastAsia"/>
          <w:color w:val="auto"/>
          <w:szCs w:val="28"/>
          <w:highlight w:val="none"/>
          <w:lang w:val="en-US" w:eastAsia="zh-CN"/>
        </w:rPr>
        <w:t>公用辅助工程</w:t>
      </w:r>
      <w:r>
        <w:rPr>
          <w:rFonts w:hint="default" w:ascii="Times New Roman" w:hAnsi="Times New Roman" w:cs="Times New Roman" w:eastAsiaTheme="minorEastAsia"/>
          <w:color w:val="auto"/>
          <w:szCs w:val="28"/>
          <w:highlight w:val="none"/>
        </w:rPr>
        <w:t>单元</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eastAsia" w:cs="Times New Roman" w:eastAsiaTheme="minorEastAsia"/>
          <w:color w:val="auto"/>
          <w:szCs w:val="28"/>
          <w:highlight w:val="none"/>
          <w:lang w:val="en-US" w:eastAsia="zh-CN"/>
        </w:rPr>
        <w:t>公用辅助工程</w:t>
      </w:r>
      <w:r>
        <w:rPr>
          <w:rFonts w:hint="default" w:ascii="Times New Roman" w:hAnsi="Times New Roman" w:cs="Times New Roman" w:eastAsiaTheme="minorEastAsia"/>
          <w:color w:val="auto"/>
          <w:szCs w:val="28"/>
          <w:highlight w:val="none"/>
        </w:rPr>
        <w:t>单元检查表共列出19项检查内容，其中有</w:t>
      </w:r>
      <w:r>
        <w:rPr>
          <w:rFonts w:hint="default" w:ascii="Times New Roman" w:hAnsi="Times New Roman" w:cs="Times New Roman" w:eastAsiaTheme="minorEastAsia"/>
          <w:color w:val="auto"/>
          <w:szCs w:val="28"/>
          <w:highlight w:val="none"/>
          <w:lang w:val="en-US" w:eastAsia="zh-CN"/>
        </w:rPr>
        <w:t>1</w:t>
      </w:r>
      <w:r>
        <w:rPr>
          <w:rFonts w:hint="default" w:ascii="Times New Roman" w:hAnsi="Times New Roman" w:cs="Times New Roman" w:eastAsiaTheme="minorEastAsia"/>
          <w:color w:val="auto"/>
          <w:szCs w:val="28"/>
          <w:highlight w:val="none"/>
        </w:rPr>
        <w:t>项不涉及，</w:t>
      </w:r>
      <w:r>
        <w:rPr>
          <w:rFonts w:hint="default" w:ascii="Times New Roman" w:hAnsi="Times New Roman" w:cs="Times New Roman" w:eastAsiaTheme="minorEastAsia"/>
          <w:color w:val="auto"/>
          <w:szCs w:val="28"/>
          <w:highlight w:val="none"/>
          <w:lang w:val="en-US" w:eastAsia="zh-CN"/>
        </w:rPr>
        <w:t>1</w:t>
      </w:r>
      <w:r>
        <w:rPr>
          <w:rFonts w:hint="eastAsia" w:cs="Times New Roman" w:eastAsiaTheme="minorEastAsia"/>
          <w:color w:val="auto"/>
          <w:szCs w:val="28"/>
          <w:highlight w:val="none"/>
          <w:lang w:val="en-US" w:eastAsia="zh-CN"/>
        </w:rPr>
        <w:t>8</w:t>
      </w:r>
      <w:r>
        <w:rPr>
          <w:rFonts w:hint="default" w:ascii="Times New Roman" w:hAnsi="Times New Roman" w:cs="Times New Roman" w:eastAsiaTheme="minorEastAsia"/>
          <w:color w:val="auto"/>
          <w:szCs w:val="28"/>
          <w:highlight w:val="none"/>
        </w:rPr>
        <w:t>项</w:t>
      </w:r>
      <w:r>
        <w:rPr>
          <w:rFonts w:hint="eastAsia" w:cs="Times New Roman" w:eastAsiaTheme="minorEastAsia"/>
          <w:color w:val="auto"/>
          <w:szCs w:val="28"/>
          <w:highlight w:val="none"/>
          <w:lang w:eastAsia="zh-CN"/>
        </w:rPr>
        <w:t>符合要求，</w:t>
      </w:r>
      <w:r>
        <w:rPr>
          <w:rFonts w:hint="default" w:ascii="Times New Roman" w:hAnsi="Times New Roman" w:cs="Times New Roman" w:eastAsiaTheme="minorEastAsia"/>
          <w:color w:val="auto"/>
          <w:szCs w:val="28"/>
          <w:highlight w:val="none"/>
        </w:rPr>
        <w:t>辅助设施基本可以满足该项目正常运行的要求。</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highlight w:val="none"/>
        </w:rPr>
      </w:pPr>
      <w:r>
        <w:rPr>
          <w:rFonts w:hint="default" w:ascii="Times New Roman" w:hAnsi="Times New Roman" w:cs="Times New Roman" w:eastAsiaTheme="minorEastAsia"/>
          <w:color w:val="auto"/>
          <w:szCs w:val="28"/>
          <w:highlight w:val="none"/>
        </w:rPr>
        <w:t>5.1.</w:t>
      </w:r>
      <w:r>
        <w:rPr>
          <w:rFonts w:hint="eastAsia" w:cs="Times New Roman" w:eastAsiaTheme="minorEastAsia"/>
          <w:color w:val="auto"/>
          <w:szCs w:val="28"/>
          <w:highlight w:val="none"/>
          <w:lang w:val="en-US" w:eastAsia="zh-CN"/>
        </w:rPr>
        <w:t>5</w:t>
      </w:r>
      <w:r>
        <w:rPr>
          <w:rFonts w:hint="default" w:ascii="Times New Roman" w:hAnsi="Times New Roman" w:cs="Times New Roman" w:eastAsiaTheme="minorEastAsia"/>
          <w:color w:val="auto"/>
          <w:szCs w:val="28"/>
          <w:highlight w:val="none"/>
        </w:rPr>
        <w:t xml:space="preserve"> </w:t>
      </w:r>
      <w:r>
        <w:rPr>
          <w:rFonts w:hint="eastAsia" w:cs="Times New Roman" w:eastAsiaTheme="minorEastAsia"/>
          <w:color w:val="auto"/>
          <w:szCs w:val="28"/>
          <w:highlight w:val="none"/>
          <w:lang w:eastAsia="zh-CN"/>
        </w:rPr>
        <w:t>其他设施</w:t>
      </w:r>
      <w:r>
        <w:rPr>
          <w:rFonts w:hint="default" w:ascii="Times New Roman" w:hAnsi="Times New Roman" w:cs="Times New Roman" w:eastAsiaTheme="minorEastAsia"/>
          <w:color w:val="auto"/>
          <w:szCs w:val="28"/>
          <w:highlight w:val="none"/>
        </w:rPr>
        <w:t>单元</w:t>
      </w:r>
    </w:p>
    <w:p>
      <w:pPr>
        <w:pageBreakBefore w:val="0"/>
        <w:kinsoku/>
        <w:wordWrap/>
        <w:topLinePunct w:val="0"/>
        <w:bidi w:val="0"/>
        <w:adjustRightInd w:val="0"/>
        <w:snapToGrid w:val="0"/>
        <w:ind w:firstLine="560"/>
        <w:rPr>
          <w:rFonts w:hint="eastAsia" w:cs="Times New Roman" w:eastAsiaTheme="minorEastAsia"/>
          <w:color w:val="auto"/>
          <w:szCs w:val="28"/>
          <w:highlight w:val="none"/>
          <w:lang w:eastAsia="zh-CN"/>
        </w:rPr>
      </w:pPr>
      <w:r>
        <w:rPr>
          <w:rFonts w:hint="default" w:ascii="Times New Roman" w:hAnsi="Times New Roman" w:cs="Times New Roman" w:eastAsiaTheme="minorEastAsia"/>
          <w:color w:val="auto"/>
          <w:szCs w:val="28"/>
        </w:rPr>
        <w:t>依据《汽车加油加气站设计与施工规范（2014版）》（GB50156-2012）、</w:t>
      </w:r>
      <w:r>
        <w:rPr>
          <w:rFonts w:hint="default" w:ascii="Times New Roman" w:hAnsi="Times New Roman" w:cs="Times New Roman" w:eastAsiaTheme="minorEastAsia"/>
          <w:color w:val="auto"/>
          <w:szCs w:val="28"/>
          <w:lang w:val="zh-CN"/>
        </w:rPr>
        <w:t>《东营市加油站安全生产规范提升指南（试行）》（东安监发[2018]73号）、</w:t>
      </w:r>
      <w:r>
        <w:rPr>
          <w:rFonts w:hint="default" w:ascii="Times New Roman" w:hAnsi="Times New Roman" w:cs="Times New Roman" w:eastAsiaTheme="minorEastAsia"/>
          <w:color w:val="auto"/>
          <w:szCs w:val="28"/>
        </w:rPr>
        <w:t>的要求，对该加油站进行了</w:t>
      </w:r>
      <w:r>
        <w:rPr>
          <w:rFonts w:hint="eastAsia" w:cs="Times New Roman" w:eastAsiaTheme="minorEastAsia"/>
          <w:color w:val="auto"/>
          <w:szCs w:val="28"/>
          <w:lang w:eastAsia="zh-CN"/>
        </w:rPr>
        <w:t>列表</w:t>
      </w:r>
      <w:r>
        <w:rPr>
          <w:rFonts w:hint="default" w:ascii="Times New Roman" w:hAnsi="Times New Roman" w:cs="Times New Roman" w:eastAsiaTheme="minorEastAsia"/>
          <w:color w:val="auto"/>
          <w:szCs w:val="28"/>
        </w:rPr>
        <w:t>检查</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highlight w:val="none"/>
        </w:rPr>
        <w:t>共列出</w:t>
      </w:r>
      <w:r>
        <w:rPr>
          <w:rFonts w:hint="eastAsia" w:cs="Times New Roman" w:eastAsiaTheme="minorEastAsia"/>
          <w:color w:val="auto"/>
          <w:szCs w:val="28"/>
          <w:highlight w:val="none"/>
          <w:lang w:val="en-US" w:eastAsia="zh-CN"/>
        </w:rPr>
        <w:t>21</w:t>
      </w:r>
      <w:r>
        <w:rPr>
          <w:rFonts w:hint="default" w:ascii="Times New Roman" w:hAnsi="Times New Roman" w:cs="Times New Roman" w:eastAsiaTheme="minorEastAsia"/>
          <w:color w:val="auto"/>
          <w:szCs w:val="28"/>
          <w:highlight w:val="none"/>
        </w:rPr>
        <w:t>项检查内容，</w:t>
      </w:r>
      <w:r>
        <w:rPr>
          <w:rFonts w:hint="eastAsia" w:cs="Times New Roman" w:eastAsiaTheme="minorEastAsia"/>
          <w:color w:val="auto"/>
          <w:szCs w:val="28"/>
          <w:highlight w:val="none"/>
          <w:lang w:eastAsia="zh-CN"/>
        </w:rPr>
        <w:t>全部符合要求。</w:t>
      </w:r>
    </w:p>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eastAsiaTheme="minorEastAsia"/>
          <w:b/>
          <w:color w:val="auto"/>
          <w:sz w:val="24"/>
          <w:szCs w:val="24"/>
          <w:lang w:eastAsia="zh-CN"/>
        </w:rPr>
      </w:pPr>
      <w:r>
        <w:rPr>
          <w:rFonts w:hint="default" w:ascii="Times New Roman" w:hAnsi="Times New Roman" w:cs="Times New Roman" w:eastAsiaTheme="minorEastAsia"/>
          <w:b/>
          <w:color w:val="auto"/>
          <w:sz w:val="24"/>
          <w:szCs w:val="24"/>
        </w:rPr>
        <w:t>表5.</w:t>
      </w:r>
      <w:r>
        <w:rPr>
          <w:rFonts w:hint="eastAsia" w:cs="Times New Roman" w:eastAsiaTheme="minorEastAsia"/>
          <w:b/>
          <w:color w:val="auto"/>
          <w:sz w:val="24"/>
          <w:szCs w:val="24"/>
          <w:lang w:val="en-US" w:eastAsia="zh-CN"/>
        </w:rPr>
        <w:t>1</w:t>
      </w:r>
      <w:r>
        <w:rPr>
          <w:rFonts w:hint="default" w:ascii="Times New Roman" w:hAnsi="Times New Roman" w:cs="Times New Roman" w:eastAsiaTheme="minorEastAsia"/>
          <w:b/>
          <w:color w:val="auto"/>
          <w:sz w:val="24"/>
          <w:szCs w:val="24"/>
        </w:rPr>
        <w:t xml:space="preserve">-1 </w:t>
      </w:r>
      <w:r>
        <w:rPr>
          <w:rFonts w:hint="eastAsia" w:cs="Times New Roman" w:eastAsiaTheme="minorEastAsia"/>
          <w:b/>
          <w:color w:val="auto"/>
          <w:sz w:val="24"/>
          <w:szCs w:val="24"/>
          <w:lang w:eastAsia="zh-CN"/>
        </w:rPr>
        <w:t>检查表情况汇总</w:t>
      </w:r>
    </w:p>
    <w:tbl>
      <w:tblPr>
        <w:tblStyle w:val="28"/>
        <w:tblW w:w="850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7"/>
        <w:gridCol w:w="1673"/>
        <w:gridCol w:w="1531"/>
        <w:gridCol w:w="1502"/>
        <w:gridCol w:w="1698"/>
        <w:gridCol w:w="13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787" w:type="dxa"/>
            <w:shd w:val="clear" w:color="auto" w:fill="auto"/>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评价单元</w:t>
            </w:r>
          </w:p>
        </w:tc>
        <w:tc>
          <w:tcPr>
            <w:tcW w:w="1531"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符合项</w:t>
            </w:r>
          </w:p>
        </w:tc>
        <w:tc>
          <w:tcPr>
            <w:tcW w:w="1502"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不符合项</w:t>
            </w:r>
          </w:p>
        </w:tc>
        <w:tc>
          <w:tcPr>
            <w:tcW w:w="1698"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不涉及项</w:t>
            </w:r>
          </w:p>
        </w:tc>
        <w:tc>
          <w:tcPr>
            <w:tcW w:w="131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
                <w:bCs/>
                <w:color w:val="auto"/>
                <w:sz w:val="21"/>
                <w:szCs w:val="21"/>
                <w:lang w:eastAsia="zh-CN"/>
              </w:rPr>
            </w:pPr>
            <w:r>
              <w:rPr>
                <w:rFonts w:hint="eastAsia" w:cs="Times New Roman" w:eastAsiaTheme="minorEastAsia"/>
                <w:b/>
                <w:bCs/>
                <w:color w:val="auto"/>
                <w:sz w:val="21"/>
                <w:szCs w:val="21"/>
                <w:lang w:eastAsia="zh-CN"/>
              </w:rPr>
              <w:t>检查项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1</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安全管理单元</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11</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698" w:type="dxa"/>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站址选择及总平面单元</w:t>
            </w:r>
          </w:p>
        </w:tc>
        <w:tc>
          <w:tcPr>
            <w:tcW w:w="1531"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9</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0</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3</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加油工艺及设施单元</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12</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2</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5</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4</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公用辅助工程单元</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18</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0</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7"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5</w:t>
            </w:r>
          </w:p>
        </w:tc>
        <w:tc>
          <w:tcPr>
            <w:tcW w:w="1673" w:type="dxa"/>
            <w:shd w:val="clear" w:color="auto" w:fill="auto"/>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其他检查单元</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21</w:t>
            </w:r>
          </w:p>
        </w:tc>
        <w:tc>
          <w:tcPr>
            <w:tcW w:w="1502" w:type="dxa"/>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0</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0</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21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460" w:type="dxa"/>
            <w:gridSpan w:val="2"/>
            <w:vAlign w:val="center"/>
          </w:tcPr>
          <w:p>
            <w:pPr>
              <w:tabs>
                <w:tab w:val="left" w:pos="1050"/>
                <w:tab w:val="right" w:leader="dot" w:pos="9174"/>
              </w:tabs>
              <w:spacing w:line="240" w:lineRule="auto"/>
              <w:ind w:firstLine="0" w:firstLineChars="0"/>
              <w:jc w:val="center"/>
              <w:rPr>
                <w:rFonts w:hint="eastAsia" w:ascii="Times New Roman" w:hAnsi="Times New Roman" w:cs="Times New Roman" w:eastAsiaTheme="minorEastAsia"/>
                <w:bCs/>
                <w:color w:val="auto"/>
                <w:sz w:val="21"/>
                <w:szCs w:val="21"/>
                <w:lang w:eastAsia="zh-CN"/>
              </w:rPr>
            </w:pPr>
            <w:r>
              <w:rPr>
                <w:rFonts w:hint="eastAsia" w:cs="Times New Roman" w:eastAsiaTheme="minorEastAsia"/>
                <w:bCs/>
                <w:color w:val="auto"/>
                <w:sz w:val="21"/>
                <w:szCs w:val="21"/>
                <w:lang w:eastAsia="zh-CN"/>
              </w:rPr>
              <w:t>合计</w:t>
            </w:r>
          </w:p>
        </w:tc>
        <w:tc>
          <w:tcPr>
            <w:tcW w:w="1531"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rPr>
            </w:pPr>
            <w:r>
              <w:rPr>
                <w:rFonts w:hint="eastAsia" w:ascii="Times New Roman" w:hAnsi="Times New Roman" w:cs="Times New Roman" w:eastAsiaTheme="minorEastAsia"/>
                <w:bCs/>
                <w:color w:val="auto"/>
                <w:sz w:val="21"/>
                <w:szCs w:val="21"/>
                <w:lang w:val="en-US" w:eastAsia="zh-CN"/>
              </w:rPr>
              <w:fldChar w:fldCharType="begin"/>
            </w:r>
            <w:r>
              <w:rPr>
                <w:rFonts w:hint="eastAsia" w:ascii="Times New Roman" w:hAnsi="Times New Roman" w:cs="Times New Roman" w:eastAsiaTheme="minorEastAsia"/>
                <w:bCs/>
                <w:color w:val="auto"/>
                <w:sz w:val="21"/>
                <w:szCs w:val="21"/>
                <w:lang w:val="en-US" w:eastAsia="zh-CN"/>
              </w:rPr>
              <w:instrText xml:space="preserve"> = sum(C2:C6) \* MERGEFORMAT </w:instrText>
            </w:r>
            <w:r>
              <w:rPr>
                <w:rFonts w:hint="eastAsia" w:ascii="Times New Roman" w:hAnsi="Times New Roman" w:cs="Times New Roman" w:eastAsiaTheme="minorEastAsia"/>
                <w:bCs/>
                <w:color w:val="auto"/>
                <w:sz w:val="21"/>
                <w:szCs w:val="21"/>
                <w:lang w:val="en-US" w:eastAsia="zh-CN"/>
              </w:rPr>
              <w:fldChar w:fldCharType="separate"/>
            </w:r>
            <w:r>
              <w:rPr>
                <w:rFonts w:hint="eastAsia" w:ascii="Times New Roman" w:hAnsi="Times New Roman" w:cs="Times New Roman" w:eastAsiaTheme="minorEastAsia"/>
                <w:bCs/>
                <w:color w:val="auto"/>
                <w:sz w:val="21"/>
                <w:szCs w:val="21"/>
                <w:lang w:val="en-US" w:eastAsia="zh-CN"/>
              </w:rPr>
              <w:t>71</w:t>
            </w:r>
            <w:r>
              <w:rPr>
                <w:rFonts w:hint="eastAsia" w:ascii="Times New Roman" w:hAnsi="Times New Roman" w:cs="Times New Roman" w:eastAsiaTheme="minorEastAsia"/>
                <w:bCs/>
                <w:color w:val="auto"/>
                <w:sz w:val="21"/>
                <w:szCs w:val="21"/>
                <w:lang w:val="en-US" w:eastAsia="zh-CN"/>
              </w:rPr>
              <w:fldChar w:fldCharType="end"/>
            </w:r>
          </w:p>
        </w:tc>
        <w:tc>
          <w:tcPr>
            <w:tcW w:w="1502"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3</w:t>
            </w:r>
          </w:p>
        </w:tc>
        <w:tc>
          <w:tcPr>
            <w:tcW w:w="1698"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8</w:t>
            </w:r>
          </w:p>
        </w:tc>
        <w:tc>
          <w:tcPr>
            <w:tcW w:w="1313" w:type="dxa"/>
            <w:vAlign w:val="center"/>
          </w:tcPr>
          <w:p>
            <w:pPr>
              <w:tabs>
                <w:tab w:val="left" w:pos="1050"/>
                <w:tab w:val="right" w:leader="dot" w:pos="9174"/>
              </w:tabs>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82</w:t>
            </w:r>
          </w:p>
        </w:tc>
      </w:tr>
    </w:tbl>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66" w:name="_Toc24310"/>
      <w:r>
        <w:rPr>
          <w:rFonts w:hint="default" w:ascii="Times New Roman" w:hAnsi="Times New Roman" w:cs="Times New Roman" w:eastAsiaTheme="minorEastAsia"/>
          <w:b/>
          <w:bCs w:val="0"/>
          <w:color w:val="auto"/>
          <w:sz w:val="28"/>
          <w:szCs w:val="28"/>
        </w:rPr>
        <w:t xml:space="preserve">5.2 </w:t>
      </w:r>
      <w:r>
        <w:rPr>
          <w:rFonts w:hint="eastAsia" w:cs="Times New Roman" w:eastAsiaTheme="minorEastAsia"/>
          <w:b/>
          <w:bCs w:val="0"/>
          <w:color w:val="auto"/>
          <w:sz w:val="28"/>
          <w:szCs w:val="28"/>
          <w:lang w:eastAsia="zh-CN"/>
        </w:rPr>
        <w:t>预先危险性分析</w:t>
      </w:r>
      <w:r>
        <w:rPr>
          <w:rFonts w:hint="default" w:ascii="Times New Roman" w:hAnsi="Times New Roman" w:cs="Times New Roman" w:eastAsiaTheme="minorEastAsia"/>
          <w:b/>
          <w:bCs w:val="0"/>
          <w:color w:val="auto"/>
          <w:sz w:val="28"/>
          <w:szCs w:val="28"/>
        </w:rPr>
        <w:t>评价结果</w:t>
      </w:r>
      <w:bookmarkEnd w:id="66"/>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b w:val="0"/>
          <w:bCs/>
          <w:color w:val="auto"/>
          <w:sz w:val="28"/>
          <w:szCs w:val="28"/>
        </w:rPr>
        <w:t>由预先危险性分析可知：本项目火灾爆炸的危险等级为Ⅲ</w:t>
      </w:r>
      <w:r>
        <w:rPr>
          <w:rFonts w:hint="eastAsia" w:ascii="Times New Roman" w:hAnsi="Times New Roman" w:cs="Times New Roman" w:eastAsiaTheme="minorEastAsia"/>
          <w:b w:val="0"/>
          <w:bCs/>
          <w:color w:val="auto"/>
          <w:sz w:val="28"/>
          <w:szCs w:val="28"/>
          <w:lang w:val="en-US" w:eastAsia="zh-CN"/>
        </w:rPr>
        <w:t>-</w:t>
      </w:r>
      <w:r>
        <w:rPr>
          <w:rFonts w:hint="eastAsia" w:ascii="宋体" w:hAnsi="宋体" w:eastAsia="宋体" w:cs="宋体"/>
          <w:b w:val="0"/>
          <w:bCs/>
          <w:color w:val="auto"/>
          <w:sz w:val="28"/>
          <w:szCs w:val="28"/>
        </w:rPr>
        <w:t>Ⅳ</w:t>
      </w:r>
      <w:r>
        <w:rPr>
          <w:rFonts w:hint="default" w:ascii="Times New Roman" w:hAnsi="Times New Roman" w:cs="Times New Roman" w:eastAsiaTheme="minorEastAsia"/>
          <w:b w:val="0"/>
          <w:bCs/>
          <w:color w:val="auto"/>
          <w:sz w:val="28"/>
          <w:szCs w:val="28"/>
        </w:rPr>
        <w:t>级；触电、中毒</w:t>
      </w:r>
      <w:r>
        <w:rPr>
          <w:rFonts w:hint="eastAsia" w:ascii="Times New Roman" w:hAnsi="Times New Roman" w:cs="Times New Roman" w:eastAsiaTheme="minorEastAsia"/>
          <w:b w:val="0"/>
          <w:bCs/>
          <w:color w:val="auto"/>
          <w:sz w:val="28"/>
          <w:szCs w:val="28"/>
          <w:lang w:eastAsia="zh-CN"/>
        </w:rPr>
        <w:t>和</w:t>
      </w:r>
      <w:r>
        <w:rPr>
          <w:rFonts w:hint="default" w:ascii="Times New Roman" w:hAnsi="Times New Roman" w:cs="Times New Roman" w:eastAsiaTheme="minorEastAsia"/>
          <w:b w:val="0"/>
          <w:bCs/>
          <w:color w:val="auto"/>
          <w:sz w:val="28"/>
          <w:szCs w:val="28"/>
        </w:rPr>
        <w:t>窒息、车辆伤害</w:t>
      </w:r>
      <w:r>
        <w:rPr>
          <w:rFonts w:hint="eastAsia" w:ascii="Times New Roman" w:hAnsi="Times New Roman" w:cs="Times New Roman" w:eastAsiaTheme="minorEastAsia"/>
          <w:b w:val="0"/>
          <w:bCs/>
          <w:color w:val="auto"/>
          <w:sz w:val="28"/>
          <w:szCs w:val="28"/>
          <w:lang w:eastAsia="zh-CN"/>
        </w:rPr>
        <w:t>、物体打击、高处坠落</w:t>
      </w:r>
      <w:r>
        <w:rPr>
          <w:rFonts w:hint="default" w:ascii="Times New Roman" w:hAnsi="Times New Roman" w:cs="Times New Roman" w:eastAsiaTheme="minorEastAsia"/>
          <w:b w:val="0"/>
          <w:bCs/>
          <w:color w:val="auto"/>
          <w:sz w:val="28"/>
          <w:szCs w:val="28"/>
        </w:rPr>
        <w:t>的危险等级为Ⅱ级</w:t>
      </w:r>
      <w:r>
        <w:rPr>
          <w:rFonts w:hint="default" w:ascii="Times New Roman" w:hAnsi="Times New Roman" w:cs="Times New Roman" w:eastAsiaTheme="minorEastAsia"/>
          <w:color w:val="auto"/>
          <w:szCs w:val="28"/>
        </w:rPr>
        <w:t>。</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67" w:name="_Toc328576271"/>
      <w:bookmarkStart w:id="68" w:name="_Toc333233412"/>
      <w:bookmarkStart w:id="69" w:name="_Toc306973773"/>
      <w:bookmarkStart w:id="70" w:name="_Toc7554"/>
      <w:r>
        <w:rPr>
          <w:rFonts w:hint="default" w:ascii="Times New Roman" w:hAnsi="Times New Roman" w:cs="Times New Roman" w:eastAsiaTheme="minorEastAsia"/>
          <w:b/>
          <w:bCs w:val="0"/>
          <w:color w:val="auto"/>
          <w:sz w:val="28"/>
          <w:szCs w:val="28"/>
        </w:rPr>
        <w:t>5.3 固有危险程度的分析</w:t>
      </w:r>
      <w:bookmarkEnd w:id="67"/>
      <w:bookmarkEnd w:id="68"/>
      <w:bookmarkEnd w:id="69"/>
      <w:bookmarkEnd w:id="70"/>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5.3.1 项目涉及的危险品</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该</w:t>
      </w:r>
      <w:r>
        <w:rPr>
          <w:rFonts w:hint="default" w:ascii="Times New Roman" w:hAnsi="Times New Roman" w:cs="Times New Roman" w:eastAsiaTheme="minorEastAsia"/>
          <w:color w:val="auto"/>
          <w:szCs w:val="28"/>
        </w:rPr>
        <w:t>项目涉及的危险有害物质有汽油、柴油，它们的数量、状态及分布情况如下表：</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表5.3-1 建设项目中所涉及的危险有害物质数量、状态和分布表</w:t>
      </w:r>
    </w:p>
    <w:tbl>
      <w:tblPr>
        <w:tblStyle w:val="28"/>
        <w:tblW w:w="928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
        <w:gridCol w:w="1813"/>
        <w:gridCol w:w="942"/>
        <w:gridCol w:w="1514"/>
        <w:gridCol w:w="1605"/>
        <w:gridCol w:w="1068"/>
        <w:gridCol w:w="14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852"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813"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危险物质</w:t>
            </w:r>
          </w:p>
        </w:tc>
        <w:tc>
          <w:tcPr>
            <w:tcW w:w="942"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状态</w:t>
            </w:r>
          </w:p>
        </w:tc>
        <w:tc>
          <w:tcPr>
            <w:tcW w:w="1514"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危险特性</w:t>
            </w:r>
          </w:p>
        </w:tc>
        <w:tc>
          <w:tcPr>
            <w:tcW w:w="1605"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存在场所</w:t>
            </w:r>
          </w:p>
        </w:tc>
        <w:tc>
          <w:tcPr>
            <w:tcW w:w="1068"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数量/t</w:t>
            </w:r>
          </w:p>
        </w:tc>
        <w:tc>
          <w:tcPr>
            <w:tcW w:w="1488"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52"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1</w:t>
            </w:r>
          </w:p>
        </w:tc>
        <w:tc>
          <w:tcPr>
            <w:tcW w:w="1813"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汽油</w:t>
            </w:r>
          </w:p>
        </w:tc>
        <w:tc>
          <w:tcPr>
            <w:tcW w:w="942"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液态</w:t>
            </w:r>
          </w:p>
        </w:tc>
        <w:tc>
          <w:tcPr>
            <w:tcW w:w="1514"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易燃易爆</w:t>
            </w:r>
          </w:p>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刺激性</w:t>
            </w:r>
          </w:p>
        </w:tc>
        <w:tc>
          <w:tcPr>
            <w:tcW w:w="1605" w:type="dxa"/>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汽油储罐、加油机系统</w:t>
            </w:r>
          </w:p>
        </w:tc>
        <w:tc>
          <w:tcPr>
            <w:tcW w:w="1068" w:type="dxa"/>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hAnsi="Times New Roman" w:cs="Times New Roman" w:eastAsiaTheme="minorEastAsia"/>
                <w:bCs/>
                <w:color w:val="auto"/>
                <w:sz w:val="21"/>
                <w:szCs w:val="21"/>
                <w:lang w:val="en-US" w:eastAsia="zh-CN"/>
              </w:rPr>
            </w:pPr>
            <w:r>
              <w:rPr>
                <w:rFonts w:hint="eastAsia"/>
                <w:sz w:val="21"/>
                <w:szCs w:val="21"/>
                <w:lang w:val="en-US" w:eastAsia="zh-CN"/>
              </w:rPr>
              <w:t>115.5</w:t>
            </w:r>
          </w:p>
        </w:tc>
        <w:tc>
          <w:tcPr>
            <w:tcW w:w="1488"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常温、常压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52"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w:t>
            </w:r>
          </w:p>
        </w:tc>
        <w:tc>
          <w:tcPr>
            <w:tcW w:w="1813"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柴油</w:t>
            </w:r>
            <w:r>
              <w:rPr>
                <w:rFonts w:hint="default" w:ascii="Times New Roman" w:hAnsi="Times New Roman" w:cs="Times New Roman" w:eastAsiaTheme="minorEastAsia"/>
                <w:bCs/>
                <w:color w:val="auto"/>
                <w:sz w:val="21"/>
                <w:szCs w:val="21"/>
                <w:lang w:eastAsia="zh-CN"/>
              </w:rPr>
              <w:t>（闭口</w:t>
            </w:r>
            <w:r>
              <w:rPr>
                <w:rFonts w:hint="default" w:ascii="Times New Roman" w:hAnsi="Times New Roman" w:cs="Times New Roman" w:eastAsiaTheme="minorEastAsia"/>
                <w:bCs/>
                <w:color w:val="auto"/>
                <w:sz w:val="21"/>
                <w:szCs w:val="21"/>
                <w:lang w:val="en-US" w:eastAsia="zh-CN"/>
              </w:rPr>
              <w:t>闪点≤60℃</w:t>
            </w:r>
            <w:r>
              <w:rPr>
                <w:rFonts w:hint="default" w:ascii="Times New Roman" w:hAnsi="Times New Roman" w:cs="Times New Roman" w:eastAsiaTheme="minorEastAsia"/>
                <w:bCs/>
                <w:color w:val="auto"/>
                <w:sz w:val="21"/>
                <w:szCs w:val="21"/>
                <w:lang w:eastAsia="zh-CN"/>
              </w:rPr>
              <w:t>）</w:t>
            </w:r>
          </w:p>
        </w:tc>
        <w:tc>
          <w:tcPr>
            <w:tcW w:w="942"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液态</w:t>
            </w:r>
          </w:p>
        </w:tc>
        <w:tc>
          <w:tcPr>
            <w:tcW w:w="1514"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易燃易爆</w:t>
            </w:r>
          </w:p>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刺激性</w:t>
            </w:r>
          </w:p>
        </w:tc>
        <w:tc>
          <w:tcPr>
            <w:tcW w:w="1605" w:type="dxa"/>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柴油储罐、加油机系统</w:t>
            </w:r>
          </w:p>
        </w:tc>
        <w:tc>
          <w:tcPr>
            <w:tcW w:w="1068" w:type="dxa"/>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hAnsi="Times New Roman" w:cs="Times New Roman" w:eastAsiaTheme="minorEastAsia"/>
                <w:bCs/>
                <w:color w:val="auto"/>
                <w:sz w:val="21"/>
                <w:szCs w:val="21"/>
                <w:lang w:val="en-US" w:eastAsia="zh-CN"/>
              </w:rPr>
            </w:pPr>
            <w:r>
              <w:rPr>
                <w:rFonts w:hint="eastAsia"/>
                <w:sz w:val="21"/>
                <w:szCs w:val="21"/>
                <w:lang w:val="en-US" w:eastAsia="zh-CN"/>
              </w:rPr>
              <w:t>85</w:t>
            </w:r>
          </w:p>
        </w:tc>
        <w:tc>
          <w:tcPr>
            <w:tcW w:w="1488"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常温、常压</w:t>
            </w:r>
          </w:p>
        </w:tc>
      </w:tr>
    </w:tbl>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5.3.2 具有爆炸性的化学品的质量相当于梯恩梯（TNT）的量</w:t>
      </w:r>
    </w:p>
    <w:p>
      <w:pPr>
        <w:pageBreakBefore w:val="0"/>
        <w:tabs>
          <w:tab w:val="left" w:pos="0"/>
        </w:tabs>
        <w:kinsoku/>
        <w:wordWrap/>
        <w:topLinePunct w:val="0"/>
        <w:bidi w:val="0"/>
        <w:adjustRightInd w:val="0"/>
        <w:snapToGrid w:val="0"/>
        <w:spacing w:line="360" w:lineRule="auto"/>
        <w:ind w:left="0" w:leftChars="0" w:firstLine="560" w:firstLineChars="200"/>
        <w:rPr>
          <w:rFonts w:hint="default" w:ascii="Times New Roman" w:hAnsi="Times New Roman" w:cs="Times New Roman"/>
          <w:color w:val="auto"/>
          <w:sz w:val="28"/>
          <w:szCs w:val="24"/>
          <w:highlight w:val="none"/>
        </w:rPr>
      </w:pPr>
      <w:r>
        <w:rPr>
          <w:rFonts w:hint="default" w:ascii="Times New Roman" w:hAnsi="Times New Roman" w:cs="Times New Roman"/>
          <w:color w:val="auto"/>
          <w:sz w:val="28"/>
          <w:szCs w:val="24"/>
          <w:highlight w:val="none"/>
        </w:rPr>
        <w:t>具有爆炸性的化学品的质量及相当于梯恩梯的质量：</w:t>
      </w:r>
    </w:p>
    <w:p>
      <w:pPr>
        <w:pageBreakBefore w:val="0"/>
        <w:tabs>
          <w:tab w:val="left" w:pos="0"/>
        </w:tabs>
        <w:kinsoku/>
        <w:wordWrap/>
        <w:topLinePunct w:val="0"/>
        <w:bidi w:val="0"/>
        <w:adjustRightInd w:val="0"/>
        <w:snapToGrid w:val="0"/>
        <w:spacing w:line="360" w:lineRule="auto"/>
        <w:ind w:firstLine="560" w:firstLineChars="200"/>
        <w:jc w:val="center"/>
        <w:rPr>
          <w:rFonts w:hint="default" w:ascii="Times New Roman" w:hAnsi="Times New Roman" w:cs="Times New Roman"/>
          <w:color w:val="auto"/>
          <w:kern w:val="0"/>
          <w:sz w:val="28"/>
          <w:szCs w:val="24"/>
        </w:rPr>
      </w:pPr>
      <w:r>
        <w:rPr>
          <w:rFonts w:hint="default" w:ascii="Times New Roman" w:hAnsi="Times New Roman" w:cs="Times New Roman"/>
          <w:i/>
          <w:color w:val="auto"/>
          <w:kern w:val="0"/>
          <w:sz w:val="28"/>
          <w:szCs w:val="24"/>
        </w:rPr>
        <w:t>W</w:t>
      </w:r>
      <w:r>
        <w:rPr>
          <w:rFonts w:hint="default" w:ascii="Times New Roman" w:hAnsi="Times New Roman" w:cs="Times New Roman"/>
          <w:color w:val="auto"/>
          <w:kern w:val="0"/>
          <w:sz w:val="28"/>
          <w:szCs w:val="24"/>
          <w:vertAlign w:val="subscript"/>
        </w:rPr>
        <w:t>TNT</w:t>
      </w:r>
      <w:r>
        <w:rPr>
          <w:rFonts w:hint="default" w:ascii="Times New Roman" w:hAnsi="Times New Roman" w:cs="Times New Roman"/>
          <w:color w:val="auto"/>
          <w:kern w:val="0"/>
          <w:sz w:val="28"/>
          <w:szCs w:val="24"/>
        </w:rPr>
        <w:t>=</w:t>
      </w:r>
      <w:r>
        <w:rPr>
          <w:rFonts w:hint="default" w:ascii="Times New Roman" w:hAnsi="Times New Roman" w:cs="Times New Roman"/>
          <w:i/>
          <w:color w:val="auto"/>
          <w:kern w:val="0"/>
          <w:sz w:val="28"/>
          <w:szCs w:val="24"/>
        </w:rPr>
        <w:t>aWQ</w:t>
      </w:r>
      <w:r>
        <w:rPr>
          <w:rFonts w:hint="default" w:ascii="Times New Roman" w:hAnsi="Times New Roman" w:cs="Times New Roman"/>
          <w:color w:val="auto"/>
          <w:kern w:val="0"/>
          <w:sz w:val="28"/>
          <w:szCs w:val="24"/>
        </w:rPr>
        <w:t>/</w:t>
      </w:r>
      <w:r>
        <w:rPr>
          <w:rFonts w:hint="default" w:ascii="Times New Roman" w:hAnsi="Times New Roman" w:cs="Times New Roman"/>
          <w:i/>
          <w:color w:val="auto"/>
          <w:kern w:val="0"/>
          <w:sz w:val="28"/>
          <w:szCs w:val="24"/>
        </w:rPr>
        <w:t>Q</w:t>
      </w:r>
      <w:r>
        <w:rPr>
          <w:rFonts w:hint="default" w:ascii="Times New Roman" w:hAnsi="Times New Roman" w:cs="Times New Roman"/>
          <w:color w:val="auto"/>
          <w:kern w:val="0"/>
          <w:sz w:val="28"/>
          <w:szCs w:val="24"/>
          <w:vertAlign w:val="subscript"/>
        </w:rPr>
        <w:t>TNT</w:t>
      </w:r>
    </w:p>
    <w:p>
      <w:pPr>
        <w:pageBreakBefore w:val="0"/>
        <w:tabs>
          <w:tab w:val="left" w:pos="0"/>
        </w:tabs>
        <w:kinsoku/>
        <w:wordWrap/>
        <w:topLinePunct w:val="0"/>
        <w:bidi w:val="0"/>
        <w:adjustRightInd w:val="0"/>
        <w:snapToGrid w:val="0"/>
        <w:spacing w:line="360" w:lineRule="auto"/>
        <w:ind w:left="0" w:leftChars="0" w:firstLine="480" w:firstLineChars="200"/>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其中：</w:t>
      </w:r>
      <w:r>
        <w:rPr>
          <w:rFonts w:hint="default" w:ascii="Times New Roman" w:hAnsi="Times New Roman" w:cs="Times New Roman"/>
          <w:i/>
          <w:color w:val="auto"/>
          <w:kern w:val="0"/>
          <w:sz w:val="24"/>
          <w:szCs w:val="24"/>
        </w:rPr>
        <w:t>W</w:t>
      </w:r>
      <w:r>
        <w:rPr>
          <w:rFonts w:hint="default" w:ascii="Times New Roman" w:hAnsi="Times New Roman" w:cs="Times New Roman"/>
          <w:color w:val="auto"/>
          <w:kern w:val="0"/>
          <w:sz w:val="24"/>
          <w:szCs w:val="24"/>
          <w:vertAlign w:val="subscript"/>
        </w:rPr>
        <w:t>TNT</w:t>
      </w:r>
      <w:r>
        <w:rPr>
          <w:rFonts w:hint="default" w:ascii="Times New Roman" w:hAnsi="Times New Roman" w:cs="Times New Roman"/>
          <w:color w:val="auto"/>
          <w:kern w:val="0"/>
          <w:sz w:val="24"/>
          <w:szCs w:val="24"/>
        </w:rPr>
        <w:t>，</w:t>
      </w:r>
      <w:r>
        <w:rPr>
          <w:rFonts w:hint="default" w:ascii="Times New Roman" w:hAnsi="Times New Roman" w:cs="Times New Roman"/>
          <w:color w:val="auto"/>
          <w:sz w:val="24"/>
          <w:szCs w:val="24"/>
        </w:rPr>
        <w:t>具有爆炸性的化学品的质量及相当于梯恩梯的质量，</w:t>
      </w:r>
      <w:r>
        <w:rPr>
          <w:rFonts w:hint="default" w:ascii="Times New Roman" w:hAnsi="Times New Roman" w:cs="Times New Roman"/>
          <w:color w:val="auto"/>
          <w:kern w:val="0"/>
          <w:sz w:val="24"/>
          <w:szCs w:val="24"/>
        </w:rPr>
        <w:t>kg；</w:t>
      </w:r>
    </w:p>
    <w:p>
      <w:pPr>
        <w:pageBreakBefore w:val="0"/>
        <w:tabs>
          <w:tab w:val="left" w:pos="0"/>
        </w:tabs>
        <w:kinsoku/>
        <w:wordWrap/>
        <w:topLinePunct w:val="0"/>
        <w:bidi w:val="0"/>
        <w:adjustRightInd w:val="0"/>
        <w:snapToGrid w:val="0"/>
        <w:spacing w:line="360" w:lineRule="auto"/>
        <w:ind w:firstLine="1200" w:firstLineChars="500"/>
        <w:rPr>
          <w:rFonts w:hint="default" w:ascii="Times New Roman" w:hAnsi="Times New Roman" w:cs="Times New Roman"/>
          <w:color w:val="auto"/>
          <w:kern w:val="0"/>
          <w:sz w:val="24"/>
          <w:szCs w:val="24"/>
        </w:rPr>
      </w:pPr>
      <w:r>
        <w:rPr>
          <w:rFonts w:hint="default" w:ascii="Times New Roman" w:hAnsi="Times New Roman" w:cs="Times New Roman"/>
          <w:i/>
          <w:color w:val="auto"/>
          <w:kern w:val="0"/>
          <w:sz w:val="24"/>
          <w:szCs w:val="24"/>
        </w:rPr>
        <w:t>a</w:t>
      </w:r>
      <w:r>
        <w:rPr>
          <w:rFonts w:hint="default" w:ascii="Times New Roman" w:hAnsi="Times New Roman" w:cs="Times New Roman"/>
          <w:color w:val="auto"/>
          <w:kern w:val="0"/>
          <w:sz w:val="24"/>
          <w:szCs w:val="24"/>
        </w:rPr>
        <w:t>为蒸气云当量系数（统计平均值为0.04，取值0.04）；</w:t>
      </w:r>
    </w:p>
    <w:p>
      <w:pPr>
        <w:pageBreakBefore w:val="0"/>
        <w:tabs>
          <w:tab w:val="left" w:pos="0"/>
        </w:tabs>
        <w:kinsoku/>
        <w:wordWrap/>
        <w:topLinePunct w:val="0"/>
        <w:bidi w:val="0"/>
        <w:adjustRightInd w:val="0"/>
        <w:snapToGrid w:val="0"/>
        <w:spacing w:line="360" w:lineRule="auto"/>
        <w:ind w:firstLine="1200" w:firstLineChars="500"/>
        <w:rPr>
          <w:rFonts w:hint="default" w:ascii="Times New Roman" w:hAnsi="Times New Roman" w:cs="Times New Roman"/>
          <w:color w:val="auto"/>
          <w:kern w:val="0"/>
          <w:sz w:val="24"/>
          <w:szCs w:val="24"/>
        </w:rPr>
      </w:pPr>
      <w:r>
        <w:rPr>
          <w:rFonts w:hint="default" w:ascii="Times New Roman" w:hAnsi="Times New Roman" w:cs="Times New Roman"/>
          <w:i/>
          <w:color w:val="auto"/>
          <w:kern w:val="0"/>
          <w:sz w:val="24"/>
          <w:szCs w:val="24"/>
        </w:rPr>
        <w:t>W</w:t>
      </w:r>
      <w:r>
        <w:rPr>
          <w:rFonts w:hint="default" w:ascii="Times New Roman" w:hAnsi="Times New Roman" w:cs="Times New Roman"/>
          <w:color w:val="auto"/>
          <w:kern w:val="0"/>
          <w:sz w:val="24"/>
          <w:szCs w:val="24"/>
        </w:rPr>
        <w:t>为蒸气云中可燃气体质量，kg；</w:t>
      </w:r>
    </w:p>
    <w:p>
      <w:pPr>
        <w:pageBreakBefore w:val="0"/>
        <w:tabs>
          <w:tab w:val="left" w:pos="0"/>
        </w:tabs>
        <w:kinsoku/>
        <w:wordWrap/>
        <w:topLinePunct w:val="0"/>
        <w:bidi w:val="0"/>
        <w:adjustRightInd w:val="0"/>
        <w:snapToGrid w:val="0"/>
        <w:spacing w:line="360" w:lineRule="auto"/>
        <w:ind w:firstLine="1200" w:firstLineChars="500"/>
        <w:rPr>
          <w:rFonts w:hint="default" w:ascii="Times New Roman" w:hAnsi="Times New Roman" w:cs="Times New Roman"/>
          <w:color w:val="auto"/>
          <w:kern w:val="0"/>
          <w:sz w:val="24"/>
          <w:szCs w:val="24"/>
        </w:rPr>
      </w:pPr>
      <w:r>
        <w:rPr>
          <w:rFonts w:hint="default" w:ascii="Times New Roman" w:hAnsi="Times New Roman" w:cs="Times New Roman"/>
          <w:i/>
          <w:color w:val="auto"/>
          <w:kern w:val="0"/>
          <w:sz w:val="24"/>
          <w:szCs w:val="24"/>
        </w:rPr>
        <w:t>Q</w:t>
      </w:r>
      <w:r>
        <w:rPr>
          <w:rFonts w:hint="default" w:ascii="Times New Roman" w:hAnsi="Times New Roman" w:cs="Times New Roman"/>
          <w:color w:val="auto"/>
          <w:kern w:val="0"/>
          <w:sz w:val="24"/>
          <w:szCs w:val="24"/>
        </w:rPr>
        <w:t>为可燃气体的燃烧热，J/kg；</w:t>
      </w:r>
    </w:p>
    <w:p>
      <w:pPr>
        <w:pageBreakBefore w:val="0"/>
        <w:tabs>
          <w:tab w:val="left" w:pos="0"/>
        </w:tabs>
        <w:kinsoku/>
        <w:wordWrap/>
        <w:topLinePunct w:val="0"/>
        <w:bidi w:val="0"/>
        <w:adjustRightInd w:val="0"/>
        <w:snapToGrid w:val="0"/>
        <w:spacing w:line="360" w:lineRule="auto"/>
        <w:ind w:firstLine="1200" w:firstLineChars="500"/>
        <w:rPr>
          <w:rFonts w:hint="default" w:ascii="Times New Roman" w:hAnsi="Times New Roman" w:cs="Times New Roman"/>
          <w:color w:val="auto"/>
          <w:sz w:val="28"/>
          <w:szCs w:val="24"/>
        </w:rPr>
      </w:pPr>
      <w:r>
        <w:rPr>
          <w:rFonts w:hint="default" w:ascii="Times New Roman" w:hAnsi="Times New Roman" w:cs="Times New Roman"/>
          <w:i/>
          <w:color w:val="auto"/>
          <w:kern w:val="0"/>
          <w:sz w:val="24"/>
          <w:szCs w:val="24"/>
        </w:rPr>
        <w:t>Q</w:t>
      </w:r>
      <w:r>
        <w:rPr>
          <w:rFonts w:hint="default" w:ascii="Times New Roman" w:hAnsi="Times New Roman" w:cs="Times New Roman"/>
          <w:color w:val="auto"/>
          <w:kern w:val="0"/>
          <w:sz w:val="24"/>
          <w:szCs w:val="24"/>
          <w:vertAlign w:val="subscript"/>
        </w:rPr>
        <w:t>TNT</w:t>
      </w:r>
      <w:r>
        <w:rPr>
          <w:rFonts w:hint="default" w:ascii="Times New Roman" w:hAnsi="Times New Roman" w:cs="Times New Roman"/>
          <w:color w:val="auto"/>
          <w:kern w:val="0"/>
          <w:sz w:val="24"/>
          <w:szCs w:val="24"/>
        </w:rPr>
        <w:t>为TNT的爆炸热，J/kg（取4520kJ/kg）</w:t>
      </w:r>
    </w:p>
    <w:p>
      <w:pPr>
        <w:pageBreakBefore w:val="0"/>
        <w:tabs>
          <w:tab w:val="left" w:pos="0"/>
        </w:tabs>
        <w:kinsoku/>
        <w:wordWrap/>
        <w:topLinePunct w:val="0"/>
        <w:bidi w:val="0"/>
        <w:adjustRightInd w:val="0"/>
        <w:snapToGrid w:val="0"/>
        <w:spacing w:line="360" w:lineRule="auto"/>
        <w:ind w:firstLine="560" w:firstLineChars="200"/>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根据该项目的特点及工艺条件，在该项目生产过程中，</w:t>
      </w:r>
      <w:r>
        <w:rPr>
          <w:rFonts w:hint="default" w:ascii="Times New Roman" w:hAnsi="Times New Roman" w:cs="Times New Roman"/>
          <w:color w:val="auto"/>
          <w:sz w:val="28"/>
          <w:szCs w:val="28"/>
          <w:lang w:eastAsia="zh-CN"/>
        </w:rPr>
        <w:t>汽油、柴油</w:t>
      </w:r>
      <w:r>
        <w:rPr>
          <w:rFonts w:hint="default" w:ascii="Times New Roman" w:hAnsi="Times New Roman" w:cs="Times New Roman"/>
          <w:color w:val="auto"/>
          <w:sz w:val="28"/>
          <w:szCs w:val="28"/>
        </w:rPr>
        <w:t>与空气可形成爆炸性混合物，在此采用TNT当量法预测由此造成的爆炸事故后果。</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表5.3-2 爆炸与可燃物质的燃烧发出热量和TNT当量</w:t>
      </w:r>
    </w:p>
    <w:tbl>
      <w:tblPr>
        <w:tblStyle w:val="28"/>
        <w:tblW w:w="92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276"/>
        <w:gridCol w:w="2109"/>
        <w:gridCol w:w="1115"/>
        <w:gridCol w:w="1933"/>
        <w:gridCol w:w="20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2"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276"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所在场所</w:t>
            </w:r>
          </w:p>
        </w:tc>
        <w:tc>
          <w:tcPr>
            <w:tcW w:w="2109"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危险物质</w:t>
            </w:r>
          </w:p>
        </w:tc>
        <w:tc>
          <w:tcPr>
            <w:tcW w:w="1115"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数量（t）</w:t>
            </w:r>
          </w:p>
        </w:tc>
        <w:tc>
          <w:tcPr>
            <w:tcW w:w="1933"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燃烧热（kJ/kg）</w:t>
            </w:r>
          </w:p>
        </w:tc>
        <w:tc>
          <w:tcPr>
            <w:tcW w:w="2079"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爆炸TNT当量（</w:t>
            </w:r>
            <w:r>
              <w:rPr>
                <w:rFonts w:hint="eastAsia" w:cs="Times New Roman" w:eastAsiaTheme="minorEastAsia"/>
                <w:b/>
                <w:bCs/>
                <w:color w:val="auto"/>
                <w:sz w:val="21"/>
                <w:szCs w:val="21"/>
                <w:lang w:val="en-US" w:eastAsia="zh-CN"/>
              </w:rPr>
              <w:t>t</w:t>
            </w:r>
            <w:r>
              <w:rPr>
                <w:rFonts w:hint="default" w:ascii="Times New Roman" w:hAnsi="Times New Roman" w:cs="Times New Roman" w:eastAsiaTheme="minorEastAsia"/>
                <w:b/>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2"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1</w:t>
            </w:r>
          </w:p>
        </w:tc>
        <w:tc>
          <w:tcPr>
            <w:tcW w:w="1276" w:type="dxa"/>
            <w:vMerge w:val="restart"/>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罐区</w:t>
            </w:r>
          </w:p>
        </w:tc>
        <w:tc>
          <w:tcPr>
            <w:tcW w:w="2109"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汽油</w:t>
            </w:r>
          </w:p>
        </w:tc>
        <w:tc>
          <w:tcPr>
            <w:tcW w:w="1115" w:type="dxa"/>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hAnsi="Times New Roman" w:cs="Times New Roman" w:eastAsiaTheme="minorEastAsia"/>
                <w:bCs/>
                <w:color w:val="auto"/>
                <w:sz w:val="21"/>
                <w:szCs w:val="21"/>
                <w:lang w:val="en-US" w:eastAsia="zh-CN"/>
              </w:rPr>
            </w:pPr>
            <w:r>
              <w:rPr>
                <w:rFonts w:hint="eastAsia"/>
                <w:sz w:val="21"/>
                <w:szCs w:val="21"/>
                <w:lang w:val="en-US" w:eastAsia="zh-CN"/>
              </w:rPr>
              <w:t>115.5</w:t>
            </w:r>
          </w:p>
        </w:tc>
        <w:tc>
          <w:tcPr>
            <w:tcW w:w="1933"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default" w:ascii="Times New Roman" w:hAnsi="Times New Roman" w:cs="Times New Roman" w:eastAsiaTheme="minorEastAsia"/>
                <w:bCs/>
                <w:color w:val="auto"/>
                <w:sz w:val="21"/>
                <w:szCs w:val="21"/>
                <w:lang w:val="en-US" w:eastAsia="zh-CN"/>
              </w:rPr>
              <w:t>44000</w:t>
            </w:r>
          </w:p>
        </w:tc>
        <w:tc>
          <w:tcPr>
            <w:tcW w:w="2079"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44.97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2"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w:t>
            </w:r>
          </w:p>
        </w:tc>
        <w:tc>
          <w:tcPr>
            <w:tcW w:w="1276" w:type="dxa"/>
            <w:vMerge w:val="continue"/>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p>
        </w:tc>
        <w:tc>
          <w:tcPr>
            <w:tcW w:w="2109"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柴油</w:t>
            </w:r>
          </w:p>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lang w:eastAsia="zh-CN"/>
              </w:rPr>
              <w:t>（闭口</w:t>
            </w:r>
            <w:r>
              <w:rPr>
                <w:rFonts w:hint="default" w:ascii="Times New Roman" w:hAnsi="Times New Roman" w:cs="Times New Roman" w:eastAsiaTheme="minorEastAsia"/>
                <w:bCs/>
                <w:color w:val="auto"/>
                <w:sz w:val="21"/>
                <w:szCs w:val="21"/>
                <w:lang w:val="en-US" w:eastAsia="zh-CN"/>
              </w:rPr>
              <w:t>闪点≤60℃</w:t>
            </w:r>
            <w:r>
              <w:rPr>
                <w:rFonts w:hint="default" w:ascii="Times New Roman" w:hAnsi="Times New Roman" w:cs="Times New Roman" w:eastAsiaTheme="minorEastAsia"/>
                <w:bCs/>
                <w:color w:val="auto"/>
                <w:sz w:val="21"/>
                <w:szCs w:val="21"/>
                <w:lang w:eastAsia="zh-CN"/>
              </w:rPr>
              <w:t>）</w:t>
            </w:r>
          </w:p>
        </w:tc>
        <w:tc>
          <w:tcPr>
            <w:tcW w:w="1115" w:type="dxa"/>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hAnsi="Times New Roman" w:cs="Times New Roman" w:eastAsiaTheme="minorEastAsia"/>
                <w:bCs/>
                <w:color w:val="auto"/>
                <w:sz w:val="21"/>
                <w:szCs w:val="21"/>
                <w:lang w:val="en-US" w:eastAsia="zh-CN"/>
              </w:rPr>
            </w:pPr>
            <w:r>
              <w:rPr>
                <w:rFonts w:hint="eastAsia"/>
                <w:sz w:val="21"/>
                <w:szCs w:val="21"/>
                <w:lang w:val="en-US" w:eastAsia="zh-CN"/>
              </w:rPr>
              <w:t>85</w:t>
            </w:r>
          </w:p>
        </w:tc>
        <w:tc>
          <w:tcPr>
            <w:tcW w:w="1933"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default" w:ascii="Times New Roman" w:hAnsi="Times New Roman" w:cs="Times New Roman" w:eastAsiaTheme="minorEastAsia"/>
                <w:bCs/>
                <w:color w:val="auto"/>
                <w:sz w:val="21"/>
                <w:szCs w:val="21"/>
                <w:lang w:val="en-US" w:eastAsia="zh-CN"/>
              </w:rPr>
              <w:t>42600</w:t>
            </w:r>
          </w:p>
        </w:tc>
        <w:tc>
          <w:tcPr>
            <w:tcW w:w="2079"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en-US" w:eastAsia="zh-CN"/>
              </w:rPr>
            </w:pPr>
            <w:r>
              <w:rPr>
                <w:rFonts w:hint="eastAsia" w:cs="Times New Roman" w:eastAsiaTheme="minorEastAsia"/>
                <w:bCs/>
                <w:color w:val="auto"/>
                <w:sz w:val="21"/>
                <w:szCs w:val="21"/>
                <w:lang w:val="en-US" w:eastAsia="zh-CN"/>
              </w:rPr>
              <w:t>32.04</w:t>
            </w:r>
          </w:p>
        </w:tc>
      </w:tr>
    </w:tbl>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5.3.</w:t>
      </w:r>
      <w:r>
        <w:rPr>
          <w:rFonts w:hint="default" w:ascii="Times New Roman" w:hAnsi="Times New Roman" w:cs="Times New Roman" w:eastAsiaTheme="minorEastAsia"/>
          <w:color w:val="auto"/>
          <w:lang w:val="en-US" w:eastAsia="zh-CN"/>
        </w:rPr>
        <w:t>3</w:t>
      </w:r>
      <w:r>
        <w:rPr>
          <w:rFonts w:hint="default" w:ascii="Times New Roman" w:hAnsi="Times New Roman" w:cs="Times New Roman" w:eastAsiaTheme="minorEastAsia"/>
          <w:color w:val="auto"/>
        </w:rPr>
        <w:t xml:space="preserve"> 具有可燃性化学品的质量及燃烧后放出的热量</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该项目具有可燃性的物质是汽油、柴油，主要存在于储罐区，可燃性化学品的质量及燃烧后放出的热量见表5</w:t>
      </w:r>
      <w:r>
        <w:rPr>
          <w:rFonts w:hint="eastAsia" w:cs="Times New Roman" w:eastAsiaTheme="minorEastAsia"/>
          <w:color w:val="auto"/>
          <w:lang w:val="en-US" w:eastAsia="zh-CN"/>
        </w:rPr>
        <w:t>.3</w:t>
      </w:r>
      <w:r>
        <w:rPr>
          <w:rFonts w:hint="default" w:ascii="Times New Roman" w:hAnsi="Times New Roman" w:cs="Times New Roman" w:eastAsiaTheme="minorEastAsia"/>
          <w:color w:val="auto"/>
        </w:rPr>
        <w:t>-3。</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表5.3-3 可燃性化学品的质量及燃烧后放出的热量</w:t>
      </w:r>
    </w:p>
    <w:tbl>
      <w:tblPr>
        <w:tblStyle w:val="28"/>
        <w:tblW w:w="92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131"/>
        <w:gridCol w:w="2077"/>
        <w:gridCol w:w="1009"/>
        <w:gridCol w:w="1798"/>
        <w:gridCol w:w="24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1131"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所在场所</w:t>
            </w:r>
          </w:p>
        </w:tc>
        <w:tc>
          <w:tcPr>
            <w:tcW w:w="2077"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危险物质</w:t>
            </w:r>
          </w:p>
        </w:tc>
        <w:tc>
          <w:tcPr>
            <w:tcW w:w="1009"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数量（t）</w:t>
            </w:r>
          </w:p>
        </w:tc>
        <w:tc>
          <w:tcPr>
            <w:tcW w:w="1798"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燃烧热（kJ/kg）</w:t>
            </w:r>
          </w:p>
        </w:tc>
        <w:tc>
          <w:tcPr>
            <w:tcW w:w="2493"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燃烧后放出的热量（kJ）</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1</w:t>
            </w:r>
          </w:p>
        </w:tc>
        <w:tc>
          <w:tcPr>
            <w:tcW w:w="1131" w:type="dxa"/>
            <w:vMerge w:val="restart"/>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罐区</w:t>
            </w:r>
          </w:p>
        </w:tc>
        <w:tc>
          <w:tcPr>
            <w:tcW w:w="2077"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汽油</w:t>
            </w:r>
          </w:p>
        </w:tc>
        <w:tc>
          <w:tcPr>
            <w:tcW w:w="1009" w:type="dxa"/>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hAnsi="Times New Roman" w:cs="Times New Roman" w:eastAsiaTheme="minorEastAsia"/>
                <w:bCs/>
                <w:color w:val="auto"/>
                <w:sz w:val="21"/>
                <w:szCs w:val="21"/>
              </w:rPr>
            </w:pPr>
            <w:r>
              <w:rPr>
                <w:rFonts w:hint="eastAsia"/>
                <w:sz w:val="21"/>
                <w:szCs w:val="21"/>
                <w:lang w:val="en-US" w:eastAsia="zh-CN"/>
              </w:rPr>
              <w:t>115.5</w:t>
            </w:r>
          </w:p>
        </w:tc>
        <w:tc>
          <w:tcPr>
            <w:tcW w:w="1798"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lang w:val="en-US" w:eastAsia="zh-CN"/>
              </w:rPr>
              <w:t>44000</w:t>
            </w:r>
          </w:p>
        </w:tc>
        <w:tc>
          <w:tcPr>
            <w:tcW w:w="2493"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eastAsia" w:cs="Times New Roman" w:eastAsiaTheme="minorEastAsia"/>
                <w:bCs/>
                <w:color w:val="auto"/>
                <w:sz w:val="21"/>
                <w:szCs w:val="21"/>
                <w:lang w:val="en-US" w:eastAsia="zh-CN"/>
              </w:rPr>
              <w:t>5.08</w:t>
            </w:r>
            <w:r>
              <w:rPr>
                <w:rFonts w:hint="default" w:ascii="Times New Roman" w:hAnsi="Times New Roman" w:cs="Times New Roman" w:eastAsiaTheme="minorEastAsia"/>
                <w:bCs/>
                <w:color w:val="auto"/>
                <w:sz w:val="21"/>
                <w:szCs w:val="21"/>
              </w:rPr>
              <w:t>×10</w:t>
            </w:r>
            <w:r>
              <w:rPr>
                <w:rFonts w:hint="default" w:ascii="Times New Roman" w:hAnsi="Times New Roman" w:cs="Times New Roman" w:eastAsiaTheme="minorEastAsia"/>
                <w:bCs/>
                <w:color w:val="auto"/>
                <w:sz w:val="21"/>
                <w:szCs w:val="21"/>
                <w:vertAlign w:val="superscript"/>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6"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w:t>
            </w:r>
          </w:p>
        </w:tc>
        <w:tc>
          <w:tcPr>
            <w:tcW w:w="1131" w:type="dxa"/>
            <w:vMerge w:val="continue"/>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p>
        </w:tc>
        <w:tc>
          <w:tcPr>
            <w:tcW w:w="2077" w:type="dxa"/>
            <w:shd w:val="clear" w:color="auto" w:fill="auto"/>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柴油</w:t>
            </w:r>
          </w:p>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lang w:eastAsia="zh-CN"/>
              </w:rPr>
              <w:t>（闭口</w:t>
            </w:r>
            <w:r>
              <w:rPr>
                <w:rFonts w:hint="default" w:ascii="Times New Roman" w:hAnsi="Times New Roman" w:cs="Times New Roman" w:eastAsiaTheme="minorEastAsia"/>
                <w:bCs/>
                <w:color w:val="auto"/>
                <w:sz w:val="21"/>
                <w:szCs w:val="21"/>
                <w:lang w:val="en-US" w:eastAsia="zh-CN"/>
              </w:rPr>
              <w:t>闪点≤60℃</w:t>
            </w:r>
            <w:r>
              <w:rPr>
                <w:rFonts w:hint="default" w:ascii="Times New Roman" w:hAnsi="Times New Roman" w:cs="Times New Roman" w:eastAsiaTheme="minorEastAsia"/>
                <w:bCs/>
                <w:color w:val="auto"/>
                <w:sz w:val="21"/>
                <w:szCs w:val="21"/>
                <w:lang w:eastAsia="zh-CN"/>
              </w:rPr>
              <w:t>）</w:t>
            </w:r>
          </w:p>
        </w:tc>
        <w:tc>
          <w:tcPr>
            <w:tcW w:w="1009" w:type="dxa"/>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hAnsi="Times New Roman" w:cs="Times New Roman" w:eastAsiaTheme="minorEastAsia"/>
                <w:bCs/>
                <w:color w:val="auto"/>
                <w:sz w:val="21"/>
                <w:szCs w:val="21"/>
              </w:rPr>
            </w:pPr>
            <w:r>
              <w:rPr>
                <w:rFonts w:hint="eastAsia"/>
                <w:sz w:val="21"/>
                <w:szCs w:val="21"/>
                <w:lang w:val="en-US" w:eastAsia="zh-CN"/>
              </w:rPr>
              <w:t>85</w:t>
            </w:r>
          </w:p>
        </w:tc>
        <w:tc>
          <w:tcPr>
            <w:tcW w:w="1798"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lang w:val="en-US" w:eastAsia="zh-CN"/>
              </w:rPr>
              <w:t>42600</w:t>
            </w:r>
          </w:p>
        </w:tc>
        <w:tc>
          <w:tcPr>
            <w:tcW w:w="2493" w:type="dxa"/>
            <w:vAlign w:val="center"/>
          </w:tcPr>
          <w:p>
            <w:pPr>
              <w:pageBreakBefore w:val="0"/>
              <w:tabs>
                <w:tab w:val="left" w:pos="1050"/>
                <w:tab w:val="right" w:leader="dot" w:pos="9174"/>
              </w:tabs>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eastAsia" w:cs="Times New Roman" w:eastAsiaTheme="minorEastAsia"/>
                <w:bCs/>
                <w:color w:val="auto"/>
                <w:sz w:val="21"/>
                <w:szCs w:val="21"/>
                <w:lang w:val="en-US" w:eastAsia="zh-CN"/>
              </w:rPr>
              <w:t>3.62</w:t>
            </w:r>
            <w:r>
              <w:rPr>
                <w:rFonts w:hint="default" w:ascii="Times New Roman" w:hAnsi="Times New Roman" w:cs="Times New Roman" w:eastAsiaTheme="minorEastAsia"/>
                <w:bCs/>
                <w:color w:val="auto"/>
                <w:sz w:val="21"/>
                <w:szCs w:val="21"/>
              </w:rPr>
              <w:t>×10</w:t>
            </w:r>
            <w:r>
              <w:rPr>
                <w:rFonts w:hint="default" w:ascii="Times New Roman" w:hAnsi="Times New Roman" w:cs="Times New Roman" w:eastAsiaTheme="minorEastAsia"/>
                <w:bCs/>
                <w:color w:val="auto"/>
                <w:sz w:val="21"/>
                <w:szCs w:val="21"/>
                <w:vertAlign w:val="superscript"/>
              </w:rPr>
              <w:t>9</w:t>
            </w:r>
          </w:p>
        </w:tc>
      </w:tr>
    </w:tbl>
    <w:p>
      <w:pPr>
        <w:pStyle w:val="5"/>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ascii="Times New Roman" w:hAnsi="Times New Roman" w:cs="Times New Roman"/>
          <w:color w:val="auto"/>
        </w:rPr>
      </w:pPr>
      <w:bookmarkStart w:id="71" w:name="_Toc328576272"/>
      <w:bookmarkStart w:id="72" w:name="_Toc333233413"/>
      <w:bookmarkStart w:id="73" w:name="_Toc306973774"/>
      <w:r>
        <w:rPr>
          <w:rFonts w:hint="default" w:ascii="Times New Roman" w:hAnsi="Times New Roman" w:cs="Times New Roman"/>
          <w:color w:val="auto"/>
        </w:rPr>
        <w:t>5.</w:t>
      </w:r>
      <w:r>
        <w:rPr>
          <w:rFonts w:hint="default" w:ascii="Times New Roman" w:hAnsi="Times New Roman" w:cs="Times New Roman"/>
          <w:color w:val="auto"/>
          <w:lang w:val="en-US" w:eastAsia="zh-CN"/>
        </w:rPr>
        <w:t>3.4</w:t>
      </w:r>
      <w:r>
        <w:rPr>
          <w:rFonts w:hint="default" w:ascii="Times New Roman" w:hAnsi="Times New Roman" w:cs="Times New Roman"/>
          <w:color w:val="auto"/>
        </w:rPr>
        <w:t xml:space="preserve"> 具有毒性化学品的浓度及质量</w:t>
      </w:r>
    </w:p>
    <w:p>
      <w:pPr>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eastAsia" w:cs="Times New Roman"/>
          <w:color w:val="auto"/>
          <w:sz w:val="28"/>
          <w:szCs w:val="28"/>
          <w:lang w:eastAsia="zh-CN"/>
        </w:rPr>
        <w:t>该</w:t>
      </w:r>
      <w:r>
        <w:rPr>
          <w:rFonts w:hint="default" w:ascii="Times New Roman" w:hAnsi="Times New Roman" w:cs="Times New Roman"/>
          <w:color w:val="auto"/>
          <w:sz w:val="28"/>
          <w:szCs w:val="28"/>
        </w:rPr>
        <w:t>项目涉及</w:t>
      </w:r>
      <w:r>
        <w:rPr>
          <w:rFonts w:hint="default" w:ascii="Times New Roman" w:hAnsi="Times New Roman" w:cs="Times New Roman"/>
          <w:color w:val="auto"/>
          <w:sz w:val="28"/>
          <w:szCs w:val="28"/>
          <w:lang w:eastAsia="zh-CN"/>
        </w:rPr>
        <w:t>汽油、柴油</w:t>
      </w:r>
      <w:r>
        <w:rPr>
          <w:rFonts w:hint="default" w:ascii="Times New Roman" w:hAnsi="Times New Roman" w:cs="Times New Roman"/>
          <w:color w:val="auto"/>
          <w:sz w:val="28"/>
          <w:szCs w:val="28"/>
        </w:rPr>
        <w:t>有一定毒性，其浓度及质量详见表5.</w:t>
      </w:r>
      <w:r>
        <w:rPr>
          <w:rFonts w:hint="default" w:ascii="Times New Roman" w:hAnsi="Times New Roman" w:cs="Times New Roman"/>
          <w:color w:val="auto"/>
          <w:sz w:val="28"/>
          <w:szCs w:val="28"/>
          <w:lang w:val="en-US" w:eastAsia="zh-CN"/>
        </w:rPr>
        <w:t>3</w:t>
      </w:r>
      <w:r>
        <w:rPr>
          <w:rFonts w:hint="default" w:ascii="Times New Roman" w:hAnsi="Times New Roman" w:cs="Times New Roman"/>
          <w:color w:val="auto"/>
          <w:sz w:val="28"/>
          <w:szCs w:val="28"/>
        </w:rPr>
        <w:t>-1。</w:t>
      </w:r>
    </w:p>
    <w:p>
      <w:pPr>
        <w:pStyle w:val="5"/>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color w:val="auto"/>
        </w:rPr>
      </w:pPr>
      <w:r>
        <w:rPr>
          <w:rFonts w:hint="default" w:ascii="Times New Roman" w:hAnsi="Times New Roman" w:cs="Times New Roman"/>
          <w:color w:val="auto"/>
        </w:rPr>
        <w:t>5.</w:t>
      </w:r>
      <w:r>
        <w:rPr>
          <w:rFonts w:hint="default" w:ascii="Times New Roman" w:hAnsi="Times New Roman" w:cs="Times New Roman"/>
          <w:color w:val="auto"/>
          <w:lang w:val="en-US" w:eastAsia="zh-CN"/>
        </w:rPr>
        <w:t>3.5</w:t>
      </w:r>
      <w:r>
        <w:rPr>
          <w:rFonts w:hint="default" w:ascii="Times New Roman" w:hAnsi="Times New Roman" w:cs="Times New Roman"/>
          <w:color w:val="auto"/>
        </w:rPr>
        <w:t xml:space="preserve"> 具有腐蚀性化学品的浓度及质量</w:t>
      </w:r>
    </w:p>
    <w:p>
      <w:pPr>
        <w:pageBreakBefore w:val="0"/>
        <w:widowControl w:val="0"/>
        <w:tabs>
          <w:tab w:val="left" w:pos="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eastAsia" w:cs="Times New Roman"/>
          <w:color w:val="auto"/>
          <w:sz w:val="28"/>
          <w:szCs w:val="28"/>
          <w:lang w:eastAsia="zh-CN"/>
        </w:rPr>
        <w:t>该</w:t>
      </w:r>
      <w:r>
        <w:rPr>
          <w:rFonts w:hint="default" w:ascii="Times New Roman" w:hAnsi="Times New Roman" w:cs="Times New Roman"/>
          <w:color w:val="auto"/>
          <w:sz w:val="28"/>
          <w:szCs w:val="28"/>
        </w:rPr>
        <w:t>项目不涉及腐蚀性化学品。</w:t>
      </w:r>
    </w:p>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cs="Times New Roman" w:eastAsiaTheme="minorEastAsia"/>
          <w:b/>
          <w:bCs w:val="0"/>
          <w:color w:val="auto"/>
          <w:sz w:val="28"/>
          <w:szCs w:val="28"/>
        </w:rPr>
      </w:pPr>
      <w:bookmarkStart w:id="74" w:name="_Toc15317"/>
      <w:r>
        <w:rPr>
          <w:rFonts w:hint="default" w:ascii="Times New Roman" w:hAnsi="Times New Roman" w:cs="Times New Roman" w:eastAsiaTheme="minorEastAsia"/>
          <w:b/>
          <w:bCs w:val="0"/>
          <w:color w:val="auto"/>
          <w:sz w:val="28"/>
          <w:szCs w:val="28"/>
        </w:rPr>
        <w:t>5.4 风险程度的分析</w:t>
      </w:r>
      <w:bookmarkEnd w:id="71"/>
      <w:bookmarkEnd w:id="72"/>
      <w:bookmarkEnd w:id="73"/>
      <w:bookmarkEnd w:id="74"/>
    </w:p>
    <w:p>
      <w:pPr>
        <w:pStyle w:val="5"/>
        <w:pageBreakBefore w:val="0"/>
        <w:kinsoku/>
        <w:wordWrap/>
        <w:topLinePunct w:val="0"/>
        <w:bidi w:val="0"/>
        <w:adjustRightInd w:val="0"/>
        <w:snapToGrid w:val="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5.4.1 作业场所出现危险化学品泄漏的可能性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（1）易发生泄漏的设施：</w:t>
      </w:r>
      <w:r>
        <w:rPr>
          <w:rFonts w:hint="eastAsia" w:cs="Times New Roman" w:eastAsiaTheme="minorEastAsia"/>
          <w:color w:val="auto"/>
          <w:lang w:eastAsia="zh-CN"/>
        </w:rPr>
        <w:t>该</w:t>
      </w:r>
      <w:r>
        <w:rPr>
          <w:rFonts w:hint="default" w:ascii="Times New Roman" w:hAnsi="Times New Roman" w:cs="Times New Roman" w:eastAsiaTheme="minorEastAsia"/>
          <w:color w:val="auto"/>
        </w:rPr>
        <w:t>项目装置易发生泄漏的设施可归纳为3类：</w:t>
      </w:r>
      <w:r>
        <w:rPr>
          <w:rFonts w:hint="eastAsia" w:cs="Times New Roman" w:eastAsiaTheme="minorEastAsia"/>
          <w:color w:val="auto"/>
          <w:lang w:eastAsia="zh-CN"/>
        </w:rPr>
        <w:t>埋地</w:t>
      </w:r>
      <w:r>
        <w:rPr>
          <w:rFonts w:hint="default" w:ascii="Times New Roman" w:hAnsi="Times New Roman" w:cs="Times New Roman" w:eastAsiaTheme="minorEastAsia"/>
          <w:color w:val="auto"/>
        </w:rPr>
        <w:t>油罐、加油机、管道等。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（2）从人-机系统来考虑造成各种泄漏事故的原因主要有4类：</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1）设计失误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①设备基础设计错误，如储罐因基础不均匀沉降导致油罐倾斜或罐底破裂泄漏；</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②选材不当，如强度不够，耐腐蚀性差、规格不符等；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③布置不合理，油罐之间的安全间距不足，若一个油罐发生事故将会影响到其他油罐的安全；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④选用计测仪器不合适。</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2）设备因素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①施工和安装精度不高，如管道连接不严密等；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②设备长期使用后未按规定检修期进行检修，或检修质量差造成泄漏；</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③阀门或加油设施损坏、开关泄漏，未及时更换；</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④计测仪表未定期校验，造成计量不准；</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⑤设备质量差，或长期使用后材料变质、腐蚀或破裂等；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3）管理因素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①没有制定完善的安全操作规程；</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②对安全漠不关心，已发现的问题不及时解决；</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③没有严格执行监督检查制度；</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④指挥错误，甚至违章指挥；</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⑤让未经过培训的工人上岗，知识不足，不能判断错误；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⑥检查制度不严，没有及时检修已出现故障的设备，使设备带病运行。</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4）人为失误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①误操作，违反操作规程；</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②思想不集中或擅自脱岗；</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③发现异常现象不知如何处理。</w:t>
      </w:r>
    </w:p>
    <w:p>
      <w:pPr>
        <w:pStyle w:val="5"/>
        <w:pageBreakBefore w:val="0"/>
        <w:kinsoku/>
        <w:wordWrap/>
        <w:topLinePunct w:val="0"/>
        <w:bidi w:val="0"/>
        <w:adjustRightInd w:val="0"/>
        <w:snapToGrid w:val="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5.4.2 可燃性化学品作业场所出现泄漏后发生爆炸、火灾的条件</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r>
        <w:rPr>
          <w:rFonts w:hint="eastAsia" w:cs="Times New Roman" w:eastAsiaTheme="minorEastAsia"/>
          <w:color w:val="auto"/>
          <w:lang w:eastAsia="zh-CN"/>
        </w:rPr>
        <w:t>该加油中心</w:t>
      </w:r>
      <w:r>
        <w:rPr>
          <w:rFonts w:hint="default" w:ascii="Times New Roman" w:hAnsi="Times New Roman" w:cs="Times New Roman" w:eastAsiaTheme="minorEastAsia"/>
          <w:color w:val="auto"/>
        </w:rPr>
        <w:t>的加油储存过程中，汽油、柴油等易燃物料泄漏后，会与空气形成爆炸性混合物，若达到爆炸极限，遇明火、高热、静电、雷电、电火花等点火源，即会发生爆炸、火灾事故。火灾事故发生的条件见表5.4-1，爆炸事故发生的条件见表5.4-2。</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表5.4-1 火灾事故发生的条件</w:t>
      </w:r>
    </w:p>
    <w:tbl>
      <w:tblPr>
        <w:tblStyle w:val="28"/>
        <w:tblW w:w="85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02"/>
        <w:gridCol w:w="2362"/>
        <w:gridCol w:w="33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802" w:type="dxa"/>
            <w:vAlign w:val="center"/>
          </w:tcPr>
          <w:p>
            <w:pPr>
              <w:pStyle w:val="13"/>
              <w:pageBreakBefore w:val="0"/>
              <w:kinsoku/>
              <w:wordWrap/>
              <w:overflowPunct w:val="0"/>
              <w:topLinePunct w:val="0"/>
              <w:autoSpaceDE w:val="0"/>
              <w:autoSpaceDN w:val="0"/>
              <w:bidi w:val="0"/>
              <w:adjustRightInd w:val="0"/>
              <w:snapToGrid w:val="0"/>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可燃物质泄漏</w:t>
            </w:r>
          </w:p>
        </w:tc>
        <w:tc>
          <w:tcPr>
            <w:tcW w:w="2362" w:type="dxa"/>
            <w:vAlign w:val="center"/>
          </w:tcPr>
          <w:p>
            <w:pPr>
              <w:pStyle w:val="13"/>
              <w:pageBreakBefore w:val="0"/>
              <w:kinsoku/>
              <w:wordWrap/>
              <w:overflowPunct w:val="0"/>
              <w:topLinePunct w:val="0"/>
              <w:autoSpaceDE w:val="0"/>
              <w:autoSpaceDN w:val="0"/>
              <w:bidi w:val="0"/>
              <w:adjustRightInd w:val="0"/>
              <w:snapToGrid w:val="0"/>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存在助燃物质</w:t>
            </w:r>
          </w:p>
        </w:tc>
        <w:tc>
          <w:tcPr>
            <w:tcW w:w="3364" w:type="dxa"/>
            <w:vAlign w:val="center"/>
          </w:tcPr>
          <w:p>
            <w:pPr>
              <w:pStyle w:val="13"/>
              <w:pageBreakBefore w:val="0"/>
              <w:kinsoku/>
              <w:wordWrap/>
              <w:overflowPunct w:val="0"/>
              <w:topLinePunct w:val="0"/>
              <w:autoSpaceDE w:val="0"/>
              <w:autoSpaceDN w:val="0"/>
              <w:bidi w:val="0"/>
              <w:adjustRightInd w:val="0"/>
              <w:snapToGrid w:val="0"/>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存在点火源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802" w:type="dxa"/>
            <w:vAlign w:val="center"/>
          </w:tcPr>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1、储罐与管线泄漏</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①由于材料腐蚀造成穿孔；</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②焊缝开裂出现裂纹；</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③外力破坏引起的泄漏事故；</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④施工质量差；</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⑤管材质量差；</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2、加油、卸油过程出现泄漏</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szCs w:val="21"/>
              </w:rPr>
            </w:pPr>
            <w:r>
              <w:rPr>
                <w:rFonts w:hint="default" w:ascii="Times New Roman" w:hAnsi="Times New Roman" w:cs="Times New Roman"/>
                <w:color w:val="auto"/>
              </w:rPr>
              <w:t>3、连接过程出现泄漏</w:t>
            </w:r>
          </w:p>
        </w:tc>
        <w:tc>
          <w:tcPr>
            <w:tcW w:w="2362" w:type="dxa"/>
            <w:vAlign w:val="center"/>
          </w:tcPr>
          <w:p>
            <w:pPr>
              <w:pageBreakBefore w:val="0"/>
              <w:widowControl/>
              <w:kinsoku/>
              <w:wordWrap/>
              <w:overflowPunct w:val="0"/>
              <w:topLinePunct w:val="0"/>
              <w:autoSpaceDE w:val="0"/>
              <w:autoSpaceDN w:val="0"/>
              <w:bidi w:val="0"/>
              <w:adjustRightInd w:val="0"/>
              <w:snapToGrid w:val="0"/>
              <w:spacing w:line="240" w:lineRule="auto"/>
              <w:ind w:left="0" w:leftChars="0" w:firstLine="0" w:firstLineChars="0"/>
              <w:jc w:val="left"/>
              <w:textAlignment w:val="baseline"/>
              <w:rPr>
                <w:rFonts w:hint="default" w:ascii="Times New Roman" w:hAnsi="Times New Roman" w:cs="Times New Roman"/>
                <w:color w:val="auto"/>
                <w:szCs w:val="21"/>
              </w:rPr>
            </w:pPr>
            <w:r>
              <w:rPr>
                <w:rFonts w:hint="default" w:ascii="Times New Roman" w:hAnsi="Times New Roman" w:eastAsia="宋体" w:cs="Times New Roman"/>
                <w:color w:val="auto"/>
                <w:kern w:val="0"/>
                <w:sz w:val="20"/>
                <w:szCs w:val="20"/>
                <w:lang w:val="en-US" w:eastAsia="zh-CN" w:bidi="ar-SA"/>
              </w:rPr>
              <w:t>易燃物质泄漏到空气中，与氧气等助燃物质接触。</w:t>
            </w:r>
          </w:p>
        </w:tc>
        <w:tc>
          <w:tcPr>
            <w:tcW w:w="3364" w:type="dxa"/>
            <w:vAlign w:val="center"/>
          </w:tcPr>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点火源：</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1、明火源</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①点火吸烟；</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②外来人员带入火种；</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③其他火源；</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2、火花</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①使用钢制工具作业产生撞击火花；</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rPr>
            </w:pPr>
            <w:r>
              <w:rPr>
                <w:rFonts w:hint="default" w:ascii="Times New Roman" w:hAnsi="Times New Roman" w:cs="Times New Roman"/>
                <w:color w:val="auto"/>
              </w:rPr>
              <w:t>②电器火花，防爆电器质量不好，电缆接头不良；</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eastAsia="宋体" w:cs="Times New Roman"/>
                <w:color w:val="auto"/>
                <w:lang w:eastAsia="zh-CN"/>
              </w:rPr>
            </w:pPr>
            <w:r>
              <w:rPr>
                <w:rFonts w:hint="default" w:ascii="Times New Roman" w:hAnsi="Times New Roman" w:cs="Times New Roman"/>
                <w:color w:val="auto"/>
              </w:rPr>
              <w:t>③静电火花，管道跨接不良</w:t>
            </w:r>
            <w:r>
              <w:rPr>
                <w:rFonts w:hint="default" w:ascii="Times New Roman" w:hAnsi="Times New Roman" w:cs="Times New Roman"/>
                <w:color w:val="auto"/>
                <w:lang w:eastAsia="zh-CN"/>
              </w:rPr>
              <w:t>；</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4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④</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穿化纤衣服、带钉皮鞋等；</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5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⑤</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雷击（直击雷、雷电二次作用沿电气线路、金属管道侵入）</w:t>
            </w:r>
          </w:p>
        </w:tc>
      </w:tr>
    </w:tbl>
    <w:p>
      <w:pPr>
        <w:pageBreakBefore w:val="0"/>
        <w:kinsoku/>
        <w:wordWrap/>
        <w:topLinePunct w:val="0"/>
        <w:bidi w:val="0"/>
        <w:adjustRightInd w:val="0"/>
        <w:snapToGrid w:val="0"/>
        <w:spacing w:before="156" w:beforeLines="5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表5.4-2 爆炸事故发生的条件</w:t>
      </w:r>
    </w:p>
    <w:tbl>
      <w:tblPr>
        <w:tblStyle w:val="28"/>
        <w:tblW w:w="85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07"/>
        <w:gridCol w:w="2357"/>
        <w:gridCol w:w="33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2807" w:type="dxa"/>
            <w:vAlign w:val="center"/>
          </w:tcPr>
          <w:p>
            <w:pPr>
              <w:pStyle w:val="13"/>
              <w:pageBreakBefore w:val="0"/>
              <w:kinsoku/>
              <w:wordWrap/>
              <w:overflowPunct w:val="0"/>
              <w:topLinePunct w:val="0"/>
              <w:autoSpaceDE w:val="0"/>
              <w:autoSpaceDN w:val="0"/>
              <w:bidi w:val="0"/>
              <w:adjustRightInd w:val="0"/>
              <w:snapToGrid w:val="0"/>
              <w:spacing w:line="340" w:lineRule="exact"/>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可燃物质泄漏</w:t>
            </w:r>
          </w:p>
        </w:tc>
        <w:tc>
          <w:tcPr>
            <w:tcW w:w="2357" w:type="dxa"/>
            <w:vAlign w:val="center"/>
          </w:tcPr>
          <w:p>
            <w:pPr>
              <w:pStyle w:val="13"/>
              <w:pageBreakBefore w:val="0"/>
              <w:kinsoku/>
              <w:wordWrap/>
              <w:overflowPunct w:val="0"/>
              <w:topLinePunct w:val="0"/>
              <w:autoSpaceDE w:val="0"/>
              <w:autoSpaceDN w:val="0"/>
              <w:bidi w:val="0"/>
              <w:adjustRightInd w:val="0"/>
              <w:snapToGrid w:val="0"/>
              <w:spacing w:line="340" w:lineRule="exact"/>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存在助燃物质</w:t>
            </w:r>
          </w:p>
        </w:tc>
        <w:tc>
          <w:tcPr>
            <w:tcW w:w="3364" w:type="dxa"/>
            <w:vAlign w:val="center"/>
          </w:tcPr>
          <w:p>
            <w:pPr>
              <w:pStyle w:val="13"/>
              <w:pageBreakBefore w:val="0"/>
              <w:kinsoku/>
              <w:wordWrap/>
              <w:overflowPunct w:val="0"/>
              <w:topLinePunct w:val="0"/>
              <w:autoSpaceDE w:val="0"/>
              <w:autoSpaceDN w:val="0"/>
              <w:bidi w:val="0"/>
              <w:adjustRightInd w:val="0"/>
              <w:snapToGrid w:val="0"/>
              <w:spacing w:line="340" w:lineRule="exact"/>
              <w:jc w:val="center"/>
              <w:textAlignment w:val="baseline"/>
              <w:rPr>
                <w:rFonts w:hint="default" w:ascii="Times New Roman" w:hAnsi="Times New Roman" w:cs="Times New Roman"/>
                <w:b/>
                <w:color w:val="auto"/>
              </w:rPr>
            </w:pPr>
            <w:r>
              <w:rPr>
                <w:rFonts w:hint="default" w:ascii="Times New Roman" w:hAnsi="Times New Roman" w:cs="Times New Roman"/>
                <w:b/>
                <w:color w:val="auto"/>
              </w:rPr>
              <w:t>存在点火源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2807" w:type="dxa"/>
            <w:vAlign w:val="center"/>
          </w:tcPr>
          <w:p>
            <w:pPr>
              <w:pStyle w:val="13"/>
              <w:pageBreakBefore w:val="0"/>
              <w:kinsoku/>
              <w:wordWrap/>
              <w:overflowPunct w:val="0"/>
              <w:topLinePunct w:val="0"/>
              <w:autoSpaceDE w:val="0"/>
              <w:autoSpaceDN w:val="0"/>
              <w:bidi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1、储罐与管线泄漏</w:t>
            </w:r>
          </w:p>
          <w:p>
            <w:pPr>
              <w:pStyle w:val="13"/>
              <w:pageBreakBefore w:val="0"/>
              <w:kinsoku/>
              <w:wordWrap/>
              <w:overflowPunct w:val="0"/>
              <w:topLinePunct w:val="0"/>
              <w:autoSpaceDE w:val="0"/>
              <w:autoSpaceDN w:val="0"/>
              <w:bidi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①由于材料腐蚀造成穿孔；</w:t>
            </w:r>
          </w:p>
          <w:p>
            <w:pPr>
              <w:pStyle w:val="13"/>
              <w:pageBreakBefore w:val="0"/>
              <w:kinsoku/>
              <w:wordWrap/>
              <w:overflowPunct w:val="0"/>
              <w:topLinePunct w:val="0"/>
              <w:autoSpaceDE w:val="0"/>
              <w:autoSpaceDN w:val="0"/>
              <w:bidi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②焊缝开裂出现裂纹；</w:t>
            </w:r>
          </w:p>
          <w:p>
            <w:pPr>
              <w:pStyle w:val="13"/>
              <w:pageBreakBefore w:val="0"/>
              <w:kinsoku/>
              <w:wordWrap/>
              <w:overflowPunct w:val="0"/>
              <w:topLinePunct w:val="0"/>
              <w:autoSpaceDE w:val="0"/>
              <w:autoSpaceDN w:val="0"/>
              <w:bidi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③外力破坏引起的泄漏事故；</w:t>
            </w:r>
          </w:p>
          <w:p>
            <w:pPr>
              <w:pStyle w:val="13"/>
              <w:pageBreakBefore w:val="0"/>
              <w:kinsoku/>
              <w:wordWrap/>
              <w:overflowPunct w:val="0"/>
              <w:topLinePunct w:val="0"/>
              <w:autoSpaceDE w:val="0"/>
              <w:autoSpaceDN w:val="0"/>
              <w:bidi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④施工质量差；</w:t>
            </w:r>
          </w:p>
          <w:p>
            <w:pPr>
              <w:pStyle w:val="13"/>
              <w:pageBreakBefore w:val="0"/>
              <w:kinsoku/>
              <w:wordWrap/>
              <w:overflowPunct w:val="0"/>
              <w:topLinePunct w:val="0"/>
              <w:autoSpaceDE w:val="0"/>
              <w:autoSpaceDN w:val="0"/>
              <w:bidi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⑤管材质量差。</w:t>
            </w:r>
          </w:p>
          <w:p>
            <w:pPr>
              <w:pStyle w:val="13"/>
              <w:pageBreakBefore w:val="0"/>
              <w:kinsoku/>
              <w:wordWrap/>
              <w:overflowPunct w:val="0"/>
              <w:topLinePunct w:val="0"/>
              <w:autoSpaceDE w:val="0"/>
              <w:autoSpaceDN w:val="0"/>
              <w:bidi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2、加油、卸油过程出现泄漏</w:t>
            </w:r>
          </w:p>
          <w:p>
            <w:pPr>
              <w:pStyle w:val="13"/>
              <w:pageBreakBefore w:val="0"/>
              <w:kinsoku/>
              <w:wordWrap/>
              <w:overflowPunct w:val="0"/>
              <w:topLinePunct w:val="0"/>
              <w:autoSpaceDE w:val="0"/>
              <w:autoSpaceDN w:val="0"/>
              <w:bidi w:val="0"/>
              <w:adjustRightInd w:val="0"/>
              <w:snapToGrid w:val="0"/>
              <w:spacing w:line="320" w:lineRule="exact"/>
              <w:jc w:val="left"/>
              <w:textAlignment w:val="baseline"/>
              <w:rPr>
                <w:rFonts w:hint="default" w:ascii="Times New Roman" w:hAnsi="Times New Roman" w:cs="Times New Roman"/>
                <w:color w:val="auto"/>
              </w:rPr>
            </w:pPr>
            <w:r>
              <w:rPr>
                <w:rFonts w:hint="default" w:ascii="Times New Roman" w:hAnsi="Times New Roman" w:cs="Times New Roman"/>
                <w:color w:val="auto"/>
              </w:rPr>
              <w:t>3、连接过程出现泄漏</w:t>
            </w:r>
          </w:p>
        </w:tc>
        <w:tc>
          <w:tcPr>
            <w:tcW w:w="2357" w:type="dxa"/>
            <w:vAlign w:val="center"/>
          </w:tcPr>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易燃物质泄漏到空气中，与氧气等助燃物质混合达到爆炸极限。</w:t>
            </w:r>
          </w:p>
        </w:tc>
        <w:tc>
          <w:tcPr>
            <w:tcW w:w="3364" w:type="dxa"/>
            <w:vAlign w:val="center"/>
          </w:tcPr>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点火源：</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1、明火源</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①点火吸烟；</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②外来人员带入火种；</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③其他火源；</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2、火花</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①使用钢制工具作业产生撞击火花；</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②电器火花，防爆电器质量不好，电缆接头不良；</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③静电火花，管道跨接不良；</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4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④</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穿化纤衣服、带钉皮鞋等；</w:t>
            </w:r>
          </w:p>
          <w:p>
            <w:pPr>
              <w:pStyle w:val="13"/>
              <w:pageBreakBefore w:val="0"/>
              <w:kinsoku/>
              <w:wordWrap/>
              <w:overflowPunct w:val="0"/>
              <w:topLinePunct w:val="0"/>
              <w:autoSpaceDE w:val="0"/>
              <w:autoSpaceDN w:val="0"/>
              <w:bidi w:val="0"/>
              <w:adjustRightInd w:val="0"/>
              <w:snapToGrid w:val="0"/>
              <w:jc w:val="left"/>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 5 \* GB3 \* MERGEFORMAT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⑤</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雷击（直击雷、雷电二次作用沿电气线路、金属管道侵入）</w:t>
            </w:r>
          </w:p>
        </w:tc>
      </w:tr>
    </w:tbl>
    <w:p>
      <w:pPr>
        <w:keepNext/>
        <w:keepLines/>
        <w:pageBreakBefore w:val="0"/>
        <w:kinsoku/>
        <w:wordWrap/>
        <w:topLinePunct w:val="0"/>
        <w:bidi w:val="0"/>
        <w:adjustRightInd w:val="0"/>
        <w:snapToGrid w:val="0"/>
        <w:rPr>
          <w:rFonts w:hint="default" w:ascii="Times New Roman" w:hAnsi="Times New Roman" w:cs="Times New Roman" w:eastAsiaTheme="minorEastAsia"/>
          <w:color w:val="auto"/>
          <w:sz w:val="10"/>
          <w:szCs w:val="10"/>
        </w:rPr>
      </w:pPr>
    </w:p>
    <w:p>
      <w:pPr>
        <w:pageBreakBefore w:val="0"/>
        <w:kinsoku/>
        <w:wordWrap/>
        <w:topLinePunct w:val="0"/>
        <w:bidi w:val="0"/>
        <w:adjustRightInd w:val="0"/>
        <w:snapToGrid w:val="0"/>
        <w:spacing w:line="560" w:lineRule="exact"/>
        <w:ind w:firstLine="560"/>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bookmarkStart w:id="75" w:name="_Toc306973776"/>
      <w:bookmarkStart w:id="76" w:name="_Toc328576274"/>
      <w:bookmarkStart w:id="77" w:name="_Toc333233415"/>
    </w:p>
    <w:p>
      <w:pPr>
        <w:pStyle w:val="3"/>
        <w:pageBreakBefore w:val="0"/>
        <w:kinsoku/>
        <w:wordWrap/>
        <w:topLinePunct w:val="0"/>
        <w:bidi w:val="0"/>
        <w:adjustRightInd w:val="0"/>
        <w:snapToGrid w:val="0"/>
        <w:spacing w:before="156" w:after="156" w:line="520" w:lineRule="exact"/>
        <w:rPr>
          <w:rFonts w:hint="default" w:ascii="Times New Roman" w:hAnsi="Times New Roman" w:cs="Times New Roman" w:eastAsiaTheme="minorEastAsia"/>
          <w:color w:val="auto"/>
          <w:sz w:val="32"/>
          <w:szCs w:val="32"/>
        </w:rPr>
      </w:pPr>
      <w:bookmarkStart w:id="78" w:name="_Toc11045"/>
      <w:r>
        <w:rPr>
          <w:rFonts w:hint="default" w:ascii="Times New Roman" w:hAnsi="Times New Roman" w:cs="Times New Roman" w:eastAsiaTheme="minorEastAsia"/>
          <w:color w:val="auto"/>
          <w:sz w:val="32"/>
          <w:szCs w:val="32"/>
        </w:rPr>
        <w:t>6 安全条件</w:t>
      </w:r>
      <w:bookmarkEnd w:id="75"/>
      <w:bookmarkEnd w:id="76"/>
      <w:bookmarkEnd w:id="77"/>
      <w:r>
        <w:rPr>
          <w:rFonts w:hint="default" w:ascii="Times New Roman" w:hAnsi="Times New Roman" w:cs="Times New Roman" w:eastAsiaTheme="minorEastAsia"/>
          <w:color w:val="auto"/>
          <w:sz w:val="32"/>
          <w:szCs w:val="32"/>
        </w:rPr>
        <w:t>分析</w:t>
      </w:r>
      <w:bookmarkEnd w:id="78"/>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79" w:name="_Toc496775863"/>
      <w:bookmarkStart w:id="80" w:name="_Toc13775"/>
      <w:r>
        <w:rPr>
          <w:rFonts w:hint="default" w:ascii="Times New Roman" w:hAnsi="Times New Roman" w:cs="Times New Roman" w:eastAsiaTheme="minorEastAsia"/>
          <w:b/>
          <w:bCs w:val="0"/>
          <w:color w:val="auto"/>
          <w:sz w:val="28"/>
          <w:szCs w:val="28"/>
        </w:rPr>
        <w:t xml:space="preserve">6.1 </w:t>
      </w:r>
      <w:r>
        <w:rPr>
          <w:rFonts w:hint="eastAsia" w:cs="Times New Roman" w:eastAsiaTheme="minorEastAsia"/>
          <w:b/>
          <w:bCs w:val="0"/>
          <w:color w:val="auto"/>
          <w:sz w:val="28"/>
          <w:szCs w:val="28"/>
          <w:lang w:eastAsia="zh-CN"/>
        </w:rPr>
        <w:t>加油中心</w:t>
      </w:r>
      <w:r>
        <w:rPr>
          <w:rFonts w:hint="default" w:ascii="Times New Roman" w:hAnsi="Times New Roman" w:cs="Times New Roman" w:eastAsiaTheme="minorEastAsia"/>
          <w:b/>
          <w:bCs w:val="0"/>
          <w:color w:val="auto"/>
          <w:sz w:val="28"/>
          <w:szCs w:val="28"/>
        </w:rPr>
        <w:t>外部环境</w:t>
      </w:r>
      <w:bookmarkEnd w:id="79"/>
      <w:bookmarkEnd w:id="80"/>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rPr>
      </w:pPr>
      <w:r>
        <w:rPr>
          <w:rFonts w:hint="default" w:ascii="Times New Roman" w:hAnsi="Times New Roman" w:cs="Times New Roman"/>
          <w:color w:val="auto"/>
        </w:rPr>
        <w:t>（1）</w:t>
      </w:r>
      <w:r>
        <w:rPr>
          <w:rFonts w:hint="eastAsia" w:cs="Times New Roman"/>
          <w:color w:val="auto"/>
          <w:lang w:eastAsia="zh-CN"/>
        </w:rPr>
        <w:t>加油中心</w:t>
      </w:r>
      <w:r>
        <w:rPr>
          <w:rFonts w:hint="default" w:ascii="Times New Roman" w:hAnsi="Times New Roman" w:cs="Times New Roman"/>
          <w:color w:val="auto"/>
        </w:rPr>
        <w:t>周边24小时内生产经营活动和居民生活的情况</w:t>
      </w:r>
    </w:p>
    <w:p>
      <w:pPr>
        <w:pStyle w:val="10"/>
        <w:keepNext w:val="0"/>
        <w:keepLines w:val="0"/>
        <w:pageBreakBefore w:val="0"/>
        <w:widowControl w:val="0"/>
        <w:kinsoku/>
        <w:wordWrap/>
        <w:overflowPunct/>
        <w:topLinePunct w:val="0"/>
        <w:autoSpaceDE/>
        <w:autoSpaceDN/>
        <w:bidi w:val="0"/>
        <w:adjustRightInd w:val="0"/>
        <w:snapToGrid w:val="0"/>
        <w:spacing w:after="0" w:line="360" w:lineRule="auto"/>
        <w:ind w:right="0" w:firstLine="560" w:firstLineChars="20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该加油</w:t>
      </w:r>
      <w:r>
        <w:rPr>
          <w:rFonts w:hint="eastAsia" w:cs="Times New Roman" w:eastAsiaTheme="minorEastAsia"/>
          <w:color w:val="auto"/>
          <w:sz w:val="28"/>
          <w:szCs w:val="28"/>
          <w:lang w:eastAsia="zh-CN"/>
        </w:rPr>
        <w:t>中心</w:t>
      </w:r>
      <w:r>
        <w:rPr>
          <w:rFonts w:hint="default" w:ascii="Times New Roman" w:hAnsi="Times New Roman" w:cs="Times New Roman" w:eastAsiaTheme="minorEastAsia"/>
          <w:color w:val="auto"/>
          <w:sz w:val="28"/>
          <w:szCs w:val="28"/>
        </w:rPr>
        <w:t>位于</w:t>
      </w:r>
      <w:r>
        <w:rPr>
          <w:rFonts w:hint="eastAsia" w:cs="Times New Roman" w:eastAsiaTheme="minorEastAsia"/>
          <w:color w:val="auto"/>
          <w:sz w:val="28"/>
          <w:szCs w:val="28"/>
          <w:lang w:eastAsia="zh-CN"/>
        </w:rPr>
        <w:t>东营市垦利区董集镇利津黄河大桥以东、永莘路南侧</w:t>
      </w:r>
      <w:r>
        <w:rPr>
          <w:rFonts w:hint="default" w:ascii="Times New Roman" w:hAnsi="Times New Roman" w:cs="Times New Roman"/>
          <w:color w:val="auto"/>
          <w:sz w:val="28"/>
          <w:szCs w:val="28"/>
        </w:rPr>
        <w:t>。</w:t>
      </w:r>
      <w:r>
        <w:rPr>
          <w:rFonts w:hint="eastAsia" w:cs="Times New Roman" w:eastAsiaTheme="minorEastAsia"/>
          <w:color w:val="auto"/>
          <w:sz w:val="28"/>
          <w:szCs w:val="28"/>
          <w:lang w:eastAsia="zh-CN"/>
        </w:rPr>
        <w:t>该加油中心</w:t>
      </w:r>
      <w:r>
        <w:rPr>
          <w:rFonts w:hint="default" w:ascii="Times New Roman" w:hAnsi="Times New Roman" w:cs="Times New Roman" w:eastAsiaTheme="minorEastAsia"/>
          <w:color w:val="auto"/>
          <w:sz w:val="28"/>
          <w:szCs w:val="28"/>
          <w:lang w:val="en-US" w:eastAsia="zh-CN"/>
        </w:rPr>
        <w:t>东面为民房（三类民用建筑物，建筑面积小于5000</w:t>
      </w:r>
      <w:r>
        <w:rPr>
          <w:rFonts w:hint="eastAsia" w:cs="Times New Roman" w:eastAsiaTheme="minorEastAsia"/>
          <w:color w:val="auto"/>
          <w:sz w:val="28"/>
          <w:szCs w:val="28"/>
          <w:lang w:val="en-US" w:eastAsia="zh-CN"/>
        </w:rPr>
        <w:t>m</w:t>
      </w:r>
      <w:r>
        <w:rPr>
          <w:rFonts w:hint="eastAsia" w:cs="Times New Roman" w:eastAsiaTheme="minorEastAsia"/>
          <w:color w:val="auto"/>
          <w:sz w:val="28"/>
          <w:szCs w:val="28"/>
          <w:vertAlign w:val="superscript"/>
          <w:lang w:val="en-US" w:eastAsia="zh-CN"/>
        </w:rPr>
        <w:t>3</w:t>
      </w:r>
      <w:r>
        <w:rPr>
          <w:rFonts w:hint="default" w:ascii="Times New Roman" w:hAnsi="Times New Roman" w:cs="Times New Roman" w:eastAsiaTheme="minorEastAsia"/>
          <w:color w:val="auto"/>
          <w:sz w:val="28"/>
          <w:szCs w:val="28"/>
          <w:lang w:val="en-US" w:eastAsia="zh-CN"/>
        </w:rPr>
        <w:t>）</w:t>
      </w:r>
      <w:r>
        <w:rPr>
          <w:rFonts w:hint="eastAsia" w:cs="Times New Roman" w:eastAsiaTheme="minorEastAsia"/>
          <w:color w:val="auto"/>
          <w:sz w:val="28"/>
          <w:szCs w:val="28"/>
          <w:lang w:val="en-US" w:eastAsia="zh-CN"/>
        </w:rPr>
        <w:t>，</w:t>
      </w:r>
      <w:r>
        <w:rPr>
          <w:rFonts w:hint="default" w:ascii="Times New Roman" w:hAnsi="Times New Roman" w:cs="Times New Roman" w:eastAsiaTheme="minorEastAsia"/>
          <w:color w:val="auto"/>
          <w:sz w:val="28"/>
          <w:szCs w:val="28"/>
          <w:lang w:val="en-US" w:eastAsia="zh-CN"/>
        </w:rPr>
        <w:t>西为</w:t>
      </w:r>
      <w:r>
        <w:rPr>
          <w:rFonts w:hint="eastAsia" w:cs="Times New Roman" w:eastAsiaTheme="minorEastAsia"/>
          <w:color w:val="auto"/>
          <w:sz w:val="28"/>
          <w:szCs w:val="28"/>
          <w:lang w:val="en-US" w:eastAsia="zh-CN"/>
        </w:rPr>
        <w:t>绿化林，</w:t>
      </w:r>
      <w:r>
        <w:rPr>
          <w:rFonts w:hint="default" w:ascii="Times New Roman" w:hAnsi="Times New Roman" w:cs="Times New Roman" w:eastAsiaTheme="minorEastAsia"/>
          <w:color w:val="auto"/>
          <w:sz w:val="28"/>
          <w:szCs w:val="28"/>
          <w:lang w:val="en-US" w:eastAsia="zh-CN"/>
        </w:rPr>
        <w:t>北面为永莘路</w:t>
      </w:r>
      <w:r>
        <w:rPr>
          <w:rFonts w:hint="eastAsia" w:cs="Times New Roman" w:eastAsiaTheme="minorEastAsia"/>
          <w:color w:val="auto"/>
          <w:sz w:val="28"/>
          <w:szCs w:val="28"/>
          <w:lang w:val="en-US" w:eastAsia="zh-CN"/>
        </w:rPr>
        <w:t>（S316省道）</w:t>
      </w:r>
      <w:r>
        <w:rPr>
          <w:rFonts w:hint="default" w:ascii="Times New Roman" w:hAnsi="Times New Roman" w:cs="Times New Roman" w:eastAsiaTheme="minorEastAsia"/>
          <w:color w:val="auto"/>
          <w:sz w:val="28"/>
          <w:szCs w:val="28"/>
          <w:lang w:val="en-US" w:eastAsia="zh-CN"/>
        </w:rPr>
        <w:t>，隔永莘路为中石化加油站，南面为南二路</w:t>
      </w:r>
      <w:r>
        <w:rPr>
          <w:rFonts w:hint="eastAsia" w:cs="Times New Roman" w:eastAsiaTheme="minorEastAsia"/>
          <w:color w:val="auto"/>
          <w:sz w:val="28"/>
          <w:szCs w:val="28"/>
          <w:lang w:val="en-US" w:eastAsia="zh-CN"/>
        </w:rPr>
        <w:t>（G220国道）</w:t>
      </w:r>
      <w:r>
        <w:rPr>
          <w:rFonts w:hint="default" w:ascii="Times New Roman" w:hAnsi="Times New Roman" w:cs="Times New Roman" w:eastAsiaTheme="minorEastAsia"/>
          <w:color w:val="auto"/>
          <w:sz w:val="28"/>
          <w:szCs w:val="28"/>
          <w:lang w:val="en-US" w:eastAsia="zh-CN"/>
        </w:rPr>
        <w:t>，隔南二路</w:t>
      </w:r>
      <w:r>
        <w:rPr>
          <w:rFonts w:hint="eastAsia" w:cs="Times New Roman" w:eastAsiaTheme="minorEastAsia"/>
          <w:color w:val="auto"/>
          <w:sz w:val="28"/>
          <w:szCs w:val="28"/>
          <w:lang w:val="en-US" w:eastAsia="zh-CN"/>
        </w:rPr>
        <w:t>（G220国道）</w:t>
      </w:r>
      <w:r>
        <w:rPr>
          <w:rFonts w:hint="default" w:ascii="Times New Roman" w:hAnsi="Times New Roman" w:cs="Times New Roman" w:eastAsiaTheme="minorEastAsia"/>
          <w:color w:val="auto"/>
          <w:sz w:val="28"/>
          <w:szCs w:val="28"/>
          <w:lang w:val="en-US" w:eastAsia="zh-CN"/>
        </w:rPr>
        <w:t>为加气站。</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rPr>
      </w:pPr>
      <w:r>
        <w:rPr>
          <w:rFonts w:hint="default" w:ascii="Times New Roman" w:hAnsi="Times New Roman" w:cs="Times New Roman" w:eastAsiaTheme="minorEastAsia"/>
          <w:color w:val="auto"/>
          <w:szCs w:val="28"/>
        </w:rPr>
        <w:t>站址上空无架空电线、通信线等设施，地下无覆压油田管线</w:t>
      </w:r>
      <w:r>
        <w:rPr>
          <w:rFonts w:hint="default" w:ascii="Times New Roman" w:hAnsi="Times New Roman" w:cs="Times New Roman"/>
          <w:color w:val="auto"/>
        </w:rPr>
        <w:t>。</w:t>
      </w:r>
      <w:r>
        <w:rPr>
          <w:rFonts w:hint="eastAsia" w:cs="Times New Roman"/>
          <w:color w:val="auto"/>
          <w:lang w:eastAsia="zh-CN"/>
        </w:rPr>
        <w:t>该加油中心</w:t>
      </w:r>
      <w:r>
        <w:rPr>
          <w:rFonts w:hint="default" w:ascii="Times New Roman" w:hAnsi="Times New Roman" w:cs="Times New Roman"/>
          <w:color w:val="auto"/>
        </w:rPr>
        <w:t>周边防护距离符合《汽车加油加气站设计与施工规范</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2014版</w:t>
      </w:r>
      <w:r>
        <w:rPr>
          <w:rFonts w:hint="default" w:ascii="Times New Roman" w:hAnsi="Times New Roman" w:cs="Times New Roman"/>
          <w:color w:val="auto"/>
          <w:lang w:eastAsia="zh-CN"/>
        </w:rPr>
        <w:t>）</w:t>
      </w:r>
      <w:r>
        <w:rPr>
          <w:rFonts w:hint="default" w:ascii="Times New Roman" w:hAnsi="Times New Roman" w:cs="Times New Roman"/>
          <w:color w:val="auto"/>
        </w:rPr>
        <w:t>》（GB50156-2012）等标准规范要求。</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（2）建设项目所在地自然条件</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建设项目所在地的环境条件见本报告第2.2.4</w:t>
      </w:r>
      <w:r>
        <w:rPr>
          <w:rFonts w:hint="default" w:ascii="Times New Roman" w:hAnsi="Times New Roman" w:cs="Times New Roman" w:eastAsiaTheme="minorEastAsia"/>
          <w:color w:val="auto"/>
          <w:lang w:eastAsia="zh-CN"/>
        </w:rPr>
        <w:t>章</w:t>
      </w:r>
      <w:r>
        <w:rPr>
          <w:rFonts w:hint="default" w:ascii="Times New Roman" w:hAnsi="Times New Roman" w:cs="Times New Roman" w:eastAsiaTheme="minorEastAsia"/>
          <w:color w:val="auto"/>
        </w:rPr>
        <w:t>节。</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81" w:name="_Toc496775864"/>
      <w:bookmarkStart w:id="82" w:name="_Toc9649"/>
      <w:r>
        <w:rPr>
          <w:rFonts w:hint="default" w:ascii="Times New Roman" w:hAnsi="Times New Roman" w:cs="Times New Roman" w:eastAsiaTheme="minorEastAsia"/>
          <w:b/>
          <w:bCs w:val="0"/>
          <w:color w:val="auto"/>
          <w:sz w:val="28"/>
          <w:szCs w:val="28"/>
        </w:rPr>
        <w:t xml:space="preserve">6.2 </w:t>
      </w:r>
      <w:r>
        <w:rPr>
          <w:rFonts w:hint="eastAsia" w:cs="Times New Roman" w:eastAsiaTheme="minorEastAsia"/>
          <w:b/>
          <w:bCs w:val="0"/>
          <w:color w:val="auto"/>
          <w:sz w:val="28"/>
          <w:szCs w:val="28"/>
          <w:lang w:eastAsia="zh-CN"/>
        </w:rPr>
        <w:t>周边环境影响因素</w:t>
      </w:r>
      <w:r>
        <w:rPr>
          <w:rFonts w:hint="default" w:ascii="Times New Roman" w:hAnsi="Times New Roman" w:cs="Times New Roman" w:eastAsiaTheme="minorEastAsia"/>
          <w:b/>
          <w:bCs w:val="0"/>
          <w:color w:val="auto"/>
          <w:sz w:val="28"/>
          <w:szCs w:val="28"/>
        </w:rPr>
        <w:t>分析</w:t>
      </w:r>
      <w:bookmarkEnd w:id="81"/>
      <w:bookmarkEnd w:id="82"/>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（1）该项目对周边设施的影响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通过危险、有害因素分析可知，</w:t>
      </w:r>
      <w:r>
        <w:rPr>
          <w:rFonts w:hint="eastAsia" w:ascii="Times New Roman" w:hAnsi="Times New Roman" w:cs="Times New Roman"/>
          <w:color w:val="auto"/>
          <w:highlight w:val="none"/>
          <w:lang w:eastAsia="zh-CN"/>
        </w:rPr>
        <w:t>该加油中心</w:t>
      </w:r>
      <w:r>
        <w:rPr>
          <w:rFonts w:hint="default" w:ascii="Times New Roman" w:hAnsi="Times New Roman" w:cs="Times New Roman"/>
          <w:color w:val="auto"/>
          <w:highlight w:val="none"/>
        </w:rPr>
        <w:t>潜在的危险因素类型有火灾、爆炸，中毒和窒息、触电、高处坠落、</w:t>
      </w:r>
      <w:r>
        <w:rPr>
          <w:rFonts w:hint="eastAsia" w:cs="Times New Roman"/>
          <w:color w:val="auto"/>
          <w:highlight w:val="none"/>
          <w:lang w:eastAsia="zh-CN"/>
        </w:rPr>
        <w:t>物体打击、</w:t>
      </w:r>
      <w:r>
        <w:rPr>
          <w:rFonts w:hint="default" w:ascii="Times New Roman" w:hAnsi="Times New Roman" w:cs="Times New Roman"/>
          <w:color w:val="auto"/>
          <w:highlight w:val="none"/>
        </w:rPr>
        <w:t>车辆伤害、坍塌等。</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rPr>
      </w:pPr>
      <w:r>
        <w:rPr>
          <w:rFonts w:hint="default" w:ascii="Times New Roman" w:hAnsi="Times New Roman" w:cs="Times New Roman"/>
          <w:color w:val="auto"/>
          <w:highlight w:val="none"/>
        </w:rPr>
        <w:t>其中主要危险是汽、柴油引起的火灾、爆炸。由于采用埋地油罐储存，大大降低了汽、柴油发生火灾、爆炸的可能性和严重性，同时该加油</w:t>
      </w:r>
      <w:r>
        <w:rPr>
          <w:rFonts w:hint="eastAsia" w:ascii="Times New Roman" w:hAnsi="Times New Roman" w:cs="Times New Roman"/>
          <w:color w:val="auto"/>
          <w:highlight w:val="none"/>
          <w:lang w:eastAsia="zh-CN"/>
        </w:rPr>
        <w:t>中心</w:t>
      </w:r>
      <w:r>
        <w:rPr>
          <w:rFonts w:hint="default" w:ascii="Times New Roman" w:hAnsi="Times New Roman" w:cs="Times New Roman"/>
          <w:color w:val="auto"/>
          <w:highlight w:val="none"/>
        </w:rPr>
        <w:t>改造后罐区与周边单位、设施的防火距离符合《汽车加油加气站设计与施工规范</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2014年版</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GB50156-2012</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等的要求。该加油</w:t>
      </w:r>
      <w:r>
        <w:rPr>
          <w:rFonts w:hint="eastAsia" w:ascii="Times New Roman" w:hAnsi="Times New Roman" w:cs="Times New Roman"/>
          <w:color w:val="auto"/>
          <w:highlight w:val="none"/>
          <w:lang w:eastAsia="zh-CN"/>
        </w:rPr>
        <w:t>中心</w:t>
      </w:r>
      <w:r>
        <w:rPr>
          <w:rFonts w:hint="default" w:ascii="Times New Roman" w:hAnsi="Times New Roman" w:cs="Times New Roman"/>
          <w:color w:val="auto"/>
          <w:highlight w:val="none"/>
        </w:rPr>
        <w:t>编制有应急预案并定期进行演练，配备灭火器、灭火毯等消防设施，能在一定程度上降低发生</w:t>
      </w:r>
      <w:r>
        <w:rPr>
          <w:rFonts w:hint="eastAsia" w:ascii="Times New Roman" w:hAnsi="Times New Roman" w:cs="Times New Roman"/>
          <w:color w:val="auto"/>
          <w:highlight w:val="none"/>
          <w:lang w:eastAsia="zh-CN"/>
        </w:rPr>
        <w:t>安全事故</w:t>
      </w:r>
      <w:r>
        <w:rPr>
          <w:rFonts w:hint="default" w:ascii="Times New Roman" w:hAnsi="Times New Roman" w:cs="Times New Roman"/>
          <w:color w:val="auto"/>
          <w:highlight w:val="none"/>
        </w:rPr>
        <w:t>的可能。该加油</w:t>
      </w:r>
      <w:r>
        <w:rPr>
          <w:rFonts w:hint="eastAsia" w:ascii="Times New Roman" w:hAnsi="Times New Roman" w:cs="Times New Roman"/>
          <w:color w:val="auto"/>
          <w:highlight w:val="none"/>
          <w:lang w:eastAsia="zh-CN"/>
        </w:rPr>
        <w:t>中心</w:t>
      </w:r>
      <w:r>
        <w:rPr>
          <w:rFonts w:hint="default" w:ascii="Times New Roman" w:hAnsi="Times New Roman" w:cs="Times New Roman"/>
          <w:color w:val="auto"/>
          <w:highlight w:val="none"/>
        </w:rPr>
        <w:t>对周边防火距离符合要求，但也应采取措施加强防护。其它危险，如机械伤害、触电、高处坠落、车辆伤害、坍塌等，影响的主要是站内人员，对周边的单位及居民影响较小</w:t>
      </w:r>
      <w:r>
        <w:rPr>
          <w:rFonts w:hint="default" w:ascii="Times New Roman" w:hAnsi="Times New Roman" w:cs="Times New Roman"/>
          <w:color w:val="auto"/>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（2）周边环境对该项目的影响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kern w:val="0"/>
        </w:rPr>
      </w:pPr>
      <w:r>
        <w:rPr>
          <w:rFonts w:hint="default" w:ascii="Times New Roman" w:hAnsi="Times New Roman" w:cs="Times New Roman" w:eastAsiaTheme="minorEastAsia"/>
          <w:color w:val="auto"/>
          <w:sz w:val="28"/>
          <w:szCs w:val="28"/>
        </w:rPr>
        <w:t>该加油</w:t>
      </w:r>
      <w:r>
        <w:rPr>
          <w:rFonts w:hint="eastAsia" w:cs="Times New Roman" w:eastAsiaTheme="minorEastAsia"/>
          <w:color w:val="auto"/>
          <w:sz w:val="28"/>
          <w:szCs w:val="28"/>
          <w:lang w:eastAsia="zh-CN"/>
        </w:rPr>
        <w:t>中心</w:t>
      </w:r>
      <w:r>
        <w:rPr>
          <w:rFonts w:hint="default" w:ascii="Times New Roman" w:hAnsi="Times New Roman" w:cs="Times New Roman" w:eastAsiaTheme="minorEastAsia"/>
          <w:color w:val="auto"/>
          <w:sz w:val="28"/>
          <w:szCs w:val="28"/>
        </w:rPr>
        <w:t>位于</w:t>
      </w:r>
      <w:r>
        <w:rPr>
          <w:rFonts w:hint="eastAsia" w:cs="Times New Roman" w:eastAsiaTheme="minorEastAsia"/>
          <w:color w:val="auto"/>
          <w:sz w:val="28"/>
          <w:szCs w:val="28"/>
          <w:lang w:eastAsia="zh-CN"/>
        </w:rPr>
        <w:t>东营市垦利区董集镇利津黄河大桥以东、永莘路南侧</w:t>
      </w:r>
      <w:r>
        <w:rPr>
          <w:rFonts w:hint="default" w:ascii="Times New Roman" w:hAnsi="Times New Roman" w:cs="Times New Roman"/>
          <w:color w:val="auto"/>
          <w:sz w:val="28"/>
          <w:szCs w:val="28"/>
        </w:rPr>
        <w:t>。</w:t>
      </w:r>
      <w:r>
        <w:rPr>
          <w:rFonts w:hint="eastAsia" w:cs="Times New Roman" w:eastAsiaTheme="minorEastAsia"/>
          <w:color w:val="auto"/>
          <w:sz w:val="28"/>
          <w:szCs w:val="28"/>
          <w:lang w:eastAsia="zh-CN"/>
        </w:rPr>
        <w:t>该加油中心</w:t>
      </w:r>
      <w:r>
        <w:rPr>
          <w:rFonts w:hint="default" w:ascii="Times New Roman" w:hAnsi="Times New Roman" w:cs="Times New Roman" w:eastAsiaTheme="minorEastAsia"/>
          <w:color w:val="auto"/>
          <w:sz w:val="28"/>
          <w:szCs w:val="28"/>
          <w:lang w:val="en-US" w:eastAsia="zh-CN"/>
        </w:rPr>
        <w:t>东面为民房（三类民用建筑物，建筑面积小于5000</w:t>
      </w:r>
      <w:r>
        <w:rPr>
          <w:rFonts w:hint="eastAsia" w:cs="Times New Roman" w:eastAsiaTheme="minorEastAsia"/>
          <w:color w:val="auto"/>
          <w:sz w:val="28"/>
          <w:szCs w:val="28"/>
          <w:lang w:val="en-US" w:eastAsia="zh-CN"/>
        </w:rPr>
        <w:t>m</w:t>
      </w:r>
      <w:r>
        <w:rPr>
          <w:rFonts w:hint="eastAsia" w:cs="Times New Roman" w:eastAsiaTheme="minorEastAsia"/>
          <w:color w:val="auto"/>
          <w:sz w:val="28"/>
          <w:szCs w:val="28"/>
          <w:vertAlign w:val="superscript"/>
          <w:lang w:val="en-US" w:eastAsia="zh-CN"/>
        </w:rPr>
        <w:t>3</w:t>
      </w:r>
      <w:r>
        <w:rPr>
          <w:rFonts w:hint="default" w:ascii="Times New Roman" w:hAnsi="Times New Roman" w:cs="Times New Roman" w:eastAsiaTheme="minorEastAsia"/>
          <w:color w:val="auto"/>
          <w:sz w:val="28"/>
          <w:szCs w:val="28"/>
          <w:lang w:val="en-US" w:eastAsia="zh-CN"/>
        </w:rPr>
        <w:t>）</w:t>
      </w:r>
      <w:r>
        <w:rPr>
          <w:rFonts w:hint="eastAsia" w:cs="Times New Roman" w:eastAsiaTheme="minorEastAsia"/>
          <w:color w:val="auto"/>
          <w:sz w:val="28"/>
          <w:szCs w:val="28"/>
          <w:lang w:val="en-US" w:eastAsia="zh-CN"/>
        </w:rPr>
        <w:t>，</w:t>
      </w:r>
      <w:r>
        <w:rPr>
          <w:rFonts w:hint="default" w:ascii="Times New Roman" w:hAnsi="Times New Roman" w:cs="Times New Roman" w:eastAsiaTheme="minorEastAsia"/>
          <w:color w:val="auto"/>
          <w:sz w:val="28"/>
          <w:szCs w:val="28"/>
          <w:lang w:val="en-US" w:eastAsia="zh-CN"/>
        </w:rPr>
        <w:t>西为</w:t>
      </w:r>
      <w:r>
        <w:rPr>
          <w:rFonts w:hint="eastAsia" w:cs="Times New Roman" w:eastAsiaTheme="minorEastAsia"/>
          <w:color w:val="auto"/>
          <w:sz w:val="28"/>
          <w:szCs w:val="28"/>
          <w:lang w:val="en-US" w:eastAsia="zh-CN"/>
        </w:rPr>
        <w:t>绿化林，</w:t>
      </w:r>
      <w:r>
        <w:rPr>
          <w:rFonts w:hint="default" w:ascii="Times New Roman" w:hAnsi="Times New Roman" w:cs="Times New Roman" w:eastAsiaTheme="minorEastAsia"/>
          <w:color w:val="auto"/>
          <w:sz w:val="28"/>
          <w:szCs w:val="28"/>
          <w:lang w:val="en-US" w:eastAsia="zh-CN"/>
        </w:rPr>
        <w:t>北面为永莘路</w:t>
      </w:r>
      <w:r>
        <w:rPr>
          <w:rFonts w:hint="eastAsia" w:cs="Times New Roman" w:eastAsiaTheme="minorEastAsia"/>
          <w:color w:val="auto"/>
          <w:sz w:val="28"/>
          <w:szCs w:val="28"/>
          <w:lang w:val="en-US" w:eastAsia="zh-CN"/>
        </w:rPr>
        <w:t>（S316省道）</w:t>
      </w:r>
      <w:r>
        <w:rPr>
          <w:rFonts w:hint="default" w:ascii="Times New Roman" w:hAnsi="Times New Roman" w:cs="Times New Roman" w:eastAsiaTheme="minorEastAsia"/>
          <w:color w:val="auto"/>
          <w:sz w:val="28"/>
          <w:szCs w:val="28"/>
          <w:lang w:val="en-US" w:eastAsia="zh-CN"/>
        </w:rPr>
        <w:t>，隔永莘路为中石化加油站，南面为南二路</w:t>
      </w:r>
      <w:r>
        <w:rPr>
          <w:rFonts w:hint="eastAsia" w:cs="Times New Roman" w:eastAsiaTheme="minorEastAsia"/>
          <w:color w:val="auto"/>
          <w:sz w:val="28"/>
          <w:szCs w:val="28"/>
          <w:lang w:val="en-US" w:eastAsia="zh-CN"/>
        </w:rPr>
        <w:t>（G220国道）</w:t>
      </w:r>
      <w:r>
        <w:rPr>
          <w:rFonts w:hint="default" w:ascii="Times New Roman" w:hAnsi="Times New Roman" w:cs="Times New Roman" w:eastAsiaTheme="minorEastAsia"/>
          <w:color w:val="auto"/>
          <w:sz w:val="28"/>
          <w:szCs w:val="28"/>
          <w:lang w:val="en-US" w:eastAsia="zh-CN"/>
        </w:rPr>
        <w:t>，隔南二路</w:t>
      </w:r>
      <w:r>
        <w:rPr>
          <w:rFonts w:hint="eastAsia" w:cs="Times New Roman" w:eastAsiaTheme="minorEastAsia"/>
          <w:color w:val="auto"/>
          <w:sz w:val="28"/>
          <w:szCs w:val="28"/>
          <w:lang w:val="en-US" w:eastAsia="zh-CN"/>
        </w:rPr>
        <w:t>（G220国道）</w:t>
      </w:r>
      <w:r>
        <w:rPr>
          <w:rFonts w:hint="default" w:ascii="Times New Roman" w:hAnsi="Times New Roman" w:cs="Times New Roman" w:eastAsiaTheme="minorEastAsia"/>
          <w:color w:val="auto"/>
          <w:sz w:val="28"/>
          <w:szCs w:val="28"/>
          <w:lang w:val="en-US" w:eastAsia="zh-CN"/>
        </w:rPr>
        <w:t>为加气站</w:t>
      </w:r>
      <w:r>
        <w:rPr>
          <w:rFonts w:hint="default" w:ascii="Times New Roman" w:hAnsi="Times New Roman" w:cs="Times New Roman"/>
          <w:color w:val="auto"/>
          <w:sz w:val="28"/>
          <w:szCs w:val="28"/>
          <w:lang w:val="en-US" w:eastAsia="zh-CN"/>
        </w:rPr>
        <w:t>。</w:t>
      </w:r>
      <w:r>
        <w:rPr>
          <w:rFonts w:hint="default" w:ascii="Times New Roman" w:hAnsi="Times New Roman" w:cs="Times New Roman" w:eastAsiaTheme="minorEastAsia"/>
          <w:color w:val="auto"/>
          <w:kern w:val="0"/>
        </w:rPr>
        <w:t>若</w:t>
      </w:r>
      <w:r>
        <w:rPr>
          <w:rFonts w:hint="eastAsia" w:cs="Times New Roman" w:eastAsiaTheme="minorEastAsia"/>
          <w:color w:val="auto"/>
          <w:kern w:val="0"/>
          <w:lang w:val="en-US" w:eastAsia="zh-CN"/>
        </w:rPr>
        <w:t>周边加油、加气</w:t>
      </w:r>
      <w:r>
        <w:rPr>
          <w:rFonts w:hint="eastAsia" w:cs="Times New Roman" w:eastAsiaTheme="minorEastAsia"/>
          <w:color w:val="auto"/>
          <w:kern w:val="0"/>
          <w:lang w:eastAsia="zh-CN"/>
        </w:rPr>
        <w:t>设施</w:t>
      </w:r>
      <w:r>
        <w:rPr>
          <w:rFonts w:hint="default" w:ascii="Times New Roman" w:hAnsi="Times New Roman" w:cs="Times New Roman" w:eastAsiaTheme="minorEastAsia"/>
          <w:color w:val="auto"/>
          <w:kern w:val="0"/>
        </w:rPr>
        <w:t>发生火灾</w:t>
      </w:r>
      <w:r>
        <w:rPr>
          <w:rFonts w:hint="eastAsia" w:cs="Times New Roman" w:eastAsiaTheme="minorEastAsia"/>
          <w:color w:val="auto"/>
          <w:kern w:val="0"/>
          <w:lang w:eastAsia="zh-CN"/>
        </w:rPr>
        <w:t>爆炸</w:t>
      </w:r>
      <w:r>
        <w:rPr>
          <w:rFonts w:hint="default" w:ascii="Times New Roman" w:hAnsi="Times New Roman" w:cs="Times New Roman" w:eastAsiaTheme="minorEastAsia"/>
          <w:color w:val="auto"/>
          <w:kern w:val="0"/>
        </w:rPr>
        <w:t>事故</w:t>
      </w:r>
      <w:r>
        <w:rPr>
          <w:rFonts w:hint="eastAsia" w:cs="Times New Roman" w:eastAsiaTheme="minorEastAsia"/>
          <w:color w:val="auto"/>
          <w:kern w:val="0"/>
          <w:lang w:eastAsia="zh-CN"/>
        </w:rPr>
        <w:t>，</w:t>
      </w:r>
      <w:r>
        <w:rPr>
          <w:rFonts w:hint="default" w:ascii="Times New Roman" w:hAnsi="Times New Roman" w:cs="Times New Roman" w:eastAsiaTheme="minorEastAsia"/>
          <w:color w:val="auto"/>
          <w:kern w:val="0"/>
        </w:rPr>
        <w:t>可能会对</w:t>
      </w:r>
      <w:r>
        <w:rPr>
          <w:rFonts w:hint="eastAsia" w:cs="Times New Roman" w:eastAsiaTheme="minorEastAsia"/>
          <w:color w:val="auto"/>
          <w:kern w:val="0"/>
          <w:lang w:eastAsia="zh-CN"/>
        </w:rPr>
        <w:t>该加油中心</w:t>
      </w:r>
      <w:r>
        <w:rPr>
          <w:rFonts w:hint="default" w:ascii="Times New Roman" w:hAnsi="Times New Roman" w:cs="Times New Roman" w:eastAsiaTheme="minorEastAsia"/>
          <w:color w:val="auto"/>
          <w:kern w:val="0"/>
        </w:rPr>
        <w:t>设备设施及人员造成一定影响，</w:t>
      </w:r>
      <w:r>
        <w:rPr>
          <w:rFonts w:hint="default" w:ascii="Times New Roman" w:hAnsi="Times New Roman" w:cs="Times New Roman" w:eastAsiaTheme="minorEastAsia"/>
          <w:color w:val="auto"/>
          <w:sz w:val="28"/>
          <w:szCs w:val="28"/>
          <w:lang w:val="en-US" w:eastAsia="zh-CN"/>
        </w:rPr>
        <w:t>永莘路</w:t>
      </w:r>
      <w:r>
        <w:rPr>
          <w:rFonts w:hint="eastAsia" w:cs="Times New Roman" w:eastAsiaTheme="minorEastAsia"/>
          <w:color w:val="auto"/>
          <w:sz w:val="28"/>
          <w:szCs w:val="28"/>
          <w:lang w:val="en-US" w:eastAsia="zh-CN"/>
        </w:rPr>
        <w:t>（S316省道）以及</w:t>
      </w:r>
      <w:r>
        <w:rPr>
          <w:rFonts w:hint="default" w:ascii="Times New Roman" w:hAnsi="Times New Roman" w:cs="Times New Roman" w:eastAsiaTheme="minorEastAsia"/>
          <w:color w:val="auto"/>
          <w:sz w:val="28"/>
          <w:szCs w:val="28"/>
          <w:lang w:val="en-US" w:eastAsia="zh-CN"/>
        </w:rPr>
        <w:t>南二路</w:t>
      </w:r>
      <w:r>
        <w:rPr>
          <w:rFonts w:hint="eastAsia" w:cs="Times New Roman" w:eastAsiaTheme="minorEastAsia"/>
          <w:color w:val="auto"/>
          <w:sz w:val="28"/>
          <w:szCs w:val="28"/>
          <w:lang w:val="en-US" w:eastAsia="zh-CN"/>
        </w:rPr>
        <w:t>（G220国道）</w:t>
      </w:r>
      <w:r>
        <w:rPr>
          <w:rFonts w:hint="default" w:ascii="Times New Roman" w:hAnsi="Times New Roman" w:cs="Times New Roman" w:eastAsiaTheme="minorEastAsia"/>
          <w:color w:val="auto"/>
          <w:kern w:val="0"/>
        </w:rPr>
        <w:t>上行人未经许可和安全告知进入加油站，意外损坏或人为破坏等有造成油品泄漏、甚至发生火灾、爆炸、窒息的危险，会对加油站安全造成威胁，企业在建立完善的安全管理制度，加强安全管理，</w:t>
      </w:r>
      <w:r>
        <w:rPr>
          <w:rFonts w:hint="eastAsia" w:cs="Times New Roman" w:eastAsiaTheme="minorEastAsia"/>
          <w:color w:val="auto"/>
          <w:kern w:val="0"/>
          <w:lang w:eastAsia="zh-CN"/>
        </w:rPr>
        <w:t>建立相应的</w:t>
      </w:r>
      <w:r>
        <w:rPr>
          <w:rFonts w:hint="default" w:ascii="Times New Roman" w:hAnsi="Times New Roman" w:cs="Times New Roman" w:eastAsiaTheme="minorEastAsia"/>
          <w:color w:val="auto"/>
          <w:kern w:val="0"/>
        </w:rPr>
        <w:t>事故应急救援预案并定期进行演练情况下，其对本项目的风险影响程度较低。</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kern w:val="0"/>
        </w:rPr>
      </w:pPr>
      <w:r>
        <w:rPr>
          <w:rFonts w:hint="default" w:ascii="Times New Roman" w:hAnsi="Times New Roman" w:cs="Times New Roman" w:eastAsiaTheme="minorEastAsia"/>
          <w:color w:val="auto"/>
          <w:kern w:val="0"/>
        </w:rPr>
        <w:t>（3）自然条件对该项目的影响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1）雷雨天气，特别是雷雨季节，罩棚、油罐通气管等有遭到雷击的危险。该加油站加油罩棚、油罐区按第二类防雷建筑物设置防雷保护，站房</w:t>
      </w:r>
      <w:r>
        <w:rPr>
          <w:rFonts w:hint="eastAsia" w:cs="Times New Roman" w:eastAsiaTheme="minorEastAsia"/>
          <w:color w:val="auto"/>
          <w:highlight w:val="none"/>
          <w:lang w:eastAsia="zh-CN"/>
        </w:rPr>
        <w:t>、辅助用房</w:t>
      </w:r>
      <w:r>
        <w:rPr>
          <w:rFonts w:hint="default" w:ascii="Times New Roman" w:hAnsi="Times New Roman" w:cs="Times New Roman" w:eastAsiaTheme="minorEastAsia"/>
          <w:color w:val="auto"/>
          <w:highlight w:val="none"/>
        </w:rPr>
        <w:t>按照三级防雷建筑物设防。</w:t>
      </w:r>
      <w:r>
        <w:rPr>
          <w:color w:val="auto"/>
        </w:rPr>
        <w:t>该加油</w:t>
      </w:r>
      <w:r>
        <w:rPr>
          <w:rFonts w:hint="eastAsia"/>
          <w:color w:val="auto"/>
          <w:lang w:eastAsia="zh-CN"/>
        </w:rPr>
        <w:t>中心</w:t>
      </w:r>
      <w:r>
        <w:rPr>
          <w:color w:val="auto"/>
        </w:rPr>
        <w:t>于</w:t>
      </w:r>
      <w:r>
        <w:rPr>
          <w:rFonts w:hint="eastAsia"/>
          <w:color w:val="auto"/>
        </w:rPr>
        <w:t>20</w:t>
      </w:r>
      <w:r>
        <w:rPr>
          <w:rFonts w:hint="eastAsia"/>
          <w:color w:val="auto"/>
          <w:lang w:val="en-US" w:eastAsia="zh-CN"/>
        </w:rPr>
        <w:t>21</w:t>
      </w:r>
      <w:r>
        <w:rPr>
          <w:rFonts w:hint="eastAsia"/>
          <w:color w:val="auto"/>
        </w:rPr>
        <w:t>年</w:t>
      </w:r>
      <w:r>
        <w:rPr>
          <w:rFonts w:hint="eastAsia"/>
          <w:color w:val="auto"/>
          <w:lang w:val="en-US" w:eastAsia="zh-CN"/>
        </w:rPr>
        <w:t>1</w:t>
      </w:r>
      <w:r>
        <w:rPr>
          <w:rFonts w:hint="eastAsia"/>
          <w:color w:val="auto"/>
        </w:rPr>
        <w:t>月</w:t>
      </w:r>
      <w:r>
        <w:rPr>
          <w:rFonts w:hint="eastAsia"/>
          <w:color w:val="auto"/>
          <w:lang w:val="en-US" w:eastAsia="zh-CN"/>
        </w:rPr>
        <w:t>8</w:t>
      </w:r>
      <w:r>
        <w:rPr>
          <w:rFonts w:hint="eastAsia"/>
          <w:color w:val="auto"/>
        </w:rPr>
        <w:t>日</w:t>
      </w:r>
      <w:r>
        <w:rPr>
          <w:rFonts w:hint="eastAsia"/>
          <w:color w:val="auto"/>
          <w:lang w:eastAsia="zh-CN"/>
        </w:rPr>
        <w:t>由吉林省宇泰安全技术服务有限公司</w:t>
      </w:r>
      <w:r>
        <w:rPr>
          <w:color w:val="auto"/>
        </w:rPr>
        <w:t>出具的</w:t>
      </w:r>
      <w:r>
        <w:rPr>
          <w:rFonts w:hint="eastAsia"/>
          <w:color w:val="auto"/>
          <w:lang w:eastAsia="zh-CN"/>
        </w:rPr>
        <w:t>防雷（静电）</w:t>
      </w:r>
      <w:r>
        <w:rPr>
          <w:color w:val="auto"/>
        </w:rPr>
        <w:t>装置检测报告</w:t>
      </w:r>
      <w:r>
        <w:rPr>
          <w:rFonts w:hint="eastAsia"/>
          <w:color w:val="auto"/>
        </w:rPr>
        <w:t>，</w:t>
      </w:r>
      <w:r>
        <w:rPr>
          <w:rFonts w:hint="eastAsia"/>
          <w:color w:val="auto"/>
          <w:lang w:eastAsia="zh-CN"/>
        </w:rPr>
        <w:t>报告编号</w:t>
      </w:r>
      <w:r>
        <w:rPr>
          <w:rFonts w:hint="eastAsia"/>
          <w:color w:val="auto"/>
          <w:lang w:val="en-US" w:eastAsia="zh-CN"/>
        </w:rPr>
        <w:t>1072017002[鲁01雷定安检]20210007，有效期至2021年7月7日，</w:t>
      </w:r>
      <w:r>
        <w:rPr>
          <w:color w:val="auto"/>
        </w:rPr>
        <w:t>检测结论：</w:t>
      </w:r>
      <w:r>
        <w:rPr>
          <w:rFonts w:hint="eastAsia"/>
          <w:color w:val="auto"/>
          <w:lang w:eastAsia="zh-CN"/>
        </w:rPr>
        <w:t>本次所检项目检测时状态均</w:t>
      </w:r>
      <w:r>
        <w:rPr>
          <w:color w:val="auto"/>
        </w:rPr>
        <w:t>符合国家相关规范</w:t>
      </w:r>
      <w:r>
        <w:rPr>
          <w:rFonts w:hint="default" w:ascii="Times New Roman" w:hAnsi="Times New Roman" w:cs="Times New Roman" w:eastAsiaTheme="minorEastAsia"/>
          <w:color w:val="auto"/>
          <w:highlight w:val="none"/>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2）地震烈度：站区所处地区地震烈度为7度，一旦发生地震，对</w:t>
      </w:r>
      <w:r>
        <w:rPr>
          <w:rFonts w:hint="eastAsia" w:cs="Times New Roman" w:eastAsiaTheme="minorEastAsia"/>
          <w:color w:val="auto"/>
          <w:lang w:eastAsia="zh-CN"/>
        </w:rPr>
        <w:t>该加油中心</w:t>
      </w:r>
      <w:r>
        <w:rPr>
          <w:rFonts w:hint="default" w:ascii="Times New Roman" w:hAnsi="Times New Roman" w:cs="Times New Roman" w:eastAsiaTheme="minorEastAsia"/>
          <w:color w:val="auto"/>
        </w:rPr>
        <w:t>的站房、罩棚、输油管线等设施造成坍塌、扭曲变形，油品泄漏，引发火灾爆炸事故。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该加油站罐区、站房和罩棚的抗震设防分类为丙类，抗震设防烈度按照7度设防，地质、地震条件可以满足该安全生产的要求。</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eastAsia" w:cs="Times New Roman" w:eastAsiaTheme="minorEastAsia"/>
          <w:color w:val="auto"/>
          <w:lang w:val="en-US" w:eastAsia="zh-CN"/>
        </w:rPr>
        <w:t>3）</w:t>
      </w:r>
      <w:r>
        <w:rPr>
          <w:rFonts w:hint="default" w:ascii="Times New Roman" w:hAnsi="Times New Roman" w:cs="Times New Roman" w:eastAsiaTheme="minorEastAsia"/>
          <w:color w:val="auto"/>
        </w:rPr>
        <w:t>盐碱性的地质条件对设备的腐蚀比较严重，建构筑物、设备防腐措施不到位，容易造成储罐、管线、阀门等腐蚀、抗压抗漏强度降低，造成物料泄露，进而引发事故。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cs="Times New Roman" w:eastAsiaTheme="minorEastAsia"/>
          <w:color w:val="auto"/>
          <w:lang w:val="en-US" w:eastAsia="zh-CN"/>
        </w:rPr>
      </w:pPr>
      <w:r>
        <w:rPr>
          <w:rFonts w:hint="default" w:ascii="Times New Roman" w:hAnsi="Times New Roman" w:cs="Times New Roman" w:eastAsiaTheme="minorEastAsia"/>
          <w:color w:val="auto"/>
        </w:rPr>
        <w:t>油罐和油管线均地下直埋，并作加强级防腐绝缘保护层，油罐外壁和管道防腐采用环氧漆。</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eastAsia" w:cs="Times New Roman" w:eastAsiaTheme="minorEastAsia"/>
          <w:color w:val="auto"/>
          <w:lang w:val="en-US" w:eastAsia="zh-CN"/>
        </w:rPr>
        <w:t>4</w:t>
      </w:r>
      <w:r>
        <w:rPr>
          <w:rFonts w:hint="default" w:ascii="Times New Roman" w:hAnsi="Times New Roman" w:cs="Times New Roman" w:eastAsiaTheme="minorEastAsia"/>
          <w:color w:val="auto"/>
        </w:rPr>
        <w:t>）自然灾害：当遭遇台风、飓风、暴雨、暴风雪等自然灾害时，可能造成站房、罩棚等扭曲、变形、倒塌，油品大量泄漏，从而引发火灾爆炸、中毒等事故；当遭遇暴雨等自然灾害时，站区内的排水设施若不完善，有可能出现内涝而威胁加、储油设施的正常运行；若罐区地下水排泄不当，有可能造成浮罐，有发生管线断裂油品泄漏的可能；若遇到暴风雪，罩棚的抗风、抗雪载荷达不到要求时，有发生罩棚倒塌的危险。</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该加油</w:t>
      </w:r>
      <w:r>
        <w:rPr>
          <w:rFonts w:hint="eastAsia" w:cs="Times New Roman" w:eastAsiaTheme="minorEastAsia"/>
          <w:color w:val="auto"/>
          <w:lang w:eastAsia="zh-CN"/>
        </w:rPr>
        <w:t>中心</w:t>
      </w:r>
      <w:r>
        <w:rPr>
          <w:rFonts w:hint="default" w:ascii="Times New Roman" w:hAnsi="Times New Roman" w:cs="Times New Roman" w:eastAsiaTheme="minorEastAsia"/>
          <w:color w:val="auto"/>
        </w:rPr>
        <w:t>罩棚</w:t>
      </w:r>
      <w:r>
        <w:rPr>
          <w:rFonts w:hint="eastAsia" w:cs="Times New Roman" w:eastAsiaTheme="minorEastAsia"/>
          <w:color w:val="auto"/>
          <w:lang w:eastAsia="zh-CN"/>
        </w:rPr>
        <w:t>在</w:t>
      </w:r>
      <w:r>
        <w:rPr>
          <w:rFonts w:hint="default" w:ascii="Times New Roman" w:hAnsi="Times New Roman" w:cs="Times New Roman" w:eastAsiaTheme="minorEastAsia"/>
          <w:color w:val="auto"/>
        </w:rPr>
        <w:t>设计、施工过程中已经充分考虑了本地区活荷载、风荷载雪荷载的影响，发生风灾、雪灾的可能性较小。</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eastAsia" w:cs="Times New Roman" w:eastAsiaTheme="minorEastAsia"/>
          <w:color w:val="auto"/>
          <w:lang w:val="en-US" w:eastAsia="zh-CN"/>
        </w:rPr>
        <w:t>5</w:t>
      </w:r>
      <w:r>
        <w:rPr>
          <w:rFonts w:hint="default" w:ascii="Times New Roman" w:hAnsi="Times New Roman" w:cs="Times New Roman" w:eastAsiaTheme="minorEastAsia"/>
          <w:color w:val="auto"/>
        </w:rPr>
        <w:t>）加油站属散发易燃有毒气体场所，在下风向处人员容易造成中毒危险，加油站编制事故应急处理预案时，应重点考虑下风向对周围人员的影响。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采取上述措施后，自然条件对建设项目投入生产或者使用后的影响可消除或降低。</w:t>
      </w: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2"/>
        <w:rPr>
          <w:rFonts w:hint="default" w:ascii="Times New Roman" w:hAnsi="Times New Roman" w:cs="Times New Roman" w:eastAsiaTheme="minorEastAsia"/>
          <w:color w:val="auto"/>
        </w:rPr>
      </w:pPr>
    </w:p>
    <w:p>
      <w:pPr>
        <w:pStyle w:val="3"/>
        <w:spacing w:before="156" w:after="156" w:line="520" w:lineRule="exact"/>
        <w:rPr>
          <w:rFonts w:hint="default" w:ascii="Times New Roman" w:hAnsi="Times New Roman" w:cs="Times New Roman" w:eastAsiaTheme="minorEastAsia"/>
          <w:color w:val="auto"/>
          <w:sz w:val="32"/>
          <w:szCs w:val="32"/>
        </w:rPr>
      </w:pPr>
      <w:bookmarkStart w:id="83" w:name="_Toc9858"/>
      <w:bookmarkStart w:id="84" w:name="_Toc6492"/>
      <w:r>
        <w:rPr>
          <w:rFonts w:hint="default" w:ascii="Times New Roman" w:hAnsi="Times New Roman" w:cs="Times New Roman" w:eastAsiaTheme="minorEastAsia"/>
          <w:color w:val="auto"/>
          <w:sz w:val="32"/>
          <w:szCs w:val="32"/>
        </w:rPr>
        <w:t>7 安全生产条件分析</w:t>
      </w:r>
      <w:bookmarkEnd w:id="83"/>
      <w:bookmarkEnd w:id="84"/>
    </w:p>
    <w:p>
      <w:pPr>
        <w:pStyle w:val="4"/>
        <w:spacing w:before="93" w:after="93" w:line="520" w:lineRule="exact"/>
        <w:rPr>
          <w:rFonts w:hint="default" w:ascii="Times New Roman" w:hAnsi="Times New Roman" w:cs="Times New Roman" w:eastAsiaTheme="minorEastAsia"/>
          <w:b/>
          <w:bCs w:val="0"/>
          <w:color w:val="auto"/>
          <w:sz w:val="28"/>
          <w:szCs w:val="28"/>
        </w:rPr>
      </w:pPr>
      <w:bookmarkStart w:id="85" w:name="_Toc490640351"/>
      <w:bookmarkStart w:id="86" w:name="_Toc496775866"/>
      <w:bookmarkStart w:id="87" w:name="_Toc4866"/>
      <w:bookmarkStart w:id="88" w:name="_Toc23450"/>
      <w:r>
        <w:rPr>
          <w:rFonts w:hint="default" w:ascii="Times New Roman" w:hAnsi="Times New Roman" w:cs="Times New Roman" w:eastAsiaTheme="minorEastAsia"/>
          <w:b/>
          <w:bCs w:val="0"/>
          <w:color w:val="auto"/>
          <w:sz w:val="28"/>
          <w:szCs w:val="28"/>
        </w:rPr>
        <w:t>7.1安全设施情况</w:t>
      </w:r>
      <w:bookmarkEnd w:id="85"/>
      <w:bookmarkEnd w:id="86"/>
      <w:bookmarkEnd w:id="87"/>
      <w:bookmarkEnd w:id="88"/>
    </w:p>
    <w:p>
      <w:pPr>
        <w:pStyle w:val="5"/>
        <w:spacing w:after="156" w:line="520" w:lineRule="exact"/>
        <w:rPr>
          <w:rFonts w:hint="default" w:ascii="Times New Roman" w:hAnsi="Times New Roman" w:cs="Times New Roman" w:eastAsiaTheme="minorEastAsia"/>
          <w:bCs w:val="0"/>
          <w:color w:val="auto"/>
          <w:szCs w:val="28"/>
        </w:rPr>
      </w:pPr>
      <w:r>
        <w:rPr>
          <w:rFonts w:hint="default" w:ascii="Times New Roman" w:hAnsi="Times New Roman" w:cs="Times New Roman" w:eastAsiaTheme="minorEastAsia"/>
          <w:bCs w:val="0"/>
          <w:color w:val="auto"/>
          <w:szCs w:val="28"/>
        </w:rPr>
        <w:t>7.1.1该项目采用（取）的安全设施情况</w:t>
      </w:r>
    </w:p>
    <w:p>
      <w:pPr>
        <w:pStyle w:val="88"/>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rPr>
      </w:pPr>
      <w:r>
        <w:rPr>
          <w:rFonts w:hint="eastAsia" w:cs="Times New Roman"/>
          <w:color w:val="auto"/>
          <w:sz w:val="28"/>
          <w:lang w:val="en-US" w:eastAsia="zh-CN"/>
        </w:rPr>
        <w:t>依据由广东政和工程有限公司出具的《山东万通集团垦利金顺油品有限公司第六加油中心扩容项目安全设施设计专篇》，</w:t>
      </w:r>
      <w:r>
        <w:rPr>
          <w:rFonts w:hint="default" w:ascii="Times New Roman" w:hAnsi="Times New Roman" w:cs="Times New Roman"/>
          <w:color w:val="auto"/>
          <w:sz w:val="28"/>
        </w:rPr>
        <w:t>该项目在设计施工中采（用）取的安全设施见表</w:t>
      </w:r>
      <w:r>
        <w:rPr>
          <w:rFonts w:hint="default" w:ascii="Times New Roman" w:hAnsi="Times New Roman" w:cs="Times New Roman"/>
          <w:color w:val="auto"/>
          <w:sz w:val="28"/>
          <w:lang w:val="en-US" w:eastAsia="zh-CN"/>
        </w:rPr>
        <w:t>7.1-1。</w:t>
      </w:r>
    </w:p>
    <w:p>
      <w:pPr>
        <w:ind w:firstLine="482"/>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表7.1-1建设项目安全设施设计专篇采</w:t>
      </w:r>
      <w:r>
        <w:rPr>
          <w:rFonts w:hint="eastAsia" w:cs="Times New Roman"/>
          <w:b/>
          <w:color w:val="auto"/>
          <w:sz w:val="24"/>
          <w:szCs w:val="24"/>
          <w:lang w:eastAsia="zh-CN"/>
        </w:rPr>
        <w:t>取的</w:t>
      </w:r>
      <w:r>
        <w:rPr>
          <w:rFonts w:hint="default" w:ascii="Times New Roman" w:hAnsi="Times New Roman" w:cs="Times New Roman"/>
          <w:b/>
          <w:color w:val="auto"/>
          <w:sz w:val="24"/>
          <w:szCs w:val="24"/>
        </w:rPr>
        <w:t>安全设施落实情况</w:t>
      </w:r>
    </w:p>
    <w:tbl>
      <w:tblPr>
        <w:tblStyle w:val="28"/>
        <w:tblW w:w="92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57" w:type="dxa"/>
          <w:bottom w:w="28" w:type="dxa"/>
          <w:right w:w="57" w:type="dxa"/>
        </w:tblCellMar>
      </w:tblPr>
      <w:tblGrid>
        <w:gridCol w:w="757"/>
        <w:gridCol w:w="5938"/>
        <w:gridCol w:w="25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tblHeader/>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序号</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eastAsia" w:cs="Times New Roman"/>
                <w:b/>
                <w:color w:val="auto"/>
                <w:sz w:val="21"/>
                <w:szCs w:val="21"/>
                <w:lang w:eastAsia="zh-CN"/>
              </w:rPr>
              <w:t>安全设施设计专篇</w:t>
            </w:r>
            <w:r>
              <w:rPr>
                <w:rFonts w:hint="default" w:ascii="Times New Roman" w:hAnsi="Times New Roman" w:cs="Times New Roman"/>
                <w:b/>
                <w:color w:val="auto"/>
                <w:sz w:val="21"/>
                <w:szCs w:val="21"/>
              </w:rPr>
              <w:t>采取的安全设施</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现场</w:t>
            </w:r>
            <w:r>
              <w:rPr>
                <w:rFonts w:hint="eastAsia" w:cs="Times New Roman"/>
                <w:b/>
                <w:color w:val="auto"/>
                <w:sz w:val="21"/>
                <w:szCs w:val="21"/>
                <w:lang w:eastAsia="zh-CN"/>
              </w:rPr>
              <w:t>落实</w:t>
            </w:r>
            <w:r>
              <w:rPr>
                <w:rFonts w:hint="default" w:ascii="Times New Roman" w:hAnsi="Times New Roman" w:cs="Times New Roman"/>
                <w:b/>
                <w:color w:val="auto"/>
                <w:sz w:val="21"/>
                <w:szCs w:val="21"/>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auto"/>
                <w:sz w:val="21"/>
                <w:szCs w:val="21"/>
                <w:lang w:eastAsia="zh-CN"/>
              </w:rPr>
            </w:pPr>
            <w:r>
              <w:rPr>
                <w:rFonts w:hint="eastAsia" w:cs="Times New Roman"/>
                <w:b/>
                <w:bCs w:val="0"/>
                <w:color w:val="auto"/>
                <w:sz w:val="21"/>
                <w:szCs w:val="21"/>
                <w:lang w:eastAsia="zh-CN"/>
              </w:rPr>
              <w:t>一</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eastAsia" w:cs="Times New Roman"/>
                <w:b/>
                <w:color w:val="auto"/>
                <w:sz w:val="21"/>
                <w:szCs w:val="21"/>
                <w:lang w:eastAsia="zh-CN"/>
              </w:rPr>
              <w:t>工艺系统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w:t>
            </w:r>
            <w:r>
              <w:rPr>
                <w:rFonts w:hint="eastAsia" w:cs="Times New Roman"/>
                <w:b/>
                <w:color w:val="auto"/>
                <w:sz w:val="21"/>
                <w:szCs w:val="21"/>
                <w:lang w:val="en-US" w:eastAsia="zh-CN"/>
              </w:rPr>
              <w:t>1</w:t>
            </w:r>
            <w:r>
              <w:rPr>
                <w:rFonts w:hint="eastAsia" w:cs="Times New Roman"/>
                <w:b/>
                <w:color w:val="auto"/>
                <w:sz w:val="21"/>
                <w:szCs w:val="21"/>
                <w:lang w:eastAsia="zh-CN"/>
              </w:rPr>
              <w:t>）</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防泄漏设施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汽油罐车卸油采用了密闭卸油系统，密闭卸油管道的各操作接口处，设快速接头及闷盖。油罐卸油时在罐内卸油立管上安装防溢满阀，当油料达到油罐容积90%时，触动高液位报警装置；油料达到油罐容量95%时，自动停止油料继续进罐。油罐高液位报警设置在站房内</w:t>
            </w:r>
            <w:r>
              <w:rPr>
                <w:rFonts w:hint="eastAsia" w:cs="Times New Roman"/>
                <w:color w:val="auto"/>
                <w:kern w:val="2"/>
                <w:sz w:val="21"/>
                <w:szCs w:val="21"/>
                <w:lang w:val="en-US" w:eastAsia="zh-CN" w:bidi="ar-SA"/>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已落实，采用</w:t>
            </w:r>
            <w:r>
              <w:rPr>
                <w:rFonts w:hint="default" w:ascii="Times New Roman" w:hAnsi="Times New Roman" w:eastAsia="宋体" w:cs="Times New Roman"/>
                <w:color w:val="auto"/>
                <w:kern w:val="2"/>
                <w:sz w:val="21"/>
                <w:szCs w:val="21"/>
                <w:lang w:val="en-US" w:eastAsia="zh-CN" w:bidi="ar-SA"/>
              </w:rPr>
              <w:t>密闭卸油系统，</w:t>
            </w:r>
            <w:r>
              <w:rPr>
                <w:rFonts w:hint="eastAsia" w:cs="Times New Roman"/>
                <w:color w:val="auto"/>
                <w:kern w:val="2"/>
                <w:sz w:val="21"/>
                <w:szCs w:val="21"/>
                <w:lang w:val="en-US" w:eastAsia="zh-CN" w:bidi="ar-SA"/>
              </w:rPr>
              <w:t>安装高低液位报警连锁切断装置，报警装置设置在站房内。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该加油站在站房、加油机及罐区附近设置紧急切断按钮，事故时紧急切断加油泵电源。同时紧急切断系统具有失效保护功能。紧急切断系统只能手动复位。</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已落实，站房与加油机附近设置</w:t>
            </w:r>
            <w:r>
              <w:rPr>
                <w:rFonts w:hint="default" w:ascii="Times New Roman" w:hAnsi="Times New Roman" w:eastAsia="宋体" w:cs="Times New Roman"/>
                <w:color w:val="auto"/>
                <w:kern w:val="2"/>
                <w:sz w:val="21"/>
                <w:szCs w:val="21"/>
                <w:lang w:val="en-US" w:eastAsia="zh-CN" w:bidi="ar-SA"/>
              </w:rPr>
              <w:t>紧急切断按钮</w:t>
            </w:r>
            <w:r>
              <w:rPr>
                <w:rFonts w:hint="eastAsia" w:cs="Times New Roman"/>
                <w:color w:val="auto"/>
                <w:kern w:val="2"/>
                <w:sz w:val="21"/>
                <w:szCs w:val="21"/>
                <w:lang w:val="en-US" w:eastAsia="zh-CN" w:bidi="ar-SA"/>
              </w:rPr>
              <w:t>，且只能手动复位。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90"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储油罐根据《汽车加油加气站设计与施工规范》（GB50156-2012）（2014年版）采用内钢外玻璃纤维增强塑料双层卧式油罐。双层油罐设置了渗漏检测立管，检测立管采用钢管，直径为80mm，壁厚不小于4mm；检测立管位于油罐顶部的纵向中心线上；检测立管的底部管口与油罐内、外壁间隙相连通，顶部管口安装防尘盖。</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eastAsia="宋体" w:cs="Times New Roman"/>
                <w:color w:val="auto"/>
                <w:kern w:val="2"/>
                <w:sz w:val="21"/>
                <w:szCs w:val="21"/>
                <w:lang w:val="en-US" w:eastAsia="zh-CN" w:bidi="ar-SA"/>
              </w:rPr>
              <w:t>采用内钢外玻璃纤维增强塑料双层卧式油罐</w:t>
            </w:r>
            <w:r>
              <w:rPr>
                <w:rFonts w:hint="eastAsia" w:cs="Times New Roman"/>
                <w:color w:val="auto"/>
                <w:kern w:val="2"/>
                <w:sz w:val="21"/>
                <w:szCs w:val="21"/>
                <w:lang w:val="en-US" w:eastAsia="zh-CN" w:bidi="ar-SA"/>
              </w:rPr>
              <w:t>，且设有检测立管。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90"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加油机软管上设置拉断阀。</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已落实，设置拉断阀。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pStyle w:val="10"/>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埋地加油管道采用双层KPS管道（高密度聚乙烯加油站管道系统）。双层管道的设计见下列规定：</w:t>
            </w:r>
          </w:p>
          <w:p>
            <w:pPr>
              <w:pStyle w:val="10"/>
              <w:keepNext w:val="0"/>
              <w:keepLines w:val="0"/>
              <w:pageBreakBefore w:val="0"/>
              <w:widowControl w:val="0"/>
              <w:numPr>
                <w:ilvl w:val="0"/>
                <w:numId w:val="3"/>
              </w:numPr>
              <w:kinsoku/>
              <w:wordWrap/>
              <w:overflowPunct/>
              <w:topLinePunct w:val="0"/>
              <w:autoSpaceDE/>
              <w:autoSpaceDN/>
              <w:bidi w:val="0"/>
              <w:adjustRightInd/>
              <w:snapToGrid/>
              <w:spacing w:after="0"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双层管道的内层管壁厚为4mm。</w:t>
            </w:r>
          </w:p>
          <w:p>
            <w:pPr>
              <w:pStyle w:val="10"/>
              <w:keepNext w:val="0"/>
              <w:keepLines w:val="0"/>
              <w:pageBreakBefore w:val="0"/>
              <w:widowControl w:val="0"/>
              <w:numPr>
                <w:ilvl w:val="0"/>
                <w:numId w:val="0"/>
              </w:numPr>
              <w:kinsoku/>
              <w:wordWrap/>
              <w:overflowPunct/>
              <w:topLinePunct w:val="0"/>
              <w:autoSpaceDE/>
              <w:autoSpaceDN/>
              <w:bidi w:val="0"/>
              <w:adjustRightInd/>
              <w:snapToGrid/>
              <w:spacing w:after="0"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（2）双层管道外层管的壁厚为5mm。</w:t>
            </w:r>
          </w:p>
          <w:p>
            <w:pPr>
              <w:pStyle w:val="10"/>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（3）双层管道系统的内层管与外层管之间的缝隙贯通。</w:t>
            </w:r>
          </w:p>
          <w:p>
            <w:pPr>
              <w:pStyle w:val="10"/>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（4）双层管道系统的最低点设置检漏点。</w:t>
            </w:r>
          </w:p>
          <w:p>
            <w:pPr>
              <w:pStyle w:val="10"/>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（5）双层管道坡向检漏点的坡度为5‰，并保证内层管和外层管任何部位出现渗漏均能在检漏点处被发现。</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（6）管道系统的渗漏检测采用在线监测系统。</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已落实，采用双层管道，且设有渗漏监测装置。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w:t>
            </w:r>
            <w:r>
              <w:rPr>
                <w:rFonts w:hint="eastAsia" w:cs="Times New Roman"/>
                <w:b/>
                <w:color w:val="auto"/>
                <w:sz w:val="21"/>
                <w:szCs w:val="21"/>
                <w:lang w:val="en-US" w:eastAsia="zh-CN"/>
              </w:rPr>
              <w:t>2</w:t>
            </w:r>
            <w:r>
              <w:rPr>
                <w:rFonts w:hint="eastAsia" w:cs="Times New Roman"/>
                <w:b/>
                <w:color w:val="auto"/>
                <w:sz w:val="21"/>
                <w:szCs w:val="21"/>
                <w:lang w:eastAsia="zh-CN"/>
              </w:rPr>
              <w:t>）</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防火、防爆设施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加油机底部的供油管道上设置剪切阀，当加油机被撞或起火时，剪切阀自动关闭。</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已落实，设置</w:t>
            </w:r>
            <w:r>
              <w:rPr>
                <w:rFonts w:hint="default" w:ascii="Times New Roman" w:hAnsi="Times New Roman" w:cs="Times New Roman"/>
                <w:color w:val="auto"/>
                <w:sz w:val="21"/>
                <w:szCs w:val="21"/>
              </w:rPr>
              <w:t>剪切阀</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133"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auto"/>
                <w:sz w:val="21"/>
                <w:szCs w:val="21"/>
                <w:lang w:eastAsia="zh-CN"/>
              </w:rPr>
            </w:pPr>
            <w:r>
              <w:rPr>
                <w:rFonts w:hint="default" w:ascii="Times New Roman" w:hAnsi="Times New Roman" w:cs="Times New Roman"/>
                <w:color w:val="auto"/>
                <w:sz w:val="21"/>
                <w:szCs w:val="21"/>
              </w:rPr>
              <w:t>定期定时对油罐液位计的检查，防止冒油。</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已落实，定期对</w:t>
            </w:r>
            <w:r>
              <w:rPr>
                <w:rFonts w:hint="default" w:ascii="Times New Roman" w:hAnsi="Times New Roman" w:cs="Times New Roman"/>
                <w:color w:val="auto"/>
                <w:sz w:val="21"/>
                <w:szCs w:val="21"/>
              </w:rPr>
              <w:t>油罐液位计</w:t>
            </w:r>
            <w:r>
              <w:rPr>
                <w:rFonts w:hint="eastAsia" w:cs="Times New Roman"/>
                <w:color w:val="auto"/>
                <w:sz w:val="21"/>
                <w:szCs w:val="21"/>
                <w:lang w:val="en-US" w:eastAsia="zh-CN"/>
              </w:rPr>
              <w:t>进行</w:t>
            </w:r>
            <w:r>
              <w:rPr>
                <w:rFonts w:hint="default" w:ascii="Times New Roman" w:hAnsi="Times New Roman" w:cs="Times New Roman"/>
                <w:color w:val="auto"/>
                <w:sz w:val="21"/>
                <w:szCs w:val="21"/>
              </w:rPr>
              <w:t>检查</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加强对加油设备、管道的维护保养，防止设备、管道及其附件破损、泄漏。</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已落实，定期</w:t>
            </w:r>
            <w:r>
              <w:rPr>
                <w:rFonts w:hint="default" w:ascii="Times New Roman" w:hAnsi="Times New Roman" w:cs="Times New Roman"/>
                <w:color w:val="auto"/>
                <w:sz w:val="21"/>
                <w:szCs w:val="21"/>
              </w:rPr>
              <w:t>对加油设备、管道</w:t>
            </w:r>
            <w:r>
              <w:rPr>
                <w:rFonts w:hint="eastAsia" w:cs="Times New Roman"/>
                <w:color w:val="auto"/>
                <w:sz w:val="21"/>
                <w:szCs w:val="21"/>
                <w:lang w:val="en-US" w:eastAsia="zh-CN"/>
              </w:rPr>
              <w:t>进行</w:t>
            </w:r>
            <w:r>
              <w:rPr>
                <w:rFonts w:hint="default" w:ascii="Times New Roman" w:hAnsi="Times New Roman" w:cs="Times New Roman"/>
                <w:color w:val="auto"/>
                <w:sz w:val="21"/>
                <w:szCs w:val="21"/>
              </w:rPr>
              <w:t>维护保养</w:t>
            </w:r>
            <w:r>
              <w:rPr>
                <w:rFonts w:hint="eastAsia"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爆炸危险区域内的电气设备选型、安装、电力线路敷设等，应符合现行国家标准《爆炸和火灾危险环境电力装置设计规范》GB</w:t>
            </w:r>
            <w:r>
              <w:rPr>
                <w:rFonts w:hint="eastAsia" w:ascii="Times New Roman" w:hAnsi="Times New Roman" w:cs="Times New Roman"/>
                <w:color w:val="auto"/>
                <w:sz w:val="21"/>
                <w:szCs w:val="21"/>
              </w:rPr>
              <w:t> 50058的有关规定</w:t>
            </w:r>
            <w:r>
              <w:rPr>
                <w:rFonts w:hint="default" w:ascii="Times New Roman" w:hAnsi="Times New Roman" w:cs="Times New Roman"/>
                <w:color w:val="auto"/>
                <w:sz w:val="21"/>
                <w:szCs w:val="21"/>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已落实，防爆等级符合要求。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站内严禁烟火，特别要加强对进出站内车辆的管理。必须进行明火作业时，并按规定办理动火手续，采取可靠的防火防爆措施后，才可进行动火作业。</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cs="Times New Roman"/>
                <w:color w:val="auto"/>
                <w:sz w:val="21"/>
                <w:szCs w:val="21"/>
              </w:rPr>
              <w:t>站内严禁烟火</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6</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auto"/>
                <w:sz w:val="21"/>
                <w:szCs w:val="21"/>
                <w:lang w:eastAsia="zh-CN"/>
              </w:rPr>
            </w:pPr>
            <w:r>
              <w:rPr>
                <w:rFonts w:hint="default" w:ascii="Times New Roman" w:hAnsi="Times New Roman" w:cs="Times New Roman"/>
                <w:color w:val="auto"/>
                <w:sz w:val="21"/>
                <w:szCs w:val="21"/>
              </w:rPr>
              <w:t>禁止穿带钉鞋、化纤或其他易产生静电的衣帽进入危险区域</w:t>
            </w:r>
            <w:r>
              <w:rPr>
                <w:rFonts w:hint="eastAsia" w:ascii="Times New Roman" w:hAnsi="Times New Roman" w:cs="Times New Roman"/>
                <w:color w:val="auto"/>
                <w:sz w:val="21"/>
                <w:szCs w:val="21"/>
                <w:lang w:eastAsia="zh-CN"/>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cs="Times New Roman"/>
                <w:color w:val="auto"/>
                <w:sz w:val="21"/>
                <w:szCs w:val="21"/>
              </w:rPr>
              <w:t>禁止穿带钉鞋、化纤或其他易产生静电的衣帽进入危险区域</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油罐车进站静置15分钟后方可进行卸油作业，卸油作业时应严格控制流速。</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已落实，按操作规程进行卸油。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加油枪采用自封式加油枪，控制汽油加油枪的流量小于50L/min。</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cs="Times New Roman"/>
                <w:color w:val="auto"/>
                <w:sz w:val="21"/>
                <w:szCs w:val="21"/>
              </w:rPr>
              <w:t>加油枪采用自封式加油枪</w:t>
            </w:r>
            <w:r>
              <w:rPr>
                <w:rFonts w:hint="eastAsia" w:cs="Times New Roman"/>
                <w:color w:val="auto"/>
                <w:sz w:val="21"/>
                <w:szCs w:val="21"/>
                <w:lang w:eastAsia="zh-CN"/>
              </w:rPr>
              <w:t>，</w:t>
            </w:r>
            <w:r>
              <w:rPr>
                <w:rFonts w:hint="eastAsia" w:cs="Times New Roman"/>
                <w:color w:val="auto"/>
                <w:sz w:val="21"/>
                <w:szCs w:val="21"/>
                <w:lang w:val="en-US" w:eastAsia="zh-CN"/>
              </w:rPr>
              <w:t>流速</w:t>
            </w:r>
            <w:r>
              <w:rPr>
                <w:rFonts w:hint="default" w:ascii="Times New Roman" w:hAnsi="Times New Roman" w:cs="Times New Roman"/>
                <w:color w:val="auto"/>
                <w:sz w:val="21"/>
                <w:szCs w:val="21"/>
              </w:rPr>
              <w:t>小于50L/min。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站内建、构筑物及相关设备设施设置防雷防静电装置，并经常检查防雷防静电接地线，定期检测接地电阻，保证其完好。</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已落实，已设置</w:t>
            </w:r>
            <w:r>
              <w:rPr>
                <w:rFonts w:hint="default" w:ascii="Times New Roman" w:hAnsi="Times New Roman" w:cs="Times New Roman"/>
                <w:color w:val="auto"/>
                <w:sz w:val="21"/>
                <w:szCs w:val="21"/>
              </w:rPr>
              <w:t>防雷防静电装置</w:t>
            </w:r>
            <w:r>
              <w:rPr>
                <w:rFonts w:hint="eastAsia" w:cs="Times New Roman"/>
                <w:color w:val="auto"/>
                <w:sz w:val="21"/>
                <w:szCs w:val="21"/>
                <w:lang w:eastAsia="zh-CN"/>
              </w:rPr>
              <w:t>，</w:t>
            </w:r>
            <w:r>
              <w:rPr>
                <w:rFonts w:hint="eastAsia" w:cs="Times New Roman"/>
                <w:color w:val="auto"/>
                <w:sz w:val="21"/>
                <w:szCs w:val="21"/>
                <w:lang w:val="en-US" w:eastAsia="zh-CN"/>
              </w:rPr>
              <w:t>且已检测合格。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10</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禁止在危险场所使用铁制及其它易产生火花的工具。</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已落实，严禁</w:t>
            </w:r>
            <w:r>
              <w:rPr>
                <w:rFonts w:hint="default" w:ascii="Times New Roman" w:hAnsi="Times New Roman" w:cs="Times New Roman"/>
                <w:color w:val="auto"/>
                <w:sz w:val="21"/>
                <w:szCs w:val="21"/>
              </w:rPr>
              <w:t>使用铁制及其它易产生火花的工具</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禁止直接向塑料等绝缘容器加油。</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cs="Times New Roman"/>
                <w:color w:val="auto"/>
                <w:sz w:val="21"/>
                <w:szCs w:val="21"/>
              </w:rPr>
              <w:t>禁止直接向塑料等绝缘容器加油。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设固定或半固定消防设施和器材，一旦发生火灾事故，可以及时采取措施，扑灭火灾。</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已落实，设置灭火器等消防设施。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位于爆炸危险区域内的操作井、排水井，采取防渗漏和防火花发生的措施。</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cs="Times New Roman"/>
                <w:color w:val="auto"/>
                <w:sz w:val="21"/>
                <w:szCs w:val="21"/>
              </w:rPr>
              <w:t>操作井采取防渗漏和防火花发生的措施</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加油站作业区内不种植油性植物。</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已落实，未</w:t>
            </w:r>
            <w:r>
              <w:rPr>
                <w:rFonts w:hint="default" w:ascii="Times New Roman" w:hAnsi="Times New Roman" w:cs="Times New Roman"/>
                <w:color w:val="auto"/>
                <w:sz w:val="21"/>
                <w:szCs w:val="21"/>
              </w:rPr>
              <w:t>种植油性植物</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w:t>
            </w:r>
            <w:r>
              <w:rPr>
                <w:rFonts w:hint="eastAsia" w:cs="Times New Roman"/>
                <w:b/>
                <w:color w:val="auto"/>
                <w:sz w:val="21"/>
                <w:szCs w:val="21"/>
                <w:lang w:val="en-US" w:eastAsia="zh-CN"/>
              </w:rPr>
              <w:t>3</w:t>
            </w:r>
            <w:r>
              <w:rPr>
                <w:rFonts w:hint="eastAsia" w:cs="Times New Roman"/>
                <w:b/>
                <w:color w:val="auto"/>
                <w:sz w:val="21"/>
                <w:szCs w:val="21"/>
                <w:lang w:eastAsia="zh-CN"/>
              </w:rPr>
              <w:t>）</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eastAsia" w:cs="Times New Roman"/>
                <w:b/>
                <w:color w:val="auto"/>
                <w:sz w:val="21"/>
                <w:szCs w:val="21"/>
                <w:lang w:val="en-US" w:eastAsia="zh-CN"/>
              </w:rPr>
              <w:t>防毒措</w:t>
            </w:r>
            <w:r>
              <w:rPr>
                <w:rFonts w:hint="default" w:ascii="Times New Roman" w:hAnsi="Times New Roman" w:cs="Times New Roman"/>
                <w:b/>
                <w:color w:val="auto"/>
                <w:sz w:val="21"/>
                <w:szCs w:val="21"/>
              </w:rPr>
              <w:t>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bCs/>
                <w:color w:val="auto"/>
                <w:kern w:val="0"/>
                <w:sz w:val="21"/>
                <w:szCs w:val="21"/>
                <w:highlight w:val="none"/>
                <w:lang w:val="en-US" w:eastAsia="zh-CN" w:bidi="ar-SA"/>
              </w:rPr>
            </w:pPr>
            <w:r>
              <w:rPr>
                <w:rFonts w:hint="default" w:ascii="Times New Roman" w:hAnsi="Times New Roman" w:cs="Times New Roman"/>
                <w:bCs/>
                <w:color w:val="auto"/>
                <w:kern w:val="0"/>
                <w:sz w:val="21"/>
                <w:szCs w:val="21"/>
                <w:highlight w:val="none"/>
                <w:lang w:val="en-US" w:eastAsia="zh-CN" w:bidi="ar-SA"/>
              </w:rPr>
              <w:t>对作业人员采取个人防护措施，配备专用的劳动防护用品。</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cs="Times New Roman"/>
                <w:bCs/>
                <w:color w:val="auto"/>
                <w:kern w:val="0"/>
                <w:sz w:val="21"/>
                <w:szCs w:val="21"/>
                <w:highlight w:val="none"/>
                <w:lang w:val="en-US" w:eastAsia="zh-CN" w:bidi="ar-SA"/>
              </w:rPr>
              <w:t>配备劳动防护用品。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bCs/>
                <w:color w:val="auto"/>
                <w:kern w:val="0"/>
                <w:sz w:val="21"/>
                <w:szCs w:val="21"/>
                <w:highlight w:val="none"/>
                <w:lang w:val="en-US" w:eastAsia="zh-CN" w:bidi="ar-SA"/>
              </w:rPr>
            </w:pPr>
            <w:r>
              <w:rPr>
                <w:rFonts w:hint="default" w:ascii="Times New Roman" w:hAnsi="Times New Roman" w:cs="Times New Roman"/>
                <w:bCs/>
                <w:color w:val="auto"/>
                <w:kern w:val="0"/>
                <w:sz w:val="21"/>
                <w:szCs w:val="21"/>
                <w:highlight w:val="none"/>
                <w:lang w:val="en-US" w:eastAsia="zh-CN" w:bidi="ar-SA"/>
              </w:rPr>
              <w:t>生产作业场所正确穿戴劳动防护用品，工作结束后更换工作服，清洗后方可离开作业场所。工间或工后，手脸未经清洗干净，不得饮水、进食。</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已落实，员工</w:t>
            </w:r>
            <w:r>
              <w:rPr>
                <w:rFonts w:hint="default" w:ascii="Times New Roman" w:hAnsi="Times New Roman" w:cs="Times New Roman"/>
                <w:bCs/>
                <w:color w:val="auto"/>
                <w:kern w:val="0"/>
                <w:sz w:val="21"/>
                <w:szCs w:val="21"/>
                <w:highlight w:val="none"/>
                <w:lang w:val="en-US" w:eastAsia="zh-CN" w:bidi="ar-SA"/>
              </w:rPr>
              <w:t>正确穿戴劳动防护用品</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bCs/>
                <w:color w:val="auto"/>
                <w:kern w:val="0"/>
                <w:sz w:val="21"/>
                <w:szCs w:val="21"/>
                <w:highlight w:val="none"/>
                <w:lang w:val="en-US" w:eastAsia="zh-CN" w:bidi="ar-SA"/>
              </w:rPr>
            </w:pPr>
            <w:r>
              <w:rPr>
                <w:rFonts w:hint="default" w:ascii="Times New Roman" w:hAnsi="Times New Roman" w:cs="Times New Roman"/>
                <w:bCs/>
                <w:color w:val="auto"/>
                <w:kern w:val="0"/>
                <w:sz w:val="21"/>
                <w:szCs w:val="21"/>
                <w:highlight w:val="none"/>
                <w:lang w:val="en-US" w:eastAsia="zh-CN" w:bidi="ar-SA"/>
              </w:rPr>
              <w:t>高温季节，避免高温时段卸油。</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cs="Times New Roman"/>
                <w:bCs/>
                <w:color w:val="auto"/>
                <w:kern w:val="0"/>
                <w:sz w:val="21"/>
                <w:szCs w:val="21"/>
                <w:highlight w:val="none"/>
                <w:lang w:val="en-US" w:eastAsia="zh-CN" w:bidi="ar-SA"/>
              </w:rPr>
              <w:t>避免高温时段卸油。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bCs/>
                <w:color w:val="auto"/>
                <w:kern w:val="0"/>
                <w:sz w:val="21"/>
                <w:szCs w:val="21"/>
                <w:highlight w:val="none"/>
                <w:lang w:val="en-US" w:eastAsia="zh-CN" w:bidi="ar-SA"/>
              </w:rPr>
            </w:pPr>
            <w:r>
              <w:rPr>
                <w:rFonts w:hint="default" w:ascii="Times New Roman" w:hAnsi="Times New Roman" w:cs="Times New Roman"/>
                <w:bCs/>
                <w:color w:val="auto"/>
                <w:kern w:val="0"/>
                <w:sz w:val="21"/>
                <w:szCs w:val="21"/>
                <w:highlight w:val="none"/>
                <w:lang w:val="en-US" w:eastAsia="zh-CN" w:bidi="ar-SA"/>
              </w:rPr>
              <w:t>进入罐内检修前，要彻底进行自来水置换、清洗，有条件用氮气吹扫，强制通风，并对油气浓度、氧含量检测合格后方可作业，并有人现场监护，有抢险救援措施。</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已落实，由专业队伍进行</w:t>
            </w:r>
            <w:r>
              <w:rPr>
                <w:rFonts w:hint="default" w:ascii="Times New Roman" w:hAnsi="Times New Roman" w:cs="Times New Roman"/>
                <w:bCs/>
                <w:color w:val="auto"/>
                <w:kern w:val="0"/>
                <w:sz w:val="21"/>
                <w:szCs w:val="21"/>
                <w:highlight w:val="none"/>
                <w:lang w:val="en-US" w:eastAsia="zh-CN" w:bidi="ar-SA"/>
              </w:rPr>
              <w:t>罐内检修</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bCs/>
                <w:color w:val="auto"/>
                <w:kern w:val="0"/>
                <w:sz w:val="21"/>
                <w:szCs w:val="21"/>
                <w:highlight w:val="none"/>
                <w:lang w:val="en-US" w:eastAsia="zh-CN" w:bidi="ar-SA"/>
              </w:rPr>
            </w:pPr>
            <w:r>
              <w:rPr>
                <w:rFonts w:hint="default" w:ascii="Times New Roman" w:hAnsi="Times New Roman" w:cs="Times New Roman"/>
                <w:bCs/>
                <w:color w:val="auto"/>
                <w:kern w:val="0"/>
                <w:sz w:val="21"/>
                <w:szCs w:val="21"/>
                <w:highlight w:val="none"/>
                <w:lang w:val="en-US" w:eastAsia="zh-CN" w:bidi="ar-SA"/>
              </w:rPr>
              <w:t>保持精神状态，身体状态良好，禁止疲劳作业，禁止带病上班作业。</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已落实，员工</w:t>
            </w:r>
            <w:r>
              <w:rPr>
                <w:rFonts w:hint="default" w:ascii="Times New Roman" w:hAnsi="Times New Roman" w:cs="Times New Roman"/>
                <w:bCs/>
                <w:color w:val="auto"/>
                <w:kern w:val="0"/>
                <w:sz w:val="21"/>
                <w:szCs w:val="21"/>
                <w:highlight w:val="none"/>
                <w:lang w:val="en-US" w:eastAsia="zh-CN" w:bidi="ar-SA"/>
              </w:rPr>
              <w:t>身体状态良好</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color w:val="auto"/>
                <w:sz w:val="21"/>
                <w:szCs w:val="21"/>
                <w:lang w:val="en-US" w:eastAsia="zh-CN"/>
              </w:rPr>
            </w:pPr>
            <w:r>
              <w:rPr>
                <w:rFonts w:hint="eastAsia" w:ascii="Times New Roman" w:hAnsi="Times New Roman" w:cs="Times New Roman"/>
                <w:b/>
                <w:color w:val="auto"/>
                <w:sz w:val="21"/>
                <w:szCs w:val="21"/>
                <w:lang w:val="en-US" w:eastAsia="zh-CN"/>
              </w:rPr>
              <w:t>（4）</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color w:val="auto"/>
                <w:sz w:val="21"/>
                <w:szCs w:val="21"/>
                <w:lang w:val="en-US" w:eastAsia="zh-CN"/>
              </w:rPr>
            </w:pPr>
            <w:r>
              <w:rPr>
                <w:rFonts w:hint="default" w:ascii="Times New Roman" w:hAnsi="Times New Roman" w:cs="Times New Roman"/>
                <w:b/>
                <w:color w:val="auto"/>
                <w:sz w:val="21"/>
                <w:szCs w:val="21"/>
              </w:rPr>
              <w:t>正常工况与非正常工况下危险物料的安全控制措施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bCs/>
                <w:color w:val="auto"/>
                <w:kern w:val="0"/>
                <w:sz w:val="21"/>
                <w:szCs w:val="21"/>
                <w:highlight w:val="none"/>
                <w:lang w:val="en-US" w:eastAsia="zh-CN" w:bidi="ar-SA"/>
              </w:rPr>
            </w:pPr>
            <w:r>
              <w:rPr>
                <w:rFonts w:hint="default" w:ascii="Times New Roman" w:hAnsi="Times New Roman" w:cs="Times New Roman"/>
                <w:bCs/>
                <w:color w:val="auto"/>
                <w:kern w:val="0"/>
                <w:sz w:val="21"/>
                <w:szCs w:val="21"/>
                <w:highlight w:val="none"/>
                <w:lang w:val="en-US" w:eastAsia="zh-CN" w:bidi="ar-SA"/>
              </w:rPr>
              <w:t>为了保证加油站卸油、储油、加油过程的安全，卸油采用密闭卸油，并采用静电接地仪监控卸油时的静电导除情况；油罐设置高液位报警仪，实时在线监测油罐液位情况；加油站站房内、加油机及罐区附近设置紧急切断系统，在事故时迅速切断加油泵电源，紧急切断系统具有失效保护功能；紧急切断系统只能手动复位；加油泵电源上的紧急切断阀，应能由手动启动的远程控制系统操纵关闭；紧急切断系统在站房内设置启动开关。</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cs="Times New Roman"/>
                <w:bCs/>
                <w:color w:val="auto"/>
                <w:kern w:val="0"/>
                <w:sz w:val="21"/>
                <w:szCs w:val="21"/>
                <w:highlight w:val="none"/>
                <w:lang w:val="en-US" w:eastAsia="zh-CN" w:bidi="ar-SA"/>
              </w:rPr>
              <w:t>采用密闭卸油，采用静电接地仪监控卸油时的静电导除情况</w:t>
            </w:r>
            <w:r>
              <w:rPr>
                <w:rFonts w:hint="eastAsia" w:cs="Times New Roman"/>
                <w:bCs/>
                <w:color w:val="auto"/>
                <w:kern w:val="0"/>
                <w:sz w:val="21"/>
                <w:szCs w:val="21"/>
                <w:highlight w:val="none"/>
                <w:lang w:val="en-US" w:eastAsia="zh-CN" w:bidi="ar-SA"/>
              </w:rPr>
              <w:t>；</w:t>
            </w:r>
            <w:r>
              <w:rPr>
                <w:rFonts w:hint="default" w:ascii="Times New Roman" w:hAnsi="Times New Roman" w:cs="Times New Roman"/>
                <w:bCs/>
                <w:color w:val="auto"/>
                <w:kern w:val="0"/>
                <w:sz w:val="21"/>
                <w:szCs w:val="21"/>
                <w:highlight w:val="none"/>
                <w:lang w:val="en-US" w:eastAsia="zh-CN" w:bidi="ar-SA"/>
              </w:rPr>
              <w:t>油罐设置高液位报警仪</w:t>
            </w:r>
            <w:r>
              <w:rPr>
                <w:rFonts w:hint="eastAsia" w:cs="Times New Roman"/>
                <w:bCs/>
                <w:color w:val="auto"/>
                <w:kern w:val="0"/>
                <w:sz w:val="21"/>
                <w:szCs w:val="21"/>
                <w:highlight w:val="none"/>
                <w:lang w:val="en-US" w:eastAsia="zh-CN" w:bidi="ar-SA"/>
              </w:rPr>
              <w:t>；站房与加油机附近</w:t>
            </w:r>
            <w:r>
              <w:rPr>
                <w:rFonts w:hint="default" w:ascii="Times New Roman" w:hAnsi="Times New Roman" w:cs="Times New Roman"/>
                <w:bCs/>
                <w:color w:val="auto"/>
                <w:kern w:val="0"/>
                <w:sz w:val="21"/>
                <w:szCs w:val="21"/>
                <w:highlight w:val="none"/>
                <w:lang w:val="en-US" w:eastAsia="zh-CN" w:bidi="ar-SA"/>
              </w:rPr>
              <w:t>设置紧急切断系统</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w:t>
            </w:r>
            <w:r>
              <w:rPr>
                <w:rFonts w:hint="eastAsia" w:cs="Times New Roman"/>
                <w:b/>
                <w:color w:val="auto"/>
                <w:sz w:val="21"/>
                <w:szCs w:val="21"/>
                <w:lang w:val="en-US" w:eastAsia="zh-CN"/>
              </w:rPr>
              <w:t>5</w:t>
            </w:r>
            <w:r>
              <w:rPr>
                <w:rFonts w:hint="eastAsia" w:cs="Times New Roman"/>
                <w:b/>
                <w:color w:val="auto"/>
                <w:sz w:val="21"/>
                <w:szCs w:val="21"/>
                <w:lang w:eastAsia="zh-CN"/>
              </w:rPr>
              <w:t>）</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采取的其他工艺安全措施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加油站采用常规</w:t>
            </w:r>
            <w:r>
              <w:rPr>
                <w:rFonts w:hint="eastAsia" w:ascii="Times New Roman" w:hAnsi="Times New Roman" w:cs="Times New Roman"/>
                <w:color w:val="auto"/>
                <w:sz w:val="21"/>
                <w:szCs w:val="21"/>
                <w:lang w:val="en-US" w:eastAsia="zh-CN"/>
              </w:rPr>
              <w:t>潜</w:t>
            </w:r>
            <w:r>
              <w:rPr>
                <w:rFonts w:hint="eastAsia" w:cs="Times New Roman"/>
                <w:color w:val="auto"/>
                <w:sz w:val="21"/>
                <w:szCs w:val="21"/>
                <w:lang w:val="en-US" w:eastAsia="zh-CN"/>
              </w:rPr>
              <w:t>油</w:t>
            </w:r>
            <w:r>
              <w:rPr>
                <w:rFonts w:hint="eastAsia" w:ascii="Times New Roman" w:hAnsi="Times New Roman" w:cs="Times New Roman"/>
                <w:color w:val="auto"/>
                <w:sz w:val="21"/>
                <w:szCs w:val="21"/>
                <w:lang w:val="en-US" w:eastAsia="zh-CN"/>
              </w:rPr>
              <w:t>泵</w:t>
            </w:r>
            <w:r>
              <w:rPr>
                <w:rFonts w:hint="default" w:ascii="Times New Roman" w:hAnsi="Times New Roman" w:cs="Times New Roman"/>
                <w:color w:val="auto"/>
                <w:sz w:val="21"/>
                <w:szCs w:val="21"/>
              </w:rPr>
              <w:t>式加油工艺。</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已落实，采用潜油泵式加油工艺。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加油枪采用自封式加油枪，控制汽油加油枪流量小于50L/min。</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cs="Times New Roman"/>
                <w:color w:val="auto"/>
                <w:sz w:val="21"/>
                <w:szCs w:val="21"/>
              </w:rPr>
              <w:t>采用自封式加油枪</w:t>
            </w:r>
            <w:r>
              <w:rPr>
                <w:rFonts w:hint="eastAsia" w:cs="Times New Roman"/>
                <w:color w:val="auto"/>
                <w:sz w:val="21"/>
                <w:szCs w:val="21"/>
                <w:lang w:eastAsia="zh-CN"/>
              </w:rPr>
              <w:t>，</w:t>
            </w:r>
            <w:r>
              <w:rPr>
                <w:rFonts w:hint="default" w:ascii="Times New Roman" w:hAnsi="Times New Roman" w:cs="Times New Roman"/>
                <w:color w:val="auto"/>
                <w:sz w:val="21"/>
                <w:szCs w:val="21"/>
              </w:rPr>
              <w:t>流量小于50L/min。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加油站的通气管道和泄油管道均采用20#碳钢管。</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已落实，采用</w:t>
            </w:r>
            <w:r>
              <w:rPr>
                <w:rFonts w:hint="default" w:ascii="Times New Roman" w:hAnsi="Times New Roman" w:cs="Times New Roman"/>
                <w:color w:val="auto"/>
                <w:sz w:val="21"/>
                <w:szCs w:val="21"/>
              </w:rPr>
              <w:t>20#</w:t>
            </w:r>
            <w:r>
              <w:rPr>
                <w:rFonts w:hint="eastAsia" w:cs="Times New Roman"/>
                <w:color w:val="auto"/>
                <w:sz w:val="21"/>
                <w:szCs w:val="21"/>
                <w:lang w:val="en-US" w:eastAsia="zh-CN"/>
              </w:rPr>
              <w:t>无缝钢管。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采用具有密闭油气回收功能并进行底部装卸油方式的油罐车，油罐车卸油时用的卸油连通软管、油气回收连通软管，均采用内嵌钢丝导静电耐油软管。连通软管的公称直径为80mm。</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已落实，采用</w:t>
            </w:r>
            <w:r>
              <w:rPr>
                <w:rFonts w:hint="default" w:ascii="Times New Roman" w:hAnsi="Times New Roman" w:cs="Times New Roman"/>
                <w:color w:val="auto"/>
                <w:sz w:val="21"/>
                <w:szCs w:val="21"/>
              </w:rPr>
              <w:t>导静电耐油软管</w:t>
            </w:r>
            <w:r>
              <w:rPr>
                <w:rFonts w:hint="eastAsia" w:cs="Times New Roman"/>
                <w:color w:val="auto"/>
                <w:sz w:val="21"/>
                <w:szCs w:val="21"/>
                <w:lang w:eastAsia="zh-CN"/>
              </w:rPr>
              <w:t>，</w:t>
            </w:r>
            <w:r>
              <w:rPr>
                <w:rFonts w:hint="default" w:ascii="Times New Roman" w:hAnsi="Times New Roman" w:cs="Times New Roman"/>
                <w:color w:val="auto"/>
                <w:sz w:val="21"/>
                <w:szCs w:val="21"/>
              </w:rPr>
              <w:t>连通软管的公称直径为80mm。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5</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加油站站内的工艺管道均埋地敷设，且不通过站房等建（构）筑物。</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cs="Times New Roman"/>
                <w:color w:val="auto"/>
                <w:sz w:val="21"/>
                <w:szCs w:val="21"/>
              </w:rPr>
              <w:t>工艺管道均埋地敷设，且不通过站房等建（构）筑物。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6</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卸油管道、卸油油气回收管道、加油油气回收管道和油罐通气管横管坡向埋地油罐。卸油管道的坡度为2‰；加油机进油管道，坡向油罐，其坡度为2‰；卸油油气回收管道、加油油气回收管道和油罐通气管横管的坡度均为1%。</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已落实，管道坡度满足要求。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7</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油罐通气管的设置，符合下列规定：</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（1）汽油罐与柴油罐的通气管，分开设置；</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（2）管口高出地面4.0m；</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（3）通气管的公称直径为50mm；</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（4）油罐通气管管口安装阻火器，汽油罐安装带机械呼吸阀的阻火器。</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cs="Times New Roman"/>
                <w:color w:val="auto"/>
                <w:sz w:val="21"/>
                <w:szCs w:val="21"/>
              </w:rPr>
              <w:t>汽油罐与柴油罐的通气管，分开设置</w:t>
            </w:r>
            <w:r>
              <w:rPr>
                <w:rFonts w:hint="eastAsia" w:cs="Times New Roman"/>
                <w:color w:val="auto"/>
                <w:sz w:val="21"/>
                <w:szCs w:val="21"/>
                <w:lang w:eastAsia="zh-CN"/>
              </w:rPr>
              <w:t>；</w:t>
            </w:r>
            <w:r>
              <w:rPr>
                <w:rFonts w:hint="default" w:ascii="Times New Roman" w:hAnsi="Times New Roman" w:cs="Times New Roman"/>
                <w:color w:val="auto"/>
                <w:sz w:val="21"/>
                <w:szCs w:val="21"/>
              </w:rPr>
              <w:t>管口高出地面4.0m</w:t>
            </w:r>
            <w:r>
              <w:rPr>
                <w:rFonts w:hint="eastAsia" w:cs="Times New Roman"/>
                <w:color w:val="auto"/>
                <w:sz w:val="21"/>
                <w:szCs w:val="21"/>
                <w:lang w:eastAsia="zh-CN"/>
              </w:rPr>
              <w:t>；</w:t>
            </w:r>
            <w:r>
              <w:rPr>
                <w:rFonts w:hint="default" w:ascii="Times New Roman" w:hAnsi="Times New Roman" w:cs="Times New Roman"/>
                <w:color w:val="auto"/>
                <w:sz w:val="21"/>
                <w:szCs w:val="21"/>
              </w:rPr>
              <w:t>通气管的公称直径为50mm</w:t>
            </w:r>
            <w:r>
              <w:rPr>
                <w:rFonts w:hint="eastAsia" w:cs="Times New Roman"/>
                <w:color w:val="auto"/>
                <w:sz w:val="21"/>
                <w:szCs w:val="21"/>
                <w:lang w:eastAsia="zh-CN"/>
              </w:rPr>
              <w:t>；</w:t>
            </w:r>
            <w:r>
              <w:rPr>
                <w:rFonts w:hint="default" w:ascii="Times New Roman" w:hAnsi="Times New Roman" w:cs="Times New Roman"/>
                <w:color w:val="auto"/>
                <w:sz w:val="21"/>
                <w:szCs w:val="21"/>
              </w:rPr>
              <w:t>油罐通气管管口安装阻火器，汽油罐安装带机械呼吸阀的阻火器。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8</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油罐的接合管设置符合下列规定：</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（1）接合管均采用20#无缝钢管。</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（2）进油管伸至罐内距罐底</w:t>
            </w:r>
            <w:r>
              <w:rPr>
                <w:rFonts w:hint="eastAsia" w:cs="Times New Roman"/>
                <w:color w:val="auto"/>
                <w:sz w:val="21"/>
                <w:szCs w:val="21"/>
                <w:lang w:val="en-US" w:eastAsia="zh-CN"/>
              </w:rPr>
              <w:t>10</w:t>
            </w:r>
            <w:r>
              <w:rPr>
                <w:rFonts w:hint="default" w:ascii="Times New Roman" w:hAnsi="Times New Roman" w:cs="Times New Roman"/>
                <w:color w:val="auto"/>
                <w:sz w:val="21"/>
                <w:szCs w:val="21"/>
              </w:rPr>
              <w:t>0mm处；进油立管的底端为45º斜管口；进油管管壁上没有与油罐气相空间相通的开口。</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（3）加油机管道的罐内底阀高于罐底200mm。</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（4）油罐的量油孔设有带锁的量油帽。</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（5）油罐人孔井内的管道及设备可以保证油罐人孔盖的可拆装性。</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（6）油罐人孔盖上的接合管与引出井外管道采用金属软管过渡连接。</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已落实，接合管</w:t>
            </w:r>
            <w:r>
              <w:rPr>
                <w:rFonts w:hint="default" w:ascii="Times New Roman" w:hAnsi="Times New Roman" w:cs="Times New Roman"/>
                <w:color w:val="auto"/>
                <w:sz w:val="21"/>
                <w:szCs w:val="21"/>
              </w:rPr>
              <w:t>采用20#无缝钢管</w:t>
            </w:r>
            <w:r>
              <w:rPr>
                <w:rFonts w:hint="eastAsia" w:cs="Times New Roman"/>
                <w:color w:val="auto"/>
                <w:sz w:val="21"/>
                <w:szCs w:val="21"/>
                <w:lang w:eastAsia="zh-CN"/>
              </w:rPr>
              <w:t>；</w:t>
            </w:r>
            <w:r>
              <w:rPr>
                <w:rFonts w:hint="default" w:ascii="Times New Roman" w:hAnsi="Times New Roman" w:cs="Times New Roman"/>
                <w:color w:val="auto"/>
                <w:sz w:val="21"/>
                <w:szCs w:val="21"/>
              </w:rPr>
              <w:t>进油管伸至罐内距罐底</w:t>
            </w:r>
            <w:r>
              <w:rPr>
                <w:rFonts w:hint="eastAsia" w:cs="Times New Roman"/>
                <w:color w:val="auto"/>
                <w:sz w:val="21"/>
                <w:szCs w:val="21"/>
                <w:lang w:val="en-US" w:eastAsia="zh-CN"/>
              </w:rPr>
              <w:t>10</w:t>
            </w:r>
            <w:r>
              <w:rPr>
                <w:rFonts w:hint="default" w:ascii="Times New Roman" w:hAnsi="Times New Roman" w:cs="Times New Roman"/>
                <w:color w:val="auto"/>
                <w:sz w:val="21"/>
                <w:szCs w:val="21"/>
              </w:rPr>
              <w:t>0mm处</w:t>
            </w:r>
            <w:r>
              <w:rPr>
                <w:rFonts w:hint="eastAsia" w:cs="Times New Roman"/>
                <w:color w:val="auto"/>
                <w:sz w:val="21"/>
                <w:szCs w:val="21"/>
                <w:lang w:eastAsia="zh-CN"/>
              </w:rPr>
              <w:t>；</w:t>
            </w:r>
            <w:r>
              <w:rPr>
                <w:rFonts w:hint="default" w:ascii="Times New Roman" w:hAnsi="Times New Roman" w:cs="Times New Roman"/>
                <w:color w:val="auto"/>
                <w:sz w:val="21"/>
                <w:szCs w:val="21"/>
              </w:rPr>
              <w:t>油罐的量油孔设有带锁的量油帽</w:t>
            </w:r>
            <w:r>
              <w:rPr>
                <w:rFonts w:hint="eastAsia" w:cs="Times New Roman"/>
                <w:color w:val="auto"/>
                <w:sz w:val="21"/>
                <w:szCs w:val="21"/>
                <w:lang w:eastAsia="zh-CN"/>
              </w:rPr>
              <w:t>（</w:t>
            </w:r>
            <w:r>
              <w:rPr>
                <w:rFonts w:hint="eastAsia" w:cs="Times New Roman"/>
                <w:color w:val="auto"/>
                <w:sz w:val="21"/>
                <w:szCs w:val="21"/>
                <w:lang w:val="en-US" w:eastAsia="zh-CN"/>
              </w:rPr>
              <w:t>整改后</w:t>
            </w:r>
            <w:r>
              <w:rPr>
                <w:rFonts w:hint="eastAsia" w:cs="Times New Roman"/>
                <w:color w:val="auto"/>
                <w:sz w:val="21"/>
                <w:szCs w:val="21"/>
                <w:lang w:eastAsia="zh-CN"/>
              </w:rPr>
              <w:t>）；</w:t>
            </w:r>
            <w:r>
              <w:rPr>
                <w:rFonts w:hint="default" w:ascii="Times New Roman" w:hAnsi="Times New Roman" w:cs="Times New Roman"/>
                <w:color w:val="auto"/>
                <w:sz w:val="21"/>
                <w:szCs w:val="21"/>
              </w:rPr>
              <w:t>油罐人孔井内的管道及设备可以保证油罐人孔盖的可拆装性</w:t>
            </w:r>
            <w:r>
              <w:rPr>
                <w:rFonts w:hint="eastAsia" w:cs="Times New Roman"/>
                <w:color w:val="auto"/>
                <w:sz w:val="21"/>
                <w:szCs w:val="21"/>
                <w:lang w:eastAsia="zh-CN"/>
              </w:rPr>
              <w:t>；</w:t>
            </w:r>
            <w:r>
              <w:rPr>
                <w:rFonts w:hint="default" w:ascii="Times New Roman" w:hAnsi="Times New Roman" w:cs="Times New Roman"/>
                <w:color w:val="auto"/>
                <w:sz w:val="21"/>
                <w:szCs w:val="21"/>
              </w:rPr>
              <w:t>油罐人孔盖上的接合管与引出井外管道采用金属软管过渡连接。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b/>
                <w:color w:val="auto"/>
                <w:sz w:val="21"/>
                <w:szCs w:val="21"/>
                <w:lang w:eastAsia="zh-CN"/>
              </w:rPr>
            </w:pPr>
            <w:r>
              <w:rPr>
                <w:rFonts w:hint="eastAsia" w:cs="Times New Roman"/>
                <w:b/>
                <w:color w:val="auto"/>
                <w:sz w:val="21"/>
                <w:szCs w:val="21"/>
                <w:lang w:eastAsia="zh-CN"/>
              </w:rPr>
              <w:t>二</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b/>
                <w:color w:val="auto"/>
                <w:sz w:val="21"/>
                <w:szCs w:val="21"/>
                <w:lang w:eastAsia="zh-CN"/>
              </w:rPr>
            </w:pPr>
            <w:r>
              <w:rPr>
                <w:rFonts w:hint="eastAsia" w:cs="Times New Roman"/>
                <w:b/>
                <w:color w:val="auto"/>
                <w:sz w:val="21"/>
                <w:szCs w:val="21"/>
                <w:lang w:eastAsia="zh-CN"/>
              </w:rPr>
              <w:t>总平面布置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rPr>
            </w:pPr>
            <w:r>
              <w:rPr>
                <w:rFonts w:hint="default" w:ascii="Times New Roman" w:hAnsi="Times New Roman" w:cs="Times New Roman"/>
                <w:bCs/>
                <w:color w:val="auto"/>
                <w:sz w:val="21"/>
                <w:szCs w:val="21"/>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建设项目与站外设施</w:t>
            </w:r>
            <w:r>
              <w:rPr>
                <w:rFonts w:hint="default" w:cs="Times New Roman"/>
                <w:color w:val="auto"/>
                <w:sz w:val="21"/>
                <w:szCs w:val="21"/>
                <w:lang w:val="en-US" w:eastAsia="zh-CN"/>
              </w:rPr>
              <w:t>防火距离</w:t>
            </w:r>
            <w:r>
              <w:rPr>
                <w:rFonts w:hint="eastAsia" w:cs="Times New Roman"/>
                <w:color w:val="auto"/>
                <w:sz w:val="21"/>
                <w:szCs w:val="21"/>
                <w:lang w:val="en-US" w:eastAsia="zh-CN"/>
              </w:rPr>
              <w:t>应</w:t>
            </w:r>
            <w:r>
              <w:rPr>
                <w:rFonts w:hint="default" w:cs="Times New Roman"/>
                <w:color w:val="auto"/>
                <w:sz w:val="21"/>
                <w:szCs w:val="21"/>
                <w:lang w:val="en-US" w:eastAsia="zh-CN"/>
              </w:rPr>
              <w:t>符合《汽车加油加气站设计与施工规范》GB50156-2012（2014年版）表4.0.4和表4.0.5的规定</w:t>
            </w:r>
            <w:r>
              <w:rPr>
                <w:rFonts w:hint="eastAsia" w:cs="Times New Roman"/>
                <w:color w:val="auto"/>
                <w:sz w:val="21"/>
                <w:szCs w:val="21"/>
                <w:lang w:val="en-US" w:eastAsia="zh-CN"/>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已落实，距离符合要求。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default" w:cs="Times New Roman"/>
                <w:color w:val="auto"/>
                <w:sz w:val="21"/>
                <w:szCs w:val="21"/>
                <w:lang w:val="en-US" w:eastAsia="zh-CN"/>
              </w:rPr>
              <w:t>本项目竖向布置采用平坡式，装置场地由西南向东北坡下，坡度为5‰。</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已落实，竖向布置采用</w:t>
            </w:r>
            <w:r>
              <w:rPr>
                <w:rFonts w:hint="default" w:cs="Times New Roman"/>
                <w:color w:val="auto"/>
                <w:sz w:val="21"/>
                <w:szCs w:val="21"/>
                <w:lang w:val="en-US" w:eastAsia="zh-CN"/>
              </w:rPr>
              <w:t>平坡式</w:t>
            </w:r>
            <w:r>
              <w:rPr>
                <w:rFonts w:hint="eastAsia"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eastAsia" w:cs="Times New Roman"/>
                <w:color w:val="auto"/>
                <w:sz w:val="21"/>
                <w:szCs w:val="21"/>
                <w:lang w:val="en-US" w:eastAsia="zh-CN"/>
              </w:rPr>
              <w:t>该加油站站内设施之间</w:t>
            </w:r>
            <w:r>
              <w:rPr>
                <w:rFonts w:hint="default" w:cs="Times New Roman"/>
                <w:color w:val="auto"/>
                <w:sz w:val="21"/>
                <w:szCs w:val="21"/>
                <w:lang w:val="en-US" w:eastAsia="zh-CN"/>
              </w:rPr>
              <w:t>防火距离</w:t>
            </w:r>
            <w:r>
              <w:rPr>
                <w:rFonts w:hint="eastAsia" w:cs="Times New Roman"/>
                <w:color w:val="auto"/>
                <w:sz w:val="21"/>
                <w:szCs w:val="21"/>
                <w:lang w:val="en-US" w:eastAsia="zh-CN"/>
              </w:rPr>
              <w:t>应</w:t>
            </w:r>
            <w:r>
              <w:rPr>
                <w:rFonts w:hint="default" w:cs="Times New Roman"/>
                <w:color w:val="auto"/>
                <w:sz w:val="21"/>
                <w:szCs w:val="21"/>
                <w:lang w:val="en-US" w:eastAsia="zh-CN"/>
              </w:rPr>
              <w:t>符合《汽车加油加气站设计与施工规范》（GB50156-2012，2014年版）的相关规定</w:t>
            </w:r>
            <w:r>
              <w:rPr>
                <w:rFonts w:hint="eastAsia" w:cs="Times New Roman"/>
                <w:color w:val="auto"/>
                <w:sz w:val="21"/>
                <w:szCs w:val="21"/>
                <w:lang w:val="en-US" w:eastAsia="zh-CN"/>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已落实，站内设施距离满足要求。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default" w:cs="Times New Roman"/>
                <w:color w:val="auto"/>
                <w:sz w:val="21"/>
                <w:szCs w:val="21"/>
                <w:lang w:val="en-US" w:eastAsia="zh-CN"/>
              </w:rPr>
              <w:t>该加油站在面向</w:t>
            </w:r>
            <w:r>
              <w:rPr>
                <w:rFonts w:hint="eastAsia" w:cs="Times New Roman"/>
                <w:color w:val="auto"/>
                <w:sz w:val="21"/>
                <w:szCs w:val="21"/>
                <w:lang w:val="en-US" w:eastAsia="zh-CN"/>
              </w:rPr>
              <w:t>G220和S316（永莘路）各</w:t>
            </w:r>
            <w:r>
              <w:rPr>
                <w:rFonts w:hint="default" w:cs="Times New Roman"/>
                <w:color w:val="auto"/>
                <w:sz w:val="21"/>
                <w:szCs w:val="21"/>
                <w:lang w:val="en-US" w:eastAsia="zh-CN"/>
              </w:rPr>
              <w:t>设出入口各一个</w:t>
            </w:r>
            <w:r>
              <w:rPr>
                <w:rFonts w:hint="eastAsia" w:cs="Times New Roman"/>
                <w:color w:val="auto"/>
                <w:sz w:val="21"/>
                <w:szCs w:val="21"/>
                <w:lang w:val="en-US" w:eastAsia="zh-CN"/>
              </w:rPr>
              <w:t>。</w:t>
            </w:r>
            <w:r>
              <w:rPr>
                <w:rFonts w:hint="default" w:cs="Times New Roman"/>
                <w:color w:val="auto"/>
                <w:sz w:val="21"/>
                <w:szCs w:val="21"/>
                <w:lang w:val="en-US" w:eastAsia="zh-CN"/>
              </w:rPr>
              <w:t>站区门口、危险路段、转弯路段按要求设置限速标牌和警示标牌。</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eastAsia" w:cs="Times New Roman"/>
                <w:color w:val="auto"/>
                <w:sz w:val="21"/>
                <w:szCs w:val="21"/>
                <w:lang w:val="en-US" w:eastAsia="zh-CN"/>
              </w:rPr>
              <w:t>已落实，设有出入口及警示标牌。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default" w:cs="Times New Roman"/>
                <w:color w:val="auto"/>
                <w:sz w:val="21"/>
                <w:szCs w:val="21"/>
                <w:lang w:val="en-US" w:eastAsia="zh-CN"/>
              </w:rPr>
              <w:t>根据《汽车加油加气站设计与施工规范》（GB50156-2012，2014年版）相关规定划分加油作业区，加油作业区为爆炸区域外加3米范围。</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eastAsia" w:cs="Times New Roman"/>
                <w:color w:val="auto"/>
                <w:sz w:val="21"/>
                <w:szCs w:val="21"/>
                <w:lang w:val="en-US" w:eastAsia="zh-CN"/>
              </w:rPr>
              <w:t>已落实，按要求划分</w:t>
            </w:r>
            <w:r>
              <w:rPr>
                <w:rFonts w:hint="default" w:cs="Times New Roman"/>
                <w:color w:val="auto"/>
                <w:sz w:val="21"/>
                <w:szCs w:val="21"/>
                <w:lang w:val="en-US" w:eastAsia="zh-CN"/>
              </w:rPr>
              <w:t>加油作业区</w:t>
            </w:r>
            <w:r>
              <w:rPr>
                <w:rFonts w:hint="eastAsia"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6</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default" w:cs="Times New Roman"/>
                <w:color w:val="auto"/>
                <w:sz w:val="21"/>
                <w:szCs w:val="21"/>
                <w:lang w:val="en-US" w:eastAsia="zh-CN"/>
              </w:rPr>
              <w:t>加油岛端部设置防撞栏杆，高度为0.5m，防止罩棚柱或加油机被撞。</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eastAsia" w:cs="Times New Roman"/>
                <w:color w:val="auto"/>
                <w:sz w:val="21"/>
                <w:szCs w:val="21"/>
                <w:lang w:val="en-US" w:eastAsia="zh-CN"/>
              </w:rPr>
              <w:t>已落实，</w:t>
            </w:r>
            <w:r>
              <w:rPr>
                <w:rFonts w:hint="default" w:cs="Times New Roman"/>
                <w:color w:val="auto"/>
                <w:sz w:val="21"/>
                <w:szCs w:val="21"/>
                <w:lang w:val="en-US" w:eastAsia="zh-CN"/>
              </w:rPr>
              <w:t>加油岛端部设置防撞栏杆</w:t>
            </w:r>
            <w:r>
              <w:rPr>
                <w:rFonts w:hint="eastAsia"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7</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default" w:cs="Times New Roman"/>
                <w:color w:val="auto"/>
                <w:sz w:val="21"/>
                <w:szCs w:val="21"/>
                <w:lang w:val="en-US" w:eastAsia="zh-CN"/>
              </w:rPr>
              <w:t>加油机上的放枪位均设置各油品的文字标识，加油枪设置颜色标识。</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eastAsia" w:cs="Times New Roman"/>
                <w:color w:val="auto"/>
                <w:sz w:val="21"/>
                <w:szCs w:val="21"/>
                <w:lang w:val="en-US" w:eastAsia="zh-CN"/>
              </w:rPr>
              <w:t>已落实，</w:t>
            </w:r>
            <w:r>
              <w:rPr>
                <w:rFonts w:hint="default" w:cs="Times New Roman"/>
                <w:color w:val="auto"/>
                <w:sz w:val="21"/>
                <w:szCs w:val="21"/>
                <w:lang w:val="en-US" w:eastAsia="zh-CN"/>
              </w:rPr>
              <w:t>放枪位均设置各油品的文字标识</w:t>
            </w:r>
            <w:r>
              <w:rPr>
                <w:rFonts w:hint="eastAsia"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三</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b/>
                <w:color w:val="auto"/>
                <w:sz w:val="21"/>
                <w:szCs w:val="21"/>
                <w:lang w:eastAsia="zh-CN"/>
              </w:rPr>
            </w:pPr>
            <w:r>
              <w:rPr>
                <w:rFonts w:hint="eastAsia" w:cs="Times New Roman"/>
                <w:b/>
                <w:color w:val="auto"/>
                <w:sz w:val="21"/>
                <w:szCs w:val="21"/>
                <w:lang w:eastAsia="zh-CN"/>
              </w:rPr>
              <w:t>设备及管道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该加油站汽油罐和柴油罐采用内钢外玻璃纤维增强塑料双层卧式油罐，埋地设置</w:t>
            </w:r>
            <w:r>
              <w:rPr>
                <w:rFonts w:hint="eastAsia" w:ascii="Times New Roman" w:hAnsi="Times New Roman" w:eastAsia="宋体"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双层油罐的内层材质为Q235B，外层为玻璃纤维增强塑料</w:t>
            </w:r>
            <w:r>
              <w:rPr>
                <w:rFonts w:hint="eastAsia" w:ascii="Times New Roman" w:hAnsi="Times New Roman" w:eastAsia="宋体"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内外罐之间拥有均匀的夹层空间并配有一个和夹层空间相通的泄漏检测仪，可以24小时监测内罐是否泄漏。</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采用内钢外玻璃纤维增强塑料双层卧式油罐，埋地设置</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油罐埋地设置，并设置防漂浮包带，防止油罐因受地下水或雨水影响而上浮。</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已落实，设有防上浮措施。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油罐的顶部覆土厚度为0.7m</w:t>
            </w:r>
            <w:r>
              <w:rPr>
                <w:rFonts w:hint="eastAsia" w:ascii="Times New Roman" w:hAnsi="Times New Roman" w:eastAsia="宋体" w:cs="Times New Roman"/>
                <w:bCs/>
                <w:color w:val="auto"/>
                <w:kern w:val="0"/>
                <w:sz w:val="21"/>
                <w:szCs w:val="21"/>
                <w:highlight w:val="none"/>
                <w:lang w:val="en-US" w:eastAsia="zh-CN" w:bidi="ar-SA"/>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已落实，覆土厚度满足要求。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油罐的人孔设置了操作井。油罐的各接合管，均设在油罐的顶部，其中出油接合管设在人孔盖上。操作井、排水井采取防渗漏和防火花措施。</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油罐的人孔设置了操作井</w:t>
            </w:r>
            <w:r>
              <w:rPr>
                <w:rFonts w:hint="eastAsia" w:cs="Times New Roman"/>
                <w:bCs/>
                <w:color w:val="auto"/>
                <w:kern w:val="0"/>
                <w:sz w:val="21"/>
                <w:szCs w:val="21"/>
                <w:highlight w:val="none"/>
                <w:lang w:val="en-US" w:eastAsia="zh-CN" w:bidi="ar-SA"/>
              </w:rPr>
              <w:t>，接合管</w:t>
            </w:r>
            <w:r>
              <w:rPr>
                <w:rFonts w:hint="default" w:ascii="Times New Roman" w:hAnsi="Times New Roman" w:eastAsia="宋体" w:cs="Times New Roman"/>
                <w:bCs/>
                <w:color w:val="auto"/>
                <w:kern w:val="0"/>
                <w:sz w:val="21"/>
                <w:szCs w:val="21"/>
                <w:highlight w:val="none"/>
                <w:lang w:val="en-US" w:eastAsia="zh-CN" w:bidi="ar-SA"/>
              </w:rPr>
              <w:t>设在油罐的顶部</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操作井、排水井采取防渗漏和防火花措施。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油罐的量油孔设置了带锁的量油帽</w:t>
            </w:r>
            <w:r>
              <w:rPr>
                <w:rFonts w:hint="eastAsia" w:ascii="Times New Roman" w:hAnsi="Times New Roman" w:eastAsia="宋体"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油罐卸油时在罐内卸油立管上安装防溢流阀，当油料达到油罐容积90%时，触动高液位报警装置；油料达到油罐容量95%时，自动停止油料继续进罐。油罐设置钢制人孔盖。</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量油孔设置带锁的量油帽</w:t>
            </w:r>
            <w:r>
              <w:rPr>
                <w:rFonts w:hint="eastAsia" w:cs="Times New Roman"/>
                <w:bCs/>
                <w:color w:val="auto"/>
                <w:kern w:val="0"/>
                <w:sz w:val="21"/>
                <w:szCs w:val="21"/>
                <w:highlight w:val="none"/>
                <w:lang w:val="en-US" w:eastAsia="zh-CN" w:bidi="ar-SA"/>
              </w:rPr>
              <w:t>（整改后），设有高低液位报警装置。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6</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油罐设置带有高液位报警及监测油罐渗漏功能的磁致伸缩液位计，液位检测系统油罐静态渗漏监测分辨率为0.76L/h。双层油罐设渗漏检测立管</w:t>
            </w:r>
            <w:r>
              <w:rPr>
                <w:rFonts w:hint="eastAsia" w:ascii="Times New Roman" w:hAnsi="Times New Roman" w:eastAsia="宋体" w:cs="Times New Roman"/>
                <w:bCs/>
                <w:color w:val="auto"/>
                <w:kern w:val="0"/>
                <w:sz w:val="21"/>
                <w:szCs w:val="21"/>
                <w:highlight w:val="none"/>
                <w:lang w:val="en-US" w:eastAsia="zh-CN" w:bidi="ar-SA"/>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油罐设置带有高液位报警</w:t>
            </w:r>
            <w:r>
              <w:rPr>
                <w:rFonts w:hint="eastAsia" w:cs="Times New Roman"/>
                <w:bCs/>
                <w:color w:val="auto"/>
                <w:kern w:val="0"/>
                <w:sz w:val="21"/>
                <w:szCs w:val="21"/>
                <w:highlight w:val="none"/>
                <w:lang w:val="en-US" w:eastAsia="zh-CN" w:bidi="ar-SA"/>
              </w:rPr>
              <w:t>及渗漏监测装置。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7</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该加油站工艺采取常规</w:t>
            </w:r>
            <w:r>
              <w:rPr>
                <w:rFonts w:hint="eastAsia" w:ascii="Times New Roman" w:hAnsi="Times New Roman" w:eastAsia="宋体" w:cs="Times New Roman"/>
                <w:bCs/>
                <w:color w:val="auto"/>
                <w:kern w:val="0"/>
                <w:sz w:val="21"/>
                <w:szCs w:val="21"/>
                <w:highlight w:val="none"/>
                <w:lang w:val="en-US" w:eastAsia="zh-CN" w:bidi="ar-SA"/>
              </w:rPr>
              <w:t>潜油式</w:t>
            </w:r>
            <w:r>
              <w:rPr>
                <w:rFonts w:hint="default" w:ascii="Times New Roman" w:hAnsi="Times New Roman" w:eastAsia="宋体" w:cs="Times New Roman"/>
                <w:bCs/>
                <w:color w:val="auto"/>
                <w:kern w:val="0"/>
                <w:sz w:val="21"/>
                <w:szCs w:val="21"/>
                <w:highlight w:val="none"/>
                <w:lang w:val="en-US" w:eastAsia="zh-CN" w:bidi="ar-SA"/>
              </w:rPr>
              <w:t>加油机，且设置紧急切断系统，能在事故状态下迅速切断加油泵的电源。</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采取常规</w:t>
            </w:r>
            <w:r>
              <w:rPr>
                <w:rFonts w:hint="eastAsia" w:ascii="Times New Roman" w:hAnsi="Times New Roman" w:eastAsia="宋体" w:cs="Times New Roman"/>
                <w:bCs/>
                <w:color w:val="auto"/>
                <w:kern w:val="0"/>
                <w:sz w:val="21"/>
                <w:szCs w:val="21"/>
                <w:highlight w:val="none"/>
                <w:lang w:val="en-US" w:eastAsia="zh-CN" w:bidi="ar-SA"/>
              </w:rPr>
              <w:t>潜油式</w:t>
            </w:r>
            <w:r>
              <w:rPr>
                <w:rFonts w:hint="default" w:ascii="Times New Roman" w:hAnsi="Times New Roman" w:eastAsia="宋体" w:cs="Times New Roman"/>
                <w:bCs/>
                <w:color w:val="auto"/>
                <w:kern w:val="0"/>
                <w:sz w:val="21"/>
                <w:szCs w:val="21"/>
                <w:highlight w:val="none"/>
                <w:lang w:val="en-US" w:eastAsia="zh-CN" w:bidi="ar-SA"/>
              </w:rPr>
              <w:t>加油机，且设置紧急切断系统</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8</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加油枪采用自封式加油枪，汽油加油枪的流量小于50L/min。</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采用自封式加油枪，流量小于50L/min。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加油机底部的供油管道上设置剪切阀，当加油机被撞或起火时，剪切阀自动关闭。</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设置剪切阀</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10</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该加油站进油管伸至罐内距罐底</w:t>
            </w:r>
            <w:r>
              <w:rPr>
                <w:rFonts w:hint="eastAsia" w:ascii="Times New Roman" w:hAnsi="Times New Roman" w:eastAsia="宋体" w:cs="Times New Roman"/>
                <w:bCs/>
                <w:color w:val="auto"/>
                <w:kern w:val="0"/>
                <w:sz w:val="21"/>
                <w:szCs w:val="21"/>
                <w:highlight w:val="none"/>
                <w:lang w:val="en-US" w:eastAsia="zh-CN" w:bidi="ar-SA"/>
              </w:rPr>
              <w:t>100</w:t>
            </w:r>
            <w:r>
              <w:rPr>
                <w:rFonts w:hint="default" w:ascii="Times New Roman" w:hAnsi="Times New Roman" w:eastAsia="宋体" w:cs="Times New Roman"/>
                <w:bCs/>
                <w:color w:val="auto"/>
                <w:kern w:val="0"/>
                <w:sz w:val="21"/>
                <w:szCs w:val="21"/>
                <w:highlight w:val="none"/>
                <w:lang w:val="en-US" w:eastAsia="zh-CN" w:bidi="ar-SA"/>
              </w:rPr>
              <w:t>mm处。进油立管的底端为45º斜管口。</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进油管伸至罐内距罐底</w:t>
            </w:r>
            <w:r>
              <w:rPr>
                <w:rFonts w:hint="eastAsia" w:ascii="Times New Roman" w:hAnsi="Times New Roman" w:eastAsia="宋体" w:cs="Times New Roman"/>
                <w:bCs/>
                <w:color w:val="auto"/>
                <w:kern w:val="0"/>
                <w:sz w:val="21"/>
                <w:szCs w:val="21"/>
                <w:highlight w:val="none"/>
                <w:lang w:val="en-US" w:eastAsia="zh-CN" w:bidi="ar-SA"/>
              </w:rPr>
              <w:t>100</w:t>
            </w:r>
            <w:r>
              <w:rPr>
                <w:rFonts w:hint="default" w:ascii="Times New Roman" w:hAnsi="Times New Roman" w:eastAsia="宋体" w:cs="Times New Roman"/>
                <w:bCs/>
                <w:color w:val="auto"/>
                <w:kern w:val="0"/>
                <w:sz w:val="21"/>
                <w:szCs w:val="21"/>
                <w:highlight w:val="none"/>
                <w:lang w:val="en-US" w:eastAsia="zh-CN" w:bidi="ar-SA"/>
              </w:rPr>
              <w:t>mm处</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通气管及卸油油气回收管采用20#无缝钢管，通气管公称直径为50mm、卸油油气回收管公称直径为80mm。无缝钢管的公称壁厚不小于4mm，埋地钢管的连接采用焊接。</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已落实，通气管材质符合要求。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埋地加油管道采用双层KPS管道（高密度聚乙烯加油站管道系统），埋地KPS管道的连接采用配套的专用连接管件电熔连接，并在双层管道的最低点设置渗漏检测点。</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埋地加油管道采用双层KPS管道</w:t>
            </w:r>
            <w:r>
              <w:rPr>
                <w:rFonts w:hint="eastAsia"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最低点设置渗漏检测点。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加油站内的工艺管道除必须露出地面的以外，均埋地敷设。采用管沟敷设的管道，管沟用中性沙子或细土填满、填实。</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工艺管道除必须露出地面的以外，均埋地敷设。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埋地工艺管道的埋设深度为0.5m。敷设在混凝土场地或道路下面的管道，管顶低于混凝土层下表面0.3m。管道周围回填100mm厚的中性沙子或细土。</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lang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埋地工艺管道的埋设深度为0.5m。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15</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该加油站内的金属设备及管道均可靠接地。油罐必须设置两个接地点；管道连接处、法兰、阀门等用金属线跨接。</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eastAsia" w:cs="Times New Roman"/>
                <w:color w:val="auto"/>
                <w:sz w:val="21"/>
                <w:szCs w:val="21"/>
                <w:lang w:val="en-US" w:eastAsia="zh-CN"/>
              </w:rPr>
              <w:t>已落实，可靠接地。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16</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加油、卸油管道不穿越站房，穿越行车道时，加套管保护，与管沟、电缆沟和排水沟相交叉时，采取相应的防护措施。</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cs="Times New Roman"/>
                <w:color w:val="auto"/>
                <w:sz w:val="21"/>
                <w:szCs w:val="21"/>
                <w:lang w:val="en-US" w:eastAsia="zh-CN"/>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加油、卸油管道不穿越站房</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b/>
                <w:color w:val="auto"/>
                <w:sz w:val="21"/>
                <w:szCs w:val="21"/>
                <w:lang w:val="en-US" w:eastAsia="zh-CN"/>
              </w:rPr>
            </w:pPr>
            <w:r>
              <w:rPr>
                <w:rFonts w:hint="eastAsia" w:cs="Times New Roman"/>
                <w:b/>
                <w:color w:val="auto"/>
                <w:sz w:val="21"/>
                <w:szCs w:val="21"/>
                <w:lang w:val="en-US" w:eastAsia="zh-CN"/>
              </w:rPr>
              <w:t>四</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auto"/>
                <w:sz w:val="21"/>
                <w:szCs w:val="21"/>
                <w:lang w:eastAsia="zh-CN"/>
              </w:rPr>
            </w:pPr>
            <w:r>
              <w:rPr>
                <w:rFonts w:hint="eastAsia" w:cs="Times New Roman"/>
                <w:b/>
                <w:color w:val="auto"/>
                <w:sz w:val="21"/>
                <w:szCs w:val="21"/>
                <w:lang w:val="en-US" w:eastAsia="zh-CN"/>
              </w:rPr>
              <w:t>电气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该加油站供电负荷等级为三级，供电电源采用电压为380／220V的外接电源，加油的供电系统设置独立的计量装置</w:t>
            </w:r>
            <w:r>
              <w:rPr>
                <w:rFonts w:hint="eastAsia" w:ascii="Times New Roman" w:hAnsi="Times New Roman" w:eastAsia="宋体" w:cs="Times New Roman"/>
                <w:bCs/>
                <w:color w:val="auto"/>
                <w:kern w:val="0"/>
                <w:sz w:val="21"/>
                <w:szCs w:val="21"/>
                <w:highlight w:val="none"/>
                <w:lang w:val="en-US" w:eastAsia="zh-CN" w:bidi="ar-SA"/>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供电负荷等级为三级</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该加油站的电力线路均采用电缆并沿电缆沟埋地敷设，加油作业区内的电缆沟内充沙填实。电缆不与油品及热力管道敷设在同一沟内，电缆穿越行车道部分穿钢管保护。</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已落实，</w:t>
            </w:r>
            <w:r>
              <w:rPr>
                <w:rFonts w:hint="default" w:ascii="Times New Roman" w:hAnsi="Times New Roman" w:eastAsia="宋体" w:cs="Times New Roman"/>
                <w:bCs/>
                <w:color w:val="auto"/>
                <w:kern w:val="0"/>
                <w:sz w:val="21"/>
                <w:szCs w:val="21"/>
                <w:highlight w:val="none"/>
                <w:lang w:val="en-US" w:eastAsia="zh-CN" w:bidi="ar-SA"/>
              </w:rPr>
              <w:t>电力线路均采用电缆并沿电缆沟埋地敷设，加油作业区内的电缆沟内充沙填实。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3</w:t>
            </w:r>
          </w:p>
        </w:tc>
        <w:tc>
          <w:tcPr>
            <w:tcW w:w="5938" w:type="dxa"/>
            <w:vAlign w:val="center"/>
          </w:tcPr>
          <w:p>
            <w:pPr>
              <w:pStyle w:val="91"/>
              <w:keepNext w:val="0"/>
              <w:keepLines w:val="0"/>
              <w:pageBreakBefore w:val="0"/>
              <w:widowControl w:val="0"/>
              <w:tabs>
                <w:tab w:val="left" w:pos="900"/>
              </w:tabs>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内爆炸危险区域的等级范围划分按《汽车加油加气站设计与施工规范》（GB50156-2012，2014年版）的规定确定，爆炸危险区域内的电气设备选型、安装、电力线路敷设等，符合现行国家标准《爆炸危险环境电力装置设计规范》（GB50058-2014）的规定。选择相应的防爆、防火电气设备。用电设备外壳、敷线钢管等与PE线做好连接，电气与防雷防静电共用接地装置，接地电阻不大于4Ω。</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已落实，防爆等级与接地装置符合要求。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4</w:t>
            </w:r>
          </w:p>
        </w:tc>
        <w:tc>
          <w:tcPr>
            <w:tcW w:w="5938" w:type="dxa"/>
            <w:vAlign w:val="center"/>
          </w:tcPr>
          <w:p>
            <w:pPr>
              <w:pStyle w:val="91"/>
              <w:keepNext w:val="0"/>
              <w:keepLines w:val="0"/>
              <w:pageBreakBefore w:val="0"/>
              <w:widowControl w:val="0"/>
              <w:tabs>
                <w:tab w:val="left" w:pos="900"/>
              </w:tabs>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加油机及油罐的线路配管均采用镀锌钢管敷设，且电气设备的选型符合防爆要求，加油机坑内的管端头采用防爆隔离密封胶泥做密封处理，其填充长度不小于52mm且不小于管径的2倍。</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采用镀锌钢管敷设</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highlight w:val="none"/>
                <w:lang w:val="en-US" w:eastAsia="zh-CN"/>
              </w:rPr>
            </w:pPr>
            <w:r>
              <w:rPr>
                <w:rFonts w:hint="eastAsia" w:cs="Times New Roman"/>
                <w:bCs/>
                <w:color w:val="auto"/>
                <w:sz w:val="21"/>
                <w:szCs w:val="21"/>
                <w:highlight w:val="none"/>
                <w:lang w:val="en-US" w:eastAsia="zh-CN"/>
              </w:rPr>
              <w:t>5</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该加油站内自动液位检测、电脑控制的加油机等信息系统设置UPS不间断供电电源，UPS供电时间不低于30分钟。</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该加油站内安装带蓄电池的应急照明灯，应急时间不少于30分钟。站内罩棚下的灯具选用防护等级不低于IP44的加油站专用应急灯具，应急时间不低于30分钟。</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设置UPS不间断供电电源，UPS供电时间不低于30分钟。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color w:val="auto"/>
                <w:sz w:val="21"/>
                <w:szCs w:val="21"/>
                <w:highlight w:val="none"/>
                <w:lang w:val="en-US" w:eastAsia="zh-CN"/>
              </w:rPr>
            </w:pPr>
            <w:r>
              <w:rPr>
                <w:rFonts w:hint="eastAsia" w:cs="Times New Roman"/>
                <w:bCs/>
                <w:color w:val="auto"/>
                <w:sz w:val="21"/>
                <w:szCs w:val="21"/>
                <w:highlight w:val="none"/>
                <w:lang w:val="en-US" w:eastAsia="zh-CN"/>
              </w:rPr>
              <w:t>6</w:t>
            </w:r>
          </w:p>
        </w:tc>
        <w:tc>
          <w:tcPr>
            <w:tcW w:w="5938" w:type="dxa"/>
            <w:vAlign w:val="center"/>
          </w:tcPr>
          <w:p>
            <w:pPr>
              <w:pStyle w:val="91"/>
              <w:keepNext w:val="0"/>
              <w:keepLines w:val="0"/>
              <w:pageBreakBefore w:val="0"/>
              <w:widowControl w:val="0"/>
              <w:tabs>
                <w:tab w:val="left" w:pos="900"/>
              </w:tabs>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eastAsia="宋体" w:cs="Times New Roman"/>
                <w:bCs/>
                <w:color w:val="auto"/>
                <w:kern w:val="0"/>
                <w:sz w:val="21"/>
                <w:szCs w:val="21"/>
                <w:highlight w:val="none"/>
                <w:lang w:val="en-US" w:eastAsia="zh-CN" w:bidi="ar-SA"/>
              </w:rPr>
              <w:t>该加油站</w:t>
            </w:r>
            <w:r>
              <w:rPr>
                <w:rFonts w:hint="default" w:ascii="Times New Roman" w:hAnsi="Times New Roman" w:eastAsia="宋体" w:cs="Times New Roman"/>
                <w:bCs/>
                <w:color w:val="auto"/>
                <w:kern w:val="0"/>
                <w:sz w:val="21"/>
                <w:szCs w:val="21"/>
                <w:highlight w:val="none"/>
                <w:lang w:val="en-US" w:eastAsia="zh-CN" w:bidi="ar-SA"/>
              </w:rPr>
              <w:t>相关区域内的电气设备按《爆炸危险环境电力装置设计规范》（GB50058-2014）和《危险场所电气防爆安全规范》（AQ3009-2007）的要求进行设计</w:t>
            </w:r>
            <w:r>
              <w:rPr>
                <w:rFonts w:hint="eastAsia" w:ascii="Times New Roman" w:hAnsi="Times New Roman" w:eastAsia="宋体" w:cs="Times New Roman"/>
                <w:bCs/>
                <w:color w:val="auto"/>
                <w:kern w:val="0"/>
                <w:sz w:val="21"/>
                <w:szCs w:val="21"/>
                <w:highlight w:val="none"/>
                <w:lang w:val="en-US" w:eastAsia="zh-CN" w:bidi="ar-SA"/>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已落实，电气设备符合设计要求。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highlight w:val="none"/>
                <w:lang w:val="en-US" w:eastAsia="zh-CN"/>
              </w:rPr>
            </w:pPr>
            <w:r>
              <w:rPr>
                <w:rFonts w:hint="eastAsia" w:cs="Times New Roman"/>
                <w:bCs/>
                <w:color w:val="auto"/>
                <w:sz w:val="21"/>
                <w:szCs w:val="21"/>
                <w:highlight w:val="none"/>
                <w:lang w:val="en-US" w:eastAsia="zh-CN"/>
              </w:rPr>
              <w:t>7</w:t>
            </w:r>
          </w:p>
        </w:tc>
        <w:tc>
          <w:tcPr>
            <w:tcW w:w="5938" w:type="dxa"/>
            <w:vAlign w:val="center"/>
          </w:tcPr>
          <w:p>
            <w:pPr>
              <w:pStyle w:val="91"/>
              <w:keepNext w:val="0"/>
              <w:keepLines w:val="0"/>
              <w:pageBreakBefore w:val="0"/>
              <w:widowControl w:val="0"/>
              <w:tabs>
                <w:tab w:val="left" w:pos="900"/>
              </w:tabs>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根据《建筑物防雷设计规范》GB50057-2010规范规定，该加油站罩棚、站房均按第二类防雷建筑物设置防雷保护。</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该加油站罩棚、站房均按第二类防雷建筑物设置防雷保护。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五</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auto"/>
                <w:sz w:val="21"/>
                <w:szCs w:val="21"/>
                <w:lang w:val="en-US"/>
              </w:rPr>
            </w:pPr>
            <w:r>
              <w:rPr>
                <w:rFonts w:hint="eastAsia" w:cs="Times New Roman"/>
                <w:b/>
                <w:color w:val="auto"/>
                <w:sz w:val="21"/>
                <w:szCs w:val="21"/>
                <w:lang w:eastAsia="zh-CN"/>
              </w:rPr>
              <w:t>自控仪表</w:t>
            </w:r>
            <w:r>
              <w:rPr>
                <w:rFonts w:hint="eastAsia" w:cs="Times New Roman"/>
                <w:b/>
                <w:color w:val="auto"/>
                <w:sz w:val="21"/>
                <w:szCs w:val="21"/>
                <w:lang w:val="en-US" w:eastAsia="zh-CN"/>
              </w:rPr>
              <w:t>及火灾报警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该加油站配备一UPS备用电源，供电脑及控制仪表断电时紧急备用，可满足紧急用电需求。</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配备一UPS备用电源</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bCs/>
                <w:color w:val="auto"/>
                <w:kern w:val="0"/>
                <w:sz w:val="21"/>
                <w:szCs w:val="21"/>
                <w:highlight w:val="none"/>
                <w:lang w:val="en-US" w:eastAsia="zh-CN" w:bidi="ar-SA"/>
              </w:rPr>
            </w:pPr>
            <w:r>
              <w:rPr>
                <w:rFonts w:hint="eastAsia" w:ascii="Times New Roman" w:hAnsi="Times New Roman" w:eastAsia="宋体" w:cs="Times New Roman"/>
                <w:bCs/>
                <w:color w:val="auto"/>
                <w:kern w:val="0"/>
                <w:sz w:val="21"/>
                <w:szCs w:val="21"/>
                <w:highlight w:val="none"/>
                <w:lang w:val="en-US" w:eastAsia="zh-CN" w:bidi="ar-SA"/>
              </w:rPr>
              <w:t>该加油站设置</w:t>
            </w:r>
            <w:r>
              <w:rPr>
                <w:rFonts w:hint="default" w:ascii="Times New Roman" w:hAnsi="Times New Roman" w:eastAsia="宋体" w:cs="Times New Roman"/>
                <w:bCs/>
                <w:color w:val="auto"/>
                <w:kern w:val="0"/>
                <w:sz w:val="21"/>
                <w:szCs w:val="21"/>
                <w:highlight w:val="none"/>
                <w:lang w:val="en-US" w:eastAsia="zh-CN" w:bidi="ar-SA"/>
              </w:rPr>
              <w:t>油罐液位监控系统</w:t>
            </w:r>
            <w:r>
              <w:rPr>
                <w:rFonts w:hint="eastAsia" w:ascii="Times New Roman" w:hAnsi="Times New Roman" w:eastAsia="宋体"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油罐车卸车场地设置卸车时用的防静电接地装置</w:t>
            </w:r>
            <w:r>
              <w:rPr>
                <w:rFonts w:hint="eastAsia" w:ascii="Times New Roman" w:hAnsi="Times New Roman" w:eastAsia="宋体"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加油站站房内、加油机及罐区附近设置紧急切断系统</w:t>
            </w:r>
            <w:r>
              <w:rPr>
                <w:rFonts w:hint="eastAsia" w:cs="Times New Roman"/>
                <w:bCs/>
                <w:color w:val="auto"/>
                <w:kern w:val="0"/>
                <w:sz w:val="21"/>
                <w:szCs w:val="21"/>
                <w:highlight w:val="none"/>
                <w:lang w:val="en-US" w:eastAsia="zh-CN" w:bidi="ar-SA"/>
              </w:rPr>
              <w:t>。</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已落实，设置</w:t>
            </w:r>
            <w:r>
              <w:rPr>
                <w:rFonts w:hint="default" w:ascii="Times New Roman" w:hAnsi="Times New Roman" w:eastAsia="宋体" w:cs="Times New Roman"/>
                <w:bCs/>
                <w:color w:val="auto"/>
                <w:kern w:val="0"/>
                <w:sz w:val="21"/>
                <w:szCs w:val="21"/>
                <w:highlight w:val="none"/>
                <w:lang w:val="en-US" w:eastAsia="zh-CN" w:bidi="ar-SA"/>
              </w:rPr>
              <w:t>液位监控系统</w:t>
            </w:r>
            <w:r>
              <w:rPr>
                <w:rFonts w:hint="eastAsia" w:ascii="Times New Roman" w:hAnsi="Times New Roman" w:eastAsia="宋体"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卸车时用的防静电接地装置</w:t>
            </w:r>
            <w:r>
              <w:rPr>
                <w:rFonts w:hint="eastAsia" w:ascii="Times New Roman" w:hAnsi="Times New Roman" w:eastAsia="宋体" w:cs="Times New Roman"/>
                <w:bCs/>
                <w:color w:val="auto"/>
                <w:kern w:val="0"/>
                <w:sz w:val="21"/>
                <w:szCs w:val="21"/>
                <w:highlight w:val="none"/>
                <w:lang w:val="en-US" w:eastAsia="zh-CN" w:bidi="ar-SA"/>
              </w:rPr>
              <w:t>，</w:t>
            </w:r>
            <w:r>
              <w:rPr>
                <w:rFonts w:hint="default" w:ascii="Times New Roman" w:hAnsi="Times New Roman" w:eastAsia="宋体" w:cs="Times New Roman"/>
                <w:bCs/>
                <w:color w:val="auto"/>
                <w:kern w:val="0"/>
                <w:sz w:val="21"/>
                <w:szCs w:val="21"/>
                <w:highlight w:val="none"/>
                <w:lang w:val="en-US" w:eastAsia="zh-CN" w:bidi="ar-SA"/>
              </w:rPr>
              <w:t>加油站站房内、加油机附近设置紧急切断系统</w:t>
            </w:r>
            <w:r>
              <w:rPr>
                <w:rFonts w:hint="eastAsia" w:cs="Times New Roman"/>
                <w:bCs/>
                <w:color w:val="auto"/>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lang w:val="en-US" w:eastAsia="zh-CN"/>
              </w:rPr>
            </w:pPr>
            <w:r>
              <w:rPr>
                <w:rFonts w:hint="eastAsia" w:cs="Times New Roman"/>
                <w:b/>
                <w:bCs w:val="0"/>
                <w:color w:val="auto"/>
                <w:sz w:val="21"/>
                <w:szCs w:val="21"/>
                <w:highlight w:val="none"/>
                <w:lang w:val="en-US" w:eastAsia="zh-CN"/>
              </w:rPr>
              <w:t>六</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建、构筑物方面的安全设施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根据《中国地震动参数区划图》（GB18306-2015），本项目所在地区抗震设防烈度为</w:t>
            </w:r>
            <w:r>
              <w:rPr>
                <w:rFonts w:hint="eastAsia" w:ascii="Times New Roman" w:hAnsi="Times New Roman" w:eastAsia="宋体" w:cs="Times New Roman"/>
                <w:bCs/>
                <w:color w:val="auto"/>
                <w:kern w:val="0"/>
                <w:sz w:val="21"/>
                <w:szCs w:val="21"/>
                <w:highlight w:val="none"/>
                <w:lang w:val="en-US" w:eastAsia="zh-CN" w:bidi="ar-SA"/>
              </w:rPr>
              <w:t>7</w:t>
            </w:r>
            <w:r>
              <w:rPr>
                <w:rFonts w:hint="default" w:ascii="Times New Roman" w:hAnsi="Times New Roman" w:eastAsia="宋体" w:cs="Times New Roman"/>
                <w:bCs/>
                <w:color w:val="auto"/>
                <w:kern w:val="0"/>
                <w:sz w:val="21"/>
                <w:szCs w:val="21"/>
                <w:highlight w:val="none"/>
                <w:lang w:val="en-US" w:eastAsia="zh-CN" w:bidi="ar-SA"/>
              </w:rPr>
              <w:t>度，设计基本地震加速度值为0.</w:t>
            </w:r>
            <w:r>
              <w:rPr>
                <w:rFonts w:hint="eastAsia" w:ascii="Times New Roman" w:hAnsi="Times New Roman" w:eastAsia="宋体" w:cs="Times New Roman"/>
                <w:bCs/>
                <w:color w:val="auto"/>
                <w:kern w:val="0"/>
                <w:sz w:val="21"/>
                <w:szCs w:val="21"/>
                <w:highlight w:val="none"/>
                <w:lang w:val="en-US" w:eastAsia="zh-CN" w:bidi="ar-SA"/>
              </w:rPr>
              <w:t>10</w:t>
            </w:r>
            <w:r>
              <w:rPr>
                <w:rFonts w:hint="default" w:ascii="Times New Roman" w:hAnsi="Times New Roman" w:eastAsia="宋体" w:cs="Times New Roman"/>
                <w:bCs/>
                <w:color w:val="auto"/>
                <w:kern w:val="0"/>
                <w:sz w:val="21"/>
                <w:szCs w:val="21"/>
                <w:highlight w:val="none"/>
                <w:lang w:val="en-US" w:eastAsia="zh-CN" w:bidi="ar-SA"/>
              </w:rPr>
              <w:t>g。所以本加油站建设项目建（构）筑物按地震基本烈度</w:t>
            </w:r>
            <w:r>
              <w:rPr>
                <w:rFonts w:hint="eastAsia" w:ascii="Times New Roman" w:hAnsi="Times New Roman" w:eastAsia="宋体" w:cs="Times New Roman"/>
                <w:bCs/>
                <w:color w:val="auto"/>
                <w:kern w:val="0"/>
                <w:sz w:val="21"/>
                <w:szCs w:val="21"/>
                <w:highlight w:val="none"/>
                <w:lang w:val="en-US" w:eastAsia="zh-CN" w:bidi="ar-SA"/>
              </w:rPr>
              <w:t>7</w:t>
            </w:r>
            <w:r>
              <w:rPr>
                <w:rFonts w:hint="default" w:ascii="Times New Roman" w:hAnsi="Times New Roman" w:eastAsia="宋体" w:cs="Times New Roman"/>
                <w:bCs/>
                <w:color w:val="auto"/>
                <w:kern w:val="0"/>
                <w:sz w:val="21"/>
                <w:szCs w:val="21"/>
                <w:highlight w:val="none"/>
                <w:lang w:val="en-US" w:eastAsia="zh-CN" w:bidi="ar-SA"/>
              </w:rPr>
              <w:t>度设防。</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按</w:t>
            </w:r>
            <w:r>
              <w:rPr>
                <w:rFonts w:hint="eastAsia" w:cs="Times New Roman"/>
                <w:color w:val="auto"/>
                <w:sz w:val="21"/>
                <w:szCs w:val="21"/>
                <w:highlight w:val="none"/>
                <w:lang w:val="en-US" w:eastAsia="zh-CN"/>
              </w:rPr>
              <w:t>7度设防，</w:t>
            </w:r>
            <w:r>
              <w:rPr>
                <w:rFonts w:hint="eastAsia" w:cs="Times New Roman"/>
                <w:color w:val="auto"/>
                <w:sz w:val="21"/>
                <w:szCs w:val="21"/>
                <w:highlight w:val="none"/>
                <w:lang w:eastAsia="zh-CN"/>
              </w:rPr>
              <w:t>抗震设防满足要求。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站房、加油罩棚采用自然通风，通风效果良好。站房设置风扇和空调降温，但空调的外机必须设置在远离爆炸危险区域的墙壁外侧。</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bCs/>
                <w:color w:val="auto"/>
                <w:kern w:val="0"/>
                <w:sz w:val="21"/>
                <w:szCs w:val="21"/>
                <w:highlight w:val="none"/>
                <w:lang w:val="en-US" w:eastAsia="zh-CN" w:bidi="ar-SA"/>
              </w:rPr>
              <w:t>采用自然通风，通风效果良好。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highlight w:val="none"/>
                <w:lang w:val="en-US" w:eastAsia="zh-CN"/>
              </w:rPr>
            </w:pPr>
            <w:r>
              <w:rPr>
                <w:rFonts w:hint="eastAsia" w:cs="Times New Roman"/>
                <w:b/>
                <w:bCs w:val="0"/>
                <w:color w:val="auto"/>
                <w:sz w:val="21"/>
                <w:szCs w:val="21"/>
                <w:highlight w:val="none"/>
                <w:lang w:val="en-US" w:eastAsia="zh-CN"/>
              </w:rPr>
              <w:t>七</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其他防范设施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w:t>
            </w:r>
            <w:r>
              <w:rPr>
                <w:rFonts w:hint="eastAsia" w:cs="Times New Roman"/>
                <w:b/>
                <w:bCs w:val="0"/>
                <w:color w:val="auto"/>
                <w:sz w:val="21"/>
                <w:szCs w:val="21"/>
                <w:highlight w:val="none"/>
                <w:lang w:val="en-US" w:eastAsia="zh-CN"/>
              </w:rPr>
              <w:t>1</w:t>
            </w:r>
            <w:r>
              <w:rPr>
                <w:rFonts w:hint="eastAsia" w:cs="Times New Roman"/>
                <w:b/>
                <w:bCs w:val="0"/>
                <w:color w:val="auto"/>
                <w:sz w:val="21"/>
                <w:szCs w:val="21"/>
                <w:highlight w:val="none"/>
                <w:lang w:eastAsia="zh-CN"/>
              </w:rPr>
              <w:t>）</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防范自然灾害的措施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该加油站位于东营市垦利区董集镇，该位置不属于台风及洪水多发区，故不会受到台风及洪水的危害，但站区应修筑排水设施。</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已落实，排水符合要求。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bCs/>
                <w:color w:val="auto"/>
                <w:kern w:val="0"/>
                <w:sz w:val="21"/>
                <w:szCs w:val="21"/>
                <w:highlight w:val="none"/>
                <w:lang w:val="en-US" w:eastAsia="zh-CN" w:bidi="ar-SA"/>
              </w:rPr>
            </w:pPr>
            <w:r>
              <w:rPr>
                <w:rFonts w:hint="default" w:ascii="Times New Roman" w:hAnsi="Times New Roman" w:eastAsia="宋体" w:cs="Times New Roman"/>
                <w:bCs/>
                <w:color w:val="auto"/>
                <w:kern w:val="0"/>
                <w:sz w:val="21"/>
                <w:szCs w:val="21"/>
                <w:highlight w:val="none"/>
                <w:lang w:val="en-US" w:eastAsia="zh-CN" w:bidi="ar-SA"/>
              </w:rPr>
              <w:t>本项目所在地理位置的抗震设防烈度为</w:t>
            </w:r>
            <w:r>
              <w:rPr>
                <w:rFonts w:hint="eastAsia" w:ascii="Times New Roman" w:hAnsi="Times New Roman" w:eastAsia="宋体" w:cs="Times New Roman"/>
                <w:bCs/>
                <w:color w:val="auto"/>
                <w:kern w:val="0"/>
                <w:sz w:val="21"/>
                <w:szCs w:val="21"/>
                <w:highlight w:val="none"/>
                <w:lang w:val="en-US" w:eastAsia="zh-CN" w:bidi="ar-SA"/>
              </w:rPr>
              <w:t>7</w:t>
            </w:r>
            <w:r>
              <w:rPr>
                <w:rFonts w:hint="default" w:ascii="Times New Roman" w:hAnsi="Times New Roman" w:eastAsia="宋体" w:cs="Times New Roman"/>
                <w:bCs/>
                <w:color w:val="auto"/>
                <w:kern w:val="0"/>
                <w:sz w:val="21"/>
                <w:szCs w:val="21"/>
                <w:highlight w:val="none"/>
                <w:lang w:val="en-US" w:eastAsia="zh-CN" w:bidi="ar-SA"/>
              </w:rPr>
              <w:t>度，基本地震加速度值为0.</w:t>
            </w:r>
            <w:r>
              <w:rPr>
                <w:rFonts w:hint="eastAsia" w:ascii="Times New Roman" w:hAnsi="Times New Roman" w:eastAsia="宋体" w:cs="Times New Roman"/>
                <w:bCs/>
                <w:color w:val="auto"/>
                <w:kern w:val="0"/>
                <w:sz w:val="21"/>
                <w:szCs w:val="21"/>
                <w:highlight w:val="none"/>
                <w:lang w:val="en-US" w:eastAsia="zh-CN" w:bidi="ar-SA"/>
              </w:rPr>
              <w:t>10</w:t>
            </w:r>
            <w:r>
              <w:rPr>
                <w:rFonts w:hint="default" w:ascii="Times New Roman" w:hAnsi="Times New Roman" w:eastAsia="宋体" w:cs="Times New Roman"/>
                <w:bCs/>
                <w:color w:val="auto"/>
                <w:kern w:val="0"/>
                <w:sz w:val="21"/>
                <w:szCs w:val="21"/>
                <w:highlight w:val="none"/>
                <w:lang w:val="en-US" w:eastAsia="zh-CN" w:bidi="ar-SA"/>
              </w:rPr>
              <w:t>g，。本加油站站房、罩棚和油罐区均为标准设防类（丙类），即按当地抗震设防烈度</w:t>
            </w:r>
            <w:r>
              <w:rPr>
                <w:rFonts w:hint="eastAsia" w:ascii="Times New Roman" w:hAnsi="Times New Roman" w:eastAsia="宋体" w:cs="Times New Roman"/>
                <w:bCs/>
                <w:color w:val="auto"/>
                <w:kern w:val="0"/>
                <w:sz w:val="21"/>
                <w:szCs w:val="21"/>
                <w:highlight w:val="none"/>
                <w:lang w:val="en-US" w:eastAsia="zh-CN" w:bidi="ar-SA"/>
              </w:rPr>
              <w:t>7</w:t>
            </w:r>
            <w:r>
              <w:rPr>
                <w:rFonts w:hint="default" w:ascii="Times New Roman" w:hAnsi="Times New Roman" w:eastAsia="宋体" w:cs="Times New Roman"/>
                <w:bCs/>
                <w:color w:val="auto"/>
                <w:kern w:val="0"/>
                <w:sz w:val="21"/>
                <w:szCs w:val="21"/>
                <w:highlight w:val="none"/>
                <w:lang w:val="en-US" w:eastAsia="zh-CN" w:bidi="ar-SA"/>
              </w:rPr>
              <w:t>度进行抗震设计。</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lang w:eastAsia="zh-CN"/>
              </w:rPr>
              <w:t>已落实，</w:t>
            </w:r>
            <w:r>
              <w:rPr>
                <w:rFonts w:hint="eastAsia" w:cs="Times New Roman"/>
                <w:color w:val="auto"/>
                <w:sz w:val="21"/>
                <w:szCs w:val="21"/>
                <w:highlight w:val="none"/>
                <w:lang w:eastAsia="zh-CN"/>
              </w:rPr>
              <w:t>按</w:t>
            </w:r>
            <w:r>
              <w:rPr>
                <w:rFonts w:hint="eastAsia" w:cs="Times New Roman"/>
                <w:color w:val="auto"/>
                <w:sz w:val="21"/>
                <w:szCs w:val="21"/>
                <w:highlight w:val="none"/>
                <w:lang w:val="en-US" w:eastAsia="zh-CN"/>
              </w:rPr>
              <w:t>7度设防，</w:t>
            </w:r>
            <w:r>
              <w:rPr>
                <w:rFonts w:hint="eastAsia" w:cs="Times New Roman"/>
                <w:color w:val="auto"/>
                <w:sz w:val="21"/>
                <w:szCs w:val="21"/>
                <w:highlight w:val="none"/>
                <w:lang w:eastAsia="zh-CN"/>
              </w:rPr>
              <w:t>抗震设防满足要求。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val="0"/>
                <w:color w:val="auto"/>
                <w:sz w:val="21"/>
                <w:szCs w:val="21"/>
                <w:highlight w:val="none"/>
                <w:lang w:eastAsia="zh-CN"/>
              </w:rPr>
            </w:pPr>
            <w:r>
              <w:rPr>
                <w:rFonts w:hint="eastAsia" w:cs="Times New Roman"/>
                <w:b/>
                <w:bCs w:val="0"/>
                <w:color w:val="auto"/>
                <w:sz w:val="21"/>
                <w:szCs w:val="21"/>
                <w:highlight w:val="none"/>
                <w:lang w:eastAsia="zh-CN"/>
              </w:rPr>
              <w:t>（</w:t>
            </w:r>
            <w:r>
              <w:rPr>
                <w:rFonts w:hint="eastAsia" w:cs="Times New Roman"/>
                <w:b/>
                <w:bCs w:val="0"/>
                <w:color w:val="auto"/>
                <w:sz w:val="21"/>
                <w:szCs w:val="21"/>
                <w:highlight w:val="none"/>
                <w:lang w:val="en-US" w:eastAsia="zh-CN"/>
              </w:rPr>
              <w:t>2</w:t>
            </w:r>
            <w:r>
              <w:rPr>
                <w:rFonts w:hint="eastAsia" w:cs="Times New Roman"/>
                <w:b/>
                <w:bCs w:val="0"/>
                <w:color w:val="auto"/>
                <w:sz w:val="21"/>
                <w:szCs w:val="21"/>
                <w:highlight w:val="none"/>
                <w:lang w:eastAsia="zh-CN"/>
              </w:rPr>
              <w:t>）</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val="0"/>
                <w:color w:val="auto"/>
                <w:sz w:val="21"/>
                <w:szCs w:val="21"/>
                <w:highlight w:val="none"/>
              </w:rPr>
            </w:pPr>
            <w:r>
              <w:rPr>
                <w:rFonts w:hint="eastAsia" w:cs="Times New Roman"/>
                <w:b/>
                <w:bCs w:val="0"/>
                <w:color w:val="auto"/>
                <w:sz w:val="21"/>
                <w:szCs w:val="21"/>
                <w:highlight w:val="none"/>
                <w:lang w:eastAsia="zh-CN"/>
              </w:rPr>
              <w:t>防噪声、防护栏及安全标志的设置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该加油站在加油机（或罩棚柱）端部均设置0.5m高的防撞栏杆，以防加油机被撞，引发泄漏、火灾、爆炸事故。</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highlight w:val="none"/>
                <w:lang w:val="en-US" w:eastAsia="zh-CN"/>
              </w:rPr>
              <w:t>已落实，设置</w:t>
            </w:r>
            <w:r>
              <w:rPr>
                <w:rFonts w:hint="default" w:ascii="Times New Roman" w:hAnsi="Times New Roman" w:eastAsia="宋体" w:cs="Times New Roman"/>
                <w:color w:val="auto"/>
                <w:kern w:val="2"/>
                <w:sz w:val="21"/>
                <w:szCs w:val="21"/>
                <w:lang w:val="en-US" w:eastAsia="zh-CN" w:bidi="ar-SA"/>
              </w:rPr>
              <w:t>防撞栏杆</w:t>
            </w:r>
            <w:r>
              <w:rPr>
                <w:rFonts w:hint="eastAsia"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该加油站站区内按国家有关标准《安全标志及其使用导则》（GB2894-2008）和《安全色》（GB 2893-2008）设置安全标志及标牌。</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kern w:val="2"/>
                <w:sz w:val="21"/>
                <w:szCs w:val="21"/>
                <w:lang w:val="en-US" w:eastAsia="zh-CN" w:bidi="ar-SA"/>
              </w:rPr>
              <w:t>设置安全标志及标牌</w:t>
            </w:r>
            <w:r>
              <w:rPr>
                <w:rFonts w:hint="eastAsia" w:cs="Times New Roman"/>
                <w:color w:val="auto"/>
                <w:kern w:val="2"/>
                <w:sz w:val="21"/>
                <w:szCs w:val="21"/>
                <w:lang w:val="en-US" w:eastAsia="zh-CN" w:bidi="ar-SA"/>
              </w:rPr>
              <w:t>（整改后）</w:t>
            </w:r>
            <w:r>
              <w:rPr>
                <w:rFonts w:hint="default"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pStyle w:val="9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每个油罐各自设置卸油管道和卸油接口。各卸油口及油气回收接口应有明显的标识。</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kern w:val="2"/>
                <w:sz w:val="21"/>
                <w:szCs w:val="21"/>
                <w:lang w:val="en-US" w:eastAsia="zh-CN" w:bidi="ar-SA"/>
              </w:rPr>
              <w:t>设置卸油管道和卸油接口。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pStyle w:val="9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站区明显位置内设置“严禁烟火”标志；加油岛附近设置“熄火加油”标志；加油岛和密闭卸油口附近设置“禁止拨打电话”标志。</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highlight w:val="none"/>
                <w:lang w:val="en-US" w:eastAsia="zh-CN"/>
              </w:rPr>
              <w:t>已落实，设置相应警示标志。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lang w:val="en-US" w:eastAsia="zh-CN"/>
              </w:rPr>
            </w:pPr>
            <w:r>
              <w:rPr>
                <w:rFonts w:hint="eastAsia" w:cs="Times New Roman"/>
                <w:b/>
                <w:bCs w:val="0"/>
                <w:color w:val="auto"/>
                <w:sz w:val="21"/>
                <w:szCs w:val="21"/>
                <w:lang w:val="en-US" w:eastAsia="zh-CN"/>
              </w:rPr>
              <w:t>（3）</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val="0"/>
                <w:color w:val="auto"/>
                <w:sz w:val="21"/>
                <w:szCs w:val="21"/>
                <w:lang w:eastAsia="zh-CN"/>
              </w:rPr>
            </w:pPr>
            <w:r>
              <w:rPr>
                <w:rFonts w:hint="eastAsia" w:cs="Times New Roman"/>
                <w:b/>
                <w:bCs w:val="0"/>
                <w:color w:val="auto"/>
                <w:sz w:val="21"/>
                <w:szCs w:val="21"/>
                <w:lang w:eastAsia="zh-CN"/>
              </w:rPr>
              <w:t>个体防护装备的配备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pStyle w:val="9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根据《个体防护装备选用规范》（GB/T11651-2008）的有关规定和要求，该项目作业人员不得穿戴化纤等易着火的衣物。根据《山东省劳动防护用品配备标准》（DB37/1922-2011）的规定，根据作业场所危害物质不同，劳动人员在岗操作时，需佩戴相应的劳动防护用具。</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已落实，</w:t>
            </w:r>
            <w:r>
              <w:rPr>
                <w:rFonts w:hint="eastAsia" w:cs="Times New Roman"/>
                <w:color w:val="auto"/>
                <w:sz w:val="21"/>
                <w:szCs w:val="21"/>
                <w:lang w:val="en-US" w:eastAsia="zh-CN"/>
              </w:rPr>
              <w:t>按规定配备劳动防护用品。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lang w:val="en-US" w:eastAsia="zh-CN"/>
              </w:rPr>
            </w:pPr>
            <w:r>
              <w:rPr>
                <w:rFonts w:hint="eastAsia" w:cs="Times New Roman"/>
                <w:b/>
                <w:bCs w:val="0"/>
                <w:color w:val="auto"/>
                <w:sz w:val="21"/>
                <w:szCs w:val="21"/>
                <w:lang w:val="en-US" w:eastAsia="zh-CN"/>
              </w:rPr>
              <w:t>（4）</w:t>
            </w:r>
          </w:p>
        </w:tc>
        <w:tc>
          <w:tcPr>
            <w:tcW w:w="850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lang w:eastAsia="zh-CN"/>
              </w:rPr>
            </w:pPr>
            <w:r>
              <w:rPr>
                <w:rFonts w:hint="eastAsia" w:cs="Times New Roman"/>
                <w:b/>
                <w:bCs w:val="0"/>
                <w:color w:val="auto"/>
                <w:sz w:val="21"/>
                <w:szCs w:val="21"/>
                <w:lang w:eastAsia="zh-CN"/>
              </w:rPr>
              <w:t>采取的其他安全防范设施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严禁将火源带入油罐区。不能直接用加油枪往塑料桶内加油。</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kern w:val="2"/>
                <w:sz w:val="21"/>
                <w:szCs w:val="21"/>
                <w:lang w:val="en-US" w:eastAsia="zh-CN" w:bidi="ar-SA"/>
              </w:rPr>
              <w:t>严禁将火源带入油罐区。不能直接用加油枪往塑料桶内加油。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2</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使用的储油罐要定期对罐体、管道和加油机进行检查，防止油品泄漏。油罐在卸油时，车头朝向出入口。雷雨天禁止卸油。严禁携带一切危险品入站；加油站内严禁闲杂人员随意出入和逗留。车辆进站加油时，乘客必须先下车，待加油完毕，车辆驶出站外再上车。</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kern w:val="2"/>
                <w:sz w:val="21"/>
                <w:szCs w:val="21"/>
                <w:lang w:val="en-US" w:eastAsia="zh-CN" w:bidi="ar-SA"/>
              </w:rPr>
              <w:t>定期对罐体、管道和加油机进行检查</w:t>
            </w:r>
            <w:r>
              <w:rPr>
                <w:rFonts w:hint="eastAsia"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3</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营业房内不允许存放汽、柴油，不允许有明火产生。</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kern w:val="2"/>
                <w:sz w:val="21"/>
                <w:szCs w:val="21"/>
                <w:lang w:val="en-US" w:eastAsia="zh-CN" w:bidi="ar-SA"/>
              </w:rPr>
              <w:t>营业房内不允许存放汽、柴油</w:t>
            </w:r>
            <w:r>
              <w:rPr>
                <w:rFonts w:hint="eastAsia"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4</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各项操作使用不产生火花的防爆工具。加油站内严禁使用手机。严禁在加油站内从事可能产生火花的作业，诸如检修车辆，敲击铁器等。</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kern w:val="2"/>
                <w:sz w:val="21"/>
                <w:szCs w:val="21"/>
                <w:lang w:val="en-US" w:eastAsia="zh-CN" w:bidi="ar-SA"/>
              </w:rPr>
              <w:t>使用不产生火花的防爆工具。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5</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定期检查罩棚等建筑构架，确保坚固稳定。对避雷网（带）、呼吸阀、阻火器、接地线等应经常检查、测试，保证安全好用。</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highlight w:val="none"/>
                <w:lang w:val="en-US" w:eastAsia="zh-CN"/>
              </w:rPr>
              <w:t>已落实，定期检查设备设施。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6</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操作人员应掌握本岗位的操作技术和防火安全规定，做到精心操作，防止油品渗漏。</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highlight w:val="none"/>
                <w:lang w:val="en-US" w:eastAsia="zh-CN"/>
              </w:rPr>
              <w:t>已落实，操作人员经培训合格后上岗。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7</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加油站内应严格用电、用水管理。</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已落实，</w:t>
            </w:r>
            <w:r>
              <w:rPr>
                <w:rFonts w:hint="default" w:ascii="Times New Roman" w:hAnsi="Times New Roman" w:eastAsia="宋体" w:cs="Times New Roman"/>
                <w:color w:val="auto"/>
                <w:kern w:val="2"/>
                <w:sz w:val="21"/>
                <w:szCs w:val="21"/>
                <w:lang w:val="en-US" w:eastAsia="zh-CN" w:bidi="ar-SA"/>
              </w:rPr>
              <w:t>加油站内严格用电、用水管理。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75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8</w:t>
            </w:r>
          </w:p>
        </w:tc>
        <w:tc>
          <w:tcPr>
            <w:tcW w:w="5938"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加油站停止营业时，应关闭加油机，切断电源，关闭油罐进出油管线闸阀，锁好门窗。</w:t>
            </w:r>
          </w:p>
        </w:tc>
        <w:tc>
          <w:tcPr>
            <w:tcW w:w="256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highlight w:val="none"/>
                <w:lang w:val="en-US" w:eastAsia="zh-CN"/>
              </w:rPr>
              <w:t>已落实，采取相应措施。</w:t>
            </w:r>
          </w:p>
        </w:tc>
      </w:tr>
    </w:tbl>
    <w:p>
      <w:pPr>
        <w:pStyle w:val="5"/>
        <w:spacing w:after="156" w:line="520" w:lineRule="exact"/>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7.1.2该项目未采取（用）的安全设施情况</w:t>
      </w:r>
    </w:p>
    <w:p>
      <w:pPr>
        <w:pStyle w:val="88"/>
        <w:spacing w:line="360" w:lineRule="auto"/>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该项目在设计施工中</w:t>
      </w:r>
      <w:r>
        <w:rPr>
          <w:rFonts w:hint="default" w:ascii="Times New Roman" w:hAnsi="Times New Roman" w:cs="Times New Roman"/>
          <w:color w:val="auto"/>
          <w:sz w:val="28"/>
          <w:lang w:eastAsia="zh-CN"/>
        </w:rPr>
        <w:t>未</w:t>
      </w:r>
      <w:r>
        <w:rPr>
          <w:rFonts w:hint="default" w:ascii="Times New Roman" w:hAnsi="Times New Roman" w:cs="Times New Roman"/>
          <w:color w:val="auto"/>
          <w:sz w:val="28"/>
        </w:rPr>
        <w:t>采（用）取的安全设施见表</w:t>
      </w:r>
      <w:r>
        <w:rPr>
          <w:rFonts w:hint="default" w:ascii="Times New Roman" w:hAnsi="Times New Roman" w:cs="Times New Roman"/>
          <w:color w:val="auto"/>
          <w:sz w:val="28"/>
          <w:lang w:val="en-US" w:eastAsia="zh-CN"/>
        </w:rPr>
        <w:t>7.1-2。</w:t>
      </w:r>
    </w:p>
    <w:p>
      <w:pPr>
        <w:ind w:firstLine="482"/>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表7.1-2 建设项目未采取（用）的安全设施表</w:t>
      </w:r>
    </w:p>
    <w:tbl>
      <w:tblPr>
        <w:tblStyle w:val="29"/>
        <w:tblW w:w="928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0"/>
        <w:gridCol w:w="7468"/>
        <w:gridCol w:w="8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dxa"/>
            <w:vAlign w:val="center"/>
          </w:tcPr>
          <w:p>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7468" w:type="dxa"/>
            <w:vAlign w:val="center"/>
          </w:tcPr>
          <w:p>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未采用（取）的安全设施</w:t>
            </w:r>
          </w:p>
        </w:tc>
        <w:tc>
          <w:tcPr>
            <w:tcW w:w="856" w:type="dxa"/>
            <w:vAlign w:val="center"/>
          </w:tcPr>
          <w:p>
            <w:pPr>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dxa"/>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7468"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eastAsia" w:cs="Times New Roman" w:eastAsiaTheme="minorEastAsia"/>
                <w:color w:val="auto"/>
                <w:sz w:val="21"/>
                <w:szCs w:val="21"/>
                <w:lang w:val="en-US" w:eastAsia="zh-CN"/>
              </w:rPr>
              <w:t>储罐容积数量标识错误。</w:t>
            </w:r>
          </w:p>
        </w:tc>
        <w:tc>
          <w:tcPr>
            <w:tcW w:w="856" w:type="dxa"/>
            <w:vAlign w:val="center"/>
          </w:tcPr>
          <w:p>
            <w:pPr>
              <w:spacing w:line="240" w:lineRule="auto"/>
              <w:ind w:firstLine="0" w:firstLineChars="0"/>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dxa"/>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7468"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eastAsia" w:cs="Times New Roman" w:eastAsiaTheme="minorEastAsia"/>
                <w:color w:val="auto"/>
                <w:sz w:val="21"/>
                <w:szCs w:val="21"/>
                <w:lang w:val="en-US" w:eastAsia="zh-CN"/>
              </w:rPr>
              <w:t>储罐操作井井盖防产生火花的胶条脱落。</w:t>
            </w:r>
          </w:p>
        </w:tc>
        <w:tc>
          <w:tcPr>
            <w:tcW w:w="856" w:type="dxa"/>
            <w:vAlign w:val="center"/>
          </w:tcPr>
          <w:p>
            <w:pPr>
              <w:spacing w:line="240" w:lineRule="auto"/>
              <w:ind w:firstLine="0" w:firstLineChars="0"/>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dxa"/>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7468"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eastAsia="宋体" w:cs="Times New Roman"/>
                <w:color w:val="auto"/>
                <w:kern w:val="2"/>
                <w:sz w:val="21"/>
                <w:szCs w:val="21"/>
                <w:lang w:val="en-US" w:eastAsia="zh-CN" w:bidi="ar-SA"/>
              </w:rPr>
            </w:pPr>
            <w:r>
              <w:rPr>
                <w:rFonts w:hint="eastAsia" w:cs="Times New Roman" w:eastAsiaTheme="minorEastAsia"/>
                <w:color w:val="auto"/>
                <w:sz w:val="21"/>
                <w:szCs w:val="21"/>
                <w:lang w:val="en-US" w:eastAsia="zh-CN"/>
              </w:rPr>
              <w:t>储罐量油孔未带锁。</w:t>
            </w:r>
          </w:p>
        </w:tc>
        <w:tc>
          <w:tcPr>
            <w:tcW w:w="856" w:type="dxa"/>
            <w:vAlign w:val="center"/>
          </w:tcPr>
          <w:p>
            <w:pPr>
              <w:spacing w:line="240" w:lineRule="auto"/>
              <w:ind w:firstLine="0" w:firstLineChars="0"/>
              <w:rPr>
                <w:rFonts w:hint="default" w:ascii="Times New Roman" w:hAnsi="Times New Roman" w:cs="Times New Roman"/>
                <w:color w:val="auto"/>
                <w:sz w:val="21"/>
                <w:szCs w:val="21"/>
              </w:rPr>
            </w:pPr>
          </w:p>
        </w:tc>
      </w:tr>
    </w:tbl>
    <w:p>
      <w:pPr>
        <w:keepNext/>
        <w:keepLines/>
        <w:adjustRightInd w:val="0"/>
        <w:snapToGrid w:val="0"/>
        <w:rPr>
          <w:rFonts w:hint="default" w:ascii="Times New Roman" w:hAnsi="Times New Roman" w:cs="Times New Roman"/>
          <w:color w:val="auto"/>
          <w:sz w:val="10"/>
          <w:szCs w:val="10"/>
        </w:rPr>
      </w:pP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7.1.3安全设施的施工、检验、检测和调试情况</w:t>
      </w:r>
    </w:p>
    <w:p>
      <w:pPr>
        <w:keepNext/>
        <w:keepLines/>
        <w:adjustRightInd w:val="0"/>
        <w:snapToGrid w:val="0"/>
        <w:ind w:firstLine="0" w:firstLineChars="0"/>
        <w:outlineLvl w:val="3"/>
        <w:rPr>
          <w:rFonts w:hint="default" w:ascii="Times New Roman" w:hAnsi="Times New Roman" w:cs="Times New Roman"/>
          <w:b/>
          <w:color w:val="auto"/>
          <w:szCs w:val="28"/>
          <w:highlight w:val="none"/>
          <w:lang w:val="zh-CN"/>
        </w:rPr>
      </w:pPr>
      <w:r>
        <w:rPr>
          <w:rFonts w:hint="default" w:ascii="Times New Roman" w:hAnsi="Times New Roman" w:cs="Times New Roman"/>
          <w:b/>
          <w:color w:val="auto"/>
          <w:szCs w:val="28"/>
          <w:highlight w:val="none"/>
          <w:lang w:val="zh-CN"/>
        </w:rPr>
        <w:t>7.1.3.1检查、落实设计变更情况</w:t>
      </w:r>
    </w:p>
    <w:p>
      <w:pPr>
        <w:pStyle w:val="88"/>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lang w:eastAsia="zh-CN"/>
        </w:rPr>
      </w:pPr>
      <w:r>
        <w:rPr>
          <w:rFonts w:hint="default" w:ascii="Times New Roman" w:hAnsi="Times New Roman" w:cs="Times New Roman"/>
          <w:color w:val="auto"/>
          <w:sz w:val="28"/>
          <w:lang w:eastAsia="zh-CN"/>
        </w:rPr>
        <w:t>本项目与山东省</w:t>
      </w:r>
      <w:r>
        <w:rPr>
          <w:rFonts w:hint="eastAsia" w:ascii="Times New Roman" w:hAnsi="Times New Roman" w:cs="Times New Roman"/>
          <w:color w:val="auto"/>
          <w:sz w:val="28"/>
          <w:lang w:eastAsia="zh-CN"/>
        </w:rPr>
        <w:t>经济和信息化委员会</w:t>
      </w:r>
      <w:r>
        <w:rPr>
          <w:rFonts w:hint="default" w:ascii="Times New Roman" w:hAnsi="Times New Roman" w:cs="Times New Roman"/>
          <w:color w:val="auto"/>
          <w:sz w:val="28"/>
          <w:lang w:eastAsia="zh-CN"/>
        </w:rPr>
        <w:t>出具的《关于安丘市国源加油站等企业申请成品油零售网点规划确认的批复》（鲁</w:t>
      </w:r>
      <w:r>
        <w:rPr>
          <w:rFonts w:hint="eastAsia" w:ascii="Times New Roman" w:hAnsi="Times New Roman" w:cs="Times New Roman"/>
          <w:color w:val="auto"/>
          <w:sz w:val="28"/>
          <w:lang w:val="en-US" w:eastAsia="zh-CN"/>
        </w:rPr>
        <w:t>经信消</w:t>
      </w:r>
      <w:r>
        <w:rPr>
          <w:rFonts w:hint="default" w:ascii="Times New Roman" w:hAnsi="Times New Roman" w:cs="Times New Roman"/>
          <w:color w:val="auto"/>
          <w:sz w:val="28"/>
          <w:lang w:eastAsia="zh-CN"/>
        </w:rPr>
        <w:t>[201</w:t>
      </w:r>
      <w:r>
        <w:rPr>
          <w:rFonts w:hint="eastAsia" w:ascii="Times New Roman" w:hAnsi="Times New Roman" w:cs="Times New Roman"/>
          <w:color w:val="auto"/>
          <w:sz w:val="28"/>
          <w:lang w:val="en-US" w:eastAsia="zh-CN"/>
        </w:rPr>
        <w:t>8</w:t>
      </w:r>
      <w:r>
        <w:rPr>
          <w:rFonts w:hint="default" w:ascii="Times New Roman" w:hAnsi="Times New Roman" w:cs="Times New Roman"/>
          <w:color w:val="auto"/>
          <w:sz w:val="28"/>
          <w:lang w:eastAsia="zh-CN"/>
        </w:rPr>
        <w:t>]</w:t>
      </w:r>
      <w:r>
        <w:rPr>
          <w:rFonts w:hint="eastAsia" w:ascii="Times New Roman" w:hAnsi="Times New Roman" w:cs="Times New Roman"/>
          <w:color w:val="auto"/>
          <w:sz w:val="28"/>
          <w:lang w:val="en-US" w:eastAsia="zh-CN"/>
        </w:rPr>
        <w:t>375</w:t>
      </w:r>
      <w:r>
        <w:rPr>
          <w:rFonts w:hint="default" w:ascii="Times New Roman" w:hAnsi="Times New Roman" w:cs="Times New Roman"/>
          <w:color w:val="auto"/>
          <w:sz w:val="28"/>
          <w:lang w:eastAsia="zh-CN"/>
        </w:rPr>
        <w:t>号）中加油站建设地点一致，未作变更。</w:t>
      </w:r>
    </w:p>
    <w:p>
      <w:pPr>
        <w:pStyle w:val="88"/>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eastAsia="zh-CN"/>
        </w:rPr>
        <w:t>经现场检查，该项目</w:t>
      </w:r>
      <w:r>
        <w:rPr>
          <w:rFonts w:hint="eastAsia" w:cs="Times New Roman"/>
          <w:color w:val="auto"/>
          <w:sz w:val="28"/>
          <w:lang w:val="en-US" w:eastAsia="zh-CN"/>
        </w:rPr>
        <w:t>建设内容与</w:t>
      </w:r>
      <w:r>
        <w:rPr>
          <w:rFonts w:hint="default" w:ascii="Times New Roman" w:hAnsi="Times New Roman" w:cs="Times New Roman"/>
          <w:color w:val="auto"/>
          <w:sz w:val="28"/>
          <w:lang w:eastAsia="zh-CN"/>
        </w:rPr>
        <w:t>《安全设施设计专篇》一致</w:t>
      </w:r>
      <w:r>
        <w:rPr>
          <w:rFonts w:hint="eastAsia" w:cs="Times New Roman"/>
          <w:color w:val="auto"/>
          <w:sz w:val="28"/>
          <w:lang w:eastAsia="zh-CN"/>
        </w:rPr>
        <w:t>，</w:t>
      </w:r>
      <w:r>
        <w:rPr>
          <w:rFonts w:hint="eastAsia" w:cs="Times New Roman"/>
          <w:color w:val="auto"/>
          <w:sz w:val="28"/>
          <w:lang w:val="en-US" w:eastAsia="zh-CN"/>
        </w:rPr>
        <w:t>未发生变更</w:t>
      </w:r>
      <w:r>
        <w:rPr>
          <w:rFonts w:hint="eastAsia" w:cs="Times New Roman"/>
          <w:color w:val="auto"/>
          <w:sz w:val="28"/>
          <w:lang w:eastAsia="zh-CN"/>
        </w:rPr>
        <w:t>。</w:t>
      </w:r>
    </w:p>
    <w:p>
      <w:pPr>
        <w:pStyle w:val="88"/>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lang w:val="en-US" w:eastAsia="zh-CN"/>
        </w:rPr>
      </w:pPr>
      <w:r>
        <w:rPr>
          <w:rFonts w:hint="default" w:ascii="Times New Roman" w:hAnsi="Times New Roman" w:cs="Times New Roman"/>
          <w:color w:val="auto"/>
          <w:sz w:val="28"/>
          <w:lang w:eastAsia="zh-CN"/>
        </w:rPr>
        <w:t>本项目工艺技术，</w:t>
      </w:r>
      <w:r>
        <w:rPr>
          <w:rFonts w:hint="eastAsia" w:cs="Times New Roman"/>
          <w:color w:val="auto"/>
          <w:sz w:val="28"/>
          <w:lang w:val="en-US" w:eastAsia="zh-CN"/>
        </w:rPr>
        <w:t>与</w:t>
      </w:r>
      <w:r>
        <w:rPr>
          <w:rFonts w:hint="default" w:ascii="Times New Roman" w:hAnsi="Times New Roman" w:cs="Times New Roman"/>
          <w:color w:val="auto"/>
          <w:sz w:val="28"/>
          <w:lang w:eastAsia="zh-CN"/>
        </w:rPr>
        <w:t>《安全设施设计专篇》基本一致</w:t>
      </w:r>
      <w:r>
        <w:rPr>
          <w:rFonts w:hint="eastAsia" w:cs="Times New Roman"/>
          <w:color w:val="auto"/>
          <w:sz w:val="28"/>
          <w:lang w:eastAsia="zh-CN"/>
        </w:rPr>
        <w:t>，</w:t>
      </w:r>
      <w:r>
        <w:rPr>
          <w:rFonts w:hint="eastAsia" w:cs="Times New Roman"/>
          <w:color w:val="auto"/>
          <w:sz w:val="28"/>
          <w:lang w:val="en-US" w:eastAsia="zh-CN"/>
        </w:rPr>
        <w:t>未发生变更</w:t>
      </w:r>
      <w:r>
        <w:rPr>
          <w:rFonts w:hint="eastAsia" w:cs="Times New Roman"/>
          <w:color w:val="auto"/>
          <w:sz w:val="28"/>
          <w:lang w:eastAsia="zh-CN"/>
        </w:rPr>
        <w:t>。</w:t>
      </w:r>
    </w:p>
    <w:p>
      <w:pPr>
        <w:keepNext/>
        <w:keepLines/>
        <w:adjustRightInd w:val="0"/>
        <w:snapToGrid w:val="0"/>
        <w:ind w:firstLine="0" w:firstLineChars="0"/>
        <w:outlineLvl w:val="3"/>
        <w:rPr>
          <w:rFonts w:hint="default" w:ascii="Times New Roman" w:hAnsi="Times New Roman" w:cs="Times New Roman"/>
          <w:b/>
          <w:color w:val="auto"/>
          <w:szCs w:val="28"/>
          <w:lang w:val="zh-CN"/>
        </w:rPr>
      </w:pPr>
      <w:r>
        <w:rPr>
          <w:rFonts w:hint="default" w:ascii="Times New Roman" w:hAnsi="Times New Roman" w:cs="Times New Roman"/>
          <w:b/>
          <w:color w:val="auto"/>
          <w:szCs w:val="28"/>
          <w:lang w:val="zh-CN"/>
        </w:rPr>
        <w:t>7.1.3.2安全设施的施工质量情况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kern w:val="2"/>
          <w:sz w:val="28"/>
          <w:szCs w:val="22"/>
          <w:lang w:val="en-US" w:eastAsia="zh-CN" w:bidi="ar-SA"/>
        </w:rPr>
      </w:pPr>
      <w:r>
        <w:rPr>
          <w:rFonts w:hint="default" w:ascii="Times New Roman" w:hAnsi="Times New Roman" w:eastAsia="宋体" w:cs="Times New Roman"/>
          <w:color w:val="auto"/>
          <w:kern w:val="2"/>
          <w:sz w:val="28"/>
          <w:szCs w:val="22"/>
          <w:lang w:val="en-US" w:eastAsia="zh-CN" w:bidi="ar-SA"/>
        </w:rPr>
        <w:t>（1）建设及施工情况</w:t>
      </w:r>
    </w:p>
    <w:p>
      <w:pPr>
        <w:adjustRightInd w:val="0"/>
        <w:snapToGrid w:val="0"/>
        <w:ind w:firstLine="560"/>
        <w:rPr>
          <w:rFonts w:hint="default" w:ascii="Times New Roman" w:hAnsi="Times New Roman" w:eastAsia="宋体" w:cs="Times New Roman"/>
          <w:color w:val="auto"/>
          <w:kern w:val="2"/>
          <w:sz w:val="28"/>
          <w:szCs w:val="22"/>
          <w:lang w:val="en-US" w:eastAsia="zh-CN" w:bidi="ar-SA"/>
        </w:rPr>
      </w:pPr>
      <w:r>
        <w:rPr>
          <w:rFonts w:hint="default" w:ascii="Times New Roman" w:hAnsi="Times New Roman" w:eastAsia="宋体" w:cs="Times New Roman"/>
          <w:color w:val="auto"/>
          <w:kern w:val="2"/>
          <w:sz w:val="28"/>
          <w:szCs w:val="22"/>
          <w:lang w:val="en-US" w:eastAsia="zh-CN" w:bidi="ar-SA"/>
        </w:rPr>
        <w:t>该项目建设施工等相关单位情况见下表。</w:t>
      </w:r>
    </w:p>
    <w:p>
      <w:pPr>
        <w:ind w:firstLine="482"/>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表7.1-3 建设施工等相关单位情况</w:t>
      </w:r>
    </w:p>
    <w:tbl>
      <w:tblPr>
        <w:tblStyle w:val="28"/>
        <w:tblW w:w="934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4"/>
        <w:gridCol w:w="699"/>
        <w:gridCol w:w="1691"/>
        <w:gridCol w:w="4371"/>
        <w:gridCol w:w="1167"/>
        <w:gridCol w:w="7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4"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序号</w:t>
            </w:r>
          </w:p>
        </w:tc>
        <w:tc>
          <w:tcPr>
            <w:tcW w:w="699"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类别</w:t>
            </w:r>
          </w:p>
        </w:tc>
        <w:tc>
          <w:tcPr>
            <w:tcW w:w="169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单位</w:t>
            </w:r>
          </w:p>
        </w:tc>
        <w:tc>
          <w:tcPr>
            <w:tcW w:w="437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资质范围</w:t>
            </w:r>
          </w:p>
        </w:tc>
        <w:tc>
          <w:tcPr>
            <w:tcW w:w="1167"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b/>
                <w:bCs/>
                <w:snapToGrid w:val="0"/>
                <w:color w:val="auto"/>
                <w:w w:val="90"/>
                <w:kern w:val="0"/>
                <w:sz w:val="21"/>
                <w:szCs w:val="21"/>
              </w:rPr>
            </w:pPr>
            <w:r>
              <w:rPr>
                <w:rFonts w:hint="default" w:ascii="Times New Roman" w:hAnsi="Times New Roman" w:cs="Times New Roman"/>
                <w:b/>
                <w:bCs/>
                <w:snapToGrid w:val="0"/>
                <w:color w:val="auto"/>
                <w:w w:val="90"/>
                <w:kern w:val="0"/>
                <w:sz w:val="21"/>
                <w:szCs w:val="21"/>
              </w:rPr>
              <w:t>所承担的工作</w:t>
            </w:r>
          </w:p>
        </w:tc>
        <w:tc>
          <w:tcPr>
            <w:tcW w:w="711" w:type="dxa"/>
            <w:noWrap w:val="0"/>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b/>
                <w:bCs/>
                <w:snapToGrid w:val="0"/>
                <w:color w:val="auto"/>
                <w:w w:val="90"/>
                <w:kern w:val="0"/>
                <w:sz w:val="21"/>
                <w:szCs w:val="21"/>
                <w:lang w:eastAsia="zh-CN"/>
              </w:rPr>
            </w:pPr>
            <w:r>
              <w:rPr>
                <w:rFonts w:hint="eastAsia" w:cs="Times New Roman"/>
                <w:b/>
                <w:bCs/>
                <w:snapToGrid w:val="0"/>
                <w:color w:val="auto"/>
                <w:w w:val="90"/>
                <w:kern w:val="0"/>
                <w:sz w:val="21"/>
                <w:szCs w:val="21"/>
                <w:lang w:eastAsia="zh-CN"/>
              </w:rPr>
              <w:t>是否符合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bidi="ar-SA"/>
              </w:rPr>
            </w:pPr>
            <w:r>
              <w:rPr>
                <w:rFonts w:hint="eastAsia" w:cs="Times New Roman"/>
                <w:iCs/>
                <w:color w:val="auto"/>
                <w:kern w:val="0"/>
                <w:sz w:val="21"/>
                <w:szCs w:val="21"/>
                <w:lang w:val="en-US" w:eastAsia="zh-CN" w:bidi="ar-SA"/>
              </w:rPr>
              <w:t>1</w:t>
            </w:r>
          </w:p>
        </w:tc>
        <w:tc>
          <w:tcPr>
            <w:tcW w:w="699"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设计</w:t>
            </w:r>
          </w:p>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eastAsia="zh-CN"/>
              </w:rPr>
              <w:t>广东政和工程有限公司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sz w:val="21"/>
                <w:szCs w:val="21"/>
                <w:highlight w:val="none"/>
              </w:rPr>
              <w:t>化工石化医药行业行业</w:t>
            </w:r>
            <w:r>
              <w:rPr>
                <w:rFonts w:hint="eastAsia"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化工工程</w:t>
            </w:r>
            <w:r>
              <w:rPr>
                <w:rFonts w:hint="eastAsia"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石油及化工产品储运</w:t>
            </w:r>
            <w:r>
              <w:rPr>
                <w:rFonts w:hint="eastAsia" w:cs="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专业</w:t>
            </w:r>
            <w:r>
              <w:rPr>
                <w:rFonts w:hint="eastAsia" w:cs="Times New Roman" w:eastAsiaTheme="minorEastAsia"/>
                <w:color w:val="auto"/>
                <w:sz w:val="21"/>
                <w:szCs w:val="21"/>
                <w:highlight w:val="none"/>
                <w:lang w:val="en-US" w:eastAsia="zh-CN"/>
              </w:rPr>
              <w:t>甲</w:t>
            </w:r>
            <w:r>
              <w:rPr>
                <w:rFonts w:hint="default" w:ascii="Times New Roman" w:hAnsi="Times New Roman" w:cs="Times New Roman" w:eastAsiaTheme="minorEastAsia"/>
                <w:color w:val="auto"/>
                <w:sz w:val="21"/>
                <w:szCs w:val="21"/>
                <w:highlight w:val="none"/>
              </w:rPr>
              <w:t>级，</w:t>
            </w:r>
            <w:r>
              <w:rPr>
                <w:rFonts w:hint="eastAsia" w:cs="Times New Roman" w:eastAsiaTheme="minorEastAsia"/>
                <w:color w:val="auto"/>
                <w:sz w:val="21"/>
                <w:szCs w:val="21"/>
                <w:highlight w:val="none"/>
                <w:lang w:val="en-US" w:eastAsia="zh-CN"/>
              </w:rPr>
              <w:t>建筑行业（建筑工程）甲级，</w:t>
            </w:r>
            <w:r>
              <w:rPr>
                <w:rFonts w:hint="default" w:ascii="Times New Roman" w:hAnsi="Times New Roman" w:cs="Times New Roman" w:eastAsiaTheme="minorEastAsia"/>
                <w:color w:val="auto"/>
                <w:sz w:val="21"/>
                <w:szCs w:val="21"/>
                <w:highlight w:val="none"/>
              </w:rPr>
              <w:t>证书编号：A</w:t>
            </w:r>
            <w:r>
              <w:rPr>
                <w:rFonts w:hint="eastAsia" w:cs="Times New Roman" w:eastAsiaTheme="minorEastAsia"/>
                <w:color w:val="auto"/>
                <w:sz w:val="21"/>
                <w:szCs w:val="21"/>
                <w:highlight w:val="none"/>
                <w:lang w:val="en-US" w:eastAsia="zh-CN"/>
              </w:rPr>
              <w:t>144003911</w:t>
            </w:r>
          </w:p>
        </w:tc>
        <w:tc>
          <w:tcPr>
            <w:tcW w:w="1167"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iCs/>
                <w:color w:val="auto"/>
                <w:kern w:val="0"/>
                <w:sz w:val="21"/>
                <w:szCs w:val="21"/>
              </w:rPr>
            </w:pPr>
            <w:r>
              <w:rPr>
                <w:rFonts w:hint="eastAsia" w:cs="Times New Roman" w:eastAsiaTheme="minorEastAsia"/>
                <w:color w:val="auto"/>
                <w:kern w:val="0"/>
                <w:sz w:val="21"/>
                <w:szCs w:val="21"/>
                <w:lang w:val="en-US" w:eastAsia="zh-CN" w:bidi="ar-SA"/>
              </w:rPr>
              <w:t>扩容项目的整体设计</w:t>
            </w:r>
          </w:p>
        </w:tc>
        <w:tc>
          <w:tcPr>
            <w:tcW w:w="711"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设计</w:t>
            </w:r>
          </w:p>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iCs/>
                <w:color w:val="auto"/>
                <w:kern w:val="0"/>
                <w:sz w:val="21"/>
                <w:szCs w:val="21"/>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704" w:type="dxa"/>
            <w:noWrap w:val="0"/>
            <w:vAlign w:val="center"/>
          </w:tcPr>
          <w:p>
            <w:pPr>
              <w:keepNext w:val="0"/>
              <w:keepLines w:val="0"/>
              <w:pageBreakBefore w:val="0"/>
              <w:widowControl w:val="0"/>
              <w:tabs>
                <w:tab w:val="left" w:pos="900"/>
              </w:tabs>
              <w:kinsoku/>
              <w:wordWrap/>
              <w:overflowPunct/>
              <w:topLinePunct w:val="0"/>
              <w:bidi w:val="0"/>
              <w:spacing w:line="240" w:lineRule="auto"/>
              <w:ind w:firstLine="0" w:firstLineChars="0"/>
              <w:jc w:val="center"/>
              <w:textAlignment w:val="auto"/>
              <w:rPr>
                <w:rFonts w:hint="default" w:ascii="Times New Roman" w:hAnsi="Times New Roman" w:eastAsia="宋体" w:cs="Times New Roman"/>
                <w:iCs/>
                <w:color w:val="auto"/>
                <w:kern w:val="0"/>
                <w:sz w:val="21"/>
                <w:szCs w:val="21"/>
                <w:lang w:val="en-US" w:eastAsia="zh-CN"/>
              </w:rPr>
            </w:pPr>
            <w:r>
              <w:rPr>
                <w:rFonts w:hint="eastAsia" w:cs="Times New Roman"/>
                <w:iCs/>
                <w:color w:val="auto"/>
                <w:kern w:val="0"/>
                <w:sz w:val="21"/>
                <w:szCs w:val="21"/>
                <w:lang w:val="en-US" w:eastAsia="zh-CN"/>
              </w:rPr>
              <w:t>2</w:t>
            </w:r>
          </w:p>
        </w:tc>
        <w:tc>
          <w:tcPr>
            <w:tcW w:w="699"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施工</w:t>
            </w:r>
          </w:p>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单位</w:t>
            </w:r>
          </w:p>
        </w:tc>
        <w:tc>
          <w:tcPr>
            <w:tcW w:w="169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lang w:eastAsia="zh-CN"/>
              </w:rPr>
              <w:t>山东军辉建设集团有限公司</w:t>
            </w:r>
          </w:p>
        </w:tc>
        <w:tc>
          <w:tcPr>
            <w:tcW w:w="4371"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资质证号：</w:t>
            </w:r>
            <w:r>
              <w:rPr>
                <w:rFonts w:hint="default" w:ascii="Times New Roman" w:hAnsi="Times New Roman" w:cs="Times New Roman" w:eastAsiaTheme="minorEastAsia"/>
                <w:color w:val="auto"/>
                <w:kern w:val="0"/>
                <w:sz w:val="21"/>
                <w:szCs w:val="21"/>
                <w:lang w:val="en-US" w:eastAsia="zh-CN"/>
              </w:rPr>
              <w:t>D</w:t>
            </w:r>
            <w:r>
              <w:rPr>
                <w:rFonts w:hint="eastAsia" w:cs="Times New Roman" w:eastAsiaTheme="minorEastAsia"/>
                <w:color w:val="auto"/>
                <w:kern w:val="0"/>
                <w:sz w:val="21"/>
                <w:szCs w:val="21"/>
                <w:lang w:val="en-US" w:eastAsia="zh-CN"/>
              </w:rPr>
              <w:t>137056745</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rPr>
              <w:t>资质等级：</w:t>
            </w:r>
            <w:r>
              <w:rPr>
                <w:rFonts w:hint="default" w:ascii="Times New Roman" w:hAnsi="Times New Roman" w:cs="Times New Roman" w:eastAsiaTheme="minorEastAsia"/>
                <w:color w:val="auto"/>
                <w:kern w:val="0"/>
                <w:sz w:val="21"/>
                <w:szCs w:val="21"/>
                <w:lang w:val="en-US" w:eastAsia="zh-CN"/>
              </w:rPr>
              <w:t>建筑工程施工总承包壹级、石油化工工程施工总承包壹级、机电工程施工总承包壹级。</w:t>
            </w:r>
          </w:p>
        </w:tc>
        <w:tc>
          <w:tcPr>
            <w:tcW w:w="1167"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罐区改造项目的设备、工艺、管道、电气等整体施工</w:t>
            </w:r>
          </w:p>
        </w:tc>
        <w:tc>
          <w:tcPr>
            <w:tcW w:w="711" w:type="dxa"/>
            <w:noWrap w:val="0"/>
            <w:vAlign w:val="center"/>
          </w:tcPr>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rPr>
            </w:pPr>
            <w:r>
              <w:rPr>
                <w:rFonts w:hint="default" w:ascii="Times New Roman" w:hAnsi="Times New Roman" w:cs="Times New Roman"/>
                <w:iCs/>
                <w:color w:val="auto"/>
                <w:kern w:val="0"/>
                <w:sz w:val="21"/>
                <w:szCs w:val="21"/>
              </w:rPr>
              <w:t>施工</w:t>
            </w:r>
          </w:p>
          <w:p>
            <w:pPr>
              <w:keepNext w:val="0"/>
              <w:keepLines w:val="0"/>
              <w:pageBreakBefore w:val="0"/>
              <w:widowControl w:val="0"/>
              <w:tabs>
                <w:tab w:val="left" w:pos="900"/>
              </w:tabs>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iCs/>
                <w:color w:val="auto"/>
                <w:kern w:val="0"/>
                <w:sz w:val="21"/>
                <w:szCs w:val="21"/>
                <w:lang w:eastAsia="zh-CN"/>
              </w:rPr>
            </w:pPr>
            <w:r>
              <w:rPr>
                <w:rFonts w:hint="default" w:ascii="Times New Roman" w:hAnsi="Times New Roman" w:cs="Times New Roman"/>
                <w:iCs/>
                <w:color w:val="auto"/>
                <w:kern w:val="0"/>
                <w:sz w:val="21"/>
                <w:szCs w:val="21"/>
              </w:rPr>
              <w:t>单位</w:t>
            </w:r>
          </w:p>
        </w:tc>
      </w:tr>
    </w:tbl>
    <w:p>
      <w:pPr>
        <w:adjustRightInd w:val="0"/>
        <w:snapToGrid w:val="0"/>
        <w:rPr>
          <w:rFonts w:hint="default" w:ascii="Times New Roman" w:hAnsi="Times New Roman" w:cs="Times New Roman"/>
          <w:color w:val="auto"/>
          <w:sz w:val="10"/>
          <w:szCs w:val="10"/>
        </w:rPr>
      </w:pP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结论：项目的安全设施设计单位、施工单位的资质符合有关要求。</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（2）设计、施工、监理情况</w:t>
      </w: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1）设计记录</w:t>
      </w: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该项目</w:t>
      </w:r>
      <w:r>
        <w:rPr>
          <w:rFonts w:hint="eastAsia" w:cs="Times New Roman"/>
          <w:color w:val="auto"/>
          <w:szCs w:val="20"/>
          <w:lang w:val="en-US" w:eastAsia="zh-CN"/>
        </w:rPr>
        <w:t>2020年7月</w:t>
      </w:r>
      <w:r>
        <w:rPr>
          <w:rFonts w:hint="default" w:ascii="Times New Roman" w:hAnsi="Times New Roman" w:cs="Times New Roman"/>
          <w:color w:val="auto"/>
          <w:szCs w:val="20"/>
        </w:rPr>
        <w:t>由</w:t>
      </w:r>
      <w:r>
        <w:rPr>
          <w:rFonts w:hint="eastAsia" w:cs="Times New Roman" w:eastAsiaTheme="minorEastAsia"/>
          <w:color w:val="auto"/>
          <w:kern w:val="0"/>
          <w:sz w:val="28"/>
          <w:szCs w:val="28"/>
          <w:lang w:eastAsia="zh-CN"/>
        </w:rPr>
        <w:t>广东政和工程有限公司</w:t>
      </w:r>
      <w:r>
        <w:rPr>
          <w:rFonts w:hint="default" w:ascii="Times New Roman" w:hAnsi="Times New Roman" w:cs="Times New Roman"/>
          <w:color w:val="auto"/>
          <w:szCs w:val="20"/>
        </w:rPr>
        <w:t>完成施工图设计及安全设施设计专篇编制工作。</w:t>
      </w:r>
    </w:p>
    <w:p>
      <w:pPr>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2）施工记录</w:t>
      </w:r>
    </w:p>
    <w:p>
      <w:pPr>
        <w:adjustRightInd w:val="0"/>
        <w:snapToGrid w:val="0"/>
        <w:ind w:firstLine="560"/>
        <w:rPr>
          <w:rFonts w:hint="default" w:ascii="Times New Roman" w:hAnsi="Times New Roman" w:cs="Times New Roman"/>
          <w:color w:val="auto"/>
          <w:szCs w:val="20"/>
          <w:highlight w:val="none"/>
        </w:rPr>
      </w:pPr>
      <w:r>
        <w:rPr>
          <w:rFonts w:hint="eastAsia" w:cs="Times New Roman" w:eastAsiaTheme="minorEastAsia"/>
          <w:bCs/>
          <w:snapToGrid w:val="0"/>
          <w:color w:val="auto"/>
          <w:kern w:val="0"/>
          <w:szCs w:val="28"/>
          <w:highlight w:val="none"/>
          <w:lang w:eastAsia="zh-CN"/>
        </w:rPr>
        <w:t>该加油中心扩容项目</w:t>
      </w:r>
      <w:r>
        <w:rPr>
          <w:rFonts w:hint="default" w:ascii="Times New Roman" w:hAnsi="Times New Roman" w:cs="Times New Roman" w:eastAsiaTheme="minorEastAsia"/>
          <w:bCs/>
          <w:snapToGrid w:val="0"/>
          <w:color w:val="auto"/>
          <w:kern w:val="0"/>
          <w:szCs w:val="28"/>
          <w:highlight w:val="none"/>
        </w:rPr>
        <w:t>于20</w:t>
      </w:r>
      <w:r>
        <w:rPr>
          <w:rFonts w:hint="eastAsia"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rPr>
        <w:t>年</w:t>
      </w:r>
      <w:r>
        <w:rPr>
          <w:rFonts w:hint="eastAsia" w:cs="Times New Roman" w:eastAsiaTheme="minorEastAsia"/>
          <w:bCs/>
          <w:snapToGrid w:val="0"/>
          <w:color w:val="auto"/>
          <w:kern w:val="0"/>
          <w:szCs w:val="28"/>
          <w:highlight w:val="none"/>
          <w:lang w:val="en-US" w:eastAsia="zh-CN"/>
        </w:rPr>
        <w:t>8</w:t>
      </w:r>
      <w:r>
        <w:rPr>
          <w:rFonts w:hint="default" w:ascii="Times New Roman" w:hAnsi="Times New Roman" w:cs="Times New Roman" w:eastAsiaTheme="minorEastAsia"/>
          <w:bCs/>
          <w:snapToGrid w:val="0"/>
          <w:color w:val="auto"/>
          <w:kern w:val="0"/>
          <w:szCs w:val="28"/>
          <w:highlight w:val="none"/>
        </w:rPr>
        <w:t>月</w:t>
      </w:r>
      <w:r>
        <w:rPr>
          <w:rFonts w:hint="eastAsia" w:cs="Times New Roman" w:eastAsiaTheme="minorEastAsia"/>
          <w:bCs/>
          <w:snapToGrid w:val="0"/>
          <w:color w:val="auto"/>
          <w:kern w:val="0"/>
          <w:szCs w:val="28"/>
          <w:highlight w:val="none"/>
          <w:lang w:val="en-US" w:eastAsia="zh-CN"/>
        </w:rPr>
        <w:t>28日</w:t>
      </w:r>
      <w:r>
        <w:rPr>
          <w:rFonts w:hint="default" w:ascii="Times New Roman" w:hAnsi="Times New Roman" w:cs="Times New Roman" w:eastAsiaTheme="minorEastAsia"/>
          <w:bCs/>
          <w:snapToGrid w:val="0"/>
          <w:color w:val="auto"/>
          <w:kern w:val="0"/>
          <w:szCs w:val="28"/>
          <w:highlight w:val="none"/>
        </w:rPr>
        <w:t>开工建设，由</w:t>
      </w:r>
      <w:r>
        <w:rPr>
          <w:rFonts w:hint="eastAsia" w:cs="Times New Roman" w:eastAsiaTheme="minorEastAsia"/>
          <w:bCs/>
          <w:snapToGrid w:val="0"/>
          <w:color w:val="auto"/>
          <w:kern w:val="0"/>
          <w:szCs w:val="28"/>
          <w:highlight w:val="none"/>
          <w:lang w:eastAsia="zh-CN"/>
        </w:rPr>
        <w:t>山东军辉建设集团有限公司</w:t>
      </w:r>
      <w:r>
        <w:rPr>
          <w:rFonts w:hint="default" w:ascii="Times New Roman" w:hAnsi="Times New Roman" w:cs="Times New Roman" w:eastAsiaTheme="minorEastAsia"/>
          <w:bCs/>
          <w:snapToGrid w:val="0"/>
          <w:color w:val="auto"/>
          <w:kern w:val="0"/>
          <w:szCs w:val="28"/>
          <w:highlight w:val="none"/>
        </w:rPr>
        <w:t>负责施工，20</w:t>
      </w:r>
      <w:r>
        <w:rPr>
          <w:rFonts w:hint="default" w:ascii="Times New Roman" w:hAnsi="Times New Roman" w:cs="Times New Roman" w:eastAsiaTheme="minorEastAsia"/>
          <w:bCs/>
          <w:snapToGrid w:val="0"/>
          <w:color w:val="auto"/>
          <w:kern w:val="0"/>
          <w:szCs w:val="28"/>
          <w:highlight w:val="none"/>
          <w:lang w:val="en-US" w:eastAsia="zh-CN"/>
        </w:rPr>
        <w:t>20</w:t>
      </w:r>
      <w:r>
        <w:rPr>
          <w:rFonts w:hint="default" w:ascii="Times New Roman" w:hAnsi="Times New Roman" w:cs="Times New Roman" w:eastAsiaTheme="minorEastAsia"/>
          <w:bCs/>
          <w:snapToGrid w:val="0"/>
          <w:color w:val="auto"/>
          <w:kern w:val="0"/>
          <w:szCs w:val="28"/>
          <w:highlight w:val="none"/>
        </w:rPr>
        <w:t>年</w:t>
      </w:r>
      <w:r>
        <w:rPr>
          <w:rFonts w:hint="eastAsia" w:cs="Times New Roman" w:eastAsiaTheme="minorEastAsia"/>
          <w:bCs/>
          <w:snapToGrid w:val="0"/>
          <w:color w:val="auto"/>
          <w:kern w:val="0"/>
          <w:szCs w:val="28"/>
          <w:highlight w:val="none"/>
          <w:lang w:val="en-US" w:eastAsia="zh-CN"/>
        </w:rPr>
        <w:t>9</w:t>
      </w:r>
      <w:r>
        <w:rPr>
          <w:rFonts w:hint="default" w:ascii="Times New Roman" w:hAnsi="Times New Roman" w:cs="Times New Roman" w:eastAsiaTheme="minorEastAsia"/>
          <w:bCs/>
          <w:snapToGrid w:val="0"/>
          <w:color w:val="auto"/>
          <w:kern w:val="0"/>
          <w:szCs w:val="28"/>
          <w:highlight w:val="none"/>
        </w:rPr>
        <w:t>月</w:t>
      </w:r>
      <w:r>
        <w:rPr>
          <w:rFonts w:hint="eastAsia" w:cs="Times New Roman" w:eastAsiaTheme="minorEastAsia"/>
          <w:bCs/>
          <w:snapToGrid w:val="0"/>
          <w:color w:val="auto"/>
          <w:kern w:val="0"/>
          <w:szCs w:val="28"/>
          <w:highlight w:val="none"/>
          <w:lang w:val="en-US" w:eastAsia="zh-CN"/>
        </w:rPr>
        <w:t>25日</w:t>
      </w:r>
      <w:r>
        <w:rPr>
          <w:rFonts w:hint="default" w:ascii="Times New Roman" w:hAnsi="Times New Roman" w:cs="Times New Roman" w:eastAsiaTheme="minorEastAsia"/>
          <w:bCs/>
          <w:snapToGrid w:val="0"/>
          <w:color w:val="auto"/>
          <w:kern w:val="0"/>
          <w:szCs w:val="28"/>
          <w:highlight w:val="none"/>
        </w:rPr>
        <w:t>建设完成</w:t>
      </w:r>
      <w:r>
        <w:rPr>
          <w:rFonts w:hint="default" w:ascii="Times New Roman" w:hAnsi="Times New Roman" w:cs="Times New Roman"/>
          <w:color w:val="auto"/>
          <w:szCs w:val="20"/>
          <w:highlight w:val="none"/>
        </w:rPr>
        <w:t>。</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3）</w:t>
      </w:r>
      <w:r>
        <w:rPr>
          <w:rFonts w:hint="eastAsia" w:cs="Times New Roman"/>
          <w:color w:val="auto"/>
          <w:szCs w:val="20"/>
          <w:lang w:val="en-US" w:eastAsia="zh-CN"/>
        </w:rPr>
        <w:t>竣工</w:t>
      </w:r>
      <w:r>
        <w:rPr>
          <w:rFonts w:hint="default" w:ascii="Times New Roman" w:hAnsi="Times New Roman" w:cs="Times New Roman"/>
          <w:color w:val="auto"/>
          <w:szCs w:val="20"/>
        </w:rPr>
        <w:t>记录</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eastAsia" w:cs="Times New Roman" w:eastAsiaTheme="minorEastAsia"/>
          <w:color w:val="auto"/>
          <w:szCs w:val="28"/>
          <w:lang w:eastAsia="zh-CN"/>
        </w:rPr>
        <w:t>山东万通集团垦利金顺油品有限公司</w:t>
      </w:r>
      <w:r>
        <w:rPr>
          <w:rFonts w:hint="eastAsia" w:cs="Times New Roman" w:eastAsiaTheme="minorEastAsia"/>
          <w:color w:val="auto"/>
          <w:szCs w:val="28"/>
          <w:lang w:val="en-US" w:eastAsia="zh-CN"/>
        </w:rPr>
        <w:t>第六加油中心扩容项目</w:t>
      </w:r>
      <w:r>
        <w:rPr>
          <w:rFonts w:hint="default" w:ascii="Times New Roman" w:hAnsi="Times New Roman" w:cs="Times New Roman" w:eastAsiaTheme="minorEastAsia"/>
          <w:color w:val="auto"/>
          <w:szCs w:val="28"/>
        </w:rPr>
        <w:t>的安全设施由</w:t>
      </w:r>
      <w:r>
        <w:rPr>
          <w:rFonts w:hint="eastAsia" w:cs="Times New Roman" w:eastAsiaTheme="minorEastAsia"/>
          <w:color w:val="auto"/>
          <w:szCs w:val="28"/>
          <w:lang w:eastAsia="zh-CN"/>
        </w:rPr>
        <w:t>山东军辉建设集团有限公司</w:t>
      </w:r>
      <w:r>
        <w:rPr>
          <w:rFonts w:hint="default" w:ascii="Times New Roman" w:hAnsi="Times New Roman" w:cs="Times New Roman" w:eastAsiaTheme="minorEastAsia"/>
          <w:color w:val="auto"/>
          <w:szCs w:val="28"/>
        </w:rPr>
        <w:t>进行施工，施工质量良好。该项目施工完成后，由</w:t>
      </w:r>
      <w:r>
        <w:rPr>
          <w:rFonts w:hint="default" w:ascii="Times New Roman" w:hAnsi="Times New Roman" w:cs="Times New Roman" w:eastAsiaTheme="minorEastAsia"/>
          <w:color w:val="auto"/>
          <w:szCs w:val="28"/>
          <w:lang w:eastAsia="zh-CN"/>
        </w:rPr>
        <w:t>设计单位、施工</w:t>
      </w:r>
      <w:r>
        <w:rPr>
          <w:rFonts w:hint="default" w:ascii="Times New Roman" w:hAnsi="Times New Roman" w:cs="Times New Roman" w:eastAsiaTheme="minorEastAsia"/>
          <w:color w:val="auto"/>
          <w:szCs w:val="28"/>
        </w:rPr>
        <w:t>单位和建设单位</w:t>
      </w:r>
      <w:r>
        <w:rPr>
          <w:rFonts w:hint="eastAsia" w:cs="Times New Roman" w:eastAsiaTheme="minorEastAsia"/>
          <w:color w:val="auto"/>
          <w:szCs w:val="28"/>
          <w:lang w:val="en-US" w:eastAsia="zh-CN"/>
        </w:rPr>
        <w:t>三</w:t>
      </w:r>
      <w:r>
        <w:rPr>
          <w:rFonts w:hint="default" w:ascii="Times New Roman" w:hAnsi="Times New Roman" w:cs="Times New Roman" w:eastAsiaTheme="minorEastAsia"/>
          <w:color w:val="auto"/>
          <w:szCs w:val="28"/>
        </w:rPr>
        <w:t>方面进行了</w:t>
      </w:r>
      <w:r>
        <w:rPr>
          <w:rFonts w:hint="eastAsia" w:cs="Times New Roman" w:eastAsiaTheme="minorEastAsia"/>
          <w:color w:val="auto"/>
          <w:szCs w:val="28"/>
          <w:lang w:val="en-US" w:eastAsia="zh-CN"/>
        </w:rPr>
        <w:t>工程竣工联合</w:t>
      </w:r>
      <w:r>
        <w:rPr>
          <w:rFonts w:hint="default" w:ascii="Times New Roman" w:hAnsi="Times New Roman" w:cs="Times New Roman" w:eastAsiaTheme="minorEastAsia"/>
          <w:color w:val="auto"/>
          <w:szCs w:val="28"/>
        </w:rPr>
        <w:t>验收，</w:t>
      </w:r>
      <w:r>
        <w:rPr>
          <w:rFonts w:hint="default" w:ascii="Times New Roman" w:hAnsi="Times New Roman" w:cs="Times New Roman" w:eastAsiaTheme="minorEastAsia"/>
          <w:color w:val="auto"/>
          <w:szCs w:val="28"/>
          <w:lang w:eastAsia="zh-CN"/>
        </w:rPr>
        <w:t>验收结论为：</w:t>
      </w:r>
      <w:r>
        <w:rPr>
          <w:rFonts w:hint="eastAsia" w:cs="Times New Roman" w:eastAsiaTheme="minorEastAsia"/>
          <w:color w:val="auto"/>
          <w:szCs w:val="28"/>
          <w:lang w:val="en-US" w:eastAsia="zh-CN"/>
        </w:rPr>
        <w:t>同意</w:t>
      </w:r>
      <w:r>
        <w:rPr>
          <w:rFonts w:hint="default" w:ascii="Times New Roman" w:hAnsi="Times New Roman" w:cs="Times New Roman" w:eastAsiaTheme="minorEastAsia"/>
          <w:color w:val="auto"/>
          <w:szCs w:val="28"/>
          <w:lang w:eastAsia="zh-CN"/>
        </w:rPr>
        <w:t>验收</w:t>
      </w:r>
      <w:r>
        <w:rPr>
          <w:rFonts w:hint="default" w:ascii="Times New Roman" w:hAnsi="Times New Roman" w:cs="Times New Roman" w:eastAsiaTheme="minorEastAsia"/>
          <w:color w:val="auto"/>
        </w:rPr>
        <w:t>。</w:t>
      </w:r>
    </w:p>
    <w:p>
      <w:pPr>
        <w:keepNext/>
        <w:keepLines/>
        <w:pageBreakBefore w:val="0"/>
        <w:widowControl w:val="0"/>
        <w:kinsoku/>
        <w:wordWrap/>
        <w:overflowPunct/>
        <w:topLinePunct w:val="0"/>
        <w:autoSpaceDE/>
        <w:autoSpaceDN/>
        <w:bidi w:val="0"/>
        <w:adjustRightInd w:val="0"/>
        <w:snapToGrid w:val="0"/>
        <w:ind w:firstLine="0" w:firstLineChars="0"/>
        <w:textAlignment w:val="auto"/>
        <w:outlineLvl w:val="3"/>
        <w:rPr>
          <w:rFonts w:hint="default" w:ascii="Times New Roman" w:hAnsi="Times New Roman" w:cs="Times New Roman"/>
          <w:b/>
          <w:color w:val="auto"/>
          <w:szCs w:val="28"/>
          <w:lang w:val="zh-CN"/>
        </w:rPr>
      </w:pPr>
      <w:r>
        <w:rPr>
          <w:rFonts w:hint="default" w:ascii="Times New Roman" w:hAnsi="Times New Roman" w:cs="Times New Roman"/>
          <w:b/>
          <w:color w:val="auto"/>
          <w:szCs w:val="28"/>
          <w:lang w:val="zh-CN"/>
        </w:rPr>
        <w:t>7.1.3.3安全设施的检验、检测情况及有效性情况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该公司提供了该项目涉及的油罐、加油机等设备设施的产品合格证书。</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highlight w:val="none"/>
        </w:rPr>
      </w:pPr>
      <w:r>
        <w:t>该</w:t>
      </w:r>
      <w:r>
        <w:rPr>
          <w:rFonts w:hint="eastAsia"/>
          <w:lang w:eastAsia="zh-CN"/>
        </w:rPr>
        <w:t>加油中心防雷、防静电接地、电气设备的工作接地、保护接地及信息系统的接地等共用接地装置，其接地电阻</w:t>
      </w:r>
      <w:r>
        <w:rPr>
          <w:rFonts w:hint="eastAsia"/>
          <w:lang w:val="en-US" w:eastAsia="zh-CN"/>
        </w:rPr>
        <w:t>R≤4Ω</w:t>
      </w:r>
      <w:r>
        <w:rPr>
          <w:rFonts w:hint="eastAsia"/>
          <w:color w:val="auto"/>
        </w:rPr>
        <w:t>。</w:t>
      </w:r>
      <w:r>
        <w:rPr>
          <w:color w:val="auto"/>
        </w:rPr>
        <w:t>该加油</w:t>
      </w:r>
      <w:r>
        <w:rPr>
          <w:rFonts w:hint="eastAsia"/>
          <w:color w:val="auto"/>
          <w:lang w:eastAsia="zh-CN"/>
        </w:rPr>
        <w:t>中心</w:t>
      </w:r>
      <w:r>
        <w:rPr>
          <w:color w:val="auto"/>
        </w:rPr>
        <w:t>于</w:t>
      </w:r>
      <w:r>
        <w:rPr>
          <w:rFonts w:hint="eastAsia"/>
          <w:color w:val="auto"/>
        </w:rPr>
        <w:t>20</w:t>
      </w:r>
      <w:r>
        <w:rPr>
          <w:rFonts w:hint="eastAsia"/>
          <w:color w:val="auto"/>
          <w:lang w:val="en-US" w:eastAsia="zh-CN"/>
        </w:rPr>
        <w:t>21</w:t>
      </w:r>
      <w:r>
        <w:rPr>
          <w:rFonts w:hint="eastAsia"/>
          <w:color w:val="auto"/>
        </w:rPr>
        <w:t>年</w:t>
      </w:r>
      <w:r>
        <w:rPr>
          <w:rFonts w:hint="eastAsia"/>
          <w:color w:val="auto"/>
          <w:lang w:val="en-US" w:eastAsia="zh-CN"/>
        </w:rPr>
        <w:t>1</w:t>
      </w:r>
      <w:r>
        <w:rPr>
          <w:rFonts w:hint="eastAsia"/>
          <w:color w:val="auto"/>
        </w:rPr>
        <w:t>月</w:t>
      </w:r>
      <w:r>
        <w:rPr>
          <w:rFonts w:hint="eastAsia"/>
          <w:color w:val="auto"/>
          <w:lang w:val="en-US" w:eastAsia="zh-CN"/>
        </w:rPr>
        <w:t>8</w:t>
      </w:r>
      <w:r>
        <w:rPr>
          <w:rFonts w:hint="eastAsia"/>
          <w:color w:val="auto"/>
        </w:rPr>
        <w:t>日</w:t>
      </w:r>
      <w:r>
        <w:rPr>
          <w:rFonts w:hint="eastAsia"/>
          <w:color w:val="auto"/>
          <w:lang w:eastAsia="zh-CN"/>
        </w:rPr>
        <w:t>由吉林省宇泰安全技术服务有限公司</w:t>
      </w:r>
      <w:r>
        <w:rPr>
          <w:color w:val="auto"/>
        </w:rPr>
        <w:t>出具的</w:t>
      </w:r>
      <w:r>
        <w:rPr>
          <w:rFonts w:hint="eastAsia"/>
          <w:color w:val="auto"/>
          <w:lang w:eastAsia="zh-CN"/>
        </w:rPr>
        <w:t>防雷（静电）</w:t>
      </w:r>
      <w:r>
        <w:rPr>
          <w:color w:val="auto"/>
        </w:rPr>
        <w:t>装置检测报告</w:t>
      </w:r>
      <w:r>
        <w:rPr>
          <w:rFonts w:hint="eastAsia"/>
          <w:color w:val="auto"/>
        </w:rPr>
        <w:t>，</w:t>
      </w:r>
      <w:r>
        <w:rPr>
          <w:rFonts w:hint="eastAsia"/>
          <w:color w:val="auto"/>
          <w:lang w:eastAsia="zh-CN"/>
        </w:rPr>
        <w:t>报告编号</w:t>
      </w:r>
      <w:r>
        <w:rPr>
          <w:rFonts w:hint="eastAsia"/>
          <w:color w:val="auto"/>
          <w:lang w:val="en-US" w:eastAsia="zh-CN"/>
        </w:rPr>
        <w:t>1072017002[鲁01雷定安检]20210007，有效期至2021年7月7日，</w:t>
      </w:r>
      <w:r>
        <w:rPr>
          <w:color w:val="auto"/>
        </w:rPr>
        <w:t>检测结论：</w:t>
      </w:r>
      <w:r>
        <w:rPr>
          <w:rFonts w:hint="eastAsia"/>
          <w:color w:val="auto"/>
          <w:lang w:eastAsia="zh-CN"/>
        </w:rPr>
        <w:t>本次所检项目检测时状态均</w:t>
      </w:r>
      <w:r>
        <w:rPr>
          <w:color w:val="auto"/>
        </w:rPr>
        <w:t>符合国家相关规范</w:t>
      </w:r>
      <w:r>
        <w:t>。</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项目所配备灭火器</w:t>
      </w:r>
      <w:r>
        <w:rPr>
          <w:rFonts w:hint="default" w:ascii="Times New Roman" w:hAnsi="Times New Roman" w:cs="Times New Roman" w:eastAsiaTheme="minorEastAsia"/>
          <w:color w:val="auto"/>
        </w:rPr>
        <w:t>处于</w:t>
      </w:r>
      <w:r>
        <w:rPr>
          <w:rFonts w:hint="default" w:ascii="Times New Roman" w:hAnsi="Times New Roman" w:cs="Times New Roman"/>
          <w:color w:val="auto"/>
          <w:szCs w:val="20"/>
        </w:rPr>
        <w:t>有效状态中；所配备紧急个体处置设置完整，有效；事故应急设施及逃生避难设施完好；其他劳动防护用品和装备（如防护服、手套、工鞋等）均有相应的产品合格证。</w:t>
      </w:r>
    </w:p>
    <w:p>
      <w:pPr>
        <w:keepNext/>
        <w:keepLines/>
        <w:pageBreakBefore w:val="0"/>
        <w:widowControl w:val="0"/>
        <w:kinsoku/>
        <w:wordWrap/>
        <w:overflowPunct/>
        <w:topLinePunct w:val="0"/>
        <w:autoSpaceDE/>
        <w:autoSpaceDN/>
        <w:bidi w:val="0"/>
        <w:adjustRightInd w:val="0"/>
        <w:snapToGrid w:val="0"/>
        <w:ind w:firstLine="0" w:firstLineChars="0"/>
        <w:textAlignment w:val="auto"/>
        <w:outlineLvl w:val="3"/>
        <w:rPr>
          <w:rFonts w:hint="default" w:ascii="Times New Roman" w:hAnsi="Times New Roman" w:cs="Times New Roman"/>
          <w:b/>
          <w:color w:val="auto"/>
          <w:szCs w:val="28"/>
          <w:lang w:val="zh-CN"/>
        </w:rPr>
      </w:pPr>
      <w:r>
        <w:rPr>
          <w:rFonts w:hint="default" w:ascii="Times New Roman" w:hAnsi="Times New Roman" w:cs="Times New Roman"/>
          <w:b/>
          <w:color w:val="auto"/>
          <w:szCs w:val="28"/>
          <w:lang w:val="zh-CN"/>
        </w:rPr>
        <w:t>7.1.3.4安全设施使用前的调试情况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该项目的安全设施在使用前进行了一系列调试工作，经过安装单位和企业以及具备资质的检验检测单位的调试和检验检测，能够正常工作，情况良好。</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企业对灭火器等消防设施进行了检查、调试，确保能够正常使用。</w:t>
      </w:r>
    </w:p>
    <w:p>
      <w:pPr>
        <w:pageBreakBefore w:val="0"/>
        <w:widowControl w:val="0"/>
        <w:kinsoku/>
        <w:wordWrap/>
        <w:overflowPunct/>
        <w:topLinePunct w:val="0"/>
        <w:autoSpaceDE/>
        <w:autoSpaceDN/>
        <w:bidi w:val="0"/>
        <w:adjustRightInd w:val="0"/>
        <w:snapToGrid w:val="0"/>
        <w:ind w:firstLine="560"/>
        <w:textAlignment w:val="auto"/>
        <w:rPr>
          <w:rFonts w:hint="eastAsia" w:ascii="Times New Roman" w:hAnsi="Times New Roman" w:eastAsia="宋体" w:cs="Times New Roman"/>
          <w:color w:val="auto"/>
          <w:lang w:eastAsia="zh-CN"/>
        </w:rPr>
      </w:pPr>
      <w:r>
        <w:rPr>
          <w:rFonts w:hint="eastAsia"/>
          <w:color w:val="auto"/>
          <w:lang w:eastAsia="zh-CN"/>
        </w:rPr>
        <w:t>吉林省宇泰安全技术服务有限公司</w:t>
      </w:r>
      <w:r>
        <w:rPr>
          <w:rFonts w:hint="default" w:ascii="Times New Roman" w:hAnsi="Times New Roman" w:cs="Times New Roman" w:eastAsiaTheme="minorEastAsia"/>
          <w:color w:val="auto"/>
        </w:rPr>
        <w:t>对防雷、防静电接地设施进行了检测，检测结果合格。</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由企业对应急救援器材、劳动保护用品进行了检验检测，确保能够正常使用。</w:t>
      </w:r>
    </w:p>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eastAsia="宋体" w:cs="Times New Roman"/>
          <w:b/>
          <w:bCs w:val="0"/>
          <w:color w:val="auto"/>
          <w:sz w:val="28"/>
          <w:szCs w:val="28"/>
        </w:rPr>
      </w:pPr>
      <w:bookmarkStart w:id="89" w:name="_Toc490640352"/>
      <w:bookmarkStart w:id="90" w:name="_Toc496775867"/>
      <w:bookmarkStart w:id="91" w:name="_Toc27849"/>
      <w:bookmarkStart w:id="92" w:name="_Toc18320"/>
      <w:r>
        <w:rPr>
          <w:rFonts w:hint="default" w:ascii="Times New Roman" w:hAnsi="Times New Roman" w:eastAsia="宋体" w:cs="Times New Roman"/>
          <w:b/>
          <w:bCs w:val="0"/>
          <w:color w:val="auto"/>
          <w:sz w:val="28"/>
          <w:szCs w:val="28"/>
        </w:rPr>
        <w:t>7.2 安全管理情况分析</w:t>
      </w:r>
      <w:bookmarkEnd w:id="89"/>
      <w:bookmarkEnd w:id="90"/>
      <w:bookmarkEnd w:id="91"/>
      <w:bookmarkEnd w:id="92"/>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outlineLvl w:val="2"/>
        <w:rPr>
          <w:rFonts w:hint="default" w:ascii="Times New Roman" w:hAnsi="Times New Roman" w:eastAsia="宋体" w:cs="Times New Roman"/>
          <w:b/>
          <w:bCs/>
          <w:color w:val="auto"/>
          <w:kern w:val="2"/>
          <w:sz w:val="28"/>
          <w:szCs w:val="32"/>
          <w:lang w:val="en-US" w:eastAsia="zh-CN" w:bidi="ar-SA"/>
        </w:rPr>
      </w:pPr>
      <w:r>
        <w:rPr>
          <w:rFonts w:hint="default" w:ascii="Times New Roman" w:hAnsi="Times New Roman" w:eastAsia="宋体" w:cs="Times New Roman"/>
          <w:b/>
          <w:bCs/>
          <w:color w:val="auto"/>
          <w:kern w:val="2"/>
          <w:sz w:val="28"/>
          <w:szCs w:val="32"/>
          <w:lang w:val="en-US" w:eastAsia="zh-CN" w:bidi="ar-SA"/>
        </w:rPr>
        <w:t>7.2.1安全生产责任制的建立和执行情况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highlight w:val="none"/>
          <w:lang w:val="en-US" w:eastAsia="zh-CN"/>
        </w:rPr>
      </w:pPr>
      <w:r>
        <w:rPr>
          <w:rFonts w:hint="eastAsia" w:cs="Times New Roman" w:eastAsiaTheme="minorEastAsia"/>
          <w:color w:val="auto"/>
          <w:highlight w:val="none"/>
          <w:lang w:eastAsia="zh-CN"/>
        </w:rPr>
        <w:t>（</w:t>
      </w:r>
      <w:r>
        <w:rPr>
          <w:rFonts w:hint="eastAsia" w:cs="Times New Roman" w:eastAsiaTheme="minorEastAsia"/>
          <w:color w:val="auto"/>
          <w:highlight w:val="none"/>
          <w:lang w:val="en-US" w:eastAsia="zh-CN"/>
        </w:rPr>
        <w:t>1</w:t>
      </w:r>
      <w:r>
        <w:rPr>
          <w:rFonts w:hint="eastAsia" w:cs="Times New Roman" w:eastAsiaTheme="minorEastAsia"/>
          <w:color w:val="auto"/>
          <w:highlight w:val="none"/>
          <w:lang w:eastAsia="zh-CN"/>
        </w:rPr>
        <w:t>）安全生产责任制</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highlight w:val="none"/>
          <w:lang w:eastAsia="zh-CN"/>
        </w:rPr>
      </w:pPr>
      <w:r>
        <w:rPr>
          <w:rFonts w:hint="eastAsia" w:cs="Times New Roman" w:eastAsiaTheme="minorEastAsia"/>
          <w:color w:val="auto"/>
          <w:highlight w:val="none"/>
          <w:lang w:eastAsia="zh-CN"/>
        </w:rPr>
        <w:t>该加油中心</w:t>
      </w:r>
      <w:r>
        <w:rPr>
          <w:rFonts w:hint="default" w:ascii="Times New Roman" w:hAnsi="Times New Roman" w:cs="Times New Roman" w:eastAsiaTheme="minorEastAsia"/>
          <w:color w:val="auto"/>
          <w:highlight w:val="none"/>
        </w:rPr>
        <w:t>建立了安全生产责任</w:t>
      </w:r>
      <w:r>
        <w:rPr>
          <w:rFonts w:hint="default" w:ascii="Times New Roman" w:hAnsi="Times New Roman" w:cs="Times New Roman" w:eastAsiaTheme="minorEastAsia"/>
          <w:color w:val="auto"/>
          <w:highlight w:val="none"/>
          <w:lang w:eastAsia="zh-CN"/>
        </w:rPr>
        <w:t>，包括</w:t>
      </w:r>
      <w:r>
        <w:rPr>
          <w:rFonts w:hint="default" w:ascii="Times New Roman" w:hAnsi="Times New Roman" w:cs="Times New Roman" w:eastAsiaTheme="minorEastAsia"/>
          <w:color w:val="auto"/>
          <w:highlight w:val="none"/>
        </w:rPr>
        <w:t>加油站站长、</w:t>
      </w:r>
      <w:r>
        <w:rPr>
          <w:rFonts w:hint="eastAsia" w:cs="Times New Roman" w:eastAsiaTheme="minorEastAsia"/>
          <w:color w:val="auto"/>
          <w:highlight w:val="none"/>
          <w:lang w:eastAsia="zh-CN"/>
        </w:rPr>
        <w:t>班组长</w:t>
      </w:r>
      <w:r>
        <w:rPr>
          <w:rFonts w:hint="default" w:ascii="Times New Roman" w:hAnsi="Times New Roman" w:cs="Times New Roman" w:eastAsiaTheme="minorEastAsia"/>
          <w:color w:val="auto"/>
          <w:highlight w:val="none"/>
          <w:lang w:eastAsia="zh-CN"/>
        </w:rPr>
        <w:t>、</w:t>
      </w:r>
      <w:r>
        <w:rPr>
          <w:rFonts w:hint="default" w:ascii="Times New Roman" w:hAnsi="Times New Roman" w:cs="Times New Roman" w:eastAsiaTheme="minorEastAsia"/>
          <w:color w:val="auto"/>
          <w:highlight w:val="none"/>
        </w:rPr>
        <w:t>计量员、</w:t>
      </w:r>
      <w:r>
        <w:rPr>
          <w:rFonts w:hint="eastAsia" w:cs="Times New Roman" w:eastAsiaTheme="minorEastAsia"/>
          <w:color w:val="auto"/>
          <w:highlight w:val="none"/>
          <w:lang w:eastAsia="zh-CN"/>
        </w:rPr>
        <w:t>充值</w:t>
      </w:r>
      <w:r>
        <w:rPr>
          <w:rFonts w:hint="default" w:ascii="Times New Roman" w:hAnsi="Times New Roman" w:cs="Times New Roman" w:eastAsiaTheme="minorEastAsia"/>
          <w:color w:val="auto"/>
          <w:highlight w:val="none"/>
          <w:lang w:eastAsia="zh-CN"/>
        </w:rPr>
        <w:t>员、</w:t>
      </w:r>
      <w:r>
        <w:rPr>
          <w:rFonts w:hint="default" w:ascii="Times New Roman" w:hAnsi="Times New Roman" w:cs="Times New Roman" w:eastAsiaTheme="minorEastAsia"/>
          <w:color w:val="auto"/>
          <w:highlight w:val="none"/>
        </w:rPr>
        <w:t>安全员</w:t>
      </w:r>
      <w:r>
        <w:rPr>
          <w:rFonts w:hint="eastAsia" w:cs="Times New Roman" w:eastAsiaTheme="minorEastAsia"/>
          <w:color w:val="auto"/>
          <w:highlight w:val="none"/>
          <w:lang w:eastAsia="zh-CN"/>
        </w:rPr>
        <w:t>、加油员</w:t>
      </w:r>
      <w:r>
        <w:rPr>
          <w:rFonts w:hint="default" w:ascii="Times New Roman" w:hAnsi="Times New Roman" w:cs="Times New Roman" w:eastAsiaTheme="minorEastAsia"/>
          <w:color w:val="auto"/>
          <w:highlight w:val="none"/>
        </w:rPr>
        <w:t>等</w:t>
      </w:r>
      <w:r>
        <w:rPr>
          <w:rFonts w:hint="default" w:ascii="Times New Roman" w:hAnsi="Times New Roman" w:cs="Times New Roman" w:eastAsiaTheme="minorEastAsia"/>
          <w:color w:val="auto"/>
          <w:highlight w:val="none"/>
          <w:lang w:eastAsia="zh-CN"/>
        </w:rPr>
        <w:t>岗位</w:t>
      </w:r>
      <w:r>
        <w:rPr>
          <w:rFonts w:hint="default" w:ascii="Times New Roman" w:hAnsi="Times New Roman" w:cs="Times New Roman" w:eastAsiaTheme="minorEastAsia"/>
          <w:color w:val="auto"/>
          <w:highlight w:val="none"/>
        </w:rPr>
        <w:t>安全职责，并基本按照执行。该公司安全生产责任制的建立和执行情况</w:t>
      </w:r>
      <w:r>
        <w:rPr>
          <w:rFonts w:hint="default" w:ascii="Times New Roman" w:hAnsi="Times New Roman" w:cs="Times New Roman" w:eastAsiaTheme="minorEastAsia"/>
          <w:color w:val="auto"/>
          <w:highlight w:val="none"/>
          <w:lang w:eastAsia="zh-CN"/>
        </w:rPr>
        <w:t>基本</w:t>
      </w:r>
      <w:r>
        <w:rPr>
          <w:rFonts w:hint="default" w:ascii="Times New Roman" w:hAnsi="Times New Roman" w:cs="Times New Roman" w:eastAsiaTheme="minorEastAsia"/>
          <w:color w:val="auto"/>
          <w:highlight w:val="none"/>
        </w:rPr>
        <w:t>符合《山东省生产经营单位安全生产主体责任规定》（山东省人民政府令第</w:t>
      </w:r>
      <w:r>
        <w:rPr>
          <w:rFonts w:hint="eastAsia" w:cs="Times New Roman" w:eastAsiaTheme="minorEastAsia"/>
          <w:color w:val="auto"/>
          <w:highlight w:val="none"/>
          <w:lang w:val="en-US" w:eastAsia="zh-CN"/>
        </w:rPr>
        <w:t>260号，经303、</w:t>
      </w:r>
      <w:r>
        <w:rPr>
          <w:rFonts w:hint="default" w:ascii="Times New Roman" w:hAnsi="Times New Roman" w:cs="Times New Roman" w:eastAsiaTheme="minorEastAsia"/>
          <w:color w:val="auto"/>
          <w:highlight w:val="none"/>
        </w:rPr>
        <w:t>311号</w:t>
      </w:r>
      <w:r>
        <w:rPr>
          <w:rFonts w:hint="eastAsia" w:cs="Times New Roman" w:eastAsiaTheme="minorEastAsia"/>
          <w:color w:val="auto"/>
          <w:highlight w:val="none"/>
          <w:lang w:eastAsia="zh-CN"/>
        </w:rPr>
        <w:t>修订</w:t>
      </w:r>
      <w:r>
        <w:rPr>
          <w:rFonts w:hint="default" w:ascii="Times New Roman" w:hAnsi="Times New Roman" w:cs="Times New Roman" w:eastAsiaTheme="minorEastAsia"/>
          <w:color w:val="auto"/>
          <w:highlight w:val="none"/>
        </w:rPr>
        <w:t>）</w:t>
      </w:r>
      <w:r>
        <w:rPr>
          <w:rFonts w:hint="default" w:ascii="Times New Roman" w:hAnsi="Times New Roman" w:cs="Times New Roman" w:eastAsiaTheme="minorEastAsia"/>
          <w:color w:val="auto"/>
          <w:highlight w:val="none"/>
          <w:lang w:eastAsia="zh-CN"/>
        </w:rPr>
        <w:t>、</w:t>
      </w:r>
      <w:r>
        <w:rPr>
          <w:rFonts w:hint="default" w:ascii="Times New Roman" w:hAnsi="Times New Roman" w:cs="Times New Roman"/>
          <w:color w:val="auto"/>
          <w:szCs w:val="20"/>
          <w:highlight w:val="none"/>
        </w:rPr>
        <w:t>《东营市加油站安全生产规范提升指南（试行）》</w:t>
      </w:r>
      <w:r>
        <w:rPr>
          <w:rFonts w:hint="default" w:ascii="Times New Roman" w:hAnsi="Times New Roman" w:cs="Times New Roman" w:eastAsiaTheme="minorEastAsia"/>
          <w:color w:val="auto"/>
          <w:highlight w:val="none"/>
        </w:rPr>
        <w:t>的</w:t>
      </w:r>
      <w:r>
        <w:rPr>
          <w:rFonts w:hint="default" w:ascii="Times New Roman" w:hAnsi="Times New Roman" w:cs="Times New Roman" w:eastAsiaTheme="minorEastAsia"/>
          <w:color w:val="auto"/>
          <w:highlight w:val="none"/>
          <w:lang w:eastAsia="zh-CN"/>
        </w:rPr>
        <w:t>规定。</w:t>
      </w:r>
    </w:p>
    <w:p>
      <w:pPr>
        <w:pageBreakBefore w:val="0"/>
        <w:widowControl w:val="0"/>
        <w:numPr>
          <w:ilvl w:val="0"/>
          <w:numId w:val="5"/>
        </w:numPr>
        <w:kinsoku/>
        <w:wordWrap/>
        <w:overflowPunct/>
        <w:topLinePunct w:val="0"/>
        <w:autoSpaceDE/>
        <w:autoSpaceDN/>
        <w:bidi w:val="0"/>
        <w:adjustRightInd w:val="0"/>
        <w:snapToGrid w:val="0"/>
        <w:ind w:firstLine="560"/>
        <w:textAlignment w:val="auto"/>
        <w:rPr>
          <w:rFonts w:hint="eastAsia" w:cs="Times New Roman"/>
          <w:bCs/>
          <w:color w:val="auto"/>
          <w:kern w:val="0"/>
          <w:szCs w:val="28"/>
          <w:lang w:eastAsia="zh-CN"/>
        </w:rPr>
      </w:pPr>
      <w:r>
        <w:rPr>
          <w:rFonts w:hint="eastAsia" w:cs="Times New Roman"/>
          <w:bCs/>
          <w:color w:val="auto"/>
          <w:kern w:val="0"/>
          <w:szCs w:val="28"/>
          <w:lang w:eastAsia="zh-CN"/>
        </w:rPr>
        <w:t>安全生产管理制度</w:t>
      </w:r>
    </w:p>
    <w:p>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bCs/>
          <w:color w:val="auto"/>
          <w:kern w:val="0"/>
          <w:szCs w:val="28"/>
        </w:rPr>
      </w:pPr>
      <w:r>
        <w:rPr>
          <w:rFonts w:hint="default" w:ascii="Times New Roman" w:hAnsi="Times New Roman" w:cs="Times New Roman"/>
          <w:bCs/>
          <w:color w:val="auto"/>
          <w:kern w:val="0"/>
          <w:szCs w:val="28"/>
        </w:rPr>
        <w:t>已建立的安全生产管理制度主要包括：</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1）</w:t>
      </w:r>
      <w:r>
        <w:rPr>
          <w:rFonts w:hint="default" w:ascii="Times New Roman" w:hAnsi="Times New Roman" w:cs="Times New Roman"/>
          <w:color w:val="auto"/>
          <w:szCs w:val="20"/>
        </w:rPr>
        <w:t>危险化学品购销管理制度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2）</w:t>
      </w:r>
      <w:r>
        <w:rPr>
          <w:rFonts w:hint="default" w:ascii="Times New Roman" w:hAnsi="Times New Roman" w:cs="Times New Roman"/>
          <w:color w:val="auto"/>
          <w:szCs w:val="20"/>
        </w:rPr>
        <w:t>危险化学品安全管理制度（包括防火、防爆、防中毒、防泄漏管理等内容）</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cs="Times New Roman"/>
          <w:color w:val="auto"/>
          <w:szCs w:val="20"/>
          <w:lang w:val="en-US" w:eastAsia="zh-CN"/>
        </w:rPr>
      </w:pPr>
      <w:r>
        <w:rPr>
          <w:rFonts w:hint="eastAsia" w:cs="Times New Roman"/>
          <w:color w:val="auto"/>
          <w:szCs w:val="20"/>
          <w:lang w:val="en-US" w:eastAsia="zh-CN"/>
        </w:rPr>
        <w:t>3）安全检查制度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cs="Times New Roman"/>
          <w:color w:val="auto"/>
          <w:szCs w:val="20"/>
          <w:lang w:val="en-US" w:eastAsia="zh-CN"/>
        </w:rPr>
      </w:pPr>
      <w:r>
        <w:rPr>
          <w:rFonts w:hint="eastAsia" w:cs="Times New Roman"/>
          <w:color w:val="auto"/>
          <w:szCs w:val="20"/>
          <w:lang w:val="en-US" w:eastAsia="zh-CN"/>
        </w:rPr>
        <w:t>4）安全设备设施管理制度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5）直接作业环节安全管理制度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cs="Times New Roman"/>
          <w:color w:val="auto"/>
          <w:szCs w:val="20"/>
          <w:lang w:val="en-US" w:eastAsia="zh-CN"/>
        </w:rPr>
      </w:pPr>
      <w:r>
        <w:rPr>
          <w:rFonts w:hint="eastAsia" w:cs="Times New Roman"/>
          <w:color w:val="auto"/>
          <w:szCs w:val="20"/>
          <w:lang w:val="en-US" w:eastAsia="zh-CN"/>
        </w:rPr>
        <w:t>6）危险作业管理制度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7）重点部位安全管理制度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8）</w:t>
      </w:r>
      <w:r>
        <w:rPr>
          <w:rFonts w:hint="eastAsia" w:cs="Times New Roman"/>
          <w:color w:val="auto"/>
          <w:szCs w:val="20"/>
          <w:lang w:eastAsia="zh-CN"/>
        </w:rPr>
        <w:t>消防管理制度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cs="Times New Roman"/>
          <w:color w:val="auto"/>
          <w:szCs w:val="20"/>
          <w:lang w:val="en-US" w:eastAsia="zh-CN"/>
        </w:rPr>
      </w:pPr>
      <w:r>
        <w:rPr>
          <w:rFonts w:hint="eastAsia" w:cs="Times New Roman"/>
          <w:color w:val="auto"/>
          <w:szCs w:val="20"/>
          <w:lang w:val="en-US" w:eastAsia="zh-CN"/>
        </w:rPr>
        <w:t>9）承包商安全管理制度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cs="Times New Roman"/>
          <w:color w:val="auto"/>
          <w:szCs w:val="20"/>
          <w:lang w:val="en-US" w:eastAsia="zh-CN"/>
        </w:rPr>
      </w:pPr>
      <w:r>
        <w:rPr>
          <w:rFonts w:hint="eastAsia" w:cs="Times New Roman"/>
          <w:color w:val="auto"/>
          <w:szCs w:val="20"/>
          <w:lang w:val="en-US" w:eastAsia="zh-CN"/>
        </w:rPr>
        <w:t>10）巡回检查制度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s="Times New Roman"/>
          <w:color w:val="auto"/>
          <w:szCs w:val="20"/>
          <w:lang w:val="en-US" w:eastAsia="zh-CN"/>
        </w:rPr>
      </w:pPr>
      <w:r>
        <w:rPr>
          <w:rFonts w:hint="eastAsia" w:cs="Times New Roman"/>
          <w:color w:val="auto"/>
          <w:szCs w:val="20"/>
          <w:lang w:val="en-US" w:eastAsia="zh-CN"/>
        </w:rPr>
        <w:t>11）安全考核与奖惩制度</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highlight w:val="none"/>
          <w:lang w:val="en-US" w:eastAsia="zh-CN"/>
        </w:rPr>
      </w:pPr>
      <w:r>
        <w:rPr>
          <w:rFonts w:hint="eastAsia" w:cs="Times New Roman"/>
          <w:color w:val="auto"/>
          <w:szCs w:val="20"/>
          <w:highlight w:val="none"/>
          <w:lang w:val="en-US" w:eastAsia="zh-CN"/>
        </w:rPr>
        <w:t>12）安全教育培训制度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s="Times New Roman"/>
          <w:color w:val="auto"/>
          <w:szCs w:val="20"/>
          <w:lang w:val="en-US" w:eastAsia="zh-CN"/>
        </w:rPr>
      </w:pPr>
      <w:r>
        <w:rPr>
          <w:rFonts w:hint="eastAsia" w:cs="Times New Roman"/>
          <w:color w:val="auto"/>
          <w:szCs w:val="20"/>
          <w:highlight w:val="none"/>
          <w:lang w:val="en-US" w:eastAsia="zh-CN"/>
        </w:rPr>
        <w:t>13</w:t>
      </w:r>
      <w:r>
        <w:rPr>
          <w:rFonts w:hint="eastAsia" w:cs="Times New Roman"/>
          <w:color w:val="auto"/>
          <w:szCs w:val="20"/>
          <w:lang w:val="en-US" w:eastAsia="zh-CN"/>
        </w:rPr>
        <w:t>）安全风险管控管理制度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s="Times New Roman"/>
          <w:color w:val="auto"/>
          <w:szCs w:val="20"/>
          <w:lang w:val="en-US" w:eastAsia="zh-CN"/>
        </w:rPr>
      </w:pPr>
      <w:r>
        <w:rPr>
          <w:rFonts w:hint="eastAsia" w:cs="Times New Roman"/>
          <w:color w:val="auto"/>
          <w:szCs w:val="20"/>
          <w:lang w:val="en-US" w:eastAsia="zh-CN"/>
        </w:rPr>
        <w:t>14）隐患治理制度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s="Times New Roman"/>
          <w:color w:val="auto"/>
          <w:szCs w:val="20"/>
          <w:lang w:val="en-US" w:eastAsia="zh-CN"/>
        </w:rPr>
      </w:pPr>
      <w:r>
        <w:rPr>
          <w:rFonts w:hint="eastAsia" w:cs="Times New Roman"/>
          <w:color w:val="auto"/>
          <w:szCs w:val="20"/>
          <w:lang w:val="en-US" w:eastAsia="zh-CN"/>
        </w:rPr>
        <w:t>15）事故管理制度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s="Times New Roman"/>
          <w:color w:val="auto"/>
          <w:szCs w:val="20"/>
          <w:lang w:val="en-US" w:eastAsia="zh-CN"/>
        </w:rPr>
      </w:pPr>
      <w:r>
        <w:rPr>
          <w:rFonts w:hint="eastAsia" w:cs="Times New Roman"/>
          <w:color w:val="auto"/>
          <w:szCs w:val="20"/>
          <w:lang w:val="en-US" w:eastAsia="zh-CN"/>
        </w:rPr>
        <w:t>16）应急管理制度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s="Times New Roman"/>
          <w:color w:val="auto"/>
          <w:szCs w:val="20"/>
          <w:lang w:val="en-US" w:eastAsia="zh-CN"/>
        </w:rPr>
      </w:pPr>
      <w:r>
        <w:rPr>
          <w:rFonts w:hint="eastAsia" w:cs="Times New Roman"/>
          <w:color w:val="auto"/>
          <w:szCs w:val="20"/>
          <w:lang w:val="en-US" w:eastAsia="zh-CN"/>
        </w:rPr>
        <w:t>17）监控系统管理制度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s="Times New Roman"/>
          <w:color w:val="auto"/>
          <w:szCs w:val="20"/>
          <w:lang w:val="en-US" w:eastAsia="zh-CN"/>
        </w:rPr>
      </w:pPr>
      <w:r>
        <w:rPr>
          <w:rFonts w:hint="eastAsia" w:cs="Times New Roman"/>
          <w:color w:val="auto"/>
          <w:szCs w:val="20"/>
          <w:lang w:val="en-US" w:eastAsia="zh-CN"/>
        </w:rPr>
        <w:t>18）劳动保护费用及个体劳动防护用品管理制度</w:t>
      </w:r>
    </w:p>
    <w:p>
      <w:pPr>
        <w:pStyle w:val="81"/>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cs="Times New Roman"/>
          <w:color w:val="auto"/>
          <w:szCs w:val="20"/>
          <w:lang w:val="en-US" w:eastAsia="zh-CN"/>
        </w:rPr>
      </w:pPr>
      <w:r>
        <w:rPr>
          <w:rFonts w:hint="eastAsia" w:cs="Times New Roman"/>
          <w:color w:val="auto"/>
          <w:szCs w:val="20"/>
          <w:lang w:val="en-US" w:eastAsia="zh-CN"/>
        </w:rPr>
        <w:t>19）安全投入保障制度</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highlight w:val="yellow"/>
        </w:rPr>
      </w:pPr>
      <w:r>
        <w:rPr>
          <w:rFonts w:hint="default" w:ascii="Times New Roman" w:hAnsi="Times New Roman" w:cs="Times New Roman"/>
          <w:color w:val="auto"/>
          <w:szCs w:val="20"/>
          <w:highlight w:val="none"/>
          <w:lang w:eastAsia="zh-CN"/>
        </w:rPr>
        <w:t>建议</w:t>
      </w:r>
      <w:r>
        <w:rPr>
          <w:rFonts w:hint="default" w:ascii="Times New Roman" w:hAnsi="Times New Roman" w:cs="Times New Roman"/>
          <w:color w:val="auto"/>
          <w:szCs w:val="20"/>
          <w:highlight w:val="none"/>
        </w:rPr>
        <w:t>企业</w:t>
      </w:r>
      <w:r>
        <w:rPr>
          <w:rFonts w:hint="default" w:ascii="Times New Roman" w:hAnsi="Times New Roman" w:cs="Times New Roman"/>
          <w:color w:val="auto"/>
          <w:szCs w:val="20"/>
          <w:highlight w:val="none"/>
          <w:lang w:eastAsia="zh-CN"/>
        </w:rPr>
        <w:t>按照</w:t>
      </w:r>
      <w:r>
        <w:rPr>
          <w:rFonts w:hint="default" w:ascii="Times New Roman" w:hAnsi="Times New Roman" w:cs="Times New Roman" w:eastAsiaTheme="minorEastAsia"/>
          <w:color w:val="auto"/>
        </w:rPr>
        <w:t>《危险化学品经营许可证管理办法》（国家安全生产监督管理总局令第55号，总局令第79号修正）</w:t>
      </w:r>
      <w:r>
        <w:rPr>
          <w:rFonts w:hint="eastAsia" w:cs="Times New Roman" w:eastAsiaTheme="minorEastAsia"/>
          <w:color w:val="auto"/>
          <w:lang w:eastAsia="zh-CN"/>
        </w:rPr>
        <w:t>、</w:t>
      </w:r>
      <w:r>
        <w:rPr>
          <w:rFonts w:hint="default" w:ascii="Times New Roman" w:hAnsi="Times New Roman" w:cs="Times New Roman"/>
          <w:color w:val="auto"/>
          <w:szCs w:val="20"/>
          <w:highlight w:val="none"/>
        </w:rPr>
        <w:t>《东营市加油站安全生产规范提升指南（试行）》</w:t>
      </w:r>
      <w:r>
        <w:rPr>
          <w:rFonts w:hint="eastAsia" w:cs="Times New Roman"/>
          <w:color w:val="auto"/>
          <w:szCs w:val="20"/>
          <w:highlight w:val="none"/>
          <w:lang w:eastAsia="zh-CN"/>
        </w:rPr>
        <w:t>等</w:t>
      </w:r>
      <w:r>
        <w:rPr>
          <w:rFonts w:hint="default" w:ascii="Times New Roman" w:hAnsi="Times New Roman" w:cs="Times New Roman"/>
          <w:color w:val="auto"/>
          <w:szCs w:val="20"/>
          <w:highlight w:val="none"/>
        </w:rPr>
        <w:t>要求</w:t>
      </w:r>
      <w:r>
        <w:rPr>
          <w:rFonts w:hint="eastAsia" w:cs="Times New Roman"/>
          <w:color w:val="auto"/>
          <w:szCs w:val="20"/>
          <w:highlight w:val="none"/>
          <w:lang w:eastAsia="zh-CN"/>
        </w:rPr>
        <w:t>及时修订完善，且严格执行</w:t>
      </w:r>
      <w:r>
        <w:rPr>
          <w:rFonts w:hint="default" w:ascii="Times New Roman" w:hAnsi="Times New Roman" w:cs="Times New Roman"/>
          <w:color w:val="auto"/>
          <w:szCs w:val="20"/>
          <w:highlight w:val="none"/>
          <w:lang w:eastAsia="zh-CN"/>
        </w:rPr>
        <w:t>。</w:t>
      </w:r>
    </w:p>
    <w:p>
      <w:pPr>
        <w:pageBreakBefore w:val="0"/>
        <w:widowControl w:val="0"/>
        <w:kinsoku/>
        <w:wordWrap/>
        <w:overflowPunct/>
        <w:topLinePunct w:val="0"/>
        <w:autoSpaceDE/>
        <w:autoSpaceDN/>
        <w:bidi w:val="0"/>
        <w:adjustRightInd w:val="0"/>
        <w:snapToGrid w:val="0"/>
        <w:ind w:firstLine="560"/>
        <w:textAlignment w:val="auto"/>
        <w:rPr>
          <w:rFonts w:hint="eastAsia" w:cs="Times New Roman"/>
          <w:color w:val="auto"/>
          <w:lang w:eastAsia="zh-CN"/>
        </w:rPr>
      </w:pPr>
      <w:r>
        <w:rPr>
          <w:rFonts w:hint="eastAsia" w:cs="Times New Roman"/>
          <w:color w:val="auto"/>
          <w:lang w:eastAsia="zh-CN"/>
        </w:rPr>
        <w:t>（</w:t>
      </w:r>
      <w:r>
        <w:rPr>
          <w:rFonts w:hint="eastAsia" w:cs="Times New Roman"/>
          <w:color w:val="auto"/>
          <w:lang w:val="en-US" w:eastAsia="zh-CN"/>
        </w:rPr>
        <w:t>3</w:t>
      </w:r>
      <w:r>
        <w:rPr>
          <w:rFonts w:hint="eastAsia" w:cs="Times New Roman"/>
          <w:color w:val="auto"/>
          <w:lang w:eastAsia="zh-CN"/>
        </w:rPr>
        <w:t>）岗位操作规程</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该</w:t>
      </w:r>
      <w:r>
        <w:rPr>
          <w:rFonts w:hint="eastAsia" w:cs="Times New Roman"/>
          <w:color w:val="auto"/>
          <w:szCs w:val="20"/>
          <w:lang w:eastAsia="zh-CN"/>
        </w:rPr>
        <w:t>加油中心</w:t>
      </w:r>
      <w:r>
        <w:rPr>
          <w:rFonts w:hint="default" w:ascii="Times New Roman" w:hAnsi="Times New Roman" w:cs="Times New Roman"/>
          <w:color w:val="auto"/>
          <w:szCs w:val="20"/>
        </w:rPr>
        <w:t>依据自身特点和实际情况，制定了以下安全操作规程：</w:t>
      </w:r>
    </w:p>
    <w:p>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1）</w:t>
      </w:r>
      <w:r>
        <w:rPr>
          <w:rFonts w:hint="default" w:ascii="Times New Roman" w:hAnsi="Times New Roman" w:cs="Times New Roman"/>
          <w:color w:val="auto"/>
          <w:szCs w:val="20"/>
        </w:rPr>
        <w:t>卸油操作规程</w:t>
      </w:r>
    </w:p>
    <w:p>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2）</w:t>
      </w:r>
      <w:r>
        <w:rPr>
          <w:rFonts w:hint="default" w:ascii="Times New Roman" w:hAnsi="Times New Roman" w:cs="Times New Roman"/>
          <w:color w:val="auto"/>
          <w:szCs w:val="20"/>
        </w:rPr>
        <w:t>加油操作规程</w:t>
      </w:r>
    </w:p>
    <w:p>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3）</w:t>
      </w:r>
      <w:r>
        <w:rPr>
          <w:rFonts w:hint="default" w:ascii="Times New Roman" w:hAnsi="Times New Roman" w:cs="Times New Roman"/>
          <w:color w:val="auto"/>
          <w:szCs w:val="20"/>
        </w:rPr>
        <w:t>计量操作规程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Cs w:val="20"/>
        </w:rPr>
      </w:pPr>
      <w:r>
        <w:rPr>
          <w:rFonts w:hint="eastAsia" w:cs="Times New Roman"/>
          <w:color w:val="auto"/>
          <w:szCs w:val="20"/>
          <w:lang w:val="en-US" w:eastAsia="zh-CN"/>
        </w:rPr>
        <w:t>4）</w:t>
      </w:r>
      <w:r>
        <w:rPr>
          <w:rFonts w:hint="eastAsia" w:cs="Times New Roman"/>
          <w:color w:val="auto"/>
          <w:szCs w:val="20"/>
          <w:lang w:eastAsia="zh-CN"/>
        </w:rPr>
        <w:t>加油机安全操作</w:t>
      </w:r>
      <w:r>
        <w:rPr>
          <w:rFonts w:hint="default" w:ascii="Times New Roman" w:hAnsi="Times New Roman" w:cs="Times New Roman"/>
          <w:color w:val="auto"/>
          <w:szCs w:val="20"/>
        </w:rPr>
        <w:t>规程</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eastAsia="宋体"/>
          <w:lang w:val="en-US" w:eastAsia="zh-CN"/>
        </w:rPr>
      </w:pPr>
      <w:r>
        <w:rPr>
          <w:rFonts w:hint="eastAsia" w:cs="Times New Roman"/>
          <w:color w:val="auto"/>
          <w:szCs w:val="20"/>
          <w:lang w:val="en-US" w:eastAsia="zh-CN"/>
        </w:rPr>
        <w:t>5）</w:t>
      </w:r>
      <w:r>
        <w:rPr>
          <w:rFonts w:hint="default" w:ascii="Times New Roman" w:hAnsi="Times New Roman" w:cs="Times New Roman"/>
          <w:color w:val="auto"/>
          <w:szCs w:val="20"/>
          <w:highlight w:val="none"/>
          <w:lang w:eastAsia="zh-CN"/>
        </w:rPr>
        <w:t>油气回收装置操作规程</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default" w:ascii="Times New Roman" w:hAnsi="Times New Roman" w:cs="Times New Roman"/>
          <w:color w:val="auto"/>
          <w:szCs w:val="20"/>
        </w:rPr>
      </w:pPr>
      <w:r>
        <w:rPr>
          <w:rFonts w:hint="default" w:ascii="Times New Roman" w:hAnsi="Times New Roman" w:cs="Times New Roman"/>
          <w:color w:val="auto"/>
          <w:szCs w:val="20"/>
        </w:rPr>
        <w:t>目前企业规程制定</w:t>
      </w:r>
      <w:r>
        <w:rPr>
          <w:rFonts w:hint="default" w:ascii="Times New Roman" w:hAnsi="Times New Roman" w:cs="Times New Roman" w:eastAsiaTheme="minorEastAsia"/>
          <w:color w:val="auto"/>
        </w:rPr>
        <w:t>情况</w:t>
      </w:r>
      <w:r>
        <w:rPr>
          <w:rFonts w:hint="default" w:ascii="Times New Roman" w:hAnsi="Times New Roman" w:cs="Times New Roman"/>
          <w:color w:val="auto"/>
          <w:szCs w:val="20"/>
        </w:rPr>
        <w:t>相对较好，实际运行过程中应严格执行。</w:t>
      </w:r>
    </w:p>
    <w:p>
      <w:pPr>
        <w:pageBreakBefore w:val="0"/>
        <w:kinsoku/>
        <w:wordWrap/>
        <w:topLinePunct w:val="0"/>
        <w:bidi w:val="0"/>
        <w:adjustRightInd w:val="0"/>
        <w:snapToGrid w:val="0"/>
        <w:ind w:firstLine="560"/>
        <w:rPr>
          <w:rFonts w:hint="eastAsia" w:cs="Times New Roman"/>
          <w:color w:val="auto"/>
          <w:lang w:eastAsia="zh-CN"/>
        </w:rPr>
      </w:pPr>
      <w:r>
        <w:rPr>
          <w:rFonts w:hint="eastAsia" w:cs="Times New Roman"/>
          <w:color w:val="auto"/>
          <w:lang w:eastAsia="zh-CN"/>
        </w:rPr>
        <w:t>（</w:t>
      </w:r>
      <w:r>
        <w:rPr>
          <w:rFonts w:hint="eastAsia" w:cs="Times New Roman"/>
          <w:color w:val="auto"/>
          <w:lang w:val="en-US" w:eastAsia="zh-CN"/>
        </w:rPr>
        <w:t>4</w:t>
      </w:r>
      <w:r>
        <w:rPr>
          <w:rFonts w:hint="eastAsia" w:cs="Times New Roman"/>
          <w:color w:val="auto"/>
          <w:lang w:eastAsia="zh-CN"/>
        </w:rPr>
        <w:t>）安全管理人员配备情况</w:t>
      </w:r>
    </w:p>
    <w:p>
      <w:pPr>
        <w:pageBreakBefore w:val="0"/>
        <w:kinsoku/>
        <w:wordWrap/>
        <w:topLinePunct w:val="0"/>
        <w:bidi w:val="0"/>
        <w:adjustRightInd w:val="0"/>
        <w:snapToGrid w:val="0"/>
        <w:ind w:firstLine="560"/>
        <w:rPr>
          <w:rFonts w:hint="default" w:ascii="Times New Roman" w:hAnsi="Times New Roman" w:cs="Times New Roman"/>
          <w:color w:val="auto"/>
          <w:szCs w:val="20"/>
        </w:rPr>
      </w:pPr>
      <w:r>
        <w:rPr>
          <w:rFonts w:hint="default" w:ascii="Times New Roman" w:hAnsi="Times New Roman" w:cs="Times New Roman"/>
          <w:color w:val="auto"/>
          <w:szCs w:val="20"/>
        </w:rPr>
        <w:t>该加油</w:t>
      </w:r>
      <w:r>
        <w:rPr>
          <w:rFonts w:hint="eastAsia" w:cs="Times New Roman"/>
          <w:color w:val="auto"/>
          <w:szCs w:val="20"/>
          <w:lang w:eastAsia="zh-CN"/>
        </w:rPr>
        <w:t>中心</w:t>
      </w:r>
      <w:r>
        <w:rPr>
          <w:rFonts w:hint="default" w:ascii="Times New Roman" w:hAnsi="Times New Roman" w:cs="Times New Roman"/>
          <w:color w:val="auto"/>
          <w:szCs w:val="20"/>
        </w:rPr>
        <w:t>主要负责人</w:t>
      </w:r>
      <w:r>
        <w:rPr>
          <w:rFonts w:hint="eastAsia" w:cs="Times New Roman"/>
          <w:color w:val="auto"/>
          <w:szCs w:val="20"/>
          <w:lang w:eastAsia="zh-CN"/>
        </w:rPr>
        <w:t>王凯，</w:t>
      </w:r>
      <w:r>
        <w:rPr>
          <w:rFonts w:hint="default" w:ascii="Times New Roman" w:hAnsi="Times New Roman" w:cs="Times New Roman"/>
          <w:color w:val="auto"/>
          <w:szCs w:val="20"/>
        </w:rPr>
        <w:t>配备</w:t>
      </w:r>
      <w:r>
        <w:rPr>
          <w:rFonts w:hint="eastAsia" w:cs="Times New Roman"/>
          <w:color w:val="auto"/>
          <w:szCs w:val="20"/>
          <w:lang w:val="en-US" w:eastAsia="zh-CN"/>
        </w:rPr>
        <w:t>2</w:t>
      </w:r>
      <w:r>
        <w:rPr>
          <w:rFonts w:hint="default" w:ascii="Times New Roman" w:hAnsi="Times New Roman" w:cs="Times New Roman"/>
          <w:color w:val="auto"/>
          <w:szCs w:val="20"/>
        </w:rPr>
        <w:t>名安全管理人员</w:t>
      </w:r>
      <w:r>
        <w:rPr>
          <w:rFonts w:hint="eastAsia" w:cs="Times New Roman"/>
          <w:color w:val="auto"/>
          <w:szCs w:val="20"/>
          <w:lang w:eastAsia="zh-CN"/>
        </w:rPr>
        <w:t>韩延方、许真真</w:t>
      </w:r>
      <w:r>
        <w:rPr>
          <w:rFonts w:hint="default" w:ascii="Times New Roman" w:hAnsi="Times New Roman" w:cs="Times New Roman"/>
          <w:color w:val="auto"/>
          <w:szCs w:val="20"/>
        </w:rPr>
        <w:t>，由</w:t>
      </w:r>
      <w:r>
        <w:rPr>
          <w:rFonts w:hint="default" w:ascii="Times New Roman" w:hAnsi="Times New Roman" w:cs="Times New Roman"/>
          <w:color w:val="auto"/>
          <w:szCs w:val="20"/>
          <w:lang w:eastAsia="zh-CN"/>
        </w:rPr>
        <w:t>东营市应急管理局</w:t>
      </w:r>
      <w:r>
        <w:rPr>
          <w:rFonts w:hint="eastAsia" w:cs="Times New Roman"/>
          <w:color w:val="auto"/>
          <w:szCs w:val="20"/>
          <w:lang w:eastAsia="zh-CN"/>
        </w:rPr>
        <w:t>（</w:t>
      </w:r>
      <w:r>
        <w:rPr>
          <w:rFonts w:hint="default" w:ascii="Times New Roman" w:hAnsi="Times New Roman" w:cs="Times New Roman"/>
          <w:color w:val="auto"/>
          <w:szCs w:val="20"/>
          <w:lang w:eastAsia="zh-CN"/>
        </w:rPr>
        <w:t>原</w:t>
      </w:r>
      <w:r>
        <w:rPr>
          <w:rFonts w:hint="default" w:ascii="Times New Roman" w:hAnsi="Times New Roman" w:cs="Times New Roman"/>
          <w:color w:val="auto"/>
          <w:szCs w:val="20"/>
        </w:rPr>
        <w:t>东营市安</w:t>
      </w:r>
      <w:r>
        <w:rPr>
          <w:rFonts w:hint="default" w:ascii="Times New Roman" w:hAnsi="Times New Roman" w:cs="Times New Roman"/>
          <w:color w:val="auto"/>
          <w:szCs w:val="20"/>
          <w:lang w:eastAsia="zh-CN"/>
        </w:rPr>
        <w:t>全生产监督管理局</w:t>
      </w:r>
      <w:r>
        <w:rPr>
          <w:rFonts w:hint="eastAsia" w:cs="Times New Roman"/>
          <w:color w:val="auto"/>
          <w:szCs w:val="20"/>
          <w:lang w:eastAsia="zh-CN"/>
        </w:rPr>
        <w:t>）</w:t>
      </w:r>
      <w:r>
        <w:rPr>
          <w:rFonts w:hint="default" w:ascii="Times New Roman" w:hAnsi="Times New Roman" w:cs="Times New Roman"/>
          <w:color w:val="auto"/>
          <w:szCs w:val="20"/>
        </w:rPr>
        <w:t>对其安全生产知识和管理能力进行考核，均取得安全生产知识和管理能力考核合格证。从业人员持证情况见表</w:t>
      </w:r>
      <w:r>
        <w:rPr>
          <w:rFonts w:hint="eastAsia" w:cs="Times New Roman"/>
          <w:color w:val="auto"/>
          <w:szCs w:val="20"/>
          <w:lang w:val="en-US" w:eastAsia="zh-CN"/>
        </w:rPr>
        <w:t>7.2</w:t>
      </w:r>
      <w:r>
        <w:rPr>
          <w:rFonts w:hint="default" w:ascii="Times New Roman" w:hAnsi="Times New Roman" w:cs="Times New Roman"/>
          <w:color w:val="auto"/>
          <w:szCs w:val="20"/>
          <w:lang w:val="en-US" w:eastAsia="zh-CN"/>
        </w:rPr>
        <w:t>-1</w:t>
      </w:r>
      <w:r>
        <w:rPr>
          <w:rFonts w:hint="default" w:ascii="Times New Roman" w:hAnsi="Times New Roman" w:cs="Times New Roman"/>
          <w:color w:val="auto"/>
          <w:szCs w:val="20"/>
        </w:rPr>
        <w:t>。</w:t>
      </w:r>
    </w:p>
    <w:p>
      <w:pPr>
        <w:pageBreakBefore w:val="0"/>
        <w:kinsoku/>
        <w:wordWrap/>
        <w:topLinePunct w:val="0"/>
        <w:bidi w:val="0"/>
        <w:adjustRightInd w:val="0"/>
        <w:snapToGrid w:val="0"/>
        <w:ind w:firstLine="482"/>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eastAsia" w:cs="Times New Roman"/>
          <w:b/>
          <w:color w:val="auto"/>
          <w:sz w:val="24"/>
          <w:szCs w:val="24"/>
          <w:lang w:val="en-US" w:eastAsia="zh-CN"/>
        </w:rPr>
        <w:t>7.2</w:t>
      </w:r>
      <w:r>
        <w:rPr>
          <w:rFonts w:hint="default" w:ascii="Times New Roman" w:hAnsi="Times New Roman" w:cs="Times New Roman"/>
          <w:b/>
          <w:color w:val="auto"/>
          <w:sz w:val="24"/>
          <w:szCs w:val="24"/>
        </w:rPr>
        <w:t>-1 安全管理人员一览表</w:t>
      </w:r>
    </w:p>
    <w:tbl>
      <w:tblPr>
        <w:tblStyle w:val="28"/>
        <w:tblW w:w="889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Layout w:type="fixed"/>
        <w:tblCellMar>
          <w:top w:w="0" w:type="dxa"/>
          <w:left w:w="108" w:type="dxa"/>
          <w:bottom w:w="0" w:type="dxa"/>
          <w:right w:w="108" w:type="dxa"/>
        </w:tblCellMar>
      </w:tblPr>
      <w:tblGrid>
        <w:gridCol w:w="678"/>
        <w:gridCol w:w="875"/>
        <w:gridCol w:w="1981"/>
        <w:gridCol w:w="2250"/>
        <w:gridCol w:w="1298"/>
        <w:gridCol w:w="1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CellMar>
            <w:top w:w="0" w:type="dxa"/>
            <w:left w:w="108" w:type="dxa"/>
            <w:bottom w:w="0" w:type="dxa"/>
            <w:right w:w="108" w:type="dxa"/>
          </w:tblCellMar>
        </w:tblPrEx>
        <w:trPr>
          <w:trHeight w:val="423" w:hRule="atLeast"/>
          <w:tblHeader/>
          <w:jc w:val="center"/>
        </w:trPr>
        <w:tc>
          <w:tcPr>
            <w:tcW w:w="67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875"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姓名</w:t>
            </w:r>
          </w:p>
        </w:tc>
        <w:tc>
          <w:tcPr>
            <w:tcW w:w="198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资格类型</w:t>
            </w:r>
          </w:p>
        </w:tc>
        <w:tc>
          <w:tcPr>
            <w:tcW w:w="2250"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证书编号</w:t>
            </w:r>
          </w:p>
        </w:tc>
        <w:tc>
          <w:tcPr>
            <w:tcW w:w="129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有效期至</w:t>
            </w:r>
          </w:p>
        </w:tc>
        <w:tc>
          <w:tcPr>
            <w:tcW w:w="1817"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lang w:eastAsia="zh-CN"/>
              </w:rPr>
              <w:t>发证机关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CellMar>
            <w:top w:w="0" w:type="dxa"/>
            <w:left w:w="108" w:type="dxa"/>
            <w:bottom w:w="0" w:type="dxa"/>
            <w:right w:w="108" w:type="dxa"/>
          </w:tblCellMar>
        </w:tblPrEx>
        <w:trPr>
          <w:trHeight w:val="408" w:hRule="atLeast"/>
          <w:jc w:val="center"/>
        </w:trPr>
        <w:tc>
          <w:tcPr>
            <w:tcW w:w="67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875" w:type="dxa"/>
            <w:vAlign w:val="center"/>
          </w:tcPr>
          <w:p>
            <w:pPr>
              <w:pageBreakBefore w:val="0"/>
              <w:kinsoku/>
              <w:wordWrap/>
              <w:topLinePunct w:val="0"/>
              <w:bidi w:val="0"/>
              <w:adjustRightInd w:val="0"/>
              <w:snapToGrid w:val="0"/>
              <w:spacing w:line="240" w:lineRule="auto"/>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王凯</w:t>
            </w:r>
          </w:p>
        </w:tc>
        <w:tc>
          <w:tcPr>
            <w:tcW w:w="198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主要负责人</w:t>
            </w:r>
          </w:p>
        </w:tc>
        <w:tc>
          <w:tcPr>
            <w:tcW w:w="2250"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370502198507286416</w:t>
            </w:r>
          </w:p>
        </w:tc>
        <w:tc>
          <w:tcPr>
            <w:tcW w:w="129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202</w:t>
            </w:r>
            <w:r>
              <w:rPr>
                <w:rFonts w:hint="eastAsia" w:cs="Times New Roman" w:eastAsiaTheme="minorEastAsia"/>
                <w:color w:val="auto"/>
                <w:sz w:val="21"/>
                <w:szCs w:val="21"/>
                <w:lang w:val="en-US" w:eastAsia="zh-CN"/>
              </w:rPr>
              <w:t>1.12.25</w:t>
            </w:r>
          </w:p>
        </w:tc>
        <w:tc>
          <w:tcPr>
            <w:tcW w:w="1817" w:type="dxa"/>
            <w:vMerge w:val="restart"/>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东营市应急管理局</w:t>
            </w:r>
            <w:r>
              <w:rPr>
                <w:rFonts w:hint="eastAsia"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lang w:eastAsia="zh-CN"/>
              </w:rPr>
              <w:t>原东营市安全生产监督管理局</w:t>
            </w:r>
            <w:r>
              <w:rPr>
                <w:rFonts w:hint="eastAsia" w:cs="Times New Roman" w:eastAsiaTheme="minorEastAsia"/>
                <w:color w:val="auto"/>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CellMar>
            <w:top w:w="0" w:type="dxa"/>
            <w:left w:w="108" w:type="dxa"/>
            <w:bottom w:w="0" w:type="dxa"/>
            <w:right w:w="108" w:type="dxa"/>
          </w:tblCellMar>
        </w:tblPrEx>
        <w:trPr>
          <w:trHeight w:val="408" w:hRule="atLeast"/>
          <w:jc w:val="center"/>
        </w:trPr>
        <w:tc>
          <w:tcPr>
            <w:tcW w:w="67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875"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韩延方</w:t>
            </w:r>
          </w:p>
        </w:tc>
        <w:tc>
          <w:tcPr>
            <w:tcW w:w="1981" w:type="dxa"/>
            <w:vAlign w:val="center"/>
          </w:tcPr>
          <w:p>
            <w:pPr>
              <w:pageBreakBefore w:val="0"/>
              <w:kinsoku/>
              <w:wordWrap/>
              <w:topLinePunct w:val="0"/>
              <w:bidi w:val="0"/>
              <w:adjustRightInd w:val="0"/>
              <w:snapToGrid w:val="0"/>
              <w:spacing w:line="240" w:lineRule="auto"/>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安全生产管理人员</w:t>
            </w:r>
          </w:p>
        </w:tc>
        <w:tc>
          <w:tcPr>
            <w:tcW w:w="2250"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370521198208201629</w:t>
            </w:r>
          </w:p>
        </w:tc>
        <w:tc>
          <w:tcPr>
            <w:tcW w:w="129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2021.04.24</w:t>
            </w:r>
          </w:p>
        </w:tc>
        <w:tc>
          <w:tcPr>
            <w:tcW w:w="1817" w:type="dxa"/>
            <w:vMerge w:val="continue"/>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4" w:space="0"/>
          </w:tblBorders>
          <w:tblCellMar>
            <w:top w:w="0" w:type="dxa"/>
            <w:left w:w="108" w:type="dxa"/>
            <w:bottom w:w="0" w:type="dxa"/>
            <w:right w:w="108" w:type="dxa"/>
          </w:tblCellMar>
        </w:tblPrEx>
        <w:trPr>
          <w:trHeight w:val="438" w:hRule="atLeast"/>
          <w:jc w:val="center"/>
        </w:trPr>
        <w:tc>
          <w:tcPr>
            <w:tcW w:w="67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875"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许真真</w:t>
            </w:r>
          </w:p>
        </w:tc>
        <w:tc>
          <w:tcPr>
            <w:tcW w:w="1981" w:type="dxa"/>
            <w:vAlign w:val="center"/>
          </w:tcPr>
          <w:p>
            <w:pPr>
              <w:pageBreakBefore w:val="0"/>
              <w:kinsoku/>
              <w:wordWrap/>
              <w:topLinePunct w:val="0"/>
              <w:bidi w:val="0"/>
              <w:adjustRightInd w:val="0"/>
              <w:snapToGrid w:val="0"/>
              <w:spacing w:line="240" w:lineRule="auto"/>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安全生产管理人员</w:t>
            </w:r>
          </w:p>
        </w:tc>
        <w:tc>
          <w:tcPr>
            <w:tcW w:w="2250"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370521198408261220</w:t>
            </w:r>
          </w:p>
        </w:tc>
        <w:tc>
          <w:tcPr>
            <w:tcW w:w="129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2021.04.24</w:t>
            </w:r>
          </w:p>
        </w:tc>
        <w:tc>
          <w:tcPr>
            <w:tcW w:w="1817" w:type="dxa"/>
            <w:vMerge w:val="continue"/>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p>
        </w:tc>
      </w:tr>
    </w:tbl>
    <w:p>
      <w:pPr>
        <w:pageBreakBefore w:val="0"/>
        <w:kinsoku/>
        <w:wordWrap/>
        <w:topLinePunct w:val="0"/>
        <w:bidi w:val="0"/>
        <w:adjustRightInd w:val="0"/>
        <w:snapToGrid w:val="0"/>
        <w:rPr>
          <w:rFonts w:hint="default" w:ascii="Times New Roman" w:hAnsi="Times New Roman" w:cs="Times New Roman"/>
          <w:color w:val="auto"/>
          <w:sz w:val="10"/>
          <w:szCs w:val="10"/>
        </w:rPr>
      </w:pPr>
    </w:p>
    <w:p>
      <w:pPr>
        <w:pageBreakBefore w:val="0"/>
        <w:kinsoku/>
        <w:wordWrap/>
        <w:topLinePunct w:val="0"/>
        <w:bidi w:val="0"/>
        <w:adjustRightInd w:val="0"/>
        <w:snapToGrid w:val="0"/>
        <w:ind w:firstLine="560"/>
        <w:rPr>
          <w:rFonts w:hint="default" w:ascii="Times New Roman" w:hAnsi="Times New Roman" w:cs="Times New Roman"/>
          <w:color w:val="auto"/>
          <w:szCs w:val="28"/>
          <w:lang w:val="zh-CN"/>
        </w:rPr>
      </w:pPr>
      <w:r>
        <w:rPr>
          <w:rFonts w:hint="default" w:ascii="Times New Roman" w:hAnsi="Times New Roman" w:cs="Times New Roman"/>
          <w:color w:val="auto"/>
          <w:szCs w:val="28"/>
        </w:rPr>
        <w:t>综上，</w:t>
      </w:r>
      <w:r>
        <w:rPr>
          <w:rFonts w:hint="eastAsia" w:cs="Times New Roman"/>
          <w:color w:val="auto"/>
          <w:szCs w:val="28"/>
          <w:lang w:eastAsia="zh-CN"/>
        </w:rPr>
        <w:t>山东万通集团垦利金顺油品有限公司第六加油中心扩容项目</w:t>
      </w:r>
      <w:r>
        <w:rPr>
          <w:rFonts w:hint="default" w:ascii="Times New Roman" w:hAnsi="Times New Roman" w:cs="Times New Roman"/>
          <w:color w:val="auto"/>
          <w:szCs w:val="28"/>
        </w:rPr>
        <w:t>主要负责人和安全管理人员安全生产知识和管理能力，培训持证情况符合相关要求。</w:t>
      </w:r>
    </w:p>
    <w:p>
      <w:pPr>
        <w:keepNext w:val="0"/>
        <w:keepLines w:val="0"/>
        <w:pageBreakBefore w:val="0"/>
        <w:widowControl w:val="0"/>
        <w:kinsoku/>
        <w:wordWrap/>
        <w:overflowPunct/>
        <w:topLinePunct w:val="0"/>
        <w:autoSpaceDE/>
        <w:autoSpaceDN/>
        <w:bidi w:val="0"/>
        <w:adjustRightInd w:val="0"/>
        <w:snapToGrid w:val="0"/>
        <w:ind w:firstLine="560" w:firstLineChars="200"/>
        <w:jc w:val="both"/>
        <w:textAlignment w:val="auto"/>
        <w:outlineLvl w:val="9"/>
        <w:rPr>
          <w:rFonts w:hint="eastAsia" w:ascii="Times New Roman" w:hAnsi="Times New Roman" w:cs="Times New Roman" w:eastAsiaTheme="minorEastAsia"/>
          <w:b w:val="0"/>
          <w:bCs w:val="0"/>
          <w:color w:val="auto"/>
          <w:kern w:val="2"/>
          <w:sz w:val="28"/>
          <w:szCs w:val="28"/>
          <w:lang w:val="en-US" w:eastAsia="zh-CN" w:bidi="ar-SA"/>
        </w:rPr>
      </w:pPr>
      <w:r>
        <w:rPr>
          <w:rFonts w:hint="eastAsia" w:ascii="Times New Roman" w:hAnsi="Times New Roman" w:cs="Times New Roman" w:eastAsiaTheme="minorEastAsia"/>
          <w:b w:val="0"/>
          <w:bCs w:val="0"/>
          <w:color w:val="auto"/>
          <w:kern w:val="2"/>
          <w:sz w:val="28"/>
          <w:szCs w:val="28"/>
          <w:lang w:val="en-US" w:eastAsia="zh-CN" w:bidi="ar-SA"/>
        </w:rPr>
        <w:t>（</w:t>
      </w:r>
      <w:r>
        <w:rPr>
          <w:rFonts w:hint="eastAsia" w:cs="Times New Roman" w:eastAsiaTheme="minorEastAsia"/>
          <w:b w:val="0"/>
          <w:bCs w:val="0"/>
          <w:color w:val="auto"/>
          <w:kern w:val="2"/>
          <w:sz w:val="28"/>
          <w:szCs w:val="28"/>
          <w:lang w:val="en-US" w:eastAsia="zh-CN" w:bidi="ar-SA"/>
        </w:rPr>
        <w:t>5</w:t>
      </w:r>
      <w:r>
        <w:rPr>
          <w:rFonts w:hint="eastAsia" w:ascii="Times New Roman" w:hAnsi="Times New Roman" w:cs="Times New Roman" w:eastAsiaTheme="minorEastAsia"/>
          <w:b w:val="0"/>
          <w:bCs w:val="0"/>
          <w:color w:val="auto"/>
          <w:kern w:val="2"/>
          <w:sz w:val="28"/>
          <w:szCs w:val="28"/>
          <w:lang w:val="en-US" w:eastAsia="zh-CN" w:bidi="ar-SA"/>
        </w:rPr>
        <w:t>）</w:t>
      </w:r>
      <w:r>
        <w:rPr>
          <w:rFonts w:hint="eastAsia" w:cs="Times New Roman" w:eastAsiaTheme="minorEastAsia"/>
          <w:b w:val="0"/>
          <w:bCs w:val="0"/>
          <w:color w:val="auto"/>
          <w:kern w:val="2"/>
          <w:sz w:val="28"/>
          <w:szCs w:val="28"/>
          <w:lang w:val="en-US" w:eastAsia="zh-CN" w:bidi="ar-SA"/>
        </w:rPr>
        <w:t>人员培训情况</w:t>
      </w:r>
    </w:p>
    <w:p>
      <w:pPr>
        <w:keepNext w:val="0"/>
        <w:keepLines w:val="0"/>
        <w:pageBreakBefore w:val="0"/>
        <w:widowControl w:val="0"/>
        <w:kinsoku/>
        <w:wordWrap/>
        <w:overflowPunct/>
        <w:topLinePunct w:val="0"/>
        <w:autoSpaceDE/>
        <w:autoSpaceDN/>
        <w:bidi w:val="0"/>
        <w:adjustRightInd w:val="0"/>
        <w:snapToGrid w:val="0"/>
        <w:ind w:firstLine="560" w:firstLineChars="200"/>
        <w:jc w:val="both"/>
        <w:textAlignment w:val="auto"/>
        <w:outlineLvl w:val="9"/>
        <w:rPr>
          <w:rFonts w:hint="eastAsia" w:cs="Times New Roman"/>
          <w:color w:val="auto"/>
          <w:szCs w:val="20"/>
          <w:lang w:eastAsia="zh-CN"/>
        </w:rPr>
      </w:pPr>
      <w:r>
        <w:rPr>
          <w:rFonts w:hint="eastAsia" w:cs="Times New Roman" w:eastAsiaTheme="minorEastAsia"/>
          <w:b w:val="0"/>
          <w:bCs w:val="0"/>
          <w:color w:val="auto"/>
          <w:kern w:val="2"/>
          <w:sz w:val="28"/>
          <w:szCs w:val="28"/>
          <w:lang w:val="en-US" w:eastAsia="zh-CN" w:bidi="ar-SA"/>
        </w:rPr>
        <w:t>该加油站定期对员工进行</w:t>
      </w:r>
      <w:r>
        <w:rPr>
          <w:rFonts w:hint="default" w:ascii="Times New Roman" w:hAnsi="Times New Roman" w:cs="Times New Roman"/>
          <w:color w:val="auto"/>
          <w:szCs w:val="20"/>
        </w:rPr>
        <w:t>安全教育及职业技能培训，所有员工培训合格后方能上岗作业</w:t>
      </w:r>
      <w:r>
        <w:rPr>
          <w:rFonts w:hint="eastAsia" w:cs="Times New Roman"/>
          <w:color w:val="auto"/>
          <w:szCs w:val="20"/>
          <w:lang w:eastAsia="zh-CN"/>
        </w:rPr>
        <w:t>。</w:t>
      </w:r>
    </w:p>
    <w:p>
      <w:pPr>
        <w:pageBreakBefore w:val="0"/>
        <w:kinsoku/>
        <w:wordWrap/>
        <w:topLinePunct w:val="0"/>
        <w:bidi w:val="0"/>
        <w:adjustRightInd w:val="0"/>
        <w:snapToGrid w:val="0"/>
        <w:ind w:firstLine="560"/>
        <w:rPr>
          <w:rFonts w:hint="eastAsia" w:ascii="Times New Roman" w:hAnsi="Times New Roman" w:cs="Times New Roman" w:eastAsiaTheme="minorEastAsia"/>
          <w:color w:val="auto"/>
          <w:szCs w:val="28"/>
          <w:lang w:eastAsia="zh-CN"/>
        </w:rPr>
      </w:pPr>
      <w:bookmarkStart w:id="93" w:name="_Toc365004241"/>
      <w:bookmarkStart w:id="94" w:name="_Toc343587719"/>
      <w:bookmarkStart w:id="95" w:name="_Toc336610770"/>
      <w:bookmarkStart w:id="96" w:name="_Toc334711546"/>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6</w:t>
      </w:r>
      <w:r>
        <w:rPr>
          <w:rFonts w:hint="eastAsia" w:cs="Times New Roman" w:eastAsiaTheme="minorEastAsia"/>
          <w:color w:val="auto"/>
          <w:szCs w:val="28"/>
          <w:lang w:eastAsia="zh-CN"/>
        </w:rPr>
        <w:t>）工伤保险</w:t>
      </w:r>
    </w:p>
    <w:p>
      <w:pPr>
        <w:pageBreakBefore w:val="0"/>
        <w:kinsoku/>
        <w:wordWrap/>
        <w:topLinePunct w:val="0"/>
        <w:bidi w:val="0"/>
        <w:adjustRightInd w:val="0"/>
        <w:snapToGrid w:val="0"/>
        <w:ind w:firstLine="560"/>
        <w:rPr>
          <w:rFonts w:hint="eastAsia" w:cs="Times New Roman" w:eastAsiaTheme="minorEastAsia"/>
          <w:color w:val="auto"/>
          <w:szCs w:val="28"/>
          <w:lang w:eastAsia="zh-CN"/>
        </w:rPr>
      </w:pPr>
      <w:r>
        <w:rPr>
          <w:rFonts w:hint="eastAsia" w:cs="Times New Roman" w:eastAsiaTheme="minorEastAsia"/>
          <w:color w:val="auto"/>
          <w:szCs w:val="28"/>
          <w:lang w:eastAsia="zh-CN"/>
        </w:rPr>
        <w:t>山东万通集团垦利金顺油品有限公司定期为员工缴纳安全生产责任保险以及工伤保险。</w:t>
      </w:r>
    </w:p>
    <w:p>
      <w:pPr>
        <w:pageBreakBefore w:val="0"/>
        <w:kinsoku/>
        <w:wordWrap/>
        <w:topLinePunct w:val="0"/>
        <w:bidi w:val="0"/>
        <w:adjustRightInd w:val="0"/>
        <w:snapToGrid w:val="0"/>
        <w:ind w:firstLine="560"/>
        <w:rPr>
          <w:rFonts w:hint="eastAsia" w:cs="Times New Roman" w:eastAsiaTheme="minorEastAsia"/>
          <w:color w:val="auto"/>
          <w:szCs w:val="28"/>
          <w:lang w:eastAsia="zh-CN"/>
        </w:rPr>
      </w:pP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7</w:t>
      </w:r>
      <w:r>
        <w:rPr>
          <w:rFonts w:hint="eastAsia" w:cs="Times New Roman" w:eastAsiaTheme="minorEastAsia"/>
          <w:color w:val="auto"/>
          <w:szCs w:val="28"/>
          <w:lang w:eastAsia="zh-CN"/>
        </w:rPr>
        <w:t>）双体系建设情况</w:t>
      </w:r>
    </w:p>
    <w:p>
      <w:pPr>
        <w:pStyle w:val="86"/>
        <w:rPr>
          <w:rFonts w:hint="eastAsia" w:ascii="Times New Roman" w:hAnsi="Times New Roman" w:cs="Times New Roman" w:eastAsiaTheme="minorEastAsia"/>
          <w:color w:val="auto"/>
          <w:szCs w:val="28"/>
          <w:lang w:eastAsia="zh-CN"/>
        </w:rPr>
      </w:pPr>
      <w:r>
        <w:rPr>
          <w:rFonts w:hint="eastAsia"/>
          <w:lang w:val="en-US" w:eastAsia="zh-CN"/>
        </w:rPr>
        <w:t>该加油中心于2018年开始建设运行双重预防体系，并对员工进行培训，培训内容主要包括风险点、风险措施、隐患排查等，目前持续有效运行</w:t>
      </w:r>
      <w:r>
        <w:rPr>
          <w:rFonts w:hint="eastAsia"/>
          <w:lang w:eastAsia="zh-CN"/>
        </w:rPr>
        <w:t>。</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7.2.</w:t>
      </w:r>
      <w:r>
        <w:rPr>
          <w:rFonts w:hint="eastAsia" w:cs="Times New Roman"/>
          <w:color w:val="auto"/>
          <w:lang w:val="en-US" w:eastAsia="zh-CN"/>
        </w:rPr>
        <w:t>2</w:t>
      </w:r>
      <w:r>
        <w:rPr>
          <w:rFonts w:hint="default" w:ascii="Times New Roman" w:hAnsi="Times New Roman" w:cs="Times New Roman"/>
          <w:color w:val="auto"/>
        </w:rPr>
        <w:t>安全生产投入情况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auto"/>
          <w:lang w:eastAsia="zh-CN"/>
        </w:rPr>
      </w:pPr>
      <w:r>
        <w:rPr>
          <w:rFonts w:hint="default" w:ascii="Times New Roman" w:hAnsi="Times New Roman" w:cs="Times New Roman"/>
          <w:color w:val="auto"/>
          <w:sz w:val="28"/>
        </w:rPr>
        <w:t>企业安全投入主要包括满足安全生产条件所必需的安全投入、安全技术措施的制定和安全设施的配备。安全设施投资无保障、安全投入不足，会造成安全生产事故或造成事故后不能及时救治，致使事故损失扩大或伤害加重。安全生产投入情况见表</w:t>
      </w:r>
      <w:r>
        <w:rPr>
          <w:rFonts w:hint="default" w:ascii="Times New Roman" w:hAnsi="Times New Roman" w:cs="Times New Roman"/>
          <w:color w:val="auto"/>
          <w:sz w:val="28"/>
          <w:lang w:val="en-US" w:eastAsia="zh-CN"/>
        </w:rPr>
        <w:t>7.2-2</w:t>
      </w:r>
      <w:r>
        <w:rPr>
          <w:rFonts w:hint="eastAsia" w:cs="Times New Roman"/>
          <w:color w:val="auto"/>
          <w:sz w:val="28"/>
          <w:lang w:val="en-US" w:eastAsia="zh-CN"/>
        </w:rPr>
        <w:t>。</w:t>
      </w:r>
    </w:p>
    <w:p>
      <w:pPr>
        <w:ind w:firstLine="482"/>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表7.2-2安全投入费用一览表</w:t>
      </w:r>
    </w:p>
    <w:tbl>
      <w:tblPr>
        <w:tblStyle w:val="28"/>
        <w:tblW w:w="911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86"/>
        <w:gridCol w:w="3898"/>
        <w:gridCol w:w="2141"/>
        <w:gridCol w:w="199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资金（万元）</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检测设施、报警设施</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设备安全防护设施</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作业场所防护设施</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0.8</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消防系统</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1.1</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安全警示标志</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0.5</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4"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劳动防护用品和装备</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0.9</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应急救援体系</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0.6</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安全教育培训</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r>
              <w:rPr>
                <w:rFonts w:hint="default" w:ascii="Times New Roman" w:hAnsi="Times New Roman" w:cs="Times New Roman"/>
                <w:color w:val="auto"/>
                <w:sz w:val="21"/>
                <w:szCs w:val="21"/>
                <w:lang w:val="en-US" w:eastAsia="zh-CN"/>
              </w:rPr>
              <w:t>2</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86"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c>
          <w:tcPr>
            <w:tcW w:w="3898"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安全检查、检测、评价</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984" w:type="dxa"/>
            <w:gridSpan w:val="2"/>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总计</w:t>
            </w:r>
          </w:p>
        </w:tc>
        <w:tc>
          <w:tcPr>
            <w:tcW w:w="2141" w:type="dxa"/>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fldChar w:fldCharType="begin"/>
            </w:r>
            <w:r>
              <w:rPr>
                <w:rFonts w:hint="default" w:ascii="Times New Roman" w:hAnsi="Times New Roman" w:cs="Times New Roman"/>
                <w:color w:val="auto"/>
                <w:sz w:val="21"/>
                <w:szCs w:val="21"/>
              </w:rPr>
              <w:instrText xml:space="preserve"> = sum(C2:C9) \* MERGEFORMAT </w:instrText>
            </w:r>
            <w:r>
              <w:rPr>
                <w:rFonts w:hint="default" w:ascii="Times New Roman" w:hAnsi="Times New Roman" w:cs="Times New Roman"/>
                <w:color w:val="auto"/>
                <w:sz w:val="21"/>
                <w:szCs w:val="21"/>
              </w:rPr>
              <w:fldChar w:fldCharType="separate"/>
            </w:r>
            <w:r>
              <w:rPr>
                <w:rFonts w:hint="default" w:ascii="Times New Roman" w:hAnsi="Times New Roman" w:cs="Times New Roman"/>
                <w:color w:val="auto"/>
                <w:sz w:val="21"/>
                <w:szCs w:val="21"/>
              </w:rPr>
              <w:t>16.1</w:t>
            </w:r>
            <w:r>
              <w:rPr>
                <w:rFonts w:hint="default" w:ascii="Times New Roman" w:hAnsi="Times New Roman" w:cs="Times New Roman"/>
                <w:color w:val="auto"/>
                <w:sz w:val="21"/>
                <w:szCs w:val="21"/>
              </w:rPr>
              <w:fldChar w:fldCharType="end"/>
            </w:r>
          </w:p>
        </w:tc>
        <w:tc>
          <w:tcPr>
            <w:tcW w:w="1992" w:type="dxa"/>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rPr>
            </w:pPr>
          </w:p>
        </w:tc>
      </w:tr>
    </w:tbl>
    <w:p>
      <w:pPr>
        <w:adjustRightInd w:val="0"/>
        <w:snapToGrid w:val="0"/>
        <w:rPr>
          <w:rFonts w:hint="default" w:ascii="Times New Roman" w:hAnsi="Times New Roman" w:cs="Times New Roman" w:eastAsiaTheme="minorEastAsia"/>
          <w:color w:val="auto"/>
          <w:sz w:val="10"/>
          <w:szCs w:val="10"/>
        </w:rPr>
      </w:pPr>
    </w:p>
    <w:p>
      <w:pPr>
        <w:tabs>
          <w:tab w:val="left" w:pos="0"/>
        </w:tabs>
        <w:snapToGrid w:val="0"/>
        <w:spacing w:line="360" w:lineRule="auto"/>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根据企业提供</w:t>
      </w:r>
      <w:r>
        <w:rPr>
          <w:rFonts w:hint="default" w:ascii="Times New Roman" w:hAnsi="Times New Roman" w:cs="Times New Roman"/>
          <w:color w:val="auto"/>
          <w:sz w:val="28"/>
          <w:highlight w:val="none"/>
        </w:rPr>
        <w:t>的资料，企业安全投入费用共计</w:t>
      </w:r>
      <w:r>
        <w:rPr>
          <w:rFonts w:hint="eastAsia" w:cs="Times New Roman"/>
          <w:color w:val="auto"/>
          <w:sz w:val="28"/>
          <w:highlight w:val="none"/>
          <w:lang w:val="en-US" w:eastAsia="zh-CN"/>
        </w:rPr>
        <w:t>16.1</w:t>
      </w:r>
      <w:r>
        <w:rPr>
          <w:rFonts w:hint="default" w:ascii="Times New Roman" w:hAnsi="Times New Roman" w:cs="Times New Roman"/>
          <w:color w:val="auto"/>
          <w:sz w:val="28"/>
          <w:highlight w:val="none"/>
        </w:rPr>
        <w:t>万元</w:t>
      </w:r>
      <w:r>
        <w:rPr>
          <w:rFonts w:hint="default" w:ascii="Times New Roman" w:hAnsi="Times New Roman" w:cs="Times New Roman"/>
          <w:color w:val="auto"/>
          <w:sz w:val="28"/>
        </w:rPr>
        <w:t>，用于该项目的安全设施投入，主要包括预防事故设施、控制事故设施、减少与消除事故影响设施等。该项目安全投入情况符合</w:t>
      </w:r>
      <w:r>
        <w:rPr>
          <w:rFonts w:hint="default" w:ascii="Times New Roman" w:hAnsi="Times New Roman" w:cs="Times New Roman" w:eastAsiaTheme="minorEastAsia"/>
          <w:color w:val="auto"/>
          <w:szCs w:val="28"/>
        </w:rPr>
        <w:t>《关于印发〈企业安全生产费用提取和使用管理办法〉的通知》（财企[2012]16号）</w:t>
      </w:r>
      <w:r>
        <w:rPr>
          <w:rFonts w:hint="eastAsia" w:cs="Times New Roman" w:eastAsiaTheme="minorEastAsia"/>
          <w:color w:val="auto"/>
          <w:szCs w:val="28"/>
          <w:lang w:eastAsia="zh-CN"/>
        </w:rPr>
        <w:t>等</w:t>
      </w:r>
      <w:r>
        <w:rPr>
          <w:rFonts w:hint="default" w:ascii="Times New Roman" w:hAnsi="Times New Roman" w:cs="Times New Roman"/>
          <w:color w:val="auto"/>
          <w:sz w:val="28"/>
        </w:rPr>
        <w:t>要求。</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7.2.</w:t>
      </w:r>
      <w:r>
        <w:rPr>
          <w:rFonts w:hint="eastAsia" w:cs="Times New Roman"/>
          <w:color w:val="auto"/>
          <w:lang w:val="en-US" w:eastAsia="zh-CN"/>
        </w:rPr>
        <w:t>3</w:t>
      </w:r>
      <w:r>
        <w:rPr>
          <w:rFonts w:hint="default" w:ascii="Times New Roman" w:hAnsi="Times New Roman" w:cs="Times New Roman"/>
          <w:color w:val="auto"/>
        </w:rPr>
        <w:t>安全生产检查情况</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公司制定有隐患排查治理制度，规定加油站定期召开安全会议，进行安全检查，在检查中发现问题及时进行隐患治理工作并存有安全会议台账、安全检查台帐等。</w:t>
      </w:r>
    </w:p>
    <w:p>
      <w:pPr>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设备设施在正常运行中，工作人员进行定点巡回检查，发现异常可及时作出判断和处理。</w:t>
      </w:r>
    </w:p>
    <w:p>
      <w:pPr>
        <w:pStyle w:val="5"/>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7.2.</w:t>
      </w:r>
      <w:r>
        <w:rPr>
          <w:rFonts w:hint="eastAsia" w:cs="Times New Roman"/>
          <w:color w:val="auto"/>
          <w:lang w:val="en-US" w:eastAsia="zh-CN"/>
        </w:rPr>
        <w:t>4</w:t>
      </w:r>
      <w:r>
        <w:rPr>
          <w:rFonts w:hint="default" w:ascii="Times New Roman" w:hAnsi="Times New Roman" w:cs="Times New Roman"/>
          <w:color w:val="auto"/>
        </w:rPr>
        <w:t>从业人员劳动防护用品的配备及其检修、维护和法定检验、检测情况</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劳动防护用品直接关系到生产经营单位从业人员的人身安全和劳动保护，对劳动防护用品的检测检验非常重要。该公司根据本次验收评价项目的特点及物质的特性按照相关要求配备了</w:t>
      </w:r>
      <w:r>
        <w:rPr>
          <w:rFonts w:hint="eastAsia" w:cs="Times New Roman" w:eastAsiaTheme="minorEastAsia"/>
          <w:color w:val="auto"/>
          <w:szCs w:val="28"/>
          <w:lang w:eastAsia="zh-CN"/>
        </w:rPr>
        <w:t>工</w:t>
      </w:r>
      <w:r>
        <w:rPr>
          <w:rFonts w:hint="default" w:ascii="Times New Roman" w:hAnsi="Times New Roman" w:cs="Times New Roman" w:eastAsiaTheme="minorEastAsia"/>
          <w:color w:val="auto"/>
          <w:szCs w:val="28"/>
        </w:rPr>
        <w:t>服、劳保手套、</w:t>
      </w:r>
      <w:r>
        <w:rPr>
          <w:rFonts w:hint="eastAsia" w:cs="Times New Roman" w:eastAsiaTheme="minorEastAsia"/>
          <w:color w:val="auto"/>
          <w:szCs w:val="28"/>
          <w:lang w:eastAsia="zh-CN"/>
        </w:rPr>
        <w:t>口罩</w:t>
      </w:r>
      <w:r>
        <w:rPr>
          <w:rFonts w:hint="default" w:ascii="Times New Roman" w:hAnsi="Times New Roman" w:cs="Times New Roman" w:eastAsiaTheme="minorEastAsia"/>
          <w:color w:val="auto"/>
          <w:szCs w:val="28"/>
        </w:rPr>
        <w:t>等必要的劳动防护用品，</w:t>
      </w:r>
      <w:r>
        <w:rPr>
          <w:rFonts w:hint="eastAsia" w:cs="Times New Roman" w:eastAsiaTheme="minorEastAsia"/>
          <w:color w:val="auto"/>
          <w:szCs w:val="28"/>
          <w:lang w:val="en-US" w:eastAsia="zh-CN"/>
        </w:rPr>
        <w:t>详见附件劳动防护用品发放记录，配备标准基本符合《山东省劳动防护用品配备标准》（DB37/1922-2011）的要求。</w:t>
      </w:r>
      <w:r>
        <w:rPr>
          <w:rFonts w:hint="default" w:ascii="Times New Roman" w:hAnsi="Times New Roman" w:cs="Times New Roman" w:eastAsiaTheme="minorEastAsia"/>
          <w:color w:val="auto"/>
          <w:szCs w:val="28"/>
        </w:rPr>
        <w:t>采购的劳动防护用品均从正规生产厂家购买，购买的劳动防护用品经本单位的安全生产技术部门或者管理人员检查验收。并对涉及的劳动防护用品进行了维护，目前均处于良好状态。企业应对需要定期进行法定检验、检测的劳动防护用品进行相关的检测。</w:t>
      </w:r>
    </w:p>
    <w:p>
      <w:pPr>
        <w:pStyle w:val="4"/>
        <w:adjustRightInd w:val="0"/>
        <w:snapToGrid w:val="0"/>
        <w:spacing w:before="93" w:after="93"/>
        <w:rPr>
          <w:rFonts w:hint="default" w:ascii="Times New Roman" w:hAnsi="Times New Roman" w:eastAsia="宋体" w:cs="Times New Roman"/>
          <w:b/>
          <w:bCs w:val="0"/>
          <w:color w:val="auto"/>
          <w:sz w:val="28"/>
          <w:szCs w:val="28"/>
        </w:rPr>
      </w:pPr>
      <w:bookmarkStart w:id="97" w:name="_Toc3149"/>
      <w:bookmarkStart w:id="98" w:name="_Toc496775868"/>
      <w:bookmarkStart w:id="99" w:name="_Toc587"/>
      <w:r>
        <w:rPr>
          <w:rFonts w:hint="default" w:ascii="Times New Roman" w:hAnsi="Times New Roman" w:eastAsia="宋体" w:cs="Times New Roman"/>
          <w:b/>
          <w:bCs w:val="0"/>
          <w:color w:val="auto"/>
          <w:sz w:val="28"/>
          <w:szCs w:val="28"/>
        </w:rPr>
        <w:t>7.3 技术、工艺情况</w:t>
      </w:r>
      <w:bookmarkEnd w:id="97"/>
      <w:bookmarkEnd w:id="98"/>
      <w:bookmarkEnd w:id="99"/>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该</w:t>
      </w:r>
      <w:r>
        <w:rPr>
          <w:rFonts w:hint="default" w:ascii="Times New Roman" w:hAnsi="Times New Roman" w:cs="Times New Roman" w:eastAsiaTheme="minorEastAsia"/>
          <w:color w:val="auto"/>
          <w:szCs w:val="28"/>
        </w:rPr>
        <w:t>项目改造后采用SF双层埋地储罐</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由钢制内罐和玻璃纤维外罐组成</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储存油品，采用合格定型的税控加油机为车辆加油。卸油、油品储存和加油工艺为国内通用工艺，技术成熟可靠。</w:t>
      </w:r>
    </w:p>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eastAsia="宋体" w:cs="Times New Roman"/>
          <w:b/>
          <w:bCs w:val="0"/>
          <w:color w:val="auto"/>
          <w:sz w:val="28"/>
          <w:szCs w:val="28"/>
        </w:rPr>
      </w:pPr>
      <w:bookmarkStart w:id="100" w:name="_Toc553"/>
      <w:bookmarkStart w:id="101" w:name="_Toc496775869"/>
      <w:bookmarkStart w:id="102" w:name="_Toc5937"/>
      <w:r>
        <w:rPr>
          <w:rFonts w:hint="default" w:ascii="Times New Roman" w:hAnsi="Times New Roman" w:eastAsia="宋体" w:cs="Times New Roman"/>
          <w:b/>
          <w:bCs w:val="0"/>
          <w:color w:val="auto"/>
          <w:sz w:val="28"/>
          <w:szCs w:val="28"/>
        </w:rPr>
        <w:t>7.4建设项目装置、设施和设备</w:t>
      </w:r>
      <w:bookmarkEnd w:id="100"/>
      <w:bookmarkEnd w:id="101"/>
      <w:bookmarkEnd w:id="102"/>
    </w:p>
    <w:p>
      <w:pPr>
        <w:pStyle w:val="5"/>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7.4.1 装置、设备和设施的运行情况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改造后油罐采用埋地SF双层储罐，罐壁厚度、罐体材质及防腐、罐体固定及覆土厚度、罐体静电接地、罐体附件设置等均符合有关规定，能够保证安全运行。</w:t>
      </w:r>
    </w:p>
    <w:p>
      <w:pPr>
        <w:pStyle w:val="5"/>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7.4.2 装置、设备和设施的检修、维护情况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该加油站建立了</w:t>
      </w:r>
      <w:r>
        <w:rPr>
          <w:rFonts w:hint="default" w:ascii="Times New Roman" w:hAnsi="Times New Roman" w:cs="Times New Roman" w:eastAsiaTheme="minorEastAsia"/>
          <w:color w:val="auto"/>
          <w:szCs w:val="28"/>
          <w:lang w:eastAsia="zh-CN"/>
        </w:rPr>
        <w:t>相关检维修制度</w:t>
      </w:r>
      <w:r>
        <w:rPr>
          <w:rFonts w:hint="default" w:ascii="Times New Roman" w:hAnsi="Times New Roman" w:cs="Times New Roman" w:eastAsiaTheme="minorEastAsia"/>
          <w:color w:val="auto"/>
          <w:szCs w:val="28"/>
        </w:rPr>
        <w:t>，各岗位人员定期对安全设施进行维护保养。</w:t>
      </w:r>
    </w:p>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eastAsia="宋体" w:cs="Times New Roman"/>
          <w:b/>
          <w:bCs w:val="0"/>
          <w:color w:val="auto"/>
          <w:sz w:val="28"/>
          <w:szCs w:val="28"/>
        </w:rPr>
      </w:pPr>
      <w:bookmarkStart w:id="103" w:name="_Toc24172"/>
      <w:bookmarkStart w:id="104" w:name="_Toc31371"/>
      <w:bookmarkStart w:id="105" w:name="_Toc496775870"/>
      <w:r>
        <w:rPr>
          <w:rFonts w:hint="default" w:ascii="Times New Roman" w:hAnsi="Times New Roman" w:eastAsia="宋体" w:cs="Times New Roman"/>
          <w:b/>
          <w:bCs w:val="0"/>
          <w:color w:val="auto"/>
          <w:sz w:val="28"/>
          <w:szCs w:val="28"/>
        </w:rPr>
        <w:t>7.5物料储运、运输情况</w:t>
      </w:r>
      <w:bookmarkEnd w:id="103"/>
      <w:bookmarkEnd w:id="104"/>
      <w:bookmarkEnd w:id="105"/>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该项目汽油、柴油均储存在埋地油罐内，储存容量可以满足储存要求。物料委托有危险化学品运输资质的单位进行运输。</w:t>
      </w:r>
    </w:p>
    <w:p>
      <w:pPr>
        <w:pStyle w:val="4"/>
        <w:pageBreakBefore w:val="0"/>
        <w:widowControl w:val="0"/>
        <w:kinsoku/>
        <w:wordWrap/>
        <w:overflowPunct/>
        <w:topLinePunct w:val="0"/>
        <w:autoSpaceDE/>
        <w:autoSpaceDN/>
        <w:bidi w:val="0"/>
        <w:adjustRightInd w:val="0"/>
        <w:snapToGrid w:val="0"/>
        <w:spacing w:beforeLines="0" w:afterLines="0"/>
        <w:textAlignment w:val="auto"/>
        <w:rPr>
          <w:rFonts w:hint="default" w:ascii="Times New Roman" w:hAnsi="Times New Roman" w:eastAsia="宋体" w:cs="Times New Roman"/>
          <w:b/>
          <w:bCs w:val="0"/>
          <w:color w:val="auto"/>
          <w:sz w:val="28"/>
          <w:szCs w:val="28"/>
        </w:rPr>
      </w:pPr>
      <w:bookmarkStart w:id="106" w:name="_Toc9318"/>
      <w:bookmarkStart w:id="107" w:name="_Toc496775871"/>
      <w:bookmarkStart w:id="108" w:name="_Toc490640357"/>
      <w:bookmarkStart w:id="109" w:name="_Toc20726"/>
      <w:r>
        <w:rPr>
          <w:rFonts w:hint="default" w:ascii="Times New Roman" w:hAnsi="Times New Roman" w:eastAsia="宋体" w:cs="Times New Roman"/>
          <w:b/>
          <w:bCs w:val="0"/>
          <w:color w:val="auto"/>
          <w:sz w:val="28"/>
          <w:szCs w:val="28"/>
        </w:rPr>
        <w:t>7.6事故及应急管理情况</w:t>
      </w:r>
      <w:bookmarkEnd w:id="106"/>
      <w:bookmarkEnd w:id="107"/>
      <w:bookmarkEnd w:id="108"/>
      <w:bookmarkEnd w:id="109"/>
    </w:p>
    <w:p>
      <w:pPr>
        <w:pStyle w:val="5"/>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r>
        <w:rPr>
          <w:rFonts w:hint="default" w:ascii="Times New Roman" w:hAnsi="Times New Roman" w:cs="Times New Roman"/>
          <w:color w:val="auto"/>
        </w:rPr>
        <w:t>7.6.1可能发生的事故应急预案编制情况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该</w:t>
      </w:r>
      <w:r>
        <w:rPr>
          <w:rFonts w:hint="default" w:ascii="Times New Roman" w:hAnsi="Times New Roman" w:cs="Times New Roman" w:eastAsiaTheme="minorEastAsia"/>
          <w:color w:val="auto"/>
          <w:szCs w:val="28"/>
        </w:rPr>
        <w:t>公司编制有《</w:t>
      </w:r>
      <w:r>
        <w:rPr>
          <w:rFonts w:hint="eastAsia" w:cs="Times New Roman" w:eastAsiaTheme="minorEastAsia"/>
          <w:color w:val="auto"/>
          <w:szCs w:val="28"/>
          <w:lang w:eastAsia="zh-CN"/>
        </w:rPr>
        <w:t>山东万通集团垦利金顺油品有限公司五十八加油中心经营</w:t>
      </w:r>
      <w:r>
        <w:rPr>
          <w:rFonts w:hint="default" w:ascii="Times New Roman" w:hAnsi="Times New Roman" w:cs="Times New Roman" w:eastAsiaTheme="minorEastAsia"/>
          <w:color w:val="auto"/>
          <w:szCs w:val="28"/>
        </w:rPr>
        <w:t>安全事故应急预案》，预案中危险目标确定比较明确，应急救援组织组成合理，分工比较明确，企业救援队伍、报警联络以及事故应急处理程序符合要求。</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7.6.2事故应急救援组织的建立和人员的配备情况</w:t>
      </w:r>
    </w:p>
    <w:p>
      <w:pPr>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highlight w:val="none"/>
        </w:rPr>
      </w:pPr>
      <w:r>
        <w:rPr>
          <w:rFonts w:hint="eastAsia" w:cs="Times New Roman" w:eastAsiaTheme="minorEastAsia"/>
          <w:color w:val="auto"/>
          <w:szCs w:val="28"/>
          <w:lang w:eastAsia="zh-CN"/>
        </w:rPr>
        <w:t>该加油中心</w:t>
      </w:r>
      <w:r>
        <w:rPr>
          <w:rFonts w:hint="default" w:ascii="Times New Roman" w:hAnsi="Times New Roman" w:cs="Times New Roman" w:eastAsiaTheme="minorEastAsia"/>
          <w:color w:val="auto"/>
          <w:szCs w:val="28"/>
        </w:rPr>
        <w:t>编制有《</w:t>
      </w:r>
      <w:r>
        <w:rPr>
          <w:rFonts w:hint="eastAsia" w:cs="Times New Roman" w:eastAsiaTheme="minorEastAsia"/>
          <w:color w:val="auto"/>
          <w:szCs w:val="28"/>
          <w:lang w:eastAsia="zh-CN"/>
        </w:rPr>
        <w:t>山东万通集团垦利金顺油品有限公司第六加油中心经营</w:t>
      </w:r>
      <w:r>
        <w:rPr>
          <w:rFonts w:hint="default" w:ascii="Times New Roman" w:hAnsi="Times New Roman" w:cs="Times New Roman" w:eastAsiaTheme="minorEastAsia"/>
          <w:color w:val="auto"/>
          <w:szCs w:val="28"/>
        </w:rPr>
        <w:t>安全事故应急预案》。</w:t>
      </w:r>
      <w:r>
        <w:rPr>
          <w:rFonts w:hint="default" w:ascii="Times New Roman" w:hAnsi="Times New Roman" w:cs="Times New Roman" w:eastAsiaTheme="minorEastAsia"/>
          <w:color w:val="auto"/>
          <w:szCs w:val="28"/>
          <w:highlight w:val="none"/>
        </w:rPr>
        <w:t>该预案于20</w:t>
      </w:r>
      <w:r>
        <w:rPr>
          <w:rFonts w:hint="eastAsia" w:cs="Times New Roman" w:eastAsiaTheme="minorEastAsia"/>
          <w:color w:val="auto"/>
          <w:szCs w:val="28"/>
          <w:highlight w:val="none"/>
          <w:lang w:val="en-US" w:eastAsia="zh-CN"/>
        </w:rPr>
        <w:t>19</w:t>
      </w:r>
      <w:r>
        <w:rPr>
          <w:rFonts w:hint="default" w:ascii="Times New Roman" w:hAnsi="Times New Roman" w:cs="Times New Roman" w:eastAsiaTheme="minorEastAsia"/>
          <w:color w:val="auto"/>
          <w:szCs w:val="28"/>
          <w:highlight w:val="none"/>
        </w:rPr>
        <w:t>年</w:t>
      </w:r>
      <w:r>
        <w:rPr>
          <w:rFonts w:hint="eastAsia" w:cs="Times New Roman" w:eastAsiaTheme="minorEastAsia"/>
          <w:color w:val="auto"/>
          <w:szCs w:val="28"/>
          <w:highlight w:val="none"/>
          <w:lang w:val="en-US" w:eastAsia="zh-CN"/>
        </w:rPr>
        <w:t>12</w:t>
      </w:r>
      <w:r>
        <w:rPr>
          <w:rFonts w:hint="default" w:ascii="Times New Roman" w:hAnsi="Times New Roman" w:cs="Times New Roman" w:eastAsiaTheme="minorEastAsia"/>
          <w:color w:val="auto"/>
          <w:szCs w:val="28"/>
          <w:highlight w:val="none"/>
        </w:rPr>
        <w:t>月</w:t>
      </w:r>
      <w:r>
        <w:rPr>
          <w:rFonts w:hint="eastAsia" w:cs="Times New Roman" w:eastAsiaTheme="minorEastAsia"/>
          <w:color w:val="auto"/>
          <w:szCs w:val="28"/>
          <w:highlight w:val="none"/>
          <w:lang w:val="en-US" w:eastAsia="zh-CN"/>
        </w:rPr>
        <w:t>25</w:t>
      </w:r>
      <w:r>
        <w:rPr>
          <w:rFonts w:hint="default" w:ascii="Times New Roman" w:hAnsi="Times New Roman" w:cs="Times New Roman" w:eastAsiaTheme="minorEastAsia"/>
          <w:color w:val="auto"/>
          <w:szCs w:val="28"/>
          <w:highlight w:val="none"/>
        </w:rPr>
        <w:t>日在</w:t>
      </w:r>
      <w:r>
        <w:rPr>
          <w:rFonts w:hint="eastAsia" w:cs="Times New Roman" w:eastAsiaTheme="minorEastAsia"/>
          <w:color w:val="auto"/>
          <w:szCs w:val="28"/>
          <w:highlight w:val="none"/>
          <w:lang w:eastAsia="zh-CN"/>
        </w:rPr>
        <w:t>东营市垦利区应急管理局</w:t>
      </w:r>
      <w:r>
        <w:rPr>
          <w:rFonts w:hint="default" w:ascii="Times New Roman" w:hAnsi="Times New Roman" w:cs="Times New Roman" w:eastAsiaTheme="minorEastAsia"/>
          <w:color w:val="auto"/>
          <w:szCs w:val="28"/>
          <w:highlight w:val="none"/>
        </w:rPr>
        <w:t>备案，备案编号：37050</w:t>
      </w:r>
      <w:r>
        <w:rPr>
          <w:rFonts w:hint="eastAsia" w:cs="Times New Roman" w:eastAsiaTheme="minorEastAsia"/>
          <w:color w:val="auto"/>
          <w:szCs w:val="28"/>
          <w:highlight w:val="none"/>
          <w:lang w:val="en-US" w:eastAsia="zh-CN"/>
        </w:rPr>
        <w:t>3</w:t>
      </w:r>
      <w:r>
        <w:rPr>
          <w:rFonts w:hint="default" w:ascii="Times New Roman" w:hAnsi="Times New Roman" w:cs="Times New Roman" w:eastAsiaTheme="minorEastAsia"/>
          <w:color w:val="auto"/>
          <w:szCs w:val="28"/>
          <w:highlight w:val="none"/>
        </w:rPr>
        <w:t>-20</w:t>
      </w:r>
      <w:r>
        <w:rPr>
          <w:rFonts w:hint="eastAsia" w:cs="Times New Roman" w:eastAsiaTheme="minorEastAsia"/>
          <w:color w:val="auto"/>
          <w:szCs w:val="28"/>
          <w:highlight w:val="none"/>
          <w:lang w:val="en-US" w:eastAsia="zh-CN"/>
        </w:rPr>
        <w:t>19</w:t>
      </w:r>
      <w:r>
        <w:rPr>
          <w:rFonts w:hint="default" w:ascii="Times New Roman" w:hAnsi="Times New Roman" w:cs="Times New Roman" w:eastAsiaTheme="minorEastAsia"/>
          <w:color w:val="auto"/>
          <w:szCs w:val="28"/>
          <w:highlight w:val="none"/>
        </w:rPr>
        <w:t>-0</w:t>
      </w:r>
      <w:r>
        <w:rPr>
          <w:rFonts w:hint="eastAsia" w:cs="Times New Roman" w:eastAsiaTheme="minorEastAsia"/>
          <w:color w:val="auto"/>
          <w:szCs w:val="28"/>
          <w:highlight w:val="none"/>
          <w:lang w:val="en-US" w:eastAsia="zh-CN"/>
        </w:rPr>
        <w:t>259</w:t>
      </w:r>
      <w:r>
        <w:rPr>
          <w:rFonts w:hint="default" w:ascii="Times New Roman" w:hAnsi="Times New Roman" w:cs="Times New Roman" w:eastAsiaTheme="minorEastAsia"/>
          <w:color w:val="auto"/>
          <w:szCs w:val="28"/>
          <w:highlight w:val="none"/>
        </w:rPr>
        <w:t>。</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该加油中心</w:t>
      </w:r>
      <w:r>
        <w:rPr>
          <w:rFonts w:hint="eastAsia"/>
          <w:lang w:eastAsia="zh-CN"/>
        </w:rPr>
        <w:t>已成立应急管理组织机构，明确机构职责，总指挥：许真真，副总指挥：李占娥、韩延方，组员：孙维芳、韩延红、王红红、徐巧</w:t>
      </w:r>
      <w:r>
        <w:rPr>
          <w:rFonts w:hint="default" w:ascii="Times New Roman" w:hAnsi="Times New Roman" w:cs="Times New Roman" w:eastAsiaTheme="minorEastAsia"/>
          <w:color w:val="auto"/>
          <w:szCs w:val="28"/>
        </w:rPr>
        <w:t>。</w:t>
      </w:r>
    </w:p>
    <w:p>
      <w:pPr>
        <w:pStyle w:val="5"/>
        <w:adjustRightInd w:val="0"/>
        <w:snapToGrid w:val="0"/>
        <w:rPr>
          <w:rFonts w:hint="default" w:ascii="Times New Roman" w:hAnsi="Times New Roman" w:cs="Times New Roman"/>
          <w:color w:val="auto"/>
          <w:highlight w:val="none"/>
        </w:rPr>
      </w:pPr>
      <w:r>
        <w:rPr>
          <w:rFonts w:hint="default" w:ascii="Times New Roman" w:hAnsi="Times New Roman" w:cs="Times New Roman"/>
          <w:color w:val="auto"/>
          <w:highlight w:val="none"/>
        </w:rPr>
        <w:t>7.6.3 事故应急救援预案的演练情况</w:t>
      </w:r>
    </w:p>
    <w:p>
      <w:pPr>
        <w:adjustRightInd w:val="0"/>
        <w:snapToGrid w:val="0"/>
        <w:spacing w:line="360" w:lineRule="auto"/>
        <w:ind w:firstLine="570"/>
        <w:rPr>
          <w:rFonts w:hint="default" w:ascii="Times New Roman" w:hAnsi="Times New Roman" w:cs="Times New Roman"/>
          <w:color w:val="auto"/>
          <w:szCs w:val="28"/>
          <w:highlight w:val="none"/>
        </w:rPr>
      </w:pPr>
      <w:r>
        <w:rPr>
          <w:rFonts w:hint="default" w:ascii="Times New Roman" w:hAnsi="Times New Roman" w:cs="Times New Roman"/>
          <w:color w:val="auto"/>
          <w:szCs w:val="28"/>
          <w:highlight w:val="none"/>
        </w:rPr>
        <w:t>该加油</w:t>
      </w:r>
      <w:r>
        <w:rPr>
          <w:rFonts w:hint="eastAsia" w:cs="Times New Roman"/>
          <w:color w:val="auto"/>
          <w:szCs w:val="28"/>
          <w:highlight w:val="none"/>
          <w:lang w:eastAsia="zh-CN"/>
        </w:rPr>
        <w:t>中心</w:t>
      </w:r>
      <w:r>
        <w:rPr>
          <w:rFonts w:hint="default" w:ascii="Times New Roman" w:hAnsi="Times New Roman" w:cs="Times New Roman"/>
          <w:color w:val="auto"/>
          <w:szCs w:val="28"/>
          <w:highlight w:val="none"/>
        </w:rPr>
        <w:t>制定</w:t>
      </w:r>
      <w:r>
        <w:rPr>
          <w:rFonts w:hint="eastAsia" w:cs="Times New Roman"/>
          <w:color w:val="auto"/>
          <w:szCs w:val="28"/>
          <w:highlight w:val="none"/>
          <w:lang w:eastAsia="zh-CN"/>
        </w:rPr>
        <w:t>了</w:t>
      </w:r>
      <w:r>
        <w:rPr>
          <w:rFonts w:hint="default" w:ascii="Times New Roman" w:hAnsi="Times New Roman" w:cs="Times New Roman"/>
          <w:color w:val="auto"/>
          <w:szCs w:val="28"/>
          <w:highlight w:val="none"/>
        </w:rPr>
        <w:t>演练计划，并按计划进行应急救援演练</w:t>
      </w:r>
      <w:r>
        <w:rPr>
          <w:rFonts w:hint="default" w:ascii="Times New Roman" w:hAnsi="Times New Roman" w:cs="Times New Roman"/>
          <w:color w:val="auto"/>
          <w:szCs w:val="28"/>
          <w:highlight w:val="none"/>
          <w:lang w:eastAsia="zh-CN"/>
        </w:rPr>
        <w:t>，</w:t>
      </w:r>
      <w:r>
        <w:rPr>
          <w:rFonts w:hint="default" w:ascii="Times New Roman" w:hAnsi="Times New Roman" w:cs="Times New Roman"/>
          <w:color w:val="auto"/>
          <w:sz w:val="28"/>
          <w:szCs w:val="28"/>
          <w:highlight w:val="none"/>
        </w:rPr>
        <w:t>根据演练情况对演练过程进行详细记录，演练结束后对应急演练效果进行评估。</w:t>
      </w:r>
      <w:r>
        <w:rPr>
          <w:rFonts w:hint="default" w:ascii="Times New Roman" w:hAnsi="Times New Roman" w:cs="Times New Roman"/>
          <w:color w:val="auto"/>
          <w:szCs w:val="28"/>
        </w:rPr>
        <w:t>该加油</w:t>
      </w:r>
      <w:r>
        <w:rPr>
          <w:rFonts w:hint="eastAsia" w:cs="Times New Roman"/>
          <w:color w:val="auto"/>
          <w:szCs w:val="28"/>
          <w:lang w:eastAsia="zh-CN"/>
        </w:rPr>
        <w:t>中心</w:t>
      </w:r>
      <w:r>
        <w:rPr>
          <w:rFonts w:hint="default" w:ascii="Times New Roman" w:hAnsi="Times New Roman" w:cs="Times New Roman"/>
          <w:color w:val="auto"/>
          <w:szCs w:val="28"/>
        </w:rPr>
        <w:t>配备了相应的应急救援器材包括灭火器、灭火毯、消防沙、</w:t>
      </w:r>
      <w:r>
        <w:rPr>
          <w:rFonts w:hint="default" w:ascii="Times New Roman" w:hAnsi="Times New Roman" w:cs="Times New Roman" w:eastAsiaTheme="minorEastAsia"/>
          <w:snapToGrid w:val="0"/>
          <w:color w:val="auto"/>
          <w:kern w:val="0"/>
        </w:rPr>
        <w:t>急救</w:t>
      </w:r>
      <w:r>
        <w:rPr>
          <w:rFonts w:hint="default" w:ascii="Times New Roman" w:hAnsi="Times New Roman" w:cs="Times New Roman"/>
          <w:color w:val="auto"/>
        </w:rPr>
        <w:t>药箱</w:t>
      </w:r>
      <w:r>
        <w:rPr>
          <w:rFonts w:hint="default" w:ascii="Times New Roman" w:hAnsi="Times New Roman" w:cs="Times New Roman"/>
          <w:color w:val="auto"/>
          <w:szCs w:val="28"/>
        </w:rPr>
        <w:t>等，满足事故应急救援要求</w:t>
      </w:r>
      <w:r>
        <w:rPr>
          <w:rFonts w:hint="default" w:ascii="Times New Roman" w:hAnsi="Times New Roman" w:cs="Times New Roman"/>
          <w:color w:val="auto"/>
          <w:sz w:val="28"/>
          <w:szCs w:val="28"/>
          <w:highlight w:val="none"/>
        </w:rPr>
        <w:t>。</w:t>
      </w:r>
    </w:p>
    <w:p>
      <w:pPr>
        <w:pStyle w:val="5"/>
        <w:adjustRightInd w:val="0"/>
        <w:snapToGrid w:val="0"/>
        <w:rPr>
          <w:rFonts w:hint="default" w:ascii="Times New Roman" w:hAnsi="Times New Roman" w:cs="Times New Roman"/>
          <w:color w:val="auto"/>
        </w:rPr>
      </w:pPr>
      <w:r>
        <w:rPr>
          <w:rFonts w:hint="default" w:ascii="Times New Roman" w:hAnsi="Times New Roman" w:cs="Times New Roman"/>
          <w:color w:val="auto"/>
        </w:rPr>
        <w:t>7.6.4 事故应急救援器材、设备的配备情况</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ascii="Times New Roman" w:hAnsi="Times New Roman" w:cs="Times New Roman" w:eastAsiaTheme="minorEastAsia"/>
          <w:color w:val="auto"/>
          <w:szCs w:val="28"/>
          <w:lang w:eastAsia="zh-CN"/>
        </w:rPr>
      </w:pPr>
      <w:r>
        <w:rPr>
          <w:rFonts w:hint="default" w:ascii="Times New Roman" w:hAnsi="Times New Roman" w:cs="Times New Roman"/>
          <w:color w:val="auto"/>
          <w:szCs w:val="28"/>
        </w:rPr>
        <w:t>该加油</w:t>
      </w:r>
      <w:r>
        <w:rPr>
          <w:rFonts w:hint="eastAsia" w:cs="Times New Roman"/>
          <w:color w:val="auto"/>
          <w:szCs w:val="28"/>
          <w:lang w:val="en-US" w:eastAsia="zh-CN"/>
        </w:rPr>
        <w:t>中心</w:t>
      </w:r>
      <w:r>
        <w:rPr>
          <w:rFonts w:hint="default" w:ascii="Times New Roman" w:hAnsi="Times New Roman" w:cs="Times New Roman"/>
          <w:color w:val="auto"/>
          <w:szCs w:val="28"/>
        </w:rPr>
        <w:t>配备了相应的应急救援器材包括灭火器、消防沙</w:t>
      </w:r>
      <w:r>
        <w:rPr>
          <w:rFonts w:hint="eastAsia" w:cs="Times New Roman"/>
          <w:color w:val="auto"/>
          <w:szCs w:val="28"/>
          <w:lang w:eastAsia="zh-CN"/>
        </w:rPr>
        <w:t>、</w:t>
      </w:r>
      <w:r>
        <w:rPr>
          <w:rFonts w:hint="eastAsia" w:cs="Times New Roman"/>
          <w:color w:val="auto"/>
          <w:szCs w:val="28"/>
          <w:lang w:val="en-US" w:eastAsia="zh-CN"/>
        </w:rPr>
        <w:t>石棉被</w:t>
      </w:r>
      <w:r>
        <w:rPr>
          <w:rFonts w:hint="default" w:ascii="Times New Roman" w:hAnsi="Times New Roman" w:cs="Times New Roman"/>
          <w:color w:val="auto"/>
          <w:szCs w:val="28"/>
        </w:rPr>
        <w:t>等，满足事故应急救援要求，</w:t>
      </w:r>
      <w:r>
        <w:rPr>
          <w:rFonts w:hint="eastAsia" w:cs="Times New Roman"/>
          <w:color w:val="auto"/>
          <w:szCs w:val="28"/>
          <w:lang w:val="en-US" w:eastAsia="zh-CN"/>
        </w:rPr>
        <w:t>详见附件第六加油中心应急物资清单，</w:t>
      </w:r>
      <w:r>
        <w:rPr>
          <w:rFonts w:hint="default" w:ascii="Times New Roman" w:hAnsi="Times New Roman" w:cs="Times New Roman"/>
          <w:color w:val="auto"/>
          <w:szCs w:val="28"/>
        </w:rPr>
        <w:t>符合</w:t>
      </w:r>
      <w:r>
        <w:rPr>
          <w:rFonts w:hint="default" w:ascii="Times New Roman" w:hAnsi="Times New Roman" w:cs="Times New Roman" w:eastAsiaTheme="minorEastAsia"/>
          <w:color w:val="auto"/>
        </w:rPr>
        <w:t>《汽车加油加气站设计与施工规范（2014年版）》（GB50156-2012）</w:t>
      </w:r>
      <w:r>
        <w:rPr>
          <w:rFonts w:hint="eastAsia" w:cs="Times New Roman" w:eastAsiaTheme="minorEastAsia"/>
          <w:color w:val="auto"/>
          <w:lang w:eastAsia="zh-CN"/>
        </w:rPr>
        <w:t>、</w:t>
      </w:r>
      <w:r>
        <w:rPr>
          <w:rFonts w:hint="default" w:ascii="Times New Roman" w:hAnsi="Times New Roman" w:cs="Times New Roman"/>
          <w:color w:val="auto"/>
          <w:szCs w:val="20"/>
          <w:highlight w:val="none"/>
        </w:rPr>
        <w:t>《东营市加油站安全生产规范提升指南（试行）》</w:t>
      </w:r>
      <w:r>
        <w:rPr>
          <w:rFonts w:hint="eastAsia" w:cs="Times New Roman" w:eastAsiaTheme="minorEastAsia"/>
          <w:color w:val="auto"/>
          <w:lang w:val="en-US" w:eastAsia="zh-CN"/>
        </w:rPr>
        <w:t>等标准规范的</w:t>
      </w:r>
      <w:r>
        <w:rPr>
          <w:rFonts w:hint="default" w:ascii="Times New Roman" w:hAnsi="Times New Roman" w:cs="Times New Roman"/>
          <w:color w:val="auto"/>
          <w:szCs w:val="28"/>
        </w:rPr>
        <w:t>要求</w:t>
      </w:r>
      <w:r>
        <w:rPr>
          <w:rFonts w:hint="eastAsia" w:cs="Times New Roman" w:eastAsiaTheme="minorEastAsia"/>
          <w:color w:val="auto"/>
          <w:szCs w:val="28"/>
          <w:lang w:eastAsia="zh-CN"/>
        </w:rPr>
        <w:t>。</w:t>
      </w:r>
    </w:p>
    <w:bookmarkEnd w:id="93"/>
    <w:bookmarkEnd w:id="94"/>
    <w:bookmarkEnd w:id="95"/>
    <w:bookmarkEnd w:id="96"/>
    <w:p>
      <w:pPr>
        <w:pageBreakBefore w:val="0"/>
        <w:kinsoku/>
        <w:wordWrap/>
        <w:topLinePunct w:val="0"/>
        <w:bidi w:val="0"/>
        <w:adjustRightInd w:val="0"/>
        <w:snapToGrid w:val="0"/>
        <w:ind w:firstLine="560"/>
        <w:rPr>
          <w:rFonts w:hint="default" w:ascii="Times New Roman" w:hAnsi="Times New Roman" w:cs="Times New Roman"/>
          <w:color w:val="auto"/>
          <w:szCs w:val="28"/>
        </w:rPr>
      </w:pPr>
    </w:p>
    <w:p>
      <w:pPr>
        <w:pStyle w:val="3"/>
        <w:pageBreakBefore w:val="0"/>
        <w:kinsoku/>
        <w:wordWrap/>
        <w:topLinePunct w:val="0"/>
        <w:bidi w:val="0"/>
        <w:adjustRightInd w:val="0"/>
        <w:snapToGrid w:val="0"/>
        <w:spacing w:before="156" w:after="156"/>
        <w:jc w:val="both"/>
        <w:rPr>
          <w:rFonts w:hint="default" w:ascii="Times New Roman" w:hAnsi="Times New Roman" w:cs="Times New Roman" w:eastAsiaTheme="minorEastAsia"/>
          <w:color w:val="auto"/>
          <w:sz w:val="32"/>
          <w:szCs w:val="32"/>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pageBreakBefore w:val="0"/>
        <w:kinsoku/>
        <w:wordWrap/>
        <w:topLinePunct w:val="0"/>
        <w:bidi w:val="0"/>
        <w:adjustRightInd w:val="0"/>
        <w:snapToGrid w:val="0"/>
        <w:spacing w:before="120" w:after="120"/>
        <w:rPr>
          <w:rFonts w:hint="default" w:ascii="Times New Roman" w:hAnsi="Times New Roman" w:cs="Times New Roman" w:eastAsiaTheme="minorEastAsia"/>
          <w:color w:val="auto"/>
          <w:sz w:val="32"/>
          <w:szCs w:val="32"/>
        </w:rPr>
      </w:pPr>
      <w:bookmarkStart w:id="110" w:name="_Toc26288"/>
      <w:r>
        <w:rPr>
          <w:rFonts w:hint="eastAsia" w:cs="Times New Roman" w:eastAsiaTheme="minorEastAsia"/>
          <w:color w:val="auto"/>
          <w:sz w:val="32"/>
          <w:szCs w:val="32"/>
          <w:lang w:val="en-US" w:eastAsia="zh-CN"/>
        </w:rPr>
        <w:t>8</w:t>
      </w:r>
      <w:r>
        <w:rPr>
          <w:rFonts w:hint="default" w:ascii="Times New Roman" w:hAnsi="Times New Roman" w:cs="Times New Roman" w:eastAsiaTheme="minorEastAsia"/>
          <w:color w:val="auto"/>
          <w:sz w:val="32"/>
          <w:szCs w:val="32"/>
        </w:rPr>
        <w:t xml:space="preserve"> 安全对策措施和建议</w:t>
      </w:r>
      <w:bookmarkEnd w:id="110"/>
    </w:p>
    <w:p>
      <w:pPr>
        <w:pStyle w:val="4"/>
        <w:pageBreakBefore w:val="0"/>
        <w:kinsoku/>
        <w:wordWrap/>
        <w:topLinePunct w:val="0"/>
        <w:bidi w:val="0"/>
        <w:adjustRightInd w:val="0"/>
        <w:snapToGrid w:val="0"/>
        <w:spacing w:before="72" w:after="72"/>
        <w:rPr>
          <w:rFonts w:hint="default" w:ascii="Times New Roman" w:hAnsi="Times New Roman" w:cs="Times New Roman" w:eastAsiaTheme="minorEastAsia"/>
          <w:b/>
          <w:bCs w:val="0"/>
          <w:color w:val="auto"/>
          <w:sz w:val="28"/>
          <w:szCs w:val="28"/>
        </w:rPr>
      </w:pPr>
      <w:bookmarkStart w:id="111" w:name="_Toc496775873"/>
      <w:bookmarkStart w:id="112" w:name="_Toc4998"/>
      <w:r>
        <w:rPr>
          <w:rFonts w:hint="eastAsia" w:cs="Times New Roman" w:eastAsiaTheme="minorEastAsia"/>
          <w:b/>
          <w:bCs w:val="0"/>
          <w:color w:val="auto"/>
          <w:sz w:val="28"/>
          <w:szCs w:val="28"/>
          <w:lang w:val="en-US" w:eastAsia="zh-CN"/>
        </w:rPr>
        <w:t>8</w:t>
      </w:r>
      <w:r>
        <w:rPr>
          <w:rFonts w:hint="default" w:ascii="Times New Roman" w:hAnsi="Times New Roman" w:cs="Times New Roman" w:eastAsiaTheme="minorEastAsia"/>
          <w:b/>
          <w:bCs w:val="0"/>
          <w:color w:val="auto"/>
          <w:sz w:val="28"/>
          <w:szCs w:val="28"/>
        </w:rPr>
        <w:t>.</w:t>
      </w:r>
      <w:bookmarkEnd w:id="111"/>
      <w:r>
        <w:rPr>
          <w:rFonts w:hint="eastAsia" w:cs="Times New Roman" w:eastAsiaTheme="minorEastAsia"/>
          <w:b/>
          <w:bCs w:val="0"/>
          <w:color w:val="auto"/>
          <w:sz w:val="28"/>
          <w:szCs w:val="28"/>
          <w:lang w:val="en-US" w:eastAsia="zh-CN"/>
        </w:rPr>
        <w:t>1</w:t>
      </w:r>
      <w:r>
        <w:rPr>
          <w:rFonts w:hint="default" w:ascii="Times New Roman" w:hAnsi="Times New Roman" w:eastAsia="宋体" w:cs="Times New Roman"/>
          <w:b/>
          <w:color w:val="auto"/>
          <w:sz w:val="28"/>
          <w:szCs w:val="28"/>
        </w:rPr>
        <w:t>本次评价隐患及整改情况</w:t>
      </w:r>
      <w:bookmarkEnd w:id="112"/>
    </w:p>
    <w:p>
      <w:pPr>
        <w:pStyle w:val="44"/>
        <w:pageBreakBefore w:val="0"/>
        <w:kinsoku/>
        <w:wordWrap/>
        <w:topLinePunct w:val="0"/>
        <w:bidi w:val="0"/>
        <w:adjustRightInd w:val="0"/>
        <w:snapToGrid w:val="0"/>
        <w:ind w:firstLine="560"/>
        <w:rPr>
          <w:rFonts w:hint="default" w:ascii="Times New Roman" w:hAnsi="Times New Roman" w:cs="Times New Roman" w:eastAsiaTheme="minorEastAsia"/>
          <w:color w:val="auto"/>
          <w:sz w:val="28"/>
        </w:rPr>
      </w:pPr>
      <w:r>
        <w:rPr>
          <w:rFonts w:hint="eastAsia" w:cs="Times New Roman" w:eastAsiaTheme="minorEastAsia"/>
          <w:color w:val="auto"/>
          <w:sz w:val="28"/>
          <w:lang w:eastAsia="zh-CN"/>
        </w:rPr>
        <w:t>山东实华安全技术有限公司</w:t>
      </w:r>
      <w:r>
        <w:rPr>
          <w:rFonts w:hint="default" w:cs="Times New Roman" w:eastAsiaTheme="minorEastAsia"/>
          <w:color w:val="auto"/>
          <w:sz w:val="28"/>
          <w:lang w:eastAsia="zh-CN"/>
        </w:rPr>
        <w:t>评价组对</w:t>
      </w:r>
      <w:r>
        <w:rPr>
          <w:rFonts w:hint="eastAsia" w:cs="Times New Roman" w:eastAsiaTheme="minorEastAsia"/>
          <w:color w:val="auto"/>
          <w:sz w:val="28"/>
          <w:lang w:eastAsia="zh-CN"/>
        </w:rPr>
        <w:t>山东万通集团垦利金顺油品有限公司第六加油中心</w:t>
      </w:r>
      <w:r>
        <w:rPr>
          <w:rFonts w:hint="default" w:cs="Times New Roman" w:eastAsiaTheme="minorEastAsia"/>
          <w:color w:val="auto"/>
          <w:sz w:val="28"/>
          <w:lang w:eastAsia="zh-CN"/>
        </w:rPr>
        <w:t>实际情况及</w:t>
      </w:r>
      <w:r>
        <w:rPr>
          <w:rFonts w:hint="default" w:ascii="Times New Roman" w:hAnsi="Times New Roman" w:cs="Times New Roman" w:eastAsiaTheme="minorEastAsia"/>
          <w:color w:val="auto"/>
          <w:sz w:val="28"/>
        </w:rPr>
        <w:t>安全管理状况的现场检查和现场复查，对照有关法律、法规、标准、规范、规定，结合同类企业的经验教训，认为该项目存在以下问题和隐患，需要采取措施，进行整改，确保符合安全要求。</w:t>
      </w: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b/>
          <w:color w:val="auto"/>
          <w:sz w:val="24"/>
          <w:szCs w:val="24"/>
          <w:highlight w:val="none"/>
        </w:rPr>
      </w:pPr>
      <w:r>
        <w:rPr>
          <w:rFonts w:hint="default" w:ascii="Times New Roman" w:hAnsi="Times New Roman" w:cs="Times New Roman" w:eastAsiaTheme="minorEastAsia"/>
          <w:b/>
          <w:color w:val="auto"/>
          <w:sz w:val="24"/>
          <w:highlight w:val="none"/>
        </w:rPr>
        <w:t>表</w:t>
      </w:r>
      <w:r>
        <w:rPr>
          <w:rFonts w:hint="eastAsia" w:cs="Times New Roman" w:eastAsiaTheme="minorEastAsia"/>
          <w:b/>
          <w:color w:val="auto"/>
          <w:sz w:val="24"/>
          <w:highlight w:val="none"/>
          <w:lang w:val="en-US" w:eastAsia="zh-CN"/>
        </w:rPr>
        <w:t>8</w:t>
      </w:r>
      <w:r>
        <w:rPr>
          <w:rFonts w:hint="default" w:ascii="Times New Roman" w:hAnsi="Times New Roman" w:cs="Times New Roman" w:eastAsiaTheme="minorEastAsia"/>
          <w:b/>
          <w:color w:val="auto"/>
          <w:sz w:val="24"/>
          <w:highlight w:val="none"/>
        </w:rPr>
        <w:t>.</w:t>
      </w:r>
      <w:r>
        <w:rPr>
          <w:rFonts w:hint="eastAsia" w:cs="Times New Roman" w:eastAsiaTheme="minorEastAsia"/>
          <w:b/>
          <w:color w:val="auto"/>
          <w:sz w:val="24"/>
          <w:highlight w:val="none"/>
          <w:lang w:val="en-US" w:eastAsia="zh-CN"/>
        </w:rPr>
        <w:t>1</w:t>
      </w:r>
      <w:r>
        <w:rPr>
          <w:rFonts w:hint="default" w:ascii="Times New Roman" w:hAnsi="Times New Roman" w:cs="Times New Roman" w:eastAsiaTheme="minorEastAsia"/>
          <w:b/>
          <w:color w:val="auto"/>
          <w:sz w:val="24"/>
          <w:highlight w:val="none"/>
        </w:rPr>
        <w:t xml:space="preserve">-1 </w:t>
      </w:r>
      <w:r>
        <w:rPr>
          <w:rFonts w:hint="default" w:ascii="Times New Roman" w:hAnsi="Times New Roman" w:cs="Times New Roman" w:eastAsiaTheme="minorEastAsia"/>
          <w:b/>
          <w:color w:val="auto"/>
          <w:sz w:val="24"/>
          <w:szCs w:val="24"/>
          <w:highlight w:val="none"/>
        </w:rPr>
        <w:t>安全技术措施汇总表</w:t>
      </w:r>
    </w:p>
    <w:tbl>
      <w:tblPr>
        <w:tblStyle w:val="28"/>
        <w:tblW w:w="928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
        <w:gridCol w:w="4080"/>
        <w:gridCol w:w="43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4080"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存在问题</w:t>
            </w:r>
          </w:p>
        </w:tc>
        <w:tc>
          <w:tcPr>
            <w:tcW w:w="4355"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整改措施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4080"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储罐容积数量标识错误。</w:t>
            </w:r>
          </w:p>
        </w:tc>
        <w:tc>
          <w:tcPr>
            <w:tcW w:w="4355" w:type="dxa"/>
            <w:vAlign w:val="center"/>
          </w:tcPr>
          <w:p>
            <w:pPr>
              <w:pageBreakBefore w:val="0"/>
              <w:kinsoku/>
              <w:wordWrap/>
              <w:topLinePunct w:val="0"/>
              <w:bidi w:val="0"/>
              <w:adjustRightInd w:val="0"/>
              <w:snapToGrid w:val="0"/>
              <w:spacing w:line="240" w:lineRule="auto"/>
              <w:ind w:firstLine="0" w:firstLineChars="0"/>
              <w:jc w:val="both"/>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按照实际情况标识储罐容积数值。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9" w:type="dxa"/>
            <w:vAlign w:val="center"/>
          </w:tcPr>
          <w:p>
            <w:pPr>
              <w:pageBreakBefore w:val="0"/>
              <w:kinsoku/>
              <w:wordWrap/>
              <w:topLinePunct w:val="0"/>
              <w:bidi w:val="0"/>
              <w:adjustRightInd w:val="0"/>
              <w:snapToGrid w:val="0"/>
              <w:spacing w:line="240" w:lineRule="auto"/>
              <w:ind w:firstLine="0" w:firstLineChars="0"/>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w:t>
            </w:r>
          </w:p>
        </w:tc>
        <w:tc>
          <w:tcPr>
            <w:tcW w:w="4080" w:type="dxa"/>
            <w:vAlign w:val="center"/>
          </w:tcPr>
          <w:p>
            <w:pPr>
              <w:pageBreakBefore w:val="0"/>
              <w:kinsoku/>
              <w:wordWrap/>
              <w:topLinePunct w:val="0"/>
              <w:bidi w:val="0"/>
              <w:adjustRightInd w:val="0"/>
              <w:snapToGrid w:val="0"/>
              <w:spacing w:line="240" w:lineRule="auto"/>
              <w:ind w:firstLine="0" w:firstLineChars="0"/>
              <w:jc w:val="left"/>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储罐操作井井盖防产生火花的胶条脱落。</w:t>
            </w:r>
          </w:p>
        </w:tc>
        <w:tc>
          <w:tcPr>
            <w:tcW w:w="4355" w:type="dxa"/>
            <w:vAlign w:val="center"/>
          </w:tcPr>
          <w:p>
            <w:pPr>
              <w:pageBreakBefore w:val="0"/>
              <w:kinsoku/>
              <w:wordWrap/>
              <w:topLinePunct w:val="0"/>
              <w:bidi w:val="0"/>
              <w:adjustRightInd w:val="0"/>
              <w:snapToGrid w:val="0"/>
              <w:spacing w:line="240" w:lineRule="auto"/>
              <w:ind w:firstLine="0" w:firstLineChars="0"/>
              <w:jc w:val="both"/>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重新布设操作井井盖胶条。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49" w:type="dxa"/>
            <w:vAlign w:val="center"/>
          </w:tcPr>
          <w:p>
            <w:pPr>
              <w:pageBreakBefore w:val="0"/>
              <w:kinsoku/>
              <w:wordWrap/>
              <w:topLinePunct w:val="0"/>
              <w:bidi w:val="0"/>
              <w:adjustRightInd w:val="0"/>
              <w:snapToGrid w:val="0"/>
              <w:spacing w:line="240" w:lineRule="auto"/>
              <w:ind w:firstLine="0" w:firstLineChars="0"/>
              <w:jc w:val="center"/>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w:t>
            </w:r>
          </w:p>
        </w:tc>
        <w:tc>
          <w:tcPr>
            <w:tcW w:w="4080" w:type="dxa"/>
            <w:vAlign w:val="center"/>
          </w:tcPr>
          <w:p>
            <w:pPr>
              <w:pageBreakBefore w:val="0"/>
              <w:kinsoku/>
              <w:wordWrap/>
              <w:topLinePunct w:val="0"/>
              <w:bidi w:val="0"/>
              <w:adjustRightInd w:val="0"/>
              <w:snapToGrid w:val="0"/>
              <w:spacing w:line="240" w:lineRule="auto"/>
              <w:ind w:firstLine="0" w:firstLineChars="0"/>
              <w:jc w:val="left"/>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储罐量油孔未带锁。</w:t>
            </w:r>
          </w:p>
        </w:tc>
        <w:tc>
          <w:tcPr>
            <w:tcW w:w="4355" w:type="dxa"/>
            <w:vAlign w:val="center"/>
          </w:tcPr>
          <w:p>
            <w:pPr>
              <w:pageBreakBefore w:val="0"/>
              <w:kinsoku/>
              <w:wordWrap/>
              <w:topLinePunct w:val="0"/>
              <w:bidi w:val="0"/>
              <w:adjustRightInd w:val="0"/>
              <w:snapToGrid w:val="0"/>
              <w:spacing w:line="240" w:lineRule="auto"/>
              <w:ind w:firstLine="0" w:firstLineChars="0"/>
              <w:jc w:val="both"/>
              <w:rPr>
                <w:rFonts w:hint="eastAsia"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储罐量油孔应配锁。</w:t>
            </w:r>
          </w:p>
        </w:tc>
      </w:tr>
    </w:tbl>
    <w:p>
      <w:pPr>
        <w:pStyle w:val="4"/>
        <w:keepNext/>
        <w:keepLines/>
        <w:pageBreakBefore w:val="0"/>
        <w:widowControl w:val="0"/>
        <w:kinsoku/>
        <w:wordWrap/>
        <w:overflowPunct/>
        <w:topLinePunct w:val="0"/>
        <w:autoSpaceDE/>
        <w:autoSpaceDN/>
        <w:bidi w:val="0"/>
        <w:adjustRightInd w:val="0"/>
        <w:snapToGrid w:val="0"/>
        <w:spacing w:before="72" w:after="72"/>
        <w:textAlignment w:val="auto"/>
        <w:rPr>
          <w:rFonts w:hint="default" w:ascii="Times New Roman" w:hAnsi="Times New Roman" w:cs="Times New Roman" w:eastAsiaTheme="minorEastAsia"/>
          <w:b/>
          <w:bCs w:val="0"/>
          <w:color w:val="auto"/>
          <w:sz w:val="28"/>
          <w:szCs w:val="28"/>
        </w:rPr>
      </w:pPr>
      <w:bookmarkStart w:id="113" w:name="_Toc496775874"/>
      <w:bookmarkStart w:id="114" w:name="_Toc22568"/>
      <w:r>
        <w:rPr>
          <w:rFonts w:hint="eastAsia" w:cs="Times New Roman" w:eastAsiaTheme="minorEastAsia"/>
          <w:b/>
          <w:bCs w:val="0"/>
          <w:color w:val="auto"/>
          <w:sz w:val="28"/>
          <w:szCs w:val="28"/>
          <w:lang w:val="en-US" w:eastAsia="zh-CN"/>
        </w:rPr>
        <w:t>8</w:t>
      </w:r>
      <w:r>
        <w:rPr>
          <w:rFonts w:hint="default" w:ascii="Times New Roman" w:hAnsi="Times New Roman" w:cs="Times New Roman" w:eastAsiaTheme="minorEastAsia"/>
          <w:b/>
          <w:bCs w:val="0"/>
          <w:color w:val="auto"/>
          <w:sz w:val="28"/>
          <w:szCs w:val="28"/>
        </w:rPr>
        <w:t>.</w:t>
      </w:r>
      <w:r>
        <w:rPr>
          <w:rFonts w:hint="eastAsia" w:cs="Times New Roman" w:eastAsiaTheme="minorEastAsia"/>
          <w:b/>
          <w:bCs w:val="0"/>
          <w:color w:val="auto"/>
          <w:sz w:val="28"/>
          <w:szCs w:val="28"/>
          <w:lang w:val="en-US" w:eastAsia="zh-CN"/>
        </w:rPr>
        <w:t>2</w:t>
      </w:r>
      <w:r>
        <w:rPr>
          <w:rFonts w:hint="default" w:ascii="Times New Roman" w:hAnsi="Times New Roman" w:cs="Times New Roman" w:eastAsiaTheme="minorEastAsia"/>
          <w:b/>
          <w:bCs w:val="0"/>
          <w:color w:val="auto"/>
          <w:sz w:val="28"/>
          <w:szCs w:val="28"/>
        </w:rPr>
        <w:t xml:space="preserve"> 安全管理建议</w:t>
      </w:r>
      <w:bookmarkEnd w:id="113"/>
      <w:bookmarkEnd w:id="114"/>
    </w:p>
    <w:p>
      <w:pPr>
        <w:keepNext w:val="0"/>
        <w:keepLines w:val="0"/>
        <w:pageBreakBefore w:val="0"/>
        <w:widowControl w:val="0"/>
        <w:numPr>
          <w:ilvl w:val="0"/>
          <w:numId w:val="6"/>
        </w:numPr>
        <w:kinsoku/>
        <w:wordWrap/>
        <w:overflowPunct/>
        <w:topLinePunct w:val="0"/>
        <w:autoSpaceDE/>
        <w:autoSpaceDN/>
        <w:bidi w:val="0"/>
        <w:adjustRightInd w:val="0"/>
        <w:snapToGrid w:val="0"/>
        <w:ind w:firstLine="584" w:firstLineChars="200"/>
        <w:textAlignment w:val="auto"/>
        <w:rPr>
          <w:rFonts w:hint="default" w:ascii="Times New Roman" w:hAnsi="Times New Roman" w:cs="Times New Roman"/>
          <w:color w:val="auto"/>
        </w:rPr>
      </w:pPr>
      <w:r>
        <w:rPr>
          <w:rFonts w:hint="default" w:ascii="Times New Roman" w:hAnsi="Times New Roman" w:cs="Times New Roman"/>
          <w:color w:val="auto"/>
          <w:spacing w:val="6"/>
          <w:sz w:val="28"/>
          <w:szCs w:val="28"/>
        </w:rPr>
        <w:t>认真贯彻落实“安全第一，预防为主，综合治理”的方针和“管生产必须管安全”的原则，各级领导和生产管理人员必须重视安全工作</w:t>
      </w:r>
      <w:r>
        <w:rPr>
          <w:rFonts w:hint="default" w:ascii="Times New Roman" w:hAnsi="Times New Roman" w:cs="Times New Roman"/>
          <w:color w:val="auto"/>
          <w:spacing w:val="6"/>
          <w:sz w:val="28"/>
          <w:szCs w:val="28"/>
          <w:lang w:eastAsia="zh-CN"/>
        </w:rPr>
        <w:t>。</w:t>
      </w:r>
    </w:p>
    <w:p>
      <w:pPr>
        <w:keepNext w:val="0"/>
        <w:keepLines w:val="0"/>
        <w:pageBreakBefore w:val="0"/>
        <w:widowControl w:val="0"/>
        <w:numPr>
          <w:ilvl w:val="0"/>
          <w:numId w:val="6"/>
        </w:numPr>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rPr>
      </w:pPr>
      <w:r>
        <w:rPr>
          <w:rFonts w:hint="default" w:ascii="Times New Roman" w:hAnsi="Times New Roman" w:cs="Times New Roman"/>
          <w:bCs/>
          <w:color w:val="auto"/>
          <w:szCs w:val="28"/>
        </w:rPr>
        <w:t>企业应加强安全投入，注重对职工的职业技术培训，强化安全管理措施，完善事故应急救援预案，使其具有针对性和可操作性，</w:t>
      </w:r>
      <w:r>
        <w:rPr>
          <w:rFonts w:hint="default" w:ascii="Times New Roman" w:hAnsi="Times New Roman" w:cs="Times New Roman"/>
          <w:color w:val="auto"/>
          <w:szCs w:val="28"/>
        </w:rPr>
        <w:t>消除和杜绝一切事故隐患，</w:t>
      </w:r>
      <w:r>
        <w:rPr>
          <w:rFonts w:hint="default" w:ascii="Times New Roman" w:hAnsi="Times New Roman" w:cs="Times New Roman"/>
          <w:bCs/>
          <w:color w:val="auto"/>
          <w:szCs w:val="28"/>
        </w:rPr>
        <w:t>防止和减少发生事故时对周边单位、行人和本单位职工造成的危害</w:t>
      </w:r>
      <w:r>
        <w:rPr>
          <w:rFonts w:hint="default" w:ascii="Times New Roman" w:hAnsi="Times New Roman" w:cs="Times New Roman"/>
          <w:bCs/>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yellow"/>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3</w:t>
      </w:r>
      <w:r>
        <w:rPr>
          <w:rFonts w:hint="default" w:ascii="Times New Roman" w:hAnsi="Times New Roman" w:cs="Times New Roman"/>
          <w:color w:val="auto"/>
          <w:szCs w:val="20"/>
          <w:highlight w:val="none"/>
          <w:lang w:eastAsia="zh-CN"/>
        </w:rPr>
        <w:t>）建议</w:t>
      </w:r>
      <w:r>
        <w:rPr>
          <w:rFonts w:hint="default" w:ascii="Times New Roman" w:hAnsi="Times New Roman" w:cs="Times New Roman"/>
          <w:color w:val="auto"/>
          <w:szCs w:val="20"/>
          <w:highlight w:val="none"/>
        </w:rPr>
        <w:t>企业</w:t>
      </w:r>
      <w:r>
        <w:rPr>
          <w:rFonts w:hint="default" w:ascii="Times New Roman" w:hAnsi="Times New Roman" w:cs="Times New Roman"/>
          <w:color w:val="auto"/>
          <w:szCs w:val="20"/>
          <w:highlight w:val="none"/>
          <w:lang w:eastAsia="zh-CN"/>
        </w:rPr>
        <w:t>按照</w:t>
      </w:r>
      <w:r>
        <w:rPr>
          <w:rFonts w:hint="default" w:ascii="Times New Roman" w:hAnsi="Times New Roman" w:cs="Times New Roman" w:eastAsiaTheme="minorEastAsia"/>
          <w:color w:val="auto"/>
        </w:rPr>
        <w:t>《危险化学品经营许可证管理办法》（国家安全生产监督管理总局令第55号，总局令第79号修正）、</w:t>
      </w:r>
      <w:r>
        <w:rPr>
          <w:rFonts w:hint="default" w:ascii="Times New Roman" w:hAnsi="Times New Roman" w:cs="Times New Roman"/>
          <w:color w:val="auto"/>
          <w:szCs w:val="20"/>
          <w:highlight w:val="none"/>
        </w:rPr>
        <w:t>《东营市加油站安全生产规范提升指南（试行）》</w:t>
      </w:r>
      <w:r>
        <w:rPr>
          <w:rFonts w:hint="eastAsia" w:cs="Times New Roman"/>
          <w:color w:val="auto"/>
          <w:szCs w:val="20"/>
          <w:highlight w:val="none"/>
          <w:lang w:eastAsia="zh-CN"/>
        </w:rPr>
        <w:t>等</w:t>
      </w:r>
      <w:r>
        <w:rPr>
          <w:rFonts w:hint="default" w:ascii="Times New Roman" w:hAnsi="Times New Roman" w:cs="Times New Roman"/>
          <w:color w:val="auto"/>
          <w:szCs w:val="20"/>
          <w:highlight w:val="none"/>
        </w:rPr>
        <w:t>要求</w:t>
      </w:r>
      <w:r>
        <w:rPr>
          <w:rFonts w:hint="eastAsia" w:cs="Times New Roman"/>
          <w:color w:val="auto"/>
          <w:szCs w:val="20"/>
          <w:highlight w:val="none"/>
          <w:lang w:eastAsia="zh-CN"/>
        </w:rPr>
        <w:t>及时修订完善，且严格执行</w:t>
      </w:r>
      <w:r>
        <w:rPr>
          <w:rFonts w:hint="default" w:ascii="Times New Roman" w:hAnsi="Times New Roman" w:cs="Times New Roman"/>
          <w:color w:val="auto"/>
          <w:szCs w:val="20"/>
          <w:highlight w:val="none"/>
          <w:lang w:eastAsia="zh-CN"/>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eastAsia" w:cs="Times New Roman"/>
          <w:color w:val="auto"/>
          <w:szCs w:val="20"/>
          <w:highlight w:val="none"/>
          <w:lang w:val="en-US" w:eastAsia="zh-CN"/>
        </w:rPr>
        <w:t>4</w:t>
      </w:r>
      <w:r>
        <w:rPr>
          <w:rFonts w:hint="default" w:ascii="Times New Roman" w:hAnsi="Times New Roman" w:cs="Times New Roman"/>
          <w:color w:val="auto"/>
          <w:szCs w:val="20"/>
          <w:highlight w:val="none"/>
          <w:lang w:eastAsia="zh-CN"/>
        </w:rPr>
        <w:t>）定期对安全设施进行检查、维护、维修。</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eastAsia" w:cs="Times New Roman"/>
          <w:color w:val="auto"/>
          <w:szCs w:val="20"/>
          <w:highlight w:val="none"/>
          <w:lang w:val="en-US" w:eastAsia="zh-CN"/>
        </w:rPr>
        <w:t>5</w:t>
      </w:r>
      <w:r>
        <w:rPr>
          <w:rFonts w:hint="default" w:ascii="Times New Roman" w:hAnsi="Times New Roman" w:cs="Times New Roman"/>
          <w:color w:val="auto"/>
          <w:szCs w:val="20"/>
          <w:highlight w:val="none"/>
          <w:lang w:eastAsia="zh-CN"/>
        </w:rPr>
        <w:t>）建立卸油作业隐患排查治理表，每次卸油时应按照内容进行检查，并形成记录。</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eastAsia" w:cs="Times New Roman"/>
          <w:color w:val="auto"/>
          <w:szCs w:val="20"/>
          <w:highlight w:val="none"/>
          <w:lang w:val="en-US" w:eastAsia="zh-CN"/>
        </w:rPr>
        <w:t>6</w:t>
      </w:r>
      <w:r>
        <w:rPr>
          <w:rFonts w:hint="default" w:ascii="Times New Roman" w:hAnsi="Times New Roman" w:cs="Times New Roman"/>
          <w:color w:val="auto"/>
          <w:szCs w:val="20"/>
          <w:highlight w:val="none"/>
          <w:lang w:eastAsia="zh-CN"/>
        </w:rPr>
        <w:t>）建立加油作业隐患排查治理表，每次交接班时应按照内容进行检查，并形成记录。</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eastAsia" w:cs="Times New Roman"/>
          <w:color w:val="auto"/>
          <w:szCs w:val="20"/>
          <w:highlight w:val="none"/>
          <w:lang w:val="en-US" w:eastAsia="zh-CN"/>
        </w:rPr>
        <w:t>7</w:t>
      </w:r>
      <w:r>
        <w:rPr>
          <w:rFonts w:hint="default" w:ascii="Times New Roman" w:hAnsi="Times New Roman" w:cs="Times New Roman"/>
          <w:color w:val="auto"/>
          <w:szCs w:val="20"/>
          <w:highlight w:val="none"/>
          <w:lang w:eastAsia="zh-CN"/>
        </w:rPr>
        <w:t>）建立（专业检查）隐患排查治理表，</w:t>
      </w:r>
      <w:r>
        <w:rPr>
          <w:rFonts w:hint="eastAsia" w:cs="Times New Roman"/>
          <w:color w:val="auto"/>
          <w:szCs w:val="20"/>
          <w:highlight w:val="none"/>
          <w:lang w:eastAsia="zh-CN"/>
        </w:rPr>
        <w:t>站内员工</w:t>
      </w:r>
      <w:r>
        <w:rPr>
          <w:rFonts w:hint="default" w:ascii="Times New Roman" w:hAnsi="Times New Roman" w:cs="Times New Roman"/>
          <w:color w:val="auto"/>
          <w:szCs w:val="20"/>
          <w:highlight w:val="none"/>
          <w:lang w:val="en-US" w:eastAsia="zh-CN"/>
        </w:rPr>
        <w:t>、上级管理部门、外聘专业人员</w:t>
      </w:r>
      <w:r>
        <w:rPr>
          <w:rFonts w:hint="eastAsia" w:cs="Times New Roman"/>
          <w:color w:val="auto"/>
          <w:szCs w:val="20"/>
          <w:highlight w:val="none"/>
          <w:lang w:val="en-US" w:eastAsia="zh-CN"/>
        </w:rPr>
        <w:t>定期</w:t>
      </w:r>
      <w:r>
        <w:rPr>
          <w:rFonts w:hint="default" w:ascii="Times New Roman" w:hAnsi="Times New Roman" w:cs="Times New Roman"/>
          <w:color w:val="auto"/>
          <w:szCs w:val="20"/>
          <w:highlight w:val="none"/>
          <w:lang w:eastAsia="zh-CN"/>
        </w:rPr>
        <w:t>按照内容进行检查，并形成记录。</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val="en-US" w:eastAsia="zh-CN"/>
        </w:rPr>
      </w:pPr>
      <w:r>
        <w:rPr>
          <w:rFonts w:hint="default" w:ascii="Times New Roman" w:hAnsi="Times New Roman" w:cs="Times New Roman"/>
          <w:color w:val="auto"/>
          <w:szCs w:val="20"/>
          <w:highlight w:val="none"/>
          <w:lang w:eastAsia="zh-CN"/>
        </w:rPr>
        <w:t>（</w:t>
      </w:r>
      <w:r>
        <w:rPr>
          <w:rFonts w:hint="eastAsia" w:cs="Times New Roman"/>
          <w:color w:val="auto"/>
          <w:szCs w:val="20"/>
          <w:highlight w:val="none"/>
          <w:lang w:val="en-US" w:eastAsia="zh-CN"/>
        </w:rPr>
        <w:t>8</w:t>
      </w:r>
      <w:r>
        <w:rPr>
          <w:rFonts w:hint="default" w:ascii="Times New Roman" w:hAnsi="Times New Roman" w:cs="Times New Roman"/>
          <w:color w:val="auto"/>
          <w:szCs w:val="20"/>
          <w:highlight w:val="none"/>
          <w:lang w:eastAsia="zh-CN"/>
        </w:rPr>
        <w:t>）加油站应建立隐患排查治理台账及分析表，明确排查时间、排查岗位、隐患内容、形成原因分析、整改措施、整改责任人、整改期限、验收时间及结果、验收人等。</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eastAsia" w:cs="Times New Roman"/>
          <w:color w:val="auto"/>
          <w:szCs w:val="20"/>
          <w:highlight w:val="none"/>
          <w:lang w:val="en-US" w:eastAsia="zh-CN"/>
        </w:rPr>
        <w:t>9</w:t>
      </w:r>
      <w:r>
        <w:rPr>
          <w:rFonts w:hint="default" w:ascii="Times New Roman" w:hAnsi="Times New Roman" w:cs="Times New Roman"/>
          <w:color w:val="auto"/>
          <w:szCs w:val="20"/>
          <w:highlight w:val="none"/>
          <w:lang w:eastAsia="zh-CN"/>
        </w:rPr>
        <w:t>）建立清罐作业隐患排查治理表，清罐作业时应按照内容进行检查，并形成记录。</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w:t>
      </w:r>
      <w:r>
        <w:rPr>
          <w:rFonts w:hint="default" w:ascii="Times New Roman" w:hAnsi="Times New Roman" w:cs="Times New Roman"/>
          <w:color w:val="auto"/>
          <w:szCs w:val="20"/>
          <w:highlight w:val="none"/>
          <w:lang w:val="en-US" w:eastAsia="zh-CN"/>
        </w:rPr>
        <w:t>1</w:t>
      </w:r>
      <w:r>
        <w:rPr>
          <w:rFonts w:hint="eastAsia" w:cs="Times New Roman"/>
          <w:color w:val="auto"/>
          <w:szCs w:val="20"/>
          <w:highlight w:val="none"/>
          <w:lang w:val="en-US" w:eastAsia="zh-CN"/>
        </w:rPr>
        <w:t>0</w:t>
      </w:r>
      <w:r>
        <w:rPr>
          <w:rFonts w:hint="default" w:ascii="Times New Roman" w:hAnsi="Times New Roman" w:cs="Times New Roman"/>
          <w:color w:val="auto"/>
          <w:szCs w:val="20"/>
          <w:highlight w:val="none"/>
          <w:lang w:eastAsia="zh-CN"/>
        </w:rPr>
        <w:t>）建立检维修作业隐患排查治理表，检维修作业时应按照内容进行检查，并形成记录。</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1</w:t>
      </w:r>
      <w:r>
        <w:rPr>
          <w:rFonts w:hint="eastAsia" w:cs="Times New Roman"/>
          <w:color w:val="auto"/>
          <w:sz w:val="28"/>
          <w:szCs w:val="28"/>
          <w:lang w:val="en-US" w:eastAsia="zh-CN"/>
        </w:rPr>
        <w:t>1</w:t>
      </w:r>
      <w:r>
        <w:rPr>
          <w:rFonts w:hint="default" w:ascii="Times New Roman" w:hAnsi="Times New Roman" w:cs="Times New Roman"/>
          <w:color w:val="auto"/>
          <w:sz w:val="28"/>
          <w:szCs w:val="28"/>
        </w:rPr>
        <w:t>）</w:t>
      </w:r>
      <w:r>
        <w:rPr>
          <w:rFonts w:hint="eastAsia" w:cs="Times New Roman"/>
          <w:color w:val="auto"/>
          <w:sz w:val="28"/>
          <w:szCs w:val="28"/>
          <w:lang w:eastAsia="zh-CN"/>
        </w:rPr>
        <w:t>建议</w:t>
      </w:r>
      <w:r>
        <w:rPr>
          <w:rFonts w:hint="default" w:ascii="Times New Roman" w:hAnsi="Times New Roman" w:cs="Times New Roman"/>
          <w:color w:val="auto"/>
          <w:sz w:val="28"/>
          <w:szCs w:val="28"/>
        </w:rPr>
        <w:t>按照《生产经营单位生产安全事故应急预案编制导则》</w:t>
      </w:r>
      <w:r>
        <w:rPr>
          <w:rFonts w:hint="eastAsia" w:cs="Times New Roman"/>
          <w:color w:val="auto"/>
          <w:sz w:val="28"/>
          <w:szCs w:val="28"/>
          <w:lang w:eastAsia="zh-CN"/>
        </w:rPr>
        <w:t>（</w:t>
      </w:r>
      <w:r>
        <w:rPr>
          <w:rFonts w:hint="default" w:ascii="Times New Roman" w:hAnsi="Times New Roman" w:cs="Times New Roman"/>
          <w:color w:val="auto"/>
          <w:sz w:val="28"/>
          <w:szCs w:val="28"/>
        </w:rPr>
        <w:t>GB/T 29639-20</w:t>
      </w:r>
      <w:r>
        <w:rPr>
          <w:rFonts w:hint="eastAsia" w:cs="Times New Roman"/>
          <w:color w:val="auto"/>
          <w:sz w:val="28"/>
          <w:szCs w:val="28"/>
          <w:lang w:val="en-US" w:eastAsia="zh-CN"/>
        </w:rPr>
        <w:t>20</w:t>
      </w:r>
      <w:r>
        <w:rPr>
          <w:rFonts w:hint="eastAsia" w:cs="Times New Roman"/>
          <w:color w:val="auto"/>
          <w:sz w:val="28"/>
          <w:szCs w:val="28"/>
          <w:lang w:eastAsia="zh-CN"/>
        </w:rPr>
        <w:t>）</w:t>
      </w:r>
      <w:r>
        <w:rPr>
          <w:rFonts w:hint="default" w:ascii="Times New Roman" w:hAnsi="Times New Roman" w:cs="Times New Roman"/>
          <w:color w:val="auto"/>
          <w:sz w:val="28"/>
          <w:szCs w:val="28"/>
        </w:rPr>
        <w:t>的要求，</w:t>
      </w:r>
      <w:r>
        <w:rPr>
          <w:rFonts w:hint="eastAsia" w:cs="Times New Roman"/>
          <w:color w:val="auto"/>
          <w:sz w:val="28"/>
          <w:szCs w:val="28"/>
          <w:lang w:eastAsia="zh-CN"/>
        </w:rPr>
        <w:t>根据加油中心实际情况更新</w:t>
      </w:r>
      <w:r>
        <w:rPr>
          <w:rFonts w:hint="default" w:ascii="Times New Roman" w:hAnsi="Times New Roman" w:cs="Times New Roman"/>
          <w:color w:val="auto"/>
          <w:sz w:val="28"/>
          <w:szCs w:val="28"/>
        </w:rPr>
        <w:t>生产安全事故的应急救援预案</w:t>
      </w:r>
      <w:r>
        <w:rPr>
          <w:rFonts w:hint="eastAsia" w:cs="Times New Roman"/>
          <w:color w:val="auto"/>
          <w:sz w:val="28"/>
          <w:szCs w:val="28"/>
          <w:lang w:eastAsia="zh-CN"/>
        </w:rPr>
        <w:t>且及时进行修订完善，</w:t>
      </w:r>
      <w:r>
        <w:rPr>
          <w:rFonts w:hint="default" w:ascii="Times New Roman" w:hAnsi="Times New Roman" w:cs="Times New Roman"/>
          <w:color w:val="auto"/>
          <w:sz w:val="28"/>
          <w:szCs w:val="28"/>
        </w:rPr>
        <w:t>并</w:t>
      </w:r>
      <w:r>
        <w:rPr>
          <w:rFonts w:hint="eastAsia" w:cs="Times New Roman"/>
          <w:color w:val="auto"/>
          <w:sz w:val="28"/>
          <w:szCs w:val="28"/>
          <w:lang w:eastAsia="zh-CN"/>
        </w:rPr>
        <w:t>应</w:t>
      </w:r>
      <w:r>
        <w:rPr>
          <w:rFonts w:hint="default" w:ascii="Times New Roman" w:hAnsi="Times New Roman" w:cs="Times New Roman"/>
          <w:color w:val="auto"/>
          <w:sz w:val="28"/>
          <w:szCs w:val="28"/>
        </w:rPr>
        <w:t>定期演练、评估，做好演练纪录。加强与最近的应急服务机构（消防队、医院）的联系。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1</w:t>
      </w:r>
      <w:r>
        <w:rPr>
          <w:rFonts w:hint="eastAsia" w:cs="Times New Roman"/>
          <w:color w:val="auto"/>
          <w:highlight w:val="none"/>
          <w:lang w:val="en-US" w:eastAsia="zh-CN"/>
        </w:rPr>
        <w:t>2</w:t>
      </w:r>
      <w:r>
        <w:rPr>
          <w:rFonts w:hint="default" w:ascii="Times New Roman" w:hAnsi="Times New Roman" w:cs="Times New Roman"/>
          <w:color w:val="auto"/>
          <w:highlight w:val="none"/>
        </w:rPr>
        <w:t>）根据《</w:t>
      </w:r>
      <w:r>
        <w:rPr>
          <w:rFonts w:hint="eastAsia" w:cs="Times New Roman"/>
          <w:color w:val="auto"/>
          <w:highlight w:val="none"/>
          <w:lang w:eastAsia="zh-CN"/>
        </w:rPr>
        <w:t>汽车加油站安全生产风险管控和隐患排查治理体系建设实施指南</w:t>
      </w:r>
      <w:r>
        <w:rPr>
          <w:rFonts w:hint="default" w:ascii="Times New Roman" w:hAnsi="Times New Roman" w:cs="Times New Roman"/>
          <w:color w:val="auto"/>
          <w:highlight w:val="none"/>
        </w:rPr>
        <w:t>》（DB37/T</w:t>
      </w:r>
      <w:r>
        <w:rPr>
          <w:rFonts w:hint="eastAsia" w:cs="Times New Roman"/>
          <w:color w:val="auto"/>
          <w:highlight w:val="none"/>
          <w:lang w:val="en-US" w:eastAsia="zh-CN"/>
        </w:rPr>
        <w:t>3651</w:t>
      </w:r>
      <w:r>
        <w:rPr>
          <w:rFonts w:hint="default" w:ascii="Times New Roman" w:hAnsi="Times New Roman" w:cs="Times New Roman"/>
          <w:color w:val="auto"/>
          <w:highlight w:val="none"/>
        </w:rPr>
        <w:t>-201</w:t>
      </w:r>
      <w:r>
        <w:rPr>
          <w:rFonts w:hint="eastAsia" w:cs="Times New Roman"/>
          <w:color w:val="auto"/>
          <w:highlight w:val="none"/>
          <w:lang w:val="en-US" w:eastAsia="zh-CN"/>
        </w:rPr>
        <w:t>9</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及</w:t>
      </w:r>
      <w:r>
        <w:rPr>
          <w:rFonts w:hint="default" w:ascii="Times New Roman" w:hAnsi="Times New Roman" w:cs="Times New Roman"/>
          <w:color w:val="auto"/>
          <w:sz w:val="28"/>
          <w:szCs w:val="28"/>
          <w:highlight w:val="none"/>
        </w:rPr>
        <w:t>《山东省安全生产风险管控办法》（省政府令第331号）</w:t>
      </w:r>
      <w:r>
        <w:rPr>
          <w:rFonts w:hint="default" w:ascii="Times New Roman" w:hAnsi="Times New Roman" w:cs="Times New Roman"/>
          <w:color w:val="auto"/>
          <w:sz w:val="28"/>
          <w:szCs w:val="28"/>
          <w:highlight w:val="none"/>
          <w:lang w:eastAsia="zh-CN"/>
        </w:rPr>
        <w:t>的</w:t>
      </w:r>
      <w:r>
        <w:rPr>
          <w:rFonts w:hint="default" w:ascii="Times New Roman" w:hAnsi="Times New Roman" w:cs="Times New Roman"/>
          <w:color w:val="auto"/>
          <w:sz w:val="28"/>
          <w:szCs w:val="28"/>
          <w:highlight w:val="none"/>
        </w:rPr>
        <w:t>要求，积极推进风险分级管控和隐患排查治理体系建设工作，并有效运行。</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w:t>
      </w:r>
      <w:r>
        <w:rPr>
          <w:rFonts w:hint="default" w:ascii="Times New Roman" w:hAnsi="Times New Roman" w:cs="Times New Roman"/>
          <w:color w:val="auto"/>
          <w:sz w:val="28"/>
          <w:szCs w:val="28"/>
          <w:lang w:val="en-US" w:eastAsia="zh-CN"/>
        </w:rPr>
        <w:t>1</w:t>
      </w:r>
      <w:r>
        <w:rPr>
          <w:rFonts w:hint="eastAsia" w:cs="Times New Roman"/>
          <w:color w:val="auto"/>
          <w:sz w:val="28"/>
          <w:szCs w:val="28"/>
          <w:lang w:val="en-US" w:eastAsia="zh-CN"/>
        </w:rPr>
        <w:t>3</w:t>
      </w:r>
      <w:r>
        <w:rPr>
          <w:rFonts w:hint="default" w:ascii="Times New Roman" w:hAnsi="Times New Roman" w:cs="Times New Roman"/>
          <w:color w:val="auto"/>
          <w:sz w:val="28"/>
          <w:szCs w:val="28"/>
        </w:rPr>
        <w:t>）消防设施、消防器材应定期进行检验检测，保证其完好可用。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1</w:t>
      </w:r>
      <w:r>
        <w:rPr>
          <w:rFonts w:hint="eastAsia" w:cs="Times New Roman"/>
          <w:color w:val="auto"/>
          <w:szCs w:val="28"/>
          <w:lang w:val="en-US" w:eastAsia="zh-CN"/>
        </w:rPr>
        <w:t>4</w:t>
      </w:r>
      <w:r>
        <w:rPr>
          <w:rFonts w:hint="default" w:ascii="Times New Roman" w:hAnsi="Times New Roman" w:cs="Times New Roman"/>
          <w:color w:val="auto"/>
          <w:szCs w:val="28"/>
        </w:rPr>
        <w:t>）</w:t>
      </w:r>
      <w:r>
        <w:rPr>
          <w:rFonts w:hint="default" w:ascii="Times New Roman" w:hAnsi="Times New Roman" w:cs="Times New Roman"/>
          <w:color w:val="auto"/>
          <w:szCs w:val="28"/>
          <w:lang w:eastAsia="zh-CN"/>
        </w:rPr>
        <w:t>加油站防雷防静电接地设施应定期进行检测。</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1</w:t>
      </w:r>
      <w:r>
        <w:rPr>
          <w:rFonts w:hint="eastAsia" w:cs="Times New Roman"/>
          <w:color w:val="auto"/>
          <w:szCs w:val="28"/>
          <w:lang w:val="en-US" w:eastAsia="zh-CN"/>
        </w:rPr>
        <w:t>5</w:t>
      </w:r>
      <w:r>
        <w:rPr>
          <w:rFonts w:hint="default" w:ascii="Times New Roman" w:hAnsi="Times New Roman" w:cs="Times New Roman"/>
          <w:color w:val="auto"/>
          <w:szCs w:val="28"/>
        </w:rPr>
        <w:t>）埋地油罐要定期开挖，检查防腐层是否完好。每3～5年进行一次油罐内部腐蚀情况检查</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eastAsia" w:cs="Times New Roman"/>
          <w:color w:val="auto"/>
          <w:szCs w:val="28"/>
          <w:lang w:val="en-US" w:eastAsia="zh-CN"/>
        </w:rPr>
        <w:t>16</w:t>
      </w:r>
      <w:r>
        <w:rPr>
          <w:rFonts w:hint="default" w:ascii="Times New Roman" w:hAnsi="Times New Roman" w:cs="Times New Roman"/>
          <w:color w:val="auto"/>
          <w:szCs w:val="28"/>
        </w:rPr>
        <w:t>）</w:t>
      </w:r>
      <w:r>
        <w:rPr>
          <w:rFonts w:hint="eastAsia" w:cs="Times New Roman"/>
          <w:color w:val="auto"/>
          <w:szCs w:val="28"/>
          <w:lang w:eastAsia="zh-CN"/>
        </w:rPr>
        <w:t>企业应及时为从业人员缴纳工伤保险与安全生产责任险</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eastAsia" w:cs="Times New Roman"/>
          <w:color w:val="auto"/>
          <w:szCs w:val="28"/>
          <w:lang w:val="en-US" w:eastAsia="zh-CN"/>
        </w:rPr>
        <w:t>17</w:t>
      </w:r>
      <w:r>
        <w:rPr>
          <w:rFonts w:hint="default" w:ascii="Times New Roman" w:hAnsi="Times New Roman" w:cs="Times New Roman"/>
          <w:color w:val="auto"/>
          <w:szCs w:val="28"/>
        </w:rPr>
        <w:t>）对加油机内部的电气密封应定期检查，如发现不良必须立即修复或更换</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eastAsia" w:cs="Times New Roman"/>
          <w:color w:val="auto"/>
          <w:szCs w:val="28"/>
          <w:lang w:val="en-US" w:eastAsia="zh-CN"/>
        </w:rPr>
        <w:t>18</w:t>
      </w:r>
      <w:r>
        <w:rPr>
          <w:rFonts w:hint="default" w:ascii="Times New Roman" w:hAnsi="Times New Roman" w:cs="Times New Roman"/>
          <w:color w:val="auto"/>
          <w:szCs w:val="28"/>
        </w:rPr>
        <w:t>）应经常检查软管的金属线与机体之间的静电接地是否可靠，加油枪及其胶管应定期进行导除静电测试，且合格</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eastAsia" w:cs="Times New Roman"/>
          <w:color w:val="auto"/>
          <w:szCs w:val="28"/>
          <w:lang w:val="en-US" w:eastAsia="zh-CN"/>
        </w:rPr>
        <w:t>19</w:t>
      </w:r>
      <w:r>
        <w:rPr>
          <w:rFonts w:hint="default" w:ascii="Times New Roman" w:hAnsi="Times New Roman" w:cs="Times New Roman"/>
          <w:color w:val="auto"/>
          <w:szCs w:val="28"/>
        </w:rPr>
        <w:t>）操作人员必须穿着防静电服装，严禁穿带金属钉子的鞋，禁止敲击铁石器</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0</w:t>
      </w:r>
      <w:r>
        <w:rPr>
          <w:rFonts w:hint="default" w:ascii="Times New Roman" w:hAnsi="Times New Roman" w:cs="Times New Roman"/>
          <w:color w:val="auto"/>
          <w:szCs w:val="28"/>
        </w:rPr>
        <w:t>）计量员计量时应按章操作，站立在上风口，计量器具要轻拿轻放，不得使用化纤棉纱擦拭</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1</w:t>
      </w:r>
      <w:r>
        <w:rPr>
          <w:rFonts w:hint="default" w:ascii="Times New Roman" w:hAnsi="Times New Roman" w:cs="Times New Roman"/>
          <w:color w:val="auto"/>
          <w:szCs w:val="28"/>
        </w:rPr>
        <w:t>）要保持人孔、法兰、量油口的密闭性，并经常检查，防止油气挥发</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2</w:t>
      </w:r>
      <w:r>
        <w:rPr>
          <w:rFonts w:hint="default" w:ascii="Times New Roman" w:hAnsi="Times New Roman" w:cs="Times New Roman"/>
          <w:color w:val="auto"/>
          <w:szCs w:val="28"/>
        </w:rPr>
        <w:t>）油罐车进站应停靠在指定位置，卸油之前，发动机应熄火，连通静电接地跨接线，车头朝向道路出口</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eastAsia="宋体" w:cs="Times New Roman"/>
          <w:color w:val="auto"/>
          <w:szCs w:val="28"/>
          <w:lang w:eastAsia="zh-CN"/>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3</w:t>
      </w:r>
      <w:r>
        <w:rPr>
          <w:rFonts w:hint="default" w:ascii="Times New Roman" w:hAnsi="Times New Roman" w:cs="Times New Roman"/>
          <w:color w:val="auto"/>
          <w:szCs w:val="28"/>
        </w:rPr>
        <w:t>）卸油前，认真检查管线、阀门，对共用管线要关闭与其它油罐相连阀门，以防发生混油事故</w:t>
      </w:r>
      <w:r>
        <w:rPr>
          <w:rFonts w:hint="default" w:ascii="Times New Roman" w:hAnsi="Times New Roman" w:cs="Times New Roman"/>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4</w:t>
      </w:r>
      <w:r>
        <w:rPr>
          <w:rFonts w:hint="default" w:ascii="Times New Roman" w:hAnsi="Times New Roman" w:cs="Times New Roman"/>
          <w:color w:val="auto"/>
          <w:szCs w:val="28"/>
        </w:rPr>
        <w:t>）卸油时，司机和卸油工应坚守岗位，并应派人监护，做好现场警戒。消防器材要放置在卸油口的上风位置。卸油时不准其它车辆进站加油，严防其它点火源接近卸油现场。在卸油过程中，油罐车不得随意点火起动和进行车位移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25</w:t>
      </w:r>
      <w:r>
        <w:rPr>
          <w:rFonts w:hint="default" w:ascii="Times New Roman" w:hAnsi="Times New Roman" w:cs="Times New Roman"/>
          <w:color w:val="auto"/>
          <w:szCs w:val="28"/>
        </w:rPr>
        <w:t>）雷雨天禁止卸油作业；</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26</w:t>
      </w:r>
      <w:r>
        <w:rPr>
          <w:rFonts w:hint="default" w:ascii="Times New Roman" w:hAnsi="Times New Roman" w:cs="Times New Roman"/>
          <w:color w:val="auto"/>
          <w:szCs w:val="28"/>
        </w:rPr>
        <w:t>）油罐车必须采用密闭方式卸油；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27</w:t>
      </w:r>
      <w:r>
        <w:rPr>
          <w:rFonts w:hint="default" w:ascii="Times New Roman" w:hAnsi="Times New Roman" w:cs="Times New Roman"/>
          <w:color w:val="auto"/>
          <w:szCs w:val="28"/>
        </w:rPr>
        <w:t>）卸完油后，油罐车不可立即起动，应待罐车周围油气消散后（约5min）再起动。油罐中油位复测也应在卸完油后静止一段时间再进行；</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28</w:t>
      </w:r>
      <w:r>
        <w:rPr>
          <w:rFonts w:hint="default" w:ascii="Times New Roman" w:hAnsi="Times New Roman" w:cs="Times New Roman"/>
          <w:color w:val="auto"/>
          <w:szCs w:val="28"/>
        </w:rPr>
        <w:t>）卸油用的连通软管应选用导静电耐油软管</w:t>
      </w:r>
      <w:r>
        <w:rPr>
          <w:rFonts w:hint="eastAsia" w:cs="Times New Roman"/>
          <w:color w:val="auto"/>
          <w:szCs w:val="28"/>
          <w:lang w:eastAsia="zh-CN"/>
        </w:rPr>
        <w:t>，</w:t>
      </w:r>
      <w:r>
        <w:rPr>
          <w:rFonts w:hint="eastAsia" w:cs="Times New Roman"/>
          <w:color w:val="auto"/>
          <w:szCs w:val="28"/>
          <w:lang w:val="en-US" w:eastAsia="zh-CN"/>
        </w:rPr>
        <w:t>其体电阻率应小于10</w:t>
      </w:r>
      <w:r>
        <w:rPr>
          <w:rFonts w:hint="eastAsia" w:cs="Times New Roman"/>
          <w:color w:val="auto"/>
          <w:szCs w:val="28"/>
          <w:vertAlign w:val="superscript"/>
          <w:lang w:val="en-US" w:eastAsia="zh-CN"/>
        </w:rPr>
        <w:t>8</w:t>
      </w:r>
      <w:r>
        <w:rPr>
          <w:rFonts w:hint="default" w:ascii="Times New Roman" w:hAnsi="Times New Roman" w:cs="Times New Roman"/>
          <w:color w:val="auto"/>
          <w:szCs w:val="28"/>
        </w:rPr>
        <w:t>Ω•</w:t>
      </w:r>
      <w:r>
        <w:rPr>
          <w:rFonts w:hint="eastAsia" w:cs="Times New Roman"/>
          <w:color w:val="auto"/>
          <w:szCs w:val="28"/>
          <w:lang w:val="en-US" w:eastAsia="zh-CN"/>
        </w:rPr>
        <w:t>m，表面电阻率应小于10</w:t>
      </w:r>
      <w:r>
        <w:rPr>
          <w:rFonts w:hint="eastAsia" w:cs="Times New Roman"/>
          <w:color w:val="auto"/>
          <w:szCs w:val="28"/>
          <w:vertAlign w:val="superscript"/>
          <w:lang w:val="en-US" w:eastAsia="zh-CN"/>
        </w:rPr>
        <w:t>10</w:t>
      </w:r>
      <w:r>
        <w:rPr>
          <w:rFonts w:hint="default" w:ascii="Times New Roman" w:hAnsi="Times New Roman" w:cs="Times New Roman"/>
          <w:color w:val="auto"/>
          <w:szCs w:val="28"/>
        </w:rPr>
        <w:t>Ω</w:t>
      </w:r>
      <w:r>
        <w:rPr>
          <w:rFonts w:hint="eastAsia" w:cs="Times New Roman"/>
          <w:color w:val="auto"/>
          <w:szCs w:val="28"/>
          <w:lang w:eastAsia="zh-CN"/>
        </w:rPr>
        <w:t>，</w:t>
      </w:r>
      <w:r>
        <w:rPr>
          <w:rFonts w:hint="eastAsia" w:cs="Times New Roman"/>
          <w:color w:val="auto"/>
          <w:szCs w:val="28"/>
          <w:lang w:val="en-US" w:eastAsia="zh-CN"/>
        </w:rPr>
        <w:t>或采用内附金属丝（网）的橡胶软管</w:t>
      </w:r>
      <w:r>
        <w:rPr>
          <w:rFonts w:hint="default" w:ascii="Times New Roman" w:hAnsi="Times New Roman" w:cs="Times New Roman"/>
          <w:color w:val="auto"/>
          <w:szCs w:val="28"/>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29</w:t>
      </w:r>
      <w:r>
        <w:rPr>
          <w:rFonts w:hint="default" w:ascii="Times New Roman" w:hAnsi="Times New Roman" w:cs="Times New Roman"/>
          <w:color w:val="auto"/>
          <w:szCs w:val="28"/>
        </w:rPr>
        <w:t>）外来车辆加油时，加油车辆的司机、乘坐人员进站后不得影响加油站的安全，严禁火种进站；</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0</w:t>
      </w:r>
      <w:r>
        <w:rPr>
          <w:rFonts w:hint="default" w:ascii="Times New Roman" w:hAnsi="Times New Roman" w:cs="Times New Roman"/>
          <w:color w:val="auto"/>
          <w:szCs w:val="28"/>
        </w:rPr>
        <w:t>）加油车辆到限定位置后要熄火，司机不得在此修理和擦拭汽车；</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1</w:t>
      </w:r>
      <w:r>
        <w:rPr>
          <w:rFonts w:hint="default" w:ascii="Times New Roman" w:hAnsi="Times New Roman" w:cs="Times New Roman"/>
          <w:color w:val="auto"/>
          <w:szCs w:val="28"/>
        </w:rPr>
        <w:t>）加油员应亲自操纵油枪，油枪应牢靠地插入油箱的注油口，精力集中，认真操作，做到不洒不漏，加油枪宜采用自封式加油枪，流量不应大于50L/min；</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2</w:t>
      </w:r>
      <w:r>
        <w:rPr>
          <w:rFonts w:hint="default" w:ascii="Times New Roman" w:hAnsi="Times New Roman" w:cs="Times New Roman"/>
          <w:color w:val="auto"/>
          <w:szCs w:val="28"/>
        </w:rPr>
        <w:t>）高强闪电，雷击频繁时，禁止加油作业；送油车卸油时，暂停加油；不给塑料容器加油；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3</w:t>
      </w:r>
      <w:r>
        <w:rPr>
          <w:rFonts w:hint="default" w:ascii="Times New Roman" w:hAnsi="Times New Roman" w:cs="Times New Roman"/>
          <w:color w:val="auto"/>
          <w:szCs w:val="28"/>
        </w:rPr>
        <w:t>）加油机发生故障或发生危及加油站安全情况时，应立即停止加油。发生跑、冒、洒油时，必须待清理完现场后，加油车才能启动离开；</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3</w:t>
      </w:r>
      <w:r>
        <w:rPr>
          <w:rFonts w:hint="eastAsia" w:cs="Times New Roman"/>
          <w:color w:val="auto"/>
          <w:szCs w:val="28"/>
          <w:lang w:val="en-US" w:eastAsia="zh-CN"/>
        </w:rPr>
        <w:t>4</w:t>
      </w:r>
      <w:r>
        <w:rPr>
          <w:rFonts w:hint="default" w:ascii="Times New Roman" w:hAnsi="Times New Roman" w:cs="Times New Roman"/>
          <w:color w:val="auto"/>
          <w:szCs w:val="28"/>
        </w:rPr>
        <w:t>）对作业中洒在地面上的油品要及时处理，不能用化纤织物擦拭加油汽车油箱附近车体和地面；</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35</w:t>
      </w:r>
      <w:r>
        <w:rPr>
          <w:rFonts w:hint="default" w:ascii="Times New Roman" w:hAnsi="Times New Roman" w:cs="Times New Roman"/>
          <w:color w:val="auto"/>
          <w:szCs w:val="28"/>
        </w:rPr>
        <w:t>）加油站停止作业时，必须关闭加油机，切断电源，锁好机门；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36</w:t>
      </w:r>
      <w:r>
        <w:rPr>
          <w:rFonts w:hint="default" w:ascii="Times New Roman" w:hAnsi="Times New Roman" w:cs="Times New Roman"/>
          <w:color w:val="auto"/>
          <w:szCs w:val="28"/>
        </w:rPr>
        <w:t>）加油站内不得随意装接临时电气线路；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37</w:t>
      </w:r>
      <w:r>
        <w:rPr>
          <w:rFonts w:hint="default" w:ascii="Times New Roman" w:hAnsi="Times New Roman" w:cs="Times New Roman"/>
          <w:color w:val="auto"/>
          <w:szCs w:val="28"/>
        </w:rPr>
        <w:t>）</w:t>
      </w:r>
      <w:r>
        <w:rPr>
          <w:rFonts w:hint="eastAsia" w:cs="Times New Roman"/>
          <w:color w:val="auto"/>
          <w:szCs w:val="28"/>
          <w:lang w:val="en-US" w:eastAsia="zh-CN"/>
        </w:rPr>
        <w:t>建议企业在罐区附近设置围墙或者其他隔离设施，以此隔绝一般火种及禁止无关人员进入，保障站内安全</w:t>
      </w:r>
      <w:r>
        <w:rPr>
          <w:rFonts w:hint="default" w:ascii="Times New Roman" w:hAnsi="Times New Roman" w:cs="Times New Roman"/>
          <w:color w:val="auto"/>
          <w:szCs w:val="28"/>
        </w:rPr>
        <w:t>；</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38</w:t>
      </w:r>
      <w:r>
        <w:rPr>
          <w:rFonts w:hint="default" w:ascii="Times New Roman" w:hAnsi="Times New Roman" w:cs="Times New Roman"/>
          <w:color w:val="auto"/>
          <w:szCs w:val="28"/>
        </w:rPr>
        <w:t>）加油站罩棚、通气管等处于高处的设备、建、构筑物、电气设备、线路，必须设有可靠的避雷装置，并定期进行检测和监测，不合格及时更换或修复；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39</w:t>
      </w:r>
      <w:r>
        <w:rPr>
          <w:rFonts w:hint="default" w:ascii="Times New Roman" w:hAnsi="Times New Roman" w:cs="Times New Roman"/>
          <w:color w:val="auto"/>
          <w:szCs w:val="28"/>
        </w:rPr>
        <w:t>）加油站内严禁烟火，并在显著位置设置规范的警示标志；</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4</w:t>
      </w:r>
      <w:r>
        <w:rPr>
          <w:rFonts w:hint="eastAsia" w:cs="Times New Roman"/>
          <w:color w:val="auto"/>
          <w:szCs w:val="28"/>
          <w:lang w:val="en-US" w:eastAsia="zh-CN"/>
        </w:rPr>
        <w:t>0</w:t>
      </w:r>
      <w:r>
        <w:rPr>
          <w:rFonts w:hint="default" w:ascii="Times New Roman" w:hAnsi="Times New Roman" w:cs="Times New Roman"/>
          <w:color w:val="auto"/>
          <w:szCs w:val="28"/>
        </w:rPr>
        <w:t>）加油站内禁止使用手机等移动通讯设备，并在显著位置设置规范的警示标志；</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4</w:t>
      </w:r>
      <w:r>
        <w:rPr>
          <w:rFonts w:hint="eastAsia" w:cs="Times New Roman"/>
          <w:color w:val="auto"/>
          <w:szCs w:val="28"/>
          <w:lang w:val="en-US" w:eastAsia="zh-CN"/>
        </w:rPr>
        <w:t>1</w:t>
      </w:r>
      <w:r>
        <w:rPr>
          <w:rFonts w:hint="default" w:ascii="Times New Roman" w:hAnsi="Times New Roman" w:cs="Times New Roman"/>
          <w:color w:val="auto"/>
          <w:szCs w:val="28"/>
        </w:rPr>
        <w:t>）站内动用明火作业时，应严格执行火操作规程，爆炸危险区内作业应办理动火作业证，并采取切实可行的安全防护措施；</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4</w:t>
      </w:r>
      <w:r>
        <w:rPr>
          <w:rFonts w:hint="eastAsia" w:cs="Times New Roman"/>
          <w:color w:val="auto"/>
          <w:szCs w:val="28"/>
          <w:lang w:val="en-US" w:eastAsia="zh-CN"/>
        </w:rPr>
        <w:t>2</w:t>
      </w:r>
      <w:r>
        <w:rPr>
          <w:rFonts w:hint="default" w:ascii="Times New Roman" w:hAnsi="Times New Roman" w:cs="Times New Roman"/>
          <w:color w:val="auto"/>
          <w:szCs w:val="28"/>
        </w:rPr>
        <w:t>）凡逢重大节假日，加油站附近生活区、居民区可能为庆祝而燃放烟花、爆竹，尤其是某些烟花，其窜行距离及高度极大，严重威胁加油站的安全，为此，应加强节假日值班巡逻，并与当地</w:t>
      </w:r>
      <w:r>
        <w:rPr>
          <w:rFonts w:hint="eastAsia" w:cs="Times New Roman"/>
          <w:color w:val="auto"/>
          <w:szCs w:val="28"/>
          <w:lang w:val="en-US" w:eastAsia="zh-CN"/>
        </w:rPr>
        <w:t>应急</w:t>
      </w:r>
      <w:r>
        <w:rPr>
          <w:rFonts w:hint="default" w:ascii="Times New Roman" w:hAnsi="Times New Roman" w:cs="Times New Roman"/>
          <w:color w:val="auto"/>
          <w:szCs w:val="28"/>
        </w:rPr>
        <w:t>消防部门联系，在加油站周围区域划定禁放区；</w:t>
      </w:r>
    </w:p>
    <w:p>
      <w:pPr>
        <w:pStyle w:val="86"/>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Times New Roman" w:hAnsi="Times New Roman" w:eastAsia="宋体" w:cs="Times New Roman"/>
          <w:color w:val="auto"/>
          <w:lang w:eastAsia="zh-CN"/>
        </w:rPr>
      </w:pPr>
      <w:r>
        <w:rPr>
          <w:rFonts w:hint="default" w:ascii="Times New Roman" w:hAnsi="Times New Roman" w:cs="Times New Roman"/>
          <w:color w:val="auto"/>
        </w:rPr>
        <w:t>（</w:t>
      </w:r>
      <w:r>
        <w:rPr>
          <w:rFonts w:hint="eastAsia" w:cs="Times New Roman"/>
          <w:color w:val="auto"/>
          <w:lang w:val="en-US" w:eastAsia="zh-CN"/>
        </w:rPr>
        <w:t>43</w:t>
      </w:r>
      <w:r>
        <w:rPr>
          <w:rFonts w:hint="default" w:ascii="Times New Roman" w:hAnsi="Times New Roman" w:cs="Times New Roman"/>
          <w:color w:val="auto"/>
        </w:rPr>
        <w:t>）槽罐车卸车场地应设槽罐车卸车时带静电接地报警器的接地装置，在爆炸危险区域内工艺管道的法兰，应采用铜片进行跨接，胶管两端连接处应采用金属线跨接</w:t>
      </w:r>
      <w:r>
        <w:rPr>
          <w:rFonts w:hint="eastAsia" w:cs="Times New Roman"/>
          <w:color w:val="auto"/>
          <w:lang w:eastAsia="zh-CN"/>
        </w:rPr>
        <w:t>。</w:t>
      </w:r>
    </w:p>
    <w:p>
      <w:pPr>
        <w:pStyle w:val="86"/>
        <w:pageBreakBefore w:val="0"/>
        <w:kinsoku/>
        <w:wordWrap/>
        <w:topLinePunct w:val="0"/>
        <w:bidi w:val="0"/>
        <w:adjustRightInd w:val="0"/>
        <w:snapToGrid w:val="0"/>
        <w:ind w:firstLine="280" w:firstLineChars="100"/>
        <w:rPr>
          <w:rFonts w:hint="default" w:ascii="Times New Roman" w:hAnsi="Times New Roman" w:cs="Times New Roman"/>
          <w:color w:val="auto"/>
          <w:highlight w:val="yellow"/>
        </w:rPr>
        <w:sectPr>
          <w:pgSz w:w="11906" w:h="16838"/>
          <w:pgMar w:top="1418" w:right="1418" w:bottom="1417" w:left="1418" w:header="964" w:footer="964" w:gutter="0"/>
          <w:pgBorders>
            <w:top w:val="none" w:sz="0" w:space="0"/>
            <w:left w:val="none" w:sz="0" w:space="0"/>
            <w:bottom w:val="none" w:sz="0" w:space="0"/>
            <w:right w:val="none" w:sz="0" w:space="0"/>
          </w:pgBorders>
          <w:cols w:space="720" w:num="1"/>
          <w:docGrid w:linePitch="312" w:charSpace="0"/>
        </w:sectPr>
      </w:pPr>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32"/>
          <w:szCs w:val="32"/>
          <w:highlight w:val="none"/>
        </w:rPr>
      </w:pPr>
      <w:bookmarkStart w:id="115" w:name="_Toc496775875"/>
      <w:bookmarkStart w:id="116" w:name="_Toc10562"/>
      <w:r>
        <w:rPr>
          <w:rFonts w:hint="eastAsia" w:cs="Times New Roman" w:eastAsiaTheme="minorEastAsia"/>
          <w:color w:val="auto"/>
          <w:sz w:val="32"/>
          <w:szCs w:val="32"/>
          <w:highlight w:val="none"/>
          <w:lang w:val="en-US" w:eastAsia="zh-CN"/>
        </w:rPr>
        <w:t>9</w:t>
      </w:r>
      <w:r>
        <w:rPr>
          <w:rFonts w:hint="default" w:ascii="Times New Roman" w:hAnsi="Times New Roman" w:cs="Times New Roman" w:eastAsiaTheme="minorEastAsia"/>
          <w:color w:val="auto"/>
          <w:sz w:val="32"/>
          <w:szCs w:val="32"/>
          <w:highlight w:val="none"/>
          <w:lang w:val="en-US" w:eastAsia="zh-CN"/>
        </w:rPr>
        <w:t xml:space="preserve"> </w:t>
      </w:r>
      <w:r>
        <w:rPr>
          <w:rFonts w:hint="default" w:ascii="Times New Roman" w:hAnsi="Times New Roman" w:cs="Times New Roman" w:eastAsiaTheme="minorEastAsia"/>
          <w:color w:val="auto"/>
          <w:sz w:val="32"/>
          <w:szCs w:val="32"/>
          <w:highlight w:val="none"/>
        </w:rPr>
        <w:t>整改情况复查</w:t>
      </w:r>
      <w:bookmarkEnd w:id="115"/>
      <w:bookmarkEnd w:id="116"/>
    </w:p>
    <w:p>
      <w:pPr>
        <w:pageBreakBefore w:val="0"/>
        <w:kinsoku/>
        <w:wordWrap/>
        <w:topLinePunct w:val="0"/>
        <w:bidi w:val="0"/>
        <w:adjustRightInd w:val="0"/>
        <w:snapToGrid w:val="0"/>
        <w:ind w:firstLine="560"/>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评价组通过现场检查和评价分析，总共发现</w:t>
      </w:r>
      <w:r>
        <w:rPr>
          <w:rFonts w:hint="eastAsia" w:cs="Times New Roman" w:eastAsiaTheme="minorEastAsia"/>
          <w:color w:val="auto"/>
          <w:highlight w:val="none"/>
          <w:lang w:val="en-US" w:eastAsia="zh-CN"/>
        </w:rPr>
        <w:t>3</w:t>
      </w:r>
      <w:r>
        <w:rPr>
          <w:rFonts w:hint="default" w:ascii="Times New Roman" w:hAnsi="Times New Roman" w:cs="Times New Roman" w:eastAsiaTheme="minorEastAsia"/>
          <w:color w:val="auto"/>
          <w:highlight w:val="none"/>
        </w:rPr>
        <w:t>条安全隐患，并提出相应的整改措施，该单位已按要求在规定期限内对不符合项进行了认真的整改，评价组按规定要求进行了复查，具体整改情况见下表。</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表</w:t>
      </w:r>
      <w:r>
        <w:rPr>
          <w:rFonts w:hint="eastAsia" w:cs="Times New Roman" w:eastAsiaTheme="minorEastAsia"/>
          <w:b/>
          <w:color w:val="auto"/>
          <w:sz w:val="24"/>
          <w:lang w:val="en-US" w:eastAsia="zh-CN"/>
        </w:rPr>
        <w:t>9</w:t>
      </w:r>
      <w:r>
        <w:rPr>
          <w:rFonts w:hint="default" w:ascii="Times New Roman" w:hAnsi="Times New Roman" w:cs="Times New Roman" w:eastAsiaTheme="minorEastAsia"/>
          <w:b/>
          <w:color w:val="auto"/>
          <w:sz w:val="24"/>
        </w:rPr>
        <w:t>-1 整改情况复查表</w:t>
      </w:r>
    </w:p>
    <w:tbl>
      <w:tblPr>
        <w:tblStyle w:val="28"/>
        <w:tblW w:w="928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3242"/>
        <w:gridCol w:w="3391"/>
        <w:gridCol w:w="19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72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324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存在问题</w:t>
            </w:r>
          </w:p>
        </w:tc>
        <w:tc>
          <w:tcPr>
            <w:tcW w:w="339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整改措施</w:t>
            </w:r>
          </w:p>
        </w:tc>
        <w:tc>
          <w:tcPr>
            <w:tcW w:w="192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复查结果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729"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3242"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储罐容积数量标识错误。</w:t>
            </w:r>
          </w:p>
        </w:tc>
        <w:tc>
          <w:tcPr>
            <w:tcW w:w="3391" w:type="dxa"/>
            <w:vAlign w:val="center"/>
          </w:tcPr>
          <w:p>
            <w:pPr>
              <w:pageBreakBefore w:val="0"/>
              <w:kinsoku/>
              <w:wordWrap/>
              <w:topLinePunct w:val="0"/>
              <w:bidi w:val="0"/>
              <w:adjustRightInd w:val="0"/>
              <w:snapToGrid w:val="0"/>
              <w:spacing w:line="240" w:lineRule="auto"/>
              <w:ind w:firstLine="0" w:firstLineChars="0"/>
              <w:jc w:val="both"/>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按照实际情况标识储罐容积数值。</w:t>
            </w:r>
          </w:p>
        </w:tc>
        <w:tc>
          <w:tcPr>
            <w:tcW w:w="1922"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已整改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729" w:type="dxa"/>
            <w:vAlign w:val="center"/>
          </w:tcPr>
          <w:p>
            <w:pPr>
              <w:pageBreakBefore w:val="0"/>
              <w:kinsoku/>
              <w:wordWrap/>
              <w:topLinePunct w:val="0"/>
              <w:bidi w:val="0"/>
              <w:adjustRightInd w:val="0"/>
              <w:snapToGrid w:val="0"/>
              <w:spacing w:line="240" w:lineRule="auto"/>
              <w:ind w:firstLine="0" w:firstLineChars="0"/>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2</w:t>
            </w:r>
          </w:p>
        </w:tc>
        <w:tc>
          <w:tcPr>
            <w:tcW w:w="3242"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储罐操作井井盖防产生火花的胶条脱落。</w:t>
            </w:r>
          </w:p>
        </w:tc>
        <w:tc>
          <w:tcPr>
            <w:tcW w:w="3391" w:type="dxa"/>
            <w:vAlign w:val="center"/>
          </w:tcPr>
          <w:p>
            <w:pPr>
              <w:pageBreakBefore w:val="0"/>
              <w:kinsoku/>
              <w:wordWrap/>
              <w:topLinePunct w:val="0"/>
              <w:bidi w:val="0"/>
              <w:adjustRightInd w:val="0"/>
              <w:snapToGrid w:val="0"/>
              <w:spacing w:line="240" w:lineRule="auto"/>
              <w:ind w:firstLine="0" w:firstLineChars="0"/>
              <w:jc w:val="both"/>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重新布设操作井井盖胶条。</w:t>
            </w:r>
          </w:p>
        </w:tc>
        <w:tc>
          <w:tcPr>
            <w:tcW w:w="1922"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已整改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729" w:type="dxa"/>
            <w:vAlign w:val="center"/>
          </w:tcPr>
          <w:p>
            <w:pPr>
              <w:pageBreakBefore w:val="0"/>
              <w:kinsoku/>
              <w:wordWrap/>
              <w:topLinePunct w:val="0"/>
              <w:bidi w:val="0"/>
              <w:adjustRightInd w:val="0"/>
              <w:snapToGrid w:val="0"/>
              <w:spacing w:line="240" w:lineRule="auto"/>
              <w:ind w:firstLine="0" w:firstLineChars="0"/>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w:t>
            </w:r>
          </w:p>
        </w:tc>
        <w:tc>
          <w:tcPr>
            <w:tcW w:w="3242"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储罐量油孔未带锁。</w:t>
            </w:r>
          </w:p>
        </w:tc>
        <w:tc>
          <w:tcPr>
            <w:tcW w:w="3391" w:type="dxa"/>
            <w:vAlign w:val="center"/>
          </w:tcPr>
          <w:p>
            <w:pPr>
              <w:pageBreakBefore w:val="0"/>
              <w:kinsoku/>
              <w:wordWrap/>
              <w:topLinePunct w:val="0"/>
              <w:bidi w:val="0"/>
              <w:adjustRightInd w:val="0"/>
              <w:snapToGrid w:val="0"/>
              <w:spacing w:line="240" w:lineRule="auto"/>
              <w:ind w:firstLine="0" w:firstLineChars="0"/>
              <w:jc w:val="both"/>
              <w:rPr>
                <w:rFonts w:hint="default"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sz w:val="21"/>
                <w:szCs w:val="21"/>
                <w:lang w:val="en-US" w:eastAsia="zh-CN"/>
              </w:rPr>
              <w:t>储罐量油孔应配锁。</w:t>
            </w:r>
          </w:p>
        </w:tc>
        <w:tc>
          <w:tcPr>
            <w:tcW w:w="1922" w:type="dxa"/>
            <w:vAlign w:val="center"/>
          </w:tcPr>
          <w:p>
            <w:pPr>
              <w:pageBreakBefore w:val="0"/>
              <w:kinsoku/>
              <w:wordWrap/>
              <w:topLinePunct w:val="0"/>
              <w:bidi w:val="0"/>
              <w:adjustRightInd w:val="0"/>
              <w:snapToGrid w:val="0"/>
              <w:spacing w:before="100" w:beforeAutospacing="1" w:after="100" w:afterAutospacing="1" w:line="240" w:lineRule="exact"/>
              <w:ind w:firstLine="0" w:firstLineChars="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已整改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4" w:type="dxa"/>
            <w:gridSpan w:val="4"/>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经复查，被评价单位尚有A项（0）项不合格，B项（0）项不合格，其他检查项</w:t>
            </w:r>
            <w:r>
              <w:rPr>
                <w:rFonts w:hint="eastAsia" w:cs="Times New Roman" w:eastAsiaTheme="minorEastAsia"/>
                <w:color w:val="auto"/>
                <w:sz w:val="21"/>
                <w:szCs w:val="21"/>
                <w:lang w:eastAsia="zh-CN"/>
              </w:rPr>
              <w:t>（</w:t>
            </w:r>
            <w:r>
              <w:rPr>
                <w:rFonts w:hint="eastAsia" w:cs="Times New Roman" w:eastAsiaTheme="minorEastAsia"/>
                <w:color w:val="auto"/>
                <w:sz w:val="21"/>
                <w:szCs w:val="21"/>
                <w:lang w:val="en-US" w:eastAsia="zh-CN"/>
              </w:rPr>
              <w:t>0</w:t>
            </w:r>
            <w:r>
              <w:rPr>
                <w:rFonts w:hint="eastAsia"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项不合格。</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评价单位检查人员（签字）：</w:t>
            </w:r>
          </w:p>
          <w:p>
            <w:pPr>
              <w:pStyle w:val="37"/>
              <w:pageBreakBefore w:val="0"/>
              <w:kinsoku/>
              <w:wordWrap/>
              <w:topLinePunct w:val="0"/>
              <w:bidi w:val="0"/>
              <w:adjustRightInd w:val="0"/>
              <w:snapToGrid w:val="0"/>
              <w:rPr>
                <w:rFonts w:hint="default" w:ascii="Times New Roman" w:hAnsi="Times New Roman" w:cs="Times New Roman"/>
                <w:color w:val="auto"/>
              </w:rPr>
            </w:pPr>
          </w:p>
          <w:p>
            <w:pPr>
              <w:pStyle w:val="37"/>
              <w:pageBreakBefore w:val="0"/>
              <w:kinsoku/>
              <w:wordWrap/>
              <w:topLinePunct w:val="0"/>
              <w:bidi w:val="0"/>
              <w:adjustRightInd w:val="0"/>
              <w:snapToGrid w:val="0"/>
              <w:rPr>
                <w:rFonts w:hint="default" w:ascii="Times New Roman" w:hAnsi="Times New Roman" w:cs="Times New Roman"/>
                <w:color w:val="auto"/>
              </w:rPr>
            </w:pP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w:t>
            </w:r>
            <w:r>
              <w:rPr>
                <w:rFonts w:hint="eastAsia" w:cs="Times New Roman" w:eastAsiaTheme="minorEastAsia"/>
                <w:color w:val="auto"/>
                <w:sz w:val="21"/>
                <w:szCs w:val="21"/>
                <w:lang w:val="en-US" w:eastAsia="zh-CN"/>
              </w:rPr>
              <w:t xml:space="preserve">                  </w:t>
            </w:r>
            <w:r>
              <w:rPr>
                <w:rFonts w:hint="default" w:ascii="Times New Roman" w:hAnsi="Times New Roman" w:cs="Times New Roman" w:eastAsiaTheme="minorEastAsia"/>
                <w:color w:val="auto"/>
                <w:sz w:val="21"/>
                <w:szCs w:val="21"/>
              </w:rPr>
              <w:t xml:space="preserve">      年    月    日</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w:t>
            </w:r>
            <w:r>
              <w:rPr>
                <w:rFonts w:hint="eastAsia" w:cs="Times New Roman" w:eastAsiaTheme="minorEastAsia"/>
                <w:color w:val="auto"/>
                <w:sz w:val="21"/>
                <w:szCs w:val="21"/>
                <w:lang w:val="en-US" w:eastAsia="zh-CN"/>
              </w:rPr>
              <w:t xml:space="preserve">                   </w:t>
            </w:r>
            <w:r>
              <w:rPr>
                <w:rFonts w:hint="default" w:ascii="Times New Roman" w:hAnsi="Times New Roman" w:cs="Times New Roman" w:eastAsiaTheme="minorEastAsia"/>
                <w:color w:val="auto"/>
                <w:sz w:val="21"/>
                <w:szCs w:val="21"/>
              </w:rPr>
              <w:t xml:space="preserve">  （单位盖章）</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4" w:type="dxa"/>
            <w:gridSpan w:val="4"/>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color w:val="auto"/>
              </w:rPr>
            </w:pP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被评价单位主要负责人确认（签字）：</w:t>
            </w:r>
          </w:p>
          <w:p>
            <w:pPr>
              <w:pStyle w:val="2"/>
              <w:pageBreakBefore w:val="0"/>
              <w:kinsoku/>
              <w:wordWrap/>
              <w:topLinePunct w:val="0"/>
              <w:bidi w:val="0"/>
              <w:adjustRightInd w:val="0"/>
              <w:snapToGrid w:val="0"/>
              <w:ind w:firstLine="560"/>
              <w:rPr>
                <w:rFonts w:hint="default" w:ascii="Times New Roman" w:hAnsi="Times New Roman" w:cs="Times New Roman"/>
                <w:color w:val="auto"/>
              </w:rPr>
            </w:pPr>
          </w:p>
          <w:p>
            <w:pPr>
              <w:pStyle w:val="2"/>
              <w:pageBreakBefore w:val="0"/>
              <w:kinsoku/>
              <w:wordWrap/>
              <w:topLinePunct w:val="0"/>
              <w:bidi w:val="0"/>
              <w:adjustRightInd w:val="0"/>
              <w:snapToGrid w:val="0"/>
              <w:ind w:firstLine="560"/>
              <w:rPr>
                <w:rFonts w:hint="default" w:ascii="Times New Roman" w:hAnsi="Times New Roman" w:cs="Times New Roman"/>
                <w:color w:val="auto"/>
              </w:rPr>
            </w:pP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年    月    日</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（单位盖章）</w:t>
            </w:r>
          </w:p>
          <w:p>
            <w:pPr>
              <w:pStyle w:val="2"/>
              <w:pageBreakBefore w:val="0"/>
              <w:kinsoku/>
              <w:wordWrap/>
              <w:topLinePunct w:val="0"/>
              <w:bidi w:val="0"/>
              <w:adjustRightInd w:val="0"/>
              <w:snapToGrid w:val="0"/>
              <w:ind w:firstLine="560"/>
              <w:rPr>
                <w:rFonts w:hint="default" w:ascii="Times New Roman" w:hAnsi="Times New Roman" w:cs="Times New Roman"/>
                <w:color w:val="auto"/>
              </w:rPr>
            </w:pPr>
          </w:p>
        </w:tc>
      </w:tr>
    </w:tbl>
    <w:p>
      <w:pPr>
        <w:pStyle w:val="3"/>
        <w:pageBreakBefore w:val="0"/>
        <w:kinsoku/>
        <w:wordWrap/>
        <w:topLinePunct w:val="0"/>
        <w:bidi w:val="0"/>
        <w:adjustRightInd w:val="0"/>
        <w:snapToGrid w:val="0"/>
        <w:spacing w:before="156" w:after="156"/>
        <w:jc w:val="both"/>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32"/>
          <w:szCs w:val="32"/>
        </w:rPr>
      </w:pPr>
      <w:bookmarkStart w:id="117" w:name="_Toc6053"/>
      <w:r>
        <w:rPr>
          <w:rFonts w:hint="eastAsia" w:cs="Times New Roman" w:eastAsiaTheme="minorEastAsia"/>
          <w:color w:val="auto"/>
          <w:sz w:val="32"/>
          <w:szCs w:val="32"/>
          <w:lang w:val="en-US" w:eastAsia="zh-CN"/>
        </w:rPr>
        <w:t>10</w:t>
      </w:r>
      <w:r>
        <w:rPr>
          <w:rFonts w:hint="default" w:ascii="Times New Roman" w:hAnsi="Times New Roman" w:cs="Times New Roman" w:eastAsiaTheme="minorEastAsia"/>
          <w:color w:val="auto"/>
          <w:sz w:val="32"/>
          <w:szCs w:val="32"/>
        </w:rPr>
        <w:t xml:space="preserve"> </w:t>
      </w:r>
      <w:r>
        <w:rPr>
          <w:rFonts w:hint="eastAsia" w:cs="Times New Roman" w:eastAsiaTheme="minorEastAsia"/>
          <w:color w:val="auto"/>
          <w:sz w:val="32"/>
          <w:szCs w:val="32"/>
          <w:lang w:eastAsia="zh-CN"/>
        </w:rPr>
        <w:t>安全设施竣工验收评价</w:t>
      </w:r>
      <w:r>
        <w:rPr>
          <w:rFonts w:hint="default" w:ascii="Times New Roman" w:hAnsi="Times New Roman" w:cs="Times New Roman" w:eastAsiaTheme="minorEastAsia"/>
          <w:color w:val="auto"/>
          <w:sz w:val="32"/>
          <w:szCs w:val="32"/>
        </w:rPr>
        <w:t>结论</w:t>
      </w:r>
      <w:bookmarkEnd w:id="117"/>
    </w:p>
    <w:p>
      <w:pPr>
        <w:pageBreakBefore w:val="0"/>
        <w:kinsoku/>
        <w:wordWrap/>
        <w:topLinePunct w:val="0"/>
        <w:bidi w:val="0"/>
        <w:adjustRightInd w:val="0"/>
        <w:snapToGrid w:val="0"/>
        <w:ind w:firstLine="562"/>
        <w:rPr>
          <w:rFonts w:hint="eastAsia" w:cs="Times New Roman" w:eastAsiaTheme="minorEastAsia"/>
          <w:color w:val="auto"/>
          <w:sz w:val="28"/>
          <w:lang w:eastAsia="zh-CN"/>
        </w:rPr>
      </w:pPr>
      <w:r>
        <w:rPr>
          <w:rFonts w:hint="eastAsia" w:cs="Times New Roman" w:eastAsiaTheme="minorEastAsia"/>
          <w:color w:val="auto"/>
          <w:sz w:val="28"/>
          <w:lang w:eastAsia="zh-CN"/>
        </w:rPr>
        <w:t>通过对山东万通集团垦利金顺油品有限公司第六加油中心扩容项目有关资料的分析以及对现场的勘察，本评价公司认为该加油中心目前在安全管理、周边环境、总体布置、工艺流程、电气等方面符合《</w:t>
      </w:r>
      <w:r>
        <w:rPr>
          <w:rFonts w:hint="default" w:ascii="Times New Roman" w:hAnsi="Times New Roman" w:cs="Times New Roman" w:eastAsiaTheme="minorEastAsia"/>
          <w:color w:val="auto"/>
        </w:rPr>
        <w:t>危险化学品经营许可证管理办法》（国家安全生产监督管理总局令第55号，总局令第79号修正）</w:t>
      </w:r>
      <w:r>
        <w:rPr>
          <w:rFonts w:hint="eastAsia" w:ascii="Times New Roman" w:hAnsi="Times New Roman" w:cs="Times New Roman" w:eastAsiaTheme="minorEastAsia"/>
          <w:color w:val="auto"/>
          <w:lang w:val="en-US" w:eastAsia="zh-CN"/>
        </w:rPr>
        <w:t>等</w:t>
      </w:r>
      <w:r>
        <w:rPr>
          <w:rFonts w:hint="eastAsia" w:cs="Times New Roman" w:eastAsiaTheme="minorEastAsia"/>
          <w:color w:val="auto"/>
          <w:sz w:val="28"/>
          <w:lang w:eastAsia="zh-CN"/>
        </w:rPr>
        <w:t xml:space="preserve">规定的各项经营条件， </w:t>
      </w:r>
      <w:r>
        <w:rPr>
          <w:rFonts w:hint="eastAsia" w:cs="Times New Roman" w:eastAsiaTheme="minorEastAsia"/>
          <w:b/>
          <w:bCs/>
          <w:color w:val="auto"/>
          <w:sz w:val="28"/>
          <w:lang w:eastAsia="zh-CN"/>
        </w:rPr>
        <w:t>山东万通集团垦利金顺油品有限公司第六加油中心扩容项目变更后，经营条件符合安全要求</w:t>
      </w:r>
      <w:r>
        <w:rPr>
          <w:rFonts w:hint="eastAsia" w:cs="Times New Roman" w:eastAsiaTheme="minorEastAsia"/>
          <w:color w:val="auto"/>
          <w:sz w:val="28"/>
          <w:lang w:eastAsia="zh-CN"/>
        </w:rPr>
        <w:t>。</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w:t>
      </w:r>
      <w:r>
        <w:rPr>
          <w:rFonts w:hint="eastAsia" w:cs="Times New Roman" w:eastAsiaTheme="minorEastAsia"/>
          <w:color w:val="auto"/>
          <w:lang w:eastAsia="zh-CN"/>
        </w:rPr>
        <w:t>加油中心</w:t>
      </w:r>
      <w:r>
        <w:rPr>
          <w:rFonts w:hint="default" w:ascii="Times New Roman" w:hAnsi="Times New Roman" w:cs="Times New Roman" w:eastAsiaTheme="minorEastAsia"/>
          <w:color w:val="auto"/>
        </w:rPr>
        <w:t>使用到的安全设施应及时更新和改进，使其符合规范要求。安全条件和安全生产条件在以后装置的运行中应继续保持，并不断的完善和维护。该项目使用到的安全附件等强检设备应定期进行检验和检测；保持对生产装置、设施和设备的维护和保养，增加安全生产的投入，使其不降低安全生产条件。</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p>
    <w:p>
      <w:pPr>
        <w:pStyle w:val="3"/>
        <w:adjustRightInd w:val="0"/>
        <w:snapToGrid w:val="0"/>
        <w:spacing w:before="156" w:after="156"/>
        <w:rPr>
          <w:rFonts w:hint="default" w:ascii="Times New Roman" w:hAnsi="Times New Roman" w:cs="Times New Roman" w:eastAsiaTheme="minorEastAsia"/>
          <w:color w:val="auto"/>
          <w:sz w:val="32"/>
          <w:szCs w:val="32"/>
        </w:rPr>
      </w:pPr>
      <w:bookmarkStart w:id="118" w:name="_Toc11100"/>
      <w:r>
        <w:rPr>
          <w:rFonts w:hint="default" w:ascii="Times New Roman" w:hAnsi="Times New Roman" w:cs="Times New Roman" w:eastAsiaTheme="minorEastAsia"/>
          <w:color w:val="auto"/>
          <w:sz w:val="32"/>
          <w:szCs w:val="32"/>
        </w:rPr>
        <w:t>1</w:t>
      </w:r>
      <w:r>
        <w:rPr>
          <w:rFonts w:hint="eastAsia" w:cs="Times New Roman" w:eastAsiaTheme="minorEastAsia"/>
          <w:color w:val="auto"/>
          <w:sz w:val="32"/>
          <w:szCs w:val="32"/>
          <w:lang w:val="en-US" w:eastAsia="zh-CN"/>
        </w:rPr>
        <w:t>1</w:t>
      </w:r>
      <w:r>
        <w:rPr>
          <w:rFonts w:hint="default" w:ascii="Times New Roman" w:hAnsi="Times New Roman" w:cs="Times New Roman" w:eastAsiaTheme="minorEastAsia"/>
          <w:color w:val="auto"/>
          <w:sz w:val="32"/>
          <w:szCs w:val="32"/>
        </w:rPr>
        <w:t xml:space="preserve"> 与建设单位交换意见</w:t>
      </w:r>
      <w:bookmarkEnd w:id="118"/>
    </w:p>
    <w:p>
      <w:pPr>
        <w:adjustRightInd w:val="0"/>
        <w:snapToGrid w:val="0"/>
        <w:spacing w:line="360" w:lineRule="auto"/>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表</w:t>
      </w:r>
      <w:r>
        <w:rPr>
          <w:rFonts w:hint="eastAsia" w:ascii="Times New Roman" w:hAnsi="Times New Roman" w:cs="Times New Roman"/>
          <w:b/>
          <w:bCs w:val="0"/>
          <w:sz w:val="24"/>
          <w:szCs w:val="24"/>
          <w:lang w:val="en-US" w:eastAsia="zh-CN"/>
        </w:rPr>
        <w:t>1</w:t>
      </w:r>
      <w:r>
        <w:rPr>
          <w:rFonts w:hint="eastAsia" w:cs="Times New Roman"/>
          <w:b/>
          <w:bCs w:val="0"/>
          <w:sz w:val="24"/>
          <w:szCs w:val="24"/>
          <w:lang w:val="en-US" w:eastAsia="zh-CN"/>
        </w:rPr>
        <w:t>1</w:t>
      </w:r>
      <w:r>
        <w:rPr>
          <w:rFonts w:hint="default" w:ascii="Times New Roman" w:hAnsi="Times New Roman" w:eastAsia="宋体" w:cs="Times New Roman"/>
          <w:b/>
          <w:bCs w:val="0"/>
          <w:sz w:val="24"/>
          <w:szCs w:val="24"/>
        </w:rPr>
        <w:t>-1  评价单位与建设单位交换意见表</w:t>
      </w:r>
    </w:p>
    <w:tbl>
      <w:tblPr>
        <w:tblStyle w:val="28"/>
        <w:tblW w:w="9286"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63"/>
        <w:gridCol w:w="2369"/>
        <w:gridCol w:w="3476"/>
        <w:gridCol w:w="1791"/>
        <w:gridCol w:w="98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rPr>
                <w:b/>
              </w:rPr>
            </w:pPr>
            <w:r>
              <w:rPr>
                <w:b/>
              </w:rPr>
              <w:t>序号</w:t>
            </w:r>
          </w:p>
        </w:tc>
        <w:tc>
          <w:tcPr>
            <w:tcW w:w="5845" w:type="dxa"/>
            <w:gridSpan w:val="2"/>
            <w:vAlign w:val="center"/>
          </w:tcPr>
          <w:p>
            <w:pPr>
              <w:pStyle w:val="61"/>
              <w:jc w:val="center"/>
              <w:rPr>
                <w:b/>
                <w:bCs/>
              </w:rPr>
            </w:pPr>
            <w:r>
              <w:rPr>
                <w:b/>
                <w:bCs/>
              </w:rPr>
              <w:t>交换意见的项目</w:t>
            </w:r>
          </w:p>
        </w:tc>
        <w:tc>
          <w:tcPr>
            <w:tcW w:w="1791" w:type="dxa"/>
            <w:vAlign w:val="center"/>
          </w:tcPr>
          <w:p>
            <w:pPr>
              <w:pStyle w:val="61"/>
              <w:jc w:val="center"/>
              <w:rPr>
                <w:b/>
                <w:bCs/>
              </w:rPr>
            </w:pPr>
            <w:r>
              <w:rPr>
                <w:b/>
                <w:bCs/>
              </w:rPr>
              <w:t>建设单位意见</w:t>
            </w:r>
          </w:p>
        </w:tc>
        <w:tc>
          <w:tcPr>
            <w:tcW w:w="987" w:type="dxa"/>
            <w:vAlign w:val="center"/>
          </w:tcPr>
          <w:p>
            <w:pPr>
              <w:pStyle w:val="61"/>
              <w:jc w:val="center"/>
              <w:rPr>
                <w:b/>
              </w:rPr>
            </w:pPr>
            <w:r>
              <w:rPr>
                <w:b/>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1</w:t>
            </w:r>
          </w:p>
        </w:tc>
        <w:tc>
          <w:tcPr>
            <w:tcW w:w="2369" w:type="dxa"/>
            <w:vAlign w:val="center"/>
          </w:tcPr>
          <w:p>
            <w:pPr>
              <w:pStyle w:val="61"/>
              <w:jc w:val="center"/>
              <w:rPr>
                <w:bCs/>
              </w:rPr>
            </w:pPr>
            <w:r>
              <w:rPr>
                <w:bCs/>
              </w:rPr>
              <w:t>评价对象和范围</w:t>
            </w:r>
          </w:p>
        </w:tc>
        <w:tc>
          <w:tcPr>
            <w:tcW w:w="3476" w:type="dxa"/>
            <w:vAlign w:val="center"/>
          </w:tcPr>
          <w:p>
            <w:pPr>
              <w:pStyle w:val="61"/>
              <w:jc w:val="center"/>
              <w:rPr>
                <w:bCs/>
              </w:rPr>
            </w:pPr>
            <w:r>
              <w:rPr>
                <w:bCs/>
              </w:rPr>
              <w:t>是否符合合同的约定</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2</w:t>
            </w:r>
          </w:p>
        </w:tc>
        <w:tc>
          <w:tcPr>
            <w:tcW w:w="2369" w:type="dxa"/>
            <w:vAlign w:val="center"/>
          </w:tcPr>
          <w:p>
            <w:pPr>
              <w:pStyle w:val="61"/>
              <w:jc w:val="center"/>
              <w:rPr>
                <w:bCs/>
              </w:rPr>
            </w:pPr>
            <w:r>
              <w:rPr>
                <w:bCs/>
              </w:rPr>
              <w:t>建设项目的资料</w:t>
            </w:r>
          </w:p>
        </w:tc>
        <w:tc>
          <w:tcPr>
            <w:tcW w:w="3476" w:type="dxa"/>
            <w:vAlign w:val="center"/>
          </w:tcPr>
          <w:p>
            <w:pPr>
              <w:pStyle w:val="61"/>
              <w:jc w:val="center"/>
              <w:rPr>
                <w:bCs/>
              </w:rPr>
            </w:pPr>
            <w:r>
              <w:rPr>
                <w:bCs/>
              </w:rPr>
              <w:t>是否真实可靠</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3</w:t>
            </w:r>
          </w:p>
        </w:tc>
        <w:tc>
          <w:tcPr>
            <w:tcW w:w="2369" w:type="dxa"/>
            <w:vAlign w:val="center"/>
          </w:tcPr>
          <w:p>
            <w:pPr>
              <w:pStyle w:val="61"/>
              <w:jc w:val="center"/>
              <w:rPr>
                <w:bCs/>
              </w:rPr>
            </w:pPr>
            <w:r>
              <w:rPr>
                <w:bCs/>
              </w:rPr>
              <w:t>建设项目的描述</w:t>
            </w:r>
          </w:p>
        </w:tc>
        <w:tc>
          <w:tcPr>
            <w:tcW w:w="3476" w:type="dxa"/>
            <w:vAlign w:val="center"/>
          </w:tcPr>
          <w:p>
            <w:pPr>
              <w:pStyle w:val="61"/>
              <w:jc w:val="center"/>
              <w:rPr>
                <w:bCs/>
              </w:rPr>
            </w:pPr>
            <w:r>
              <w:rPr>
                <w:bCs/>
              </w:rPr>
              <w:t>是否符合企业的实际</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4</w:t>
            </w:r>
          </w:p>
        </w:tc>
        <w:tc>
          <w:tcPr>
            <w:tcW w:w="2369" w:type="dxa"/>
            <w:vAlign w:val="center"/>
          </w:tcPr>
          <w:p>
            <w:pPr>
              <w:pStyle w:val="61"/>
              <w:jc w:val="center"/>
              <w:rPr>
                <w:bCs/>
              </w:rPr>
            </w:pPr>
            <w:r>
              <w:rPr>
                <w:bCs/>
              </w:rPr>
              <w:t>危险有害因素的分析</w:t>
            </w:r>
          </w:p>
        </w:tc>
        <w:tc>
          <w:tcPr>
            <w:tcW w:w="3476" w:type="dxa"/>
            <w:vAlign w:val="center"/>
          </w:tcPr>
          <w:p>
            <w:pPr>
              <w:pStyle w:val="61"/>
              <w:jc w:val="center"/>
              <w:rPr>
                <w:bCs/>
              </w:rPr>
            </w:pPr>
            <w:r>
              <w:rPr>
                <w:bCs/>
              </w:rPr>
              <w:t>是否符合项目的实际</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5</w:t>
            </w:r>
          </w:p>
        </w:tc>
        <w:tc>
          <w:tcPr>
            <w:tcW w:w="2369" w:type="dxa"/>
            <w:vAlign w:val="center"/>
          </w:tcPr>
          <w:p>
            <w:pPr>
              <w:pStyle w:val="61"/>
              <w:jc w:val="center"/>
              <w:rPr>
                <w:bCs/>
              </w:rPr>
            </w:pPr>
            <w:r>
              <w:rPr>
                <w:bCs/>
              </w:rPr>
              <w:t>危险有害程度的分析</w:t>
            </w:r>
          </w:p>
        </w:tc>
        <w:tc>
          <w:tcPr>
            <w:tcW w:w="3476" w:type="dxa"/>
            <w:vAlign w:val="center"/>
          </w:tcPr>
          <w:p>
            <w:pPr>
              <w:pStyle w:val="61"/>
              <w:jc w:val="center"/>
              <w:rPr>
                <w:bCs/>
              </w:rPr>
            </w:pPr>
            <w:r>
              <w:rPr>
                <w:bCs/>
              </w:rPr>
              <w:t>是否符合项目的实际</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6</w:t>
            </w:r>
          </w:p>
        </w:tc>
        <w:tc>
          <w:tcPr>
            <w:tcW w:w="2369" w:type="dxa"/>
            <w:vAlign w:val="center"/>
          </w:tcPr>
          <w:p>
            <w:pPr>
              <w:pStyle w:val="61"/>
              <w:jc w:val="center"/>
              <w:rPr>
                <w:bCs/>
              </w:rPr>
            </w:pPr>
            <w:r>
              <w:rPr>
                <w:bCs/>
              </w:rPr>
              <w:t>建设项目安全条件分析</w:t>
            </w:r>
          </w:p>
        </w:tc>
        <w:tc>
          <w:tcPr>
            <w:tcW w:w="3476" w:type="dxa"/>
            <w:vAlign w:val="center"/>
          </w:tcPr>
          <w:p>
            <w:pPr>
              <w:pStyle w:val="61"/>
              <w:jc w:val="center"/>
              <w:rPr>
                <w:bCs/>
              </w:rPr>
            </w:pPr>
            <w:r>
              <w:rPr>
                <w:bCs/>
              </w:rPr>
              <w:t>是否符合实际和客观公正</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7</w:t>
            </w:r>
          </w:p>
        </w:tc>
        <w:tc>
          <w:tcPr>
            <w:tcW w:w="2369" w:type="dxa"/>
            <w:vAlign w:val="center"/>
          </w:tcPr>
          <w:p>
            <w:pPr>
              <w:pStyle w:val="61"/>
              <w:jc w:val="center"/>
              <w:rPr>
                <w:bCs/>
              </w:rPr>
            </w:pPr>
            <w:r>
              <w:rPr>
                <w:bCs/>
              </w:rPr>
              <w:t>建设项目安全生产条件分析</w:t>
            </w:r>
          </w:p>
        </w:tc>
        <w:tc>
          <w:tcPr>
            <w:tcW w:w="3476" w:type="dxa"/>
            <w:vAlign w:val="center"/>
          </w:tcPr>
          <w:p>
            <w:pPr>
              <w:pStyle w:val="61"/>
              <w:jc w:val="center"/>
              <w:rPr>
                <w:bCs/>
              </w:rPr>
            </w:pPr>
            <w:r>
              <w:rPr>
                <w:bCs/>
              </w:rPr>
              <w:t>是否符合实际和客观公正</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8</w:t>
            </w:r>
          </w:p>
        </w:tc>
        <w:tc>
          <w:tcPr>
            <w:tcW w:w="2369" w:type="dxa"/>
            <w:vAlign w:val="center"/>
          </w:tcPr>
          <w:p>
            <w:pPr>
              <w:pStyle w:val="61"/>
              <w:jc w:val="center"/>
              <w:rPr>
                <w:bCs/>
              </w:rPr>
            </w:pPr>
            <w:r>
              <w:rPr>
                <w:bCs/>
              </w:rPr>
              <w:t>安全可靠性分析</w:t>
            </w:r>
          </w:p>
        </w:tc>
        <w:tc>
          <w:tcPr>
            <w:tcW w:w="3476" w:type="dxa"/>
            <w:vAlign w:val="center"/>
          </w:tcPr>
          <w:p>
            <w:pPr>
              <w:pStyle w:val="61"/>
              <w:jc w:val="center"/>
              <w:rPr>
                <w:bCs/>
              </w:rPr>
            </w:pPr>
            <w:r>
              <w:rPr>
                <w:bCs/>
              </w:rPr>
              <w:t>是否符合建设项目的实际和客观公正</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9</w:t>
            </w:r>
          </w:p>
        </w:tc>
        <w:tc>
          <w:tcPr>
            <w:tcW w:w="2369" w:type="dxa"/>
            <w:vAlign w:val="center"/>
          </w:tcPr>
          <w:p>
            <w:pPr>
              <w:pStyle w:val="61"/>
              <w:jc w:val="center"/>
              <w:rPr>
                <w:bCs/>
              </w:rPr>
            </w:pPr>
            <w:r>
              <w:rPr>
                <w:bCs/>
              </w:rPr>
              <w:t>安全对策措施建议</w:t>
            </w:r>
          </w:p>
        </w:tc>
        <w:tc>
          <w:tcPr>
            <w:tcW w:w="3476" w:type="dxa"/>
            <w:vAlign w:val="center"/>
          </w:tcPr>
          <w:p>
            <w:pPr>
              <w:pStyle w:val="61"/>
              <w:jc w:val="center"/>
              <w:rPr>
                <w:bCs/>
              </w:rPr>
            </w:pPr>
            <w:r>
              <w:rPr>
                <w:bCs/>
              </w:rPr>
              <w:t>是否符合建设项目实际、遵循针对性、技术可行性和经济合理性</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10</w:t>
            </w:r>
          </w:p>
        </w:tc>
        <w:tc>
          <w:tcPr>
            <w:tcW w:w="2369" w:type="dxa"/>
            <w:vAlign w:val="center"/>
          </w:tcPr>
          <w:p>
            <w:pPr>
              <w:pStyle w:val="61"/>
              <w:jc w:val="center"/>
              <w:rPr>
                <w:bCs/>
              </w:rPr>
            </w:pPr>
            <w:r>
              <w:rPr>
                <w:bCs/>
              </w:rPr>
              <w:t>评价结论</w:t>
            </w:r>
          </w:p>
        </w:tc>
        <w:tc>
          <w:tcPr>
            <w:tcW w:w="3476" w:type="dxa"/>
            <w:vAlign w:val="center"/>
          </w:tcPr>
          <w:p>
            <w:pPr>
              <w:pStyle w:val="61"/>
              <w:jc w:val="center"/>
              <w:rPr>
                <w:bCs/>
              </w:rPr>
            </w:pPr>
            <w:r>
              <w:rPr>
                <w:bCs/>
              </w:rPr>
              <w:t>是否客观、公正、真实，是否符合</w:t>
            </w:r>
          </w:p>
          <w:p>
            <w:pPr>
              <w:pStyle w:val="61"/>
              <w:jc w:val="center"/>
              <w:rPr>
                <w:bCs/>
              </w:rPr>
            </w:pPr>
            <w:r>
              <w:rPr>
                <w:bCs/>
              </w:rPr>
              <w:t>企业的实际</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663" w:type="dxa"/>
            <w:vAlign w:val="center"/>
          </w:tcPr>
          <w:p>
            <w:pPr>
              <w:pStyle w:val="61"/>
              <w:jc w:val="center"/>
            </w:pPr>
            <w:r>
              <w:t>11</w:t>
            </w:r>
          </w:p>
        </w:tc>
        <w:tc>
          <w:tcPr>
            <w:tcW w:w="2369" w:type="dxa"/>
            <w:vAlign w:val="center"/>
          </w:tcPr>
          <w:p>
            <w:pPr>
              <w:pStyle w:val="61"/>
              <w:jc w:val="center"/>
              <w:rPr>
                <w:bCs/>
              </w:rPr>
            </w:pPr>
            <w:r>
              <w:rPr>
                <w:bCs/>
              </w:rPr>
              <w:t>安全评价过程</w:t>
            </w:r>
          </w:p>
        </w:tc>
        <w:tc>
          <w:tcPr>
            <w:tcW w:w="3476" w:type="dxa"/>
            <w:vAlign w:val="center"/>
          </w:tcPr>
          <w:p>
            <w:pPr>
              <w:pStyle w:val="61"/>
              <w:jc w:val="center"/>
              <w:rPr>
                <w:bCs/>
              </w:rPr>
            </w:pPr>
            <w:r>
              <w:rPr>
                <w:bCs/>
              </w:rPr>
              <w:t>是否公正、客观和独立。</w:t>
            </w:r>
          </w:p>
        </w:tc>
        <w:tc>
          <w:tcPr>
            <w:tcW w:w="1791" w:type="dxa"/>
            <w:vAlign w:val="center"/>
          </w:tcPr>
          <w:p>
            <w:pPr>
              <w:pStyle w:val="61"/>
              <w:jc w:val="center"/>
              <w:rPr>
                <w:bCs/>
              </w:rPr>
            </w:pPr>
            <w:r>
              <w:rPr>
                <w:bCs/>
              </w:rPr>
              <w:t>□是   □否</w:t>
            </w:r>
          </w:p>
        </w:tc>
        <w:tc>
          <w:tcPr>
            <w:tcW w:w="987" w:type="dxa"/>
            <w:vAlign w:val="center"/>
          </w:tcPr>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286" w:type="dxa"/>
            <w:gridSpan w:val="5"/>
            <w:vAlign w:val="center"/>
          </w:tcPr>
          <w:p>
            <w:pPr>
              <w:pStyle w:val="61"/>
              <w:jc w:val="center"/>
            </w:pPr>
            <w:r>
              <w:t>评价机构与建设单位不一致的意见及理由说明</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286" w:type="dxa"/>
            <w:gridSpan w:val="5"/>
            <w:vAlign w:val="center"/>
          </w:tcPr>
          <w:p>
            <w:pPr>
              <w:pStyle w:val="61"/>
              <w:jc w:val="center"/>
            </w:pPr>
          </w:p>
          <w:p>
            <w:pPr>
              <w:pStyle w:val="61"/>
              <w:jc w:val="center"/>
            </w:pPr>
          </w:p>
          <w:p>
            <w:pPr>
              <w:pStyle w:val="61"/>
              <w:jc w:val="center"/>
            </w:pPr>
          </w:p>
          <w:p>
            <w:pPr>
              <w:pStyle w:val="61"/>
              <w:jc w:val="center"/>
            </w:pPr>
          </w:p>
          <w:p>
            <w:pPr>
              <w:pStyle w:val="61"/>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286" w:type="dxa"/>
            <w:gridSpan w:val="5"/>
            <w:tcBorders>
              <w:top w:val="single" w:color="000000" w:sz="6" w:space="0"/>
            </w:tcBorders>
            <w:vAlign w:val="center"/>
          </w:tcPr>
          <w:p>
            <w:pPr>
              <w:pStyle w:val="61"/>
              <w:jc w:val="center"/>
            </w:pPr>
          </w:p>
          <w:p>
            <w:pPr>
              <w:pStyle w:val="61"/>
              <w:jc w:val="center"/>
            </w:pPr>
            <w:r>
              <w:t>企业确认：</w:t>
            </w:r>
          </w:p>
          <w:p>
            <w:pPr>
              <w:pStyle w:val="61"/>
              <w:jc w:val="center"/>
            </w:pPr>
          </w:p>
          <w:p>
            <w:pPr>
              <w:pStyle w:val="61"/>
              <w:jc w:val="center"/>
            </w:pPr>
          </w:p>
          <w:p>
            <w:pPr>
              <w:pStyle w:val="61"/>
              <w:jc w:val="center"/>
            </w:pPr>
            <w:r>
              <w:t>（盖章）</w:t>
            </w:r>
          </w:p>
          <w:p>
            <w:pPr>
              <w:pStyle w:val="61"/>
              <w:jc w:val="center"/>
            </w:pPr>
          </w:p>
          <w:p>
            <w:pPr>
              <w:pStyle w:val="61"/>
              <w:jc w:val="center"/>
            </w:pPr>
            <w:r>
              <w:t xml:space="preserve">                                                         年      月     日</w:t>
            </w:r>
          </w:p>
        </w:tc>
      </w:tr>
    </w:tbl>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28"/>
          <w:szCs w:val="28"/>
        </w:rPr>
      </w:pPr>
      <w:bookmarkStart w:id="119" w:name="_Toc1992"/>
      <w:r>
        <w:rPr>
          <w:rFonts w:hint="default" w:ascii="Times New Roman" w:hAnsi="Times New Roman" w:cs="Times New Roman" w:eastAsiaTheme="minorEastAsia"/>
          <w:color w:val="auto"/>
          <w:sz w:val="32"/>
          <w:szCs w:val="32"/>
        </w:rPr>
        <w:t>附件1 安全评价依据</w:t>
      </w:r>
      <w:bookmarkEnd w:id="119"/>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120" w:name="_Toc12005"/>
      <w:bookmarkStart w:id="121" w:name="_Toc333233463"/>
      <w:bookmarkStart w:id="122" w:name="_Toc2150"/>
      <w:bookmarkStart w:id="123" w:name="_Toc328576315"/>
      <w:bookmarkStart w:id="124" w:name="_Toc20284"/>
      <w:r>
        <w:rPr>
          <w:rFonts w:hint="default" w:ascii="Times New Roman" w:hAnsi="Times New Roman" w:cs="Times New Roman" w:eastAsiaTheme="minorEastAsia"/>
          <w:b/>
          <w:bCs w:val="0"/>
          <w:color w:val="auto"/>
          <w:sz w:val="28"/>
          <w:szCs w:val="28"/>
        </w:rPr>
        <w:t>附1.1 法律、法规</w:t>
      </w:r>
      <w:bookmarkEnd w:id="120"/>
      <w:bookmarkEnd w:id="121"/>
      <w:bookmarkEnd w:id="122"/>
      <w:bookmarkEnd w:id="123"/>
      <w:bookmarkEnd w:id="124"/>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（1）《中华人民共和国安全生产法》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国家主席令[2014]第13号</w:t>
      </w:r>
      <w:r>
        <w:rPr>
          <w:rFonts w:hint="default" w:ascii="Times New Roman" w:hAnsi="Times New Roman" w:cs="Times New Roman" w:eastAsiaTheme="minorEastAsia"/>
          <w:color w:val="auto"/>
          <w:szCs w:val="28"/>
          <w:lang w:eastAsia="zh-CN"/>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（2）《中华人民共和国消防法》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国家主席令[2008]第6号，</w:t>
      </w:r>
      <w:r>
        <w:rPr>
          <w:rFonts w:hint="default" w:ascii="Times New Roman" w:hAnsi="Times New Roman" w:cs="Times New Roman"/>
          <w:bCs/>
          <w:snapToGrid w:val="0"/>
          <w:color w:val="auto"/>
          <w:szCs w:val="28"/>
        </w:rPr>
        <w:t>中华人民共和国主席令[2019]第29号修正</w:t>
      </w:r>
      <w:r>
        <w:rPr>
          <w:rFonts w:hint="default" w:ascii="Times New Roman" w:hAnsi="Times New Roman" w:cs="Times New Roman" w:eastAsiaTheme="minorEastAsia"/>
          <w:color w:val="auto"/>
          <w:szCs w:val="28"/>
          <w:lang w:eastAsia="zh-CN"/>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（3）《中华人民共和国劳动法》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bCs/>
          <w:snapToGrid w:val="0"/>
          <w:color w:val="auto"/>
          <w:szCs w:val="28"/>
        </w:rPr>
        <w:t>中华人民共和国主席令[1994]第28号，中华人民共和国主席令[2018]第24号修正</w:t>
      </w:r>
      <w:r>
        <w:rPr>
          <w:rFonts w:hint="default" w:ascii="Times New Roman" w:hAnsi="Times New Roman" w:cs="Times New Roman" w:eastAsiaTheme="minorEastAsia"/>
          <w:color w:val="auto"/>
          <w:szCs w:val="28"/>
          <w:lang w:eastAsia="zh-CN"/>
        </w:rPr>
        <w:t>）</w:t>
      </w:r>
    </w:p>
    <w:p>
      <w:pPr>
        <w:pageBreakBefore w:val="0"/>
        <w:kinsoku/>
        <w:wordWrap/>
        <w:topLinePunct w:val="0"/>
        <w:bidi w:val="0"/>
        <w:adjustRightInd w:val="0"/>
        <w:snapToGrid w:val="0"/>
        <w:ind w:firstLine="280" w:firstLineChars="100"/>
        <w:jc w:val="left"/>
        <w:rPr>
          <w:rFonts w:hint="default" w:ascii="Times New Roman" w:hAnsi="Times New Roman" w:cs="Times New Roman" w:eastAsiaTheme="minorEastAsia"/>
          <w:color w:val="auto"/>
          <w:szCs w:val="28"/>
          <w:highlight w:val="yellow"/>
        </w:rPr>
      </w:pPr>
      <w:r>
        <w:rPr>
          <w:rFonts w:hint="default" w:ascii="Times New Roman" w:hAnsi="Times New Roman" w:cs="Times New Roman" w:eastAsiaTheme="minorEastAsia"/>
          <w:color w:val="auto"/>
          <w:szCs w:val="28"/>
        </w:rPr>
        <w:t>（4）</w:t>
      </w:r>
      <w:r>
        <w:rPr>
          <w:rFonts w:hint="default" w:ascii="Times New Roman" w:hAnsi="Times New Roman" w:cs="Times New Roman"/>
          <w:color w:val="auto"/>
          <w:szCs w:val="28"/>
        </w:rPr>
        <w:t>《中华人民共和国职业病防治法》</w:t>
      </w:r>
      <w:r>
        <w:rPr>
          <w:rFonts w:hint="default" w:ascii="Times New Roman" w:hAnsi="Times New Roman" w:cs="Times New Roman"/>
          <w:color w:val="auto"/>
          <w:szCs w:val="28"/>
          <w:lang w:eastAsia="zh-CN"/>
        </w:rPr>
        <w:t>（</w:t>
      </w:r>
      <w:r>
        <w:rPr>
          <w:rFonts w:hint="default" w:ascii="Times New Roman" w:hAnsi="Times New Roman" w:cs="Times New Roman"/>
          <w:bCs/>
          <w:snapToGrid w:val="0"/>
          <w:color w:val="auto"/>
          <w:szCs w:val="28"/>
        </w:rPr>
        <w:t>中华人民共和国主席令[2001]</w:t>
      </w:r>
      <w:r>
        <w:rPr>
          <w:rFonts w:hint="default" w:ascii="Times New Roman" w:hAnsi="Times New Roman" w:cs="Times New Roman"/>
          <w:bCs/>
          <w:snapToGrid w:val="0"/>
          <w:color w:val="auto"/>
          <w:szCs w:val="28"/>
          <w:highlight w:val="none"/>
        </w:rPr>
        <w:t>第60号，中华人民共和国主席令[2018]第24号修正</w:t>
      </w:r>
      <w:r>
        <w:rPr>
          <w:rFonts w:hint="default" w:ascii="Times New Roman" w:hAnsi="Times New Roman" w:cs="Times New Roman"/>
          <w:color w:val="auto"/>
          <w:szCs w:val="28"/>
          <w:highlight w:val="none"/>
          <w:lang w:eastAsia="zh-CN"/>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（5）《危险化学品安全管理条例》</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国务院令[2011]第591号</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645号修订）</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（6）《工伤保险条例》</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国务院令[2011]第586条</w:t>
      </w:r>
      <w:r>
        <w:rPr>
          <w:rFonts w:hint="default" w:ascii="Times New Roman" w:hAnsi="Times New Roman" w:cs="Times New Roman" w:eastAsiaTheme="minorEastAsia"/>
          <w:color w:val="auto"/>
          <w:szCs w:val="28"/>
          <w:lang w:eastAsia="zh-CN"/>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（7）《山东省安全生产条例》</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山东省人民代表大会常务委员会公告第168号</w:t>
      </w:r>
      <w:r>
        <w:rPr>
          <w:rFonts w:hint="default" w:ascii="Times New Roman" w:hAnsi="Times New Roman" w:cs="Times New Roman" w:eastAsiaTheme="minorEastAsia"/>
          <w:color w:val="auto"/>
          <w:szCs w:val="28"/>
          <w:lang w:eastAsia="zh-CN"/>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（8）《建设项目</w:t>
      </w:r>
      <w:r>
        <w:rPr>
          <w:rFonts w:hint="default" w:ascii="Times New Roman" w:hAnsi="Times New Roman" w:cs="Times New Roman" w:eastAsiaTheme="minorEastAsia"/>
          <w:color w:val="auto"/>
          <w:szCs w:val="28"/>
        </w:rPr>
        <w:fldChar w:fldCharType="begin"/>
      </w:r>
      <w:r>
        <w:rPr>
          <w:rFonts w:hint="default" w:ascii="Times New Roman" w:hAnsi="Times New Roman" w:cs="Times New Roman" w:eastAsiaTheme="minorEastAsia"/>
          <w:color w:val="auto"/>
          <w:szCs w:val="28"/>
        </w:rPr>
        <w:instrText xml:space="preserve"> HYPERLINK "http://www.chinadaily.com.cn/hqgj/sdbd/2010-12-23/content_1444230.html" \t "_blank" </w:instrText>
      </w:r>
      <w:r>
        <w:rPr>
          <w:rFonts w:hint="default" w:ascii="Times New Roman" w:hAnsi="Times New Roman" w:cs="Times New Roman" w:eastAsiaTheme="minorEastAsia"/>
          <w:color w:val="auto"/>
          <w:szCs w:val="28"/>
        </w:rPr>
        <w:fldChar w:fldCharType="separate"/>
      </w:r>
      <w:r>
        <w:rPr>
          <w:rFonts w:hint="default" w:ascii="Times New Roman" w:hAnsi="Times New Roman" w:cs="Times New Roman" w:eastAsiaTheme="minorEastAsia"/>
          <w:color w:val="auto"/>
          <w:szCs w:val="28"/>
        </w:rPr>
        <w:t>安全设施</w:t>
      </w:r>
      <w:r>
        <w:rPr>
          <w:rFonts w:hint="default" w:ascii="Times New Roman" w:hAnsi="Times New Roman" w:cs="Times New Roman" w:eastAsiaTheme="minorEastAsia"/>
          <w:color w:val="auto"/>
          <w:szCs w:val="28"/>
        </w:rPr>
        <w:fldChar w:fldCharType="end"/>
      </w:r>
      <w:r>
        <w:rPr>
          <w:rFonts w:hint="default" w:ascii="Times New Roman" w:hAnsi="Times New Roman" w:cs="Times New Roman" w:eastAsiaTheme="minorEastAsia"/>
          <w:color w:val="auto"/>
          <w:szCs w:val="28"/>
        </w:rPr>
        <w:t>“三同时”监督管理办法》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国家安全生产监督管理总局令[2010]第36号（77号令修订</w:t>
      </w:r>
      <w:r>
        <w:rPr>
          <w:rFonts w:hint="default" w:ascii="Times New Roman" w:hAnsi="Times New Roman" w:cs="Times New Roman" w:eastAsiaTheme="minorEastAsia"/>
          <w:color w:val="auto"/>
          <w:szCs w:val="28"/>
          <w:lang w:eastAsia="zh-CN"/>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（9）《生产安全事故应急预案管理办法》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国家安全生产监督管理总局令[2016]第88号，应急部2号令修订</w:t>
      </w:r>
      <w:r>
        <w:rPr>
          <w:rFonts w:hint="default" w:ascii="Times New Roman" w:hAnsi="Times New Roman" w:cs="Times New Roman" w:eastAsiaTheme="minorEastAsia"/>
          <w:color w:val="auto"/>
          <w:szCs w:val="28"/>
          <w:lang w:eastAsia="zh-CN"/>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（10）《生产经营单位安全培训规定》</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国家安全生产监督管理总局令［2013］63号（80号令修订）</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）《危险化学品目录》（2015版）</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）《危险化学品经营许可证管理办法》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国家安全生产监督管理总局令[2012]第55号（79号令修订）</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）《各类监控化学品名录》（</w:t>
      </w:r>
      <w:r>
        <w:rPr>
          <w:rFonts w:ascii="Times New Roman"/>
          <w:color w:val="000000"/>
          <w:sz w:val="28"/>
          <w:szCs w:val="28"/>
        </w:rPr>
        <w:t>中华人民共和国</w:t>
      </w:r>
      <w:r>
        <w:rPr>
          <w:rFonts w:hint="eastAsia" w:ascii="Times New Roman"/>
          <w:color w:val="000000"/>
          <w:sz w:val="28"/>
          <w:szCs w:val="28"/>
          <w:lang w:eastAsia="zh-CN"/>
        </w:rPr>
        <w:t>工业和信息化部令第</w:t>
      </w:r>
      <w:r>
        <w:rPr>
          <w:rFonts w:hint="eastAsia" w:ascii="Times New Roman"/>
          <w:color w:val="000000"/>
          <w:sz w:val="28"/>
          <w:szCs w:val="28"/>
          <w:lang w:val="en-US" w:eastAsia="zh-CN"/>
        </w:rPr>
        <w:t>52号</w:t>
      </w:r>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4</w:t>
      </w:r>
      <w:r>
        <w:rPr>
          <w:rFonts w:hint="default" w:ascii="Times New Roman" w:hAnsi="Times New Roman" w:cs="Times New Roman" w:eastAsiaTheme="minorEastAsia"/>
          <w:color w:val="auto"/>
          <w:szCs w:val="28"/>
        </w:rPr>
        <w:t>）《高毒物品目录》（卫法监发[2003]142号）</w:t>
      </w:r>
    </w:p>
    <w:p>
      <w:pPr>
        <w:pageBreakBefore w:val="0"/>
        <w:kinsoku/>
        <w:wordWrap/>
        <w:topLinePunct w:val="0"/>
        <w:bidi w:val="0"/>
        <w:adjustRightInd w:val="0"/>
        <w:snapToGrid w:val="0"/>
        <w:ind w:firstLine="280" w:firstLineChars="100"/>
        <w:jc w:val="left"/>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）《易制毒化学品管理条例》（</w:t>
      </w:r>
      <w:r>
        <w:rPr>
          <w:rFonts w:hint="default" w:ascii="Times New Roman" w:hAnsi="Times New Roman" w:cs="Times New Roman" w:eastAsiaTheme="minorEastAsia"/>
          <w:color w:val="auto"/>
          <w:sz w:val="28"/>
          <w:szCs w:val="28"/>
        </w:rPr>
        <w:t>国务院令[2005]第445号</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lang w:val="en-US" w:eastAsia="zh-CN"/>
        </w:rPr>
        <w:t>根据666号令修改，2016年2月6日修订，2018年9月18日修订，</w:t>
      </w:r>
      <w:r>
        <w:rPr>
          <w:rFonts w:hint="default" w:ascii="Times New Roman" w:hAnsi="Times New Roman" w:cs="Times New Roman"/>
          <w:sz w:val="28"/>
          <w:szCs w:val="28"/>
        </w:rPr>
        <w:t>国办函</w:t>
      </w:r>
      <w:r>
        <w:rPr>
          <w:rFonts w:hint="eastAsia" w:cs="Times New Roman"/>
          <w:sz w:val="28"/>
          <w:szCs w:val="28"/>
          <w:lang w:val="en-US" w:eastAsia="zh-CN"/>
        </w:rPr>
        <w:t>[</w:t>
      </w:r>
      <w:r>
        <w:rPr>
          <w:rFonts w:hint="default" w:ascii="Times New Roman" w:hAnsi="Times New Roman" w:cs="Times New Roman"/>
          <w:sz w:val="28"/>
          <w:szCs w:val="28"/>
        </w:rPr>
        <w:t>2017</w:t>
      </w:r>
      <w:r>
        <w:rPr>
          <w:rFonts w:hint="eastAsia" w:cs="Times New Roman"/>
          <w:sz w:val="28"/>
          <w:szCs w:val="28"/>
          <w:lang w:val="en-US" w:eastAsia="zh-CN"/>
        </w:rPr>
        <w:t>]</w:t>
      </w:r>
      <w:r>
        <w:rPr>
          <w:rFonts w:hint="default" w:ascii="Times New Roman" w:hAnsi="Times New Roman" w:cs="Times New Roman"/>
          <w:sz w:val="28"/>
          <w:szCs w:val="28"/>
        </w:rPr>
        <w:t>120号补充</w:t>
      </w:r>
      <w:r>
        <w:rPr>
          <w:rFonts w:hint="default" w:ascii="Times New Roman" w:hAnsi="Times New Roman" w:cs="Times New Roman" w:eastAsiaTheme="minorEastAsia"/>
          <w:color w:val="auto"/>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jc w:val="left"/>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1</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lang w:eastAsia="zh-CN"/>
        </w:rPr>
        <w:t>）</w:t>
      </w:r>
      <w:r>
        <w:rPr>
          <w:rFonts w:hint="default" w:ascii="Times New Roman" w:hAnsi="Times New Roman" w:eastAsia="宋体" w:cs="Times New Roman"/>
          <w:bCs/>
          <w:snapToGrid w:val="0"/>
          <w:color w:val="auto"/>
          <w:kern w:val="2"/>
          <w:sz w:val="28"/>
          <w:szCs w:val="28"/>
          <w:lang w:val="en-US" w:eastAsia="zh-CN" w:bidi="ar-SA"/>
        </w:rPr>
        <w:t>《建设工程消防设计审查验收管理暂行规定》</w:t>
      </w:r>
      <w:r>
        <w:rPr>
          <w:rFonts w:hint="default" w:ascii="Times New Roman" w:hAnsi="Times New Roman" w:cs="Times New Roman"/>
          <w:bCs/>
          <w:snapToGrid w:val="0"/>
          <w:color w:val="auto"/>
          <w:kern w:val="2"/>
          <w:sz w:val="28"/>
          <w:szCs w:val="28"/>
          <w:lang w:val="en-US" w:eastAsia="zh-CN" w:bidi="ar-SA"/>
        </w:rPr>
        <w:t>（中华人民共和国住房和城乡建设局布令第51号）</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）《易制爆危险化学品名录》（2017年版）</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val="en-US" w:eastAsia="zh-CN"/>
        </w:rPr>
        <w:t>8</w:t>
      </w:r>
      <w:r>
        <w:rPr>
          <w:rFonts w:hint="default" w:ascii="Times New Roman" w:hAnsi="Times New Roman" w:cs="Times New Roman" w:eastAsiaTheme="minorEastAsia"/>
          <w:color w:val="auto"/>
          <w:szCs w:val="28"/>
        </w:rPr>
        <w:t>）《重点监管的危险化学品名录》（2013年完整版）</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280" w:firstLineChars="10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w:t>
      </w:r>
      <w:r>
        <w:rPr>
          <w:rFonts w:hint="eastAsia" w:cs="Times New Roman"/>
          <w:color w:val="auto"/>
          <w:sz w:val="28"/>
          <w:szCs w:val="28"/>
          <w:lang w:val="en-US" w:eastAsia="zh-CN"/>
        </w:rPr>
        <w:t>19</w:t>
      </w:r>
      <w:r>
        <w:rPr>
          <w:rFonts w:hint="default" w:ascii="Times New Roman" w:hAnsi="Times New Roman" w:cs="Times New Roman"/>
          <w:color w:val="auto"/>
          <w:sz w:val="28"/>
          <w:szCs w:val="28"/>
          <w:lang w:eastAsia="zh-CN"/>
        </w:rPr>
        <w:t>）《特别管控危险化学品目录（第一版）》（</w:t>
      </w:r>
      <w:r>
        <w:rPr>
          <w:rFonts w:hint="default" w:ascii="Times New Roman" w:hAnsi="Times New Roman" w:cs="Times New Roman"/>
          <w:color w:val="auto"/>
          <w:sz w:val="28"/>
          <w:szCs w:val="28"/>
          <w:lang w:val="en-US" w:eastAsia="zh-CN"/>
        </w:rPr>
        <w:t>应急管理部、工业和信息化部、公安部、交通运输部公告2020年第3号</w:t>
      </w:r>
      <w:r>
        <w:rPr>
          <w:rFonts w:hint="default" w:ascii="Times New Roman" w:hAnsi="Times New Roman" w:cs="Times New Roman"/>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280" w:firstLineChars="10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2</w:t>
      </w:r>
      <w:r>
        <w:rPr>
          <w:rFonts w:hint="eastAsia" w:cs="Times New Roman"/>
          <w:color w:val="auto"/>
          <w:sz w:val="28"/>
          <w:szCs w:val="28"/>
          <w:lang w:val="en-US" w:eastAsia="zh-CN"/>
        </w:rPr>
        <w:t>0</w:t>
      </w:r>
      <w:r>
        <w:rPr>
          <w:rFonts w:hint="default" w:ascii="Times New Roman" w:hAnsi="Times New Roman" w:cs="Times New Roman"/>
          <w:color w:val="auto"/>
          <w:sz w:val="28"/>
          <w:szCs w:val="28"/>
          <w:lang w:eastAsia="zh-CN"/>
        </w:rPr>
        <w:t>）</w:t>
      </w:r>
      <w:r>
        <w:rPr>
          <w:rFonts w:hint="eastAsia" w:cs="Times New Roman"/>
          <w:color w:val="auto"/>
          <w:szCs w:val="28"/>
          <w:lang w:val="zh-CN"/>
        </w:rPr>
        <w:t>《</w:t>
      </w:r>
      <w:r>
        <w:rPr>
          <w:rFonts w:hint="eastAsia" w:cs="Times New Roman"/>
          <w:color w:val="auto"/>
          <w:szCs w:val="28"/>
          <w:lang w:val="en-US" w:eastAsia="zh-CN"/>
        </w:rPr>
        <w:t>应急管理部办公厅关于印发〈淘汰落后危险化学品安全生产工艺技术设备目录（第一批）〉的通知</w:t>
      </w:r>
      <w:r>
        <w:rPr>
          <w:rFonts w:hint="eastAsia" w:cs="Times New Roman"/>
          <w:color w:val="auto"/>
          <w:szCs w:val="28"/>
          <w:lang w:val="zh-CN"/>
        </w:rPr>
        <w:t>》（</w:t>
      </w:r>
      <w:r>
        <w:rPr>
          <w:rFonts w:hint="eastAsia" w:cs="Times New Roman"/>
          <w:color w:val="auto"/>
          <w:szCs w:val="28"/>
          <w:lang w:val="en-US" w:eastAsia="zh-CN"/>
        </w:rPr>
        <w:t>应急厅[2020]38号</w:t>
      </w:r>
      <w:r>
        <w:rPr>
          <w:rFonts w:hint="eastAsia" w:cs="Times New Roman"/>
          <w:color w:val="auto"/>
          <w:szCs w:val="28"/>
          <w:lang w:val="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280" w:firstLineChars="100"/>
        <w:textAlignment w:val="auto"/>
        <w:rPr>
          <w:rFonts w:hint="default" w:ascii="Times New Roman" w:hAnsi="Times New Roman" w:cs="Times New Roman"/>
          <w:color w:val="auto"/>
          <w:sz w:val="28"/>
          <w:szCs w:val="28"/>
          <w:lang w:eastAsia="zh-CN"/>
        </w:rPr>
      </w:pPr>
      <w:r>
        <w:rPr>
          <w:rFonts w:hint="eastAsia" w:cs="Times New Roman"/>
          <w:color w:val="auto"/>
          <w:sz w:val="28"/>
          <w:szCs w:val="28"/>
          <w:lang w:eastAsia="zh-CN"/>
        </w:rPr>
        <w:t>（</w:t>
      </w:r>
      <w:r>
        <w:rPr>
          <w:rFonts w:hint="eastAsia" w:cs="Times New Roman"/>
          <w:color w:val="auto"/>
          <w:sz w:val="28"/>
          <w:szCs w:val="28"/>
          <w:lang w:val="en-US" w:eastAsia="zh-CN"/>
        </w:rPr>
        <w:t>21</w:t>
      </w:r>
      <w:r>
        <w:rPr>
          <w:rFonts w:hint="eastAsia" w:cs="Times New Roman"/>
          <w:color w:val="auto"/>
          <w:sz w:val="28"/>
          <w:szCs w:val="28"/>
          <w:lang w:eastAsia="zh-CN"/>
        </w:rPr>
        <w:t>）</w:t>
      </w:r>
      <w:r>
        <w:rPr>
          <w:rFonts w:hint="default" w:ascii="Times New Roman" w:hAnsi="Times New Roman" w:cs="Times New Roman"/>
          <w:color w:val="auto"/>
          <w:sz w:val="28"/>
          <w:szCs w:val="28"/>
          <w:lang w:eastAsia="zh-CN"/>
        </w:rPr>
        <w:t>《中国严格限制的有毒化学品名录》（2020）</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）《关于印发〈山东省加油站安全评价导则〉等三个安全评价导则的通知》（鲁安监发[2006]114号）</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）《关于推进化工企业自动化控制及安全联锁技术改造工作的意见》（鲁安监发[2008]149号）</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4</w:t>
      </w:r>
      <w:r>
        <w:rPr>
          <w:rFonts w:hint="default" w:ascii="Times New Roman" w:hAnsi="Times New Roman" w:cs="Times New Roman" w:eastAsiaTheme="minorEastAsia"/>
          <w:color w:val="auto"/>
          <w:szCs w:val="28"/>
        </w:rPr>
        <w:t>）《防雷减灾管理办法》（中国气象局令［2011］20号）</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）《山东省安全生产培训管理规定》（鲁安监发[2006]75号）</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default" w:ascii="Times New Roman" w:hAnsi="Times New Roman" w:cs="Times New Roman" w:eastAsiaTheme="minorEastAsia"/>
          <w:color w:val="auto"/>
          <w:szCs w:val="28"/>
          <w:lang w:val="en-US" w:eastAsia="zh-CN"/>
        </w:rPr>
        <w:t>2</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rPr>
        <w:t>）《山东省建筑工程消防监督管理办法》</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山东省人民政府令第111号，山东省人民政府令第172号修订，2004年8月10日施行</w:t>
      </w:r>
      <w:r>
        <w:rPr>
          <w:rFonts w:hint="default" w:ascii="Times New Roman" w:hAnsi="Times New Roman"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27</w:t>
      </w:r>
      <w:r>
        <w:rPr>
          <w:rFonts w:hint="default" w:ascii="Times New Roman" w:hAnsi="Times New Roman" w:cs="Times New Roman" w:eastAsiaTheme="minorEastAsia"/>
          <w:color w:val="auto"/>
          <w:szCs w:val="28"/>
        </w:rPr>
        <w:t>）《山东省生产经营单位安全生产主体责任规定》</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山东省人民政府令第260号，第</w:t>
      </w:r>
      <w:r>
        <w:rPr>
          <w:rFonts w:hint="eastAsia" w:cs="Times New Roman" w:eastAsiaTheme="minorEastAsia"/>
          <w:color w:val="auto"/>
          <w:szCs w:val="28"/>
          <w:lang w:val="en-US" w:eastAsia="zh-CN"/>
        </w:rPr>
        <w:t>303、</w:t>
      </w:r>
      <w:r>
        <w:rPr>
          <w:rFonts w:hint="default" w:ascii="Times New Roman" w:hAnsi="Times New Roman" w:cs="Times New Roman" w:eastAsiaTheme="minorEastAsia"/>
          <w:color w:val="auto"/>
          <w:szCs w:val="28"/>
        </w:rPr>
        <w:t>311号令修订）</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lang w:val="en-US" w:eastAsia="zh-CN"/>
        </w:rPr>
      </w:pPr>
      <w:r>
        <w:rPr>
          <w:rFonts w:hint="default" w:ascii="Times New Roman" w:hAnsi="Times New Roman" w:cs="Times New Roman" w:eastAsiaTheme="minorEastAsia"/>
          <w:color w:val="auto"/>
          <w:szCs w:val="28"/>
          <w:lang w:val="en-US" w:eastAsia="zh-CN"/>
        </w:rPr>
        <w:t>（</w:t>
      </w:r>
      <w:r>
        <w:rPr>
          <w:rFonts w:hint="eastAsia" w:cs="Times New Roman" w:eastAsiaTheme="minorEastAsia"/>
          <w:color w:val="auto"/>
          <w:szCs w:val="28"/>
          <w:lang w:val="en-US" w:eastAsia="zh-CN"/>
        </w:rPr>
        <w:t>28</w:t>
      </w:r>
      <w:r>
        <w:rPr>
          <w:rFonts w:hint="default" w:ascii="Times New Roman" w:hAnsi="Times New Roman" w:cs="Times New Roman" w:eastAsiaTheme="minorEastAsia"/>
          <w:color w:val="auto"/>
          <w:szCs w:val="28"/>
          <w:lang w:val="en-US" w:eastAsia="zh-CN"/>
        </w:rPr>
        <w:t>）《山东省安全生产风险管控办法》（</w:t>
      </w:r>
      <w:r>
        <w:rPr>
          <w:rFonts w:hint="eastAsia" w:cs="Times New Roman" w:eastAsiaTheme="minorEastAsia"/>
          <w:color w:val="auto"/>
          <w:szCs w:val="28"/>
          <w:lang w:val="en-US" w:eastAsia="zh-CN"/>
        </w:rPr>
        <w:t>山东</w:t>
      </w:r>
      <w:r>
        <w:rPr>
          <w:rFonts w:hint="default" w:ascii="Times New Roman" w:hAnsi="Times New Roman" w:cs="Times New Roman" w:eastAsiaTheme="minorEastAsia"/>
          <w:color w:val="auto"/>
          <w:szCs w:val="28"/>
          <w:lang w:val="en-US" w:eastAsia="zh-CN"/>
        </w:rPr>
        <w:t>省政府令第331号）</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color w:val="auto"/>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29</w:t>
      </w:r>
      <w:r>
        <w:rPr>
          <w:rFonts w:hint="default" w:ascii="Times New Roman" w:hAnsi="Times New Roman" w:cs="Times New Roman" w:eastAsiaTheme="minorEastAsia"/>
          <w:color w:val="auto"/>
          <w:szCs w:val="28"/>
        </w:rPr>
        <w:t>）《山东省危险化学品安全管理办法》（</w:t>
      </w:r>
      <w:r>
        <w:rPr>
          <w:rFonts w:hint="default" w:ascii="Times New Roman" w:hAnsi="Times New Roman" w:cs="Times New Roman"/>
          <w:color w:val="auto"/>
        </w:rPr>
        <w:t>山东省政府令第309号</w:t>
      </w:r>
      <w:r>
        <w:rPr>
          <w:rFonts w:hint="default" w:ascii="Times New Roman" w:hAnsi="Times New Roman" w:cs="Times New Roman" w:eastAsiaTheme="minorEastAsia"/>
          <w:color w:val="auto"/>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30</w:t>
      </w:r>
      <w:r>
        <w:rPr>
          <w:rFonts w:hint="default" w:ascii="Times New Roman" w:hAnsi="Times New Roman" w:cs="Times New Roman" w:eastAsiaTheme="minorEastAsia"/>
          <w:color w:val="auto"/>
          <w:szCs w:val="28"/>
        </w:rPr>
        <w:t>）</w:t>
      </w: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山东省生产安全事故应急办法</w:t>
      </w: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山东省政府令第341号</w:t>
      </w:r>
      <w:r>
        <w:rPr>
          <w:rFonts w:hint="eastAsia" w:cs="Times New Roman" w:eastAsiaTheme="minorEastAsia"/>
          <w:color w:val="auto"/>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31</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《关于印发〈企业安全生产费用提取和使用管理办法〉的通知》（财企[2012]16号）</w:t>
      </w:r>
    </w:p>
    <w:p>
      <w:pPr>
        <w:pStyle w:val="38"/>
        <w:keepNext w:val="0"/>
        <w:keepLines w:val="0"/>
        <w:pageBreakBefore w:val="0"/>
        <w:widowControl w:val="0"/>
        <w:kinsoku/>
        <w:wordWrap/>
        <w:overflowPunct/>
        <w:topLinePunct w:val="0"/>
        <w:autoSpaceDE/>
        <w:autoSpaceDN/>
        <w:bidi w:val="0"/>
        <w:adjustRightInd w:val="0"/>
        <w:snapToGrid w:val="0"/>
        <w:spacing w:line="360" w:lineRule="auto"/>
        <w:ind w:firstLine="280" w:firstLineChars="100"/>
        <w:jc w:val="both"/>
        <w:textAlignment w:val="auto"/>
        <w:outlineLvl w:val="9"/>
        <w:rPr>
          <w:rFonts w:hint="default" w:ascii="Times New Roman" w:hAnsi="Times New Roman" w:cs="Times New Roman"/>
          <w:color w:val="auto"/>
        </w:rPr>
      </w:pPr>
      <w:bookmarkStart w:id="125" w:name="_Toc15952"/>
      <w:bookmarkStart w:id="126" w:name="_Toc14009"/>
      <w:bookmarkStart w:id="127" w:name="_Toc22590"/>
      <w:bookmarkStart w:id="128" w:name="_Toc29760"/>
      <w:bookmarkStart w:id="129" w:name="_Toc31316"/>
      <w:bookmarkStart w:id="130" w:name="_Toc25865"/>
      <w:bookmarkStart w:id="131" w:name="_Toc23493"/>
      <w:bookmarkStart w:id="132" w:name="_Toc14436"/>
      <w:r>
        <w:rPr>
          <w:rFonts w:hint="default" w:ascii="Times New Roman" w:hAnsi="Times New Roman" w:eastAsia="宋体" w:cs="Times New Roman"/>
          <w:color w:val="auto"/>
        </w:rPr>
        <w:t>（3</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rPr>
        <w:t>）《东营市加油站安全生产规范提升指南（试行）》（东安监发[2018]73号）</w:t>
      </w:r>
      <w:bookmarkEnd w:id="125"/>
      <w:bookmarkEnd w:id="126"/>
      <w:bookmarkEnd w:id="127"/>
      <w:bookmarkEnd w:id="128"/>
      <w:bookmarkEnd w:id="129"/>
      <w:bookmarkEnd w:id="130"/>
      <w:bookmarkEnd w:id="131"/>
      <w:bookmarkEnd w:id="132"/>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133" w:name="_Toc31754"/>
      <w:bookmarkStart w:id="134" w:name="_Toc333233464"/>
      <w:bookmarkStart w:id="135" w:name="_Toc12916"/>
      <w:bookmarkStart w:id="136" w:name="_Toc328576316"/>
      <w:bookmarkStart w:id="137" w:name="_Toc326919899"/>
      <w:bookmarkStart w:id="138" w:name="_Toc32083"/>
      <w:r>
        <w:rPr>
          <w:rFonts w:hint="default" w:ascii="Times New Roman" w:hAnsi="Times New Roman" w:cs="Times New Roman" w:eastAsiaTheme="minorEastAsia"/>
          <w:b/>
          <w:bCs w:val="0"/>
          <w:color w:val="auto"/>
          <w:sz w:val="28"/>
          <w:szCs w:val="28"/>
        </w:rPr>
        <w:t>附1.2 评价标准及规范</w:t>
      </w:r>
      <w:bookmarkEnd w:id="133"/>
      <w:bookmarkEnd w:id="134"/>
      <w:bookmarkEnd w:id="135"/>
      <w:bookmarkEnd w:id="136"/>
      <w:bookmarkEnd w:id="137"/>
      <w:bookmarkEnd w:id="138"/>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（1）《安全色》（GB2893-2008）</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（2）《安全标志及其使用导则》（GB2894-2008）</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（3）《企业职工伤亡事故分类》（GB6441-1986）</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（4）《防止静电事故通用导则》（GB12158-2006）</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（5）《危险货物品名表》（GB12268-2012）</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（6）《化学品分类和危险性公示通则》（GB13690-2009）</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（7）《常用化学危险品贮存通则》（GB15603-1995）</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（8）《易燃易爆性商品储藏养护技术条件》（GB17914-2013）</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（9）《危险化学品重大危险源辨识》（GB18218-2018）</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（10）《车用汽油》（GB17930-2016）</w:t>
      </w:r>
    </w:p>
    <w:p>
      <w:pPr>
        <w:pageBreakBefore w:val="0"/>
        <w:kinsoku/>
        <w:wordWrap/>
        <w:topLinePunct w:val="0"/>
        <w:bidi w:val="0"/>
        <w:adjustRightInd w:val="0"/>
        <w:snapToGrid w:val="0"/>
        <w:ind w:firstLine="280" w:firstLineChars="100"/>
        <w:rPr>
          <w:rFonts w:hint="default" w:ascii="Times New Roman" w:hAnsi="Times New Roman" w:cs="Times New Roman"/>
          <w:color w:val="auto"/>
        </w:rPr>
      </w:pPr>
      <w:r>
        <w:rPr>
          <w:rFonts w:hint="default" w:ascii="Times New Roman" w:hAnsi="Times New Roman" w:cs="Times New Roman" w:eastAsiaTheme="minorEastAsia"/>
          <w:color w:val="auto"/>
          <w:szCs w:val="28"/>
        </w:rPr>
        <w:t>（11）《车用柴油》（GB19147-2016</w:t>
      </w:r>
      <w:r>
        <w:rPr>
          <w:rFonts w:hint="eastAsia" w:cs="Times New Roman" w:eastAsiaTheme="minorEastAsia"/>
          <w:color w:val="auto"/>
          <w:szCs w:val="28"/>
          <w:lang w:val="en-US" w:eastAsia="zh-CN"/>
        </w:rPr>
        <w:t>/XG1-2018</w:t>
      </w:r>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（12）《建筑抗震设计规范</w:t>
      </w: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2016年版</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》（GB50011-2010）</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（13）《建筑设计防火规范（2018</w:t>
      </w:r>
      <w:r>
        <w:rPr>
          <w:rFonts w:hint="eastAsia" w:cs="Times New Roman" w:eastAsiaTheme="minorEastAsia"/>
          <w:color w:val="auto"/>
          <w:szCs w:val="28"/>
          <w:lang w:eastAsia="zh-CN"/>
        </w:rPr>
        <w:t>年</w:t>
      </w:r>
      <w:r>
        <w:rPr>
          <w:rFonts w:hint="default" w:ascii="Times New Roman" w:hAnsi="Times New Roman" w:cs="Times New Roman" w:eastAsiaTheme="minorEastAsia"/>
          <w:color w:val="auto"/>
          <w:szCs w:val="28"/>
        </w:rPr>
        <w:t>版）》（GB50016-2014）</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（14）《建筑照明设计标准》（GB50034-2013）</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（15）《供配电系统设计规范》（GB50052-2009）</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（16）《低压配电设计规范》（GB50054-2011）</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（17）《通用用电设备配电设计规范》（GB50055-2011）</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（18）《建筑物防雷设计规范》（GB50057-2010）</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（19）《爆炸危险环境电力装置设计规范》（GB50058-2014）</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（20）《建筑灭火器配置设计规范》（GB50140-2005）</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（21）《汽车加油加气站设计与施工规范（2014年版）》（GB50156-2012）</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（22）《工业企业总平面设计规范》（GB50187-2012）</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（23）《生产过程安全卫生要求总则》（GB/T12801-2008）</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（24）《工业企业设计卫生标准》（GBZ1-2010）</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default" w:ascii="Times New Roman" w:hAnsi="Times New Roman" w:cs="Times New Roman" w:eastAsiaTheme="minorEastAsia"/>
          <w:color w:val="auto"/>
          <w:szCs w:val="28"/>
          <w:lang w:val="en-US" w:eastAsia="zh-CN"/>
        </w:rPr>
        <w:t>5</w:t>
      </w:r>
      <w:r>
        <w:rPr>
          <w:rFonts w:hint="default" w:ascii="Times New Roman" w:hAnsi="Times New Roman" w:cs="Times New Roman" w:eastAsiaTheme="minorEastAsia"/>
          <w:color w:val="auto"/>
          <w:szCs w:val="28"/>
        </w:rPr>
        <w:t>）《汽车加油（气）站、轻质燃油和液化石油气汽车罐车用阻隔防爆储罐技术要求》（AQ3001-2005）</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default" w:ascii="Times New Roman" w:hAnsi="Times New Roman" w:cs="Times New Roman" w:eastAsiaTheme="minorEastAsia"/>
          <w:color w:val="auto"/>
          <w:szCs w:val="28"/>
          <w:lang w:val="en-US" w:eastAsia="zh-CN"/>
        </w:rPr>
        <w:t>6</w:t>
      </w:r>
      <w:r>
        <w:rPr>
          <w:rFonts w:hint="default" w:ascii="Times New Roman" w:hAnsi="Times New Roman" w:cs="Times New Roman" w:eastAsiaTheme="minorEastAsia"/>
          <w:color w:val="auto"/>
          <w:szCs w:val="28"/>
        </w:rPr>
        <w:t>）《安全评价通则》（AQ8001-2007）</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default" w:ascii="Times New Roman" w:hAnsi="Times New Roman" w:cs="Times New Roman" w:eastAsiaTheme="minorEastAsia"/>
          <w:color w:val="auto"/>
          <w:szCs w:val="28"/>
          <w:lang w:val="en-US" w:eastAsia="zh-CN"/>
        </w:rPr>
        <w:t>2</w:t>
      </w:r>
      <w:r>
        <w:rPr>
          <w:rFonts w:hint="eastAsia" w:cs="Times New Roman" w:eastAsiaTheme="minorEastAsia"/>
          <w:color w:val="auto"/>
          <w:szCs w:val="28"/>
          <w:lang w:val="en-US" w:eastAsia="zh-CN"/>
        </w:rPr>
        <w:t>7</w:t>
      </w:r>
      <w:r>
        <w:rPr>
          <w:rFonts w:hint="default" w:ascii="Times New Roman" w:hAnsi="Times New Roman" w:cs="Times New Roman" w:eastAsiaTheme="minorEastAsia"/>
          <w:color w:val="auto"/>
          <w:szCs w:val="28"/>
        </w:rPr>
        <w:t>）《生产经营单位生产安全事故应急预案编制导则》（GB/T29639-2013）</w:t>
      </w:r>
    </w:p>
    <w:p>
      <w:pPr>
        <w:pageBreakBefore w:val="0"/>
        <w:kinsoku/>
        <w:wordWrap/>
        <w:topLinePunct w:val="0"/>
        <w:bidi w:val="0"/>
        <w:adjustRightInd w:val="0"/>
        <w:snapToGrid w:val="0"/>
        <w:ind w:firstLine="280" w:firstLineChars="100"/>
        <w:rPr>
          <w:rFonts w:hint="eastAsia" w:ascii="Times New Roman" w:hAnsi="Times New Roman" w:cs="Times New Roman" w:eastAsiaTheme="minorEastAsia"/>
          <w:color w:val="auto"/>
          <w:szCs w:val="28"/>
          <w:lang w:eastAsia="zh-CN"/>
        </w:rPr>
      </w:pPr>
      <w:r>
        <w:rPr>
          <w:rFonts w:hint="eastAsia" w:cs="Times New Roman" w:eastAsiaTheme="minorEastAsia"/>
          <w:color w:val="auto"/>
          <w:szCs w:val="28"/>
          <w:lang w:eastAsia="zh-CN"/>
        </w:rPr>
        <w:t>（</w:t>
      </w:r>
      <w:r>
        <w:rPr>
          <w:rFonts w:hint="eastAsia" w:cs="Times New Roman" w:eastAsiaTheme="minorEastAsia"/>
          <w:color w:val="auto"/>
          <w:szCs w:val="28"/>
          <w:lang w:val="en-US" w:eastAsia="zh-CN"/>
        </w:rPr>
        <w:t>28</w:t>
      </w:r>
      <w:r>
        <w:rPr>
          <w:rFonts w:hint="eastAsia" w:cs="Times New Roman" w:eastAsiaTheme="minorEastAsia"/>
          <w:color w:val="auto"/>
          <w:szCs w:val="28"/>
          <w:lang w:eastAsia="zh-CN"/>
        </w:rPr>
        <w:t>）</w:t>
      </w:r>
      <w:r>
        <w:rPr>
          <w:rFonts w:hint="default" w:ascii="Times New Roman" w:hAnsi="Times New Roman" w:cs="Times New Roman"/>
          <w:color w:val="auto"/>
          <w:highlight w:val="none"/>
        </w:rPr>
        <w:t>《</w:t>
      </w:r>
      <w:r>
        <w:rPr>
          <w:rFonts w:hint="eastAsia" w:cs="Times New Roman"/>
          <w:color w:val="auto"/>
          <w:highlight w:val="none"/>
          <w:lang w:eastAsia="zh-CN"/>
        </w:rPr>
        <w:t>汽车加油站安全生产风险管控和隐患排查治理体系建设实施指南</w:t>
      </w:r>
      <w:r>
        <w:rPr>
          <w:rFonts w:hint="default" w:ascii="Times New Roman" w:hAnsi="Times New Roman" w:cs="Times New Roman"/>
          <w:color w:val="auto"/>
          <w:highlight w:val="none"/>
        </w:rPr>
        <w:t>》（DB37/T</w:t>
      </w:r>
      <w:r>
        <w:rPr>
          <w:rFonts w:hint="eastAsia" w:cs="Times New Roman"/>
          <w:color w:val="auto"/>
          <w:highlight w:val="none"/>
          <w:lang w:val="en-US" w:eastAsia="zh-CN"/>
        </w:rPr>
        <w:t>3651</w:t>
      </w:r>
      <w:r>
        <w:rPr>
          <w:rFonts w:hint="default" w:ascii="Times New Roman" w:hAnsi="Times New Roman" w:cs="Times New Roman"/>
          <w:color w:val="auto"/>
          <w:highlight w:val="none"/>
        </w:rPr>
        <w:t>-201</w:t>
      </w:r>
      <w:r>
        <w:rPr>
          <w:rFonts w:hint="eastAsia" w:cs="Times New Roman"/>
          <w:color w:val="auto"/>
          <w:highlight w:val="none"/>
          <w:lang w:val="en-US" w:eastAsia="zh-CN"/>
        </w:rPr>
        <w:t>9</w:t>
      </w:r>
      <w:r>
        <w:rPr>
          <w:rFonts w:hint="default" w:ascii="Times New Roman" w:hAnsi="Times New Roman" w:cs="Times New Roman"/>
          <w:color w:val="auto"/>
          <w:highlight w:val="none"/>
        </w:rPr>
        <w:t>）</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color w:val="auto"/>
          <w:sz w:val="28"/>
          <w:szCs w:val="28"/>
        </w:rPr>
      </w:pPr>
      <w:bookmarkStart w:id="139" w:name="_Toc19648"/>
      <w:bookmarkStart w:id="140" w:name="_Toc333233465"/>
      <w:bookmarkStart w:id="141" w:name="_Toc7190"/>
      <w:bookmarkStart w:id="142" w:name="_Toc328576317"/>
      <w:bookmarkStart w:id="143" w:name="_Toc12417"/>
      <w:r>
        <w:rPr>
          <w:rFonts w:hint="default" w:ascii="Times New Roman" w:hAnsi="Times New Roman" w:cs="Times New Roman" w:eastAsiaTheme="minorEastAsia"/>
          <w:b/>
          <w:bCs w:val="0"/>
          <w:color w:val="auto"/>
          <w:sz w:val="28"/>
          <w:szCs w:val="28"/>
        </w:rPr>
        <w:t>附1.3 依据的其他有关文件资料</w:t>
      </w:r>
      <w:bookmarkEnd w:id="139"/>
      <w:bookmarkEnd w:id="140"/>
      <w:bookmarkEnd w:id="141"/>
      <w:bookmarkEnd w:id="142"/>
      <w:bookmarkEnd w:id="143"/>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w:t>
      </w:r>
      <w:r>
        <w:rPr>
          <w:rFonts w:hint="eastAsia" w:cs="Times New Roman" w:eastAsiaTheme="minorEastAsia"/>
          <w:color w:val="auto"/>
          <w:szCs w:val="28"/>
          <w:lang w:eastAsia="zh-CN"/>
        </w:rPr>
        <w:t>山东万通集团垦利金顺油品有限公司第六加油中心扩容项目安全设施竣工验收评价</w:t>
      </w:r>
      <w:r>
        <w:rPr>
          <w:rFonts w:hint="default" w:ascii="Times New Roman" w:hAnsi="Times New Roman" w:cs="Times New Roman" w:eastAsiaTheme="minorEastAsia"/>
          <w:color w:val="auto"/>
          <w:szCs w:val="28"/>
        </w:rPr>
        <w:t>合同</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w:t>
      </w:r>
      <w:r>
        <w:rPr>
          <w:rFonts w:hint="eastAsia" w:cs="Times New Roman" w:eastAsiaTheme="minorEastAsia"/>
          <w:color w:val="auto"/>
          <w:szCs w:val="28"/>
          <w:lang w:eastAsia="zh-CN"/>
        </w:rPr>
        <w:t>山东万通集团垦利金顺油品有限公司第六加油中心经营危险化学品安全评价报告</w:t>
      </w:r>
      <w:r>
        <w:rPr>
          <w:rFonts w:hint="default" w:ascii="Times New Roman" w:hAnsi="Times New Roman" w:cs="Times New Roman" w:eastAsiaTheme="minorEastAsia"/>
          <w:color w:val="auto"/>
          <w:szCs w:val="28"/>
        </w:rPr>
        <w:t>》（</w:t>
      </w:r>
      <w:r>
        <w:rPr>
          <w:rFonts w:hint="eastAsia" w:cs="Times New Roman" w:eastAsiaTheme="minorEastAsia"/>
          <w:color w:val="auto"/>
          <w:szCs w:val="28"/>
          <w:lang w:eastAsia="zh-CN"/>
        </w:rPr>
        <w:t>东营开元安全评价有限责任公司</w:t>
      </w:r>
      <w:r>
        <w:rPr>
          <w:rFonts w:hint="default" w:ascii="Times New Roman" w:hAnsi="Times New Roman" w:cs="Times New Roman" w:eastAsiaTheme="minorEastAsia"/>
          <w:color w:val="auto"/>
          <w:szCs w:val="28"/>
        </w:rPr>
        <w:t>编制）</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rPr>
        <w:t>）企业提供的其他相关材料</w:t>
      </w:r>
    </w:p>
    <w:p>
      <w:pPr>
        <w:pStyle w:val="3"/>
        <w:pageBreakBefore w:val="0"/>
        <w:kinsoku/>
        <w:wordWrap/>
        <w:topLinePunct w:val="0"/>
        <w:bidi w:val="0"/>
        <w:adjustRightInd w:val="0"/>
        <w:snapToGrid w:val="0"/>
        <w:spacing w:before="156" w:after="156"/>
        <w:ind w:firstLine="281" w:firstLineChars="100"/>
        <w:jc w:val="both"/>
        <w:rPr>
          <w:rFonts w:hint="default" w:ascii="Times New Roman" w:hAnsi="Times New Roman" w:cs="Times New Roman" w:eastAsiaTheme="minorEastAsia"/>
          <w:color w:val="auto"/>
          <w:sz w:val="28"/>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32"/>
          <w:szCs w:val="32"/>
        </w:rPr>
      </w:pPr>
      <w:bookmarkStart w:id="144" w:name="_Toc18296"/>
      <w:r>
        <w:rPr>
          <w:rFonts w:hint="default" w:ascii="Times New Roman" w:hAnsi="Times New Roman" w:cs="Times New Roman" w:eastAsiaTheme="minorEastAsia"/>
          <w:color w:val="auto"/>
          <w:sz w:val="32"/>
          <w:szCs w:val="32"/>
        </w:rPr>
        <w:t>附件2 安全评价方法简介</w:t>
      </w:r>
      <w:bookmarkEnd w:id="144"/>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145" w:name="_Toc3524"/>
      <w:bookmarkStart w:id="146" w:name="_Toc7041"/>
      <w:bookmarkStart w:id="147" w:name="_Toc306973810"/>
      <w:bookmarkStart w:id="148" w:name="_Toc328576312"/>
      <w:bookmarkStart w:id="149" w:name="_Toc21425"/>
      <w:bookmarkStart w:id="150" w:name="_Toc333233457"/>
      <w:r>
        <w:rPr>
          <w:rFonts w:hint="default" w:ascii="Times New Roman" w:hAnsi="Times New Roman" w:cs="Times New Roman" w:eastAsiaTheme="minorEastAsia"/>
          <w:b/>
          <w:bCs w:val="0"/>
          <w:color w:val="auto"/>
          <w:sz w:val="28"/>
          <w:szCs w:val="28"/>
        </w:rPr>
        <w:t>附2.1 安全检查表法</w:t>
      </w:r>
      <w:bookmarkEnd w:id="145"/>
      <w:bookmarkEnd w:id="146"/>
      <w:bookmarkEnd w:id="147"/>
      <w:bookmarkEnd w:id="148"/>
      <w:bookmarkEnd w:id="149"/>
      <w:bookmarkEnd w:id="150"/>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bookmarkStart w:id="151" w:name="_Toc535353742"/>
      <w:r>
        <w:rPr>
          <w:rFonts w:hint="default" w:ascii="Times New Roman" w:hAnsi="Times New Roman" w:cs="Times New Roman" w:eastAsiaTheme="minorEastAsia"/>
          <w:color w:val="auto"/>
          <w:szCs w:val="28"/>
        </w:rPr>
        <w:t>安全检查表</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简称SCL</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是系统安全工程的一种最简便广泛应用的系统危险性评价方法。安全检查表是由一些对工艺过程、设备机械和作业情况熟悉、经验丰富的安全技术人员和安全管理人员，事先对分析对象进行详细分析和充分讨论，列出检查单元和部位、检查项目、检查要求、各项赋分标准、评定系统安全等级分值标准等内容的表格。</w:t>
      </w:r>
      <w:bookmarkEnd w:id="151"/>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bookmarkStart w:id="152" w:name="_Toc535353743"/>
      <w:r>
        <w:rPr>
          <w:rFonts w:hint="default" w:ascii="Times New Roman" w:hAnsi="Times New Roman" w:cs="Times New Roman" w:eastAsiaTheme="minorEastAsia"/>
          <w:color w:val="auto"/>
          <w:szCs w:val="28"/>
        </w:rPr>
        <w:t>对系统进行评价时，对照安全检查表逐项检查，从而评价出系统的安全等级。当安全检查表用于设计、维修、环境、管理等方面查找缺陷或隐患时，可省略赋分、等级等内容和步骤。本评价所做安全检查表并无赋分和评级等内容，仅检查项目的有无。</w:t>
      </w:r>
      <w:bookmarkEnd w:id="152"/>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bookmarkStart w:id="153" w:name="_Toc535353744"/>
      <w:r>
        <w:rPr>
          <w:rFonts w:hint="default" w:ascii="Times New Roman" w:hAnsi="Times New Roman" w:cs="Times New Roman" w:eastAsiaTheme="minorEastAsia"/>
          <w:color w:val="auto"/>
          <w:szCs w:val="28"/>
        </w:rPr>
        <w:t>编制安全检查表的主要依据是：</w:t>
      </w:r>
      <w:bookmarkEnd w:id="153"/>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bookmarkStart w:id="154" w:name="_Toc535353745"/>
      <w:r>
        <w:rPr>
          <w:rFonts w:hint="default" w:ascii="Times New Roman" w:hAnsi="Times New Roman" w:cs="Times New Roman" w:eastAsiaTheme="minorEastAsia"/>
          <w:color w:val="auto"/>
          <w:szCs w:val="28"/>
        </w:rPr>
        <w:t>（1）有关的法律和标准、管理制度和操作规程</w:t>
      </w:r>
      <w:bookmarkEnd w:id="154"/>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bookmarkStart w:id="155" w:name="_Toc535353746"/>
      <w:r>
        <w:rPr>
          <w:rFonts w:hint="default" w:ascii="Times New Roman" w:hAnsi="Times New Roman" w:cs="Times New Roman" w:eastAsiaTheme="minorEastAsia"/>
          <w:color w:val="auto"/>
          <w:szCs w:val="28"/>
        </w:rPr>
        <w:t>（2）国内外事故案例</w:t>
      </w:r>
      <w:bookmarkEnd w:id="155"/>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bookmarkStart w:id="156" w:name="_Toc535353747"/>
      <w:r>
        <w:rPr>
          <w:rFonts w:hint="default" w:ascii="Times New Roman" w:hAnsi="Times New Roman" w:cs="Times New Roman" w:eastAsiaTheme="minorEastAsia"/>
          <w:color w:val="auto"/>
          <w:szCs w:val="28"/>
        </w:rPr>
        <w:t>（3）本单位的经验、教训</w:t>
      </w:r>
      <w:bookmarkEnd w:id="156"/>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bookmarkStart w:id="157" w:name="_Toc535353748"/>
      <w:r>
        <w:rPr>
          <w:rFonts w:hint="default" w:ascii="Times New Roman" w:hAnsi="Times New Roman" w:cs="Times New Roman" w:eastAsiaTheme="minorEastAsia"/>
          <w:color w:val="auto"/>
          <w:szCs w:val="28"/>
        </w:rPr>
        <w:t>（4）其它分析方法的结果</w:t>
      </w:r>
      <w:bookmarkEnd w:id="157"/>
      <w:r>
        <w:rPr>
          <w:rFonts w:hint="default" w:ascii="Times New Roman" w:hAnsi="Times New Roman" w:cs="Times New Roman" w:eastAsiaTheme="minorEastAsia"/>
          <w:color w:val="auto"/>
          <w:szCs w:val="28"/>
        </w:rPr>
        <w:t>。</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bookmarkStart w:id="158" w:name="_Toc535353762"/>
      <w:r>
        <w:rPr>
          <w:rFonts w:hint="default" w:ascii="Times New Roman" w:hAnsi="Times New Roman" w:cs="Times New Roman" w:eastAsiaTheme="minorEastAsia"/>
          <w:color w:val="auto"/>
          <w:szCs w:val="28"/>
        </w:rPr>
        <w:t>针对该项目的实际情况和有关的法律、法规、标准，</w:t>
      </w:r>
      <w:r>
        <w:rPr>
          <w:rFonts w:hint="eastAsia" w:cs="Times New Roman" w:eastAsiaTheme="minorEastAsia"/>
          <w:color w:val="auto"/>
          <w:szCs w:val="28"/>
          <w:lang w:eastAsia="zh-CN"/>
        </w:rPr>
        <w:t>评价组</w:t>
      </w:r>
      <w:r>
        <w:rPr>
          <w:rFonts w:hint="default" w:ascii="Times New Roman" w:hAnsi="Times New Roman" w:cs="Times New Roman" w:eastAsiaTheme="minorEastAsia"/>
          <w:color w:val="auto"/>
          <w:szCs w:val="28"/>
        </w:rPr>
        <w:t>编制了安全检查表，并根据安全检查表对其进行评价，辨识不符合项，作为定性评价。</w:t>
      </w:r>
      <w:bookmarkEnd w:id="158"/>
    </w:p>
    <w:p>
      <w:pPr>
        <w:pStyle w:val="4"/>
        <w:pageBreakBefore w:val="0"/>
        <w:kinsoku/>
        <w:wordWrap/>
        <w:topLinePunct w:val="0"/>
        <w:bidi w:val="0"/>
        <w:adjustRightInd w:val="0"/>
        <w:snapToGrid w:val="0"/>
        <w:spacing w:before="93" w:after="93"/>
        <w:rPr>
          <w:rFonts w:hint="eastAsia" w:ascii="Times New Roman" w:hAnsi="Times New Roman" w:cs="Times New Roman" w:eastAsiaTheme="minorEastAsia"/>
          <w:b/>
          <w:bCs w:val="0"/>
          <w:color w:val="auto"/>
          <w:sz w:val="28"/>
          <w:szCs w:val="28"/>
          <w:lang w:eastAsia="zh-CN"/>
        </w:rPr>
      </w:pPr>
      <w:bookmarkStart w:id="159" w:name="_Toc306973811"/>
      <w:bookmarkStart w:id="160" w:name="_Toc297796471"/>
      <w:bookmarkStart w:id="161" w:name="_Toc328576313"/>
      <w:bookmarkStart w:id="162" w:name="_Toc9377"/>
      <w:bookmarkStart w:id="163" w:name="_Toc295484744"/>
      <w:bookmarkStart w:id="164" w:name="_Toc333233458"/>
      <w:bookmarkStart w:id="165" w:name="_Toc295484807"/>
      <w:bookmarkStart w:id="166" w:name="_Toc31314"/>
      <w:bookmarkStart w:id="167" w:name="_Toc827"/>
      <w:r>
        <w:rPr>
          <w:rFonts w:hint="default" w:ascii="Times New Roman" w:hAnsi="Times New Roman" w:cs="Times New Roman" w:eastAsiaTheme="minorEastAsia"/>
          <w:b/>
          <w:bCs w:val="0"/>
          <w:color w:val="auto"/>
          <w:sz w:val="28"/>
          <w:szCs w:val="28"/>
        </w:rPr>
        <w:t xml:space="preserve">附2.2 </w:t>
      </w:r>
      <w:bookmarkEnd w:id="159"/>
      <w:bookmarkEnd w:id="160"/>
      <w:bookmarkEnd w:id="161"/>
      <w:bookmarkEnd w:id="162"/>
      <w:bookmarkEnd w:id="163"/>
      <w:bookmarkEnd w:id="164"/>
      <w:bookmarkEnd w:id="165"/>
      <w:bookmarkEnd w:id="166"/>
      <w:r>
        <w:rPr>
          <w:rFonts w:hint="eastAsia" w:cs="Times New Roman" w:eastAsiaTheme="minorEastAsia"/>
          <w:b/>
          <w:bCs w:val="0"/>
          <w:color w:val="auto"/>
          <w:sz w:val="28"/>
          <w:szCs w:val="28"/>
          <w:lang w:eastAsia="zh-CN"/>
        </w:rPr>
        <w:t>预先危险性分析（</w:t>
      </w:r>
      <w:r>
        <w:rPr>
          <w:rFonts w:hint="eastAsia" w:cs="Times New Roman" w:eastAsiaTheme="minorEastAsia"/>
          <w:b/>
          <w:bCs w:val="0"/>
          <w:color w:val="auto"/>
          <w:sz w:val="28"/>
          <w:szCs w:val="28"/>
          <w:lang w:val="en-US" w:eastAsia="zh-CN"/>
        </w:rPr>
        <w:t>PHA</w:t>
      </w:r>
      <w:r>
        <w:rPr>
          <w:rFonts w:hint="eastAsia" w:cs="Times New Roman" w:eastAsiaTheme="minorEastAsia"/>
          <w:b/>
          <w:bCs w:val="0"/>
          <w:color w:val="auto"/>
          <w:sz w:val="28"/>
          <w:szCs w:val="28"/>
          <w:lang w:eastAsia="zh-CN"/>
        </w:rPr>
        <w:t>）</w:t>
      </w:r>
      <w:bookmarkEnd w:id="167"/>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bookmarkStart w:id="168" w:name="_Toc333233461"/>
      <w:bookmarkStart w:id="169" w:name="_Toc20675"/>
      <w:bookmarkStart w:id="170" w:name="_Toc326822518"/>
      <w:bookmarkStart w:id="171" w:name="_Toc29876"/>
      <w:r>
        <w:rPr>
          <w:rFonts w:hint="default" w:ascii="Times New Roman" w:hAnsi="Times New Roman" w:cs="Times New Roman"/>
          <w:sz w:val="28"/>
          <w:szCs w:val="28"/>
        </w:rPr>
        <w:t>预先危险分析（PHA）是在进行某项工程活动（包括设计、施工、生产、维修等）之前，对系统存在的各种危险因素的类别、分布、出现条件和事故可能造成的后果进行宏观、概略分析的系统安全分析方法。分析步骤如下：</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1</w:t>
      </w:r>
      <w:r>
        <w:rPr>
          <w:rFonts w:hint="eastAsia" w:ascii="Times New Roman" w:hAnsi="Times New Roman" w:cs="Times New Roman"/>
          <w:sz w:val="28"/>
          <w:szCs w:val="28"/>
          <w:lang w:eastAsia="zh-CN"/>
        </w:rPr>
        <w:t>）</w:t>
      </w:r>
      <w:r>
        <w:rPr>
          <w:rFonts w:hint="default" w:ascii="Times New Roman" w:hAnsi="Times New Roman" w:cs="Times New Roman"/>
          <w:sz w:val="28"/>
          <w:szCs w:val="28"/>
        </w:rPr>
        <w:t>熟悉对象系统</w:t>
      </w:r>
      <w:r>
        <w:rPr>
          <w:rFonts w:hint="default" w:ascii="Times New Roman" w:hAnsi="Times New Roman" w:cs="Times New Roman"/>
          <w:sz w:val="28"/>
          <w:szCs w:val="28"/>
        </w:rPr>
        <w:tab/>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尽可能确切了解对象系统的生产目的、工艺流程、生产设备、物料、操作条件、辅助设施、环境状况等资料；搜集类似系统、设备和事故统计、分析资料，以弥补早期分析时对象系统资料有限的不足。</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2</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分析危险、有害因素和触发事件</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1）从能量转化、有害物质、设备故障、人员失误及外界影响等方面分析系统存在的危险、有害因素。为防止遗漏，可将系统分成若干子系统，逐系统查找、记录。</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2）分析触发事件：</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触发事件是系统危险、有害因素导致事故、危害发生的条件（实质上也是一种危险、有害因素），是事故、危害发生的直接原因。</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3</w:t>
      </w:r>
      <w:r>
        <w:rPr>
          <w:rFonts w:hint="eastAsia" w:ascii="Times New Roman" w:hAnsi="Times New Roman" w:cs="Times New Roman"/>
          <w:sz w:val="28"/>
          <w:szCs w:val="28"/>
          <w:lang w:eastAsia="zh-CN"/>
        </w:rPr>
        <w:t>）</w:t>
      </w:r>
      <w:r>
        <w:rPr>
          <w:rFonts w:hint="default" w:ascii="Times New Roman" w:hAnsi="Times New Roman" w:cs="Times New Roman"/>
          <w:sz w:val="28"/>
          <w:szCs w:val="28"/>
        </w:rPr>
        <w:t>推测可能导致的事故类型和危险、危害程度</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4</w:t>
      </w:r>
      <w:r>
        <w:rPr>
          <w:rFonts w:hint="eastAsia" w:ascii="Times New Roman" w:hAnsi="Times New Roman" w:cs="Times New Roman"/>
          <w:sz w:val="28"/>
          <w:szCs w:val="28"/>
          <w:lang w:eastAsia="zh-CN"/>
        </w:rPr>
        <w:t>）</w:t>
      </w:r>
      <w:r>
        <w:rPr>
          <w:rFonts w:hint="default" w:ascii="Times New Roman" w:hAnsi="Times New Roman" w:cs="Times New Roman"/>
          <w:sz w:val="28"/>
          <w:szCs w:val="28"/>
        </w:rPr>
        <w:t>确定危险、有害因素后果的危险等级</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按危险有害因素导致的事故和危害的危险（危害）程度，将危险有害因素划分为四个危险等级。危险、有害因素危险（危害）程度划分如下：</w:t>
      </w:r>
    </w:p>
    <w:p>
      <w:pPr>
        <w:pStyle w:val="84"/>
        <w:spacing w:before="156" w:beforeLines="50" w:line="240" w:lineRule="auto"/>
        <w:ind w:firstLine="482"/>
        <w:rPr>
          <w:rFonts w:hint="default" w:ascii="Times New Roman" w:hAnsi="Times New Roman" w:cs="Times New Roman" w:eastAsiaTheme="minorEastAsia"/>
          <w:b/>
          <w:color w:val="auto"/>
          <w:kern w:val="2"/>
          <w:sz w:val="24"/>
          <w:szCs w:val="24"/>
          <w:lang w:val="zh-CN" w:eastAsia="zh-CN" w:bidi="ar-SA"/>
        </w:rPr>
      </w:pPr>
      <w:r>
        <w:rPr>
          <w:rFonts w:hint="eastAsia" w:cs="Times New Roman" w:eastAsiaTheme="minorEastAsia"/>
          <w:b/>
          <w:color w:val="auto"/>
          <w:kern w:val="2"/>
          <w:sz w:val="24"/>
          <w:szCs w:val="24"/>
          <w:lang w:val="zh-CN" w:eastAsia="zh-CN" w:bidi="ar-SA"/>
        </w:rPr>
        <w:t>附</w:t>
      </w:r>
      <w:r>
        <w:rPr>
          <w:rFonts w:hint="default" w:ascii="Times New Roman" w:hAnsi="Times New Roman" w:cs="Times New Roman" w:eastAsiaTheme="minorEastAsia"/>
          <w:b/>
          <w:color w:val="auto"/>
          <w:kern w:val="2"/>
          <w:sz w:val="24"/>
          <w:szCs w:val="24"/>
          <w:lang w:val="zh-CN" w:eastAsia="zh-CN" w:bidi="ar-SA"/>
        </w:rPr>
        <w:t>表</w:t>
      </w:r>
      <w:r>
        <w:rPr>
          <w:rFonts w:hint="eastAsia" w:cs="Times New Roman" w:eastAsiaTheme="minorEastAsia"/>
          <w:b/>
          <w:color w:val="auto"/>
          <w:kern w:val="2"/>
          <w:sz w:val="24"/>
          <w:szCs w:val="24"/>
          <w:lang w:val="en-US" w:eastAsia="zh-CN" w:bidi="ar-SA"/>
        </w:rPr>
        <w:t>2.2</w:t>
      </w:r>
      <w:r>
        <w:rPr>
          <w:rFonts w:hint="default" w:ascii="Times New Roman" w:hAnsi="Times New Roman" w:cs="Times New Roman" w:eastAsiaTheme="minorEastAsia"/>
          <w:b/>
          <w:color w:val="auto"/>
          <w:kern w:val="2"/>
          <w:sz w:val="24"/>
          <w:szCs w:val="24"/>
          <w:lang w:val="zh-CN" w:eastAsia="zh-CN" w:bidi="ar-SA"/>
        </w:rPr>
        <w:t>-</w:t>
      </w:r>
      <w:r>
        <w:rPr>
          <w:rFonts w:hint="eastAsia" w:cs="Times New Roman" w:eastAsiaTheme="minorEastAsia"/>
          <w:b/>
          <w:color w:val="auto"/>
          <w:kern w:val="2"/>
          <w:sz w:val="24"/>
          <w:szCs w:val="24"/>
          <w:lang w:val="en-US" w:eastAsia="zh-CN" w:bidi="ar-SA"/>
        </w:rPr>
        <w:t>1</w:t>
      </w:r>
      <w:r>
        <w:rPr>
          <w:rFonts w:hint="default" w:ascii="Times New Roman" w:hAnsi="Times New Roman" w:cs="Times New Roman" w:eastAsiaTheme="minorEastAsia"/>
          <w:b/>
          <w:color w:val="auto"/>
          <w:kern w:val="2"/>
          <w:sz w:val="24"/>
          <w:szCs w:val="24"/>
          <w:lang w:val="zh-CN" w:eastAsia="zh-CN" w:bidi="ar-SA"/>
        </w:rPr>
        <w:t xml:space="preserve"> 危险、有害因素危险（危害）程度划分表</w:t>
      </w:r>
    </w:p>
    <w:tbl>
      <w:tblPr>
        <w:tblStyle w:val="28"/>
        <w:tblW w:w="9231"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31"/>
        <w:gridCol w:w="2242"/>
        <w:gridCol w:w="605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31"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级别</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危险程度</w:t>
            </w:r>
          </w:p>
        </w:tc>
        <w:tc>
          <w:tcPr>
            <w:tcW w:w="6058" w:type="dxa"/>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b/>
                <w:sz w:val="21"/>
                <w:szCs w:val="21"/>
              </w:rPr>
            </w:pPr>
            <w:r>
              <w:rPr>
                <w:rFonts w:hint="default" w:ascii="Times New Roman" w:hAnsi="Times New Roman" w:cs="Times New Roman"/>
                <w:b/>
                <w:sz w:val="21"/>
                <w:szCs w:val="21"/>
              </w:rPr>
              <w:t>可能导致的后果</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31"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I级</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安全的（可忽视的）</w:t>
            </w:r>
          </w:p>
        </w:tc>
        <w:tc>
          <w:tcPr>
            <w:tcW w:w="6058" w:type="dxa"/>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不会造成人员伤害和系统损坏</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31"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Ⅱ级</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临界的</w:t>
            </w:r>
          </w:p>
        </w:tc>
        <w:tc>
          <w:tcPr>
            <w:tcW w:w="6058" w:type="dxa"/>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降低系统的性能或损坏设备，但不会造成人员伤害，可以采取措施消除和控制危险的发生</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31"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Ⅲ级</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危险的</w:t>
            </w:r>
          </w:p>
        </w:tc>
        <w:tc>
          <w:tcPr>
            <w:tcW w:w="6058" w:type="dxa"/>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造成人员伤害和主要系统的损坏，必须立即采取防范措施</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31"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Ⅳ级</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破坏性的（灾难性的）</w:t>
            </w:r>
          </w:p>
        </w:tc>
        <w:tc>
          <w:tcPr>
            <w:tcW w:w="6058" w:type="dxa"/>
            <w:tcBorders>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firstLine="0" w:firstLineChars="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造成人员死亡、重伤以及系统严重损坏，必须果断排除并进行重点防范</w:t>
            </w:r>
          </w:p>
        </w:tc>
      </w:tr>
    </w:tbl>
    <w:p>
      <w:pPr>
        <w:spacing w:before="156" w:beforeLines="50"/>
        <w:ind w:firstLine="560"/>
        <w:rPr>
          <w:rFonts w:hint="default" w:ascii="Times New Roman" w:hAnsi="Times New Roman" w:cs="Times New Roman"/>
          <w:sz w:val="28"/>
          <w:szCs w:val="28"/>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5</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制定相应安全措施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cs="Times New Roman" w:eastAsiaTheme="minorEastAsia"/>
          <w:color w:val="auto"/>
          <w:spacing w:val="6"/>
          <w:sz w:val="21"/>
          <w:szCs w:val="21"/>
          <w:highlight w:val="none"/>
        </w:rPr>
      </w:pPr>
      <w:r>
        <w:rPr>
          <w:rFonts w:hint="default" w:ascii="Times New Roman" w:hAnsi="Times New Roman" w:cs="Times New Roman"/>
          <w:sz w:val="28"/>
          <w:szCs w:val="28"/>
        </w:rPr>
        <w:t>按危险、有害因素后果危险等级的轻、重、缓、急，采取相应的对策措施</w:t>
      </w:r>
      <w:r>
        <w:rPr>
          <w:rFonts w:hint="default" w:ascii="Times New Roman" w:hAnsi="Times New Roman" w:cs="Times New Roman" w:eastAsiaTheme="minorEastAsia"/>
          <w:color w:val="auto"/>
          <w:spacing w:val="6"/>
          <w:sz w:val="21"/>
          <w:szCs w:val="21"/>
          <w:highlight w:val="none"/>
        </w:rPr>
        <w:t>。</w:t>
      </w:r>
    </w:p>
    <w:bookmarkEnd w:id="168"/>
    <w:bookmarkEnd w:id="169"/>
    <w:bookmarkEnd w:id="170"/>
    <w:bookmarkEnd w:id="171"/>
    <w:p>
      <w:pPr>
        <w:pStyle w:val="3"/>
        <w:pageBreakBefore w:val="0"/>
        <w:kinsoku/>
        <w:wordWrap/>
        <w:topLinePunct w:val="0"/>
        <w:bidi w:val="0"/>
        <w:adjustRightInd w:val="0"/>
        <w:snapToGrid w:val="0"/>
        <w:spacing w:before="156" w:after="156"/>
        <w:jc w:val="both"/>
        <w:rPr>
          <w:rFonts w:hint="default" w:ascii="Times New Roman" w:hAnsi="Times New Roman" w:cs="Times New Roman" w:eastAsiaTheme="minorEastAsia"/>
          <w:color w:val="auto"/>
          <w:sz w:val="28"/>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28"/>
          <w:szCs w:val="28"/>
        </w:rPr>
      </w:pPr>
      <w:bookmarkStart w:id="172" w:name="_Toc19445"/>
      <w:r>
        <w:rPr>
          <w:rFonts w:hint="default" w:ascii="Times New Roman" w:hAnsi="Times New Roman" w:cs="Times New Roman" w:eastAsiaTheme="minorEastAsia"/>
          <w:color w:val="auto"/>
          <w:sz w:val="32"/>
          <w:szCs w:val="32"/>
        </w:rPr>
        <w:t>附件3 主要危险、有害因素分析辨识</w:t>
      </w:r>
      <w:bookmarkEnd w:id="172"/>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173" w:name="_Toc28732"/>
      <w:bookmarkStart w:id="174" w:name="_Toc31722"/>
      <w:bookmarkStart w:id="175" w:name="_Toc12248"/>
      <w:r>
        <w:rPr>
          <w:rFonts w:hint="default" w:ascii="Times New Roman" w:hAnsi="Times New Roman" w:cs="Times New Roman" w:eastAsiaTheme="minorEastAsia"/>
          <w:b/>
          <w:bCs w:val="0"/>
          <w:color w:val="auto"/>
          <w:sz w:val="28"/>
          <w:szCs w:val="28"/>
        </w:rPr>
        <w:t>附3.1 主要危险、有害物质分析</w:t>
      </w:r>
      <w:bookmarkEnd w:id="173"/>
      <w:bookmarkEnd w:id="174"/>
      <w:bookmarkEnd w:id="175"/>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附3.1.1 主要危险物质的类别</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eastAsia" w:cs="Times New Roman" w:eastAsiaTheme="minorEastAsia"/>
          <w:color w:val="auto"/>
          <w:sz w:val="28"/>
          <w:szCs w:val="28"/>
          <w:lang w:eastAsia="zh-CN"/>
        </w:rPr>
        <w:t>该加油中心</w:t>
      </w:r>
      <w:r>
        <w:rPr>
          <w:rFonts w:hint="default" w:ascii="Times New Roman" w:hAnsi="Times New Roman" w:cs="Times New Roman" w:eastAsiaTheme="minorEastAsia"/>
          <w:color w:val="auto"/>
          <w:sz w:val="28"/>
          <w:szCs w:val="28"/>
        </w:rPr>
        <w:t>涉及的主要危险、有害物质有汽油、柴油</w:t>
      </w:r>
      <w:r>
        <w:rPr>
          <w:rFonts w:hint="default" w:ascii="Times New Roman" w:hAnsi="Times New Roman" w:cs="Times New Roman" w:eastAsiaTheme="minorEastAsia"/>
          <w:color w:val="auto"/>
          <w:sz w:val="28"/>
          <w:szCs w:val="28"/>
          <w:lang w:eastAsia="zh-CN"/>
        </w:rPr>
        <w:t>（闭口</w:t>
      </w:r>
      <w:r>
        <w:rPr>
          <w:rFonts w:hint="default" w:ascii="Times New Roman" w:hAnsi="Times New Roman" w:cs="Times New Roman" w:eastAsiaTheme="minorEastAsia"/>
          <w:color w:val="auto"/>
          <w:sz w:val="28"/>
          <w:szCs w:val="28"/>
          <w:lang w:val="en-US" w:eastAsia="zh-CN"/>
        </w:rPr>
        <w:t>闪点≤60℃</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根据《危险化学品</w:t>
      </w:r>
      <w:r>
        <w:rPr>
          <w:rFonts w:hint="default" w:ascii="Times New Roman" w:hAnsi="Times New Roman" w:cs="Times New Roman" w:eastAsiaTheme="minorEastAsia"/>
          <w:color w:val="auto"/>
          <w:sz w:val="28"/>
          <w:szCs w:val="28"/>
          <w:lang w:val="en-US" w:eastAsia="zh-CN"/>
        </w:rPr>
        <w:t>目</w:t>
      </w:r>
      <w:r>
        <w:rPr>
          <w:rFonts w:hint="default" w:ascii="Times New Roman" w:hAnsi="Times New Roman" w:cs="Times New Roman" w:eastAsiaTheme="minorEastAsia"/>
          <w:color w:val="auto"/>
          <w:sz w:val="28"/>
          <w:szCs w:val="28"/>
        </w:rPr>
        <w:t>录》（2015版）辨识，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涉及的危险化学品</w:t>
      </w:r>
      <w:r>
        <w:rPr>
          <w:rFonts w:hint="default" w:ascii="Times New Roman" w:hAnsi="Times New Roman" w:cs="Times New Roman" w:eastAsiaTheme="minorEastAsia"/>
          <w:color w:val="auto"/>
          <w:sz w:val="28"/>
          <w:szCs w:val="28"/>
          <w:lang w:eastAsia="zh-CN"/>
        </w:rPr>
        <w:t>为</w:t>
      </w:r>
      <w:r>
        <w:rPr>
          <w:rFonts w:hint="default" w:ascii="Times New Roman" w:hAnsi="Times New Roman" w:cs="Times New Roman" w:eastAsiaTheme="minorEastAsia"/>
          <w:color w:val="auto"/>
          <w:sz w:val="28"/>
          <w:szCs w:val="28"/>
        </w:rPr>
        <w:t>汽油</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柴油</w:t>
      </w:r>
      <w:r>
        <w:rPr>
          <w:rFonts w:hint="default" w:ascii="Times New Roman" w:hAnsi="Times New Roman" w:cs="Times New Roman" w:eastAsiaTheme="minorEastAsia"/>
          <w:color w:val="auto"/>
          <w:sz w:val="28"/>
          <w:szCs w:val="28"/>
          <w:lang w:eastAsia="zh-CN"/>
        </w:rPr>
        <w:t>（闭口</w:t>
      </w:r>
      <w:r>
        <w:rPr>
          <w:rFonts w:hint="default" w:ascii="Times New Roman" w:hAnsi="Times New Roman" w:cs="Times New Roman" w:eastAsiaTheme="minorEastAsia"/>
          <w:color w:val="auto"/>
          <w:sz w:val="28"/>
          <w:szCs w:val="28"/>
          <w:lang w:val="en-US" w:eastAsia="zh-CN"/>
        </w:rPr>
        <w:t>闪点≤60℃</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rPr>
        <w:t>均不属于剧毒化学品。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根据《高毒物品目录》（卫生部卫发监发[2003]142号）辨识，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不涉及高毒物品。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根据《各类监控化学品名录》（</w:t>
      </w:r>
      <w:r>
        <w:rPr>
          <w:rFonts w:ascii="Times New Roman"/>
          <w:color w:val="000000"/>
          <w:sz w:val="28"/>
          <w:szCs w:val="28"/>
        </w:rPr>
        <w:t>中华人民共和国</w:t>
      </w:r>
      <w:r>
        <w:rPr>
          <w:rFonts w:hint="eastAsia" w:ascii="Times New Roman"/>
          <w:color w:val="000000"/>
          <w:sz w:val="28"/>
          <w:szCs w:val="28"/>
          <w:lang w:eastAsia="zh-CN"/>
        </w:rPr>
        <w:t>工业和信息化部令第</w:t>
      </w:r>
      <w:r>
        <w:rPr>
          <w:rFonts w:hint="eastAsia" w:ascii="Times New Roman"/>
          <w:color w:val="000000"/>
          <w:sz w:val="28"/>
          <w:szCs w:val="28"/>
          <w:lang w:val="en-US" w:eastAsia="zh-CN"/>
        </w:rPr>
        <w:t>52号</w:t>
      </w:r>
      <w:r>
        <w:rPr>
          <w:rFonts w:hint="default" w:ascii="Times New Roman" w:hAnsi="Times New Roman" w:cs="Times New Roman" w:eastAsiaTheme="minorEastAsia"/>
          <w:color w:val="auto"/>
          <w:sz w:val="28"/>
          <w:szCs w:val="28"/>
        </w:rPr>
        <w:t>）辨识，</w:t>
      </w:r>
      <w:r>
        <w:rPr>
          <w:rFonts w:hint="eastAsia" w:cs="Times New Roman" w:eastAsiaTheme="minorEastAsia"/>
          <w:color w:val="auto"/>
          <w:sz w:val="28"/>
          <w:szCs w:val="28"/>
          <w:lang w:eastAsia="zh-CN"/>
        </w:rPr>
        <w:t>该项目</w:t>
      </w:r>
      <w:r>
        <w:rPr>
          <w:rFonts w:hint="default" w:ascii="Times New Roman" w:hAnsi="Times New Roman" w:cs="Times New Roman" w:eastAsiaTheme="minorEastAsia"/>
          <w:color w:val="auto"/>
          <w:sz w:val="28"/>
          <w:szCs w:val="28"/>
        </w:rPr>
        <w:t>不涉及各类监控化学品。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根据《易制毒化学品管理条例》（国务院令[2005]第445号</w:t>
      </w:r>
      <w:r>
        <w:rPr>
          <w:rFonts w:hint="default" w:ascii="Times New Roman" w:hAnsi="Times New Roman" w:cs="Times New Roman" w:eastAsiaTheme="minorEastAsia"/>
          <w:color w:val="auto"/>
          <w:sz w:val="28"/>
          <w:szCs w:val="28"/>
          <w:lang w:eastAsia="zh-CN"/>
        </w:rPr>
        <w:t>，</w:t>
      </w:r>
      <w:r>
        <w:rPr>
          <w:rFonts w:hint="default" w:ascii="Times New Roman" w:hAnsi="Times New Roman" w:cs="Times New Roman" w:eastAsiaTheme="minorEastAsia"/>
          <w:color w:val="auto"/>
          <w:sz w:val="28"/>
          <w:szCs w:val="28"/>
          <w:lang w:val="en-US" w:eastAsia="zh-CN"/>
        </w:rPr>
        <w:t>根据666号令修改，2016年2月6日修订，2018年9月18日修订，</w:t>
      </w:r>
      <w:r>
        <w:rPr>
          <w:rFonts w:hint="default" w:ascii="Times New Roman" w:hAnsi="Times New Roman" w:cs="Times New Roman"/>
          <w:sz w:val="28"/>
          <w:szCs w:val="28"/>
        </w:rPr>
        <w:t>国办函</w:t>
      </w:r>
      <w:r>
        <w:rPr>
          <w:rFonts w:hint="eastAsia" w:cs="Times New Roman"/>
          <w:sz w:val="28"/>
          <w:szCs w:val="28"/>
          <w:lang w:val="en-US" w:eastAsia="zh-CN"/>
        </w:rPr>
        <w:t>[</w:t>
      </w:r>
      <w:r>
        <w:rPr>
          <w:rFonts w:hint="default" w:ascii="Times New Roman" w:hAnsi="Times New Roman" w:cs="Times New Roman"/>
          <w:sz w:val="28"/>
          <w:szCs w:val="28"/>
        </w:rPr>
        <w:t>2017</w:t>
      </w:r>
      <w:r>
        <w:rPr>
          <w:rFonts w:hint="eastAsia" w:cs="Times New Roman"/>
          <w:sz w:val="28"/>
          <w:szCs w:val="28"/>
          <w:lang w:val="en-US" w:eastAsia="zh-CN"/>
        </w:rPr>
        <w:t>]</w:t>
      </w:r>
      <w:r>
        <w:rPr>
          <w:rFonts w:hint="default" w:ascii="Times New Roman" w:hAnsi="Times New Roman" w:cs="Times New Roman"/>
          <w:sz w:val="28"/>
          <w:szCs w:val="28"/>
        </w:rPr>
        <w:t>120号补充</w:t>
      </w:r>
      <w:r>
        <w:rPr>
          <w:rFonts w:hint="default" w:ascii="Times New Roman" w:hAnsi="Times New Roman" w:cs="Times New Roman" w:eastAsiaTheme="minorEastAsia"/>
          <w:color w:val="auto"/>
          <w:sz w:val="28"/>
          <w:szCs w:val="28"/>
        </w:rPr>
        <w:t>）辨识，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项目不涉及各类易制毒化学品。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eastAsiaTheme="minorEastAsia"/>
          <w:color w:val="auto"/>
          <w:sz w:val="28"/>
          <w:szCs w:val="28"/>
        </w:rPr>
      </w:pPr>
      <w:r>
        <w:rPr>
          <w:rFonts w:hint="default" w:ascii="Times New Roman" w:hAnsi="Times New Roman" w:cs="Times New Roman" w:eastAsiaTheme="minorEastAsia"/>
          <w:color w:val="auto"/>
          <w:sz w:val="28"/>
          <w:szCs w:val="28"/>
        </w:rPr>
        <w:t>根据《重点监管的危险化学品名录》（2013年完整版）辨识，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项目涉及的重点监管化学品为汽油。</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eastAsiaTheme="minorEastAsia"/>
          <w:color w:val="auto"/>
          <w:sz w:val="28"/>
          <w:szCs w:val="28"/>
        </w:rPr>
        <w:t>根据《易制爆危险化学品名录》（201</w:t>
      </w:r>
      <w:r>
        <w:rPr>
          <w:rFonts w:hint="default" w:ascii="Times New Roman" w:hAnsi="Times New Roman" w:cs="Times New Roman" w:eastAsiaTheme="minorEastAsia"/>
          <w:color w:val="auto"/>
          <w:sz w:val="28"/>
          <w:szCs w:val="28"/>
          <w:lang w:val="en-US" w:eastAsia="zh-CN"/>
        </w:rPr>
        <w:t>7</w:t>
      </w:r>
      <w:r>
        <w:rPr>
          <w:rFonts w:hint="default" w:ascii="Times New Roman" w:hAnsi="Times New Roman" w:cs="Times New Roman" w:eastAsiaTheme="minorEastAsia"/>
          <w:color w:val="auto"/>
          <w:sz w:val="28"/>
          <w:szCs w:val="28"/>
        </w:rPr>
        <w:t>年版）辨识，</w:t>
      </w:r>
      <w:r>
        <w:rPr>
          <w:rFonts w:hint="eastAsia" w:cs="Times New Roman" w:eastAsiaTheme="minorEastAsia"/>
          <w:color w:val="auto"/>
          <w:sz w:val="28"/>
          <w:szCs w:val="28"/>
          <w:lang w:eastAsia="zh-CN"/>
        </w:rPr>
        <w:t>该</w:t>
      </w:r>
      <w:r>
        <w:rPr>
          <w:rFonts w:hint="default" w:ascii="Times New Roman" w:hAnsi="Times New Roman" w:cs="Times New Roman" w:eastAsiaTheme="minorEastAsia"/>
          <w:color w:val="auto"/>
          <w:sz w:val="28"/>
          <w:szCs w:val="28"/>
        </w:rPr>
        <w:t>项目不涉及易制爆危</w:t>
      </w:r>
      <w:r>
        <w:rPr>
          <w:rFonts w:hint="default" w:ascii="Times New Roman" w:hAnsi="Times New Roman" w:cs="Times New Roman"/>
          <w:color w:val="auto"/>
          <w:sz w:val="28"/>
          <w:szCs w:val="28"/>
          <w:lang w:eastAsia="zh-CN"/>
        </w:rPr>
        <w:t>险化学品。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根据《山东省禁止危险化学品目录（第一批）》（鲁应急发[</w:t>
      </w:r>
      <w:r>
        <w:rPr>
          <w:rFonts w:hint="default" w:ascii="Times New Roman" w:hAnsi="Times New Roman" w:cs="Times New Roman"/>
          <w:color w:val="auto"/>
          <w:sz w:val="28"/>
          <w:szCs w:val="28"/>
          <w:lang w:val="en-US" w:eastAsia="zh-CN"/>
        </w:rPr>
        <w:t>2019</w:t>
      </w:r>
      <w:r>
        <w:rPr>
          <w:rFonts w:hint="default" w:ascii="Times New Roman" w:hAnsi="Times New Roman" w:cs="Times New Roman"/>
          <w:color w:val="auto"/>
          <w:sz w:val="28"/>
          <w:szCs w:val="28"/>
          <w:lang w:eastAsia="zh-CN"/>
        </w:rPr>
        <w:t>]</w:t>
      </w:r>
      <w:r>
        <w:rPr>
          <w:rFonts w:hint="default" w:ascii="Times New Roman" w:hAnsi="Times New Roman" w:cs="Times New Roman"/>
          <w:color w:val="auto"/>
          <w:sz w:val="28"/>
          <w:szCs w:val="28"/>
          <w:lang w:val="en-US" w:eastAsia="zh-CN"/>
        </w:rPr>
        <w:t>37</w:t>
      </w:r>
      <w:r>
        <w:rPr>
          <w:rFonts w:hint="default" w:ascii="Times New Roman" w:hAnsi="Times New Roman" w:cs="Times New Roman"/>
          <w:color w:val="auto"/>
          <w:sz w:val="28"/>
          <w:szCs w:val="28"/>
          <w:lang w:eastAsia="zh-CN"/>
        </w:rPr>
        <w:t>号）的规定，</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项目不涉及山东省禁止危险化学品。</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根据《特别管控危险化学品目录（第一版）》（</w:t>
      </w:r>
      <w:r>
        <w:rPr>
          <w:rFonts w:hint="default" w:ascii="Times New Roman" w:hAnsi="Times New Roman" w:cs="Times New Roman"/>
          <w:color w:val="auto"/>
          <w:sz w:val="28"/>
          <w:szCs w:val="28"/>
          <w:lang w:val="en-US" w:eastAsia="zh-CN"/>
        </w:rPr>
        <w:t>应急管理部、工业和信息化部、公安部、交通运输部公告2020年第3号</w:t>
      </w:r>
      <w:r>
        <w:rPr>
          <w:rFonts w:hint="default" w:ascii="Times New Roman" w:hAnsi="Times New Roman" w:cs="Times New Roman"/>
          <w:color w:val="auto"/>
          <w:sz w:val="28"/>
          <w:szCs w:val="28"/>
          <w:lang w:eastAsia="zh-CN"/>
        </w:rPr>
        <w:t>）辨识，</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项目涉及的特别管控危险化学品为汽油。</w:t>
      </w:r>
    </w:p>
    <w:p>
      <w:pPr>
        <w:pageBreakBefore w:val="0"/>
        <w:widowControl w:val="0"/>
        <w:kinsoku/>
        <w:wordWrap/>
        <w:overflowPunct/>
        <w:topLinePunct w:val="0"/>
        <w:autoSpaceDE/>
        <w:autoSpaceDN/>
        <w:bidi w:val="0"/>
        <w:adjustRightInd w:val="0"/>
        <w:snapToGrid w:val="0"/>
        <w:spacing w:line="360" w:lineRule="auto"/>
        <w:ind w:left="0" w:leftChars="0" w:right="0" w:rightChars="0" w:firstLine="560"/>
        <w:textAlignment w:val="auto"/>
        <w:rPr>
          <w:rFonts w:hint="default" w:ascii="Times New Roman" w:hAnsi="Times New Roman" w:cs="Times New Roman"/>
          <w:color w:val="auto"/>
          <w:sz w:val="28"/>
          <w:szCs w:val="28"/>
          <w:lang w:eastAsia="zh-CN"/>
        </w:rPr>
      </w:pPr>
      <w:r>
        <w:rPr>
          <w:rFonts w:hint="default" w:ascii="Times New Roman" w:hAnsi="Times New Roman" w:cs="Times New Roman"/>
          <w:color w:val="auto"/>
          <w:sz w:val="28"/>
          <w:szCs w:val="28"/>
          <w:lang w:eastAsia="zh-CN"/>
        </w:rPr>
        <w:t>根据《中国严格限制的有毒化学品名录》（2020）辨识，</w:t>
      </w:r>
      <w:r>
        <w:rPr>
          <w:rFonts w:hint="eastAsia" w:cs="Times New Roman"/>
          <w:color w:val="auto"/>
          <w:sz w:val="28"/>
          <w:szCs w:val="28"/>
          <w:lang w:eastAsia="zh-CN"/>
        </w:rPr>
        <w:t>该</w:t>
      </w:r>
      <w:r>
        <w:rPr>
          <w:rFonts w:hint="default" w:ascii="Times New Roman" w:hAnsi="Times New Roman" w:cs="Times New Roman"/>
          <w:color w:val="auto"/>
          <w:sz w:val="28"/>
          <w:szCs w:val="28"/>
          <w:lang w:eastAsia="zh-CN"/>
        </w:rPr>
        <w:t>项</w:t>
      </w:r>
      <w:r>
        <w:rPr>
          <w:rFonts w:hint="eastAsia" w:cs="Times New Roman"/>
          <w:color w:val="auto"/>
          <w:sz w:val="28"/>
          <w:szCs w:val="28"/>
          <w:lang w:eastAsia="zh-CN"/>
        </w:rPr>
        <w:t>目</w:t>
      </w:r>
      <w:r>
        <w:rPr>
          <w:rFonts w:hint="default" w:ascii="Times New Roman" w:hAnsi="Times New Roman" w:cs="Times New Roman"/>
          <w:color w:val="auto"/>
          <w:sz w:val="28"/>
          <w:szCs w:val="28"/>
          <w:lang w:eastAsia="zh-CN"/>
        </w:rPr>
        <w:t>不涉及中国严格限制的有毒化学品。</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附3.1.2 危险物质的性质</w:t>
      </w:r>
    </w:p>
    <w:p>
      <w:pPr>
        <w:pageBreakBefore w:val="0"/>
        <w:kinsoku/>
        <w:wordWrap/>
        <w:topLinePunct w:val="0"/>
        <w:bidi w:val="0"/>
        <w:adjustRightInd w:val="0"/>
        <w:snapToGrid w:val="0"/>
        <w:ind w:firstLine="560"/>
        <w:rPr>
          <w:rFonts w:hint="default" w:ascii="Times New Roman" w:hAnsi="Times New Roman" w:cs="Times New Roman" w:eastAsiaTheme="minorEastAsia"/>
          <w:b/>
          <w:color w:val="auto"/>
          <w:sz w:val="24"/>
          <w:szCs w:val="24"/>
          <w:lang w:val="zh-CN"/>
        </w:rPr>
      </w:pPr>
      <w:r>
        <w:rPr>
          <w:rFonts w:hint="default" w:ascii="Times New Roman" w:hAnsi="Times New Roman" w:cs="Times New Roman" w:eastAsiaTheme="minorEastAsia"/>
          <w:color w:val="auto"/>
          <w:szCs w:val="28"/>
        </w:rPr>
        <w:t>主要危险、有害物质的危险、有害特性、理化性能参数、防护措施等如下：</w:t>
      </w: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b/>
          <w:color w:val="auto"/>
          <w:sz w:val="24"/>
          <w:szCs w:val="24"/>
          <w:lang w:val="zh-CN"/>
        </w:rPr>
      </w:pPr>
      <w:r>
        <w:rPr>
          <w:rFonts w:hint="default" w:ascii="Times New Roman" w:hAnsi="Times New Roman" w:cs="Times New Roman" w:eastAsiaTheme="minorEastAsia"/>
          <w:b/>
          <w:color w:val="auto"/>
          <w:sz w:val="24"/>
          <w:szCs w:val="24"/>
          <w:lang w:val="zh-CN"/>
        </w:rPr>
        <w:t>附表3</w:t>
      </w:r>
      <w:r>
        <w:rPr>
          <w:rFonts w:hint="default" w:ascii="Times New Roman" w:hAnsi="Times New Roman" w:cs="Times New Roman" w:eastAsiaTheme="minorEastAsia"/>
          <w:b/>
          <w:color w:val="auto"/>
          <w:sz w:val="24"/>
          <w:szCs w:val="24"/>
        </w:rPr>
        <w:t>.1</w:t>
      </w:r>
      <w:r>
        <w:rPr>
          <w:rFonts w:hint="default" w:ascii="Times New Roman" w:hAnsi="Times New Roman" w:cs="Times New Roman" w:eastAsiaTheme="minorEastAsia"/>
          <w:b/>
          <w:color w:val="auto"/>
          <w:sz w:val="24"/>
          <w:szCs w:val="24"/>
          <w:lang w:val="zh-CN"/>
        </w:rPr>
        <w:t>-1 汽油危险有害因素识别表</w:t>
      </w:r>
    </w:p>
    <w:tbl>
      <w:tblPr>
        <w:tblStyle w:val="28"/>
        <w:tblW w:w="9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16"/>
        <w:gridCol w:w="893"/>
        <w:gridCol w:w="119"/>
        <w:gridCol w:w="435"/>
        <w:gridCol w:w="561"/>
        <w:gridCol w:w="930"/>
        <w:gridCol w:w="488"/>
        <w:gridCol w:w="249"/>
        <w:gridCol w:w="563"/>
        <w:gridCol w:w="657"/>
        <w:gridCol w:w="1018"/>
        <w:gridCol w:w="15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中文名称</w:t>
            </w:r>
          </w:p>
        </w:tc>
        <w:tc>
          <w:tcPr>
            <w:tcW w:w="3675"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汽油</w:t>
            </w: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包装标志</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易燃液体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英文名称</w:t>
            </w:r>
          </w:p>
        </w:tc>
        <w:tc>
          <w:tcPr>
            <w:tcW w:w="3675"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Gasoline；Petrol</w:t>
            </w: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包装类别</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Ⅱ类包装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危险化学品序号</w:t>
            </w:r>
          </w:p>
        </w:tc>
        <w:tc>
          <w:tcPr>
            <w:tcW w:w="3675"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1630</w:t>
            </w: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CAS号</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0"/>
                <w:sz w:val="21"/>
                <w:szCs w:val="21"/>
              </w:rPr>
              <w:t>86290-81-5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UN编号</w:t>
            </w:r>
          </w:p>
        </w:tc>
        <w:tc>
          <w:tcPr>
            <w:tcW w:w="3675"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1203</w:t>
            </w: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闪点（℃）</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理化特性</w:t>
            </w:r>
          </w:p>
        </w:tc>
        <w:tc>
          <w:tcPr>
            <w:tcW w:w="1447" w:type="dxa"/>
            <w:gridSpan w:val="3"/>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外观与性状</w:t>
            </w:r>
          </w:p>
        </w:tc>
        <w:tc>
          <w:tcPr>
            <w:tcW w:w="2228" w:type="dxa"/>
            <w:gridSpan w:val="4"/>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无色或淡黄色易挥发液体，具有特殊臭味。</w:t>
            </w: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熔点（℃）</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&lt;-60</w:t>
            </w:r>
            <w:r>
              <w:rPr>
                <w:rFonts w:hint="default" w:ascii="Times New Roman" w:hAnsi="Times New Roman" w:cs="Times New Roman" w:eastAsiaTheme="minorEastAsia"/>
                <w:color w:val="auto"/>
                <w:sz w:val="21"/>
                <w:szCs w:val="21"/>
              </w:rPr>
              <w:tab/>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447" w:type="dxa"/>
            <w:gridSpan w:val="3"/>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228" w:type="dxa"/>
            <w:gridSpan w:val="4"/>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沸点（℃）</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40</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200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008"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相对密度（水＝1）</w:t>
            </w:r>
          </w:p>
        </w:tc>
        <w:tc>
          <w:tcPr>
            <w:tcW w:w="1667"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0.</w:t>
            </w:r>
            <w:r>
              <w:rPr>
                <w:rFonts w:hint="default" w:ascii="Times New Roman" w:hAnsi="Times New Roman" w:cs="Times New Roman"/>
                <w:color w:val="auto"/>
                <w:sz w:val="21"/>
                <w:szCs w:val="21"/>
                <w:lang w:val="en-US" w:eastAsia="zh-CN"/>
              </w:rPr>
              <w:t>72</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0.</w:t>
            </w:r>
            <w:r>
              <w:rPr>
                <w:rFonts w:hint="default" w:ascii="Times New Roman" w:hAnsi="Times New Roman" w:cs="Times New Roman"/>
                <w:color w:val="auto"/>
                <w:sz w:val="21"/>
                <w:szCs w:val="21"/>
                <w:lang w:val="en-US" w:eastAsia="zh-CN"/>
              </w:rPr>
              <w:t>77</w:t>
            </w: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引燃温度（℃）</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415</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530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008"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相对密度（空气＝1）</w:t>
            </w:r>
          </w:p>
        </w:tc>
        <w:tc>
          <w:tcPr>
            <w:tcW w:w="1667"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3.5</w:t>
            </w: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最大爆炸压力（MPa）</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0.813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008"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爆炸下限〔％（V/V）〕</w:t>
            </w:r>
          </w:p>
        </w:tc>
        <w:tc>
          <w:tcPr>
            <w:tcW w:w="1667"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1.3</w:t>
            </w:r>
          </w:p>
        </w:tc>
        <w:tc>
          <w:tcPr>
            <w:tcW w:w="2238"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爆炸上限〔％（V/V）〕</w:t>
            </w:r>
          </w:p>
        </w:tc>
        <w:tc>
          <w:tcPr>
            <w:tcW w:w="15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7.6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89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溶解性</w:t>
            </w:r>
          </w:p>
        </w:tc>
        <w:tc>
          <w:tcPr>
            <w:tcW w:w="6575" w:type="dxa"/>
            <w:gridSpan w:val="1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不溶于水，易溶于苯、二硫化碳、醇、脂肪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主要用途</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主要用作汽油机的燃料，用于橡胶、制鞋、印刷、制、颜料等行业，也可用作机械零件的去污剂。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侵入途径</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吸入、食入、经皮吸收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健康危害</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w:t>
            </w:r>
            <w:r>
              <w:rPr>
                <w:rFonts w:hint="default" w:ascii="Times New Roman" w:hAnsi="Times New Roman" w:cs="Times New Roman" w:eastAsiaTheme="minorEastAsia"/>
                <w:bCs/>
                <w:color w:val="auto"/>
                <w:sz w:val="21"/>
                <w:szCs w:val="21"/>
              </w:rPr>
              <w:t>溅入眼内可致角膜溃疡、穿孔，甚至失明。</w:t>
            </w:r>
            <w:r>
              <w:rPr>
                <w:rFonts w:hint="default" w:ascii="Times New Roman" w:hAnsi="Times New Roman" w:cs="Times New Roman" w:eastAsiaTheme="minorEastAsia"/>
                <w:color w:val="auto"/>
                <w:sz w:val="21"/>
                <w:szCs w:val="21"/>
              </w:rPr>
              <w:t>皮肤接触致急性接触性皮炎，甚至灼伤。吞咽引起急性胃肠炎，重者出现类似急性吸入中毒症状，并可引起肝、肾损害。慢性中毒：神经衰弱综合症、植物神经功能紊乱、周围神经病。严重中毒出现中毒性脑病，症状类似精神分裂症。皮肤损害。燃爆危险：本品极度易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毒理学资料</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急性毒性：LD</w:t>
            </w:r>
            <w:r>
              <w:rPr>
                <w:rFonts w:hint="default" w:ascii="Times New Roman" w:hAnsi="Times New Roman" w:cs="Times New Roman" w:eastAsiaTheme="minorEastAsia"/>
                <w:color w:val="auto"/>
                <w:sz w:val="21"/>
                <w:szCs w:val="21"/>
                <w:vertAlign w:val="subscript"/>
              </w:rPr>
              <w:t>50</w:t>
            </w:r>
            <w:r>
              <w:rPr>
                <w:rFonts w:hint="default" w:ascii="Times New Roman" w:hAnsi="Times New Roman" w:cs="Times New Roman" w:eastAsiaTheme="minorEastAsia"/>
                <w:color w:val="auto"/>
                <w:sz w:val="21"/>
                <w:szCs w:val="21"/>
              </w:rPr>
              <w:t>：67000mg/kg（小鼠经口）（120号溶剂汽油）；LC</w:t>
            </w:r>
            <w:r>
              <w:rPr>
                <w:rFonts w:hint="default" w:ascii="Times New Roman" w:hAnsi="Times New Roman" w:cs="Times New Roman" w:eastAsiaTheme="minorEastAsia"/>
                <w:color w:val="auto"/>
                <w:sz w:val="21"/>
                <w:szCs w:val="21"/>
                <w:vertAlign w:val="subscript"/>
              </w:rPr>
              <w:t>50</w:t>
            </w:r>
            <w:r>
              <w:rPr>
                <w:rFonts w:hint="default" w:ascii="Times New Roman" w:hAnsi="Times New Roman" w:cs="Times New Roman" w:eastAsiaTheme="minorEastAsia"/>
                <w:color w:val="auto"/>
                <w:sz w:val="21"/>
                <w:szCs w:val="21"/>
              </w:rPr>
              <w:t>：103000mg/m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，2小时（小鼠吸入）（120号溶剂汽油）。刺激性：家兔经眼：2mg/24h，重度刺激。亚急性与慢性毒性：大鼠吸入3g/m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，12～24小时/天，78天（120号溶剂汽油），未见中毒症状。大鼠吸入2500 mg/m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，130号催化裂隙解汽油，4小时/天，6天/周，8周，体力活动能力降低，神经系统发生机能性改变。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消防措施</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特性：其蒸气与空气可形成爆炸性混合物，遇明火、高热极易燃烧爆炸。与氧化剂能发生强烈反应。其蒸气比空气重，能在较低处扩散到相当远的地方，遇火源会着火回燃。有害燃烧产物：一氧化碳、二氧化碳。灭火方法：喷水冷却容器，可能的话将容器从火场移至空旷处。灭火剂：泡沫、干粉、二氧化碳。用水灭火无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稳定性和反应活性</w:t>
            </w:r>
          </w:p>
        </w:tc>
        <w:tc>
          <w:tcPr>
            <w:tcW w:w="1447"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稳定性</w:t>
            </w:r>
          </w:p>
        </w:tc>
        <w:tc>
          <w:tcPr>
            <w:tcW w:w="149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w:t>
            </w:r>
          </w:p>
        </w:tc>
        <w:tc>
          <w:tcPr>
            <w:tcW w:w="130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聚合危害</w:t>
            </w:r>
          </w:p>
        </w:tc>
        <w:tc>
          <w:tcPr>
            <w:tcW w:w="323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不聚合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447"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避免接触条件</w:t>
            </w:r>
          </w:p>
        </w:tc>
        <w:tc>
          <w:tcPr>
            <w:tcW w:w="149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30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禁配物</w:t>
            </w:r>
          </w:p>
        </w:tc>
        <w:tc>
          <w:tcPr>
            <w:tcW w:w="323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操作处置</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密闭操作，全面通风。操作人员必须经过专门培训，严格遵守操作规程。建议操作人员穿防静电工作服，戴橡胶耐油手套。远离火种、热源，工作场所严禁吸烟。使用防暴型的通风系统和设备。防止蒸汽泄漏到工作场所空气中。避免与氧化剂接触。罐装时应控制流速，且有接地装置，防止静电积聚。搬运时要轻装轻卸，防止包装及容器损坏。配备相应品种和数量的消防器材及泄漏应急设备。倒空的容器可能残留有害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储存注意事项</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存于阴凉、通风的库房。远离火种、热源。库存不宜超过30℃.保持容器密封。应与氧化剂分开存放，切忌混储。采用防爆型照明、通风设施。禁止使用易产生火花的机械设备和工具。存储区应备有泄漏应急处理设备和合适的收容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运输注意事项</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本品铁路运输时限使用企业自备罐车装运，装运前需报有关部门批准。运输时运输车应配备相应品种和数量的消防器材及泄漏应急设备。夏季应早晚运输。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急救措施</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皮肤接触：立即脱去污染的衣着，用肥皂水和清水彻底冲洗皮肤。就医。眼睛接触：立即翻开上下眼睑，用大量流动清水或生理盐水彻底冲洗至少15分钟。就医。吸入：迅速脱离现场至空气新鲜处。保持呼吸道通畅。如呼吸困难，给输氧。如呼吸停止，立即进行人工呼吸。就医。食入：给饮牛奶或用植物油洗胃和灌肠。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泄漏应急处理及废弃处置</w:t>
            </w:r>
          </w:p>
        </w:tc>
        <w:tc>
          <w:tcPr>
            <w:tcW w:w="746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在保证安全情况下，就地焚烧。大量泄漏：构筑围堤或挖坑收容。用泡沫覆盖，降低蒸气灾害。用防爆泵转移至槽车或专用收集器内，回收或转运至废物处理场所。废弃处置方法：用焚烧法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个体防护</w:t>
            </w:r>
          </w:p>
        </w:tc>
        <w:tc>
          <w:tcPr>
            <w:tcW w:w="101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工程控制</w:t>
            </w:r>
          </w:p>
        </w:tc>
        <w:tc>
          <w:tcPr>
            <w:tcW w:w="2414"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生产过程密闭，全面通风。</w:t>
            </w:r>
          </w:p>
        </w:tc>
        <w:tc>
          <w:tcPr>
            <w:tcW w:w="1469" w:type="dxa"/>
            <w:gridSpan w:val="3"/>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呼吸系统防护</w:t>
            </w:r>
          </w:p>
        </w:tc>
        <w:tc>
          <w:tcPr>
            <w:tcW w:w="2573" w:type="dxa"/>
            <w:gridSpan w:val="2"/>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一般不需要特殊防护，高浓度接触时可佩戴自吸过滤式防毒面具（半面罩）。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01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最高容许浓度</w:t>
            </w:r>
          </w:p>
        </w:tc>
        <w:tc>
          <w:tcPr>
            <w:tcW w:w="2414"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中国MAC（mg\m</w:t>
            </w:r>
            <w:r>
              <w:rPr>
                <w:rFonts w:hint="default" w:ascii="Times New Roman" w:hAnsi="Times New Roman" w:cs="Times New Roman" w:eastAsiaTheme="minorEastAsia"/>
                <w:color w:val="auto"/>
                <w:sz w:val="21"/>
                <w:szCs w:val="21"/>
                <w:vertAlign w:val="superscript"/>
              </w:rPr>
              <w:t>3</w:t>
            </w:r>
            <w:r>
              <w:rPr>
                <w:rFonts w:hint="default" w:ascii="Times New Roman" w:hAnsi="Times New Roman" w:cs="Times New Roman" w:eastAsiaTheme="minorEastAsia"/>
                <w:color w:val="auto"/>
                <w:sz w:val="21"/>
                <w:szCs w:val="21"/>
              </w:rPr>
              <w:t>）：300（溶剂汽油）</w:t>
            </w:r>
          </w:p>
        </w:tc>
        <w:tc>
          <w:tcPr>
            <w:tcW w:w="1469" w:type="dxa"/>
            <w:gridSpan w:val="3"/>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2573" w:type="dxa"/>
            <w:gridSpan w:val="2"/>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01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眼睛防护</w:t>
            </w:r>
          </w:p>
        </w:tc>
        <w:tc>
          <w:tcPr>
            <w:tcW w:w="2414"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一般不需要特殊防护，高浓度接触时可戴化学安全防护眼镜。</w:t>
            </w:r>
          </w:p>
        </w:tc>
        <w:tc>
          <w:tcPr>
            <w:tcW w:w="1469"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身体防护</w:t>
            </w:r>
          </w:p>
        </w:tc>
        <w:tc>
          <w:tcPr>
            <w:tcW w:w="2573"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81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p>
        </w:tc>
        <w:tc>
          <w:tcPr>
            <w:tcW w:w="101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手防护</w:t>
            </w:r>
          </w:p>
        </w:tc>
        <w:tc>
          <w:tcPr>
            <w:tcW w:w="2414"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戴橡胶耐油手套。</w:t>
            </w:r>
          </w:p>
        </w:tc>
        <w:tc>
          <w:tcPr>
            <w:tcW w:w="1469"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其他防护</w:t>
            </w:r>
          </w:p>
        </w:tc>
        <w:tc>
          <w:tcPr>
            <w:tcW w:w="2573"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工作现场严禁吸烟。避免长期反复接触。</w:t>
            </w:r>
          </w:p>
        </w:tc>
      </w:tr>
    </w:tbl>
    <w:p>
      <w:pPr>
        <w:pageBreakBefore w:val="0"/>
        <w:kinsoku/>
        <w:wordWrap/>
        <w:topLinePunct w:val="0"/>
        <w:bidi w:val="0"/>
        <w:adjustRightInd w:val="0"/>
        <w:snapToGrid w:val="0"/>
        <w:spacing w:before="156" w:beforeLines="50"/>
        <w:ind w:firstLine="482"/>
        <w:jc w:val="center"/>
        <w:rPr>
          <w:rFonts w:hint="default" w:ascii="Times New Roman" w:hAnsi="Times New Roman" w:cs="Times New Roman" w:eastAsiaTheme="minorEastAsia"/>
          <w:b/>
          <w:color w:val="auto"/>
          <w:sz w:val="24"/>
          <w:szCs w:val="24"/>
          <w:lang w:val="zh-CN"/>
        </w:rPr>
      </w:pPr>
      <w:r>
        <w:rPr>
          <w:rFonts w:hint="default" w:ascii="Times New Roman" w:hAnsi="Times New Roman" w:cs="Times New Roman" w:eastAsiaTheme="minorEastAsia"/>
          <w:b/>
          <w:color w:val="auto"/>
          <w:sz w:val="24"/>
          <w:szCs w:val="24"/>
          <w:lang w:val="zh-CN"/>
        </w:rPr>
        <w:t>附表3</w:t>
      </w:r>
      <w:r>
        <w:rPr>
          <w:rFonts w:hint="default" w:ascii="Times New Roman" w:hAnsi="Times New Roman" w:cs="Times New Roman" w:eastAsiaTheme="minorEastAsia"/>
          <w:b/>
          <w:color w:val="auto"/>
          <w:sz w:val="24"/>
          <w:szCs w:val="24"/>
        </w:rPr>
        <w:t>.1</w:t>
      </w:r>
      <w:r>
        <w:rPr>
          <w:rFonts w:hint="default" w:ascii="Times New Roman" w:hAnsi="Times New Roman" w:cs="Times New Roman" w:eastAsiaTheme="minorEastAsia"/>
          <w:b/>
          <w:color w:val="auto"/>
          <w:sz w:val="24"/>
          <w:szCs w:val="24"/>
          <w:lang w:val="zh-CN"/>
        </w:rPr>
        <w:t>-2 柴油危险有害因素识别表</w:t>
      </w:r>
    </w:p>
    <w:tbl>
      <w:tblPr>
        <w:tblStyle w:val="28"/>
        <w:tblW w:w="9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9"/>
        <w:gridCol w:w="1215"/>
        <w:gridCol w:w="390"/>
        <w:gridCol w:w="76"/>
        <w:gridCol w:w="823"/>
        <w:gridCol w:w="470"/>
        <w:gridCol w:w="390"/>
        <w:gridCol w:w="579"/>
        <w:gridCol w:w="984"/>
        <w:gridCol w:w="1430"/>
        <w:gridCol w:w="14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bookmarkStart w:id="176" w:name="_Toc29240"/>
            <w:bookmarkStart w:id="177" w:name="_Toc333233444"/>
            <w:bookmarkStart w:id="178" w:name="_Toc23982"/>
            <w:bookmarkStart w:id="179" w:name="_Toc328576302"/>
            <w:r>
              <w:rPr>
                <w:rFonts w:hint="default" w:ascii="Times New Roman" w:hAnsi="Times New Roman" w:cs="Times New Roman" w:eastAsiaTheme="minorEastAsia"/>
                <w:color w:val="auto"/>
                <w:sz w:val="21"/>
                <w:szCs w:val="21"/>
              </w:rPr>
              <w:t>中文名称</w:t>
            </w:r>
          </w:p>
        </w:tc>
        <w:tc>
          <w:tcPr>
            <w:tcW w:w="3943" w:type="dxa"/>
            <w:gridSpan w:val="7"/>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柴油</w:t>
            </w: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包装标志</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英文名称</w:t>
            </w:r>
          </w:p>
        </w:tc>
        <w:tc>
          <w:tcPr>
            <w:tcW w:w="3943" w:type="dxa"/>
            <w:gridSpan w:val="7"/>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Diesel oil;Diesel fuel</w:t>
            </w: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包装类别 </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危险性类别</w:t>
            </w:r>
          </w:p>
        </w:tc>
        <w:tc>
          <w:tcPr>
            <w:tcW w:w="3943" w:type="dxa"/>
            <w:gridSpan w:val="7"/>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无资料</w:t>
            </w: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危险货物编号</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UN编号</w:t>
            </w:r>
          </w:p>
        </w:tc>
        <w:tc>
          <w:tcPr>
            <w:tcW w:w="3943" w:type="dxa"/>
            <w:gridSpan w:val="7"/>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无资料</w:t>
            </w: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燃烧热（kJ/mol）</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restart"/>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理化特性</w:t>
            </w:r>
          </w:p>
        </w:tc>
        <w:tc>
          <w:tcPr>
            <w:tcW w:w="1681" w:type="dxa"/>
            <w:gridSpan w:val="3"/>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外观与性状</w:t>
            </w:r>
          </w:p>
        </w:tc>
        <w:tc>
          <w:tcPr>
            <w:tcW w:w="2262"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稍有粘性的棕色液体。</w:t>
            </w: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熔点（℃）</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2504"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相对密度（水＝1）</w:t>
            </w:r>
          </w:p>
        </w:tc>
        <w:tc>
          <w:tcPr>
            <w:tcW w:w="1439" w:type="dxa"/>
            <w:gridSpan w:val="3"/>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rPr>
              <w:t>0.8</w:t>
            </w:r>
            <w:r>
              <w:rPr>
                <w:rFonts w:hint="default" w:ascii="Times New Roman" w:hAnsi="Times New Roman" w:cs="Times New Roman"/>
                <w:color w:val="auto"/>
                <w:sz w:val="21"/>
                <w:szCs w:val="21"/>
                <w:lang w:val="en-US" w:eastAsia="zh-CN"/>
              </w:rPr>
              <w:t>1</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0.</w:t>
            </w:r>
            <w:r>
              <w:rPr>
                <w:rFonts w:hint="default" w:ascii="Times New Roman" w:hAnsi="Times New Roman" w:cs="Times New Roman"/>
                <w:color w:val="auto"/>
                <w:sz w:val="21"/>
                <w:szCs w:val="21"/>
                <w:lang w:val="en-US" w:eastAsia="zh-CN"/>
              </w:rPr>
              <w:t>85</w:t>
            </w: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沸点（℃）</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282</w:t>
            </w:r>
            <w:r>
              <w:rPr>
                <w:rFonts w:hint="default" w:ascii="Times New Roman" w:hAnsi="Times New Roman" w:cs="Times New Roman" w:eastAsiaTheme="minorEastAsia"/>
                <w:snapToGrid w:val="0"/>
                <w:color w:val="auto"/>
                <w:kern w:val="0"/>
                <w:sz w:val="21"/>
                <w:szCs w:val="21"/>
              </w:rPr>
              <w:t>～</w:t>
            </w:r>
            <w:r>
              <w:rPr>
                <w:rFonts w:hint="default" w:ascii="Times New Roman" w:hAnsi="Times New Roman" w:cs="Times New Roman" w:eastAsiaTheme="minorEastAsia"/>
                <w:color w:val="auto"/>
                <w:sz w:val="21"/>
                <w:szCs w:val="21"/>
              </w:rPr>
              <w:t>338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2504"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闪点（℃）</w:t>
            </w:r>
          </w:p>
        </w:tc>
        <w:tc>
          <w:tcPr>
            <w:tcW w:w="1439" w:type="dxa"/>
            <w:gridSpan w:val="3"/>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rPr>
              <w:t>55</w:t>
            </w: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临界压力（MPa）</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2504"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爆炸下限（V/V%）：</w:t>
            </w:r>
          </w:p>
        </w:tc>
        <w:tc>
          <w:tcPr>
            <w:tcW w:w="1439" w:type="dxa"/>
            <w:gridSpan w:val="3"/>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爆炸上限（V/V%）</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2504"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引燃温度（℃）</w:t>
            </w:r>
          </w:p>
        </w:tc>
        <w:tc>
          <w:tcPr>
            <w:tcW w:w="1439" w:type="dxa"/>
            <w:gridSpan w:val="3"/>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257</w:t>
            </w:r>
          </w:p>
        </w:tc>
        <w:tc>
          <w:tcPr>
            <w:tcW w:w="2414"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最大爆炸压力（Mpa）</w:t>
            </w:r>
          </w:p>
        </w:tc>
        <w:tc>
          <w:tcPr>
            <w:tcW w:w="148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bCs/>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主要用途</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用作柴油机的燃料。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侵入途径</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吸入、食入、经皮吸收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健康危害</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健康危害：皮肤接触可为主要吸收途径，可致急性肾脏损害。柴油可引起接触性皮炎、油性痤疮。吸入其雾滴或液体呛入可引起吸入性肺炎。能经胎盘进入胎儿血中。柴油废气可引起眼、鼻刺激症状，头晕及头痛。环境危害：对环境有危害，对水体和大气可造成污染。燃爆危险：本品易燃，具刺激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毒理学资料</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消防措施</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危险特性：遇明火、高热或与氧化剂接触，有引起燃烧爆炸的危险。若遇高热，容器内压增大，有开裂和爆炸的危险。有害燃烧产物：一氧化碳、二氧化碳。灭火方法：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restart"/>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稳定性和反应活性</w:t>
            </w:r>
          </w:p>
        </w:tc>
        <w:tc>
          <w:tcPr>
            <w:tcW w:w="1605"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稳定性</w:t>
            </w:r>
          </w:p>
        </w:tc>
        <w:tc>
          <w:tcPr>
            <w:tcW w:w="1759"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稳定</w:t>
            </w:r>
          </w:p>
        </w:tc>
        <w:tc>
          <w:tcPr>
            <w:tcW w:w="1563"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聚合危害</w:t>
            </w:r>
          </w:p>
        </w:tc>
        <w:tc>
          <w:tcPr>
            <w:tcW w:w="2918"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不聚合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1605"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避免接触条件</w:t>
            </w:r>
          </w:p>
        </w:tc>
        <w:tc>
          <w:tcPr>
            <w:tcW w:w="1759"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1563"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禁配物</w:t>
            </w:r>
          </w:p>
        </w:tc>
        <w:tc>
          <w:tcPr>
            <w:tcW w:w="2918"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操作处置注意事项</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密闭操作,注意通风。操作人员必须经过专门培训，严格遵守操作规程。建议操作人员佩戴自吸过滤式防毒面具（半面罩），戴化学安全防护眼镜，戴橡胶耐油手套。远离火种、热源，工作场所严禁吸烟。使用防爆型的通风系统和设备。防止蒸气泄漏到工作场所空气中。避免与氧化剂、卤素接触。充装要控制流速，防止静电积聚。搬运时要轻装轻卸，防止包装及容器损坏。配备相应品种和数量的消防器材及泄漏应急处理设备。倒空的容器可能残留有害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储存注意事项</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储存于阴凉、通风的库房。远离火种、热源。应与氧化剂、卤素分开存放，切忌混储。采用防爆型照明、通风设施。禁止使用易产生火花的机械设备和工具。储区应备有泄漏应急处理设备和合适的收容材料。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运输注意事项</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急救措施</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皮肤接触：立即脱去污染的衣着，用肥皂水和清水彻底冲洗皮肤。就医。眼睛接触：立即翻开上下眼睑，用流动清水或生理盐水冲洗。就医。吸入：迅速脱离现场至空气新鲜处。保持呼吸道通畅。如呼吸困难，给输氧。如呼吸停止，立即进行人工呼吸。就医。食入：尽快彻底洗胃。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泄漏应急处理及废弃处置</w:t>
            </w:r>
          </w:p>
        </w:tc>
        <w:tc>
          <w:tcPr>
            <w:tcW w:w="7845" w:type="dxa"/>
            <w:gridSpan w:val="10"/>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应急行动：迅速撤离泄漏污染区人员至安全区，并进行隔离，严格限制出入。切断火源。建议应急处理人员戴自给正压式呼吸器，穿一般作业工作服。尽可能切断泄漏源。防止流入下水道、排洪沟等限制性空间。小量泄漏：活性炭或其它惰性材料吸收。大量泄漏：构筑围堤或挖坑收容。用泵转移至槽车或专用收集器内，回收或运至废物处理场所处置。废弃处置方法：处置前应参阅国家和地方有关法规。建议用焚烧法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restart"/>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个体防护</w:t>
            </w:r>
          </w:p>
        </w:tc>
        <w:tc>
          <w:tcPr>
            <w:tcW w:w="1215"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工程控制</w:t>
            </w:r>
          </w:p>
        </w:tc>
        <w:tc>
          <w:tcPr>
            <w:tcW w:w="1759"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969"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呼吸系统防护</w:t>
            </w:r>
          </w:p>
        </w:tc>
        <w:tc>
          <w:tcPr>
            <w:tcW w:w="3902" w:type="dxa"/>
            <w:gridSpan w:val="3"/>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空气中浓度超标时，建议佩戴自吸过滤式防毒面具（半面罩）。紧急事态抢救或撤离时，应佩戴空气呼吸器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1215"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眼睛防护</w:t>
            </w:r>
          </w:p>
        </w:tc>
        <w:tc>
          <w:tcPr>
            <w:tcW w:w="1759"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戴化学安全防护眼镜</w:t>
            </w:r>
          </w:p>
        </w:tc>
        <w:tc>
          <w:tcPr>
            <w:tcW w:w="969"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身体防护</w:t>
            </w:r>
          </w:p>
        </w:tc>
        <w:tc>
          <w:tcPr>
            <w:tcW w:w="3902" w:type="dxa"/>
            <w:gridSpan w:val="3"/>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穿一般作业防护服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9" w:type="dxa"/>
            <w:vMerge w:val="continue"/>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p>
        </w:tc>
        <w:tc>
          <w:tcPr>
            <w:tcW w:w="1215"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手防护</w:t>
            </w:r>
          </w:p>
        </w:tc>
        <w:tc>
          <w:tcPr>
            <w:tcW w:w="1759" w:type="dxa"/>
            <w:gridSpan w:val="4"/>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戴橡胶耐油手套</w:t>
            </w:r>
          </w:p>
        </w:tc>
        <w:tc>
          <w:tcPr>
            <w:tcW w:w="969" w:type="dxa"/>
            <w:gridSpan w:val="2"/>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其他防护</w:t>
            </w:r>
          </w:p>
        </w:tc>
        <w:tc>
          <w:tcPr>
            <w:tcW w:w="3902" w:type="dxa"/>
            <w:gridSpan w:val="3"/>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工作现场严禁吸烟。避免长期反复接触</w:t>
            </w:r>
          </w:p>
        </w:tc>
      </w:tr>
    </w:tbl>
    <w:p>
      <w:pPr>
        <w:keepNext/>
        <w:keepLines/>
        <w:pageBreakBefore w:val="0"/>
        <w:kinsoku/>
        <w:wordWrap/>
        <w:topLinePunct w:val="0"/>
        <w:bidi w:val="0"/>
        <w:adjustRightInd w:val="0"/>
        <w:snapToGrid w:val="0"/>
        <w:spacing w:before="93" w:after="93"/>
        <w:ind w:firstLine="201"/>
        <w:rPr>
          <w:rFonts w:hint="default" w:ascii="Times New Roman" w:hAnsi="Times New Roman" w:cs="Times New Roman" w:eastAsiaTheme="minorEastAsia"/>
          <w:b/>
          <w:color w:val="auto"/>
          <w:sz w:val="10"/>
          <w:szCs w:val="10"/>
        </w:rPr>
      </w:pP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180" w:name="_Toc23980"/>
      <w:r>
        <w:rPr>
          <w:rFonts w:hint="default" w:ascii="Times New Roman" w:hAnsi="Times New Roman" w:cs="Times New Roman" w:eastAsiaTheme="minorEastAsia"/>
          <w:b/>
          <w:bCs w:val="0"/>
          <w:color w:val="auto"/>
          <w:sz w:val="28"/>
          <w:szCs w:val="28"/>
        </w:rPr>
        <w:t>附3.2 工艺过程及设备的危险有害因素分析</w:t>
      </w:r>
      <w:bookmarkEnd w:id="176"/>
      <w:bookmarkEnd w:id="177"/>
      <w:bookmarkEnd w:id="178"/>
      <w:bookmarkEnd w:id="179"/>
      <w:bookmarkEnd w:id="180"/>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附3.2.1 卸油和加油作业危险有害因素分析</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（1）卸油时，若未采用密闭卸油方式，极易造成油品洒漏和油气泄漏，遇点火源，可引发火灾、爆炸。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汽油卸车时，若无防静电专用线或接地不良，可因流速过快而引起静电放电，从而导致火灾、爆炸事故。若操作失误或违章操作，造成汽车加油时泄漏或满溢，油罐车卸油泄漏或储罐满溢，遇点火源，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（3）卸油作业和加油作业时，若运油车辆或加油车辆未熄火，有引发火灾的可能性。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（4）如用加油机向塑料桶等容器内加油时，易产生静电或造成油品洒漏，引起火灾、爆炸事故。</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附3.2.2 设备、设施的危险性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（1）罐区的不安全因素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1）埋地油罐的顶部覆土要求不达标，基础不牢导致不均匀沉降，或是抗浮要求不满足，可能使油罐发生变形或破损，发生油品泄漏事故，污染水源。</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2）油罐材质、材料等选材、设计、制造、安装方面的缺陷，或因基础不均匀沉降导致油罐倾斜或罐底破裂泄漏。</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3）油罐及其管线的外表面未进行防腐或防腐不符合有关标准的规定，油罐及管线因腐蚀发生泄漏，可引发火灾事故。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4）长期运行或腐蚀因素的影响导致储罐强度降低。</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5）油罐之间的安全间距不足，若一个罐发生事故将会影响到其他油罐的安全，导致事故扩大。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6）油罐若未设置通气管，将影响卸油作业和加油作业。</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7）若未设置阻火器，致使火星落入，可导致火灾、爆炸事故。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8）储罐检修时，若未进行气体置换或置换不合格，罐内存有爆炸性混合气体，遇点火源，有引发爆炸的危险。若检修人员未佩戴防护用品进入罐内，可引起人员中毒和窒息。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9）储罐、法兰、阀门等联接部位密封不良、超装外溢等造成汽油、柴油等易燃易爆物质泄漏，遇点火源，有引发火灾和爆炸的危险。</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10）储油罐没有设带有高液位报警功能的液位计，发生储油罐超量灌装；易产生火花引燃（引爆）油罐中的油气。</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点火源指明火、高热、电气火花、静电火花、机械火花、外部火源及其他火源等。</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（2）加油机的不安全因素</w:t>
      </w:r>
    </w:p>
    <w:p>
      <w:pPr>
        <w:pStyle w:val="44"/>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 w:val="28"/>
        </w:rPr>
      </w:pPr>
      <w:r>
        <w:rPr>
          <w:rFonts w:hint="default" w:ascii="Times New Roman" w:hAnsi="Times New Roman" w:cs="Times New Roman" w:eastAsiaTheme="minorEastAsia"/>
          <w:color w:val="auto"/>
          <w:sz w:val="28"/>
        </w:rPr>
        <w:t>加油机是将油品从罐区输送至加油设备的动力机械，一旦发生事故，可造成严重的火灾、爆炸事故。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1）加油机的选型不合理，未采用防爆型，易产生静电火花，若遇泄漏油气，可发生火灾、爆炸。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2）若加油机的设计、制造存在缺陷，材料、材质不符合要求，易造成易燃易爆物料的大量泄漏，可引发火灾、爆炸。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3）经过提炼的油料中仍然含有少量的腐蚀性物质，若加油机无可靠的防腐措施或防腐不到位，易造成易燃易爆物料的大量泄漏，可引发火灾、爆炸。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4）加油机的使用不当，加油机设备本体及其管道长期遭受冲刷腐蚀，可导致材料强度下降，设备老化，若设备本体及其管道腐蚀穿孔或破裂，易燃易爆物料的大量泄漏可引发火灾、爆炸。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5）加油机与储油罐之间如未用导线连接起来并接地，两者间将产生电位差，易产生静电火花。</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6）加油机油枪软管若未采用导电软管，或未与加油机连接并接地，枪口处易产生静电。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7）若加油机油枪故障，加油流速失控时，易产生静电和油品洒漏，引发火灾、爆炸事故。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8）油品中含有杂质，会导致加油机出口堵塞，油气输送不畅，可造成加油机内部的憋压，可造成设备损坏，油品泄漏，遇点火源可发生火灾、爆炸事故。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9）吸油管、油泵、分离器、油枪等机构及各连接管路若密封不严，有渗漏现象，易发生火灾、爆炸。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10）加油机内输油管路采用不易导除静电的管线，可引起静电积聚，有产生火灾、爆炸的危险。</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11）油枪不能自封造成泄漏（油枪气管及进气通道堵塞、气室密封不严或锥形杆与隔膜松开脱落等），可引起火灾、爆炸。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12）机械部件连接处漏油（连接处密封垫、密封圈破损或连接不紧、油泵或流量计轴承套磨损或骨架油封磨损等），可引起火灾、爆炸。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13）加油机基础中穿过的油品管线、电源线和接地线的孔洞若未用砂土填满，油气会积聚，遇点火源易发生火灾。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14）加油机附近周围的坑或沟按爆炸危险场所区域等级划分1级区域，是易积聚油气的地方，存在油气时，遇点火源易发生火灾、爆炸。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15）接近加油机的人员若穿易产生静电的服装（如腈纶、涤纶等）和有铁钉的鞋，易引起火灾。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16）检修操作时，若未使用防火花工具，易产生火花，遇油气可发生火灾、爆炸事故。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17）加油员操作不当导致喷溅油品，遇点火源易发生火灾。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（3）输油管线的不安全因素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1）输油管线的设计、制造存在质量问题，管道选材不当，易造成管道的损坏或破裂，导致油品泄漏，可引发火灾、爆炸事故。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2）管道的安装施工存在问题，连接方式不当，管道过长而无固定防护措施，管道焊接质量不高，管道易产生应力变形，甚至断裂，导致油品泄漏，可引发火灾、爆炸事故。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3）管理不当，管道遭受外力打击，可造成管道的损坏，造成油品泄漏，引发火灾、爆炸事故。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4）加油站的输油管线，如未设防静电和防感应雷的接地装置，以及地上法兰盘未用金属线跨接，易产生静电积聚，遇油气可发生火灾、爆炸。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5）管道的内外未进行防腐处理，或防腐处理不合格，易造成管道因腐蚀发生腐蚀穿孔或破裂，导致油品泄漏，可引发火灾、爆炸事故。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6）操作工违章操作或操作失误，管道长期经受油品的冲刷腐蚀，可造成管道的破裂，导致油品泄漏，引发事故。</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（4）输油管沟的危险性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1）输油管沟易造成油气积聚，若未采用沙子填实，泄漏的油品及其蒸气积聚，可引发火灾、爆炸事故。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2）输油管沟若与其他管沟相通，若油品发生泄漏，油品蒸气可窜入其他管沟内，可导致事故发生。</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（5）站房及其他建筑构筑物的危险性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1）站房与其他建筑物与站内加油机、储罐及其通气管口、密闭缷油点的距离不足，发生事故时，易受影响。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2）建筑物内应防止油品蒸气积聚的措施，若建筑物内油品蒸气空气形成爆炸性混合物，有引发火灾、爆炸的危险。</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3）建筑物的门若向内开，影响事故的紧急疏散，出口设置不合理，发生事故时，影响员工的紧急疏散。</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（6）加油岛、罩棚的不安全因素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1）加油岛的宽度、高度不足，加油机及罩棚支柱易遭受车辆撞击，引发事故。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2）罩棚及支柱的设计、施工存在质量缺陷，罩棚支柱不能有效承载罩棚重量，可造成罩棚的倒塌，引起伤害。</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3）罩棚附近若存在电力线，若电力线无可靠防护措施，在罩棚的维修中可导致触电。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4）罩棚高度不足，若车辆装载过高，可能导致车辆伤害。</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（7）电气设备、设施的安全因素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电气设备损坏后外壳带电，无安全接地或接地不良，维修或更换不及时，人体触及带电体，可造成触电伤害。输配电线路，若绝缘破坏漏电，造成与之联接的电气设备带电，无安全接地或接地不良，人体触及带电体，可造成触电伤害。电气作业监护不力、违章操作或雷击等，人体触及带电体，无安全接地或接地不良，均可造成触电伤害。在爆炸危险区内，若未使用防爆电器或防爆等级不合格，有可能引起火灾、爆炸。使用不合格的电器、电缆，有可能发生短路起火，引发电气火灾和可燃液体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罩棚下的灯具若未选用防护等级不低于IP44级（防尘、防水、防小动物鸟类进入）的节能照明灯具，会受到尘土及雨水的侵害。罩棚下若未设事故照明灯，将影响事故的处理。</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（8）外来车辆的不安全因素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若进入加油站加油或运送油品的车辆存在故障，或违章驾驶、操作失误，有可能导致车辆伤害。若车辆撞击加油机而导致易燃易爆物质泄漏，遇点火源，还可能引发火灾、爆炸。</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（9）消防及其他设施的不安全因素</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若消防设施设置不合理，消防车道、安全出口设置不合理、路面或安全出口有障碍物，消防器材摆放不合理或失修失效等，均可因消防的缺陷，导致火灾蔓延和扩大。若未设置防雷防静电设施或设置不符合要求或缺少维护失效，有可能遭雷击或产生静电火花而导致火灾事故发生。未配备个人防护用品或防护用品不符合规范，未正确佩戴均可导致人员伤害事故。未穿戴防静电工作服，可能产生静电火花，引发火灾、爆炸事故发生。未使用防火花工具，可产生冲击和摩擦，有可能导致火灾、爆炸事故。</w:t>
      </w:r>
    </w:p>
    <w:p>
      <w:pPr>
        <w:pStyle w:val="4"/>
        <w:pageBreakBefore w:val="0"/>
        <w:kinsoku/>
        <w:wordWrap/>
        <w:topLinePunct w:val="0"/>
        <w:bidi w:val="0"/>
        <w:adjustRightInd w:val="0"/>
        <w:snapToGrid w:val="0"/>
        <w:spacing w:beforeLines="0" w:afterLines="0"/>
        <w:rPr>
          <w:rFonts w:hint="default" w:ascii="Times New Roman" w:hAnsi="Times New Roman" w:cs="Times New Roman" w:eastAsiaTheme="minorEastAsia"/>
          <w:b/>
          <w:bCs w:val="0"/>
          <w:color w:val="auto"/>
          <w:sz w:val="28"/>
          <w:szCs w:val="28"/>
        </w:rPr>
      </w:pPr>
      <w:bookmarkStart w:id="181" w:name="_Toc333233447"/>
      <w:bookmarkStart w:id="182" w:name="_Toc20122"/>
      <w:bookmarkStart w:id="183" w:name="_Toc27418"/>
      <w:bookmarkStart w:id="184" w:name="_Toc19627"/>
      <w:r>
        <w:rPr>
          <w:rFonts w:hint="default" w:ascii="Times New Roman" w:hAnsi="Times New Roman" w:cs="Times New Roman" w:eastAsiaTheme="minorEastAsia"/>
          <w:b/>
          <w:bCs w:val="0"/>
          <w:color w:val="auto"/>
          <w:sz w:val="28"/>
          <w:szCs w:val="28"/>
        </w:rPr>
        <w:t>附3.3 人的不安全行为与管理缺陷</w:t>
      </w:r>
      <w:bookmarkEnd w:id="181"/>
      <w:bookmarkEnd w:id="182"/>
      <w:bookmarkEnd w:id="183"/>
      <w:bookmarkEnd w:id="184"/>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附3.3.1 人的不安全行为</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大量事故的统计分析表明，大部分事故是由人的因素造成的。长期超负荷作业致使操作人员疲劳、精力不集中导致误操作；疾病或饮酒致操作和指挥失误；操作人员从事禁忌作业引起事故；人员心理异常、故意犯错或存在识别功能缺陷均可导致事故。</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人的不安全行为主要表现为以下几个方面：</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（1）不专心致志工作，麻痹大意或急躁慌张、判断失误导致事故发生。</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（2）不按操作规程进行操作；不按规章制度进行巡回检查，甚至在岗上睡觉，或者串岗，脱岗，岗上看杂志、干私活，或交接班不具体等致使事故隐患不能及时发现，从而酿成事故。</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（3）个人英雄主义：争强好胜，充英雄好汉，违章指挥或违章操作。</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（4）不求上进、不思进取、得过且过，对储存中使用的各种物质组成、性质不了解，缺乏普通的和专业的安全知识，缺乏专业知识和生产技能，因知识和技能的缺陷导致指挥或操作失误，引起事故。</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5）身体素质差，易疲劳；思想素质低，指挥者独断专行，违章指挥；操作者不负责任，擅离职守；承受不起生活和工作上的压力，心理变态、精神失常、神思恍惚，思想不集中；或过于兴奋，得意忘形等均有可能导致事故发生。</w:t>
      </w:r>
    </w:p>
    <w:p>
      <w:pPr>
        <w:pageBreakBefore w:val="0"/>
        <w:kinsoku/>
        <w:wordWrap/>
        <w:topLinePunct w:val="0"/>
        <w:bidi w:val="0"/>
        <w:adjustRightInd w:val="0"/>
        <w:snapToGrid w:val="0"/>
        <w:ind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（6）主要负责人不能保证安全资金的投入，管理人员安全意识不强，不认真落实防范措施，决策失误或指挥能力差，可间接导致事故发生或使事故扩大。</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附3.3.2 管理缺陷</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未设置相应的管理机构或管理机构设置不合理，管理混乱；管理制度不健全或管理措施落实不到位，工作人员无章可循、行为随意、盲目乱干；无相应的奖惩制度，会使人员无积极性、主动性，巡检不及时、不认真，交接班不具体；没有制定完善的安全操作规程，操作人员盲目乱干等；无培训制度，操作人员没有经过三级安全教育和技能培训，让未经培训的工人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可因管理的缺陷而导致安全事故。</w:t>
      </w:r>
    </w:p>
    <w:p>
      <w:pPr>
        <w:pStyle w:val="4"/>
        <w:pageBreakBefore w:val="0"/>
        <w:kinsoku/>
        <w:wordWrap/>
        <w:topLinePunct w:val="0"/>
        <w:bidi w:val="0"/>
        <w:adjustRightInd w:val="0"/>
        <w:snapToGrid w:val="0"/>
        <w:spacing w:beforeLines="0" w:afterLines="0"/>
        <w:rPr>
          <w:rFonts w:hint="default" w:ascii="Times New Roman" w:hAnsi="Times New Roman" w:cs="Times New Roman" w:eastAsiaTheme="minorEastAsia"/>
          <w:b/>
          <w:bCs w:val="0"/>
          <w:color w:val="auto"/>
          <w:sz w:val="28"/>
          <w:szCs w:val="28"/>
        </w:rPr>
      </w:pPr>
      <w:bookmarkStart w:id="185" w:name="_Toc12123"/>
      <w:bookmarkStart w:id="186" w:name="_Toc306973805"/>
      <w:bookmarkStart w:id="187" w:name="_Toc333233448"/>
      <w:bookmarkStart w:id="188" w:name="_Toc328576306"/>
      <w:bookmarkStart w:id="189" w:name="_Toc16548"/>
      <w:bookmarkStart w:id="190" w:name="_Toc18286"/>
      <w:r>
        <w:rPr>
          <w:rFonts w:hint="default" w:ascii="Times New Roman" w:hAnsi="Times New Roman" w:cs="Times New Roman" w:eastAsiaTheme="minorEastAsia"/>
          <w:b/>
          <w:bCs w:val="0"/>
          <w:color w:val="auto"/>
          <w:sz w:val="28"/>
          <w:szCs w:val="28"/>
        </w:rPr>
        <w:t>附3.4 主要危险因素分析</w:t>
      </w:r>
      <w:bookmarkEnd w:id="185"/>
      <w:bookmarkEnd w:id="186"/>
      <w:bookmarkEnd w:id="187"/>
      <w:bookmarkEnd w:id="188"/>
      <w:bookmarkEnd w:id="189"/>
      <w:bookmarkEnd w:id="190"/>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附3.4.1 火灾爆炸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snapToGrid w:val="0"/>
          <w:color w:val="auto"/>
          <w:kern w:val="0"/>
          <w:szCs w:val="28"/>
        </w:rPr>
      </w:pPr>
      <w:r>
        <w:rPr>
          <w:rFonts w:hint="default" w:ascii="Times New Roman" w:hAnsi="Times New Roman" w:cs="Times New Roman" w:eastAsiaTheme="minorEastAsia"/>
          <w:snapToGrid w:val="0"/>
          <w:color w:val="auto"/>
          <w:kern w:val="0"/>
          <w:szCs w:val="28"/>
        </w:rPr>
        <w:t>由于加油站经营的危险化学品具有易燃、易爆、易挥发、易积聚静电等特性，这些特性往往是导致其发生火灾爆炸事故的重要原因。为便于企业员工有的放矢的进行操作，将其分为作业事故和非作业事故两大类。</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snapToGrid w:val="0"/>
          <w:color w:val="auto"/>
          <w:kern w:val="0"/>
          <w:szCs w:val="28"/>
        </w:rPr>
      </w:pPr>
      <w:r>
        <w:rPr>
          <w:rFonts w:hint="default" w:ascii="Times New Roman" w:hAnsi="Times New Roman" w:cs="Times New Roman" w:eastAsiaTheme="minorEastAsia"/>
          <w:snapToGrid w:val="0"/>
          <w:color w:val="auto"/>
          <w:kern w:val="0"/>
          <w:szCs w:val="28"/>
        </w:rPr>
        <w:t>（1）作业事故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snapToGrid w:val="0"/>
          <w:color w:val="auto"/>
          <w:kern w:val="0"/>
          <w:szCs w:val="28"/>
        </w:rPr>
      </w:pPr>
      <w:r>
        <w:rPr>
          <w:rFonts w:hint="default" w:ascii="Times New Roman" w:hAnsi="Times New Roman" w:cs="Times New Roman" w:eastAsiaTheme="minorEastAsia"/>
          <w:snapToGrid w:val="0"/>
          <w:color w:val="auto"/>
          <w:kern w:val="0"/>
          <w:szCs w:val="28"/>
        </w:rPr>
        <w:t>作业事故主要发生在卸油、量油等几个环节，如果工作人员在作业中违反操作规程，使油品或油品蒸气在空气中与火源接触，就会导致爆炸燃烧事故的发生。具体原因分析如下：</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1）卸油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①油罐漫溢。卸油时对液位监测不及时易造成油品跑冒。油品溢出罐外后，周围空气中油蒸气的浓度迅速上升，达到爆炸极限范围，遇到点火源，随即可发生爆炸燃烧。在油品漫溢时，使用易产生火花的金属容器刮舀，开启不防爆电灯照明观察，均会无意中产生火花引起着火。</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②油品滴漏。由于卸油胶管破裂、密封垫破损、快速接头紧固螺栓松动等原因，使油品滴漏至地面，遇火花立即燃烧。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③静电起火。由于油管无静电接地、采用喷溅式卸油、卸油中油罐车无静电接地等原因，造成静电积聚放电，点燃油蒸气。</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④卸油中遇明火。若在卸油过程中设备密封不严，油蒸气从卸油口溢出，当周围出现烟火、火花时，就会产生爆炸燃烧。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2）量油</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按规定，油罐车应静置稳油15min，待静电消除后方可开盖卸油，如果车到立即开盖卸油，容易引起静电起火。</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如果油罐未安装量油孔或量油孔铝质（铜质）镶槽脱落。在储油罐量油时，量油尺与钢质管口摩擦产生火花，就会点燃罐内油蒸气，引起爆炸燃烧;在气压低、无风环境下，穿化纤服装，摩擦产生的静电火花也能点燃油蒸气。</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3）清罐</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在加油站油罐清洗作业时，由于无法彻底清除油蒸气和沉淀物，残余油蒸气遇到静电、摩擦、电火花等都会导致火灾。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（2）非作业事故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油蒸气沉淀。在作业过程中，会有大量油蒸气外泄，由于油蒸气密度比空气密度大，会沉淀于管沟、电缆沟、下水道、操作井等低洼处，积聚于室内角落处，一旦遇到火源就会发生爆炸燃烧，油蒸气四处蔓延把加油站和作业区内外沟通起来，将站外火源引至站内，造成严重的爆炸燃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2）油罐、储瓶、管道渗漏。由于腐蚀、制造缺陷、法兰未紧固好等原因，在非作业状态下，油品及天然气渗漏，遇明火燃烧。</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3）雷击。雷击直接击中油罐、加油设施，或者雷电作用在油罐、加油机等处产生间接放电，都会导致油品燃烧或油气爆炸。</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4</w:t>
      </w:r>
      <w:r>
        <w:rPr>
          <w:rFonts w:hint="default" w:ascii="Times New Roman" w:hAnsi="Times New Roman" w:cs="Times New Roman" w:eastAsiaTheme="minorEastAsia"/>
          <w:color w:val="auto"/>
          <w:szCs w:val="28"/>
        </w:rPr>
        <w:t>）电气火灾。电气设备、电线绝缘老化、绝缘破损、短路、私拉乱接电线、超负荷用电、过载发热、接线不规范、电器使用管理不当等引起的火灾。</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5</w:t>
      </w:r>
      <w:r>
        <w:rPr>
          <w:rFonts w:hint="default" w:ascii="Times New Roman" w:hAnsi="Times New Roman" w:cs="Times New Roman" w:eastAsiaTheme="minorEastAsia"/>
          <w:color w:val="auto"/>
          <w:szCs w:val="28"/>
        </w:rPr>
        <w:t>）明火管理不当，外来火种或站内吸烟，引燃可燃物导致火灾发生。</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附3.4.2 中毒</w:t>
      </w:r>
      <w:r>
        <w:rPr>
          <w:rFonts w:hint="default" w:ascii="Times New Roman" w:hAnsi="Times New Roman" w:cs="Times New Roman" w:eastAsiaTheme="minorEastAsia"/>
          <w:color w:val="auto"/>
          <w:szCs w:val="28"/>
          <w:lang w:eastAsia="zh-CN"/>
        </w:rPr>
        <w:t>和</w:t>
      </w:r>
      <w:r>
        <w:rPr>
          <w:rFonts w:hint="default" w:ascii="Times New Roman" w:hAnsi="Times New Roman" w:cs="Times New Roman" w:eastAsiaTheme="minorEastAsia"/>
          <w:color w:val="auto"/>
          <w:szCs w:val="28"/>
        </w:rPr>
        <w:t>窒息</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成品油具有一定的毒性，且易挥发，油气通过呼吸系统进入人体，导致中毒。油气中毒，重者使人死亡，轻者使人头昏嗜睡。含铅汽油毒性更大。在发生火灾爆炸后，会产生有毒的一氧化碳，能使操作人员，救护人员中毒，造成二次伤害。</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附3.4.3 触电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触电，又称电气伤害，包括雷击、静电、漏电伤害和电弧烧伤等伤害事故。加油加气站电气伤害有以下几种：</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（1）物料在管道设备内储存、输送、充装等会产生静电，如果不及时导除或泄放，易产生放电，危及装置和人员安全。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（2）若站内防雷电设施或接地损坏、失效可能遭受雷击，产生火灾爆炸、设备损坏，人员触电伤害事故。</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（3）作业人员违章操作，不慎接触电源，均容易造成触电事故。</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附3.4.4 高处坠落</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cs="Times New Roman" w:eastAsiaTheme="minorEastAsia"/>
          <w:color w:val="auto"/>
          <w:szCs w:val="28"/>
        </w:rPr>
      </w:pPr>
      <w:r>
        <w:rPr>
          <w:rFonts w:hint="default" w:ascii="Times New Roman" w:hAnsi="Times New Roman" w:cs="Times New Roman" w:eastAsiaTheme="minorEastAsia"/>
          <w:snapToGrid w:val="0"/>
          <w:color w:val="auto"/>
          <w:kern w:val="0"/>
          <w:szCs w:val="28"/>
        </w:rPr>
        <w:t>站内维修人员如果登高维修罩棚及站房屋顶等地时，若出现踩滑、踩空等情况会引发高处坠落事故。</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附3.4.5 物体打击</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物体打击是指物体在重力或其他外力的作用下产生运动，打击人体造成人身伤亡事故。</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snapToGrid w:val="0"/>
          <w:color w:val="auto"/>
          <w:kern w:val="0"/>
          <w:szCs w:val="28"/>
        </w:rPr>
        <w:t>站内罩棚、屋顶等高处建筑若长时间不加维护，出现灯具、砖瓦等物体掉落，砸到站内顾客及站内工作人员，会引发物体打击事故。</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附3.4.6 车辆伤害</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加油站内车辆往来繁多，如物料运输、外来车辆进站加油等。若站内路况不佳、驾驶人员驾驶水平不高、车辆出现刹车失灵或夜间加油时驾驶人员、站内工作人员注意力不集中、视线模糊等都有可能引发车辆伤害事故。</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附3.4.7 坍塌</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罩棚为钢架结构且跨度较大，其支柱和横梁因长时间使用金属疲劳或化学腐蚀等原因及受风、雪的影响，有造成坍塌的危险。</w:t>
      </w:r>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附3.4.8 次生危害危险分析</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储油罐和输油管道为埋地设置，在雨水、地下水的常年腐蚀下，易造成储罐、管道发生油品泄漏或渗漏，对地下水造成污染，地下水一旦遭到燃料油的污染，将产生严重异味，并具有较强的致畸致癌性，地下水层的自净降解将是一个长期的过程。</w:t>
      </w:r>
    </w:p>
    <w:p>
      <w:pPr>
        <w:pStyle w:val="4"/>
        <w:pageBreakBefore w:val="0"/>
        <w:kinsoku/>
        <w:wordWrap/>
        <w:topLinePunct w:val="0"/>
        <w:bidi w:val="0"/>
        <w:adjustRightInd w:val="0"/>
        <w:snapToGrid w:val="0"/>
        <w:spacing w:beforeLines="0" w:afterLines="0"/>
        <w:rPr>
          <w:rFonts w:hint="default" w:ascii="Times New Roman" w:hAnsi="Times New Roman" w:cs="Times New Roman" w:eastAsiaTheme="minorEastAsia"/>
          <w:b/>
          <w:bCs w:val="0"/>
          <w:color w:val="auto"/>
          <w:sz w:val="28"/>
          <w:szCs w:val="28"/>
        </w:rPr>
      </w:pPr>
      <w:bookmarkStart w:id="191" w:name="_Toc2665"/>
      <w:bookmarkStart w:id="192" w:name="_Toc20220"/>
      <w:bookmarkStart w:id="193" w:name="_Toc11346"/>
      <w:r>
        <w:rPr>
          <w:rFonts w:hint="default" w:ascii="Times New Roman" w:hAnsi="Times New Roman" w:cs="Times New Roman" w:eastAsiaTheme="minorEastAsia"/>
          <w:b/>
          <w:bCs w:val="0"/>
          <w:color w:val="auto"/>
          <w:sz w:val="28"/>
          <w:szCs w:val="28"/>
        </w:rPr>
        <w:t>附3.5 主要有害因素分析</w:t>
      </w:r>
      <w:bookmarkEnd w:id="191"/>
      <w:bookmarkEnd w:id="192"/>
      <w:bookmarkEnd w:id="193"/>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附3.5.</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 xml:space="preserve"> 毒物危害</w:t>
      </w:r>
    </w:p>
    <w:p>
      <w:pPr>
        <w:keepNext w:val="0"/>
        <w:keepLines w:val="0"/>
        <w:pageBreakBefore w:val="0"/>
        <w:widowControl w:val="0"/>
        <w:kinsoku/>
        <w:wordWrap/>
        <w:overflowPunct/>
        <w:topLinePunct w:val="0"/>
        <w:bidi w:val="0"/>
        <w:adjustRightInd w:val="0"/>
        <w:snapToGrid w:val="0"/>
        <w:ind w:firstLine="560"/>
        <w:textAlignment w:val="auto"/>
        <w:rPr>
          <w:rFonts w:hint="default" w:ascii="Times New Roman" w:hAnsi="Times New Roman" w:cs="Times New Roman" w:eastAsiaTheme="minorEastAsia"/>
          <w:color w:val="auto"/>
          <w:szCs w:val="28"/>
        </w:rPr>
      </w:pPr>
      <w:r>
        <w:rPr>
          <w:rFonts w:hint="eastAsia" w:cs="Times New Roman" w:eastAsiaTheme="minorEastAsia"/>
          <w:color w:val="auto"/>
          <w:szCs w:val="28"/>
          <w:lang w:eastAsia="zh-CN"/>
        </w:rPr>
        <w:t>该加油中心</w:t>
      </w:r>
      <w:r>
        <w:rPr>
          <w:rFonts w:hint="default" w:ascii="Times New Roman" w:hAnsi="Times New Roman" w:cs="Times New Roman" w:eastAsiaTheme="minorEastAsia"/>
          <w:color w:val="auto"/>
          <w:szCs w:val="28"/>
        </w:rPr>
        <w:t>主要涉及汽油、柴油，如果管线、阀门密封性不良，防护用品佩戴不全，现场作业人员长期吸入汽油或柴油油气，可造成职业性毒物危害。</w:t>
      </w:r>
    </w:p>
    <w:p>
      <w:pPr>
        <w:pStyle w:val="4"/>
        <w:keepNext w:val="0"/>
        <w:keepLines w:val="0"/>
        <w:pageBreakBefore w:val="0"/>
        <w:widowControl w:val="0"/>
        <w:kinsoku/>
        <w:wordWrap/>
        <w:overflowPunct/>
        <w:topLinePunct w:val="0"/>
        <w:bidi w:val="0"/>
        <w:adjustRightInd w:val="0"/>
        <w:snapToGrid w:val="0"/>
        <w:spacing w:beforeLines="0" w:afterLines="0"/>
        <w:textAlignment w:val="auto"/>
        <w:rPr>
          <w:rFonts w:hint="default" w:ascii="Times New Roman" w:hAnsi="Times New Roman" w:cs="Times New Roman" w:eastAsiaTheme="minorEastAsia"/>
          <w:b/>
          <w:bCs w:val="0"/>
          <w:color w:val="auto"/>
          <w:sz w:val="28"/>
          <w:szCs w:val="28"/>
        </w:rPr>
      </w:pPr>
      <w:bookmarkStart w:id="194" w:name="_Toc27934"/>
      <w:bookmarkStart w:id="195" w:name="_Toc21787"/>
      <w:bookmarkStart w:id="196" w:name="_Toc14538"/>
      <w:r>
        <w:rPr>
          <w:rFonts w:hint="default" w:ascii="Times New Roman" w:hAnsi="Times New Roman" w:cs="Times New Roman" w:eastAsiaTheme="minorEastAsia"/>
          <w:b/>
          <w:bCs w:val="0"/>
          <w:color w:val="auto"/>
          <w:sz w:val="28"/>
          <w:szCs w:val="28"/>
        </w:rPr>
        <w:t>附3.6 重大危险源辨识</w:t>
      </w:r>
      <w:bookmarkEnd w:id="194"/>
      <w:bookmarkEnd w:id="195"/>
      <w:bookmarkEnd w:id="196"/>
    </w:p>
    <w:p>
      <w:pPr>
        <w:pStyle w:val="5"/>
        <w:pageBreakBefore w:val="0"/>
        <w:kinsoku/>
        <w:wordWrap/>
        <w:topLinePunct w:val="0"/>
        <w:bidi w:val="0"/>
        <w:adjustRightInd w:val="0"/>
        <w:snapToGrid w:val="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附3.6</w:t>
      </w:r>
      <w:r>
        <w:rPr>
          <w:rFonts w:hint="default" w:ascii="Times New Roman" w:hAnsi="Times New Roman" w:cs="Times New Roman" w:eastAsiaTheme="minorEastAsia"/>
          <w:color w:val="auto"/>
          <w:szCs w:val="28"/>
        </w:rPr>
        <w:t>.1 重大危险源定义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536" w:firstLineChars="200"/>
        <w:textAlignment w:val="auto"/>
        <w:rPr>
          <w:rFonts w:hint="default" w:ascii="Times New Roman" w:hAnsi="Times New Roman" w:eastAsia="FZFangSong-Z02S" w:cs="Times New Roman"/>
          <w:color w:val="auto"/>
          <w:spacing w:val="-6"/>
          <w:kern w:val="0"/>
          <w:sz w:val="28"/>
          <w:szCs w:val="28"/>
        </w:rPr>
      </w:pPr>
      <w:r>
        <w:rPr>
          <w:rFonts w:hint="default" w:ascii="Times New Roman" w:hAnsi="Times New Roman" w:eastAsia="FZFangSong-Z02S" w:cs="Times New Roman"/>
          <w:color w:val="auto"/>
          <w:spacing w:val="-6"/>
          <w:kern w:val="0"/>
          <w:sz w:val="28"/>
          <w:szCs w:val="28"/>
        </w:rPr>
        <w:t>危险化学品重大危险源的辨识依据</w:t>
      </w:r>
      <w:bookmarkStart w:id="197" w:name="_Hlk505008531"/>
      <w:r>
        <w:rPr>
          <w:rFonts w:hint="default" w:ascii="Times New Roman" w:hAnsi="Times New Roman" w:eastAsia="FZFangSong-Z02S" w:cs="Times New Roman"/>
          <w:color w:val="auto"/>
          <w:spacing w:val="-6"/>
          <w:kern w:val="0"/>
          <w:sz w:val="28"/>
          <w:szCs w:val="28"/>
        </w:rPr>
        <w:t>《危险化学品重大危险源辨识》（GB18218-2018）</w:t>
      </w:r>
      <w:bookmarkEnd w:id="197"/>
      <w:r>
        <w:rPr>
          <w:rFonts w:hint="default" w:ascii="Times New Roman" w:hAnsi="Times New Roman" w:eastAsia="FZFangSong-Z02S" w:cs="Times New Roman"/>
          <w:color w:val="auto"/>
          <w:spacing w:val="-6"/>
          <w:kern w:val="0"/>
          <w:sz w:val="28"/>
          <w:szCs w:val="28"/>
        </w:rPr>
        <w:t>和《危险化学品重大危险源监督管理暂行规定》（安监总</w:t>
      </w:r>
      <w:r>
        <w:rPr>
          <w:rFonts w:hint="default" w:ascii="Times New Roman" w:hAnsi="Times New Roman" w:eastAsia="FZFangSong-Z02S" w:cs="Times New Roman"/>
          <w:color w:val="auto"/>
          <w:kern w:val="0"/>
          <w:sz w:val="28"/>
          <w:szCs w:val="28"/>
        </w:rPr>
        <w:t>局令第40号，79号令修订）规定，危险化学品重大危险源、危险化学品和临界量的定义如下：</w:t>
      </w:r>
    </w:p>
    <w:p>
      <w:pPr>
        <w:pageBreakBefore w:val="0"/>
        <w:kinsoku/>
        <w:wordWrap/>
        <w:topLinePunct w:val="0"/>
        <w:autoSpaceDE w:val="0"/>
        <w:autoSpaceDN w:val="0"/>
        <w:bidi w:val="0"/>
        <w:adjustRightInd w:val="0"/>
        <w:snapToGrid w:val="0"/>
        <w:spacing w:line="360" w:lineRule="auto"/>
        <w:ind w:firstLine="560" w:firstLineChars="200"/>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危险化学品重大危险源：指长期地或临时地生产、加工、使用或储存危险化学品，且危险化学品的数量等于或超过临界量的单元。</w:t>
      </w:r>
    </w:p>
    <w:p>
      <w:pPr>
        <w:pageBreakBefore w:val="0"/>
        <w:kinsoku/>
        <w:wordWrap/>
        <w:topLinePunct w:val="0"/>
        <w:autoSpaceDE w:val="0"/>
        <w:autoSpaceDN w:val="0"/>
        <w:bidi w:val="0"/>
        <w:adjustRightInd w:val="0"/>
        <w:snapToGrid w:val="0"/>
        <w:spacing w:line="360" w:lineRule="auto"/>
        <w:ind w:firstLine="560" w:firstLineChars="200"/>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生产单元：危险化学品的生产、加工及使用等的装置及设施，当装置及设施之间有切断阀时，以切断阀作为分隔界限划分为独立的单元。</w:t>
      </w:r>
    </w:p>
    <w:p>
      <w:pPr>
        <w:pageBreakBefore w:val="0"/>
        <w:kinsoku/>
        <w:wordWrap/>
        <w:topLinePunct w:val="0"/>
        <w:autoSpaceDE w:val="0"/>
        <w:autoSpaceDN w:val="0"/>
        <w:bidi w:val="0"/>
        <w:adjustRightInd w:val="0"/>
        <w:snapToGrid w:val="0"/>
        <w:spacing w:line="360" w:lineRule="auto"/>
        <w:ind w:firstLine="560" w:firstLineChars="200"/>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储存单元：用于储存危险化学品的储罐或仓库组成的相对独立的区域，储罐区以罐区防火堤为界限划分为独立的单元，仓库以独立库房（独立建筑物）为界限划分为独立的单元。</w:t>
      </w:r>
    </w:p>
    <w:p>
      <w:pPr>
        <w:pageBreakBefore w:val="0"/>
        <w:kinsoku/>
        <w:wordWrap/>
        <w:topLinePunct w:val="0"/>
        <w:autoSpaceDE w:val="0"/>
        <w:autoSpaceDN w:val="0"/>
        <w:bidi w:val="0"/>
        <w:adjustRightInd w:val="0"/>
        <w:snapToGrid w:val="0"/>
        <w:spacing w:line="360" w:lineRule="auto"/>
        <w:ind w:firstLine="560" w:firstLineChars="200"/>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临界量：指对于某种或某类危险化学品规定的数量，若单元中的危险化学品数量等于或超过该数量，则该单元定为重大危险源。</w:t>
      </w:r>
    </w:p>
    <w:p>
      <w:pPr>
        <w:pageBreakBefore w:val="0"/>
        <w:kinsoku/>
        <w:wordWrap/>
        <w:topLinePunct w:val="0"/>
        <w:autoSpaceDE w:val="0"/>
        <w:autoSpaceDN w:val="0"/>
        <w:bidi w:val="0"/>
        <w:adjustRightInd w:val="0"/>
        <w:snapToGrid w:val="0"/>
        <w:spacing w:line="360" w:lineRule="auto"/>
        <w:ind w:firstLine="560" w:firstLineChars="200"/>
        <w:rPr>
          <w:rFonts w:hint="default" w:ascii="Times New Roman" w:hAnsi="Times New Roman" w:eastAsia="FZFangSong-Z02S" w:cs="Times New Roman"/>
          <w:color w:val="auto"/>
          <w:kern w:val="0"/>
          <w:sz w:val="28"/>
          <w:szCs w:val="28"/>
        </w:rPr>
      </w:pPr>
      <w:r>
        <w:rPr>
          <w:rFonts w:hint="default" w:ascii="Times New Roman" w:hAnsi="Times New Roman" w:eastAsia="FZFangSong-Z02S" w:cs="Times New Roman"/>
          <w:color w:val="auto"/>
          <w:kern w:val="0"/>
          <w:sz w:val="28"/>
          <w:szCs w:val="28"/>
        </w:rPr>
        <w:t>单元内存在的危险化学品的数量根据处理危险化学品种类的多少区分为以下两种情况：</w:t>
      </w:r>
    </w:p>
    <w:p>
      <w:pPr>
        <w:pageBreakBefore w:val="0"/>
        <w:kinsoku/>
        <w:wordWrap/>
        <w:topLinePunct w:val="0"/>
        <w:autoSpaceDE w:val="0"/>
        <w:autoSpaceDN w:val="0"/>
        <w:bidi w:val="0"/>
        <w:adjustRightInd w:val="0"/>
        <w:snapToGrid w:val="0"/>
        <w:spacing w:line="360" w:lineRule="auto"/>
        <w:ind w:firstLine="560" w:firstLineChars="200"/>
        <w:rPr>
          <w:rFonts w:hint="default" w:ascii="Times New Roman" w:hAnsi="Times New Roman" w:eastAsia="FZFangSong-Z02S" w:cs="Times New Roman"/>
          <w:color w:val="auto"/>
          <w:kern w:val="0"/>
          <w:sz w:val="28"/>
          <w:szCs w:val="28"/>
        </w:rPr>
      </w:pPr>
      <w:r>
        <w:rPr>
          <w:rFonts w:hint="default" w:ascii="Times New Roman" w:hAnsi="Times New Roman" w:cs="Times New Roman"/>
          <w:color w:val="auto"/>
          <w:kern w:val="0"/>
          <w:sz w:val="28"/>
          <w:szCs w:val="28"/>
        </w:rPr>
        <w:t>①</w:t>
      </w:r>
      <w:r>
        <w:rPr>
          <w:rFonts w:hint="default" w:ascii="Times New Roman" w:hAnsi="Times New Roman" w:eastAsia="FZFangSong-Z02S" w:cs="Times New Roman"/>
          <w:color w:val="auto"/>
          <w:kern w:val="0"/>
          <w:sz w:val="28"/>
          <w:szCs w:val="28"/>
        </w:rPr>
        <w:t>生产单元、储存单元内存在的危险化学品为单一品种，则该危险化学品的数量即为单元内危险化学品的总量，若等于或超过相应的临界量，则定为危险化学品重大危险源；</w:t>
      </w:r>
    </w:p>
    <w:p>
      <w:pPr>
        <w:pageBreakBefore w:val="0"/>
        <w:kinsoku/>
        <w:wordWrap/>
        <w:topLinePunct w:val="0"/>
        <w:autoSpaceDE w:val="0"/>
        <w:autoSpaceDN w:val="0"/>
        <w:bidi w:val="0"/>
        <w:adjustRightInd w:val="0"/>
        <w:snapToGrid w:val="0"/>
        <w:spacing w:line="360" w:lineRule="auto"/>
        <w:ind w:firstLine="560" w:firstLineChars="200"/>
        <w:rPr>
          <w:rFonts w:hint="default" w:ascii="Times New Roman" w:hAnsi="Times New Roman" w:eastAsia="FZFangSong-Z02S" w:cs="Times New Roman"/>
          <w:color w:val="auto"/>
          <w:kern w:val="0"/>
          <w:sz w:val="28"/>
          <w:szCs w:val="28"/>
        </w:rPr>
      </w:pPr>
      <w:r>
        <w:rPr>
          <w:rFonts w:hint="default" w:ascii="Times New Roman" w:hAnsi="Times New Roman" w:cs="Times New Roman"/>
          <w:color w:val="auto"/>
          <w:kern w:val="0"/>
          <w:sz w:val="28"/>
          <w:szCs w:val="28"/>
        </w:rPr>
        <w:t>②</w:t>
      </w:r>
      <w:r>
        <w:rPr>
          <w:rFonts w:hint="default" w:ascii="Times New Roman" w:hAnsi="Times New Roman" w:eastAsia="FZFangSong-Z02S" w:cs="Times New Roman"/>
          <w:color w:val="auto"/>
          <w:kern w:val="0"/>
          <w:sz w:val="28"/>
          <w:szCs w:val="28"/>
        </w:rPr>
        <w:t>生产单元、储存单元内内存在的危险化学品为多品种时，则按下列公式计算，若满足下列公式，则定为危险化学品重大危险源。</w:t>
      </w:r>
    </w:p>
    <w:p>
      <w:pPr>
        <w:pageBreakBefore w:val="0"/>
        <w:kinsoku/>
        <w:wordWrap/>
        <w:topLinePunct w:val="0"/>
        <w:bidi w:val="0"/>
        <w:adjustRightInd w:val="0"/>
        <w:snapToGrid w:val="0"/>
        <w:spacing w:line="360" w:lineRule="auto"/>
        <w:ind w:firstLine="560" w:firstLineChars="200"/>
        <w:rPr>
          <w:rFonts w:hint="default" w:ascii="Times New Roman" w:hAnsi="Times New Roman" w:cs="Times New Roman"/>
          <w:bCs/>
          <w:color w:val="auto"/>
          <w:sz w:val="28"/>
          <w:szCs w:val="28"/>
        </w:rPr>
      </w:pPr>
      <w:r>
        <w:rPr>
          <w:rFonts w:hint="default" w:ascii="Times New Roman" w:hAnsi="Times New Roman" w:cs="Times New Roman"/>
          <w:bCs/>
          <w:i/>
          <w:color w:val="auto"/>
          <w:sz w:val="28"/>
          <w:szCs w:val="28"/>
        </w:rPr>
        <w:t>S=q</w:t>
      </w:r>
      <w:r>
        <w:rPr>
          <w:rFonts w:hint="default" w:ascii="Times New Roman" w:hAnsi="Times New Roman" w:cs="Times New Roman"/>
          <w:bCs/>
          <w:color w:val="auto"/>
          <w:sz w:val="28"/>
          <w:szCs w:val="28"/>
          <w:vertAlign w:val="subscript"/>
        </w:rPr>
        <w:t>1</w:t>
      </w:r>
      <w:r>
        <w:rPr>
          <w:rFonts w:hint="default" w:ascii="Times New Roman" w:hAnsi="Times New Roman" w:cs="Times New Roman"/>
          <w:bCs/>
          <w:i/>
          <w:color w:val="auto"/>
          <w:sz w:val="28"/>
          <w:szCs w:val="28"/>
        </w:rPr>
        <w:t>/Q</w:t>
      </w:r>
      <w:r>
        <w:rPr>
          <w:rFonts w:hint="default" w:ascii="Times New Roman" w:hAnsi="Times New Roman" w:cs="Times New Roman"/>
          <w:bCs/>
          <w:color w:val="auto"/>
          <w:sz w:val="28"/>
          <w:szCs w:val="28"/>
          <w:vertAlign w:val="subscript"/>
        </w:rPr>
        <w:t>1</w:t>
      </w:r>
      <w:r>
        <w:rPr>
          <w:rFonts w:hint="default" w:ascii="Times New Roman" w:hAnsi="Times New Roman" w:cs="Times New Roman"/>
          <w:bCs/>
          <w:i/>
          <w:color w:val="auto"/>
          <w:sz w:val="28"/>
          <w:szCs w:val="28"/>
        </w:rPr>
        <w:t>+ q</w:t>
      </w:r>
      <w:r>
        <w:rPr>
          <w:rFonts w:hint="default" w:ascii="Times New Roman" w:hAnsi="Times New Roman" w:cs="Times New Roman"/>
          <w:bCs/>
          <w:color w:val="auto"/>
          <w:sz w:val="28"/>
          <w:szCs w:val="28"/>
          <w:vertAlign w:val="subscript"/>
        </w:rPr>
        <w:t>2</w:t>
      </w:r>
      <w:r>
        <w:rPr>
          <w:rFonts w:hint="default" w:ascii="Times New Roman" w:hAnsi="Times New Roman" w:cs="Times New Roman"/>
          <w:bCs/>
          <w:i/>
          <w:color w:val="auto"/>
          <w:sz w:val="28"/>
          <w:szCs w:val="28"/>
        </w:rPr>
        <w:t>/Q</w:t>
      </w:r>
      <w:r>
        <w:rPr>
          <w:rFonts w:hint="default" w:ascii="Times New Roman" w:hAnsi="Times New Roman" w:cs="Times New Roman"/>
          <w:bCs/>
          <w:color w:val="auto"/>
          <w:sz w:val="28"/>
          <w:szCs w:val="28"/>
          <w:vertAlign w:val="subscript"/>
        </w:rPr>
        <w:t>2</w:t>
      </w:r>
      <w:r>
        <w:rPr>
          <w:rFonts w:hint="default" w:ascii="Times New Roman" w:hAnsi="Times New Roman" w:cs="Times New Roman"/>
          <w:bCs/>
          <w:i/>
          <w:color w:val="auto"/>
          <w:sz w:val="28"/>
          <w:szCs w:val="28"/>
        </w:rPr>
        <w:t xml:space="preserve"> + … + q</w:t>
      </w:r>
      <w:r>
        <w:rPr>
          <w:rFonts w:hint="default" w:ascii="Times New Roman" w:hAnsi="Times New Roman" w:cs="Times New Roman"/>
          <w:bCs/>
          <w:color w:val="auto"/>
          <w:sz w:val="28"/>
          <w:szCs w:val="28"/>
          <w:vertAlign w:val="subscript"/>
        </w:rPr>
        <w:t>n</w:t>
      </w:r>
      <w:r>
        <w:rPr>
          <w:rFonts w:hint="default" w:ascii="Times New Roman" w:hAnsi="Times New Roman" w:cs="Times New Roman"/>
          <w:bCs/>
          <w:i/>
          <w:color w:val="auto"/>
          <w:sz w:val="28"/>
          <w:szCs w:val="28"/>
        </w:rPr>
        <w:t>/Q</w:t>
      </w:r>
      <w:r>
        <w:rPr>
          <w:rFonts w:hint="default" w:ascii="Times New Roman" w:hAnsi="Times New Roman" w:cs="Times New Roman"/>
          <w:bCs/>
          <w:color w:val="auto"/>
          <w:sz w:val="28"/>
          <w:szCs w:val="28"/>
          <w:vertAlign w:val="subscript"/>
        </w:rPr>
        <w:t>n</w:t>
      </w:r>
      <w:r>
        <w:rPr>
          <w:rFonts w:hint="default" w:ascii="Times New Roman" w:hAnsi="Times New Roman" w:cs="Times New Roman"/>
          <w:bCs/>
          <w:color w:val="auto"/>
          <w:sz w:val="28"/>
          <w:szCs w:val="28"/>
        </w:rPr>
        <w:t>≥1     ……………①</w:t>
      </w:r>
    </w:p>
    <w:p>
      <w:pPr>
        <w:pageBreakBefore w:val="0"/>
        <w:kinsoku/>
        <w:wordWrap/>
        <w:topLinePunct w:val="0"/>
        <w:bidi w:val="0"/>
        <w:adjustRightInd w:val="0"/>
        <w:snapToGrid w:val="0"/>
        <w:spacing w:line="360" w:lineRule="auto"/>
        <w:ind w:firstLine="560" w:firstLineChars="200"/>
        <w:rPr>
          <w:rFonts w:hint="default" w:ascii="Times New Roman" w:hAnsi="Times New Roman" w:cs="Times New Roman"/>
          <w:bCs/>
          <w:color w:val="auto"/>
          <w:sz w:val="28"/>
          <w:szCs w:val="28"/>
        </w:rPr>
      </w:pPr>
      <w:r>
        <w:rPr>
          <w:rFonts w:hint="default" w:ascii="Times New Roman" w:hAnsi="Times New Roman" w:cs="Times New Roman"/>
          <w:bCs/>
          <w:color w:val="auto"/>
          <w:sz w:val="28"/>
          <w:szCs w:val="28"/>
        </w:rPr>
        <w:t>式中：</w:t>
      </w:r>
    </w:p>
    <w:p>
      <w:pPr>
        <w:pageBreakBefore w:val="0"/>
        <w:kinsoku/>
        <w:wordWrap/>
        <w:topLinePunct w:val="0"/>
        <w:bidi w:val="0"/>
        <w:adjustRightInd w:val="0"/>
        <w:snapToGrid w:val="0"/>
        <w:spacing w:line="360" w:lineRule="auto"/>
        <w:ind w:firstLine="480" w:firstLineChars="2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S—辨识指标；</w:t>
      </w:r>
    </w:p>
    <w:p>
      <w:pPr>
        <w:pageBreakBefore w:val="0"/>
        <w:kinsoku/>
        <w:wordWrap/>
        <w:topLinePunct w:val="0"/>
        <w:bidi w:val="0"/>
        <w:adjustRightInd w:val="0"/>
        <w:snapToGrid w:val="0"/>
        <w:spacing w:line="360" w:lineRule="auto"/>
        <w:ind w:firstLine="480" w:firstLineChars="200"/>
        <w:rPr>
          <w:rFonts w:hint="default" w:ascii="Times New Roman" w:hAnsi="Times New Roman" w:cs="Times New Roman"/>
          <w:bCs/>
          <w:color w:val="auto"/>
          <w:sz w:val="24"/>
          <w:szCs w:val="24"/>
        </w:rPr>
      </w:pP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1</w:t>
      </w:r>
      <w:r>
        <w:rPr>
          <w:rFonts w:hint="default" w:ascii="Times New Roman" w:hAnsi="Times New Roman" w:cs="Times New Roman"/>
          <w:bCs/>
          <w:color w:val="auto"/>
          <w:sz w:val="24"/>
          <w:szCs w:val="24"/>
        </w:rPr>
        <w:t>,</w:t>
      </w: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2</w:t>
      </w:r>
      <w:r>
        <w:rPr>
          <w:rFonts w:hint="default" w:ascii="Times New Roman" w:hAnsi="Times New Roman" w:cs="Times New Roman"/>
          <w:bCs/>
          <w:color w:val="auto"/>
          <w:sz w:val="24"/>
          <w:szCs w:val="24"/>
        </w:rPr>
        <w:t>,…,</w:t>
      </w: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n</w:t>
      </w:r>
      <w:r>
        <w:rPr>
          <w:rFonts w:hint="default" w:ascii="Times New Roman" w:hAnsi="Times New Roman" w:cs="Times New Roman"/>
          <w:bCs/>
          <w:color w:val="auto"/>
          <w:sz w:val="24"/>
          <w:szCs w:val="24"/>
        </w:rPr>
        <w:t xml:space="preserve"> —每种危险化学品实际存在量，单位为t；</w:t>
      </w:r>
    </w:p>
    <w:p>
      <w:pPr>
        <w:pageBreakBefore w:val="0"/>
        <w:kinsoku/>
        <w:wordWrap/>
        <w:topLinePunct w:val="0"/>
        <w:bidi w:val="0"/>
        <w:adjustRightInd w:val="0"/>
        <w:snapToGrid w:val="0"/>
        <w:spacing w:line="360" w:lineRule="auto"/>
        <w:ind w:firstLine="480" w:firstLineChars="200"/>
        <w:rPr>
          <w:rFonts w:hint="default" w:ascii="Times New Roman" w:hAnsi="Times New Roman" w:cs="Times New Roman"/>
          <w:color w:val="auto"/>
          <w:sz w:val="28"/>
          <w:szCs w:val="28"/>
        </w:rPr>
      </w:pP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1</w:t>
      </w:r>
      <w:r>
        <w:rPr>
          <w:rFonts w:hint="default" w:ascii="Times New Roman" w:hAnsi="Times New Roman" w:cs="Times New Roman"/>
          <w:bCs/>
          <w:color w:val="auto"/>
          <w:sz w:val="24"/>
          <w:szCs w:val="24"/>
        </w:rPr>
        <w:t>,</w:t>
      </w: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2</w:t>
      </w:r>
      <w:r>
        <w:rPr>
          <w:rFonts w:hint="default" w:ascii="Times New Roman" w:hAnsi="Times New Roman" w:cs="Times New Roman"/>
          <w:bCs/>
          <w:color w:val="auto"/>
          <w:sz w:val="24"/>
          <w:szCs w:val="24"/>
        </w:rPr>
        <w:t>,…,</w:t>
      </w:r>
      <w:r>
        <w:rPr>
          <w:rFonts w:hint="default" w:ascii="Times New Roman" w:hAnsi="Times New Roman" w:cs="Times New Roman"/>
          <w:bCs/>
          <w:i/>
          <w:color w:val="auto"/>
          <w:sz w:val="24"/>
          <w:szCs w:val="24"/>
        </w:rPr>
        <w:t>Q</w:t>
      </w:r>
      <w:r>
        <w:rPr>
          <w:rFonts w:hint="default" w:ascii="Times New Roman" w:hAnsi="Times New Roman" w:cs="Times New Roman"/>
          <w:bCs/>
          <w:color w:val="auto"/>
          <w:sz w:val="24"/>
          <w:szCs w:val="24"/>
          <w:vertAlign w:val="subscript"/>
        </w:rPr>
        <w:t>n</w:t>
      </w:r>
      <w:r>
        <w:rPr>
          <w:rFonts w:hint="default" w:ascii="Times New Roman" w:hAnsi="Times New Roman" w:cs="Times New Roman"/>
          <w:bCs/>
          <w:color w:val="auto"/>
          <w:sz w:val="24"/>
          <w:szCs w:val="24"/>
        </w:rPr>
        <w:t xml:space="preserve"> —与各危险化学品相对应的临界量，单位为t</w:t>
      </w:r>
      <w:r>
        <w:rPr>
          <w:rFonts w:hint="default" w:ascii="Times New Roman" w:hAnsi="Times New Roman" w:cs="Times New Roman"/>
          <w:color w:val="auto"/>
          <w:sz w:val="28"/>
          <w:szCs w:val="28"/>
        </w:rPr>
        <w:t>。</w:t>
      </w:r>
    </w:p>
    <w:p>
      <w:pPr>
        <w:pStyle w:val="5"/>
        <w:pageBreakBefore w:val="0"/>
        <w:kinsoku/>
        <w:wordWrap/>
        <w:topLinePunct w:val="0"/>
        <w:bidi w:val="0"/>
        <w:adjustRightInd w:val="0"/>
        <w:snapToGrid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附3.6.2</w:t>
      </w:r>
      <w:r>
        <w:rPr>
          <w:rFonts w:hint="default" w:ascii="Times New Roman" w:hAnsi="Times New Roman" w:cs="Times New Roman"/>
          <w:color w:val="auto"/>
          <w:highlight w:val="none"/>
        </w:rPr>
        <w:t xml:space="preserve"> 重大危险源辨识过程</w:t>
      </w:r>
    </w:p>
    <w:p>
      <w:pPr>
        <w:pStyle w:val="15"/>
        <w:adjustRightInd w:val="0"/>
        <w:snapToGrid w:val="0"/>
        <w:spacing w:after="0" w:line="360" w:lineRule="auto"/>
        <w:ind w:left="0" w:leftChars="0" w:firstLine="560" w:firstLineChars="200"/>
        <w:rPr>
          <w:rFonts w:ascii="Times New Roman"/>
          <w:color w:val="000000"/>
          <w:sz w:val="28"/>
          <w:szCs w:val="28"/>
        </w:rPr>
      </w:pPr>
      <w:r>
        <w:rPr>
          <w:rFonts w:ascii="Times New Roman"/>
          <w:color w:val="000000"/>
          <w:sz w:val="28"/>
          <w:szCs w:val="28"/>
        </w:rPr>
        <w:t>根据《危险化学品重大危险源辨识》（GB18218-20</w:t>
      </w:r>
      <w:r>
        <w:rPr>
          <w:rFonts w:hint="eastAsia" w:ascii="Times New Roman"/>
          <w:color w:val="000000"/>
          <w:sz w:val="28"/>
          <w:szCs w:val="28"/>
          <w:lang w:val="en-US" w:eastAsia="zh-CN"/>
        </w:rPr>
        <w:t>18</w:t>
      </w:r>
      <w:r>
        <w:rPr>
          <w:rFonts w:ascii="Times New Roman"/>
          <w:color w:val="000000"/>
          <w:sz w:val="28"/>
          <w:szCs w:val="28"/>
        </w:rPr>
        <w:t>）</w:t>
      </w:r>
      <w:r>
        <w:rPr>
          <w:rFonts w:hint="eastAsia" w:ascii="Times New Roman"/>
          <w:color w:val="000000"/>
          <w:sz w:val="28"/>
          <w:szCs w:val="28"/>
          <w:lang w:eastAsia="zh-CN"/>
        </w:rPr>
        <w:t>关于单元</w:t>
      </w:r>
      <w:r>
        <w:rPr>
          <w:rFonts w:ascii="Times New Roman"/>
          <w:color w:val="000000"/>
          <w:sz w:val="28"/>
          <w:szCs w:val="28"/>
        </w:rPr>
        <w:t>的规定，</w:t>
      </w:r>
      <w:r>
        <w:rPr>
          <w:rFonts w:hint="eastAsia" w:ascii="Times New Roman"/>
          <w:color w:val="000000"/>
          <w:sz w:val="28"/>
          <w:szCs w:val="28"/>
          <w:lang w:eastAsia="zh-CN"/>
        </w:rPr>
        <w:t>将</w:t>
      </w:r>
      <w:r>
        <w:rPr>
          <w:rFonts w:ascii="Times New Roman"/>
          <w:color w:val="000000"/>
          <w:sz w:val="28"/>
          <w:szCs w:val="28"/>
        </w:rPr>
        <w:t>该加油站</w:t>
      </w:r>
      <w:r>
        <w:rPr>
          <w:rFonts w:hint="eastAsia" w:ascii="Times New Roman"/>
          <w:color w:val="000000"/>
          <w:sz w:val="28"/>
          <w:szCs w:val="28"/>
          <w:lang w:eastAsia="zh-CN"/>
        </w:rPr>
        <w:t>涉及到</w:t>
      </w:r>
      <w:r>
        <w:rPr>
          <w:rFonts w:ascii="Times New Roman"/>
          <w:color w:val="000000"/>
          <w:sz w:val="28"/>
          <w:szCs w:val="28"/>
        </w:rPr>
        <w:t>重大危险源</w:t>
      </w:r>
      <w:r>
        <w:rPr>
          <w:rFonts w:hint="eastAsia" w:ascii="Times New Roman"/>
          <w:color w:val="000000"/>
          <w:sz w:val="28"/>
          <w:szCs w:val="28"/>
          <w:lang w:eastAsia="zh-CN"/>
        </w:rPr>
        <w:t>辨识物质汽油、柴油的划分为</w:t>
      </w:r>
      <w:r>
        <w:rPr>
          <w:rFonts w:hint="eastAsia" w:ascii="Times New Roman"/>
          <w:color w:val="000000"/>
          <w:sz w:val="28"/>
          <w:szCs w:val="28"/>
          <w:lang w:val="en-US" w:eastAsia="zh-CN"/>
        </w:rPr>
        <w:t>1个储存单元：油罐区单元</w:t>
      </w:r>
      <w:r>
        <w:rPr>
          <w:rFonts w:ascii="Times New Roman"/>
          <w:color w:val="000000"/>
          <w:sz w:val="28"/>
          <w:szCs w:val="28"/>
        </w:rPr>
        <w:t>。</w:t>
      </w:r>
    </w:p>
    <w:p>
      <w:pPr>
        <w:pStyle w:val="84"/>
        <w:keepNext w:val="0"/>
        <w:keepLines w:val="0"/>
        <w:pageBreakBefore w:val="0"/>
        <w:widowControl w:val="0"/>
        <w:kinsoku/>
        <w:wordWrap/>
        <w:overflowPunct/>
        <w:topLinePunct w:val="0"/>
        <w:autoSpaceDE/>
        <w:autoSpaceDN/>
        <w:bidi w:val="0"/>
        <w:adjustRightInd w:val="0"/>
        <w:snapToGrid w:val="0"/>
        <w:ind w:firstLine="0" w:firstLineChars="0"/>
        <w:textAlignment w:val="auto"/>
        <w:rPr>
          <w:b/>
          <w:bCs/>
        </w:rPr>
      </w:pPr>
      <w:r>
        <w:rPr>
          <w:rFonts w:hint="eastAsia"/>
          <w:b/>
          <w:bCs/>
          <w:lang w:eastAsia="zh-CN"/>
        </w:rPr>
        <w:t>附</w:t>
      </w:r>
      <w:r>
        <w:rPr>
          <w:b/>
          <w:bCs/>
        </w:rPr>
        <w:t>表3</w:t>
      </w:r>
      <w:r>
        <w:rPr>
          <w:rFonts w:hint="eastAsia"/>
          <w:b/>
          <w:bCs/>
        </w:rPr>
        <w:t>.</w:t>
      </w:r>
      <w:r>
        <w:rPr>
          <w:rFonts w:hint="eastAsia"/>
          <w:b/>
          <w:bCs/>
          <w:lang w:val="en-US" w:eastAsia="zh-CN"/>
        </w:rPr>
        <w:t>6</w:t>
      </w:r>
      <w:r>
        <w:rPr>
          <w:rFonts w:hint="eastAsia"/>
          <w:b/>
          <w:bCs/>
        </w:rPr>
        <w:t>-1</w:t>
      </w:r>
      <w:r>
        <w:rPr>
          <w:b/>
          <w:bCs/>
        </w:rPr>
        <w:t xml:space="preserve">  危险化学品重大危险源辨识结果一览表</w:t>
      </w:r>
    </w:p>
    <w:tbl>
      <w:tblPr>
        <w:tblStyle w:val="28"/>
        <w:tblW w:w="90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7"/>
        <w:gridCol w:w="917"/>
        <w:gridCol w:w="1092"/>
        <w:gridCol w:w="1397"/>
        <w:gridCol w:w="1281"/>
        <w:gridCol w:w="946"/>
        <w:gridCol w:w="1135"/>
        <w:gridCol w:w="17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507"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序号</w:t>
            </w:r>
          </w:p>
        </w:tc>
        <w:tc>
          <w:tcPr>
            <w:tcW w:w="917"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ascii="Times New Roman" w:eastAsia="宋体"/>
                <w:b/>
                <w:bCs/>
                <w:color w:val="000000"/>
                <w:sz w:val="21"/>
                <w:szCs w:val="21"/>
                <w:lang w:eastAsia="zh-CN"/>
              </w:rPr>
            </w:pPr>
            <w:r>
              <w:rPr>
                <w:rFonts w:hint="eastAsia" w:ascii="Times New Roman"/>
                <w:b/>
                <w:bCs/>
                <w:color w:val="000000"/>
                <w:sz w:val="21"/>
                <w:szCs w:val="21"/>
                <w:lang w:eastAsia="zh-CN"/>
              </w:rPr>
              <w:t>辨识单元</w:t>
            </w:r>
          </w:p>
        </w:tc>
        <w:tc>
          <w:tcPr>
            <w:tcW w:w="1092"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lang w:val="en-US" w:eastAsia="zh-CN" w:bidi="ar-SA"/>
              </w:rPr>
            </w:pPr>
            <w:r>
              <w:rPr>
                <w:rFonts w:ascii="Times New Roman"/>
                <w:b/>
                <w:bCs/>
                <w:color w:val="000000"/>
                <w:sz w:val="21"/>
                <w:szCs w:val="21"/>
              </w:rPr>
              <w:t>危险化学品名称</w:t>
            </w:r>
          </w:p>
        </w:tc>
        <w:tc>
          <w:tcPr>
            <w:tcW w:w="1397"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标准中的分类</w:t>
            </w:r>
          </w:p>
        </w:tc>
        <w:tc>
          <w:tcPr>
            <w:tcW w:w="1281"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危险性分类及说明</w:t>
            </w:r>
          </w:p>
        </w:tc>
        <w:tc>
          <w:tcPr>
            <w:tcW w:w="94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临界量（t）</w:t>
            </w:r>
          </w:p>
        </w:tc>
        <w:tc>
          <w:tcPr>
            <w:tcW w:w="113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b/>
                <w:bCs/>
                <w:color w:val="000000"/>
                <w:sz w:val="21"/>
                <w:szCs w:val="21"/>
              </w:rPr>
            </w:pPr>
            <w:r>
              <w:rPr>
                <w:rFonts w:ascii="Times New Roman"/>
                <w:b/>
                <w:bCs/>
                <w:color w:val="000000"/>
                <w:sz w:val="21"/>
                <w:szCs w:val="21"/>
              </w:rPr>
              <w:t>单元数量（t）</w:t>
            </w:r>
          </w:p>
        </w:tc>
        <w:tc>
          <w:tcPr>
            <w:tcW w:w="1796" w:type="dxa"/>
            <w:noWrap w:val="0"/>
            <w:vAlign w:val="center"/>
          </w:tcPr>
          <w:p>
            <w:pPr>
              <w:pStyle w:val="6"/>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b/>
                <w:bCs/>
                <w:color w:val="000000"/>
                <w:sz w:val="21"/>
              </w:rPr>
            </w:pPr>
            <w:r>
              <w:rPr>
                <w:rFonts w:ascii="Times New Roman"/>
                <w:b/>
                <w:bCs/>
                <w:color w:val="000000"/>
                <w:sz w:val="21"/>
              </w:rPr>
              <w:t>是否构成重大危险源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07" w:type="dxa"/>
            <w:noWrap w:val="0"/>
            <w:vAlign w:val="center"/>
          </w:tcPr>
          <w:p>
            <w:pPr>
              <w:pStyle w:val="6"/>
              <w:keepNext w:val="0"/>
              <w:keepLines w:val="0"/>
              <w:pageBreakBefore w:val="0"/>
              <w:widowControl/>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color w:val="000000"/>
                <w:sz w:val="21"/>
              </w:rPr>
            </w:pPr>
            <w:r>
              <w:rPr>
                <w:rFonts w:ascii="Times New Roman"/>
                <w:color w:val="000000"/>
                <w:sz w:val="21"/>
              </w:rPr>
              <w:t>1</w:t>
            </w:r>
          </w:p>
        </w:tc>
        <w:tc>
          <w:tcPr>
            <w:tcW w:w="917" w:type="dxa"/>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eastAsia" w:ascii="Times New Roman" w:eastAsia="宋体"/>
                <w:color w:val="000000"/>
                <w:sz w:val="21"/>
                <w:szCs w:val="21"/>
                <w:lang w:eastAsia="zh-CN"/>
              </w:rPr>
            </w:pPr>
            <w:r>
              <w:rPr>
                <w:rFonts w:hint="eastAsia" w:ascii="Times New Roman"/>
                <w:color w:val="000000"/>
                <w:sz w:val="21"/>
                <w:szCs w:val="21"/>
                <w:lang w:eastAsia="zh-CN"/>
              </w:rPr>
              <w:t>油罐区单元</w:t>
            </w:r>
          </w:p>
        </w:tc>
        <w:tc>
          <w:tcPr>
            <w:tcW w:w="1092"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lang w:val="en-US" w:eastAsia="zh-CN" w:bidi="ar-SA"/>
              </w:rPr>
            </w:pPr>
            <w:r>
              <w:rPr>
                <w:rFonts w:ascii="Times New Roman"/>
                <w:color w:val="000000"/>
                <w:sz w:val="21"/>
                <w:szCs w:val="21"/>
              </w:rPr>
              <w:t>汽油</w:t>
            </w:r>
          </w:p>
        </w:tc>
        <w:tc>
          <w:tcPr>
            <w:tcW w:w="1397"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易燃液体</w:t>
            </w:r>
          </w:p>
        </w:tc>
        <w:tc>
          <w:tcPr>
            <w:tcW w:w="1281"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w:t>
            </w:r>
          </w:p>
        </w:tc>
        <w:tc>
          <w:tcPr>
            <w:tcW w:w="94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sz w:val="21"/>
                <w:szCs w:val="21"/>
              </w:rPr>
            </w:pPr>
            <w:r>
              <w:rPr>
                <w:rFonts w:ascii="Times New Roman"/>
                <w:sz w:val="21"/>
                <w:szCs w:val="21"/>
              </w:rPr>
              <w:t>200</w:t>
            </w:r>
          </w:p>
        </w:tc>
        <w:tc>
          <w:tcPr>
            <w:tcW w:w="113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sz w:val="21"/>
                <w:szCs w:val="21"/>
                <w:lang w:val="en-US" w:eastAsia="zh-CN"/>
              </w:rPr>
            </w:pPr>
            <w:r>
              <w:rPr>
                <w:rFonts w:hint="eastAsia"/>
                <w:sz w:val="21"/>
                <w:szCs w:val="21"/>
                <w:lang w:val="en-US" w:eastAsia="zh-CN"/>
              </w:rPr>
              <w:t>115.5</w:t>
            </w:r>
          </w:p>
        </w:tc>
        <w:tc>
          <w:tcPr>
            <w:tcW w:w="1796" w:type="dxa"/>
            <w:vMerge w:val="restart"/>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color w:val="000000"/>
                <w:sz w:val="21"/>
                <w:szCs w:val="21"/>
                <w:lang w:val="en-US" w:eastAsia="zh-CN"/>
              </w:rPr>
            </w:pPr>
            <w:r>
              <w:rPr>
                <w:rFonts w:hint="eastAsia"/>
                <w:color w:val="000000"/>
                <w:sz w:val="21"/>
                <w:szCs w:val="21"/>
                <w:lang w:eastAsia="zh-CN"/>
              </w:rPr>
              <w:t>∑</w:t>
            </w:r>
            <w:r>
              <w:rPr>
                <w:rFonts w:hint="eastAsia"/>
                <w:color w:val="000000"/>
                <w:sz w:val="21"/>
                <w:szCs w:val="21"/>
                <w:lang w:val="en-US" w:eastAsia="zh-CN"/>
              </w:rPr>
              <w:t>q/Q=</w:t>
            </w:r>
            <w:r>
              <w:rPr>
                <w:rFonts w:hint="eastAsia"/>
                <w:sz w:val="21"/>
                <w:szCs w:val="21"/>
                <w:lang w:val="en-US" w:eastAsia="zh-CN"/>
              </w:rPr>
              <w:t>115.5</w:t>
            </w:r>
            <w:r>
              <w:rPr>
                <w:rFonts w:ascii="Times New Roman"/>
                <w:sz w:val="21"/>
                <w:szCs w:val="21"/>
              </w:rPr>
              <w:t>/200+</w:t>
            </w:r>
            <w:r>
              <w:rPr>
                <w:rFonts w:hint="eastAsia"/>
                <w:sz w:val="21"/>
                <w:szCs w:val="21"/>
                <w:lang w:val="en-US" w:eastAsia="zh-CN"/>
              </w:rPr>
              <w:t>85</w:t>
            </w:r>
            <w:r>
              <w:rPr>
                <w:rFonts w:ascii="Times New Roman"/>
                <w:sz w:val="21"/>
                <w:szCs w:val="21"/>
              </w:rPr>
              <w:t>/5000=</w:t>
            </w:r>
            <w:r>
              <w:rPr>
                <w:rFonts w:hint="eastAsia"/>
                <w:sz w:val="21"/>
                <w:szCs w:val="21"/>
                <w:lang w:val="en-US" w:eastAsia="zh-CN"/>
              </w:rPr>
              <w:t>0.5775</w:t>
            </w:r>
            <w:r>
              <w:rPr>
                <w:rFonts w:ascii="Times New Roman"/>
                <w:sz w:val="21"/>
                <w:szCs w:val="21"/>
              </w:rPr>
              <w:t>+</w:t>
            </w:r>
            <w:r>
              <w:rPr>
                <w:rFonts w:hint="eastAsia"/>
                <w:sz w:val="21"/>
                <w:szCs w:val="21"/>
                <w:lang w:val="en-US" w:eastAsia="zh-CN"/>
              </w:rPr>
              <w:t>0.017</w:t>
            </w:r>
            <w:r>
              <w:rPr>
                <w:rFonts w:ascii="Times New Roman"/>
                <w:sz w:val="21"/>
                <w:szCs w:val="21"/>
              </w:rPr>
              <w:t>=0.</w:t>
            </w:r>
            <w:r>
              <w:rPr>
                <w:rFonts w:hint="eastAsia"/>
                <w:sz w:val="21"/>
                <w:szCs w:val="21"/>
                <w:lang w:val="en-US" w:eastAsia="zh-CN"/>
              </w:rPr>
              <w:t>5945</w:t>
            </w:r>
            <w:r>
              <w:rPr>
                <w:rFonts w:ascii="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507" w:type="dxa"/>
            <w:noWrap w:val="0"/>
            <w:vAlign w:val="center"/>
          </w:tcPr>
          <w:p>
            <w:pPr>
              <w:pStyle w:val="6"/>
              <w:keepNext w:val="0"/>
              <w:keepLines w:val="0"/>
              <w:pageBreakBefore w:val="0"/>
              <w:widowControl/>
              <w:kinsoku/>
              <w:wordWrap/>
              <w:overflowPunct/>
              <w:topLinePunct w:val="0"/>
              <w:autoSpaceDE/>
              <w:autoSpaceDN/>
              <w:bidi w:val="0"/>
              <w:adjustRightInd w:val="0"/>
              <w:snapToGrid w:val="0"/>
              <w:spacing w:before="94" w:beforeLines="20" w:after="94" w:afterLines="20" w:line="240" w:lineRule="auto"/>
              <w:ind w:firstLine="0" w:firstLineChars="0"/>
              <w:textAlignment w:val="auto"/>
              <w:rPr>
                <w:rFonts w:ascii="Times New Roman"/>
                <w:color w:val="000000"/>
                <w:sz w:val="21"/>
              </w:rPr>
            </w:pPr>
            <w:r>
              <w:rPr>
                <w:rFonts w:ascii="Times New Roman"/>
                <w:color w:val="000000"/>
                <w:sz w:val="21"/>
              </w:rPr>
              <w:t>2</w:t>
            </w:r>
          </w:p>
        </w:tc>
        <w:tc>
          <w:tcPr>
            <w:tcW w:w="917" w:type="dxa"/>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p>
        </w:tc>
        <w:tc>
          <w:tcPr>
            <w:tcW w:w="1092" w:type="dxa"/>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lang w:val="en-US" w:eastAsia="zh-CN" w:bidi="ar-SA"/>
              </w:rPr>
            </w:pPr>
            <w:r>
              <w:rPr>
                <w:rFonts w:ascii="Times New Roman"/>
                <w:color w:val="000000"/>
                <w:sz w:val="21"/>
                <w:szCs w:val="21"/>
              </w:rPr>
              <w:t>柴油</w:t>
            </w:r>
          </w:p>
        </w:tc>
        <w:tc>
          <w:tcPr>
            <w:tcW w:w="1397"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color w:val="000000"/>
                <w:sz w:val="21"/>
                <w:szCs w:val="21"/>
                <w:lang w:val="en-US" w:eastAsia="zh-CN"/>
              </w:rPr>
            </w:pPr>
            <w:r>
              <w:rPr>
                <w:rFonts w:ascii="Times New Roman"/>
                <w:color w:val="000000"/>
                <w:sz w:val="21"/>
                <w:szCs w:val="21"/>
              </w:rPr>
              <w:t>易燃液体</w:t>
            </w:r>
            <w:r>
              <w:rPr>
                <w:rFonts w:hint="eastAsia" w:ascii="Times New Roman"/>
                <w:color w:val="000000"/>
                <w:sz w:val="21"/>
                <w:szCs w:val="21"/>
                <w:lang w:eastAsia="zh-CN"/>
              </w:rPr>
              <w:t>类别</w:t>
            </w:r>
            <w:r>
              <w:rPr>
                <w:rFonts w:hint="eastAsia" w:ascii="Times New Roman"/>
                <w:color w:val="000000"/>
                <w:sz w:val="21"/>
                <w:szCs w:val="21"/>
                <w:lang w:val="en-US" w:eastAsia="zh-CN"/>
              </w:rPr>
              <w:t>3</w:t>
            </w:r>
          </w:p>
        </w:tc>
        <w:tc>
          <w:tcPr>
            <w:tcW w:w="1281"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w:t>
            </w:r>
          </w:p>
        </w:tc>
        <w:tc>
          <w:tcPr>
            <w:tcW w:w="946"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sz w:val="21"/>
                <w:szCs w:val="21"/>
              </w:rPr>
            </w:pPr>
            <w:r>
              <w:rPr>
                <w:rFonts w:ascii="Times New Roman"/>
                <w:sz w:val="21"/>
                <w:szCs w:val="21"/>
              </w:rPr>
              <w:t>5000</w:t>
            </w:r>
          </w:p>
        </w:tc>
        <w:tc>
          <w:tcPr>
            <w:tcW w:w="1135" w:type="dxa"/>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hint="default" w:ascii="Times New Roman" w:eastAsia="宋体"/>
                <w:sz w:val="21"/>
                <w:szCs w:val="21"/>
                <w:lang w:val="en-US" w:eastAsia="zh-CN"/>
              </w:rPr>
            </w:pPr>
            <w:r>
              <w:rPr>
                <w:rFonts w:hint="eastAsia"/>
                <w:sz w:val="21"/>
                <w:szCs w:val="21"/>
                <w:lang w:val="en-US" w:eastAsia="zh-CN"/>
              </w:rPr>
              <w:t>85</w:t>
            </w:r>
          </w:p>
        </w:tc>
        <w:tc>
          <w:tcPr>
            <w:tcW w:w="1796" w:type="dxa"/>
            <w:vMerge w:val="continue"/>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071" w:type="dxa"/>
            <w:gridSpan w:val="8"/>
            <w:noWrap w:val="0"/>
            <w:vAlign w:val="center"/>
          </w:tcPr>
          <w:p>
            <w:pPr>
              <w:keepNext w:val="0"/>
              <w:keepLines w:val="0"/>
              <w:pageBreakBefore w:val="0"/>
              <w:kinsoku/>
              <w:wordWrap/>
              <w:overflowPunct/>
              <w:topLinePunct w:val="0"/>
              <w:autoSpaceDE/>
              <w:autoSpaceDN/>
              <w:bidi w:val="0"/>
              <w:adjustRightInd w:val="0"/>
              <w:snapToGrid w:val="0"/>
              <w:spacing w:before="94" w:beforeLines="20" w:after="94" w:afterLines="20" w:line="240" w:lineRule="auto"/>
              <w:ind w:firstLine="0" w:firstLineChars="0"/>
              <w:jc w:val="center"/>
              <w:textAlignment w:val="auto"/>
              <w:rPr>
                <w:rFonts w:ascii="Times New Roman"/>
                <w:color w:val="000000"/>
                <w:sz w:val="21"/>
                <w:szCs w:val="21"/>
              </w:rPr>
            </w:pPr>
            <w:r>
              <w:rPr>
                <w:rFonts w:ascii="Times New Roman"/>
                <w:color w:val="000000"/>
                <w:sz w:val="21"/>
                <w:szCs w:val="21"/>
              </w:rPr>
              <w:t>是否构成重大危险源：否</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color w:val="000000"/>
          <w:sz w:val="21"/>
          <w:szCs w:val="21"/>
        </w:rPr>
      </w:pPr>
      <w:r>
        <w:rPr>
          <w:rFonts w:ascii="Times New Roman"/>
          <w:b/>
          <w:color w:val="000000"/>
          <w:sz w:val="21"/>
          <w:szCs w:val="21"/>
        </w:rPr>
        <w:t>说明：</w:t>
      </w:r>
      <w:r>
        <w:rPr>
          <w:rFonts w:hint="eastAsia" w:ascii="Times New Roman"/>
          <w:b w:val="0"/>
          <w:bCs/>
          <w:color w:val="000000"/>
          <w:sz w:val="21"/>
          <w:szCs w:val="21"/>
          <w:lang w:val="en-US" w:eastAsia="zh-CN"/>
        </w:rPr>
        <w:t>1、</w:t>
      </w:r>
      <w:r>
        <w:rPr>
          <w:rFonts w:ascii="Times New Roman"/>
          <w:color w:val="000000"/>
          <w:sz w:val="21"/>
          <w:szCs w:val="21"/>
        </w:rPr>
        <w:t>表中q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——每种危险化学品实际存在量，单位为（t）。Q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——与各危险化学品相对应的临界量，单位为（t）。若式中q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1</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2……</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/Q</w:t>
      </w:r>
      <w:r>
        <w:rPr>
          <w:rFonts w:ascii="Times New Roman"/>
          <w:color w:val="000000"/>
          <w:sz w:val="21"/>
          <w:szCs w:val="21"/>
          <w:vertAlign w:val="subscript"/>
        </w:rPr>
        <w:t>n</w:t>
      </w:r>
      <w:r>
        <w:rPr>
          <w:rFonts w:ascii="Times New Roman"/>
          <w:color w:val="000000"/>
          <w:sz w:val="21"/>
          <w:szCs w:val="21"/>
        </w:rPr>
        <w:t>≥1，则定为重大危险源。</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0" w:firstLineChars="0"/>
        <w:textAlignment w:val="auto"/>
        <w:rPr>
          <w:rFonts w:hint="eastAsia" w:ascii="Times New Roman" w:eastAsia="宋体"/>
          <w:color w:val="000000"/>
          <w:sz w:val="21"/>
          <w:szCs w:val="21"/>
          <w:lang w:eastAsia="zh-CN"/>
        </w:rPr>
      </w:pPr>
      <w:r>
        <w:rPr>
          <w:rFonts w:hint="eastAsia" w:cs="Times New Roman"/>
          <w:color w:val="auto"/>
          <w:sz w:val="21"/>
          <w:szCs w:val="21"/>
          <w:highlight w:val="none"/>
          <w:lang w:val="en-US" w:eastAsia="zh-CN"/>
        </w:rPr>
        <w:t>2</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临</w:t>
      </w:r>
      <w:r>
        <w:rPr>
          <w:rFonts w:hint="default" w:ascii="Times New Roman" w:hAnsi="Times New Roman" w:cs="Times New Roman"/>
          <w:color w:val="auto"/>
          <w:sz w:val="21"/>
          <w:szCs w:val="21"/>
          <w:highlight w:val="none"/>
          <w:lang w:val="en-US" w:eastAsia="zh-CN"/>
        </w:rPr>
        <w:t>界量取值依据《危险化学品重大危险源辨识》（GB18218-2018）第4.1.2条表1，汽油临界量为200t，</w:t>
      </w:r>
      <w:r>
        <w:rPr>
          <w:rFonts w:hint="default" w:ascii="Times New Roman" w:hAnsi="Times New Roman" w:cs="Times New Roman"/>
          <w:color w:val="auto"/>
          <w:sz w:val="21"/>
          <w:szCs w:val="21"/>
          <w:highlight w:val="none"/>
          <w:lang w:val="zh-CN" w:eastAsia="zh-CN"/>
        </w:rPr>
        <w:t>根据《化学品分类和标签规范 第7部分：易燃液体》（GB30000.7-2013）第4.2规定，</w:t>
      </w:r>
      <w:r>
        <w:rPr>
          <w:rFonts w:hint="default" w:ascii="Times New Roman" w:hAnsi="Times New Roman" w:cs="Times New Roman"/>
          <w:color w:val="auto"/>
          <w:sz w:val="21"/>
          <w:szCs w:val="21"/>
          <w:highlight w:val="none"/>
          <w:lang w:val="en-US" w:eastAsia="zh-CN"/>
        </w:rPr>
        <w:t>本加油站柴油为易燃液体类别3，对照《危险化学品重大危险源辨识》（GB18218-2018）第4.1.2条表2，柴油的临界量为5000t。</w:t>
      </w:r>
    </w:p>
    <w:p>
      <w:pPr>
        <w:pageBreakBefore w:val="0"/>
        <w:kinsoku/>
        <w:wordWrap/>
        <w:topLinePunct w:val="0"/>
        <w:bidi w:val="0"/>
        <w:adjustRightInd w:val="0"/>
        <w:snapToGrid w:val="0"/>
        <w:spacing w:line="240" w:lineRule="auto"/>
        <w:rPr>
          <w:rFonts w:hint="default" w:ascii="Times New Roman" w:hAnsi="Times New Roman" w:cs="Times New Roman"/>
          <w:color w:val="auto"/>
          <w:kern w:val="0"/>
          <w:position w:val="2"/>
          <w:sz w:val="21"/>
          <w:szCs w:val="21"/>
          <w:highlight w:val="none"/>
          <w:lang w:val="zh-CN"/>
        </w:rPr>
      </w:pPr>
      <w:r>
        <w:rPr>
          <w:rFonts w:hint="eastAsia" w:cs="Times New Roman"/>
          <w:color w:val="auto"/>
          <w:sz w:val="21"/>
          <w:szCs w:val="21"/>
          <w:highlight w:val="none"/>
          <w:lang w:val="en-US" w:eastAsia="zh-CN"/>
        </w:rPr>
        <w:t>3</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zh-CN" w:eastAsia="zh-CN"/>
        </w:rPr>
        <w:t>根据《</w:t>
      </w:r>
      <w:r>
        <w:rPr>
          <w:rFonts w:hint="default" w:ascii="Times New Roman" w:hAnsi="Times New Roman" w:cs="Times New Roman"/>
          <w:color w:val="auto"/>
          <w:kern w:val="0"/>
          <w:position w:val="2"/>
          <w:sz w:val="21"/>
          <w:szCs w:val="21"/>
          <w:highlight w:val="none"/>
          <w:lang w:val="zh-CN"/>
        </w:rPr>
        <w:t>危险化学品重大危险源辨识》（GB18218-2018）第4.2.2条，危险化学品储罐的实际存在量按设计最大量确定，本次评价储罐容积按照设计公称容积确定。</w:t>
      </w:r>
    </w:p>
    <w:p>
      <w:pPr>
        <w:pStyle w:val="13"/>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auto"/>
          <w:sz w:val="28"/>
          <w:szCs w:val="28"/>
          <w:lang w:val="en-US"/>
        </w:rPr>
      </w:pPr>
      <w:r>
        <w:rPr>
          <w:rFonts w:hint="default" w:ascii="Times New Roman" w:hAnsi="Times New Roman" w:cs="Times New Roman"/>
          <w:color w:val="auto"/>
          <w:sz w:val="28"/>
          <w:szCs w:val="28"/>
          <w:lang w:val="en-US"/>
        </w:rPr>
        <w:t>根据《危险化学品重大危险源辨识》规定，该</w:t>
      </w:r>
      <w:r>
        <w:rPr>
          <w:rFonts w:hint="default" w:ascii="Times New Roman" w:hAnsi="Times New Roman" w:cs="Times New Roman"/>
          <w:color w:val="auto"/>
          <w:sz w:val="28"/>
          <w:szCs w:val="28"/>
          <w:lang w:val="en-US" w:eastAsia="zh-CN"/>
        </w:rPr>
        <w:t>加油</w:t>
      </w:r>
      <w:r>
        <w:rPr>
          <w:rFonts w:hint="eastAsia" w:ascii="Times New Roman" w:hAnsi="Times New Roman" w:cs="Times New Roman"/>
          <w:color w:val="auto"/>
          <w:sz w:val="28"/>
          <w:szCs w:val="28"/>
          <w:lang w:val="en-US" w:eastAsia="zh-CN"/>
        </w:rPr>
        <w:t>中心</w:t>
      </w:r>
      <w:r>
        <w:rPr>
          <w:rFonts w:hint="default" w:ascii="Times New Roman" w:hAnsi="Times New Roman" w:cs="Times New Roman"/>
          <w:color w:val="auto"/>
          <w:sz w:val="28"/>
          <w:szCs w:val="28"/>
          <w:lang w:val="en-US"/>
        </w:rPr>
        <w:t>危险化学品的数量未构成危险化学品重大危险源。</w:t>
      </w:r>
    </w:p>
    <w:p>
      <w:pPr>
        <w:pageBreakBefore w:val="0"/>
        <w:kinsoku/>
        <w:wordWrap/>
        <w:topLinePunct w:val="0"/>
        <w:bidi w:val="0"/>
        <w:adjustRightInd w:val="0"/>
        <w:snapToGrid w:val="0"/>
        <w:spacing w:before="312" w:beforeLines="100"/>
        <w:ind w:firstLine="560"/>
        <w:rPr>
          <w:rFonts w:hint="default" w:ascii="Times New Roman" w:hAnsi="Times New Roman" w:cs="Times New Roman" w:eastAsiaTheme="minorEastAsia"/>
          <w:color w:val="auto"/>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32"/>
          <w:szCs w:val="32"/>
        </w:rPr>
      </w:pPr>
      <w:bookmarkStart w:id="198" w:name="_Toc29159"/>
      <w:r>
        <w:rPr>
          <w:rFonts w:hint="default" w:ascii="Times New Roman" w:hAnsi="Times New Roman" w:cs="Times New Roman" w:eastAsiaTheme="minorEastAsia"/>
          <w:color w:val="auto"/>
          <w:sz w:val="32"/>
          <w:szCs w:val="32"/>
        </w:rPr>
        <w:t>附件4 定性、定量评价分析过程</w:t>
      </w:r>
      <w:bookmarkEnd w:id="198"/>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199" w:name="_Toc307223041"/>
      <w:bookmarkStart w:id="200" w:name="_Toc13840"/>
      <w:bookmarkStart w:id="201" w:name="_Toc316308559"/>
      <w:bookmarkStart w:id="202" w:name="_Toc306973807"/>
      <w:bookmarkStart w:id="203" w:name="_Toc316308611"/>
      <w:bookmarkStart w:id="204" w:name="_Toc6512"/>
      <w:bookmarkStart w:id="205" w:name="_Toc326822508"/>
      <w:bookmarkStart w:id="206" w:name="_Toc333233451"/>
      <w:bookmarkStart w:id="207" w:name="_Toc4339"/>
      <w:r>
        <w:rPr>
          <w:rFonts w:hint="default" w:ascii="Times New Roman" w:hAnsi="Times New Roman" w:cs="Times New Roman" w:eastAsiaTheme="minorEastAsia"/>
          <w:b/>
          <w:bCs w:val="0"/>
          <w:color w:val="auto"/>
          <w:sz w:val="28"/>
          <w:szCs w:val="28"/>
        </w:rPr>
        <w:t>附4.1 安全检查表评价</w:t>
      </w:r>
      <w:bookmarkEnd w:id="199"/>
      <w:bookmarkEnd w:id="200"/>
      <w:bookmarkEnd w:id="201"/>
      <w:bookmarkEnd w:id="202"/>
      <w:bookmarkEnd w:id="203"/>
      <w:bookmarkEnd w:id="204"/>
      <w:bookmarkEnd w:id="205"/>
      <w:bookmarkEnd w:id="206"/>
      <w:bookmarkEnd w:id="207"/>
    </w:p>
    <w:p>
      <w:pPr>
        <w:pStyle w:val="83"/>
        <w:pageBreakBefore w:val="0"/>
        <w:kinsoku/>
        <w:wordWrap/>
        <w:topLinePunct w:val="0"/>
        <w:bidi w:val="0"/>
        <w:adjustRightInd w:val="0"/>
        <w:snapToGrid w:val="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针对该项目的实际情况和《山东省加油站安全评价导则》及《汽车加油加气站设计与施工规范》（GB50156-2012）（2014年版）、</w:t>
      </w:r>
      <w:r>
        <w:rPr>
          <w:rFonts w:hint="default" w:ascii="Times New Roman" w:hAnsi="Times New Roman" w:cs="Times New Roman"/>
          <w:color w:val="auto"/>
        </w:rPr>
        <w:t>《东营市加油站安全生产规范提升指南（试行）》（东安监发[2018]73号）</w:t>
      </w:r>
      <w:r>
        <w:rPr>
          <w:rFonts w:hint="default" w:ascii="Times New Roman" w:hAnsi="Times New Roman" w:cs="Times New Roman" w:eastAsiaTheme="minorEastAsia"/>
          <w:color w:val="auto"/>
        </w:rPr>
        <w:t>对其进行安全评价，通过检查结果，确定该加油站安全状况。</w:t>
      </w:r>
    </w:p>
    <w:p>
      <w:pPr>
        <w:pageBreakBefore w:val="0"/>
        <w:kinsoku/>
        <w:wordWrap/>
        <w:topLinePunct w:val="0"/>
        <w:bidi w:val="0"/>
        <w:adjustRightInd w:val="0"/>
        <w:snapToGrid w:val="0"/>
        <w:ind w:firstLine="560"/>
        <w:rPr>
          <w:rFonts w:hint="eastAsia" w:ascii="Times New Roman" w:hAnsi="Times New Roman" w:cs="Times New Roman" w:eastAsiaTheme="minorEastAsia"/>
          <w:color w:val="auto"/>
          <w:kern w:val="0"/>
          <w:szCs w:val="28"/>
          <w:lang w:val="en-US" w:eastAsia="zh-CN"/>
        </w:rPr>
      </w:pPr>
      <w:r>
        <w:rPr>
          <w:rFonts w:hint="default" w:ascii="Times New Roman" w:hAnsi="Times New Roman" w:cs="Times New Roman" w:eastAsiaTheme="minorEastAsia"/>
          <w:color w:val="auto"/>
          <w:kern w:val="0"/>
          <w:szCs w:val="28"/>
        </w:rPr>
        <w:t>安全检查表见附表4.1-1～附表4.1-</w:t>
      </w:r>
      <w:r>
        <w:rPr>
          <w:rFonts w:hint="eastAsia" w:cs="Times New Roman" w:eastAsiaTheme="minorEastAsia"/>
          <w:color w:val="auto"/>
          <w:kern w:val="0"/>
          <w:szCs w:val="28"/>
          <w:lang w:val="en-US" w:eastAsia="zh-CN"/>
        </w:rPr>
        <w:t>5。</w:t>
      </w:r>
    </w:p>
    <w:p>
      <w:pPr>
        <w:keepNext w:val="0"/>
        <w:keepLines w:val="0"/>
        <w:pageBreakBefore w:val="0"/>
        <w:widowControl w:val="0"/>
        <w:kinsoku/>
        <w:wordWrap/>
        <w:overflowPunct/>
        <w:topLinePunct w:val="0"/>
        <w:autoSpaceDE/>
        <w:autoSpaceDN/>
        <w:bidi w:val="0"/>
        <w:adjustRightInd w:val="0"/>
        <w:snapToGrid w:val="0"/>
        <w:ind w:firstLine="482"/>
        <w:jc w:val="center"/>
        <w:textAlignment w:val="auto"/>
        <w:outlineLvl w:val="2"/>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附表4.1-1 安全管理检查表</w:t>
      </w:r>
    </w:p>
    <w:tbl>
      <w:tblPr>
        <w:tblStyle w:val="28"/>
        <w:tblW w:w="92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8"/>
        <w:gridCol w:w="4358"/>
        <w:gridCol w:w="862"/>
        <w:gridCol w:w="2445"/>
        <w:gridCol w:w="7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908" w:type="dxa"/>
            <w:vAlign w:val="center"/>
          </w:tcPr>
          <w:p>
            <w:pPr>
              <w:pStyle w:val="60"/>
              <w:pageBreakBefore w:val="0"/>
              <w:numPr>
                <w:ilvl w:val="0"/>
                <w:numId w:val="0"/>
              </w:numPr>
              <w:tabs>
                <w:tab w:val="clear" w:pos="567"/>
              </w:tabs>
              <w:kinsoku/>
              <w:wordWrap/>
              <w:topLinePunct w:val="0"/>
              <w:bidi w:val="0"/>
              <w:adjustRightInd w:val="0"/>
              <w:snapToGrid w:val="0"/>
              <w:spacing w:line="240" w:lineRule="auto"/>
              <w:jc w:val="center"/>
              <w:textAlignment w:val="auto"/>
              <w:rPr>
                <w:rFonts w:hint="default" w:ascii="Times New Roman" w:hAnsi="Times New Roman" w:cs="Times New Roman" w:eastAsiaTheme="minorEastAsia"/>
                <w:b/>
                <w:color w:val="auto"/>
                <w:kern w:val="10"/>
                <w:sz w:val="21"/>
                <w:szCs w:val="21"/>
              </w:rPr>
            </w:pPr>
            <w:r>
              <w:rPr>
                <w:rFonts w:hint="default" w:ascii="Times New Roman" w:hAnsi="Times New Roman" w:cs="Times New Roman" w:eastAsiaTheme="minorEastAsia"/>
                <w:b/>
                <w:color w:val="auto"/>
                <w:kern w:val="10"/>
                <w:sz w:val="21"/>
                <w:szCs w:val="21"/>
              </w:rPr>
              <w:t>序号</w:t>
            </w:r>
          </w:p>
        </w:tc>
        <w:tc>
          <w:tcPr>
            <w:tcW w:w="43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kern w:val="10"/>
                <w:sz w:val="21"/>
                <w:szCs w:val="21"/>
              </w:rPr>
              <w:t>检查项目</w:t>
            </w:r>
          </w:p>
        </w:tc>
        <w:tc>
          <w:tcPr>
            <w:tcW w:w="862" w:type="dxa"/>
            <w:vAlign w:val="center"/>
          </w:tcPr>
          <w:p>
            <w:pPr>
              <w:pStyle w:val="60"/>
              <w:pageBreakBefore w:val="0"/>
              <w:numPr>
                <w:ilvl w:val="0"/>
                <w:numId w:val="0"/>
              </w:numPr>
              <w:tabs>
                <w:tab w:val="clear" w:pos="567"/>
              </w:tabs>
              <w:kinsoku/>
              <w:wordWrap/>
              <w:topLinePunct w:val="0"/>
              <w:bidi w:val="0"/>
              <w:adjustRightInd w:val="0"/>
              <w:snapToGrid w:val="0"/>
              <w:spacing w:line="240" w:lineRule="auto"/>
              <w:jc w:val="center"/>
              <w:textAlignment w:val="auto"/>
              <w:rPr>
                <w:rFonts w:hint="default" w:ascii="Times New Roman" w:hAnsi="Times New Roman" w:cs="Times New Roman" w:eastAsiaTheme="minorEastAsia"/>
                <w:b/>
                <w:color w:val="auto"/>
                <w:kern w:val="10"/>
                <w:sz w:val="21"/>
                <w:szCs w:val="21"/>
              </w:rPr>
            </w:pPr>
            <w:r>
              <w:rPr>
                <w:rFonts w:hint="default" w:ascii="Times New Roman" w:hAnsi="Times New Roman" w:cs="Times New Roman" w:eastAsiaTheme="minorEastAsia"/>
                <w:b/>
                <w:color w:val="auto"/>
                <w:kern w:val="10"/>
                <w:sz w:val="21"/>
                <w:szCs w:val="21"/>
              </w:rPr>
              <w:t>类别</w:t>
            </w:r>
          </w:p>
        </w:tc>
        <w:tc>
          <w:tcPr>
            <w:tcW w:w="2445" w:type="dxa"/>
            <w:vAlign w:val="center"/>
          </w:tcPr>
          <w:p>
            <w:pPr>
              <w:pStyle w:val="60"/>
              <w:pageBreakBefore w:val="0"/>
              <w:numPr>
                <w:ilvl w:val="0"/>
                <w:numId w:val="0"/>
              </w:numPr>
              <w:tabs>
                <w:tab w:val="clear" w:pos="567"/>
              </w:tabs>
              <w:kinsoku/>
              <w:wordWrap/>
              <w:topLinePunct w:val="0"/>
              <w:bidi w:val="0"/>
              <w:adjustRightInd w:val="0"/>
              <w:snapToGrid w:val="0"/>
              <w:spacing w:line="240" w:lineRule="auto"/>
              <w:jc w:val="center"/>
              <w:textAlignment w:val="auto"/>
              <w:rPr>
                <w:rFonts w:hint="default" w:ascii="Times New Roman" w:hAnsi="Times New Roman" w:cs="Times New Roman" w:eastAsiaTheme="minorEastAsia"/>
                <w:b/>
                <w:color w:val="auto"/>
                <w:kern w:val="10"/>
                <w:sz w:val="21"/>
                <w:szCs w:val="21"/>
              </w:rPr>
            </w:pPr>
            <w:r>
              <w:rPr>
                <w:rFonts w:hint="default" w:ascii="Times New Roman" w:hAnsi="Times New Roman" w:cs="Times New Roman" w:eastAsiaTheme="minorEastAsia"/>
                <w:b/>
                <w:color w:val="auto"/>
                <w:kern w:val="10"/>
                <w:sz w:val="21"/>
                <w:szCs w:val="21"/>
              </w:rPr>
              <w:t>检查记录</w:t>
            </w:r>
          </w:p>
        </w:tc>
        <w:tc>
          <w:tcPr>
            <w:tcW w:w="711" w:type="dxa"/>
            <w:vAlign w:val="center"/>
          </w:tcPr>
          <w:p>
            <w:pPr>
              <w:pStyle w:val="60"/>
              <w:pageBreakBefore w:val="0"/>
              <w:numPr>
                <w:ilvl w:val="0"/>
                <w:numId w:val="0"/>
              </w:numPr>
              <w:tabs>
                <w:tab w:val="clear" w:pos="567"/>
              </w:tabs>
              <w:kinsoku/>
              <w:wordWrap/>
              <w:topLinePunct w:val="0"/>
              <w:bidi w:val="0"/>
              <w:adjustRightInd w:val="0"/>
              <w:snapToGrid w:val="0"/>
              <w:spacing w:line="240" w:lineRule="auto"/>
              <w:jc w:val="center"/>
              <w:textAlignment w:val="auto"/>
              <w:rPr>
                <w:rFonts w:hint="default" w:ascii="Times New Roman" w:hAnsi="Times New Roman" w:cs="Times New Roman" w:eastAsiaTheme="minorEastAsia"/>
                <w:b/>
                <w:color w:val="auto"/>
                <w:kern w:val="10"/>
                <w:sz w:val="21"/>
                <w:szCs w:val="21"/>
              </w:rPr>
            </w:pPr>
            <w:r>
              <w:rPr>
                <w:rFonts w:hint="default" w:ascii="Times New Roman" w:hAnsi="Times New Roman" w:cs="Times New Roman" w:eastAsiaTheme="minorEastAsia"/>
                <w:b/>
                <w:color w:val="auto"/>
                <w:kern w:val="10"/>
                <w:sz w:val="21"/>
                <w:szCs w:val="21"/>
              </w:rPr>
              <w:t>结论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Align w:val="center"/>
          </w:tcPr>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1、</w:t>
            </w:r>
          </w:p>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制度规程</w:t>
            </w: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有各级各职能部门及各类人员的安全生产责任制；有健全的安全管理制度和岗位安全操作规程。</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445"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安全生产责任制、安全管理制度和操作规程较为完善</w:t>
            </w:r>
          </w:p>
        </w:tc>
        <w:tc>
          <w:tcPr>
            <w:tcW w:w="711"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Align w:val="center"/>
          </w:tcPr>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2、</w:t>
            </w:r>
          </w:p>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机构人员</w:t>
            </w: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按国家、省法律法规规定设置安全生产管理机构或者配备专职安全生产管理人员。</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445"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配备</w:t>
            </w:r>
            <w:r>
              <w:rPr>
                <w:rFonts w:hint="default" w:ascii="Times New Roman" w:hAnsi="Times New Roman" w:cs="Times New Roman" w:eastAsiaTheme="minorEastAsia"/>
                <w:color w:val="auto"/>
                <w:sz w:val="21"/>
                <w:szCs w:val="21"/>
              </w:rPr>
              <w:t>有</w:t>
            </w:r>
            <w:r>
              <w:rPr>
                <w:rFonts w:hint="default" w:ascii="Times New Roman" w:hAnsi="Times New Roman" w:cs="Times New Roman" w:eastAsiaTheme="minorEastAsia"/>
                <w:color w:val="auto"/>
                <w:sz w:val="21"/>
                <w:szCs w:val="21"/>
                <w:lang w:val="zh-CN"/>
              </w:rPr>
              <w:t>安全管理人员</w:t>
            </w:r>
            <w:r>
              <w:rPr>
                <w:rFonts w:hint="eastAsia"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rPr>
              <w:t>名</w:t>
            </w:r>
          </w:p>
        </w:tc>
        <w:tc>
          <w:tcPr>
            <w:tcW w:w="711"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restart"/>
            <w:vAlign w:val="center"/>
          </w:tcPr>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3、</w:t>
            </w:r>
          </w:p>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lang w:val="zh-CN"/>
              </w:rPr>
            </w:pPr>
            <w:r>
              <w:rPr>
                <w:rFonts w:hint="default" w:ascii="Times New Roman" w:hAnsi="Times New Roman" w:cs="Times New Roman" w:eastAsiaTheme="minorEastAsia"/>
                <w:color w:val="auto"/>
                <w:kern w:val="2"/>
                <w:sz w:val="21"/>
                <w:szCs w:val="21"/>
                <w:lang w:val="zh-CN"/>
              </w:rPr>
              <w:t>从业人员资格</w:t>
            </w: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单位主要负责人和安全生产管理人员经县级以上地方人民政府应急管理部门考核合格，取得上岗资格。</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A</w:t>
            </w:r>
          </w:p>
        </w:tc>
        <w:tc>
          <w:tcPr>
            <w:tcW w:w="2445"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eastAsia="zh-CN"/>
              </w:rPr>
            </w:pPr>
            <w:r>
              <w:rPr>
                <w:rFonts w:hint="default" w:ascii="Times New Roman" w:hAnsi="Times New Roman" w:cs="Times New Roman" w:eastAsiaTheme="minorEastAsia"/>
                <w:color w:val="auto"/>
                <w:sz w:val="21"/>
                <w:szCs w:val="21"/>
                <w:highlight w:val="none"/>
                <w:lang w:val="zh-CN"/>
              </w:rPr>
              <w:t>主要负责人</w:t>
            </w:r>
            <w:r>
              <w:rPr>
                <w:rFonts w:hint="eastAsia" w:cs="Times New Roman" w:eastAsiaTheme="minorEastAsia"/>
                <w:color w:val="auto"/>
                <w:sz w:val="21"/>
                <w:szCs w:val="21"/>
                <w:highlight w:val="none"/>
                <w:lang w:eastAsia="zh-CN"/>
              </w:rPr>
              <w:t>王凯，</w:t>
            </w:r>
            <w:r>
              <w:rPr>
                <w:rFonts w:hint="default" w:ascii="Times New Roman" w:hAnsi="Times New Roman" w:cs="Times New Roman" w:eastAsiaTheme="minorEastAsia"/>
                <w:color w:val="auto"/>
                <w:sz w:val="21"/>
                <w:szCs w:val="21"/>
                <w:highlight w:val="none"/>
                <w:lang w:val="zh-CN"/>
              </w:rPr>
              <w:t>安全管理人员</w:t>
            </w:r>
            <w:r>
              <w:rPr>
                <w:rFonts w:hint="eastAsia" w:cs="Times New Roman" w:eastAsiaTheme="minorEastAsia"/>
                <w:color w:val="auto"/>
                <w:sz w:val="21"/>
                <w:szCs w:val="21"/>
                <w:highlight w:val="none"/>
                <w:lang w:eastAsia="zh-CN"/>
              </w:rPr>
              <w:t>韩延方、许真真</w:t>
            </w:r>
            <w:r>
              <w:rPr>
                <w:rFonts w:hint="default" w:ascii="Times New Roman" w:hAnsi="Times New Roman" w:cs="Times New Roman" w:eastAsiaTheme="minorEastAsia"/>
                <w:color w:val="auto"/>
                <w:sz w:val="21"/>
                <w:szCs w:val="21"/>
                <w:highlight w:val="none"/>
                <w:lang w:val="zh-CN"/>
              </w:rPr>
              <w:t>取得</w:t>
            </w:r>
            <w:r>
              <w:rPr>
                <w:rFonts w:hint="default" w:ascii="Times New Roman" w:hAnsi="Times New Roman" w:cs="Times New Roman" w:eastAsiaTheme="minorEastAsia"/>
                <w:color w:val="auto"/>
                <w:sz w:val="21"/>
                <w:szCs w:val="21"/>
                <w:highlight w:val="none"/>
              </w:rPr>
              <w:t>安全合格证</w:t>
            </w:r>
            <w:r>
              <w:rPr>
                <w:rFonts w:hint="default" w:ascii="Times New Roman" w:hAnsi="Times New Roman" w:cs="Times New Roman" w:eastAsiaTheme="minorEastAsia"/>
                <w:color w:val="auto"/>
                <w:sz w:val="21"/>
                <w:szCs w:val="21"/>
                <w:highlight w:val="none"/>
                <w:lang w:eastAsia="zh-CN"/>
              </w:rPr>
              <w:t>。</w:t>
            </w:r>
          </w:p>
        </w:tc>
        <w:tc>
          <w:tcPr>
            <w:tcW w:w="711"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lang w:val="zh-CN"/>
              </w:rPr>
            </w:pP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特种作业人员经有关监督管理部门考核合格，取得上岗资格。</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不涉及特种作业人员</w:t>
            </w:r>
          </w:p>
        </w:tc>
        <w:tc>
          <w:tcPr>
            <w:tcW w:w="711"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lang w:val="zh-CN"/>
              </w:rPr>
            </w:pP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其他从业人员经本单位专业培训或委托专业培训，并经考核合格，取得上岗资格。</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2445"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其他从业人员</w:t>
            </w:r>
            <w:r>
              <w:rPr>
                <w:rFonts w:hint="default" w:ascii="Times New Roman" w:hAnsi="Times New Roman" w:cs="Times New Roman" w:eastAsiaTheme="minorEastAsia"/>
                <w:color w:val="auto"/>
                <w:sz w:val="21"/>
                <w:szCs w:val="21"/>
              </w:rPr>
              <w:t>单位内</w:t>
            </w:r>
            <w:r>
              <w:rPr>
                <w:rFonts w:hint="default" w:ascii="Times New Roman" w:hAnsi="Times New Roman" w:cs="Times New Roman" w:eastAsiaTheme="minorEastAsia"/>
                <w:color w:val="auto"/>
                <w:sz w:val="21"/>
                <w:szCs w:val="21"/>
                <w:lang w:val="zh-CN"/>
              </w:rPr>
              <w:t>培训合格</w:t>
            </w:r>
          </w:p>
        </w:tc>
        <w:tc>
          <w:tcPr>
            <w:tcW w:w="711"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restart"/>
            <w:vAlign w:val="center"/>
          </w:tcPr>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rPr>
              <w:t>4、</w:t>
            </w:r>
          </w:p>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2"/>
                <w:sz w:val="21"/>
                <w:szCs w:val="21"/>
              </w:rPr>
            </w:pPr>
            <w:r>
              <w:rPr>
                <w:rFonts w:hint="default" w:ascii="Times New Roman" w:hAnsi="Times New Roman" w:cs="Times New Roman" w:eastAsiaTheme="minorEastAsia"/>
                <w:color w:val="auto"/>
                <w:kern w:val="2"/>
                <w:sz w:val="21"/>
                <w:szCs w:val="21"/>
                <w:lang w:val="zh-CN"/>
              </w:rPr>
              <w:t>事故应急救援预案</w:t>
            </w: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按照国家安监局《危险化学品事故应急救援预案编制导则（单位版）》编制事故应急救援预案，并报设区的市级安监部门备案</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应急救援预案已备案</w:t>
            </w:r>
          </w:p>
        </w:tc>
        <w:tc>
          <w:tcPr>
            <w:tcW w:w="71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Style w:val="60"/>
              <w:pageBreakBefore w:val="0"/>
              <w:numPr>
                <w:ilvl w:val="0"/>
                <w:numId w:val="0"/>
              </w:numPr>
              <w:kinsoku/>
              <w:wordWrap/>
              <w:topLinePunct w:val="0"/>
              <w:bidi w:val="0"/>
              <w:adjustRightInd w:val="0"/>
              <w:snapToGrid w:val="0"/>
              <w:spacing w:line="240" w:lineRule="auto"/>
              <w:jc w:val="center"/>
              <w:rPr>
                <w:rFonts w:hint="default" w:ascii="Times New Roman" w:hAnsi="Times New Roman" w:cs="Times New Roman" w:eastAsiaTheme="minorEastAsia"/>
                <w:color w:val="auto"/>
                <w:kern w:val="10"/>
                <w:sz w:val="21"/>
                <w:szCs w:val="21"/>
              </w:rPr>
            </w:pP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有应急救援组织或者应急救援人员，配备必要的应急救援器材、设备。</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445"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有应急救援器材</w:t>
            </w:r>
          </w:p>
        </w:tc>
        <w:tc>
          <w:tcPr>
            <w:tcW w:w="711"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重大危险源管</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理</w:t>
            </w: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构成重大危险源的应当采取下列监控措施：</w:t>
            </w: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（1）建立运行管理档案，对运行情况进行全程监控；</w:t>
            </w: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（2）定期对设施、设备进行检测、检验；</w:t>
            </w: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（3）定期检查重大危险源的安全状态；</w:t>
            </w: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（4）制定专门的应急救援预案，定期组织应急救援演练。</w:t>
            </w: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应当至少每半年向应急管理部门和其他有关部门报告重大危险源监控措施的实施情况。</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未构成重大危险源</w:t>
            </w:r>
          </w:p>
        </w:tc>
        <w:tc>
          <w:tcPr>
            <w:tcW w:w="711"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restart"/>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6、</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基础</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资料</w:t>
            </w: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（1）新建、改建、扩建的加油站应有建设规划批文（或选址意见书）及土地使用手续。</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本项目为</w:t>
            </w:r>
            <w:r>
              <w:rPr>
                <w:rFonts w:hint="eastAsia" w:cs="Times New Roman" w:eastAsiaTheme="minorEastAsia"/>
                <w:color w:val="auto"/>
                <w:sz w:val="21"/>
                <w:szCs w:val="21"/>
                <w:lang w:eastAsia="zh-CN"/>
              </w:rPr>
              <w:t>扩容项目</w:t>
            </w:r>
            <w:r>
              <w:rPr>
                <w:rFonts w:hint="default" w:ascii="Times New Roman" w:hAnsi="Times New Roman" w:cs="Times New Roman" w:eastAsiaTheme="minorEastAsia"/>
                <w:color w:val="auto"/>
                <w:sz w:val="21"/>
                <w:szCs w:val="21"/>
              </w:rPr>
              <w:t>，具有相关手续</w:t>
            </w:r>
          </w:p>
        </w:tc>
        <w:tc>
          <w:tcPr>
            <w:tcW w:w="71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（2）新建、改建、扩建工程项目的安全设施，必须与主体工程同时设计、同时施工、同时投入生产和使用。</w:t>
            </w:r>
          </w:p>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设计、施工单位应具有相应资质,设计、施工、验收文件资料齐全。</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安全设施符合要求。设计及施工单位具有相关资质</w:t>
            </w:r>
          </w:p>
        </w:tc>
        <w:tc>
          <w:tcPr>
            <w:tcW w:w="71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（3）新建、改建、扩建的工程项目必须经公安消防部门验收合格。</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提供消防验收意见书</w:t>
            </w:r>
          </w:p>
        </w:tc>
        <w:tc>
          <w:tcPr>
            <w:tcW w:w="71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Merge w:val="continue"/>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（4）防雷、防静电设施应由有资质的部门出具检测合格报告。</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445" w:type="dxa"/>
            <w:vAlign w:val="center"/>
          </w:tcPr>
          <w:p>
            <w:pPr>
              <w:pageBreakBefore w:val="0"/>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有检验合格报告</w:t>
            </w:r>
          </w:p>
        </w:tc>
        <w:tc>
          <w:tcPr>
            <w:tcW w:w="71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90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7、</w:t>
            </w:r>
          </w:p>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安全标志</w:t>
            </w:r>
          </w:p>
        </w:tc>
        <w:tc>
          <w:tcPr>
            <w:tcW w:w="4358" w:type="dxa"/>
            <w:vAlign w:val="center"/>
          </w:tcPr>
          <w:p>
            <w:pPr>
              <w:pageBreakBefore w:val="0"/>
              <w:kinsoku/>
              <w:wordWrap/>
              <w:topLinePunct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安全警示标志符合要求；</w:t>
            </w:r>
          </w:p>
        </w:tc>
        <w:tc>
          <w:tcPr>
            <w:tcW w:w="86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B</w:t>
            </w:r>
          </w:p>
        </w:tc>
        <w:tc>
          <w:tcPr>
            <w:tcW w:w="2445" w:type="dxa"/>
            <w:vAlign w:val="center"/>
          </w:tcPr>
          <w:p>
            <w:pPr>
              <w:pageBreakBefore w:val="0"/>
              <w:kinsoku/>
              <w:wordWrap/>
              <w:topLinePunct w:val="0"/>
              <w:bidi w:val="0"/>
              <w:adjustRightInd w:val="0"/>
              <w:snapToGrid w:val="0"/>
              <w:spacing w:line="240" w:lineRule="auto"/>
              <w:ind w:firstLine="0" w:firstLineChars="0"/>
              <w:jc w:val="left"/>
              <w:rPr>
                <w:rFonts w:hint="eastAsia" w:ascii="Times New Roman" w:hAnsi="Times New Roman" w:cs="Times New Roman" w:eastAsiaTheme="minorEastAsia"/>
                <w:b w:val="0"/>
                <w:bCs w:val="0"/>
                <w:color w:val="auto"/>
                <w:sz w:val="21"/>
                <w:szCs w:val="21"/>
                <w:highlight w:val="none"/>
                <w:lang w:eastAsia="zh-CN"/>
              </w:rPr>
            </w:pPr>
            <w:r>
              <w:rPr>
                <w:rFonts w:hint="eastAsia" w:cs="Times New Roman" w:eastAsiaTheme="minorEastAsia"/>
                <w:b w:val="0"/>
                <w:bCs w:val="0"/>
                <w:color w:val="auto"/>
                <w:sz w:val="21"/>
                <w:szCs w:val="21"/>
                <w:highlight w:val="none"/>
                <w:lang w:eastAsia="zh-CN"/>
              </w:rPr>
              <w:t>储罐容积数量标识错误。</w:t>
            </w:r>
          </w:p>
        </w:tc>
        <w:tc>
          <w:tcPr>
            <w:tcW w:w="711"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val="0"/>
                <w:bCs w:val="0"/>
                <w:color w:val="auto"/>
                <w:sz w:val="21"/>
                <w:szCs w:val="21"/>
                <w:highlight w:val="none"/>
              </w:rPr>
            </w:pPr>
            <w:r>
              <w:rPr>
                <w:rFonts w:hint="eastAsia" w:cs="Times New Roman" w:eastAsiaTheme="minorEastAsia"/>
                <w:b w:val="0"/>
                <w:bCs w:val="0"/>
                <w:color w:val="auto"/>
                <w:sz w:val="21"/>
                <w:szCs w:val="21"/>
                <w:highlight w:val="none"/>
                <w:lang w:eastAsia="zh-CN"/>
              </w:rPr>
              <w:t>不</w:t>
            </w:r>
            <w:r>
              <w:rPr>
                <w:rFonts w:hint="default" w:ascii="Times New Roman" w:hAnsi="Times New Roman" w:cs="Times New Roman" w:eastAsiaTheme="minorEastAsia"/>
                <w:b w:val="0"/>
                <w:bCs w:val="0"/>
                <w:color w:val="auto"/>
                <w:sz w:val="21"/>
                <w:szCs w:val="21"/>
                <w:highlight w:val="none"/>
              </w:rPr>
              <w:t>符合</w:t>
            </w: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482"/>
        <w:jc w:val="center"/>
        <w:textAlignment w:val="auto"/>
        <w:outlineLvl w:val="2"/>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w:t>
      </w:r>
      <w:r>
        <w:rPr>
          <w:rFonts w:hint="default" w:ascii="Times New Roman" w:hAnsi="Times New Roman" w:cs="Times New Roman" w:eastAsiaTheme="minorEastAsia"/>
          <w:b/>
          <w:color w:val="auto"/>
          <w:sz w:val="24"/>
          <w:lang w:val="en-US" w:eastAsia="zh-CN"/>
        </w:rPr>
        <w:t>.1</w:t>
      </w:r>
      <w:r>
        <w:rPr>
          <w:rFonts w:hint="default" w:ascii="Times New Roman" w:hAnsi="Times New Roman" w:cs="Times New Roman" w:eastAsiaTheme="minorEastAsia"/>
          <w:b/>
          <w:color w:val="auto"/>
          <w:sz w:val="24"/>
        </w:rPr>
        <w:t>-2 站址选择及总平面布置检查表</w:t>
      </w:r>
    </w:p>
    <w:tbl>
      <w:tblPr>
        <w:tblStyle w:val="28"/>
        <w:tblW w:w="924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563"/>
        <w:gridCol w:w="4628"/>
        <w:gridCol w:w="676"/>
        <w:gridCol w:w="2710"/>
        <w:gridCol w:w="67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62" w:hRule="atLeast"/>
          <w:tblHeader/>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序号</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 查 内 容</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类别</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检查记录</w:t>
            </w:r>
          </w:p>
        </w:tc>
        <w:tc>
          <w:tcPr>
            <w:tcW w:w="672"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在城市建成区内不应建一级加油站。</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本加油站为</w:t>
            </w:r>
            <w:r>
              <w:rPr>
                <w:rFonts w:hint="eastAsia" w:cs="Times New Roman" w:eastAsiaTheme="minorEastAsia"/>
                <w:color w:val="auto"/>
                <w:sz w:val="21"/>
                <w:szCs w:val="21"/>
                <w:lang w:val="zh-CN"/>
              </w:rPr>
              <w:t>一</w:t>
            </w:r>
            <w:r>
              <w:rPr>
                <w:rFonts w:hint="default" w:ascii="Times New Roman" w:hAnsi="Times New Roman" w:cs="Times New Roman" w:eastAsiaTheme="minorEastAsia"/>
                <w:color w:val="auto"/>
                <w:sz w:val="21"/>
                <w:szCs w:val="21"/>
                <w:lang w:val="zh-CN"/>
              </w:rPr>
              <w:t>级站</w:t>
            </w:r>
            <w:r>
              <w:rPr>
                <w:rFonts w:hint="eastAsia" w:cs="Times New Roman" w:eastAsiaTheme="minorEastAsia"/>
                <w:color w:val="auto"/>
                <w:sz w:val="21"/>
                <w:szCs w:val="21"/>
                <w:lang w:val="zh-CN"/>
              </w:rPr>
              <w:t>，未建在城市建成区。</w:t>
            </w:r>
          </w:p>
        </w:tc>
        <w:tc>
          <w:tcPr>
            <w:tcW w:w="672"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加油站的油罐、加油机和通气管口与站外建、构筑物的防火距离不应小于GB50156表4.0.4、4.0.5的规定。</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rPr>
              <w:t>A</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zh-CN"/>
              </w:rPr>
              <w:t>符合要求，详见表</w:t>
            </w:r>
            <w:r>
              <w:rPr>
                <w:rFonts w:hint="default" w:ascii="Times New Roman" w:hAnsi="Times New Roman" w:cs="Times New Roman" w:eastAsiaTheme="minorEastAsia"/>
                <w:color w:val="auto"/>
                <w:sz w:val="21"/>
                <w:szCs w:val="21"/>
                <w:lang w:val="en-US" w:eastAsia="zh-CN"/>
              </w:rPr>
              <w:t>2.</w:t>
            </w:r>
            <w:r>
              <w:rPr>
                <w:rFonts w:hint="default" w:ascii="Times New Roman" w:hAnsi="Times New Roman" w:cs="Times New Roman" w:eastAsiaTheme="minorEastAsia"/>
                <w:color w:val="auto"/>
                <w:sz w:val="21"/>
                <w:szCs w:val="21"/>
                <w:lang w:val="zh-CN"/>
              </w:rPr>
              <w:t>2-</w:t>
            </w:r>
            <w:r>
              <w:rPr>
                <w:rFonts w:hint="eastAsia" w:cs="Times New Roman" w:eastAsiaTheme="minorEastAsia"/>
                <w:color w:val="auto"/>
                <w:sz w:val="21"/>
                <w:szCs w:val="21"/>
                <w:lang w:val="en-US" w:eastAsia="zh-CN"/>
              </w:rPr>
              <w:t>4</w:t>
            </w:r>
            <w:r>
              <w:rPr>
                <w:rFonts w:hint="eastAsia" w:cs="Times New Roman" w:eastAsiaTheme="minorEastAsia"/>
                <w:color w:val="auto"/>
                <w:sz w:val="21"/>
                <w:szCs w:val="21"/>
                <w:lang w:val="zh-CN"/>
              </w:rPr>
              <w:t>，</w:t>
            </w:r>
            <w:r>
              <w:rPr>
                <w:rFonts w:hint="eastAsia" w:cs="Times New Roman" w:eastAsiaTheme="minorEastAsia"/>
                <w:color w:val="auto"/>
                <w:sz w:val="21"/>
                <w:szCs w:val="21"/>
                <w:lang w:val="en-US" w:eastAsia="zh-CN"/>
              </w:rPr>
              <w:t>2.2-5。</w:t>
            </w:r>
          </w:p>
        </w:tc>
        <w:tc>
          <w:tcPr>
            <w:tcW w:w="67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按原《小型石油库及汽车加油站设计规范》GB50156—92建设的加油站在改造时，若经增加油气回收系统，其油罐、加油机和通气管管口与站外建、构筑物的防火间距仍不能满足要求时，则加油站的汽油罐应加装阻隔防爆装置。阻隔防爆装置的选用和安装，应当符合《汽车加油（气）站、轻质燃油和液化石油气汽车罐车用阻隔防爆储罐技术要求》AQ3001的规定。</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不涉及</w:t>
            </w:r>
          </w:p>
        </w:tc>
        <w:tc>
          <w:tcPr>
            <w:tcW w:w="67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bCs/>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加油站的工艺设施与站外建、构筑物之间的距离≤25m以及小于等于GB50156表4.0.4、4.0.5中防火距离的1.5倍时，相邻一侧应设置高度不低于2.2m的非燃烧实体围墙。</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加油站的工艺设施与站外建构筑物之间的距离大于GB50156-2002表4.0.4、4.0.5中防火距离的1.5倍且大于25m时，相邻一侧应设置隔离墙，隔离墙可为非实体围墙。</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pacing w:val="-4"/>
                <w:sz w:val="21"/>
                <w:szCs w:val="18"/>
              </w:rPr>
            </w:pPr>
            <w:r>
              <w:rPr>
                <w:rFonts w:hint="default" w:ascii="Times New Roman" w:hAnsi="Times New Roman" w:cs="Times New Roman" w:eastAsiaTheme="minorEastAsia"/>
                <w:color w:val="auto"/>
                <w:sz w:val="21"/>
              </w:rPr>
              <w:t>加油站</w:t>
            </w:r>
            <w:r>
              <w:rPr>
                <w:rFonts w:hint="default" w:ascii="Times New Roman" w:hAnsi="Times New Roman" w:cs="Times New Roman" w:eastAsiaTheme="minorEastAsia"/>
                <w:color w:val="auto"/>
                <w:sz w:val="21"/>
                <w:lang w:eastAsia="zh-CN"/>
              </w:rPr>
              <w:t>东侧</w:t>
            </w:r>
            <w:r>
              <w:rPr>
                <w:rFonts w:hint="default" w:ascii="Times New Roman" w:hAnsi="Times New Roman" w:cs="Times New Roman" w:eastAsiaTheme="minorEastAsia"/>
                <w:color w:val="auto"/>
                <w:sz w:val="21"/>
              </w:rPr>
              <w:t>设有2.2m非燃烧实体围墙</w:t>
            </w:r>
          </w:p>
        </w:tc>
        <w:tc>
          <w:tcPr>
            <w:tcW w:w="672"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5</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加油站内设施之间的防火距离，不应小于GB50156-2012表</w:t>
            </w:r>
            <w:r>
              <w:rPr>
                <w:rFonts w:hint="default" w:ascii="Times New Roman" w:hAnsi="Times New Roman" w:cs="Times New Roman" w:eastAsiaTheme="minorEastAsia"/>
                <w:color w:val="auto"/>
                <w:sz w:val="21"/>
                <w:szCs w:val="21"/>
              </w:rPr>
              <w:t>4.0.4</w:t>
            </w:r>
            <w:r>
              <w:rPr>
                <w:rFonts w:hint="default" w:ascii="Times New Roman" w:hAnsi="Times New Roman" w:cs="Times New Roman" w:eastAsiaTheme="minorEastAsia"/>
                <w:color w:val="auto"/>
                <w:sz w:val="21"/>
                <w:szCs w:val="21"/>
                <w:lang w:val="zh-CN"/>
              </w:rPr>
              <w:t>的规定。</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pacing w:val="-4"/>
                <w:sz w:val="21"/>
                <w:szCs w:val="18"/>
              </w:rPr>
              <w:t>符合要求，详见表2</w:t>
            </w:r>
            <w:r>
              <w:rPr>
                <w:rFonts w:hint="default" w:ascii="Times New Roman" w:hAnsi="Times New Roman" w:cs="Times New Roman" w:eastAsiaTheme="minorEastAsia"/>
                <w:color w:val="auto"/>
                <w:spacing w:val="-4"/>
                <w:sz w:val="21"/>
                <w:szCs w:val="18"/>
                <w:lang w:val="en-US" w:eastAsia="zh-CN"/>
              </w:rPr>
              <w:t>.3</w:t>
            </w:r>
            <w:r>
              <w:rPr>
                <w:rFonts w:hint="default" w:ascii="Times New Roman" w:hAnsi="Times New Roman" w:cs="Times New Roman" w:eastAsiaTheme="minorEastAsia"/>
                <w:color w:val="auto"/>
                <w:spacing w:val="-4"/>
                <w:sz w:val="21"/>
                <w:szCs w:val="18"/>
              </w:rPr>
              <w:t>-</w:t>
            </w:r>
            <w:r>
              <w:rPr>
                <w:rFonts w:hint="default" w:ascii="Times New Roman" w:hAnsi="Times New Roman" w:cs="Times New Roman" w:eastAsiaTheme="minorEastAsia"/>
                <w:color w:val="auto"/>
                <w:spacing w:val="-4"/>
                <w:sz w:val="21"/>
                <w:szCs w:val="18"/>
                <w:lang w:val="en-US" w:eastAsia="zh-CN"/>
              </w:rPr>
              <w:t>2</w:t>
            </w:r>
            <w:r>
              <w:rPr>
                <w:rFonts w:hint="eastAsia" w:cs="Times New Roman" w:eastAsiaTheme="minorEastAsia"/>
                <w:color w:val="auto"/>
                <w:spacing w:val="-4"/>
                <w:sz w:val="21"/>
                <w:szCs w:val="18"/>
                <w:lang w:val="en-US" w:eastAsia="zh-CN"/>
              </w:rPr>
              <w:t>。</w:t>
            </w:r>
          </w:p>
        </w:tc>
        <w:tc>
          <w:tcPr>
            <w:tcW w:w="67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pacing w:val="-24"/>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车辆出口与入口应分开设置。</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rPr>
              <w:t>车辆出入口分开设置</w:t>
            </w:r>
            <w:r>
              <w:rPr>
                <w:rFonts w:hint="eastAsia" w:cs="Times New Roman" w:eastAsiaTheme="minorEastAsia"/>
                <w:color w:val="auto"/>
                <w:sz w:val="21"/>
                <w:lang w:eastAsia="zh-CN"/>
              </w:rPr>
              <w:t>。</w:t>
            </w:r>
          </w:p>
        </w:tc>
        <w:tc>
          <w:tcPr>
            <w:tcW w:w="672"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7</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站内单车道宽度不应小于3.5m，双车道宽度不应小于6m，站内道路转弯半径不宜小于9m，道路的坡度不应大于6％。</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pacing w:val="-4"/>
                <w:sz w:val="21"/>
                <w:szCs w:val="18"/>
                <w:lang w:eastAsia="zh-CN"/>
              </w:rPr>
            </w:pPr>
            <w:r>
              <w:rPr>
                <w:rFonts w:hint="default" w:ascii="Times New Roman" w:hAnsi="Times New Roman" w:cs="Times New Roman" w:eastAsiaTheme="minorEastAsia"/>
                <w:color w:val="auto"/>
                <w:spacing w:val="-4"/>
                <w:sz w:val="21"/>
                <w:szCs w:val="18"/>
              </w:rPr>
              <w:t>站内道路符合标准</w:t>
            </w:r>
            <w:r>
              <w:rPr>
                <w:rFonts w:hint="eastAsia" w:cs="Times New Roman" w:eastAsiaTheme="minorEastAsia"/>
                <w:color w:val="auto"/>
                <w:spacing w:val="-4"/>
                <w:sz w:val="21"/>
                <w:szCs w:val="18"/>
                <w:lang w:eastAsia="zh-CN"/>
              </w:rPr>
              <w:t>。</w:t>
            </w:r>
          </w:p>
        </w:tc>
        <w:tc>
          <w:tcPr>
            <w:tcW w:w="67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8</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站内停车场和道路路面不应采用沥青路面。</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站内道路为</w:t>
            </w:r>
            <w:r>
              <w:rPr>
                <w:rFonts w:hint="default" w:ascii="Times New Roman" w:hAnsi="Times New Roman" w:cs="Times New Roman" w:eastAsiaTheme="minorEastAsia"/>
                <w:color w:val="auto"/>
                <w:sz w:val="21"/>
                <w:szCs w:val="21"/>
                <w:lang w:val="zh-CN"/>
              </w:rPr>
              <w:t>混凝土路面</w:t>
            </w:r>
            <w:r>
              <w:rPr>
                <w:rFonts w:hint="eastAsia" w:cs="Times New Roman" w:eastAsiaTheme="minorEastAsia"/>
                <w:color w:val="auto"/>
                <w:sz w:val="21"/>
                <w:szCs w:val="21"/>
                <w:lang w:val="zh-CN"/>
              </w:rPr>
              <w:t>。</w:t>
            </w:r>
          </w:p>
        </w:tc>
        <w:tc>
          <w:tcPr>
            <w:tcW w:w="672"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9</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加油场地及加油岛宜设置罩棚，罩棚应采用非燃烧材料制作，其有效高度不应小于4.5m。</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pacing w:val="-4"/>
                <w:kern w:val="0"/>
                <w:sz w:val="21"/>
                <w:szCs w:val="21"/>
                <w:lang w:val="zh-CN"/>
              </w:rPr>
            </w:pPr>
            <w:r>
              <w:rPr>
                <w:rFonts w:hint="default" w:ascii="Times New Roman" w:hAnsi="Times New Roman" w:cs="Times New Roman" w:eastAsiaTheme="minorEastAsia"/>
                <w:color w:val="auto"/>
                <w:spacing w:val="-4"/>
                <w:kern w:val="0"/>
                <w:sz w:val="21"/>
                <w:szCs w:val="21"/>
                <w:lang w:val="zh-CN"/>
              </w:rPr>
              <w:t>罩棚</w:t>
            </w:r>
            <w:r>
              <w:rPr>
                <w:rFonts w:hint="default" w:ascii="Times New Roman" w:hAnsi="Times New Roman" w:cs="Times New Roman" w:eastAsiaTheme="minorEastAsia"/>
                <w:color w:val="auto"/>
                <w:spacing w:val="-4"/>
                <w:sz w:val="21"/>
                <w:szCs w:val="21"/>
                <w:lang w:val="zh-CN"/>
              </w:rPr>
              <w:t>非燃烧材料制作</w:t>
            </w:r>
            <w:r>
              <w:rPr>
                <w:rFonts w:hint="eastAsia" w:cs="Times New Roman" w:eastAsiaTheme="minorEastAsia"/>
                <w:color w:val="auto"/>
                <w:spacing w:val="-4"/>
                <w:sz w:val="21"/>
                <w:szCs w:val="21"/>
                <w:lang w:val="zh-CN"/>
              </w:rPr>
              <w:t>，</w:t>
            </w:r>
            <w:r>
              <w:rPr>
                <w:rFonts w:hint="default" w:ascii="Times New Roman" w:hAnsi="Times New Roman" w:cs="Times New Roman" w:eastAsiaTheme="minorEastAsia"/>
                <w:color w:val="auto"/>
                <w:spacing w:val="-4"/>
                <w:kern w:val="0"/>
                <w:sz w:val="21"/>
                <w:szCs w:val="21"/>
                <w:lang w:val="zh-CN"/>
              </w:rPr>
              <w:t>高度为</w:t>
            </w:r>
            <w:r>
              <w:rPr>
                <w:rFonts w:hint="eastAsia" w:cs="Times New Roman" w:eastAsiaTheme="minorEastAsia"/>
                <w:color w:val="auto"/>
                <w:spacing w:val="-4"/>
                <w:kern w:val="0"/>
                <w:sz w:val="21"/>
                <w:szCs w:val="21"/>
                <w:lang w:val="en-US" w:eastAsia="zh-CN"/>
              </w:rPr>
              <w:t>8.5</w:t>
            </w:r>
            <w:r>
              <w:rPr>
                <w:rFonts w:hint="default" w:ascii="Times New Roman" w:hAnsi="Times New Roman" w:cs="Times New Roman" w:eastAsiaTheme="minorEastAsia"/>
                <w:color w:val="auto"/>
                <w:spacing w:val="-4"/>
                <w:kern w:val="0"/>
                <w:sz w:val="21"/>
                <w:szCs w:val="21"/>
                <w:lang w:val="zh-CN"/>
              </w:rPr>
              <w:t>m</w:t>
            </w:r>
            <w:r>
              <w:rPr>
                <w:rFonts w:hint="eastAsia" w:cs="Times New Roman" w:eastAsiaTheme="minorEastAsia"/>
                <w:color w:val="auto"/>
                <w:spacing w:val="-4"/>
                <w:kern w:val="0"/>
                <w:sz w:val="21"/>
                <w:szCs w:val="21"/>
                <w:lang w:val="zh-CN"/>
              </w:rPr>
              <w:t>。</w:t>
            </w:r>
          </w:p>
        </w:tc>
        <w:tc>
          <w:tcPr>
            <w:tcW w:w="672"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6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10</w:t>
            </w:r>
          </w:p>
        </w:tc>
        <w:tc>
          <w:tcPr>
            <w:tcW w:w="462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加油岛的设计应符合下列规定：</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(1)加油岛应高出停车场的地坪0.15～0.2m；</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(2)加油岛的宽度不应小于1.2m；</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(3)加油岛上的罩棚支柱距岛端部，不应小于0.6m。</w:t>
            </w:r>
          </w:p>
        </w:tc>
        <w:tc>
          <w:tcPr>
            <w:tcW w:w="676"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0"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lang w:eastAsia="zh-CN"/>
              </w:rPr>
            </w:pPr>
            <w:r>
              <w:rPr>
                <w:rFonts w:hint="default" w:ascii="Times New Roman" w:hAnsi="Times New Roman" w:cs="Times New Roman" w:eastAsiaTheme="minorEastAsia"/>
                <w:color w:val="auto"/>
                <w:sz w:val="21"/>
              </w:rPr>
              <w:t>加油岛高出地坪0.2m</w:t>
            </w:r>
            <w:r>
              <w:rPr>
                <w:rFonts w:hint="eastAsia" w:cs="Times New Roman" w:eastAsiaTheme="minorEastAsia"/>
                <w:color w:val="auto"/>
                <w:sz w:val="21"/>
                <w:lang w:eastAsia="zh-CN"/>
              </w:rPr>
              <w:t>，</w:t>
            </w:r>
            <w:r>
              <w:rPr>
                <w:rFonts w:hint="default" w:ascii="Times New Roman" w:hAnsi="Times New Roman" w:cs="Times New Roman" w:eastAsiaTheme="minorEastAsia"/>
                <w:color w:val="auto"/>
                <w:sz w:val="21"/>
              </w:rPr>
              <w:t>宽度为1.2m；罩棚支柱距岛末端</w:t>
            </w:r>
            <w:r>
              <w:rPr>
                <w:rFonts w:hint="eastAsia" w:cs="Times New Roman" w:eastAsiaTheme="minorEastAsia"/>
                <w:color w:val="auto"/>
                <w:sz w:val="21"/>
                <w:lang w:val="en-US" w:eastAsia="zh-CN"/>
              </w:rPr>
              <w:t>2.9</w:t>
            </w:r>
            <w:r>
              <w:rPr>
                <w:rFonts w:hint="default" w:ascii="Times New Roman" w:hAnsi="Times New Roman" w:cs="Times New Roman" w:eastAsiaTheme="minorEastAsia"/>
                <w:color w:val="auto"/>
                <w:sz w:val="21"/>
              </w:rPr>
              <w:t>m</w:t>
            </w:r>
            <w:r>
              <w:rPr>
                <w:rFonts w:hint="eastAsia" w:cs="Times New Roman" w:eastAsiaTheme="minorEastAsia"/>
                <w:color w:val="auto"/>
                <w:sz w:val="21"/>
                <w:lang w:eastAsia="zh-CN"/>
              </w:rPr>
              <w:t>。</w:t>
            </w:r>
          </w:p>
        </w:tc>
        <w:tc>
          <w:tcPr>
            <w:tcW w:w="672"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rPr>
            </w:pPr>
            <w:r>
              <w:rPr>
                <w:rFonts w:hint="default" w:ascii="Times New Roman" w:hAnsi="Times New Roman" w:cs="Times New Roman" w:eastAsiaTheme="minorEastAsia"/>
                <w:color w:val="auto"/>
                <w:sz w:val="21"/>
                <w:szCs w:val="21"/>
                <w:lang w:val="zh-CN"/>
              </w:rPr>
              <w:t>符合</w:t>
            </w: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482"/>
        <w:jc w:val="center"/>
        <w:textAlignment w:val="auto"/>
        <w:outlineLvl w:val="2"/>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附表4.1-3 加油工艺及设施检查表</w:t>
      </w:r>
    </w:p>
    <w:tbl>
      <w:tblPr>
        <w:tblStyle w:val="28"/>
        <w:tblW w:w="917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557"/>
        <w:gridCol w:w="4562"/>
        <w:gridCol w:w="688"/>
        <w:gridCol w:w="2714"/>
        <w:gridCol w:w="65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tblHeader/>
          <w:jc w:val="center"/>
        </w:trPr>
        <w:tc>
          <w:tcPr>
            <w:tcW w:w="557"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项目</w:t>
            </w: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 查 内 容</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类别</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检查记录</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restart"/>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p>
            <w:pPr>
              <w:pageBreakBefore w:val="0"/>
              <w:kinsoku/>
              <w:wordWrap/>
              <w:topLinePunct w:val="0"/>
              <w:autoSpaceDE w:val="0"/>
              <w:autoSpaceDN w:val="0"/>
              <w:bidi w:val="0"/>
              <w:adjustRightInd w:val="0"/>
              <w:snapToGrid w:val="0"/>
              <w:spacing w:line="240" w:lineRule="auto"/>
              <w:ind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储</w:t>
            </w:r>
          </w:p>
          <w:p>
            <w:pPr>
              <w:pageBreakBefore w:val="0"/>
              <w:kinsoku/>
              <w:wordWrap/>
              <w:topLinePunct w:val="0"/>
              <w:autoSpaceDE w:val="0"/>
              <w:autoSpaceDN w:val="0"/>
              <w:bidi w:val="0"/>
              <w:adjustRightInd w:val="0"/>
              <w:snapToGrid w:val="0"/>
              <w:spacing w:line="240" w:lineRule="auto"/>
              <w:ind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油</w:t>
            </w:r>
          </w:p>
          <w:p>
            <w:pPr>
              <w:pageBreakBefore w:val="0"/>
              <w:kinsoku/>
              <w:wordWrap/>
              <w:topLinePunct w:val="0"/>
              <w:autoSpaceDE w:val="0"/>
              <w:autoSpaceDN w:val="0"/>
              <w:bidi w:val="0"/>
              <w:adjustRightInd w:val="0"/>
              <w:snapToGrid w:val="0"/>
              <w:spacing w:line="240" w:lineRule="auto"/>
              <w:ind w:firstLineChars="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罐</w:t>
            </w: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(1)储油罐应采用卧式油罐。油罐的设计、建造和施工，应满足油罐在所承受外压作用下的强度要求，并有良好的防腐蚀性能和导静电性能。</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卧式埋地油罐</w:t>
            </w:r>
            <w:r>
              <w:rPr>
                <w:rFonts w:hint="eastAsia" w:cs="Times New Roman" w:eastAsiaTheme="minorEastAsia"/>
                <w:color w:val="auto"/>
                <w:sz w:val="21"/>
                <w:szCs w:val="21"/>
                <w:lang w:val="zh-CN"/>
              </w:rPr>
              <w:t>，</w:t>
            </w:r>
            <w:r>
              <w:rPr>
                <w:rFonts w:hint="default" w:ascii="Times New Roman" w:hAnsi="Times New Roman" w:cs="Times New Roman" w:eastAsiaTheme="minorEastAsia"/>
                <w:color w:val="auto"/>
                <w:sz w:val="21"/>
                <w:szCs w:val="21"/>
                <w:lang w:val="zh-CN"/>
              </w:rPr>
              <w:t>防腐蚀性能与导静电性能符合要求</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(2)加油站的汽油罐和柴油罐应埋地设置，严禁设在室内或地下室内。</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油罐在室外埋地设置</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(3)油罐设在非车行道下面时，罐顶的覆土厚度不应小于0.5m；设在车行道下面时，罐顶低于混凝土路面不宜小于0.9m。</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油罐设在</w:t>
            </w:r>
            <w:r>
              <w:rPr>
                <w:rFonts w:hint="eastAsia" w:cs="Times New Roman" w:eastAsiaTheme="minorEastAsia"/>
                <w:color w:val="auto"/>
                <w:sz w:val="21"/>
                <w:szCs w:val="21"/>
                <w:highlight w:val="none"/>
                <w:lang w:eastAsia="zh-CN"/>
              </w:rPr>
              <w:t>站区西侧</w:t>
            </w:r>
            <w:r>
              <w:rPr>
                <w:rFonts w:hint="default" w:ascii="Times New Roman" w:hAnsi="Times New Roman" w:cs="Times New Roman" w:eastAsiaTheme="minorEastAsia"/>
                <w:color w:val="auto"/>
                <w:sz w:val="21"/>
                <w:szCs w:val="21"/>
                <w:highlight w:val="none"/>
              </w:rPr>
              <w:t>，罐顶</w:t>
            </w:r>
            <w:r>
              <w:rPr>
                <w:rFonts w:hint="eastAsia" w:cs="Times New Roman" w:eastAsiaTheme="minorEastAsia"/>
                <w:color w:val="auto"/>
                <w:sz w:val="21"/>
                <w:szCs w:val="21"/>
                <w:highlight w:val="none"/>
                <w:lang w:eastAsia="zh-CN"/>
              </w:rPr>
              <w:t>覆土厚度不小于</w:t>
            </w:r>
            <w:r>
              <w:rPr>
                <w:rFonts w:hint="eastAsia" w:cs="Times New Roman" w:eastAsiaTheme="minorEastAsia"/>
                <w:color w:val="auto"/>
                <w:sz w:val="21"/>
                <w:szCs w:val="21"/>
                <w:highlight w:val="none"/>
                <w:lang w:val="en-US" w:eastAsia="zh-CN"/>
              </w:rPr>
              <w:t>0.5m。</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 油罐的量油孔应设带锁的量油帽、铜或铝等有色金属制作的尺槽。</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量油孔量油帽</w:t>
            </w:r>
            <w:r>
              <w:rPr>
                <w:rFonts w:hint="eastAsia" w:cs="Times New Roman" w:eastAsiaTheme="minorEastAsia"/>
                <w:color w:val="auto"/>
                <w:sz w:val="21"/>
                <w:szCs w:val="21"/>
                <w:lang w:val="zh-CN"/>
              </w:rPr>
              <w:t>未</w:t>
            </w:r>
            <w:r>
              <w:rPr>
                <w:rFonts w:hint="default" w:ascii="Times New Roman" w:hAnsi="Times New Roman" w:cs="Times New Roman" w:eastAsiaTheme="minorEastAsia"/>
                <w:color w:val="auto"/>
                <w:sz w:val="21"/>
                <w:szCs w:val="21"/>
                <w:lang w:val="zh-CN"/>
              </w:rPr>
              <w:t>带锁</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eastAsia" w:cs="Times New Roman" w:eastAsiaTheme="minorEastAsia"/>
                <w:color w:val="auto"/>
                <w:sz w:val="21"/>
                <w:szCs w:val="21"/>
                <w:lang w:val="zh-CN"/>
              </w:rPr>
              <w:t>不</w:t>
            </w: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(5) 建在水源保护区内以及建在地下建筑物上方的埋地油罐，应采取防渗漏扩散的保护措施，并设置渗漏检测设施。</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rPr>
              <w:t>未在水源保护区内</w:t>
            </w:r>
            <w:r>
              <w:rPr>
                <w:rFonts w:hint="eastAsia" w:cs="Times New Roman" w:eastAsiaTheme="minorEastAsia"/>
                <w:color w:val="auto"/>
                <w:sz w:val="21"/>
                <w:szCs w:val="21"/>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 油罐操作孔的盖板及翻起盖的螺杆轴要选用不产生火花材料或采取其他防止产生火花措施；油罐的各接合管应设在油罐的顶部，油罐的人孔应设操作井；油罐操作孔的上口边缘应高出周围地面20cm。</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zh-CN"/>
              </w:rPr>
              <w:t>操作井盖板</w:t>
            </w:r>
            <w:r>
              <w:rPr>
                <w:rFonts w:hint="eastAsia" w:cs="Times New Roman" w:eastAsiaTheme="minorEastAsia"/>
                <w:color w:val="auto"/>
                <w:sz w:val="21"/>
                <w:szCs w:val="21"/>
                <w:lang w:val="zh-CN"/>
              </w:rPr>
              <w:t>防</w:t>
            </w:r>
            <w:r>
              <w:rPr>
                <w:rFonts w:hint="default" w:ascii="Times New Roman" w:hAnsi="Times New Roman" w:cs="Times New Roman" w:eastAsiaTheme="minorEastAsia"/>
                <w:color w:val="auto"/>
                <w:sz w:val="21"/>
                <w:szCs w:val="21"/>
                <w:lang w:val="zh-CN"/>
              </w:rPr>
              <w:t>产生火花的材料</w:t>
            </w:r>
            <w:r>
              <w:rPr>
                <w:rFonts w:hint="eastAsia" w:cs="Times New Roman" w:eastAsiaTheme="minorEastAsia"/>
                <w:color w:val="auto"/>
                <w:sz w:val="21"/>
                <w:szCs w:val="21"/>
                <w:lang w:val="zh-CN"/>
              </w:rPr>
              <w:t>脱落</w:t>
            </w:r>
            <w:r>
              <w:rPr>
                <w:rFonts w:hint="default" w:ascii="Times New Roman" w:hAnsi="Times New Roman" w:cs="Times New Roman" w:eastAsiaTheme="minorEastAsia"/>
                <w:color w:val="auto"/>
                <w:sz w:val="21"/>
                <w:szCs w:val="21"/>
                <w:lang w:val="zh-CN"/>
              </w:rPr>
              <w:t>；</w:t>
            </w:r>
            <w:r>
              <w:rPr>
                <w:rFonts w:hint="default" w:ascii="Times New Roman" w:hAnsi="Times New Roman" w:cs="Times New Roman" w:eastAsiaTheme="minorEastAsia"/>
                <w:color w:val="auto"/>
                <w:sz w:val="21"/>
                <w:szCs w:val="21"/>
              </w:rPr>
              <w:t>油罐人孔设有操作井；</w:t>
            </w:r>
            <w:r>
              <w:rPr>
                <w:rFonts w:hint="eastAsia" w:cs="Times New Roman" w:eastAsiaTheme="minorEastAsia"/>
                <w:color w:val="auto"/>
                <w:sz w:val="21"/>
                <w:szCs w:val="21"/>
                <w:lang w:eastAsia="zh-CN"/>
              </w:rPr>
              <w:t>操油罐作孔上口边缘高出周围地面</w:t>
            </w:r>
            <w:r>
              <w:rPr>
                <w:rFonts w:hint="eastAsia" w:cs="Times New Roman" w:eastAsiaTheme="minorEastAsia"/>
                <w:color w:val="auto"/>
                <w:sz w:val="21"/>
                <w:szCs w:val="21"/>
                <w:lang w:val="en-US" w:eastAsia="zh-CN"/>
              </w:rPr>
              <w:t>20cm。</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eastAsia" w:cs="Times New Roman" w:eastAsiaTheme="minorEastAsia"/>
                <w:color w:val="auto"/>
                <w:sz w:val="21"/>
                <w:szCs w:val="21"/>
                <w:lang w:eastAsia="zh-CN"/>
              </w:rPr>
              <w:t>不</w:t>
            </w:r>
            <w:r>
              <w:rPr>
                <w:rFonts w:hint="default" w:ascii="Times New Roman" w:hAnsi="Times New Roman" w:cs="Times New Roman" w:eastAsiaTheme="minorEastAsia"/>
                <w:color w:val="auto"/>
                <w:sz w:val="21"/>
                <w:szCs w:val="21"/>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(7) 车用乙醇汽油储罐操作井口应设有防雨盖板；储罐人孔、量油孔、卸油快速接头、管线法兰处应密封良好，不得造成水汽侵入。</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不涉及</w:t>
            </w:r>
          </w:p>
        </w:tc>
        <w:tc>
          <w:tcPr>
            <w:tcW w:w="65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(8) 车用乙醇汽油储罐的操作井口应高于罐区地坪，操作井应采取防水措施，避免雨水渗入井内；罐区地坪应坡向罐区以外，不得积水。</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不涉及</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widowControl/>
              <w:kinsoku/>
              <w:wordWrap/>
              <w:topLinePunct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(9) 油罐进油管，应向下伸至罐内距罐底50mm～100mm处。</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油罐进油管，向下伸至罐内距罐底</w:t>
            </w:r>
            <w:r>
              <w:rPr>
                <w:rFonts w:hint="default" w:ascii="Times New Roman" w:hAnsi="Times New Roman" w:cs="Times New Roman" w:eastAsiaTheme="minorEastAsia"/>
                <w:color w:val="auto"/>
                <w:sz w:val="21"/>
                <w:szCs w:val="21"/>
                <w:lang w:val="en-US" w:eastAsia="zh-CN"/>
              </w:rPr>
              <w:t>100</w:t>
            </w:r>
            <w:r>
              <w:rPr>
                <w:rFonts w:hint="default" w:ascii="Times New Roman" w:hAnsi="Times New Roman" w:cs="Times New Roman" w:eastAsiaTheme="minorEastAsia"/>
                <w:color w:val="auto"/>
                <w:sz w:val="21"/>
                <w:szCs w:val="21"/>
                <w:lang w:val="zh-CN"/>
              </w:rPr>
              <w:t>mm处</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bCs/>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(10) 油罐应采取卸油时的防满溢措施。油料达到油罐容量</w:t>
            </w:r>
            <w:r>
              <w:rPr>
                <w:rFonts w:hint="default" w:ascii="Times New Roman" w:hAnsi="Times New Roman" w:cs="Times New Roman" w:eastAsiaTheme="minorEastAsia"/>
                <w:color w:val="auto"/>
                <w:sz w:val="21"/>
                <w:szCs w:val="21"/>
              </w:rPr>
              <w:t>90%时，应能触动高液位报警装置；油料达到油罐容量95%时，应能自动停止油料继续进罐。高液位报警装置应位于工作人员便于觉察的地点。</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rPr>
              <w:t>设有高液位报警器</w:t>
            </w:r>
            <w:r>
              <w:rPr>
                <w:rFonts w:hint="eastAsia" w:cs="Times New Roman" w:eastAsiaTheme="minorEastAsia"/>
                <w:color w:val="auto"/>
                <w:sz w:val="21"/>
                <w:szCs w:val="21"/>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restart"/>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 xml:space="preserve"> 2、</w:t>
            </w:r>
          </w:p>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工</w:t>
            </w:r>
          </w:p>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艺</w:t>
            </w:r>
          </w:p>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系</w:t>
            </w:r>
          </w:p>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统</w:t>
            </w: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(1)油罐车卸油必须采用密闭卸油方式。</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采取密闭卸油</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(2)油罐车卸油时用的卸油连通软管、油气回收连通软管，应采用导静电耐油软管。连通软管公称直径不应小于50mm。</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油罐车卸油采用导静电软管，且直径均大于50mm</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(3)加油站设置罐车卸油油气回收系统和汽车加油油气回收系统时，应满足GB50156-2012第6.1.14、6.3.4、6.3.6、6.3.10、6.3.14的要求。</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设置卸油油气回收系统和加油油气回收系统，符合要求</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(4)加油机不得设在室内。</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加油机</w:t>
            </w:r>
            <w:r>
              <w:rPr>
                <w:rFonts w:hint="default" w:ascii="Times New Roman" w:hAnsi="Times New Roman" w:cs="Times New Roman" w:eastAsiaTheme="minorEastAsia"/>
                <w:color w:val="auto"/>
                <w:sz w:val="21"/>
                <w:szCs w:val="21"/>
              </w:rPr>
              <w:t>设置于</w:t>
            </w:r>
            <w:r>
              <w:rPr>
                <w:rFonts w:hint="default" w:ascii="Times New Roman" w:hAnsi="Times New Roman" w:cs="Times New Roman" w:eastAsiaTheme="minorEastAsia"/>
                <w:color w:val="auto"/>
                <w:sz w:val="21"/>
                <w:szCs w:val="21"/>
                <w:lang w:val="zh-CN"/>
              </w:rPr>
              <w:t>室外</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(5)自吸式加油机应按加油品种单独设置进油管。</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rPr>
              <w:t>采用潜油泵，不涉及</w:t>
            </w:r>
            <w:r>
              <w:rPr>
                <w:rFonts w:hint="eastAsia" w:cs="Times New Roman" w:eastAsiaTheme="minorEastAsia"/>
                <w:color w:val="auto"/>
                <w:sz w:val="21"/>
                <w:szCs w:val="21"/>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rPr>
            </w:pPr>
            <w:r>
              <w:rPr>
                <w:rFonts w:hint="default" w:ascii="Times New Roman" w:hAnsi="Times New Roman" w:cs="Times New Roman" w:eastAsiaTheme="minorEastAsia"/>
                <w:bCs/>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(6)加油枪应采用自封式加油枪，流速应不大于50L/min,加油枪软管应加绕螺旋形金属丝作静电接地。</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加油枪已作静电接地</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shd w:val="clear" w:color="auto" w:fill="auto"/>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(7)加油站内的工艺管道除必须露出地面的以外，均应埋地敷设。当采用管沟敷设时，管沟必须用中性沙子或细土填满、填实。工艺管道不应穿过或跨越站房等与其无直接关系的建、构筑物；当油品管道与管沟、电缆沟、排水沟相交叉时，应采取相应的防护措施。</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工艺管道没有穿过建构筑物</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shd w:val="clear" w:color="auto" w:fill="auto"/>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(8)油罐的通气管的设置，除应符合GB50156-2012第6.3.8、6.3.9、6.3.10、6.3.11条的规定外，还应符合下列规定：</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a汽油罐与柴油罐的通气管应分开设置；</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b管口应高出地面4m及以上；</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c沿建筑物的墙(柱)向上敷设的通气管管口，应高出建筑物顶面1.5m及以上；</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d通气管公称直径不应小于50mm；</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e通气管管口应安装阻火器；</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f当加油站采用油气回收系统时，汽油罐的通气管管口除应设阻火器外，尚应装设呼吸阀。</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A</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汽油罐与柴油罐的通气管分开设置，管口高出地面</w:t>
            </w:r>
            <w:r>
              <w:rPr>
                <w:rFonts w:hint="default" w:ascii="Times New Roman" w:hAnsi="Times New Roman" w:cs="Times New Roman" w:eastAsiaTheme="minorEastAsia"/>
                <w:color w:val="auto"/>
                <w:sz w:val="21"/>
                <w:szCs w:val="21"/>
                <w:lang w:val="en-US" w:eastAsia="zh-CN"/>
              </w:rPr>
              <w:t>4m</w:t>
            </w:r>
            <w:r>
              <w:rPr>
                <w:rFonts w:hint="default" w:ascii="Times New Roman" w:hAnsi="Times New Roman" w:cs="Times New Roman" w:eastAsiaTheme="minorEastAsia"/>
                <w:color w:val="auto"/>
                <w:sz w:val="21"/>
                <w:szCs w:val="21"/>
                <w:lang w:eastAsia="zh-CN"/>
              </w:rPr>
              <w:t>以上，</w:t>
            </w:r>
            <w:r>
              <w:rPr>
                <w:rFonts w:hint="default" w:ascii="Times New Roman" w:hAnsi="Times New Roman" w:cs="Times New Roman" w:eastAsiaTheme="minorEastAsia"/>
                <w:bCs/>
                <w:color w:val="auto"/>
                <w:sz w:val="21"/>
                <w:szCs w:val="21"/>
                <w:lang w:val="zh-CN"/>
              </w:rPr>
              <w:t>通气管公称直径</w:t>
            </w:r>
            <w:r>
              <w:rPr>
                <w:rFonts w:hint="eastAsia" w:cs="Times New Roman" w:eastAsiaTheme="minorEastAsia"/>
                <w:bCs/>
                <w:color w:val="auto"/>
                <w:sz w:val="21"/>
                <w:szCs w:val="21"/>
                <w:lang w:val="en-US" w:eastAsia="zh-CN"/>
              </w:rPr>
              <w:t>5</w:t>
            </w:r>
            <w:r>
              <w:rPr>
                <w:rFonts w:hint="default" w:ascii="Times New Roman" w:hAnsi="Times New Roman" w:cs="Times New Roman" w:eastAsiaTheme="minorEastAsia"/>
                <w:bCs/>
                <w:color w:val="auto"/>
                <w:sz w:val="21"/>
                <w:szCs w:val="21"/>
              </w:rPr>
              <w:t>0</w:t>
            </w:r>
            <w:r>
              <w:rPr>
                <w:rFonts w:hint="default" w:ascii="Times New Roman" w:hAnsi="Times New Roman" w:cs="Times New Roman" w:eastAsiaTheme="minorEastAsia"/>
                <w:bCs/>
                <w:color w:val="auto"/>
                <w:sz w:val="21"/>
                <w:szCs w:val="21"/>
                <w:lang w:val="zh-CN"/>
              </w:rPr>
              <w:t>mm，</w:t>
            </w:r>
            <w:r>
              <w:rPr>
                <w:rFonts w:hint="default" w:ascii="Times New Roman" w:hAnsi="Times New Roman" w:cs="Times New Roman" w:eastAsiaTheme="minorEastAsia"/>
                <w:color w:val="auto"/>
                <w:sz w:val="21"/>
                <w:szCs w:val="21"/>
                <w:lang w:val="zh-CN"/>
              </w:rPr>
              <w:t>通气管管口已安装阻火器，汽油通气管安装带阻火器的机械呼吸阀。</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57"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456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(9)未设油气回收系统的车用乙醇汽油加油站，油罐的通气管应加装干燥装置，干燥装置应安装在便于观察和更换干燥剂的位置。</w:t>
            </w:r>
          </w:p>
        </w:tc>
        <w:tc>
          <w:tcPr>
            <w:tcW w:w="68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lang w:val="zh-CN"/>
              </w:rPr>
              <w:t>B</w:t>
            </w:r>
          </w:p>
        </w:tc>
        <w:tc>
          <w:tcPr>
            <w:tcW w:w="2714"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rPr>
              <w:t>不涉及</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Cs/>
                <w:color w:val="auto"/>
                <w:sz w:val="21"/>
                <w:szCs w:val="21"/>
                <w:lang w:val="zh-CN"/>
              </w:rPr>
            </w:pPr>
            <w:r>
              <w:rPr>
                <w:rFonts w:hint="default" w:ascii="Times New Roman" w:hAnsi="Times New Roman" w:cs="Times New Roman" w:eastAsiaTheme="minorEastAsia"/>
                <w:color w:val="auto"/>
                <w:sz w:val="21"/>
                <w:szCs w:val="21"/>
              </w:rPr>
              <w:t>--</w:t>
            </w: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482"/>
        <w:jc w:val="center"/>
        <w:textAlignment w:val="auto"/>
        <w:outlineLvl w:val="2"/>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 xml:space="preserve">附表4.1-4 </w:t>
      </w:r>
      <w:r>
        <w:rPr>
          <w:rFonts w:hint="eastAsia" w:cs="Times New Roman" w:eastAsiaTheme="minorEastAsia"/>
          <w:b/>
          <w:color w:val="auto"/>
          <w:sz w:val="24"/>
          <w:lang w:val="en-US" w:eastAsia="zh-CN"/>
        </w:rPr>
        <w:t>公用辅助工程</w:t>
      </w:r>
      <w:r>
        <w:rPr>
          <w:rFonts w:hint="default" w:ascii="Times New Roman" w:hAnsi="Times New Roman" w:cs="Times New Roman" w:eastAsiaTheme="minorEastAsia"/>
          <w:b/>
          <w:color w:val="auto"/>
          <w:sz w:val="24"/>
        </w:rPr>
        <w:t>检查表</w:t>
      </w:r>
    </w:p>
    <w:tbl>
      <w:tblPr>
        <w:tblStyle w:val="28"/>
        <w:tblW w:w="917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588"/>
        <w:gridCol w:w="5532"/>
        <w:gridCol w:w="698"/>
        <w:gridCol w:w="1703"/>
        <w:gridCol w:w="65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86" w:hRule="atLeast"/>
          <w:tblHeader/>
          <w:jc w:val="center"/>
        </w:trPr>
        <w:tc>
          <w:tcPr>
            <w:tcW w:w="588"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项目</w:t>
            </w: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 查 内 容</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类型</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检查记录</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lang w:val="zh-CN"/>
              </w:rPr>
            </w:pPr>
            <w:r>
              <w:rPr>
                <w:rFonts w:hint="default" w:ascii="Times New Roman" w:hAnsi="Times New Roman" w:cs="Times New Roman" w:eastAsiaTheme="minorEastAsia"/>
                <w:b/>
                <w:bCs/>
                <w:color w:val="auto"/>
                <w:sz w:val="21"/>
                <w:szCs w:val="21"/>
                <w:lang w:val="zh-CN"/>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1" w:hRule="atLeast"/>
          <w:jc w:val="center"/>
        </w:trPr>
        <w:tc>
          <w:tcPr>
            <w:tcW w:w="588" w:type="dxa"/>
            <w:vMerge w:val="restart"/>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电气</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装置</w:t>
            </w: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(1)加油站的消防泵房、罩棚、营业室，均应设事故照明。</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B</w:t>
            </w:r>
          </w:p>
        </w:tc>
        <w:tc>
          <w:tcPr>
            <w:tcW w:w="1703" w:type="dxa"/>
            <w:vAlign w:val="center"/>
          </w:tcPr>
          <w:p>
            <w:pPr>
              <w:pStyle w:val="25"/>
              <w:pageBreakBefore w:val="0"/>
              <w:kinsoku/>
              <w:wordWrap/>
              <w:topLinePunct w:val="0"/>
              <w:bidi w:val="0"/>
              <w:adjustRightInd w:val="0"/>
              <w:snapToGrid w:val="0"/>
              <w:jc w:val="left"/>
              <w:rPr>
                <w:rFonts w:hint="eastAsia" w:ascii="Times New Roman" w:hAnsi="Times New Roman" w:cs="Times New Roman" w:eastAsiaTheme="minorEastAsia"/>
                <w:b w:val="0"/>
                <w:bCs w:val="0"/>
                <w:color w:val="auto"/>
                <w:highlight w:val="none"/>
                <w:lang w:eastAsia="zh-CN"/>
              </w:rPr>
            </w:pPr>
            <w:r>
              <w:rPr>
                <w:rFonts w:hint="default" w:ascii="Times New Roman" w:hAnsi="Times New Roman" w:cs="Times New Roman"/>
                <w:b w:val="0"/>
                <w:bCs w:val="0"/>
                <w:color w:val="auto"/>
                <w:highlight w:val="none"/>
              </w:rPr>
              <w:t>加油站罩棚下</w:t>
            </w:r>
            <w:r>
              <w:rPr>
                <w:rFonts w:hint="default" w:ascii="Times New Roman" w:hAnsi="Times New Roman" w:cs="Times New Roman"/>
                <w:b w:val="0"/>
                <w:bCs w:val="0"/>
                <w:color w:val="auto"/>
                <w:highlight w:val="none"/>
                <w:lang w:eastAsia="zh-CN"/>
              </w:rPr>
              <w:t>、</w:t>
            </w:r>
            <w:r>
              <w:rPr>
                <w:rFonts w:hint="eastAsia" w:ascii="Times New Roman" w:hAnsi="Times New Roman" w:cs="Times New Roman"/>
                <w:b w:val="0"/>
                <w:bCs w:val="0"/>
                <w:color w:val="auto"/>
                <w:highlight w:val="none"/>
                <w:lang w:eastAsia="zh-CN"/>
              </w:rPr>
              <w:t>站房、配电室</w:t>
            </w:r>
            <w:r>
              <w:rPr>
                <w:rFonts w:hint="default" w:ascii="Times New Roman" w:hAnsi="Times New Roman" w:cs="Times New Roman"/>
                <w:b w:val="0"/>
                <w:bCs w:val="0"/>
                <w:color w:val="auto"/>
                <w:highlight w:val="none"/>
              </w:rPr>
              <w:t>设置事故照明</w:t>
            </w:r>
            <w:r>
              <w:rPr>
                <w:rFonts w:hint="eastAsia" w:ascii="Times New Roman" w:hAnsi="Times New Roman" w:cs="Times New Roman"/>
                <w:b w:val="0"/>
                <w:bCs w:val="0"/>
                <w:color w:val="auto"/>
                <w:highlight w:val="none"/>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val="0"/>
                <w:bCs w:val="0"/>
                <w:color w:val="auto"/>
                <w:sz w:val="21"/>
                <w:szCs w:val="21"/>
                <w:highlight w:val="none"/>
                <w:lang w:val="zh-CN"/>
              </w:rPr>
            </w:pPr>
            <w:r>
              <w:rPr>
                <w:rFonts w:hint="default" w:ascii="Times New Roman" w:hAnsi="Times New Roman" w:cs="Times New Roman" w:eastAsiaTheme="minorEastAsia"/>
                <w:b w:val="0"/>
                <w:bCs w:val="0"/>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1073"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(2)加油站设置的小型内燃发电机组，其内燃机的排烟管口应安装阻火器。排烟管口至各爆炸危险区域边界的水平距离应符合下列规定：</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a.排烟口高出地面4.5m以下时不应小于5m；</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b.排烟口高出地面4.5m及以上时不应小于3m；</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不涉及</w:t>
            </w:r>
          </w:p>
        </w:tc>
        <w:tc>
          <w:tcPr>
            <w:tcW w:w="65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599"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b w:val="0"/>
                <w:bCs w:val="0"/>
                <w:i w:val="0"/>
                <w:iCs w:val="0"/>
                <w:color w:val="auto"/>
                <w:sz w:val="21"/>
                <w:szCs w:val="21"/>
                <w:highlight w:val="none"/>
                <w:lang w:val="zh-CN"/>
              </w:rPr>
            </w:pPr>
            <w:r>
              <w:rPr>
                <w:rFonts w:hint="default" w:ascii="Times New Roman" w:hAnsi="Times New Roman" w:cs="Times New Roman" w:eastAsiaTheme="minorEastAsia"/>
                <w:b w:val="0"/>
                <w:bCs w:val="0"/>
                <w:i w:val="0"/>
                <w:iCs w:val="0"/>
                <w:color w:val="auto"/>
                <w:sz w:val="21"/>
                <w:szCs w:val="21"/>
                <w:highlight w:val="none"/>
                <w:lang w:val="zh-CN"/>
              </w:rPr>
              <w:t>(3)电气线路宜采用电缆并直埋敷设。电缆穿越行车道部分，应穿钢管保护。当采用电缆沟敷设电缆时，加油作业区内的电缆沟内必须充沙填实。电缆不得与油品、热力管道敷设在同一沟内。</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val="0"/>
                <w:bCs w:val="0"/>
                <w:i w:val="0"/>
                <w:iCs w:val="0"/>
                <w:color w:val="auto"/>
                <w:sz w:val="21"/>
                <w:szCs w:val="21"/>
                <w:highlight w:val="none"/>
                <w:lang w:val="zh-CN"/>
              </w:rPr>
            </w:pPr>
            <w:r>
              <w:rPr>
                <w:rFonts w:hint="default" w:ascii="Times New Roman" w:hAnsi="Times New Roman" w:cs="Times New Roman" w:eastAsiaTheme="minorEastAsia"/>
                <w:b w:val="0"/>
                <w:bCs w:val="0"/>
                <w:i w:val="0"/>
                <w:iCs w:val="0"/>
                <w:color w:val="auto"/>
                <w:sz w:val="21"/>
                <w:szCs w:val="21"/>
                <w:highlight w:val="none"/>
                <w:lang w:val="zh-CN"/>
              </w:rPr>
              <w:t>A</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b w:val="0"/>
                <w:bCs w:val="0"/>
                <w:i w:val="0"/>
                <w:iCs w:val="0"/>
                <w:color w:val="auto"/>
                <w:sz w:val="21"/>
                <w:szCs w:val="21"/>
                <w:highlight w:val="none"/>
                <w:lang w:eastAsia="zh-CN"/>
              </w:rPr>
            </w:pPr>
            <w:r>
              <w:rPr>
                <w:rFonts w:hint="default" w:ascii="Times New Roman" w:hAnsi="Times New Roman" w:cs="Times New Roman" w:eastAsiaTheme="minorEastAsia"/>
                <w:b w:val="0"/>
                <w:bCs w:val="0"/>
                <w:i w:val="0"/>
                <w:iCs w:val="0"/>
                <w:color w:val="auto"/>
                <w:sz w:val="21"/>
                <w:szCs w:val="21"/>
                <w:highlight w:val="none"/>
              </w:rPr>
              <w:t>加油机下部电缆沟</w:t>
            </w:r>
            <w:r>
              <w:rPr>
                <w:rFonts w:hint="default" w:ascii="Times New Roman" w:hAnsi="Times New Roman" w:cs="Times New Roman" w:eastAsiaTheme="minorEastAsia"/>
                <w:b w:val="0"/>
                <w:bCs w:val="0"/>
                <w:i w:val="0"/>
                <w:iCs w:val="0"/>
                <w:color w:val="auto"/>
                <w:sz w:val="21"/>
                <w:szCs w:val="21"/>
                <w:highlight w:val="none"/>
                <w:lang w:eastAsia="zh-CN"/>
              </w:rPr>
              <w:t>用沙</w:t>
            </w:r>
            <w:r>
              <w:rPr>
                <w:rFonts w:hint="default" w:ascii="Times New Roman" w:hAnsi="Times New Roman" w:cs="Times New Roman" w:eastAsiaTheme="minorEastAsia"/>
                <w:b w:val="0"/>
                <w:bCs w:val="0"/>
                <w:i w:val="0"/>
                <w:iCs w:val="0"/>
                <w:color w:val="auto"/>
                <w:sz w:val="21"/>
                <w:szCs w:val="21"/>
                <w:highlight w:val="none"/>
              </w:rPr>
              <w:t>填实</w:t>
            </w:r>
            <w:r>
              <w:rPr>
                <w:rFonts w:hint="eastAsia" w:cs="Times New Roman" w:eastAsiaTheme="minorEastAsia"/>
                <w:b w:val="0"/>
                <w:bCs w:val="0"/>
                <w:i w:val="0"/>
                <w:iCs w:val="0"/>
                <w:color w:val="auto"/>
                <w:sz w:val="21"/>
                <w:szCs w:val="21"/>
                <w:highlight w:val="none"/>
                <w:lang w:eastAsia="zh-CN"/>
              </w:rPr>
              <w:t>。</w:t>
            </w:r>
          </w:p>
        </w:tc>
        <w:tc>
          <w:tcPr>
            <w:tcW w:w="658" w:type="dxa"/>
            <w:vAlign w:val="center"/>
          </w:tcPr>
          <w:p>
            <w:pPr>
              <w:pageBreakBefore w:val="0"/>
              <w:kinsoku/>
              <w:wordWrap/>
              <w:topLinePunct w:val="0"/>
              <w:bidi w:val="0"/>
              <w:adjustRightInd w:val="0"/>
              <w:snapToGrid w:val="0"/>
              <w:spacing w:line="240" w:lineRule="auto"/>
              <w:ind w:firstLine="0" w:firstLineChars="0"/>
              <w:jc w:val="center"/>
              <w:rPr>
                <w:rFonts w:hint="default" w:ascii="Times New Roman" w:hAnsi="Times New Roman" w:cs="Times New Roman" w:eastAsiaTheme="minorEastAsia"/>
                <w:b w:val="0"/>
                <w:bCs w:val="0"/>
                <w:i w:val="0"/>
                <w:iCs w:val="0"/>
                <w:color w:val="auto"/>
                <w:sz w:val="21"/>
                <w:szCs w:val="21"/>
                <w:highlight w:val="none"/>
              </w:rPr>
            </w:pPr>
            <w:r>
              <w:rPr>
                <w:rFonts w:hint="default" w:ascii="Times New Roman" w:hAnsi="Times New Roman" w:cs="Times New Roman" w:eastAsiaTheme="minorEastAsia"/>
                <w:b w:val="0"/>
                <w:bCs w:val="0"/>
                <w:i w:val="0"/>
                <w:iCs w:val="0"/>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31"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(4)埋地钢制油罐以及非金属油罐顶部的金属部件和罐内的各金属部件，应与非埋地部分的工艺金属管道相互做电气连接并接地。</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油罐及工艺管道作电气连接并接地</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865"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(5)爆炸危险区域内的电气设备选型、安装、电力线路敷设等，应符合现行国家标准《爆炸危险环境电力装置设计规范》GB50058的规定。</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A</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both"/>
              <w:rPr>
                <w:rFonts w:hint="eastAsia" w:ascii="Times New Roman" w:hAnsi="Times New Roman" w:cs="Times New Roman" w:eastAsiaTheme="minorEastAsia"/>
                <w:b/>
                <w:bCs/>
                <w:color w:val="auto"/>
                <w:sz w:val="21"/>
                <w:szCs w:val="21"/>
                <w:highlight w:val="none"/>
                <w:lang w:val="zh-CN" w:eastAsia="zh-CN"/>
              </w:rPr>
            </w:pPr>
            <w:r>
              <w:rPr>
                <w:rFonts w:hint="eastAsia" w:cs="Times New Roman" w:eastAsiaTheme="minorEastAsia"/>
                <w:color w:val="auto"/>
                <w:sz w:val="21"/>
                <w:szCs w:val="21"/>
                <w:highlight w:val="none"/>
                <w:lang w:eastAsia="zh-CN"/>
              </w:rPr>
              <w:t>爆炸危险区域内电气设备</w:t>
            </w:r>
            <w:r>
              <w:rPr>
                <w:rFonts w:hint="default" w:ascii="Times New Roman" w:hAnsi="Times New Roman" w:cs="Times New Roman" w:eastAsiaTheme="minorEastAsia"/>
                <w:color w:val="auto"/>
                <w:sz w:val="21"/>
                <w:szCs w:val="21"/>
                <w:highlight w:val="none"/>
              </w:rPr>
              <w:t>防爆等级符合要求</w:t>
            </w:r>
            <w:r>
              <w:rPr>
                <w:rFonts w:hint="eastAsia" w:cs="Times New Roman" w:eastAsiaTheme="minorEastAsia"/>
                <w:color w:val="auto"/>
                <w:sz w:val="21"/>
                <w:szCs w:val="21"/>
                <w:highlight w:val="none"/>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b/>
                <w:bCs/>
                <w:color w:val="auto"/>
                <w:sz w:val="21"/>
                <w:szCs w:val="21"/>
                <w:highlight w:val="none"/>
              </w:rPr>
            </w:pPr>
            <w:r>
              <w:rPr>
                <w:rFonts w:hint="default" w:ascii="Times New Roman" w:hAnsi="Times New Roman" w:cs="Times New Roman" w:eastAsiaTheme="minorEastAsia"/>
                <w:b w:val="0"/>
                <w:bCs w:val="0"/>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879"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(6)加油站内爆炸危险区域以外的站房、罩棚等建筑物内的照明灯具，可选用非防爆型。罩棚下处于非爆炸危险区域的灯具，应选用防护等级不低于IP44级的照明灯具。</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罩棚内灯具符合要求</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585"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(7)独立的加油站或临近无高大建（构）筑物的加油站，应设可靠的的防雷设施，如站房及罩棚需要防直击雷时，应采用避雷带（网）保护。</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lang w:val="zh-CN"/>
              </w:rPr>
              <w:t>设防雷设施并</w:t>
            </w:r>
            <w:r>
              <w:rPr>
                <w:rFonts w:hint="default" w:ascii="Times New Roman" w:hAnsi="Times New Roman" w:cs="Times New Roman" w:eastAsiaTheme="minorEastAsia"/>
                <w:color w:val="auto"/>
                <w:sz w:val="21"/>
                <w:szCs w:val="21"/>
              </w:rPr>
              <w:t>已</w:t>
            </w:r>
            <w:r>
              <w:rPr>
                <w:rFonts w:hint="eastAsia" w:cs="Times New Roman" w:eastAsiaTheme="minorEastAsia"/>
                <w:color w:val="auto"/>
                <w:sz w:val="21"/>
                <w:szCs w:val="21"/>
                <w:lang w:eastAsia="zh-CN"/>
              </w:rPr>
              <w:t>检测</w:t>
            </w:r>
            <w:r>
              <w:rPr>
                <w:rFonts w:hint="default" w:ascii="Times New Roman" w:hAnsi="Times New Roman" w:cs="Times New Roman" w:eastAsiaTheme="minorEastAsia"/>
                <w:color w:val="auto"/>
                <w:sz w:val="21"/>
                <w:szCs w:val="21"/>
              </w:rPr>
              <w:t>合格</w:t>
            </w:r>
            <w:r>
              <w:rPr>
                <w:rFonts w:hint="eastAsia" w:cs="Times New Roman" w:eastAsiaTheme="minorEastAsia"/>
                <w:color w:val="auto"/>
                <w:sz w:val="21"/>
                <w:szCs w:val="21"/>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613"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(8)加油站应设汽油罐车卸车时用的防静电接地装置，并应设置能检测跨接线及监视接地装置状态的静电接地仪。</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A</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有静电接地装置</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61"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(9)其他防雷、防静电装置应符合GB50156-2012第11.2的要求。</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rPr>
              <w:t>油罐操作孔内管道法兰、通气管连接法兰已进行静电跨接</w:t>
            </w:r>
            <w:r>
              <w:rPr>
                <w:rFonts w:hint="eastAsia" w:cs="Times New Roman" w:eastAsiaTheme="minorEastAsia"/>
                <w:color w:val="auto"/>
                <w:sz w:val="21"/>
                <w:szCs w:val="21"/>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1308" w:hRule="atLeast"/>
          <w:jc w:val="center"/>
        </w:trPr>
        <w:tc>
          <w:tcPr>
            <w:tcW w:w="588" w:type="dxa"/>
            <w:vMerge w:val="restart"/>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 xml:space="preserve"> 2、</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消防</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设施</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及排</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水</w:t>
            </w: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(1)每2台加油机应设置不少于2具4kg手提式干粉灭火器或1具4kg手提式干粉灭火器和1具6L泡沫灭火器；加油机不足2台按2台计算。</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A</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每台加油机附近设置有2具</w:t>
            </w:r>
            <w:r>
              <w:rPr>
                <w:rFonts w:hint="default" w:ascii="Times New Roman" w:hAnsi="Times New Roman" w:cs="Times New Roman" w:eastAsiaTheme="minorEastAsia"/>
                <w:color w:val="auto"/>
                <w:sz w:val="21"/>
                <w:szCs w:val="21"/>
                <w:highlight w:val="none"/>
                <w:lang w:val="en-US"/>
              </w:rPr>
              <w:t>5</w:t>
            </w:r>
            <w:r>
              <w:rPr>
                <w:rFonts w:hint="default" w:ascii="Times New Roman" w:hAnsi="Times New Roman" w:cs="Times New Roman" w:eastAsiaTheme="minorEastAsia"/>
                <w:color w:val="auto"/>
                <w:sz w:val="21"/>
                <w:szCs w:val="21"/>
                <w:highlight w:val="none"/>
                <w:lang w:val="zh-CN"/>
              </w:rPr>
              <w:t>kg手提式干粉灭火器</w:t>
            </w:r>
            <w:r>
              <w:rPr>
                <w:rFonts w:hint="eastAsia" w:cs="Times New Roman" w:eastAsiaTheme="minorEastAsia"/>
                <w:color w:val="auto"/>
                <w:sz w:val="21"/>
                <w:szCs w:val="21"/>
                <w:highlight w:val="none"/>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613"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(2)地下储罐应配置</w:t>
            </w:r>
            <w:r>
              <w:rPr>
                <w:rFonts w:hint="default" w:ascii="Times New Roman" w:hAnsi="Times New Roman" w:cs="Times New Roman" w:eastAsiaTheme="minorEastAsia"/>
                <w:color w:val="auto"/>
                <w:sz w:val="21"/>
                <w:szCs w:val="21"/>
                <w:highlight w:val="none"/>
              </w:rPr>
              <w:t>1台不小于</w:t>
            </w:r>
            <w:r>
              <w:rPr>
                <w:rFonts w:hint="default" w:ascii="Times New Roman" w:hAnsi="Times New Roman" w:cs="Times New Roman" w:eastAsiaTheme="minorEastAsia"/>
                <w:color w:val="auto"/>
                <w:sz w:val="21"/>
                <w:szCs w:val="21"/>
                <w:highlight w:val="none"/>
                <w:lang w:val="zh-CN"/>
              </w:rPr>
              <w:t>35kg推车式干粉灭火器，当两种介质储罐之间的距离超过15m时，应分别设置。</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A</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eastAsiaTheme="minorEastAsia"/>
                <w:color w:val="auto"/>
                <w:sz w:val="21"/>
                <w:szCs w:val="21"/>
                <w:highlight w:val="none"/>
              </w:rPr>
              <w:t>35</w:t>
            </w:r>
            <w:r>
              <w:rPr>
                <w:rFonts w:hint="default" w:ascii="Times New Roman" w:hAnsi="Times New Roman" w:cs="Times New Roman" w:eastAsiaTheme="minorEastAsia"/>
                <w:color w:val="auto"/>
                <w:sz w:val="21"/>
                <w:szCs w:val="21"/>
                <w:highlight w:val="none"/>
                <w:lang w:val="zh-CN"/>
              </w:rPr>
              <w:t>kg推车式干粉灭火器</w:t>
            </w:r>
            <w:r>
              <w:rPr>
                <w:rFonts w:hint="eastAsia" w:cs="Times New Roman" w:eastAsiaTheme="minorEastAsia"/>
                <w:color w:val="auto"/>
                <w:sz w:val="21"/>
                <w:szCs w:val="21"/>
                <w:highlight w:val="none"/>
                <w:lang w:val="en-US" w:eastAsia="zh-CN"/>
              </w:rPr>
              <w:t>2</w:t>
            </w:r>
            <w:r>
              <w:rPr>
                <w:rFonts w:hint="default" w:ascii="Times New Roman" w:hAnsi="Times New Roman" w:cs="Times New Roman" w:eastAsiaTheme="minorEastAsia"/>
                <w:color w:val="auto"/>
                <w:sz w:val="21"/>
                <w:szCs w:val="21"/>
                <w:highlight w:val="none"/>
                <w:lang w:eastAsia="zh-CN"/>
              </w:rPr>
              <w:t>台</w:t>
            </w:r>
            <w:r>
              <w:rPr>
                <w:rFonts w:hint="eastAsia" w:cs="Times New Roman" w:eastAsiaTheme="minorEastAsia"/>
                <w:color w:val="auto"/>
                <w:sz w:val="21"/>
                <w:szCs w:val="21"/>
                <w:highlight w:val="none"/>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599"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(3)一、</w:t>
            </w:r>
            <w:r>
              <w:rPr>
                <w:rFonts w:hint="eastAsia" w:cs="Times New Roman" w:eastAsiaTheme="minorEastAsia"/>
                <w:color w:val="auto"/>
                <w:sz w:val="21"/>
                <w:szCs w:val="21"/>
                <w:highlight w:val="none"/>
                <w:lang w:val="zh-CN"/>
              </w:rPr>
              <w:t>一级加油站</w:t>
            </w:r>
            <w:r>
              <w:rPr>
                <w:rFonts w:hint="default" w:ascii="Times New Roman" w:hAnsi="Times New Roman" w:cs="Times New Roman" w:eastAsiaTheme="minorEastAsia"/>
                <w:color w:val="auto"/>
                <w:sz w:val="21"/>
                <w:szCs w:val="21"/>
                <w:highlight w:val="none"/>
                <w:lang w:val="zh-CN"/>
              </w:rPr>
              <w:t>应配置灭火毯5块,沙子2m³；三级加油站应配置灭火毯2块,沙子2m³。</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配备消防沙</w:t>
            </w:r>
            <w:r>
              <w:rPr>
                <w:rFonts w:hint="default" w:ascii="Times New Roman" w:hAnsi="Times New Roman" w:cs="Times New Roman" w:eastAsiaTheme="minorEastAsia"/>
                <w:color w:val="auto"/>
                <w:sz w:val="21"/>
                <w:szCs w:val="21"/>
                <w:highlight w:val="none"/>
              </w:rPr>
              <w:t>2</w:t>
            </w:r>
            <w:r>
              <w:rPr>
                <w:rFonts w:hint="default" w:ascii="Times New Roman" w:hAnsi="Times New Roman" w:cs="Times New Roman" w:eastAsiaTheme="minorEastAsia"/>
                <w:color w:val="auto"/>
                <w:sz w:val="21"/>
                <w:szCs w:val="21"/>
                <w:highlight w:val="none"/>
                <w:lang w:val="zh-CN"/>
              </w:rPr>
              <w:t>m³，灭火毯</w:t>
            </w:r>
            <w:r>
              <w:rPr>
                <w:rFonts w:hint="eastAsia" w:cs="Times New Roman" w:eastAsiaTheme="minorEastAsia"/>
                <w:color w:val="auto"/>
                <w:sz w:val="21"/>
                <w:szCs w:val="21"/>
                <w:highlight w:val="none"/>
                <w:lang w:val="en-US" w:eastAsia="zh-CN"/>
              </w:rPr>
              <w:t>12</w:t>
            </w:r>
            <w:r>
              <w:rPr>
                <w:rFonts w:hint="default" w:ascii="Times New Roman" w:hAnsi="Times New Roman" w:cs="Times New Roman" w:eastAsiaTheme="minorEastAsia"/>
                <w:color w:val="auto"/>
                <w:sz w:val="21"/>
                <w:szCs w:val="21"/>
                <w:highlight w:val="none"/>
                <w:lang w:val="zh-CN"/>
              </w:rPr>
              <w:t>块</w:t>
            </w:r>
            <w:r>
              <w:rPr>
                <w:rFonts w:hint="eastAsia" w:cs="Times New Roman" w:eastAsiaTheme="minorEastAsia"/>
                <w:color w:val="auto"/>
                <w:sz w:val="21"/>
                <w:szCs w:val="21"/>
                <w:highlight w:val="none"/>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highlight w:val="none"/>
                <w:lang w:val="zh-CN"/>
              </w:rPr>
            </w:pPr>
            <w:r>
              <w:rPr>
                <w:rFonts w:hint="default" w:ascii="Times New Roman" w:hAnsi="Times New Roman" w:cs="Times New Roman" w:eastAsiaTheme="minorEastAsia"/>
                <w:color w:val="auto"/>
                <w:sz w:val="21"/>
                <w:szCs w:val="21"/>
                <w:highlight w:val="none"/>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61"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(4)加油站的排水应符合GB50156-2012第10.3.</w:t>
            </w:r>
            <w:r>
              <w:rPr>
                <w:rFonts w:hint="default" w:ascii="Times New Roman" w:hAnsi="Times New Roman" w:cs="Times New Roman" w:eastAsiaTheme="minorEastAsia"/>
                <w:color w:val="auto"/>
                <w:sz w:val="21"/>
                <w:szCs w:val="21"/>
              </w:rPr>
              <w:t>2</w:t>
            </w:r>
            <w:r>
              <w:rPr>
                <w:rFonts w:hint="default" w:ascii="Times New Roman" w:hAnsi="Times New Roman" w:cs="Times New Roman" w:eastAsiaTheme="minorEastAsia"/>
                <w:color w:val="auto"/>
                <w:sz w:val="21"/>
                <w:szCs w:val="21"/>
                <w:lang w:val="zh-CN"/>
              </w:rPr>
              <w:t>条的规定。</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雨水散流排出</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893" w:hRule="atLeast"/>
          <w:jc w:val="center"/>
        </w:trPr>
        <w:tc>
          <w:tcPr>
            <w:tcW w:w="588" w:type="dxa"/>
            <w:vMerge w:val="restart"/>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 xml:space="preserve"> 3、</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建筑、</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采暖</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通风、</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绿</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化</w:t>
            </w: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(1)加油站内的站房及其它附属建筑物的耐火等级不应低于二级。当罩棚顶棚的承重构件为钢结构时，其耐火极限可为0.25h，顶棚其它部分不得采用燃烧体建造。</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站房耐火等级为二级，罩棚顶棚为非燃烧体建造</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0"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(2)加油站内不应建地下室和半地下室。</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均地上建筑</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690"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(3)站房可由办公室、值班室、营业室、控制室、变配电间、卫生间和便利店等组成。</w:t>
            </w:r>
          </w:p>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如设经营性的住宿、餐饮、娱乐、汽车服务等设施，不应布置在加油作业区内，其与站内可燃液体设备的防火间距，应符合</w:t>
            </w:r>
            <w:r>
              <w:rPr>
                <w:rFonts w:hint="default" w:ascii="Times New Roman" w:hAnsi="Times New Roman" w:cs="Times New Roman" w:eastAsiaTheme="minorEastAsia"/>
                <w:color w:val="auto"/>
                <w:sz w:val="21"/>
                <w:szCs w:val="21"/>
              </w:rPr>
              <w:t>GB50156-2012第4.0.4条至第4.0.9条有关三类保护物的规定。经营性餐饮、汽车服务等设施内设置明火设备时，则应视为“明火地点”或“散发火花地点”</w:t>
            </w:r>
            <w:r>
              <w:rPr>
                <w:rFonts w:hint="default" w:ascii="Times New Roman" w:hAnsi="Times New Roman" w:cs="Times New Roman" w:eastAsiaTheme="minorEastAsia"/>
                <w:color w:val="auto"/>
                <w:sz w:val="21"/>
                <w:szCs w:val="21"/>
                <w:lang w:val="zh-CN"/>
              </w:rPr>
              <w:t>。其中，对加油站内设置的燃煤设备不得按设置有油气回收系统折减距离。</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站房由</w:t>
            </w:r>
            <w:r>
              <w:rPr>
                <w:rFonts w:hint="eastAsia" w:cs="Times New Roman" w:eastAsiaTheme="minorEastAsia"/>
                <w:color w:val="auto"/>
                <w:sz w:val="21"/>
                <w:szCs w:val="21"/>
                <w:lang w:val="zh-CN"/>
              </w:rPr>
              <w:t>营业室、办公室</w:t>
            </w:r>
            <w:r>
              <w:rPr>
                <w:rFonts w:hint="default" w:ascii="Times New Roman" w:hAnsi="Times New Roman" w:cs="Times New Roman" w:eastAsiaTheme="minorEastAsia"/>
                <w:color w:val="auto"/>
                <w:sz w:val="21"/>
                <w:szCs w:val="21"/>
                <w:lang w:val="zh-CN"/>
              </w:rPr>
              <w:t>等组成</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03"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(4)爆炸危险区域内的房间应采取通风措施，并应符合GB50156-2012第12.1.4条规定。</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自然通风</w:t>
            </w:r>
            <w:r>
              <w:rPr>
                <w:rFonts w:hint="eastAsia" w:cs="Times New Roman" w:eastAsiaTheme="minorEastAsia"/>
                <w:color w:val="auto"/>
                <w:sz w:val="21"/>
                <w:szCs w:val="21"/>
                <w:lang w:val="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32"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(5)加油站内的采暖通风设施应符合GB50156-2012第12.1的要求。</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val="zh-CN" w:eastAsia="zh-CN"/>
              </w:rPr>
            </w:pPr>
            <w:r>
              <w:rPr>
                <w:rFonts w:hint="default" w:ascii="Times New Roman" w:hAnsi="Times New Roman" w:cs="Times New Roman" w:eastAsiaTheme="minorEastAsia"/>
                <w:color w:val="auto"/>
                <w:sz w:val="21"/>
                <w:szCs w:val="21"/>
              </w:rPr>
              <w:t>空调采暖</w:t>
            </w:r>
            <w:r>
              <w:rPr>
                <w:rFonts w:hint="eastAsia" w:cs="Times New Roman" w:eastAsiaTheme="minorEastAsia"/>
                <w:color w:val="auto"/>
                <w:sz w:val="21"/>
                <w:szCs w:val="21"/>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32" w:hRule="atLeast"/>
          <w:jc w:val="center"/>
        </w:trPr>
        <w:tc>
          <w:tcPr>
            <w:tcW w:w="588" w:type="dxa"/>
            <w:vMerge w:val="continue"/>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p>
        </w:tc>
        <w:tc>
          <w:tcPr>
            <w:tcW w:w="5532"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(6)加油站内不得种植油性植物。</w:t>
            </w:r>
          </w:p>
        </w:tc>
        <w:tc>
          <w:tcPr>
            <w:tcW w:w="69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B</w:t>
            </w:r>
          </w:p>
        </w:tc>
        <w:tc>
          <w:tcPr>
            <w:tcW w:w="1703" w:type="dxa"/>
            <w:vAlign w:val="center"/>
          </w:tcPr>
          <w:p>
            <w:pPr>
              <w:pageBreakBefore w:val="0"/>
              <w:kinsoku/>
              <w:wordWrap/>
              <w:topLinePunct w:val="0"/>
              <w:autoSpaceDE w:val="0"/>
              <w:autoSpaceDN w:val="0"/>
              <w:bidi w:val="0"/>
              <w:adjustRightInd w:val="0"/>
              <w:snapToGrid w:val="0"/>
              <w:spacing w:line="240" w:lineRule="auto"/>
              <w:ind w:firstLine="0" w:firstLineChars="0"/>
              <w:jc w:val="left"/>
              <w:rPr>
                <w:rFonts w:hint="eastAsia"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rPr>
              <w:t>未种植油性植物</w:t>
            </w:r>
            <w:r>
              <w:rPr>
                <w:rFonts w:hint="eastAsia" w:cs="Times New Roman" w:eastAsiaTheme="minorEastAsia"/>
                <w:color w:val="auto"/>
                <w:sz w:val="21"/>
                <w:szCs w:val="21"/>
                <w:lang w:eastAsia="zh-CN"/>
              </w:rPr>
              <w:t>。</w:t>
            </w:r>
          </w:p>
        </w:tc>
        <w:tc>
          <w:tcPr>
            <w:tcW w:w="658" w:type="dxa"/>
            <w:vAlign w:val="center"/>
          </w:tcPr>
          <w:p>
            <w:pPr>
              <w:pageBreakBefore w:val="0"/>
              <w:kinsoku/>
              <w:wordWrap/>
              <w:topLinePunct w:val="0"/>
              <w:autoSpaceDE w:val="0"/>
              <w:autoSpaceDN w:val="0"/>
              <w:bidi w:val="0"/>
              <w:adjustRightInd w:val="0"/>
              <w:snapToGrid w:val="0"/>
              <w:spacing w:line="240" w:lineRule="auto"/>
              <w:ind w:firstLine="0" w:firstLineChars="0"/>
              <w:jc w:val="center"/>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符合</w:t>
            </w:r>
          </w:p>
        </w:tc>
      </w:tr>
    </w:tbl>
    <w:p>
      <w:pPr>
        <w:pageBreakBefore w:val="0"/>
        <w:kinsoku/>
        <w:wordWrap/>
        <w:topLinePunct w:val="0"/>
        <w:bidi w:val="0"/>
        <w:adjustRightInd w:val="0"/>
        <w:snapToGrid w:val="0"/>
        <w:spacing w:line="240" w:lineRule="auto"/>
        <w:ind w:firstLine="420"/>
        <w:rPr>
          <w:rFonts w:hint="default" w:ascii="Times New Roman" w:hAnsi="Times New Roman" w:cs="Times New Roman" w:eastAsiaTheme="minorEastAsia"/>
          <w:color w:val="auto"/>
          <w:sz w:val="21"/>
          <w:szCs w:val="21"/>
          <w:lang w:val="zh-CN"/>
        </w:rPr>
      </w:pPr>
      <w:bookmarkStart w:id="208" w:name="_Toc333233452"/>
      <w:r>
        <w:rPr>
          <w:rFonts w:hint="default" w:ascii="Times New Roman" w:hAnsi="Times New Roman" w:cs="Times New Roman" w:eastAsiaTheme="minorEastAsia"/>
          <w:color w:val="auto"/>
          <w:sz w:val="21"/>
          <w:szCs w:val="21"/>
          <w:lang w:val="zh-CN"/>
        </w:rPr>
        <w:t>注：表中“结论”以合格、不合格来表示，不在本评价范围内的内容不评价。</w:t>
      </w:r>
    </w:p>
    <w:p>
      <w:pPr>
        <w:pageBreakBefore w:val="0"/>
        <w:kinsoku/>
        <w:wordWrap/>
        <w:topLinePunct w:val="0"/>
        <w:bidi w:val="0"/>
        <w:adjustRightInd w:val="0"/>
        <w:snapToGrid w:val="0"/>
        <w:spacing w:line="240" w:lineRule="auto"/>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（1）类别栏标注“A”的，属否决项；类别栏标注“B”的，属非否决项。标注“A（B）”的：属2002年7月1日以后新建（含就地或异地迁建）、改建、扩建的加油站按“A”；之前的按“B”。</w:t>
      </w:r>
    </w:p>
    <w:p>
      <w:pPr>
        <w:pageBreakBefore w:val="0"/>
        <w:kinsoku/>
        <w:wordWrap/>
        <w:topLinePunct w:val="0"/>
        <w:bidi w:val="0"/>
        <w:adjustRightInd w:val="0"/>
        <w:snapToGrid w:val="0"/>
        <w:spacing w:line="240" w:lineRule="auto"/>
        <w:ind w:firstLine="396"/>
        <w:rPr>
          <w:rFonts w:hint="default" w:ascii="Times New Roman" w:hAnsi="Times New Roman" w:cs="Times New Roman" w:eastAsiaTheme="minorEastAsia"/>
          <w:color w:val="auto"/>
          <w:spacing w:val="-6"/>
          <w:sz w:val="21"/>
          <w:szCs w:val="21"/>
          <w:lang w:val="zh-CN"/>
        </w:rPr>
      </w:pPr>
      <w:r>
        <w:rPr>
          <w:rFonts w:hint="default" w:ascii="Times New Roman" w:hAnsi="Times New Roman" w:cs="Times New Roman" w:eastAsiaTheme="minorEastAsia"/>
          <w:color w:val="auto"/>
          <w:spacing w:val="-6"/>
          <w:sz w:val="21"/>
          <w:szCs w:val="21"/>
          <w:lang w:val="zh-CN"/>
        </w:rPr>
        <w:t>（2）符合安全要求的条件：根据现场实际确定检查项目，检查结果全部合格。</w:t>
      </w:r>
    </w:p>
    <w:p>
      <w:pPr>
        <w:pageBreakBefore w:val="0"/>
        <w:kinsoku/>
        <w:wordWrap/>
        <w:topLinePunct w:val="0"/>
        <w:bidi w:val="0"/>
        <w:adjustRightInd w:val="0"/>
        <w:snapToGrid w:val="0"/>
        <w:spacing w:line="240" w:lineRule="auto"/>
        <w:ind w:firstLine="420"/>
        <w:rPr>
          <w:rFonts w:hint="default" w:ascii="Times New Roman" w:hAnsi="Times New Roman" w:cs="Times New Roman" w:eastAsiaTheme="minorEastAsia"/>
          <w:color w:val="auto"/>
          <w:sz w:val="21"/>
          <w:szCs w:val="21"/>
          <w:lang w:val="zh-CN"/>
        </w:rPr>
      </w:pPr>
      <w:r>
        <w:rPr>
          <w:rFonts w:hint="default" w:ascii="Times New Roman" w:hAnsi="Times New Roman" w:cs="Times New Roman" w:eastAsiaTheme="minorEastAsia"/>
          <w:color w:val="auto"/>
          <w:sz w:val="21"/>
          <w:szCs w:val="21"/>
          <w:lang w:val="zh-CN"/>
        </w:rPr>
        <w:t>（3）基本符合安全要求的条件是：根据现场实际确定的检查项目中，非否决项的检查结果5项（含5项）以内不合格，并且不超过实有非否决项总数的20%。</w:t>
      </w:r>
    </w:p>
    <w:p>
      <w:pPr>
        <w:pageBreakBefore w:val="0"/>
        <w:kinsoku/>
        <w:wordWrap/>
        <w:topLinePunct w:val="0"/>
        <w:bidi w:val="0"/>
        <w:adjustRightInd w:val="0"/>
        <w:snapToGrid w:val="0"/>
        <w:spacing w:line="240" w:lineRule="auto"/>
        <w:ind w:firstLine="420"/>
        <w:rPr>
          <w:rFonts w:hint="default" w:ascii="Times New Roman" w:hAnsi="Times New Roman" w:cs="Times New Roman"/>
          <w:b/>
          <w:bCs/>
          <w:color w:val="auto"/>
          <w:sz w:val="21"/>
          <w:szCs w:val="21"/>
        </w:rPr>
      </w:pPr>
      <w:r>
        <w:rPr>
          <w:rFonts w:hint="default" w:ascii="Times New Roman" w:hAnsi="Times New Roman" w:cs="Times New Roman" w:eastAsiaTheme="minorEastAsia"/>
          <w:color w:val="auto"/>
          <w:sz w:val="21"/>
          <w:szCs w:val="21"/>
          <w:lang w:val="zh-CN"/>
        </w:rPr>
        <w:t>（4）不符合安全要求的条件是：根据现场实际确定的检查项目中，有1项否决项不合格，或者非否决项的检查结果超过5项不合格，或者非否决项的检查结果未超过5项不合格、但超过实有非否决项总数的20%。</w:t>
      </w:r>
    </w:p>
    <w:p>
      <w:pPr>
        <w:pageBreakBefore w:val="0"/>
        <w:kinsoku/>
        <w:wordWrap/>
        <w:topLinePunct w:val="0"/>
        <w:bidi w:val="0"/>
        <w:adjustRightInd w:val="0"/>
        <w:snapToGrid w:val="0"/>
        <w:rPr>
          <w:rFonts w:hint="default" w:ascii="Times New Roman" w:hAnsi="Times New Roman" w:cs="Times New Roman" w:eastAsiaTheme="minorEastAsia"/>
          <w:color w:val="auto"/>
          <w:sz w:val="10"/>
          <w:szCs w:val="10"/>
        </w:rPr>
      </w:pPr>
    </w:p>
    <w:p>
      <w:pPr>
        <w:keepNext/>
        <w:keepLines/>
        <w:pageBreakBefore w:val="0"/>
        <w:widowControl/>
        <w:kinsoku/>
        <w:wordWrap/>
        <w:overflowPunct/>
        <w:topLinePunct w:val="0"/>
        <w:autoSpaceDE/>
        <w:autoSpaceDN/>
        <w:bidi w:val="0"/>
        <w:adjustRightInd w:val="0"/>
        <w:snapToGrid w:val="0"/>
        <w:ind w:firstLine="560"/>
        <w:jc w:val="both"/>
        <w:textAlignment w:val="auto"/>
        <w:outlineLvl w:val="9"/>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依据《汽车加油加气站设计与施工规范（2014版）》（GB50156-2012）、</w:t>
      </w:r>
      <w:r>
        <w:rPr>
          <w:rFonts w:hint="default" w:ascii="Times New Roman" w:hAnsi="Times New Roman" w:cs="Times New Roman" w:eastAsiaTheme="minorEastAsia"/>
          <w:color w:val="auto"/>
          <w:szCs w:val="28"/>
          <w:lang w:val="zh-CN"/>
        </w:rPr>
        <w:t>《东营市加油站安全生产规范提升指南（试行）》（东安监发[2018]73号）</w:t>
      </w:r>
      <w:r>
        <w:rPr>
          <w:rFonts w:hint="default" w:ascii="Times New Roman" w:hAnsi="Times New Roman" w:cs="Times New Roman" w:eastAsiaTheme="minorEastAsia"/>
          <w:color w:val="auto"/>
          <w:szCs w:val="28"/>
        </w:rPr>
        <w:t>的要求，对该加油站进行了以下检查。</w:t>
      </w:r>
    </w:p>
    <w:p>
      <w:pPr>
        <w:keepNext/>
        <w:keepLines/>
        <w:pageBreakBefore w:val="0"/>
        <w:widowControl/>
        <w:kinsoku/>
        <w:wordWrap/>
        <w:overflowPunct/>
        <w:topLinePunct w:val="0"/>
        <w:autoSpaceDE/>
        <w:autoSpaceDN/>
        <w:bidi w:val="0"/>
        <w:adjustRightInd w:val="0"/>
        <w:snapToGrid w:val="0"/>
        <w:ind w:firstLine="560"/>
        <w:jc w:val="center"/>
        <w:textAlignment w:val="auto"/>
        <w:outlineLvl w:val="2"/>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附表4.1-5 其他检查项检查表</w:t>
      </w:r>
    </w:p>
    <w:tbl>
      <w:tblPr>
        <w:tblStyle w:val="28"/>
        <w:tblW w:w="9179"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595"/>
        <w:gridCol w:w="3614"/>
        <w:gridCol w:w="2082"/>
        <w:gridCol w:w="2187"/>
        <w:gridCol w:w="70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tblHeader/>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项目</w:t>
            </w:r>
          </w:p>
        </w:tc>
        <w:tc>
          <w:tcPr>
            <w:tcW w:w="3614"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检 查 内 容</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依据标准</w:t>
            </w:r>
          </w:p>
        </w:tc>
        <w:tc>
          <w:tcPr>
            <w:tcW w:w="2187"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检查记录</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结论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一</w:t>
            </w:r>
          </w:p>
        </w:tc>
        <w:tc>
          <w:tcPr>
            <w:tcW w:w="8584" w:type="dxa"/>
            <w:gridSpan w:val="4"/>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储存设施与辅助设施</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rPr>
              <w:t>1</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加油站的汽油罐和柴油罐应埋地设置，严禁设在室内或地下室内。</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6.1.1</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储油罐室外埋地设置</w:t>
            </w:r>
            <w:r>
              <w:rPr>
                <w:rFonts w:hint="eastAsia" w:cs="Times New Roman"/>
                <w:color w:val="auto"/>
                <w:sz w:val="21"/>
                <w:szCs w:val="21"/>
                <w:lang w:val="zh-CN"/>
              </w:rPr>
              <w:t>。</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汽车加油站的储油罐，应采用卧式油罐。</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6.1.2</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储油罐为卧式油罐</w:t>
            </w:r>
            <w:r>
              <w:rPr>
                <w:rFonts w:hint="eastAsia" w:cs="Times New Roman"/>
                <w:color w:val="auto"/>
                <w:sz w:val="21"/>
                <w:szCs w:val="21"/>
                <w:lang w:val="zh-CN"/>
              </w:rPr>
              <w:t>。</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油罐应采用钢质人孔盖。</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6.1.9</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油罐采用钢制人孔盖</w:t>
            </w:r>
            <w:r>
              <w:rPr>
                <w:rFonts w:hint="eastAsia" w:cs="Times New Roman"/>
                <w:color w:val="auto"/>
                <w:sz w:val="21"/>
                <w:szCs w:val="21"/>
                <w:lang w:val="zh-CN"/>
              </w:rPr>
              <w:t>。</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当埋地油罐受地下水或雨水作用有上浮的可能时，应采取防止油罐上浮的措施。</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6.1.11</w:t>
            </w:r>
          </w:p>
        </w:tc>
        <w:tc>
          <w:tcPr>
            <w:tcW w:w="2187" w:type="dxa"/>
            <w:noWrap w:val="0"/>
            <w:vAlign w:val="center"/>
          </w:tcPr>
          <w:p>
            <w:pPr>
              <w:autoSpaceDE w:val="0"/>
              <w:autoSpaceDN w:val="0"/>
              <w:adjustRightInd w:val="0"/>
              <w:spacing w:line="240" w:lineRule="auto"/>
              <w:ind w:firstLine="0" w:firstLineChars="0"/>
              <w:jc w:val="left"/>
              <w:rPr>
                <w:rFonts w:hint="eastAsia"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rPr>
              <w:t>油罐</w:t>
            </w:r>
            <w:r>
              <w:rPr>
                <w:rFonts w:hint="default" w:ascii="Times New Roman" w:hAnsi="Times New Roman" w:eastAsia="宋体" w:cs="Times New Roman"/>
                <w:color w:val="auto"/>
                <w:sz w:val="21"/>
                <w:szCs w:val="21"/>
              </w:rPr>
              <w:t>周边用砂土填实</w:t>
            </w:r>
            <w:r>
              <w:rPr>
                <w:rFonts w:hint="eastAsia" w:cs="Times New Roman"/>
                <w:color w:val="auto"/>
                <w:sz w:val="21"/>
                <w:szCs w:val="21"/>
                <w:lang w:eastAsia="zh-CN"/>
              </w:rPr>
              <w:t>。</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埋地油罐的人孔应设操作井。设在行车道下面的人孔井应采用加油站车行道下专用的密闭井盖和井座。</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6.1.12</w:t>
            </w:r>
          </w:p>
        </w:tc>
        <w:tc>
          <w:tcPr>
            <w:tcW w:w="2187" w:type="dxa"/>
            <w:noWrap w:val="0"/>
            <w:vAlign w:val="center"/>
          </w:tcPr>
          <w:p>
            <w:pPr>
              <w:autoSpaceDE w:val="0"/>
              <w:autoSpaceDN w:val="0"/>
              <w:adjustRightInd w:val="0"/>
              <w:spacing w:line="240" w:lineRule="auto"/>
              <w:ind w:firstLine="0" w:firstLineChars="0"/>
              <w:jc w:val="left"/>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zh-CN"/>
              </w:rPr>
              <w:t>人孔设操作井，</w:t>
            </w:r>
            <w:r>
              <w:rPr>
                <w:rFonts w:hint="default" w:ascii="Times New Roman" w:hAnsi="Times New Roman" w:eastAsia="宋体" w:cs="Times New Roman"/>
                <w:color w:val="auto"/>
                <w:sz w:val="21"/>
                <w:szCs w:val="21"/>
              </w:rPr>
              <w:t>井盖及井座符合要求</w:t>
            </w:r>
            <w:r>
              <w:rPr>
                <w:rFonts w:hint="eastAsia" w:cs="Times New Roman"/>
                <w:color w:val="auto"/>
                <w:sz w:val="21"/>
                <w:szCs w:val="21"/>
                <w:lang w:eastAsia="zh-CN"/>
              </w:rPr>
              <w:t>。</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w:t>
            </w:r>
          </w:p>
        </w:tc>
        <w:tc>
          <w:tcPr>
            <w:tcW w:w="8584" w:type="dxa"/>
            <w:gridSpan w:val="4"/>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b/>
                <w:bCs/>
                <w:color w:val="auto"/>
                <w:sz w:val="21"/>
                <w:szCs w:val="21"/>
                <w:lang w:val="zh-CN"/>
              </w:rPr>
              <w:t>工艺管道</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每个油罐应各自设置卸油管道和卸油接口。各卸油接口及油气回收接口，应有明显的标识。</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6.3.2</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每个油罐各自设置卸油管道和卸油接口。各卸油接口及油气回收接口，有明显的标识。</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卸油接口应装设快速接头及密封盖。</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6.3.3</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卸油接口装设快速接头及密封盖。</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加油站采用卸油油气回收系统时，其设计应符合下列规定：</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1）汽油罐车向站内油罐卸油应采用平衡式密闭油气回收系统。</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2）各汽油罐可共用一根卸油油气回收主管，回收主管的公称直径不宜小于80mm。</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3）卸油油气回收管道的接口宜采用自闭式快速接头。采用非自闭式快速接头时，应在靠近快速接头的连接管道上装设阀门。</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6.3.4</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该加油站已设置符合要求的卸油油气回收系统。</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三</w:t>
            </w:r>
          </w:p>
        </w:tc>
        <w:tc>
          <w:tcPr>
            <w:tcW w:w="8584" w:type="dxa"/>
            <w:gridSpan w:val="4"/>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lang w:val="zh-CN"/>
              </w:rPr>
              <w:t>紧急切断</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加油加气站应设置紧急切断系统，该系统应能在事故状态下迅速切断加油泵的电源和关闭重要的LPG、CNG、LNG管道阀门。紧急切断系统应具有失效保护功能。</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11.5.1</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设置紧急切断系统。</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紧急切断系统应至少在下列位置设置启动开关：1）在加油现场工作人员容易接近的位置。2）在控制室或值班室内。</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11.5.3</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eastAsia" w:ascii="Times New Roman" w:hAnsi="Times New Roman" w:eastAsia="宋体" w:cs="Times New Roman"/>
                <w:color w:val="auto"/>
                <w:sz w:val="21"/>
                <w:szCs w:val="21"/>
                <w:lang w:val="zh-CN"/>
              </w:rPr>
              <w:t>站房</w:t>
            </w:r>
            <w:r>
              <w:rPr>
                <w:rFonts w:hint="default" w:ascii="Times New Roman" w:hAnsi="Times New Roman" w:eastAsia="宋体" w:cs="Times New Roman"/>
                <w:color w:val="auto"/>
                <w:sz w:val="21"/>
                <w:szCs w:val="21"/>
                <w:lang w:val="zh-CN"/>
              </w:rPr>
              <w:t>、加油</w:t>
            </w:r>
            <w:r>
              <w:rPr>
                <w:rFonts w:hint="eastAsia" w:ascii="Times New Roman" w:hAnsi="Times New Roman" w:eastAsia="宋体" w:cs="Times New Roman"/>
                <w:color w:val="auto"/>
                <w:sz w:val="21"/>
                <w:szCs w:val="21"/>
                <w:lang w:val="zh-CN"/>
              </w:rPr>
              <w:t>机</w:t>
            </w:r>
            <w:r>
              <w:rPr>
                <w:rFonts w:hint="default" w:ascii="Times New Roman" w:hAnsi="Times New Roman" w:eastAsia="宋体" w:cs="Times New Roman"/>
                <w:color w:val="auto"/>
                <w:sz w:val="21"/>
                <w:szCs w:val="21"/>
                <w:lang w:val="zh-CN"/>
              </w:rPr>
              <w:t>设置紧急切断开关。</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四</w:t>
            </w:r>
          </w:p>
        </w:tc>
        <w:tc>
          <w:tcPr>
            <w:tcW w:w="8584" w:type="dxa"/>
            <w:gridSpan w:val="4"/>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val="zh-CN"/>
              </w:rPr>
            </w:pPr>
            <w:r>
              <w:rPr>
                <w:rFonts w:hint="default" w:ascii="Times New Roman" w:hAnsi="Times New Roman" w:eastAsia="宋体" w:cs="Times New Roman"/>
                <w:b/>
                <w:bCs/>
                <w:color w:val="auto"/>
                <w:sz w:val="21"/>
                <w:szCs w:val="21"/>
              </w:rPr>
              <w:t>加油机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（1）加油站宜采用油罐装设潜油泵的一泵供多机（枪）的加油工艺。采用自吸式加油机时，每台加油机应按加油品种单独设置进油管和罐内底阀。</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6.3.5</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该加油站采用</w:t>
            </w:r>
            <w:r>
              <w:rPr>
                <w:rFonts w:hint="default" w:ascii="Times New Roman" w:hAnsi="Times New Roman" w:eastAsia="宋体" w:cs="Times New Roman"/>
                <w:color w:val="auto"/>
                <w:sz w:val="21"/>
                <w:szCs w:val="21"/>
              </w:rPr>
              <w:t>潜油泵</w:t>
            </w:r>
            <w:r>
              <w:rPr>
                <w:rFonts w:hint="default" w:ascii="Times New Roman" w:hAnsi="Times New Roman" w:eastAsia="宋体" w:cs="Times New Roman"/>
                <w:color w:val="auto"/>
                <w:sz w:val="21"/>
                <w:szCs w:val="21"/>
                <w:lang w:val="zh-CN"/>
              </w:rPr>
              <w:t>。</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（2）加油站采用加油油气回收系统时，其设计应符合下列规定：</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1）应采用真空辅助式油气回收系统。</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2）汽油加油机与油罐之间应设油气回收管道，多台汽油加油机可共用1根油气回收主管，油气冋收主管的公称直径不应小于50mm。</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3）加油油气回收系统应采取防止油气反向流至加油枪的措施。</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4）加油机应具备回收油气功能，其气液比宜设定为1.0~1.2。</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5）在加油机底部与油气回收立管的连接处，应安装一个用于检测液阻和系统密闭性的丝接三通，其旁通短管上应设公称直径25mm的球阀及丝堵。</w:t>
            </w:r>
          </w:p>
        </w:tc>
        <w:tc>
          <w:tcPr>
            <w:tcW w:w="2082"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GB50156-2012</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default" w:ascii="Times New Roman" w:hAnsi="Times New Roman" w:eastAsia="宋体" w:cs="Times New Roman"/>
                <w:color w:val="auto"/>
                <w:sz w:val="21"/>
                <w:szCs w:val="21"/>
                <w:lang w:val="en-US" w:eastAsia="zh-CN"/>
              </w:rPr>
              <w:t>2014版</w:t>
            </w:r>
            <w:r>
              <w:rPr>
                <w:rFonts w:hint="default" w:ascii="Times New Roman" w:hAnsi="Times New Roman" w:eastAsia="宋体" w:cs="Times New Roman"/>
                <w:color w:val="auto"/>
                <w:sz w:val="21"/>
                <w:szCs w:val="21"/>
                <w:lang w:val="zh-CN"/>
              </w:rPr>
              <w:t>）</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6.3.6</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zh-CN"/>
              </w:rPr>
              <w:t>该加油站已按要求设置加油油气回收系统。</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b w:val="0"/>
                <w:bCs w:val="0"/>
                <w:color w:val="auto"/>
                <w:sz w:val="21"/>
                <w:szCs w:val="21"/>
                <w:highlight w:val="none"/>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五</w:t>
            </w:r>
          </w:p>
        </w:tc>
        <w:tc>
          <w:tcPr>
            <w:tcW w:w="8584" w:type="dxa"/>
            <w:gridSpan w:val="4"/>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lang w:eastAsia="zh-CN"/>
              </w:rPr>
              <w:t>安防监控系统</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加油站进、出口应分别配置一</w:t>
            </w:r>
            <w:r>
              <w:rPr>
                <w:rFonts w:hint="eastAsia" w:ascii="Times New Roman" w:hAnsi="Times New Roman" w:eastAsia="宋体" w:cs="Times New Roman"/>
                <w:color w:val="auto"/>
                <w:sz w:val="21"/>
                <w:szCs w:val="21"/>
                <w:highlight w:val="none"/>
                <w:lang w:val="zh-CN"/>
              </w:rPr>
              <w:t>台</w:t>
            </w:r>
            <w:r>
              <w:rPr>
                <w:rFonts w:hint="default" w:ascii="Times New Roman" w:hAnsi="Times New Roman" w:eastAsia="宋体" w:cs="Times New Roman"/>
                <w:color w:val="auto"/>
                <w:sz w:val="21"/>
                <w:szCs w:val="21"/>
                <w:highlight w:val="none"/>
                <w:lang w:val="zh-CN"/>
              </w:rPr>
              <w:t>高分</w:t>
            </w:r>
            <w:r>
              <w:rPr>
                <w:rFonts w:hint="eastAsia" w:ascii="Times New Roman" w:hAnsi="Times New Roman" w:eastAsia="宋体" w:cs="Times New Roman"/>
                <w:color w:val="auto"/>
                <w:sz w:val="21"/>
                <w:szCs w:val="21"/>
                <w:highlight w:val="none"/>
                <w:lang w:val="zh-CN"/>
              </w:rPr>
              <w:t>辨</w:t>
            </w:r>
            <w:r>
              <w:rPr>
                <w:rFonts w:hint="default" w:ascii="Times New Roman" w:hAnsi="Times New Roman" w:eastAsia="宋体" w:cs="Times New Roman"/>
                <w:color w:val="auto"/>
                <w:sz w:val="21"/>
                <w:szCs w:val="21"/>
                <w:highlight w:val="none"/>
                <w:lang w:val="zh-CN"/>
              </w:rPr>
              <w:t>率智能一体化摄像机，应能广角监控加油站进</w:t>
            </w:r>
            <w:r>
              <w:rPr>
                <w:rFonts w:hint="eastAsia" w:ascii="Times New Roman" w:hAnsi="Times New Roman" w:eastAsia="宋体" w:cs="Times New Roman"/>
                <w:color w:val="auto"/>
                <w:sz w:val="21"/>
                <w:szCs w:val="21"/>
                <w:highlight w:val="none"/>
                <w:lang w:val="zh-CN"/>
              </w:rPr>
              <w:t>、</w:t>
            </w:r>
            <w:r>
              <w:rPr>
                <w:rFonts w:hint="default" w:ascii="Times New Roman" w:hAnsi="Times New Roman" w:eastAsia="宋体" w:cs="Times New Roman"/>
                <w:color w:val="auto"/>
                <w:sz w:val="21"/>
                <w:szCs w:val="21"/>
                <w:highlight w:val="none"/>
                <w:lang w:val="zh-CN"/>
              </w:rPr>
              <w:t>出口整体情况，包括</w:t>
            </w:r>
            <w:r>
              <w:rPr>
                <w:rFonts w:hint="eastAsia" w:ascii="Times New Roman" w:hAnsi="Times New Roman" w:eastAsia="宋体" w:cs="Times New Roman"/>
                <w:color w:val="auto"/>
                <w:sz w:val="21"/>
                <w:szCs w:val="21"/>
                <w:highlight w:val="none"/>
                <w:lang w:val="zh-CN"/>
              </w:rPr>
              <w:t>：</w:t>
            </w:r>
            <w:r>
              <w:rPr>
                <w:rFonts w:hint="default" w:ascii="Times New Roman" w:hAnsi="Times New Roman" w:eastAsia="宋体" w:cs="Times New Roman"/>
                <w:color w:val="auto"/>
                <w:sz w:val="21"/>
                <w:szCs w:val="21"/>
                <w:highlight w:val="none"/>
                <w:lang w:val="zh-CN"/>
              </w:rPr>
              <w:t>汽车车型，汽车驶入、驶出的路径，行人走入、走出的动作、行为</w:t>
            </w:r>
            <w:r>
              <w:rPr>
                <w:rFonts w:hint="eastAsia" w:ascii="Times New Roman" w:hAnsi="Times New Roman" w:eastAsia="宋体" w:cs="Times New Roman"/>
                <w:color w:val="auto"/>
                <w:sz w:val="21"/>
                <w:szCs w:val="21"/>
                <w:highlight w:val="none"/>
                <w:lang w:val="zh-CN"/>
              </w:rPr>
              <w:t>。该</w:t>
            </w:r>
            <w:r>
              <w:rPr>
                <w:rFonts w:hint="default" w:ascii="Times New Roman" w:hAnsi="Times New Roman" w:eastAsia="宋体" w:cs="Times New Roman"/>
                <w:color w:val="auto"/>
                <w:sz w:val="21"/>
                <w:szCs w:val="21"/>
                <w:highlight w:val="none"/>
                <w:lang w:val="zh-CN"/>
              </w:rPr>
              <w:t>摄像机应具备车辆牌照和车型的识别功能</w:t>
            </w:r>
            <w:r>
              <w:rPr>
                <w:rFonts w:hint="eastAsia" w:ascii="Times New Roman" w:hAnsi="Times New Roman" w:eastAsia="宋体" w:cs="Times New Roman"/>
                <w:color w:val="auto"/>
                <w:sz w:val="21"/>
                <w:szCs w:val="21"/>
                <w:highlight w:val="none"/>
                <w:lang w:val="zh-CN"/>
              </w:rPr>
              <w:t>。</w:t>
            </w:r>
          </w:p>
        </w:tc>
        <w:tc>
          <w:tcPr>
            <w:tcW w:w="2082" w:type="dxa"/>
            <w:noWrap w:val="0"/>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6.2.2.1</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rPr>
              <w:t>加油站进出口分别配置一台高分辨率摄像头。</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eastAsia" w:cs="Times New Roman"/>
                <w:color w:val="auto"/>
                <w:sz w:val="21"/>
                <w:szCs w:val="21"/>
                <w:highlight w:val="none"/>
                <w:lang w:val="zh-CN"/>
              </w:rPr>
              <w:t>加油作业区</w:t>
            </w:r>
            <w:r>
              <w:rPr>
                <w:rFonts w:hint="default" w:ascii="Times New Roman" w:hAnsi="Times New Roman" w:eastAsia="宋体" w:cs="Times New Roman"/>
                <w:color w:val="auto"/>
                <w:sz w:val="21"/>
                <w:szCs w:val="21"/>
                <w:highlight w:val="none"/>
                <w:lang w:val="zh-CN"/>
              </w:rPr>
              <w:t>应根据加油机的数量配置一定数量的高分辨率智能一体化摄像机和拾音器，应能全面监控加油操作工位中加油人员具体操作及现金交易情况，并能在某一焦点清断看清汽车车</w:t>
            </w:r>
            <w:r>
              <w:rPr>
                <w:rFonts w:hint="eastAsia" w:ascii="Times New Roman" w:hAnsi="Times New Roman" w:eastAsia="宋体" w:cs="Times New Roman"/>
                <w:color w:val="auto"/>
                <w:sz w:val="21"/>
                <w:szCs w:val="21"/>
                <w:highlight w:val="none"/>
                <w:lang w:val="zh-CN"/>
              </w:rPr>
              <w:t>牌。</w:t>
            </w:r>
          </w:p>
        </w:tc>
        <w:tc>
          <w:tcPr>
            <w:tcW w:w="2082" w:type="dxa"/>
            <w:noWrap w:val="0"/>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6.2.2.2</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eastAsia" w:cs="Times New Roman"/>
                <w:color w:val="auto"/>
                <w:sz w:val="21"/>
                <w:szCs w:val="21"/>
                <w:highlight w:val="none"/>
                <w:lang w:val="zh-CN"/>
              </w:rPr>
              <w:t>加油作业区</w:t>
            </w:r>
            <w:r>
              <w:rPr>
                <w:rFonts w:hint="eastAsia" w:ascii="Times New Roman" w:hAnsi="Times New Roman" w:eastAsia="宋体" w:cs="Times New Roman"/>
                <w:color w:val="auto"/>
                <w:sz w:val="21"/>
                <w:szCs w:val="21"/>
                <w:highlight w:val="none"/>
                <w:lang w:val="zh-CN"/>
              </w:rPr>
              <w:t>内布置高清摄像头。</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应在站房外墙上或单独设置的立杆上安装红外一体化摄像机，应能对卸油口及整个油罐区</w:t>
            </w:r>
            <w:r>
              <w:rPr>
                <w:rFonts w:hint="eastAsia" w:ascii="Times New Roman" w:hAnsi="Times New Roman" w:eastAsia="宋体" w:cs="Times New Roman"/>
                <w:color w:val="auto"/>
                <w:sz w:val="21"/>
                <w:szCs w:val="21"/>
                <w:highlight w:val="none"/>
                <w:lang w:val="zh-CN"/>
              </w:rPr>
              <w:t>域</w:t>
            </w:r>
            <w:r>
              <w:rPr>
                <w:rFonts w:hint="default" w:ascii="Times New Roman" w:hAnsi="Times New Roman" w:eastAsia="宋体" w:cs="Times New Roman"/>
                <w:color w:val="auto"/>
                <w:sz w:val="21"/>
                <w:szCs w:val="21"/>
                <w:highlight w:val="none"/>
                <w:lang w:val="zh-CN"/>
              </w:rPr>
              <w:t>进行全面监控，并能清</w:t>
            </w:r>
            <w:r>
              <w:rPr>
                <w:rFonts w:hint="eastAsia" w:ascii="Times New Roman" w:hAnsi="Times New Roman" w:eastAsia="宋体" w:cs="Times New Roman"/>
                <w:color w:val="auto"/>
                <w:sz w:val="21"/>
                <w:szCs w:val="21"/>
                <w:highlight w:val="none"/>
                <w:lang w:val="zh-CN"/>
              </w:rPr>
              <w:t>晰</w:t>
            </w:r>
            <w:r>
              <w:rPr>
                <w:rFonts w:hint="default" w:ascii="Times New Roman" w:hAnsi="Times New Roman" w:eastAsia="宋体" w:cs="Times New Roman"/>
                <w:color w:val="auto"/>
                <w:sz w:val="21"/>
                <w:szCs w:val="21"/>
                <w:highlight w:val="none"/>
                <w:lang w:val="zh-CN"/>
              </w:rPr>
              <w:t>看到卸油员具体操作动作</w:t>
            </w:r>
            <w:r>
              <w:rPr>
                <w:rFonts w:hint="eastAsia" w:ascii="Times New Roman" w:hAnsi="Times New Roman" w:eastAsia="宋体" w:cs="Times New Roman"/>
                <w:color w:val="auto"/>
                <w:sz w:val="21"/>
                <w:szCs w:val="21"/>
                <w:highlight w:val="none"/>
                <w:lang w:val="zh-CN"/>
              </w:rPr>
              <w:t>。</w:t>
            </w:r>
          </w:p>
        </w:tc>
        <w:tc>
          <w:tcPr>
            <w:tcW w:w="2082" w:type="dxa"/>
            <w:noWrap w:val="0"/>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6.2.2.3</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eastAsia="zh-CN" w:bidi="ar-SA"/>
              </w:rPr>
            </w:pPr>
            <w:r>
              <w:rPr>
                <w:rFonts w:hint="eastAsia" w:ascii="Times New Roman" w:hAnsi="Times New Roman" w:eastAsia="宋体" w:cs="Times New Roman"/>
                <w:color w:val="auto"/>
                <w:sz w:val="21"/>
                <w:szCs w:val="21"/>
                <w:highlight w:val="none"/>
                <w:lang w:val="zh-CN"/>
              </w:rPr>
              <w:t>摄像头覆盖卸油区与罐区。</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应在便利店内墙顶部，与收银</w:t>
            </w:r>
            <w:r>
              <w:rPr>
                <w:rFonts w:hint="eastAsia" w:ascii="Times New Roman" w:hAnsi="Times New Roman" w:eastAsia="宋体" w:cs="Times New Roman"/>
                <w:color w:val="auto"/>
                <w:sz w:val="21"/>
                <w:szCs w:val="21"/>
                <w:highlight w:val="none"/>
                <w:lang w:val="zh-CN"/>
              </w:rPr>
              <w:t>服</w:t>
            </w:r>
            <w:r>
              <w:rPr>
                <w:rFonts w:hint="default" w:ascii="Times New Roman" w:hAnsi="Times New Roman" w:eastAsia="宋体" w:cs="Times New Roman"/>
                <w:color w:val="auto"/>
                <w:sz w:val="21"/>
                <w:szCs w:val="21"/>
                <w:highlight w:val="none"/>
                <w:lang w:val="zh-CN"/>
              </w:rPr>
              <w:t>务区成斜俯视角度的适当位置安装高分辨率日夜转换变焦半球摄像机一台，并在适当位置安装拾音器，全面监控收银服务区域，应能清晰看到顾客相貌、衣着特征</w:t>
            </w:r>
            <w:r>
              <w:rPr>
                <w:rFonts w:hint="eastAsia" w:ascii="Times New Roman" w:hAnsi="Times New Roman" w:eastAsia="宋体" w:cs="Times New Roman"/>
                <w:color w:val="auto"/>
                <w:sz w:val="21"/>
                <w:szCs w:val="21"/>
                <w:highlight w:val="none"/>
                <w:lang w:val="zh-CN"/>
              </w:rPr>
              <w:t>、</w:t>
            </w:r>
            <w:r>
              <w:rPr>
                <w:rFonts w:hint="default" w:ascii="Times New Roman" w:hAnsi="Times New Roman" w:eastAsia="宋体" w:cs="Times New Roman"/>
                <w:color w:val="auto"/>
                <w:sz w:val="21"/>
                <w:szCs w:val="21"/>
                <w:highlight w:val="none"/>
                <w:lang w:val="zh-CN"/>
              </w:rPr>
              <w:t>收银员与顾客现金交易、商品买卖详细情况，收银员往投币口投币情况，及收银服务区商品</w:t>
            </w:r>
            <w:r>
              <w:rPr>
                <w:rFonts w:hint="eastAsia" w:ascii="Times New Roman" w:hAnsi="Times New Roman" w:eastAsia="宋体" w:cs="Times New Roman"/>
                <w:color w:val="auto"/>
                <w:sz w:val="21"/>
                <w:szCs w:val="21"/>
                <w:highlight w:val="none"/>
                <w:lang w:val="zh-CN"/>
              </w:rPr>
              <w:t>。</w:t>
            </w:r>
          </w:p>
        </w:tc>
        <w:tc>
          <w:tcPr>
            <w:tcW w:w="2082" w:type="dxa"/>
            <w:noWrap w:val="0"/>
            <w:vAlign w:val="center"/>
          </w:tcPr>
          <w:p>
            <w:pPr>
              <w:autoSpaceDE w:val="0"/>
              <w:autoSpaceDN w:val="0"/>
              <w:adjustRightInd w:val="0"/>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AQ/T3050-2013</w:t>
            </w:r>
          </w:p>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6.2.2.6</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eastAsia" w:ascii="Times New Roman" w:hAnsi="Times New Roman" w:eastAsia="宋体" w:cs="Times New Roman"/>
                <w:color w:val="auto"/>
                <w:sz w:val="21"/>
                <w:szCs w:val="21"/>
                <w:highlight w:val="none"/>
                <w:lang w:val="zh-CN"/>
              </w:rPr>
              <w:t>收银区设有高清摄像头。</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val="0"/>
                <w:bCs w:val="0"/>
                <w:color w:val="auto"/>
                <w:sz w:val="21"/>
                <w:szCs w:val="21"/>
                <w:highlight w:val="none"/>
                <w:lang w:eastAsia="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六</w:t>
            </w:r>
          </w:p>
        </w:tc>
        <w:tc>
          <w:tcPr>
            <w:tcW w:w="8584" w:type="dxa"/>
            <w:gridSpan w:val="4"/>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生产管理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val="0"/>
                <w:bCs w:val="0"/>
                <w:color w:val="auto"/>
                <w:sz w:val="21"/>
                <w:szCs w:val="21"/>
                <w:lang w:val="zh-CN"/>
              </w:rPr>
              <w:t>加油站安全生产责任制：加</w:t>
            </w:r>
            <w:r>
              <w:rPr>
                <w:rFonts w:hint="default" w:ascii="Times New Roman" w:hAnsi="Times New Roman" w:eastAsia="宋体" w:cs="Times New Roman"/>
                <w:color w:val="auto"/>
                <w:sz w:val="21"/>
                <w:szCs w:val="21"/>
                <w:lang w:val="zh-CN"/>
              </w:rPr>
              <w:t>油站内应建立以下责任制：加油站站长（站经理）安全责任制、加油站领班安全职责、加油站计量员安全职责、加油站非油品营业员安全职责、加油站发卡员安全职责、加油站安全员安全职责、加油员职责、设备管理员职责</w:t>
            </w:r>
          </w:p>
        </w:tc>
        <w:tc>
          <w:tcPr>
            <w:tcW w:w="2082" w:type="dxa"/>
            <w:vMerge w:val="restart"/>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《东营市加油站安全生产规范提升指南（试行）》（东安监发[2018]73号）</w:t>
            </w: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该加油站建立的责任制有：加油站站长、</w:t>
            </w:r>
            <w:r>
              <w:rPr>
                <w:rFonts w:hint="eastAsia" w:ascii="Times New Roman" w:hAnsi="Times New Roman" w:eastAsia="宋体" w:cs="Times New Roman"/>
                <w:color w:val="auto"/>
                <w:kern w:val="2"/>
                <w:sz w:val="21"/>
                <w:szCs w:val="21"/>
                <w:lang w:val="zh-CN" w:eastAsia="zh-CN" w:bidi="ar-SA"/>
              </w:rPr>
              <w:t>加班组长</w:t>
            </w:r>
            <w:r>
              <w:rPr>
                <w:rFonts w:hint="default" w:ascii="Times New Roman" w:hAnsi="Times New Roman" w:eastAsia="宋体" w:cs="Times New Roman"/>
                <w:color w:val="auto"/>
                <w:kern w:val="2"/>
                <w:sz w:val="21"/>
                <w:szCs w:val="21"/>
                <w:lang w:val="zh-CN" w:eastAsia="zh-CN" w:bidi="ar-SA"/>
              </w:rPr>
              <w:t>、</w:t>
            </w:r>
            <w:r>
              <w:rPr>
                <w:rFonts w:hint="eastAsia" w:ascii="Times New Roman" w:hAnsi="Times New Roman" w:eastAsia="宋体" w:cs="Times New Roman"/>
                <w:color w:val="auto"/>
                <w:kern w:val="2"/>
                <w:sz w:val="21"/>
                <w:szCs w:val="21"/>
                <w:lang w:val="zh-CN" w:eastAsia="zh-CN" w:bidi="ar-SA"/>
              </w:rPr>
              <w:t>加油站</w:t>
            </w:r>
            <w:r>
              <w:rPr>
                <w:rFonts w:hint="default" w:ascii="Times New Roman" w:hAnsi="Times New Roman" w:eastAsia="宋体" w:cs="Times New Roman"/>
                <w:color w:val="auto"/>
                <w:kern w:val="2"/>
                <w:sz w:val="21"/>
                <w:szCs w:val="21"/>
                <w:lang w:val="zh-CN" w:eastAsia="zh-CN" w:bidi="ar-SA"/>
              </w:rPr>
              <w:t>加油员、</w:t>
            </w:r>
            <w:r>
              <w:rPr>
                <w:rFonts w:hint="eastAsia" w:ascii="Times New Roman" w:hAnsi="Times New Roman" w:eastAsia="宋体" w:cs="Times New Roman"/>
                <w:color w:val="auto"/>
                <w:kern w:val="2"/>
                <w:sz w:val="21"/>
                <w:szCs w:val="21"/>
                <w:lang w:val="zh-CN" w:eastAsia="zh-CN" w:bidi="ar-SA"/>
              </w:rPr>
              <w:t>加油站</w:t>
            </w:r>
            <w:r>
              <w:rPr>
                <w:rFonts w:hint="default" w:ascii="Times New Roman" w:hAnsi="Times New Roman" w:eastAsia="宋体" w:cs="Times New Roman"/>
                <w:color w:val="auto"/>
                <w:kern w:val="2"/>
                <w:sz w:val="21"/>
                <w:szCs w:val="21"/>
                <w:lang w:val="zh-CN" w:eastAsia="zh-CN" w:bidi="ar-SA"/>
              </w:rPr>
              <w:t>计量员、</w:t>
            </w:r>
            <w:r>
              <w:rPr>
                <w:rFonts w:hint="eastAsia" w:ascii="Times New Roman" w:hAnsi="Times New Roman" w:eastAsia="宋体" w:cs="Times New Roman"/>
                <w:color w:val="auto"/>
                <w:kern w:val="2"/>
                <w:sz w:val="21"/>
                <w:szCs w:val="21"/>
                <w:lang w:val="zh-CN" w:eastAsia="zh-CN" w:bidi="ar-SA"/>
              </w:rPr>
              <w:t>加油站充值员</w:t>
            </w:r>
            <w:r>
              <w:rPr>
                <w:rFonts w:hint="default" w:ascii="Times New Roman" w:hAnsi="Times New Roman" w:eastAsia="宋体" w:cs="Times New Roman"/>
                <w:color w:val="auto"/>
                <w:kern w:val="2"/>
                <w:sz w:val="21"/>
                <w:szCs w:val="21"/>
                <w:lang w:val="zh-CN" w:eastAsia="zh-CN" w:bidi="ar-SA"/>
              </w:rPr>
              <w:t>、</w:t>
            </w:r>
            <w:r>
              <w:rPr>
                <w:rFonts w:hint="eastAsia" w:ascii="Times New Roman" w:hAnsi="Times New Roman" w:eastAsia="宋体" w:cs="Times New Roman"/>
                <w:color w:val="auto"/>
                <w:kern w:val="2"/>
                <w:sz w:val="21"/>
                <w:szCs w:val="21"/>
                <w:lang w:val="zh-CN" w:eastAsia="zh-CN" w:bidi="ar-SA"/>
              </w:rPr>
              <w:t>加油站</w:t>
            </w:r>
            <w:r>
              <w:rPr>
                <w:rFonts w:hint="default" w:ascii="Times New Roman" w:hAnsi="Times New Roman" w:eastAsia="宋体" w:cs="Times New Roman"/>
                <w:color w:val="auto"/>
                <w:kern w:val="2"/>
                <w:sz w:val="21"/>
                <w:szCs w:val="21"/>
                <w:lang w:val="zh-CN" w:eastAsia="zh-CN" w:bidi="ar-SA"/>
              </w:rPr>
              <w:t>安全员等岗位安全职责等。该加油站已按照要求建立安全生产责任制。</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val="0"/>
                <w:bCs w:val="0"/>
                <w:color w:val="auto"/>
                <w:sz w:val="21"/>
                <w:szCs w:val="21"/>
                <w:lang w:val="zh-CN"/>
              </w:rPr>
              <w:t>加油站安全管理规章制度：加</w:t>
            </w:r>
            <w:r>
              <w:rPr>
                <w:rFonts w:hint="default" w:ascii="Times New Roman" w:hAnsi="Times New Roman" w:eastAsia="宋体" w:cs="Times New Roman"/>
                <w:color w:val="auto"/>
                <w:sz w:val="21"/>
                <w:szCs w:val="21"/>
                <w:lang w:val="zh-CN"/>
              </w:rPr>
              <w:t>油站内建立的安全管理规章制度应包括以下内容：危险化学品购销管理制度、危险化学品安全管理制度、防火防爆管理制度、安全检查制度、加油站安全设备设施管理制度、直接作业环节安全管理制度、危险作业管理制度、重点部位安全管理制度、消防管理制度、承包商安全管理制度、巡回检查制度、安全考核与奖惩、安全教育培训制度、安全风险管控管理制度、加油站隐患治理制度、事故管理制度、应急管理制度、监控系统管理制度、劳动保护费用及个体劳动防护用品管理制度、安全投入保障制度</w:t>
            </w:r>
          </w:p>
        </w:tc>
        <w:tc>
          <w:tcPr>
            <w:tcW w:w="2082" w:type="dxa"/>
            <w:vMerge w:val="continue"/>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p>
        </w:tc>
        <w:tc>
          <w:tcPr>
            <w:tcW w:w="2187" w:type="dxa"/>
            <w:noWrap w:val="0"/>
            <w:vAlign w:val="center"/>
          </w:tcPr>
          <w:p>
            <w:pPr>
              <w:pStyle w:val="81"/>
              <w:numPr>
                <w:ilvl w:val="0"/>
                <w:numId w:val="0"/>
              </w:numPr>
              <w:adjustRightInd w:val="0"/>
              <w:snapToGrid w:val="0"/>
              <w:spacing w:line="240" w:lineRule="auto"/>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该加油站制定的安全管理制度有：</w:t>
            </w:r>
            <w:r>
              <w:rPr>
                <w:rFonts w:hint="eastAsia" w:ascii="Times New Roman" w:hAnsi="Times New Roman" w:eastAsia="宋体" w:cs="Times New Roman"/>
                <w:color w:val="auto"/>
                <w:kern w:val="2"/>
                <w:sz w:val="21"/>
                <w:szCs w:val="21"/>
                <w:lang w:val="zh-CN" w:eastAsia="zh-CN" w:bidi="ar-SA"/>
              </w:rPr>
              <w:t>危险化学品购销管理制度、危险化学品安全管理制度（含防火、防爆、防中毒、防泄漏）、安全检查制度、安全设备设施管理制度、直接作业环节安全管理制度等</w:t>
            </w:r>
            <w:r>
              <w:rPr>
                <w:rFonts w:hint="default" w:ascii="Times New Roman" w:hAnsi="Times New Roman" w:eastAsia="宋体" w:cs="Times New Roman"/>
                <w:color w:val="auto"/>
                <w:kern w:val="2"/>
                <w:sz w:val="21"/>
                <w:szCs w:val="21"/>
                <w:lang w:val="zh-CN" w:eastAsia="zh-CN" w:bidi="ar-SA"/>
              </w:rPr>
              <w:t>。该加油站建立的安全管理制度较为完善。</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加油站岗位操作规程：加油站内建立的操作规程应包括以下内容：加油操作规程、计量操作规程、卸油操作规程、地罐交接卸油操作规程、加油机安全操作规程、油气回收装置操作规程</w:t>
            </w:r>
          </w:p>
        </w:tc>
        <w:tc>
          <w:tcPr>
            <w:tcW w:w="2082" w:type="dxa"/>
            <w:vMerge w:val="continue"/>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p>
        </w:tc>
        <w:tc>
          <w:tcPr>
            <w:tcW w:w="218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该加油站制定的操作规程如下：</w:t>
            </w:r>
            <w:r>
              <w:rPr>
                <w:rFonts w:hint="eastAsia" w:ascii="Times New Roman" w:hAnsi="Times New Roman" w:eastAsia="宋体" w:cs="Times New Roman"/>
                <w:color w:val="auto"/>
                <w:kern w:val="2"/>
                <w:sz w:val="21"/>
                <w:szCs w:val="21"/>
                <w:lang w:val="zh-CN" w:eastAsia="zh-CN" w:bidi="ar-SA"/>
              </w:rPr>
              <w:t>加油操作规程、计量操作规程、卸油操作规程、加油机安全操作规程、油气回收装置操作规程</w:t>
            </w:r>
            <w:r>
              <w:rPr>
                <w:rFonts w:hint="default" w:ascii="Times New Roman" w:hAnsi="Times New Roman" w:eastAsia="宋体" w:cs="Times New Roman"/>
                <w:color w:val="auto"/>
                <w:kern w:val="2"/>
                <w:sz w:val="21"/>
                <w:szCs w:val="21"/>
                <w:lang w:val="zh-CN" w:eastAsia="zh-CN" w:bidi="ar-SA"/>
              </w:rPr>
              <w:t>等。该加油站操作规程较为完善。</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lang w:val="zh-CN"/>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现场安全警示标识：（1）加油作业区应设置加油作业风险告知牌，告知作业风险及应急处置措施，告知牌宜粘贴在罩棚立柱醒目处；</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（2）卸油作业区应设置卸油作业风险告知牌，告知卸油作业风险及应急处置措施，告知牌宜粘贴在油罐区卸车处；</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val="zh-CN"/>
              </w:rPr>
              <w:t>）应设置顾客进站须知告知牌；</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val="zh-CN"/>
              </w:rPr>
              <w:t>）加油作业区应设置安全警示标示图案；</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zh-CN"/>
              </w:rPr>
              <w:t>）加油站内对加油通道进行划线标识；</w:t>
            </w:r>
          </w:p>
        </w:tc>
        <w:tc>
          <w:tcPr>
            <w:tcW w:w="2082" w:type="dxa"/>
            <w:vMerge w:val="continue"/>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（1）加油作业区设置</w:t>
            </w:r>
            <w:r>
              <w:rPr>
                <w:rFonts w:hint="default" w:ascii="Times New Roman" w:hAnsi="Times New Roman" w:eastAsia="宋体" w:cs="Times New Roman"/>
                <w:color w:val="auto"/>
                <w:sz w:val="21"/>
                <w:szCs w:val="21"/>
                <w:highlight w:val="none"/>
              </w:rPr>
              <w:t>有</w:t>
            </w:r>
            <w:r>
              <w:rPr>
                <w:rFonts w:hint="default" w:ascii="Times New Roman" w:hAnsi="Times New Roman" w:eastAsia="宋体" w:cs="Times New Roman"/>
                <w:color w:val="auto"/>
                <w:sz w:val="21"/>
                <w:szCs w:val="21"/>
                <w:highlight w:val="none"/>
                <w:lang w:val="zh-CN"/>
              </w:rPr>
              <w:t>加油作业风险告知牌；</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（2）卸油作业区设置</w:t>
            </w:r>
            <w:r>
              <w:rPr>
                <w:rFonts w:hint="default" w:ascii="Times New Roman" w:hAnsi="Times New Roman" w:eastAsia="宋体" w:cs="Times New Roman"/>
                <w:color w:val="auto"/>
                <w:sz w:val="21"/>
                <w:szCs w:val="21"/>
                <w:highlight w:val="none"/>
              </w:rPr>
              <w:t>有</w:t>
            </w:r>
            <w:r>
              <w:rPr>
                <w:rFonts w:hint="default" w:ascii="Times New Roman" w:hAnsi="Times New Roman" w:eastAsia="宋体" w:cs="Times New Roman"/>
                <w:color w:val="auto"/>
                <w:sz w:val="21"/>
                <w:szCs w:val="21"/>
                <w:highlight w:val="none"/>
                <w:lang w:val="zh-CN"/>
              </w:rPr>
              <w:t>卸油作业风险告知牌；</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zh-CN"/>
              </w:rPr>
              <w:t>）设置</w:t>
            </w:r>
            <w:r>
              <w:rPr>
                <w:rFonts w:hint="default" w:ascii="Times New Roman" w:hAnsi="Times New Roman" w:eastAsia="宋体" w:cs="Times New Roman"/>
                <w:color w:val="auto"/>
                <w:sz w:val="21"/>
                <w:szCs w:val="21"/>
                <w:highlight w:val="none"/>
              </w:rPr>
              <w:t>有</w:t>
            </w:r>
            <w:r>
              <w:rPr>
                <w:rFonts w:hint="default" w:ascii="Times New Roman" w:hAnsi="Times New Roman" w:eastAsia="宋体" w:cs="Times New Roman"/>
                <w:color w:val="auto"/>
                <w:sz w:val="21"/>
                <w:szCs w:val="21"/>
                <w:highlight w:val="none"/>
                <w:lang w:val="zh-CN"/>
              </w:rPr>
              <w:t>顾客进站须知告知牌；</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w:t>
            </w:r>
            <w:r>
              <w:rPr>
                <w:rFonts w:hint="eastAsia"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zh-CN"/>
              </w:rPr>
              <w:t>）加油作业区</w:t>
            </w:r>
            <w:r>
              <w:rPr>
                <w:rFonts w:hint="eastAsia" w:ascii="Times New Roman" w:hAnsi="Times New Roman" w:eastAsia="宋体" w:cs="Times New Roman"/>
                <w:color w:val="auto"/>
                <w:sz w:val="21"/>
                <w:szCs w:val="21"/>
                <w:highlight w:val="none"/>
                <w:lang w:val="zh-CN"/>
              </w:rPr>
              <w:t>设置</w:t>
            </w:r>
            <w:r>
              <w:rPr>
                <w:rFonts w:hint="default" w:ascii="Times New Roman" w:hAnsi="Times New Roman" w:eastAsia="宋体" w:cs="Times New Roman"/>
                <w:color w:val="auto"/>
                <w:sz w:val="21"/>
                <w:szCs w:val="21"/>
                <w:highlight w:val="none"/>
                <w:lang w:val="zh-CN"/>
              </w:rPr>
              <w:t>安全警示标示；</w:t>
            </w:r>
          </w:p>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b w:val="0"/>
                <w:bCs w:val="0"/>
                <w:color w:val="auto"/>
                <w:sz w:val="21"/>
                <w:szCs w:val="21"/>
                <w:highlight w:val="none"/>
                <w:lang w:val="zh-CN"/>
              </w:rPr>
              <w:t>（</w:t>
            </w:r>
            <w:r>
              <w:rPr>
                <w:rFonts w:hint="eastAsia" w:ascii="Times New Roman" w:hAnsi="Times New Roman" w:eastAsia="宋体" w:cs="Times New Roman"/>
                <w:b w:val="0"/>
                <w:bCs w:val="0"/>
                <w:color w:val="auto"/>
                <w:sz w:val="21"/>
                <w:szCs w:val="21"/>
                <w:highlight w:val="none"/>
                <w:lang w:val="en-US" w:eastAsia="zh-CN"/>
              </w:rPr>
              <w:t>5</w:t>
            </w:r>
            <w:r>
              <w:rPr>
                <w:rFonts w:hint="default" w:ascii="Times New Roman" w:hAnsi="Times New Roman" w:eastAsia="宋体" w:cs="Times New Roman"/>
                <w:b w:val="0"/>
                <w:bCs w:val="0"/>
                <w:color w:val="auto"/>
                <w:sz w:val="21"/>
                <w:szCs w:val="21"/>
                <w:highlight w:val="none"/>
                <w:lang w:val="zh-CN"/>
              </w:rPr>
              <w:t>）加油站</w:t>
            </w:r>
            <w:r>
              <w:rPr>
                <w:rFonts w:hint="default" w:ascii="Times New Roman" w:hAnsi="Times New Roman" w:eastAsia="宋体" w:cs="Times New Roman"/>
                <w:b w:val="0"/>
                <w:bCs w:val="0"/>
                <w:color w:val="auto"/>
                <w:sz w:val="21"/>
                <w:szCs w:val="21"/>
                <w:highlight w:val="none"/>
              </w:rPr>
              <w:t>对加油通道进行划线标识。</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val="0"/>
                <w:bCs w:val="0"/>
                <w:i w:val="0"/>
                <w:iCs w:val="0"/>
                <w:color w:val="auto"/>
                <w:sz w:val="21"/>
                <w:szCs w:val="21"/>
                <w:highlight w:val="none"/>
              </w:rPr>
              <w:t>符合</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397" w:hRule="atLeast"/>
          <w:jc w:val="center"/>
        </w:trPr>
        <w:tc>
          <w:tcPr>
            <w:tcW w:w="595"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14"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zh-CN"/>
              </w:rPr>
              <w:t>加油站安全管理表格：加油站内应建立以下安全管理表格：加油站风险点清单汇总、加油站风险管控清单、作业活动风险管控要素、卸油作业隐患排查治理表、加油作业隐患排查治理表、（专业检查）隐患排查治理表、隐患排查治理台账及分析表、加油站监督考核评估表、清罐作业隐患排查治理表、检维修作业隐患排查治理表、加油站安全管理及现场考核表</w:t>
            </w:r>
          </w:p>
        </w:tc>
        <w:tc>
          <w:tcPr>
            <w:tcW w:w="2082" w:type="dxa"/>
            <w:vMerge w:val="continue"/>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color w:val="auto"/>
                <w:sz w:val="21"/>
                <w:szCs w:val="21"/>
                <w:lang w:val="zh-CN"/>
              </w:rPr>
            </w:pPr>
          </w:p>
        </w:tc>
        <w:tc>
          <w:tcPr>
            <w:tcW w:w="2187" w:type="dxa"/>
            <w:noWrap w:val="0"/>
            <w:vAlign w:val="center"/>
          </w:tcPr>
          <w:p>
            <w:pPr>
              <w:autoSpaceDE w:val="0"/>
              <w:autoSpaceDN w:val="0"/>
              <w:adjustRightInd w:val="0"/>
              <w:spacing w:line="240" w:lineRule="auto"/>
              <w:ind w:firstLine="0" w:firstLineChars="0"/>
              <w:jc w:val="left"/>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该加油站建立的安全管理表格较为完善。</w:t>
            </w:r>
          </w:p>
        </w:tc>
        <w:tc>
          <w:tcPr>
            <w:tcW w:w="701" w:type="dxa"/>
            <w:noWrap w:val="0"/>
            <w:vAlign w:val="center"/>
          </w:tcPr>
          <w:p>
            <w:pPr>
              <w:autoSpaceDE w:val="0"/>
              <w:autoSpaceDN w:val="0"/>
              <w:adjustRightInd w:val="0"/>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lang w:val="zh-CN"/>
              </w:rPr>
              <w:t>符合</w:t>
            </w:r>
          </w:p>
        </w:tc>
      </w:tr>
    </w:tbl>
    <w:p>
      <w:pPr>
        <w:pageBreakBefore w:val="0"/>
        <w:kinsoku/>
        <w:wordWrap/>
        <w:topLinePunct w:val="0"/>
        <w:bidi w:val="0"/>
        <w:adjustRightInd w:val="0"/>
        <w:snapToGrid w:val="0"/>
        <w:ind w:firstLine="201"/>
        <w:jc w:val="center"/>
        <w:rPr>
          <w:rFonts w:hint="default" w:ascii="Times New Roman" w:hAnsi="Times New Roman" w:cs="Times New Roman"/>
          <w:b/>
          <w:color w:val="auto"/>
          <w:sz w:val="10"/>
          <w:szCs w:val="10"/>
        </w:rPr>
      </w:pPr>
    </w:p>
    <w:p>
      <w:pPr>
        <w:pageBreakBefore w:val="0"/>
        <w:kinsoku/>
        <w:wordWrap/>
        <w:topLinePunct w:val="0"/>
        <w:bidi w:val="0"/>
        <w:adjustRightInd w:val="0"/>
        <w:snapToGrid w:val="0"/>
        <w:ind w:firstLine="560"/>
        <w:jc w:val="left"/>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zh-CN"/>
        </w:rPr>
        <w:t>根据《重点监管的危险化学品名录》（2013年完整版），</w:t>
      </w:r>
      <w:r>
        <w:rPr>
          <w:rFonts w:hint="default" w:ascii="Times New Roman" w:hAnsi="Times New Roman" w:cs="Times New Roman" w:eastAsiaTheme="minorEastAsia"/>
          <w:color w:val="auto"/>
          <w:szCs w:val="28"/>
        </w:rPr>
        <w:t>该项目涉及重点监管危险化学品有汽油。</w:t>
      </w:r>
    </w:p>
    <w:p>
      <w:pPr>
        <w:pageBreakBefore w:val="0"/>
        <w:kinsoku/>
        <w:wordWrap/>
        <w:topLinePunct w:val="0"/>
        <w:bidi w:val="0"/>
        <w:adjustRightInd w:val="0"/>
        <w:snapToGrid w:val="0"/>
        <w:ind w:firstLine="560" w:firstLineChars="0"/>
        <w:jc w:val="left"/>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根据《国家安全监管总局办公厅关于印发首批重点监管的危险化学品安全措施和应急处置原则的通知》（安监总厅管三[2011]142号）的要求，</w:t>
      </w:r>
      <w:r>
        <w:rPr>
          <w:rFonts w:hint="eastAsia" w:cs="Times New Roman" w:eastAsiaTheme="minorEastAsia"/>
          <w:color w:val="auto"/>
          <w:szCs w:val="28"/>
          <w:lang w:eastAsia="zh-CN"/>
        </w:rPr>
        <w:t>该加油中心</w:t>
      </w:r>
      <w:r>
        <w:rPr>
          <w:rFonts w:hint="default" w:ascii="Times New Roman" w:hAnsi="Times New Roman" w:cs="Times New Roman" w:eastAsiaTheme="minorEastAsia"/>
          <w:color w:val="auto"/>
          <w:szCs w:val="28"/>
        </w:rPr>
        <w:t>区针对重点监管危化品</w:t>
      </w:r>
      <w:r>
        <w:rPr>
          <w:rFonts w:hint="eastAsia" w:cs="Times New Roman" w:eastAsiaTheme="minorEastAsia"/>
          <w:color w:val="auto"/>
          <w:szCs w:val="28"/>
          <w:lang w:eastAsia="zh-CN"/>
        </w:rPr>
        <w:t>汽油</w:t>
      </w:r>
      <w:r>
        <w:rPr>
          <w:rFonts w:hint="default" w:ascii="Times New Roman" w:hAnsi="Times New Roman" w:cs="Times New Roman" w:eastAsiaTheme="minorEastAsia"/>
          <w:color w:val="auto"/>
          <w:szCs w:val="28"/>
        </w:rPr>
        <w:t>所采取的安全措施的符合性对照分析如下：</w:t>
      </w:r>
    </w:p>
    <w:p>
      <w:pPr>
        <w:pageBreakBefore w:val="0"/>
        <w:kinsoku/>
        <w:wordWrap/>
        <w:topLinePunct w:val="0"/>
        <w:bidi w:val="0"/>
        <w:adjustRightInd w:val="0"/>
        <w:snapToGrid w:val="0"/>
        <w:ind w:firstLine="0" w:firstLineChars="0"/>
        <w:jc w:val="center"/>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附表4.1-6 汽油安全控制措施分析评价一览表</w:t>
      </w:r>
    </w:p>
    <w:tbl>
      <w:tblPr>
        <w:tblStyle w:val="28"/>
        <w:tblW w:w="907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40"/>
        <w:gridCol w:w="973"/>
        <w:gridCol w:w="4457"/>
        <w:gridCol w:w="270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6370" w:type="dxa"/>
            <w:gridSpan w:val="3"/>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b/>
                <w:sz w:val="21"/>
                <w:szCs w:val="21"/>
              </w:rPr>
            </w:pPr>
            <w:bookmarkStart w:id="209" w:name="_Toc19517"/>
            <w:bookmarkStart w:id="210" w:name="_Toc32383"/>
            <w:r>
              <w:rPr>
                <w:rFonts w:ascii="Times New Roman"/>
                <w:b/>
                <w:sz w:val="21"/>
                <w:szCs w:val="21"/>
              </w:rPr>
              <w:t>《国家安全监管总局办公厅关于印发首批重点监管的危险化学品安全措施和应急处置原则的通知》（安监总厅管三[2011]142号）要求</w:t>
            </w:r>
          </w:p>
        </w:tc>
        <w:tc>
          <w:tcPr>
            <w:tcW w:w="2701" w:type="dxa"/>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b/>
                <w:sz w:val="21"/>
                <w:szCs w:val="21"/>
              </w:rPr>
            </w:pPr>
            <w:r>
              <w:rPr>
                <w:rFonts w:hint="eastAsia" w:ascii="Times New Roman"/>
                <w:b/>
                <w:sz w:val="21"/>
                <w:szCs w:val="21"/>
                <w:lang w:eastAsia="zh-CN"/>
              </w:rPr>
              <w:t>该加油中心</w:t>
            </w:r>
            <w:r>
              <w:rPr>
                <w:rFonts w:ascii="Times New Roman"/>
                <w:b/>
                <w:sz w:val="21"/>
                <w:szCs w:val="21"/>
              </w:rPr>
              <w:t>采纳情况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restart"/>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r>
              <w:rPr>
                <w:rFonts w:ascii="Times New Roman"/>
                <w:sz w:val="21"/>
                <w:szCs w:val="21"/>
              </w:rPr>
              <w:t>安全措施</w:t>
            </w:r>
          </w:p>
        </w:tc>
        <w:tc>
          <w:tcPr>
            <w:tcW w:w="973" w:type="dxa"/>
            <w:vMerge w:val="restart"/>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r>
              <w:rPr>
                <w:rFonts w:ascii="Times New Roman"/>
                <w:sz w:val="21"/>
                <w:szCs w:val="21"/>
              </w:rPr>
              <w:t>一般要求</w:t>
            </w:r>
          </w:p>
        </w:tc>
        <w:tc>
          <w:tcPr>
            <w:tcW w:w="4457"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操作人员必须经过专门培训，严格遵守操作规程，熟练掌握操作技能，具备应急处置知识。</w:t>
            </w:r>
          </w:p>
        </w:tc>
        <w:tc>
          <w:tcPr>
            <w:tcW w:w="2701"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操作人员经过专门培训。</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4457"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密闭操作，防止泄漏，工作场所全面通风。远离火种、热源，工作场所严禁吸烟。配备易燃气体泄漏监测报警仪，使用防爆型通风系统和设备，配备两套以上重型防护服。操作人员穿防静电工作服，戴耐油橡胶手套。</w:t>
            </w:r>
          </w:p>
        </w:tc>
        <w:tc>
          <w:tcPr>
            <w:tcW w:w="2701"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站区涉及汽油为密闭操作，防止泄漏；工作场所为敞开式，自然通风良好；远离火种、热源，工作场所严禁吸烟。操作人员穿防静电工作服。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4457"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储罐等容器和设备应设置液位计、温度计，并应装有带液位、温度远传记录和报警功能的安全装置。</w:t>
            </w:r>
          </w:p>
        </w:tc>
        <w:tc>
          <w:tcPr>
            <w:tcW w:w="2701"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埋地油罐设有液位远传、高</w:t>
            </w:r>
            <w:r>
              <w:rPr>
                <w:rFonts w:hint="eastAsia" w:ascii="Times New Roman" w:hAnsi="Times New Roman" w:cs="Times New Roman"/>
                <w:color w:val="auto"/>
                <w:kern w:val="2"/>
                <w:sz w:val="21"/>
                <w:szCs w:val="21"/>
                <w:lang w:eastAsia="zh-CN"/>
              </w:rPr>
              <w:t>低</w:t>
            </w:r>
            <w:r>
              <w:rPr>
                <w:rFonts w:ascii="Times New Roman" w:hAnsi="Times New Roman" w:cs="Times New Roman"/>
                <w:color w:val="auto"/>
                <w:kern w:val="2"/>
                <w:sz w:val="21"/>
                <w:szCs w:val="21"/>
              </w:rPr>
              <w:t>液位报警仪。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4457"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避免与氧化剂接触。</w:t>
            </w:r>
          </w:p>
        </w:tc>
        <w:tc>
          <w:tcPr>
            <w:tcW w:w="2701"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未与氧化剂接触。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4457"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生产、储存区域应设置安全警示标志。灌装时应控制流速，且有接地装置，防止静电积聚。搬运时要轻装轻卸，防止包装及容器损坏。配备相应品种和数量的消防器材及泄漏应急处理设备。</w:t>
            </w:r>
          </w:p>
        </w:tc>
        <w:tc>
          <w:tcPr>
            <w:tcW w:w="2701"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设有安全警示标志；控制流速，设有接地装置；配备一定数量的消防器材及泄漏应急处理设备。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973" w:type="dxa"/>
            <w:vMerge w:val="restart"/>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r>
              <w:rPr>
                <w:rFonts w:ascii="Times New Roman"/>
                <w:sz w:val="21"/>
                <w:szCs w:val="21"/>
              </w:rPr>
              <w:t>特殊要求</w:t>
            </w:r>
          </w:p>
        </w:tc>
        <w:tc>
          <w:tcPr>
            <w:tcW w:w="4457" w:type="dxa"/>
            <w:noWrap w:val="0"/>
            <w:tcMar>
              <w:top w:w="57" w:type="dxa"/>
              <w:left w:w="85" w:type="dxa"/>
              <w:bottom w:w="57" w:type="dxa"/>
              <w:right w:w="85" w:type="dxa"/>
            </w:tcMar>
            <w:vAlign w:val="center"/>
          </w:tcPr>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【操作安全】</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（1）油罐及贮存桶装汽油附近要严禁烟火。禁止将汽油与其他易燃物放在一起。</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2）往油罐或油罐汽车装油时，输油管要插入油面以下或接近罐的底部，以减少油料的冲击和与空气的摩擦。沾油料的布、油棉纱头、油手套等不要放在油库、车库内，以免自燃。不要用铁器工具敲击汽油桶，特别是空汽油桶更危险。因为桶内充满汽油与空气的混合气，而且经常处于爆炸极限之内，一遇明火，就能引起爆炸。</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（3）当进行灌装汽油时，邻近的汽车、拖拉机的排气管要戴上防火帽后才能发动，存汽油地点附近严禁检修车辆。</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（4）汽油油罐和贮存汽油区的上空，不应有电线通过。油罐、库房与电线的距离要为电杆长度的1.5倍以上。</w:t>
            </w:r>
          </w:p>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（5）注意仓库及操作场所的通风，使油蒸气容易逸散。</w:t>
            </w:r>
          </w:p>
        </w:tc>
        <w:tc>
          <w:tcPr>
            <w:tcW w:w="2701"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（1）油罐区严禁烟火，未与其他易燃物放在一起。</w:t>
            </w:r>
          </w:p>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（2）输油管插入接近罐底；严禁使用铁器工具。</w:t>
            </w:r>
          </w:p>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（3）存放汽油处附近严禁检修车辆。</w:t>
            </w:r>
          </w:p>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（4）罐区附近无电线通过。</w:t>
            </w:r>
          </w:p>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（5）操作场所通风良好。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4457" w:type="dxa"/>
            <w:noWrap w:val="0"/>
            <w:tcMar>
              <w:top w:w="57" w:type="dxa"/>
              <w:left w:w="85" w:type="dxa"/>
              <w:bottom w:w="57" w:type="dxa"/>
              <w:right w:w="85" w:type="dxa"/>
            </w:tcMar>
            <w:vAlign w:val="center"/>
          </w:tcPr>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【储存安全】</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（1）储存于阴凉、通风的库房。远离火种、热源。库房温度不宜超过30℃。炎热季节应采取喷淋、通风等降温措施。</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（2）应与氧化剂分开存放，切忌混储。用储罐、铁桶等容器盛装，不要用塑料桶来存放汽油。盛装时，切不可充满，要留出必要的安全空间。</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（3）采用防爆型照明、通风设施。禁止使用易产生火花的机械设备和工具。储存区应备有泄漏应急处理设备和合适的收容材料。罐储时要有防火防爆技术措施。对于1000m</w:t>
            </w:r>
            <w:r>
              <w:rPr>
                <w:rFonts w:ascii="Times New Roman" w:hAnsi="Times New Roman" w:cs="Times New Roman"/>
                <w:kern w:val="2"/>
                <w:sz w:val="21"/>
                <w:szCs w:val="21"/>
                <w:vertAlign w:val="superscript"/>
              </w:rPr>
              <w:t>3</w:t>
            </w:r>
            <w:r>
              <w:rPr>
                <w:rFonts w:ascii="Times New Roman" w:hAnsi="Times New Roman" w:cs="Times New Roman"/>
                <w:kern w:val="2"/>
                <w:sz w:val="21"/>
                <w:szCs w:val="21"/>
              </w:rPr>
              <w:t>及以上的储罐顶部应有泡沫灭火设施等。</w:t>
            </w:r>
          </w:p>
        </w:tc>
        <w:tc>
          <w:tcPr>
            <w:tcW w:w="2701"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（1）储存于钢制埋地油罐。</w:t>
            </w:r>
          </w:p>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（2）现场配有泄漏应急处理设施。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940"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973" w:type="dxa"/>
            <w:vMerge w:val="continue"/>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jc w:val="center"/>
              <w:textAlignment w:val="auto"/>
              <w:rPr>
                <w:rFonts w:ascii="Times New Roman"/>
                <w:sz w:val="21"/>
                <w:szCs w:val="21"/>
              </w:rPr>
            </w:pPr>
          </w:p>
        </w:tc>
        <w:tc>
          <w:tcPr>
            <w:tcW w:w="4457" w:type="dxa"/>
            <w:noWrap w:val="0"/>
            <w:tcMar>
              <w:top w:w="57" w:type="dxa"/>
              <w:left w:w="85" w:type="dxa"/>
              <w:bottom w:w="57" w:type="dxa"/>
              <w:right w:w="85" w:type="dxa"/>
            </w:tcMar>
            <w:vAlign w:val="center"/>
          </w:tcPr>
          <w:p>
            <w:pPr>
              <w:keepNext w:val="0"/>
              <w:keepLines w:val="0"/>
              <w:pageBreakBefore w:val="0"/>
              <w:kinsoku/>
              <w:wordWrap/>
              <w:overflowPunct/>
              <w:topLinePunct w:val="0"/>
              <w:bidi w:val="0"/>
              <w:adjustRightInd w:val="0"/>
              <w:snapToGrid/>
              <w:ind w:firstLine="0" w:firstLineChars="0"/>
              <w:textAlignment w:val="auto"/>
              <w:rPr>
                <w:rFonts w:ascii="Times New Roman"/>
                <w:kern w:val="2"/>
                <w:sz w:val="21"/>
                <w:szCs w:val="21"/>
              </w:rPr>
            </w:pPr>
            <w:r>
              <w:rPr>
                <w:rFonts w:ascii="Times New Roman"/>
                <w:kern w:val="2"/>
                <w:sz w:val="21"/>
                <w:szCs w:val="21"/>
              </w:rPr>
              <w:t>【运输安全】</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（1）运输车辆应有危险货物运输标志、安装具有行驶记录功能的卫星定位装置。未经公安机关批准，运输车辆不得进入危险化学品运输车辆限制通行的区域。</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2）汽油装于专用的槽车(船)内运输，槽车(船)应定期清理；用其他包装容器运输时，容器须用盖密封。运送汽油的油罐汽车，必须有导静电拖线。对有每分钟0.5m3以上的快速装卸油设备的油罐汽车，在装卸油时，除了保证铁链接地外，更要将车上油罐的接地线插入地下并不得浅于100mm。运输时运输车辆应配备相应品种和数量的消防器材。装运该物品的车辆排气管必须配备阻火装置，禁止使用易产生火花的机械设备和工具装卸。汽车槽罐内可设孔隔板以减少震荡产生静电。</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（3）严禁与氧化剂等混装混运。夏季最好早晚运输，运输途中应防曝晒、防雨淋、防高温。中途停留时应远离火种、热源、高温区及人口密集地段。</w:t>
            </w:r>
          </w:p>
          <w:p>
            <w:pPr>
              <w:pStyle w:val="24"/>
              <w:keepNext w:val="0"/>
              <w:keepLines w:val="0"/>
              <w:pageBreakBefore w:val="0"/>
              <w:kinsoku/>
              <w:wordWrap/>
              <w:overflowPunct/>
              <w:topLinePunct w:val="0"/>
              <w:bidi w:val="0"/>
              <w:adjustRightInd w:val="0"/>
              <w:snapToGrid/>
              <w:spacing w:before="0" w:beforeAutospacing="0" w:after="0" w:afterAutospacing="0"/>
              <w:ind w:firstLine="0" w:firstLineChars="0"/>
              <w:textAlignment w:val="auto"/>
              <w:rPr>
                <w:rFonts w:ascii="Times New Roman" w:hAnsi="Times New Roman" w:cs="Times New Roman"/>
                <w:kern w:val="2"/>
                <w:sz w:val="21"/>
                <w:szCs w:val="21"/>
              </w:rPr>
            </w:pPr>
            <w:r>
              <w:rPr>
                <w:rFonts w:ascii="Times New Roman" w:hAnsi="Times New Roman" w:cs="Times New Roman"/>
                <w:kern w:val="2"/>
                <w:sz w:val="21"/>
                <w:szCs w:val="21"/>
              </w:rPr>
              <w:t>（4）输送汽油的管道不应靠近热源敷设；管道采用地上敷设时，应在人员活动较多和易遭车辆、外来物撞击的地段，采取保护措施并设置明显的警示标志；汽油管道架空敷设时，管道应敷设在非燃烧体的支架或栈桥上。在已敷设的汽油管道下面，不得修建与汽油管道无关的建筑物和堆放易燃物品；汽油管道外壁颜色、标志应执行《工业管道的基本识别色、识别符号和安全标识》（GB 7231）的规定。</w:t>
            </w:r>
          </w:p>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（5）输油管道地下铺设时，沿线应设置里程桩、转角桩、标志桩和测试桩，并设警示标志。运行应符合有关法律法规规定。</w:t>
            </w:r>
          </w:p>
        </w:tc>
        <w:tc>
          <w:tcPr>
            <w:tcW w:w="2701" w:type="dxa"/>
            <w:noWrap w:val="0"/>
            <w:tcMar>
              <w:top w:w="57" w:type="dxa"/>
              <w:left w:w="85" w:type="dxa"/>
              <w:bottom w:w="57" w:type="dxa"/>
              <w:right w:w="85" w:type="dxa"/>
            </w:tcMar>
            <w:vAlign w:val="center"/>
          </w:tcPr>
          <w:p>
            <w:pPr>
              <w:pStyle w:val="36"/>
              <w:keepNext w:val="0"/>
              <w:keepLines w:val="0"/>
              <w:pageBreakBefore w:val="0"/>
              <w:kinsoku/>
              <w:wordWrap/>
              <w:overflowPunct/>
              <w:topLinePunct w:val="0"/>
              <w:bidi w:val="0"/>
              <w:adjustRightInd w:val="0"/>
              <w:snapToGrid/>
              <w:ind w:firstLine="0" w:firstLineChars="0"/>
              <w:jc w:val="both"/>
              <w:textAlignment w:val="auto"/>
              <w:rPr>
                <w:rFonts w:ascii="Times New Roman" w:hAnsi="Times New Roman" w:cs="Times New Roman"/>
                <w:color w:val="auto"/>
                <w:kern w:val="2"/>
                <w:sz w:val="21"/>
                <w:szCs w:val="21"/>
              </w:rPr>
            </w:pPr>
            <w:r>
              <w:rPr>
                <w:rFonts w:ascii="Times New Roman" w:hAnsi="Times New Roman" w:cs="Times New Roman"/>
                <w:color w:val="auto"/>
                <w:kern w:val="2"/>
                <w:sz w:val="21"/>
                <w:szCs w:val="21"/>
              </w:rPr>
              <w:t>委托有运输资质的单位进行运输。</w:t>
            </w:r>
          </w:p>
        </w:tc>
      </w:tr>
    </w:tbl>
    <w:p>
      <w:pPr>
        <w:pageBreakBefore w:val="0"/>
        <w:kinsoku/>
        <w:wordWrap/>
        <w:topLinePunct w:val="0"/>
        <w:bidi w:val="0"/>
        <w:adjustRightInd w:val="0"/>
        <w:snapToGrid w:val="0"/>
        <w:rPr>
          <w:rFonts w:hint="default" w:ascii="Times New Roman" w:hAnsi="Times New Roman" w:cs="Times New Roman" w:eastAsiaTheme="minorEastAsia"/>
          <w:color w:val="auto"/>
          <w:sz w:val="10"/>
          <w:szCs w:val="10"/>
        </w:rPr>
      </w:pPr>
    </w:p>
    <w:p>
      <w:pPr>
        <w:adjustRightInd w:val="0"/>
        <w:snapToGrid w:val="0"/>
        <w:spacing w:line="360" w:lineRule="auto"/>
        <w:ind w:firstLine="560" w:firstLineChars="200"/>
        <w:rPr>
          <w:rFonts w:eastAsia="宋体"/>
          <w:bCs w:val="0"/>
          <w:snapToGrid w:val="0"/>
          <w:color w:val="000000"/>
          <w:kern w:val="0"/>
          <w:sz w:val="28"/>
          <w:szCs w:val="28"/>
        </w:rPr>
      </w:pPr>
      <w:r>
        <w:rPr>
          <w:rFonts w:hint="eastAsia" w:eastAsia="宋体"/>
          <w:bCs w:val="0"/>
          <w:snapToGrid w:val="0"/>
          <w:color w:val="000000"/>
          <w:kern w:val="0"/>
          <w:sz w:val="28"/>
          <w:szCs w:val="28"/>
        </w:rPr>
        <w:t>根据《化工和危险化学品生产经营单位重大生产安全事故隐患判定标准（试行）》（安监总管三</w:t>
      </w:r>
      <w:r>
        <w:rPr>
          <w:rFonts w:eastAsia="宋体"/>
          <w:bCs w:val="0"/>
          <w:snapToGrid w:val="0"/>
          <w:color w:val="000000"/>
          <w:kern w:val="0"/>
          <w:sz w:val="28"/>
          <w:szCs w:val="28"/>
        </w:rPr>
        <w:t>[2017]121</w:t>
      </w:r>
      <w:r>
        <w:rPr>
          <w:rFonts w:hint="eastAsia" w:eastAsia="宋体"/>
          <w:bCs w:val="0"/>
          <w:snapToGrid w:val="0"/>
          <w:color w:val="000000"/>
          <w:kern w:val="0"/>
          <w:sz w:val="28"/>
          <w:szCs w:val="28"/>
        </w:rPr>
        <w:t>号），对本项目是否涉及重大生产安全事故隐患判定情况如下：</w:t>
      </w:r>
    </w:p>
    <w:p>
      <w:pPr>
        <w:adjustRightInd w:val="0"/>
        <w:snapToGrid w:val="0"/>
        <w:spacing w:line="360" w:lineRule="auto"/>
        <w:ind w:firstLine="482" w:firstLineChars="200"/>
        <w:jc w:val="center"/>
        <w:rPr>
          <w:rFonts w:eastAsia="宋体"/>
          <w:b/>
          <w:bCs w:val="0"/>
          <w:color w:val="000000"/>
          <w:sz w:val="24"/>
          <w:szCs w:val="24"/>
        </w:rPr>
      </w:pPr>
      <w:r>
        <w:rPr>
          <w:rFonts w:hint="eastAsia" w:eastAsia="宋体"/>
          <w:b/>
          <w:bCs w:val="0"/>
          <w:color w:val="000000"/>
          <w:sz w:val="24"/>
          <w:szCs w:val="24"/>
        </w:rPr>
        <w:t>表</w:t>
      </w:r>
      <w:r>
        <w:rPr>
          <w:rFonts w:hint="eastAsia"/>
          <w:b/>
          <w:bCs w:val="0"/>
          <w:color w:val="000000"/>
          <w:sz w:val="24"/>
          <w:szCs w:val="24"/>
          <w:lang w:val="en-US" w:eastAsia="zh-CN"/>
        </w:rPr>
        <w:t>4.1</w:t>
      </w:r>
      <w:r>
        <w:rPr>
          <w:rFonts w:hint="eastAsia" w:eastAsia="宋体"/>
          <w:b/>
          <w:bCs w:val="0"/>
          <w:color w:val="000000"/>
          <w:sz w:val="24"/>
          <w:szCs w:val="24"/>
        </w:rPr>
        <w:t>-</w:t>
      </w:r>
      <w:r>
        <w:rPr>
          <w:rFonts w:hint="eastAsia"/>
          <w:b/>
          <w:bCs w:val="0"/>
          <w:color w:val="000000"/>
          <w:sz w:val="24"/>
          <w:szCs w:val="24"/>
          <w:lang w:val="en-US" w:eastAsia="zh-CN"/>
        </w:rPr>
        <w:t>7</w:t>
      </w:r>
      <w:r>
        <w:rPr>
          <w:rFonts w:eastAsia="宋体"/>
          <w:b/>
          <w:bCs w:val="0"/>
          <w:color w:val="000000"/>
          <w:sz w:val="24"/>
          <w:szCs w:val="24"/>
        </w:rPr>
        <w:t xml:space="preserve">  </w:t>
      </w:r>
      <w:r>
        <w:rPr>
          <w:rFonts w:hint="eastAsia" w:eastAsia="宋体"/>
          <w:b/>
          <w:bCs w:val="0"/>
          <w:color w:val="000000"/>
          <w:sz w:val="24"/>
          <w:szCs w:val="24"/>
        </w:rPr>
        <w:t>重大隐患判定表</w:t>
      </w:r>
    </w:p>
    <w:tbl>
      <w:tblPr>
        <w:tblStyle w:val="28"/>
        <w:tblW w:w="9401"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459"/>
        <w:gridCol w:w="5012"/>
        <w:gridCol w:w="2770"/>
        <w:gridCol w:w="11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12"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topLinePunct w:val="0"/>
              <w:autoSpaceDE/>
              <w:autoSpaceDN/>
              <w:bidi w:val="0"/>
              <w:adjustRightInd/>
              <w:snapToGrid/>
              <w:spacing w:line="240" w:lineRule="auto"/>
              <w:ind w:firstLine="0" w:firstLineChars="0"/>
              <w:jc w:val="center"/>
              <w:textAlignment w:val="auto"/>
              <w:rPr>
                <w:rFonts w:eastAsia="宋体"/>
                <w:b/>
                <w:bCs w:val="0"/>
                <w:snapToGrid w:val="0"/>
                <w:sz w:val="21"/>
                <w:szCs w:val="21"/>
              </w:rPr>
            </w:pPr>
            <w:r>
              <w:rPr>
                <w:rFonts w:eastAsia="宋体"/>
                <w:b/>
                <w:bCs w:val="0"/>
                <w:snapToGrid w:val="0"/>
                <w:sz w:val="21"/>
                <w:szCs w:val="21"/>
              </w:rPr>
              <w:t>序号</w:t>
            </w:r>
          </w:p>
        </w:tc>
        <w:tc>
          <w:tcPr>
            <w:tcW w:w="5012" w:type="dxa"/>
            <w:tcBorders>
              <w:top w:val="single" w:color="000000" w:sz="12"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autoSpaceDE/>
              <w:autoSpaceDN/>
              <w:bidi w:val="0"/>
              <w:adjustRightInd/>
              <w:snapToGrid/>
              <w:spacing w:line="240" w:lineRule="auto"/>
              <w:ind w:firstLine="0" w:firstLineChars="0"/>
              <w:jc w:val="center"/>
              <w:textAlignment w:val="auto"/>
              <w:rPr>
                <w:rFonts w:eastAsia="宋体"/>
                <w:b/>
                <w:bCs w:val="0"/>
                <w:snapToGrid w:val="0"/>
                <w:sz w:val="21"/>
                <w:szCs w:val="21"/>
              </w:rPr>
            </w:pPr>
            <w:r>
              <w:rPr>
                <w:rFonts w:eastAsia="宋体"/>
                <w:b/>
                <w:bCs w:val="0"/>
                <w:snapToGrid w:val="0"/>
                <w:sz w:val="21"/>
                <w:szCs w:val="21"/>
              </w:rPr>
              <w:t>重大生产安全事故隐患判定标准</w:t>
            </w:r>
          </w:p>
        </w:tc>
        <w:tc>
          <w:tcPr>
            <w:tcW w:w="2770" w:type="dxa"/>
            <w:tcBorders>
              <w:top w:val="single" w:color="000000" w:sz="12"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topLinePunct w:val="0"/>
              <w:autoSpaceDE/>
              <w:autoSpaceDN/>
              <w:bidi w:val="0"/>
              <w:adjustRightInd/>
              <w:snapToGrid/>
              <w:spacing w:line="240" w:lineRule="auto"/>
              <w:ind w:firstLine="0" w:firstLineChars="0"/>
              <w:jc w:val="center"/>
              <w:textAlignment w:val="auto"/>
              <w:rPr>
                <w:rFonts w:eastAsia="宋体"/>
                <w:b/>
                <w:bCs w:val="0"/>
                <w:snapToGrid w:val="0"/>
                <w:sz w:val="21"/>
                <w:szCs w:val="21"/>
              </w:rPr>
            </w:pPr>
            <w:r>
              <w:rPr>
                <w:rFonts w:eastAsia="宋体"/>
                <w:b/>
                <w:bCs w:val="0"/>
                <w:snapToGrid w:val="0"/>
                <w:sz w:val="21"/>
                <w:szCs w:val="21"/>
              </w:rPr>
              <w:t>实际情况</w:t>
            </w:r>
          </w:p>
        </w:tc>
        <w:tc>
          <w:tcPr>
            <w:tcW w:w="1160" w:type="dxa"/>
            <w:tcBorders>
              <w:top w:val="single" w:color="000000" w:sz="12"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topLinePunct w:val="0"/>
              <w:autoSpaceDE/>
              <w:autoSpaceDN/>
              <w:bidi w:val="0"/>
              <w:adjustRightInd/>
              <w:snapToGrid/>
              <w:spacing w:line="240" w:lineRule="auto"/>
              <w:ind w:firstLine="0" w:firstLineChars="0"/>
              <w:jc w:val="center"/>
              <w:textAlignment w:val="auto"/>
              <w:rPr>
                <w:rFonts w:eastAsia="宋体"/>
                <w:b/>
                <w:bCs w:val="0"/>
                <w:snapToGrid w:val="0"/>
                <w:sz w:val="21"/>
                <w:szCs w:val="21"/>
              </w:rPr>
            </w:pPr>
            <w:r>
              <w:rPr>
                <w:rFonts w:eastAsia="宋体"/>
                <w:b/>
                <w:bCs w:val="0"/>
                <w:snapToGrid w:val="0"/>
                <w:sz w:val="21"/>
                <w:szCs w:val="21"/>
              </w:rPr>
              <w:t>分析结果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危险化学品生产、经营单位主要负责人和安全生产管理人员未依法经考核合格。</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主要负责人及安全管理人员均已培训合格。</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eastAsia" w:eastAsia="宋体"/>
                <w:bCs w:val="0"/>
                <w:kern w:val="0"/>
                <w:sz w:val="21"/>
                <w:szCs w:val="21"/>
                <w:lang w:eastAsia="zh-CN"/>
              </w:rPr>
            </w:pPr>
            <w:r>
              <w:rPr>
                <w:rFonts w:hint="eastAsia"/>
                <w:bCs w:val="0"/>
                <w:kern w:val="0"/>
                <w:sz w:val="21"/>
                <w:szCs w:val="21"/>
                <w:lang w:eastAsia="zh-CN"/>
              </w:rPr>
              <w:t>符合要求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2</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特种作业人员未持证上岗。</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bCs w:val="0"/>
                <w:kern w:val="0"/>
                <w:sz w:val="21"/>
                <w:szCs w:val="21"/>
                <w:lang w:eastAsia="zh-CN"/>
              </w:rPr>
              <w:t>未涉及</w:t>
            </w:r>
            <w:r>
              <w:rPr>
                <w:rFonts w:eastAsia="宋体"/>
                <w:bCs w:val="0"/>
                <w:kern w:val="0"/>
                <w:sz w:val="21"/>
                <w:szCs w:val="21"/>
              </w:rPr>
              <w:t>特种作业</w:t>
            </w:r>
            <w:r>
              <w:rPr>
                <w:rFonts w:hint="eastAsia"/>
                <w:bCs w:val="0"/>
                <w:kern w:val="0"/>
                <w:sz w:val="21"/>
                <w:szCs w:val="21"/>
                <w:lang w:eastAsia="zh-CN"/>
              </w:rPr>
              <w:t>人员</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3</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涉及“两重点一重大”的生产装置、储存设施外部安全防护距离不符合国家标准要求。</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lang w:eastAsia="zh-CN"/>
              </w:rPr>
              <w:t>汽油储罐到周边设施距离满足要求</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eastAsia" w:eastAsia="宋体"/>
                <w:bCs w:val="0"/>
                <w:kern w:val="0"/>
                <w:sz w:val="21"/>
                <w:szCs w:val="21"/>
                <w:lang w:eastAsia="zh-CN"/>
              </w:rPr>
            </w:pPr>
            <w:r>
              <w:rPr>
                <w:rFonts w:hint="eastAsia"/>
                <w:bCs w:val="0"/>
                <w:kern w:val="0"/>
                <w:sz w:val="21"/>
                <w:szCs w:val="21"/>
                <w:lang w:eastAsia="zh-CN"/>
              </w:rPr>
              <w:t>符合要求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4</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涉及重点监管危险化工工艺的装置未实现自动化控制，系统未实现紧急停车功能，装备的自动化控制系统、紧急停车系统未投入使用。</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lang w:eastAsia="zh-CN"/>
              </w:rPr>
              <w:t>该项目未涉及重点监管危险化工工艺</w:t>
            </w:r>
            <w:r>
              <w:rPr>
                <w:rFonts w:hint="eastAsia"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5</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构成一级、二级重大危险源的危险化学品罐区未实现紧急切断功能；涉及毒性气体、液化气体、剧毒液体的一级、二级重大危险源的危险化学品罐区未配备独立的安全仪表系统。</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bCs w:val="0"/>
                <w:kern w:val="0"/>
                <w:sz w:val="21"/>
                <w:szCs w:val="21"/>
                <w:lang w:eastAsia="zh-CN"/>
              </w:rPr>
              <w:t>未</w:t>
            </w:r>
            <w:r>
              <w:rPr>
                <w:rFonts w:hint="eastAsia" w:eastAsia="宋体"/>
                <w:bCs w:val="0"/>
                <w:kern w:val="0"/>
                <w:sz w:val="21"/>
                <w:szCs w:val="21"/>
                <w:lang w:eastAsia="zh-CN"/>
              </w:rPr>
              <w:t>构成重大危险源</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6</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全压力式液化烃储罐未按国家标准设置注水措施。</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hint="eastAsia" w:eastAsia="宋体"/>
                <w:bCs w:val="0"/>
                <w:kern w:val="0"/>
                <w:sz w:val="21"/>
                <w:szCs w:val="21"/>
                <w:lang w:eastAsia="zh-CN"/>
              </w:rPr>
            </w:pPr>
            <w:r>
              <w:rPr>
                <w:rFonts w:hint="eastAsia"/>
                <w:bCs w:val="0"/>
                <w:kern w:val="0"/>
                <w:sz w:val="21"/>
                <w:szCs w:val="21"/>
                <w:lang w:eastAsia="zh-CN"/>
              </w:rPr>
              <w:t>站内</w:t>
            </w:r>
            <w:r>
              <w:rPr>
                <w:rFonts w:hint="eastAsia" w:eastAsia="宋体"/>
                <w:bCs w:val="0"/>
                <w:kern w:val="0"/>
                <w:sz w:val="21"/>
                <w:szCs w:val="21"/>
                <w:lang w:eastAsia="zh-CN"/>
              </w:rPr>
              <w:t>不涉及全压力式液化烃储罐。</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7</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液化烃、液氨、液氯等易燃易爆、有毒有害液化气体的充装未使用万向管道充装系统。</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lang w:eastAsia="zh-CN"/>
              </w:rPr>
              <w:t>不涉及所要求的物质</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8</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光气、氯气等剧毒气体及硫化氢气体管道穿越除厂区(包括化工园区、工业园区）外的公共区域。</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hint="eastAsia" w:eastAsia="宋体"/>
                <w:bCs w:val="0"/>
                <w:kern w:val="0"/>
                <w:sz w:val="21"/>
                <w:szCs w:val="21"/>
                <w:lang w:eastAsia="zh-CN"/>
              </w:rPr>
            </w:pPr>
            <w:r>
              <w:rPr>
                <w:rFonts w:hint="eastAsia" w:eastAsia="宋体"/>
                <w:bCs w:val="0"/>
                <w:kern w:val="0"/>
                <w:sz w:val="21"/>
                <w:szCs w:val="21"/>
              </w:rPr>
              <w:t>不涉及光气、氯气等剧毒气体及硫化氢气体</w:t>
            </w:r>
            <w:r>
              <w:rPr>
                <w:rFonts w:hint="eastAsia" w:eastAsia="宋体"/>
                <w:bCs w:val="0"/>
                <w:kern w:val="0"/>
                <w:sz w:val="21"/>
                <w:szCs w:val="21"/>
                <w:lang w:eastAsia="zh-CN"/>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9</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地区架空电力线路穿越生产区且不符合国家标准要求。</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rPr>
              <w:t>无地区架空电力线路穿越生产区</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eastAsia" w:eastAsia="宋体"/>
                <w:bCs w:val="0"/>
                <w:kern w:val="0"/>
                <w:sz w:val="21"/>
                <w:szCs w:val="21"/>
                <w:lang w:eastAsia="zh-CN"/>
              </w:rPr>
            </w:pPr>
            <w:r>
              <w:rPr>
                <w:rFonts w:hint="eastAsia"/>
                <w:bCs w:val="0"/>
                <w:kern w:val="0"/>
                <w:sz w:val="21"/>
                <w:szCs w:val="21"/>
                <w:lang w:eastAsia="zh-CN"/>
              </w:rPr>
              <w:t>符合要求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10</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在役化工装置未经正规设计且未进行安全设计诊断。</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lang w:eastAsia="zh-CN"/>
              </w:rPr>
              <w:t>不涉及在役化工装置</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11</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使用淘汰落后安全技术工艺、设备目录列出的工艺、设备。</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未使用淘汰落后安全技术工艺、设备目录列出的工艺、设备。</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eastAsia" w:eastAsia="宋体"/>
                <w:bCs w:val="0"/>
                <w:kern w:val="0"/>
                <w:sz w:val="21"/>
                <w:szCs w:val="21"/>
                <w:lang w:eastAsia="zh-CN"/>
              </w:rPr>
            </w:pPr>
            <w:r>
              <w:rPr>
                <w:rFonts w:hint="eastAsia"/>
                <w:bCs w:val="0"/>
                <w:kern w:val="0"/>
                <w:sz w:val="21"/>
                <w:szCs w:val="21"/>
                <w:lang w:eastAsia="zh-CN"/>
              </w:rPr>
              <w:t>符合要求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12</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涉及可燃和有毒有害气体泄漏的场所未按国家标准设置检测报警装置，爆炸危险场所未按国家标准安装使用防爆电气设备。</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rPr>
              <w:t>爆炸危险场所均使用防爆电气设备</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eastAsia" w:eastAsia="宋体"/>
                <w:bCs w:val="0"/>
                <w:kern w:val="0"/>
                <w:sz w:val="21"/>
                <w:szCs w:val="21"/>
                <w:lang w:eastAsia="zh-CN"/>
              </w:rPr>
            </w:pPr>
            <w:r>
              <w:rPr>
                <w:rFonts w:hint="eastAsia"/>
                <w:bCs w:val="0"/>
                <w:kern w:val="0"/>
                <w:sz w:val="21"/>
                <w:szCs w:val="21"/>
                <w:lang w:eastAsia="zh-CN"/>
              </w:rPr>
              <w:t>符合要求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13</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控制室或机柜间面向具有火灾、爆炸危险性装置一侧不满足国家标准关于防火防爆的要求。</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hint="eastAsia" w:eastAsia="宋体"/>
                <w:bCs w:val="0"/>
                <w:kern w:val="0"/>
                <w:sz w:val="21"/>
                <w:szCs w:val="21"/>
                <w:lang w:eastAsia="zh-CN"/>
              </w:rPr>
            </w:pPr>
            <w:r>
              <w:rPr>
                <w:rFonts w:hint="eastAsia"/>
                <w:bCs w:val="0"/>
                <w:kern w:val="0"/>
                <w:sz w:val="21"/>
                <w:szCs w:val="21"/>
                <w:lang w:eastAsia="zh-CN"/>
              </w:rPr>
              <w:t>不涉及。</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14</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化工生产装置未按国家标准要求设置双重电源供电，自动化控制系统未设置不间断电源。</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hint="eastAsia" w:eastAsia="宋体"/>
                <w:bCs w:val="0"/>
                <w:kern w:val="0"/>
                <w:sz w:val="21"/>
                <w:szCs w:val="21"/>
                <w:lang w:eastAsia="zh-CN"/>
              </w:rPr>
            </w:pPr>
            <w:r>
              <w:rPr>
                <w:rFonts w:hint="eastAsia"/>
                <w:bCs w:val="0"/>
                <w:kern w:val="0"/>
                <w:sz w:val="21"/>
                <w:szCs w:val="21"/>
                <w:lang w:eastAsia="zh-CN"/>
              </w:rPr>
              <w:t>不涉及。</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15</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安全阀、爆破片等安全附件未正常投用。</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rPr>
              <w:t>不涉及安全阀等安全附件</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16</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未建立与岗位相匹配的全员安全生产责任制或者未制定实施生产安全事故隐患排查治理制度。</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rPr>
              <w:t>建立了安全生产责任制</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eastAsia" w:eastAsia="宋体"/>
                <w:bCs w:val="0"/>
                <w:kern w:val="0"/>
                <w:sz w:val="21"/>
                <w:szCs w:val="21"/>
                <w:lang w:eastAsia="zh-CN"/>
              </w:rPr>
            </w:pPr>
            <w:r>
              <w:rPr>
                <w:rFonts w:hint="eastAsia"/>
                <w:bCs w:val="0"/>
                <w:kern w:val="0"/>
                <w:sz w:val="21"/>
                <w:szCs w:val="21"/>
                <w:lang w:eastAsia="zh-CN"/>
              </w:rPr>
              <w:t>符合要求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17</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未制定操作规程和工艺控制指标。</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制定了操作规程。</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eastAsia" w:eastAsia="宋体"/>
                <w:bCs w:val="0"/>
                <w:kern w:val="0"/>
                <w:sz w:val="21"/>
                <w:szCs w:val="21"/>
                <w:lang w:eastAsia="zh-CN"/>
              </w:rPr>
            </w:pPr>
            <w:r>
              <w:rPr>
                <w:rFonts w:hint="eastAsia"/>
                <w:bCs w:val="0"/>
                <w:kern w:val="0"/>
                <w:sz w:val="21"/>
                <w:szCs w:val="21"/>
                <w:lang w:eastAsia="zh-CN"/>
              </w:rPr>
              <w:t>符合要求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18</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未按照国家标准制定动火、进入受限空间等特殊作业管理制度，或者制度未有效执行。</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bCs w:val="0"/>
                <w:kern w:val="0"/>
                <w:sz w:val="21"/>
                <w:szCs w:val="21"/>
                <w:lang w:eastAsia="zh-CN"/>
              </w:rPr>
              <w:t>不涉及</w:t>
            </w:r>
            <w:r>
              <w:rPr>
                <w:rFonts w:eastAsia="宋体"/>
                <w:bCs w:val="0"/>
                <w:kern w:val="0"/>
                <w:sz w:val="21"/>
                <w:szCs w:val="21"/>
              </w:rPr>
              <w:t>。</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19</w:t>
            </w:r>
          </w:p>
        </w:tc>
        <w:tc>
          <w:tcPr>
            <w:tcW w:w="5012"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2770"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不涉及新工艺、新装置。</w:t>
            </w:r>
          </w:p>
        </w:tc>
        <w:tc>
          <w:tcPr>
            <w:tcW w:w="1160" w:type="dxa"/>
            <w:tcBorders>
              <w:top w:val="single" w:color="000000" w:sz="6" w:space="0"/>
              <w:left w:val="single" w:color="000000" w:sz="6" w:space="0"/>
              <w:bottom w:val="single" w:color="000000" w:sz="6"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default" w:eastAsia="宋体"/>
                <w:bCs w:val="0"/>
                <w:kern w:val="0"/>
                <w:sz w:val="21"/>
                <w:szCs w:val="21"/>
                <w:lang w:val="en-US" w:eastAsia="zh-CN"/>
              </w:rPr>
            </w:pPr>
            <w:r>
              <w:rPr>
                <w:rFonts w:hint="eastAsia"/>
                <w:bCs w:val="0"/>
                <w:kern w:val="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0" w:hRule="atLeast"/>
          <w:tblHeader/>
        </w:trPr>
        <w:tc>
          <w:tcPr>
            <w:tcW w:w="459" w:type="dxa"/>
            <w:tcBorders>
              <w:top w:val="single" w:color="000000" w:sz="6" w:space="0"/>
              <w:left w:val="single" w:color="000000" w:sz="12" w:space="0"/>
              <w:bottom w:val="single" w:color="000000" w:sz="12"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20</w:t>
            </w:r>
          </w:p>
        </w:tc>
        <w:tc>
          <w:tcPr>
            <w:tcW w:w="5012" w:type="dxa"/>
            <w:tcBorders>
              <w:top w:val="single" w:color="000000" w:sz="6" w:space="0"/>
              <w:left w:val="single" w:color="000000" w:sz="6" w:space="0"/>
              <w:bottom w:val="single" w:color="000000" w:sz="12"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eastAsia="宋体"/>
                <w:bCs w:val="0"/>
                <w:kern w:val="0"/>
                <w:sz w:val="21"/>
                <w:szCs w:val="21"/>
              </w:rPr>
              <w:t>未按国家标准分区分类储存危险化学品，超量、超品种储存危险化学品，相互禁配物质混放混存。</w:t>
            </w:r>
          </w:p>
        </w:tc>
        <w:tc>
          <w:tcPr>
            <w:tcW w:w="2770" w:type="dxa"/>
            <w:tcBorders>
              <w:top w:val="single" w:color="000000" w:sz="6" w:space="0"/>
              <w:left w:val="single" w:color="000000" w:sz="6" w:space="0"/>
              <w:bottom w:val="single" w:color="000000" w:sz="12" w:space="0"/>
              <w:right w:val="single" w:color="000000" w:sz="6"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textAlignment w:val="auto"/>
              <w:rPr>
                <w:rFonts w:eastAsia="宋体"/>
                <w:bCs w:val="0"/>
                <w:kern w:val="0"/>
                <w:sz w:val="21"/>
                <w:szCs w:val="21"/>
              </w:rPr>
            </w:pPr>
            <w:r>
              <w:rPr>
                <w:rFonts w:hint="eastAsia" w:eastAsia="宋体"/>
                <w:bCs w:val="0"/>
                <w:kern w:val="0"/>
                <w:sz w:val="21"/>
                <w:szCs w:val="21"/>
              </w:rPr>
              <w:t>物料储存符合相关要求</w:t>
            </w:r>
            <w:r>
              <w:rPr>
                <w:rFonts w:eastAsia="宋体"/>
                <w:bCs w:val="0"/>
                <w:kern w:val="0"/>
                <w:sz w:val="21"/>
                <w:szCs w:val="21"/>
              </w:rPr>
              <w:t>。</w:t>
            </w:r>
          </w:p>
        </w:tc>
        <w:tc>
          <w:tcPr>
            <w:tcW w:w="1160" w:type="dxa"/>
            <w:tcBorders>
              <w:top w:val="single" w:color="000000" w:sz="6" w:space="0"/>
              <w:left w:val="single" w:color="000000" w:sz="6" w:space="0"/>
              <w:bottom w:val="single" w:color="000000" w:sz="12" w:space="0"/>
              <w:right w:val="single" w:color="000000" w:sz="12" w:space="0"/>
            </w:tcBorders>
            <w:vAlign w:val="center"/>
          </w:tcPr>
          <w:p>
            <w:pPr>
              <w:keepNext w:val="0"/>
              <w:keepLines w:val="0"/>
              <w:pageBreakBefore w:val="0"/>
              <w:widowControl w:val="0"/>
              <w:kinsoku/>
              <w:wordWrap/>
              <w:overflowPunct w:val="0"/>
              <w:topLinePunct w:val="0"/>
              <w:autoSpaceDE/>
              <w:autoSpaceDN/>
              <w:bidi w:val="0"/>
              <w:adjustRightInd/>
              <w:snapToGrid/>
              <w:spacing w:line="240" w:lineRule="auto"/>
              <w:ind w:firstLine="0" w:firstLineChars="0"/>
              <w:jc w:val="center"/>
              <w:textAlignment w:val="auto"/>
              <w:rPr>
                <w:rFonts w:hint="eastAsia" w:eastAsia="宋体"/>
                <w:bCs w:val="0"/>
                <w:kern w:val="0"/>
                <w:sz w:val="21"/>
                <w:szCs w:val="21"/>
                <w:lang w:eastAsia="zh-CN"/>
              </w:rPr>
            </w:pPr>
            <w:r>
              <w:rPr>
                <w:rFonts w:hint="eastAsia"/>
                <w:bCs w:val="0"/>
                <w:kern w:val="0"/>
                <w:sz w:val="21"/>
                <w:szCs w:val="21"/>
                <w:lang w:eastAsia="zh-CN"/>
              </w:rPr>
              <w:t>符合要求</w:t>
            </w: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560"/>
        <w:textAlignment w:val="auto"/>
        <w:rPr>
          <w:rFonts w:hint="eastAsia" w:ascii="Times New Roman" w:hAnsi="Times New Roman" w:eastAsia="宋体" w:cs="Times New Roman"/>
          <w:color w:val="auto"/>
          <w:szCs w:val="28"/>
          <w:highlight w:val="none"/>
          <w:lang w:eastAsia="zh-CN"/>
        </w:rPr>
      </w:pPr>
      <w:r>
        <w:rPr>
          <w:rFonts w:hint="eastAsia" w:eastAsia="宋体"/>
          <w:color w:val="000000"/>
          <w:sz w:val="28"/>
          <w:szCs w:val="28"/>
        </w:rPr>
        <w:t>经分析，</w:t>
      </w:r>
      <w:r>
        <w:rPr>
          <w:rFonts w:hint="eastAsia" w:eastAsia="宋体"/>
          <w:color w:val="000000"/>
          <w:sz w:val="28"/>
          <w:szCs w:val="28"/>
          <w:lang w:eastAsia="zh-CN"/>
        </w:rPr>
        <w:t>该</w:t>
      </w:r>
      <w:r>
        <w:rPr>
          <w:rFonts w:hint="eastAsia"/>
          <w:color w:val="000000"/>
          <w:sz w:val="28"/>
          <w:szCs w:val="28"/>
          <w:lang w:val="en-US" w:eastAsia="zh-CN"/>
        </w:rPr>
        <w:t>加油中心</w:t>
      </w:r>
      <w:r>
        <w:rPr>
          <w:rFonts w:hint="eastAsia" w:eastAsia="宋体"/>
          <w:color w:val="000000"/>
          <w:sz w:val="28"/>
          <w:szCs w:val="28"/>
        </w:rPr>
        <w:t>不存在《化工和危险化学品生产经营单位重大生产安全事故隐患判定标准（试行）》（安监总管三[2017]121号）规定的重大安全隐患</w:t>
      </w:r>
      <w:r>
        <w:rPr>
          <w:rFonts w:hint="eastAsia"/>
          <w:color w:val="00000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before="157" w:beforeLines="50"/>
        <w:ind w:firstLine="560"/>
        <w:textAlignment w:val="auto"/>
        <w:rPr>
          <w:rFonts w:hint="eastAsia" w:eastAsia="宋体"/>
          <w:color w:val="000000"/>
          <w:sz w:val="28"/>
          <w:szCs w:val="28"/>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4"/>
        <w:pageBreakBefore w:val="0"/>
        <w:kinsoku/>
        <w:wordWrap/>
        <w:topLinePunct w:val="0"/>
        <w:bidi w:val="0"/>
        <w:adjustRightInd w:val="0"/>
        <w:snapToGrid w:val="0"/>
        <w:spacing w:before="93" w:after="93"/>
        <w:rPr>
          <w:rFonts w:hint="eastAsia" w:ascii="Times New Roman" w:hAnsi="Times New Roman" w:cs="Times New Roman" w:eastAsiaTheme="minorEastAsia"/>
          <w:b/>
          <w:bCs w:val="0"/>
          <w:color w:val="auto"/>
          <w:sz w:val="28"/>
          <w:szCs w:val="28"/>
          <w:lang w:eastAsia="zh-CN"/>
        </w:rPr>
      </w:pPr>
      <w:bookmarkStart w:id="211" w:name="_Toc3208"/>
      <w:r>
        <w:rPr>
          <w:rFonts w:hint="default" w:ascii="Times New Roman" w:hAnsi="Times New Roman" w:cs="Times New Roman" w:eastAsiaTheme="minorEastAsia"/>
          <w:b/>
          <w:bCs w:val="0"/>
          <w:color w:val="auto"/>
          <w:sz w:val="28"/>
          <w:szCs w:val="28"/>
        </w:rPr>
        <w:t>附4.</w:t>
      </w:r>
      <w:r>
        <w:rPr>
          <w:rFonts w:hint="eastAsia" w:cs="Times New Roman" w:eastAsiaTheme="minorEastAsia"/>
          <w:b/>
          <w:bCs w:val="0"/>
          <w:color w:val="auto"/>
          <w:sz w:val="28"/>
          <w:szCs w:val="28"/>
          <w:lang w:val="en-US" w:eastAsia="zh-CN"/>
        </w:rPr>
        <w:t>2</w:t>
      </w:r>
      <w:r>
        <w:rPr>
          <w:rFonts w:hint="default" w:ascii="Times New Roman" w:hAnsi="Times New Roman" w:cs="Times New Roman" w:eastAsiaTheme="minorEastAsia"/>
          <w:b/>
          <w:bCs w:val="0"/>
          <w:color w:val="auto"/>
          <w:sz w:val="28"/>
          <w:szCs w:val="28"/>
        </w:rPr>
        <w:t xml:space="preserve"> </w:t>
      </w:r>
      <w:r>
        <w:rPr>
          <w:rFonts w:hint="eastAsia" w:cs="Times New Roman" w:eastAsiaTheme="minorEastAsia"/>
          <w:b/>
          <w:bCs w:val="0"/>
          <w:color w:val="auto"/>
          <w:sz w:val="28"/>
          <w:szCs w:val="28"/>
          <w:lang w:eastAsia="zh-CN"/>
        </w:rPr>
        <w:t>预先危险性分析</w:t>
      </w:r>
      <w:bookmarkEnd w:id="211"/>
    </w:p>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该项目可能发生的危险化学品事故、后果和对策见附表</w:t>
      </w:r>
      <w:r>
        <w:rPr>
          <w:rFonts w:hint="eastAsia" w:cs="Times New Roman" w:eastAsiaTheme="minorEastAsia"/>
          <w:color w:val="auto"/>
          <w:lang w:val="en-US" w:eastAsia="zh-CN"/>
        </w:rPr>
        <w:t>4.2</w:t>
      </w:r>
      <w:r>
        <w:rPr>
          <w:rFonts w:hint="default" w:ascii="Times New Roman" w:hAnsi="Times New Roman" w:cs="Times New Roman" w:eastAsiaTheme="minorEastAsia"/>
          <w:color w:val="auto"/>
        </w:rPr>
        <w:t>-1：</w:t>
      </w:r>
    </w:p>
    <w:p>
      <w:pPr>
        <w:pageBreakBefore w:val="0"/>
        <w:kinsoku/>
        <w:wordWrap/>
        <w:topLinePunct w:val="0"/>
        <w:bidi w:val="0"/>
        <w:adjustRightInd w:val="0"/>
        <w:snapToGrid w:val="0"/>
        <w:ind w:firstLine="482"/>
        <w:jc w:val="center"/>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附表</w:t>
      </w:r>
      <w:r>
        <w:rPr>
          <w:rFonts w:hint="eastAsia" w:cs="Times New Roman" w:eastAsiaTheme="minorEastAsia"/>
          <w:b/>
          <w:color w:val="auto"/>
          <w:sz w:val="24"/>
          <w:szCs w:val="24"/>
          <w:lang w:val="en-US" w:eastAsia="zh-CN"/>
        </w:rPr>
        <w:t>4.2</w:t>
      </w:r>
      <w:r>
        <w:rPr>
          <w:rFonts w:hint="default" w:ascii="Times New Roman" w:hAnsi="Times New Roman" w:cs="Times New Roman" w:eastAsiaTheme="minorEastAsia"/>
          <w:b/>
          <w:color w:val="auto"/>
          <w:sz w:val="24"/>
          <w:szCs w:val="24"/>
        </w:rPr>
        <w:t>-1 可能发生的危险化学品事故、后果和对策</w:t>
      </w:r>
    </w:p>
    <w:tbl>
      <w:tblPr>
        <w:tblStyle w:val="29"/>
        <w:tblW w:w="141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10"/>
        <w:gridCol w:w="2126"/>
        <w:gridCol w:w="1417"/>
        <w:gridCol w:w="3827"/>
        <w:gridCol w:w="1276"/>
        <w:gridCol w:w="709"/>
        <w:gridCol w:w="35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序号</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事故类别</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触发事件</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现象</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形成事故原因事件</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事故后果</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危险等级</w:t>
            </w:r>
          </w:p>
        </w:tc>
        <w:tc>
          <w:tcPr>
            <w:tcW w:w="3575"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b/>
                <w:bCs/>
                <w:color w:val="auto"/>
                <w:sz w:val="21"/>
                <w:szCs w:val="24"/>
              </w:rPr>
            </w:pPr>
            <w:r>
              <w:rPr>
                <w:rFonts w:hint="default" w:ascii="Times New Roman" w:hAnsi="Times New Roman" w:cs="Times New Roman" w:eastAsiaTheme="minorEastAsia"/>
                <w:b/>
                <w:bCs/>
                <w:color w:val="auto"/>
                <w:sz w:val="21"/>
                <w:szCs w:val="24"/>
              </w:rPr>
              <w:t>安全对策措施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火灾爆炸</w:t>
            </w:r>
          </w:p>
        </w:tc>
        <w:tc>
          <w:tcPr>
            <w:tcW w:w="2126" w:type="dxa"/>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1、事故泄漏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1）油罐车、油罐、加油机管线等破裂；</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2）油罐等超装溢出；</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3）阀门、法兰等泄漏；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4）转动设备等动密封处泄漏；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5）罐、阀门、管道、流量计、仪表连接处泄漏；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6）阀门、泵、管道等因质量或安装不当泄漏；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7）撞击或人为破坏等造成容器、管道等破裂而泄漏；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8）由自然灾害造成的破裂泄漏，如雷击等。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2、运行泄漏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1）流度、次序不适当造成失控导致破裂、泄漏；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2）垫片撕裂；</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3、其它</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易燃、易爆物料遇明火、高温</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1、明火</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1）点火吸烟；</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2）抢修、检修时违章动火，焊接时未按有关规定动火；</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3）其它火源，电动机相间短路等；</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4）其它火灾引起二次火灾等。</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2、火花</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1）用钢制工具敲打设备、管道，产生撞击火花；</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2）电器火花；</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3）电气线路陈旧老化或受到损坏产生短路火花；</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4）静电放电；</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5）雷击（直接雷击、雷电二次作用、沿着电气线路、金属管道侵入）；</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6）焊、割、打磨产生的火花等。</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3、其它</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财产损失、人员伤亡、停产、造成严重经济损失</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Ⅳ</w:t>
            </w:r>
          </w:p>
        </w:tc>
        <w:tc>
          <w:tcPr>
            <w:tcW w:w="3575"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bCs/>
                <w:color w:val="auto"/>
                <w:spacing w:val="6"/>
                <w:kern w:val="10"/>
                <w:sz w:val="21"/>
                <w:szCs w:val="21"/>
              </w:rPr>
            </w:pPr>
            <w:r>
              <w:rPr>
                <w:rFonts w:hint="default" w:ascii="Times New Roman" w:hAnsi="Times New Roman" w:cs="Times New Roman" w:eastAsiaTheme="minorEastAsia"/>
                <w:bCs/>
                <w:color w:val="auto"/>
                <w:spacing w:val="6"/>
                <w:kern w:val="10"/>
                <w:sz w:val="21"/>
                <w:szCs w:val="21"/>
                <w:lang w:val="zh-CN"/>
              </w:rPr>
              <w:t xml:space="preserve">1、控制与消除火源 </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1）严禁吸烟、携带火种等进入易燃易爆区；</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2）动火必须严格按动火手续办理动火证，并采取有效防范措施；</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3）按规定完善防静电接地措施，安装防雷接地装置，并定期进行检测；4）使用不发火的合金工具；</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5）电缆购置、敷设要按国家规定，保证质量；</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pacing w:val="6"/>
                <w:kern w:val="10"/>
                <w:sz w:val="21"/>
                <w:szCs w:val="21"/>
                <w:lang w:val="zh-CN"/>
              </w:rPr>
            </w:pPr>
            <w:r>
              <w:rPr>
                <w:rFonts w:hint="default" w:ascii="Times New Roman" w:hAnsi="Times New Roman" w:cs="Times New Roman" w:eastAsiaTheme="minorEastAsia"/>
                <w:color w:val="auto"/>
                <w:spacing w:val="6"/>
                <w:kern w:val="10"/>
                <w:sz w:val="21"/>
                <w:szCs w:val="21"/>
                <w:lang w:val="zh-CN"/>
              </w:rPr>
              <w:t>6）易燃、易爆区域电气线路、设备及应急照明装置要采用相应防爆级别。</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bCs/>
                <w:color w:val="auto"/>
                <w:spacing w:val="6"/>
                <w:kern w:val="10"/>
                <w:sz w:val="21"/>
                <w:szCs w:val="21"/>
                <w:lang w:val="zh-CN"/>
              </w:rPr>
            </w:pPr>
            <w:r>
              <w:rPr>
                <w:rFonts w:hint="default" w:ascii="Times New Roman" w:hAnsi="Times New Roman" w:cs="Times New Roman" w:eastAsiaTheme="minorEastAsia"/>
                <w:bCs/>
                <w:color w:val="auto"/>
                <w:spacing w:val="6"/>
                <w:kern w:val="10"/>
                <w:sz w:val="21"/>
                <w:szCs w:val="21"/>
                <w:lang w:val="zh-CN"/>
              </w:rPr>
              <w:t>2、严格控制管道、管件及各种附件的产品质量并保证其施工安装质量，加强探伤。</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textAlignment w:val="auto"/>
              <w:rPr>
                <w:rFonts w:hint="default" w:ascii="Times New Roman" w:hAnsi="Times New Roman" w:cs="Times New Roman" w:eastAsiaTheme="minorEastAsia"/>
                <w:bCs/>
                <w:color w:val="auto"/>
                <w:spacing w:val="6"/>
                <w:kern w:val="10"/>
                <w:sz w:val="21"/>
                <w:szCs w:val="21"/>
                <w:lang w:val="zh-CN"/>
              </w:rPr>
            </w:pPr>
            <w:r>
              <w:rPr>
                <w:rFonts w:hint="default" w:ascii="Times New Roman" w:hAnsi="Times New Roman" w:cs="Times New Roman" w:eastAsiaTheme="minorEastAsia"/>
                <w:bCs/>
                <w:color w:val="auto"/>
                <w:spacing w:val="6"/>
                <w:kern w:val="10"/>
                <w:sz w:val="21"/>
                <w:szCs w:val="21"/>
                <w:lang w:val="zh-CN"/>
              </w:rPr>
              <w:t>3、加强现场管理，站场内及发生泄漏的现场划出禁火区，站内禁止穿带钉皮鞋</w:t>
            </w:r>
            <w:r>
              <w:rPr>
                <w:rFonts w:hint="default" w:ascii="Times New Roman" w:hAnsi="Times New Roman" w:cs="Times New Roman" w:eastAsiaTheme="minorEastAsia"/>
                <w:bCs/>
                <w:color w:val="auto"/>
                <w:spacing w:val="6"/>
                <w:sz w:val="21"/>
                <w:szCs w:val="21"/>
              </w:rPr>
              <w:t>，化纤服装</w:t>
            </w:r>
            <w:r>
              <w:rPr>
                <w:rFonts w:hint="default" w:ascii="Times New Roman" w:hAnsi="Times New Roman" w:cs="Times New Roman" w:eastAsiaTheme="minorEastAsia"/>
                <w:bCs/>
                <w:color w:val="auto"/>
                <w:spacing w:val="6"/>
                <w:kern w:val="10"/>
                <w:sz w:val="21"/>
                <w:szCs w:val="21"/>
                <w:lang w:val="zh-CN"/>
              </w:rPr>
              <w:t>。</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bCs/>
                <w:color w:val="auto"/>
                <w:sz w:val="21"/>
                <w:szCs w:val="21"/>
              </w:rPr>
              <w:t>4.</w:t>
            </w:r>
            <w:r>
              <w:rPr>
                <w:rFonts w:hint="default" w:ascii="Times New Roman" w:hAnsi="Times New Roman" w:cs="Times New Roman" w:eastAsiaTheme="minorEastAsia"/>
                <w:color w:val="auto"/>
                <w:sz w:val="21"/>
                <w:szCs w:val="21"/>
              </w:rPr>
              <w:t>电力线路敷设规范，并定期检查、维护、保养。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触电</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1、设备漏电；</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2、绝缘老化、损坏；</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3、安全距离不够；</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4、保护接地、接零不当；</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5、手持电动工具绝缘损坏；</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6、雷击。</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1、人体触及带电体；</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2、电流通过人体的时间超过30mA.S</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1、手及人体其他部位、手持金属物体触及带电体；</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4"/>
              </w:rPr>
              <w:t>2、使用的电气设备漏电、绝缘损坏，如电焊机无良好的保护接地、接零情况下，外壳漏电、接线头裸露、接线板和导线绝缘损坏，更换焊条时人体触及焊钳或焊接变压器一次、二次绕组绝缘损坏，利用金属</w:t>
            </w:r>
            <w:r>
              <w:rPr>
                <w:rFonts w:hint="default" w:ascii="Times New Roman" w:hAnsi="Times New Roman" w:cs="Times New Roman" w:eastAsiaTheme="minorEastAsia"/>
                <w:color w:val="auto"/>
                <w:sz w:val="21"/>
                <w:szCs w:val="21"/>
              </w:rPr>
              <w:t>结构、管线或其它金属物作焊接回路；</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3、雷电（直击雷、感应雷、雷电侵入波）。</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1"/>
              </w:rPr>
              <w:t>4、在潮湿环境、电焊</w:t>
            </w:r>
            <w:r>
              <w:rPr>
                <w:rFonts w:hint="default" w:ascii="Times New Roman" w:hAnsi="Times New Roman" w:cs="Times New Roman" w:eastAsiaTheme="minorEastAsia"/>
                <w:color w:val="auto"/>
                <w:sz w:val="21"/>
                <w:szCs w:val="24"/>
              </w:rPr>
              <w:t>等作业，无人监护；</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5、电工违章作业、非电工违章电气作业。</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人员伤亡</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1、按规定设备、线路采用与电压相符，使用与环境和运行条件相适应的绝缘体，并定期检查、维修。保持完好状态；</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2、使用防护装置，将带电体同外界隔绝开来，防止人体接近或触及带电体；</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3、根据要求对用电设备做好保护接地或保护接零；</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4、在金属容器内进行检修等作业时，应采用12V电气设备，并要有现场监护；</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5、建立和健全并严格执行电气安全规章制度和安全操作规程；</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6、对职工进行电气安全培训教育，以及急救方法；</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7、定期进行电气安全检查，严禁“三违”；对防雷装置进行定期检查、检测，保持完好状态，使之有可靠的保护作用；</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8、做好电气线路和单相电气设备、；临时用电的安全作业和运行。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中毒</w:t>
            </w:r>
            <w:r>
              <w:rPr>
                <w:rFonts w:hint="eastAsia" w:cs="Times New Roman" w:eastAsiaTheme="minorEastAsia"/>
                <w:color w:val="auto"/>
                <w:sz w:val="21"/>
                <w:szCs w:val="24"/>
                <w:lang w:eastAsia="zh-CN"/>
              </w:rPr>
              <w:t>和</w:t>
            </w:r>
            <w:r>
              <w:rPr>
                <w:rFonts w:hint="default" w:ascii="Times New Roman" w:hAnsi="Times New Roman" w:cs="Times New Roman" w:eastAsiaTheme="minorEastAsia"/>
                <w:color w:val="auto"/>
                <w:sz w:val="21"/>
                <w:szCs w:val="24"/>
              </w:rPr>
              <w:t>窒息</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1、泄漏原因有故障泄漏、运行泄漏，泄漏的物料有毒的有：汽油、柴油等。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2、检修时罐、器、管等中的有毒物料未彻底清洗干净；</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3、缺氧。</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1、有毒物料泄漏超过容许浓度；</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2、毒物摄入人体；</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3、缺氧</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1、毒物浓度超标；</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2、通风不良；</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3、不清楚或不懂泄漏出来的物料毒性及其应急预案方法；</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4、救护不当；</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5、在有毒场所作业时无人监护。</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人员中毒、窒息、财产受损</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1、严格控制设备质量及其安装质量，消除泄漏可能性；</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2、泄漏后应采取相应措施：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1）查明泄漏原点，切断相关阀门，消除泄漏源，及时报告；</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2）如泄漏量大，应疏散有关人员至安全处；</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3、定期检修、维护保养，保持设备的完好状态；检修时，要彻底清洗干净。</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4、在特殊场合下要正确佩戴相应的防毒过滤器和穿戴好劳动防护用品。</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5、组织管理措施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1）加强对毒物的检测，有毒设备的检查，有否跑、冒、滴、漏；</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2）教育、培训职工，掌握有关毒物的毒性、预防中毒的方法，中毒后如何急救；</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3）要求职工严格遵守各种规章制度，操作规程；</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4）设立急救点（备有相应的药品、器材）。</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6、加强通风。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车辆伤害</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1、车辆有故障（如不灵等）；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2、车速太快；</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3、路面不太好（如缺陷、障碍物、冰雪等）；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4、超载驾驶</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车辆撞击人体、设备、管线等</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1、驾驶员违章行驶；</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2、驾驶员精力不集中（如抽烟、谈话等）；</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3、酒后驾车；</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4、疲劳驾驶；</w:t>
            </w:r>
          </w:p>
          <w:p>
            <w:pPr>
              <w:keepNext w:val="0"/>
              <w:keepLines w:val="0"/>
              <w:pageBreakBefore w:val="0"/>
              <w:widowControl w:val="0"/>
              <w:kinsoku/>
              <w:wordWrap/>
              <w:overflowPunct/>
              <w:topLinePunct w:val="0"/>
              <w:bidi w:val="0"/>
              <w:adjustRightInd w:val="0"/>
              <w:snapToGrid w:val="0"/>
              <w:spacing w:line="240" w:lineRule="auto"/>
              <w:ind w:firstLine="0" w:firstLineChars="0"/>
              <w:jc w:val="both"/>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5、驾驶员心境差、激情驾驶。</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人员伤害、财产损失</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1、增设交通标志（包括限速行驶标志）；</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2、保持路面状态良好；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3、驾驶员遵守交通规则，不违章行驶；</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4、加强对驾驶员的教育和管理（如在行驶时不吸烟、不谈话、不疲劳驾驶、不激情驾驶）；</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5、行驶的车辆保证完好状态；</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6、不超载、超速行驶；</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7、设立明显的车辆行驶指示牌。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5</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物体打击</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1、设备损坏维修；</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2、作业现场混乱。</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设备损坏维修，使用工具飞出</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1、操作人员精神不集中；</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2、不按操作规程作业；</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3、不佩戴劳动防护用品；</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4、管理不到位。</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人员伤亡</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1、培训人员增强安全意识；</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2、严格按操作规程作业；</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3、佩戴劳动防护用品。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34"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6</w:t>
            </w:r>
          </w:p>
        </w:tc>
        <w:tc>
          <w:tcPr>
            <w:tcW w:w="710"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高处坠落</w:t>
            </w:r>
          </w:p>
        </w:tc>
        <w:tc>
          <w:tcPr>
            <w:tcW w:w="212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1.罩棚检修过程中，工作人员不注意，造成滑落等。</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2.无脚手架、板，造成高处坠落。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3．梯子无防滑措施或强度不够、人字梯无拉绳等造成跌落。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4.高空扶梯、管线架桥及护栏等锈蚀严重或强度不够造成坠落。</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1"/>
              </w:rPr>
              <w:t>5．作业时戏嬉打闹。</w:t>
            </w:r>
          </w:p>
        </w:tc>
        <w:tc>
          <w:tcPr>
            <w:tcW w:w="141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2m以上高度作业坠落</w:t>
            </w:r>
          </w:p>
        </w:tc>
        <w:tc>
          <w:tcPr>
            <w:tcW w:w="3827"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1.防护措施不到位，防护用具不合格</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2．高处作业面下无安全网，地面是机器设备或硬质的混凝土。</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3．情绪大起大落，工作时精力不集中或患病。</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4．未穿防滑鞋及紧身工作服。</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5．违章指挥、违章作业、违反劳动纪律</w:t>
            </w:r>
          </w:p>
        </w:tc>
        <w:tc>
          <w:tcPr>
            <w:tcW w:w="1276"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人员伤亡</w:t>
            </w:r>
          </w:p>
        </w:tc>
        <w:tc>
          <w:tcPr>
            <w:tcW w:w="709"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Ⅱ</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w:t>
            </w:r>
          </w:p>
          <w:p>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cs="Times New Roman" w:eastAsiaTheme="minorEastAsia"/>
                <w:color w:val="auto"/>
                <w:sz w:val="21"/>
                <w:szCs w:val="24"/>
              </w:rPr>
            </w:pPr>
            <w:r>
              <w:rPr>
                <w:rFonts w:hint="default" w:ascii="Times New Roman" w:hAnsi="Times New Roman" w:cs="Times New Roman" w:eastAsiaTheme="minorEastAsia"/>
                <w:color w:val="auto"/>
                <w:sz w:val="21"/>
                <w:szCs w:val="24"/>
              </w:rPr>
              <w:t>Ⅲ</w:t>
            </w:r>
          </w:p>
        </w:tc>
        <w:tc>
          <w:tcPr>
            <w:tcW w:w="3575" w:type="dxa"/>
            <w:vAlign w:val="center"/>
          </w:tcPr>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1.登高作业人员必须严格执行“十不登高”。</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2．登高作业人员必须戴好安全帽，系挂好安全带，穿好防滑鞋及紧身工作服等安全防护用具。</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3．高处作业要事先搭设脚手架等防坠落措施。</w:t>
            </w:r>
          </w:p>
          <w:p>
            <w:pPr>
              <w:keepNext w:val="0"/>
              <w:keepLines w:val="0"/>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cs="Times New Roman" w:eastAsiaTheme="minorEastAsia"/>
                <w:color w:val="auto"/>
                <w:sz w:val="21"/>
                <w:szCs w:val="24"/>
              </w:rPr>
            </w:pP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560"/>
        <w:textAlignment w:val="auto"/>
        <w:rPr>
          <w:rFonts w:hint="eastAsia"/>
          <w:color w:val="000000"/>
          <w:sz w:val="28"/>
          <w:szCs w:val="28"/>
          <w:lang w:eastAsia="zh-CN"/>
        </w:rPr>
      </w:pPr>
      <w:r>
        <w:rPr>
          <w:rFonts w:hint="default" w:ascii="Times New Roman" w:hAnsi="Times New Roman" w:cs="Times New Roman" w:eastAsiaTheme="minorEastAsia"/>
          <w:b w:val="0"/>
          <w:bCs/>
          <w:color w:val="auto"/>
          <w:sz w:val="28"/>
          <w:szCs w:val="28"/>
        </w:rPr>
        <w:t>由预先危险性分析可知：本项目火灾爆炸的危险等级为Ⅲ</w:t>
      </w:r>
      <w:r>
        <w:rPr>
          <w:rFonts w:hint="eastAsia" w:ascii="Times New Roman" w:hAnsi="Times New Roman" w:cs="Times New Roman" w:eastAsiaTheme="minorEastAsia"/>
          <w:b w:val="0"/>
          <w:bCs/>
          <w:color w:val="auto"/>
          <w:sz w:val="28"/>
          <w:szCs w:val="28"/>
          <w:lang w:val="en-US" w:eastAsia="zh-CN"/>
        </w:rPr>
        <w:t>-</w:t>
      </w:r>
      <w:r>
        <w:rPr>
          <w:rFonts w:hint="eastAsia" w:ascii="宋体" w:hAnsi="宋体" w:eastAsia="宋体" w:cs="宋体"/>
          <w:b w:val="0"/>
          <w:bCs/>
          <w:color w:val="auto"/>
          <w:sz w:val="28"/>
          <w:szCs w:val="28"/>
        </w:rPr>
        <w:t>Ⅳ</w:t>
      </w:r>
      <w:r>
        <w:rPr>
          <w:rFonts w:hint="default" w:ascii="Times New Roman" w:hAnsi="Times New Roman" w:cs="Times New Roman" w:eastAsiaTheme="minorEastAsia"/>
          <w:b w:val="0"/>
          <w:bCs/>
          <w:color w:val="auto"/>
          <w:sz w:val="28"/>
          <w:szCs w:val="28"/>
        </w:rPr>
        <w:t>级；触电、中毒</w:t>
      </w:r>
      <w:r>
        <w:rPr>
          <w:rFonts w:hint="eastAsia" w:ascii="Times New Roman" w:hAnsi="Times New Roman" w:cs="Times New Roman" w:eastAsiaTheme="minorEastAsia"/>
          <w:b w:val="0"/>
          <w:bCs/>
          <w:color w:val="auto"/>
          <w:sz w:val="28"/>
          <w:szCs w:val="28"/>
          <w:lang w:eastAsia="zh-CN"/>
        </w:rPr>
        <w:t>和</w:t>
      </w:r>
      <w:r>
        <w:rPr>
          <w:rFonts w:hint="default" w:ascii="Times New Roman" w:hAnsi="Times New Roman" w:cs="Times New Roman" w:eastAsiaTheme="minorEastAsia"/>
          <w:b w:val="0"/>
          <w:bCs/>
          <w:color w:val="auto"/>
          <w:sz w:val="28"/>
          <w:szCs w:val="28"/>
        </w:rPr>
        <w:t>窒息、车辆伤害</w:t>
      </w:r>
      <w:r>
        <w:rPr>
          <w:rFonts w:hint="eastAsia" w:ascii="Times New Roman" w:hAnsi="Times New Roman" w:cs="Times New Roman" w:eastAsiaTheme="minorEastAsia"/>
          <w:b w:val="0"/>
          <w:bCs/>
          <w:color w:val="auto"/>
          <w:sz w:val="28"/>
          <w:szCs w:val="28"/>
          <w:lang w:eastAsia="zh-CN"/>
        </w:rPr>
        <w:t>、物体打击、高处坠落</w:t>
      </w:r>
      <w:r>
        <w:rPr>
          <w:rFonts w:hint="default" w:ascii="Times New Roman" w:hAnsi="Times New Roman" w:cs="Times New Roman" w:eastAsiaTheme="minorEastAsia"/>
          <w:b w:val="0"/>
          <w:bCs/>
          <w:color w:val="auto"/>
          <w:sz w:val="28"/>
          <w:szCs w:val="28"/>
        </w:rPr>
        <w:t>的危险等级为Ⅱ级</w:t>
      </w:r>
      <w:r>
        <w:rPr>
          <w:rFonts w:hint="eastAsia" w:ascii="Times New Roman" w:hAnsi="Times New Roman" w:cs="Times New Roman" w:eastAsiaTheme="minorEastAsia"/>
          <w:b w:val="0"/>
          <w:bCs/>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color w:val="000000"/>
          <w:sz w:val="28"/>
          <w:szCs w:val="28"/>
          <w:lang w:eastAsia="zh-CN"/>
        </w:rPr>
      </w:pP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color w:val="000000"/>
          <w:sz w:val="28"/>
          <w:szCs w:val="28"/>
          <w:lang w:eastAsia="zh-CN"/>
        </w:rPr>
      </w:pPr>
    </w:p>
    <w:bookmarkEnd w:id="208"/>
    <w:bookmarkEnd w:id="209"/>
    <w:bookmarkEnd w:id="210"/>
    <w:p>
      <w:pPr>
        <w:pageBreakBefore w:val="0"/>
        <w:kinsoku/>
        <w:wordWrap/>
        <w:topLinePunct w:val="0"/>
        <w:bidi w:val="0"/>
        <w:adjustRightInd w:val="0"/>
        <w:snapToGrid w:val="0"/>
        <w:ind w:firstLine="560"/>
        <w:rPr>
          <w:rFonts w:hint="default" w:ascii="Times New Roman" w:hAnsi="Times New Roman" w:cs="Times New Roman" w:eastAsiaTheme="minorEastAsia"/>
          <w:color w:val="auto"/>
        </w:rPr>
        <w:sectPr>
          <w:pgSz w:w="16838" w:h="11906" w:orient="landscape"/>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pageBreakBefore w:val="0"/>
        <w:kinsoku/>
        <w:wordWrap/>
        <w:topLinePunct w:val="0"/>
        <w:bidi w:val="0"/>
        <w:adjustRightInd w:val="0"/>
        <w:snapToGrid w:val="0"/>
        <w:spacing w:before="156" w:after="156"/>
        <w:rPr>
          <w:rFonts w:hint="default" w:ascii="Times New Roman" w:hAnsi="Times New Roman" w:cs="Times New Roman" w:eastAsiaTheme="minorEastAsia"/>
          <w:color w:val="auto"/>
          <w:sz w:val="32"/>
          <w:szCs w:val="32"/>
        </w:rPr>
      </w:pPr>
      <w:bookmarkStart w:id="212" w:name="_Toc11783"/>
      <w:r>
        <w:rPr>
          <w:rFonts w:hint="eastAsia" w:cs="Times New Roman" w:eastAsiaTheme="minorEastAsia"/>
          <w:color w:val="auto"/>
          <w:sz w:val="32"/>
          <w:szCs w:val="32"/>
          <w:lang w:eastAsia="zh-CN"/>
        </w:rPr>
        <w:t>附</w:t>
      </w:r>
      <w:r>
        <w:rPr>
          <w:rFonts w:hint="default" w:ascii="Times New Roman" w:hAnsi="Times New Roman" w:cs="Times New Roman" w:eastAsiaTheme="minorEastAsia"/>
          <w:color w:val="auto"/>
          <w:sz w:val="32"/>
          <w:szCs w:val="32"/>
        </w:rPr>
        <w:t>件5 典型事故案例分析</w:t>
      </w:r>
      <w:bookmarkEnd w:id="212"/>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为保障企业安全生产，提供企业决策者对安全生产的重视，消除或减少生产安全事故，避免造成重大的经济损失、严重的人员伤亡和恶劣的政治影响。同时，为吸取以往事故的经验教训，找出事故发生的潜在隐患，避免同类事故的发生，现列举事故案例分析如下：</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213" w:name="_Toc32660"/>
      <w:bookmarkStart w:id="214" w:name="_Toc23775"/>
      <w:bookmarkStart w:id="215" w:name="_Toc11264"/>
      <w:r>
        <w:rPr>
          <w:rFonts w:hint="default" w:ascii="Times New Roman" w:hAnsi="Times New Roman" w:cs="Times New Roman" w:eastAsiaTheme="minorEastAsia"/>
          <w:b/>
          <w:bCs w:val="0"/>
          <w:color w:val="auto"/>
          <w:sz w:val="28"/>
          <w:szCs w:val="28"/>
        </w:rPr>
        <w:t>附5.1 案例一</w:t>
      </w:r>
      <w:bookmarkEnd w:id="213"/>
      <w:bookmarkEnd w:id="214"/>
      <w:bookmarkEnd w:id="215"/>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2002年1月7日，湖北公安县一加油站发生爆燃事故，造成1人死亡，2人受伤。</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该加油站位于公安县宏泰客运公司院内，东临车站，西接一集贸市场，下埋有4个储油罐，共装有18吨汽、柴油。</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据警方介绍，加油站一员工被烧死，另两名员工灼伤。目击者郭先生称，中午11时30分左右，在家里听到外面一声巨响，从窗口看见该加油站一侧浓烟滚滚，火光冲天，旁边的一台油罐车烧得面目全非，加油站屋顶被掀开，一侧的围墙也被炸倒。</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事故发生后，当地公安、消防人员迅速赶到现场。下午1时30分左右，大火被扑灭。为防止储油罐再次爆炸，消防官兵又用水枪降温，到下午5时许基本平息事故隐患。</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事故原因：</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（1）当天上午，彭驾驶油罐车两次为加油站送油，均未按规程采用密封式输油法，而是直接将输油管插入储油罐中；</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（2）员工吴本军前去关阀门时，所穿的衣服产生静电，引发燃爆。</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防止同类事故的措施：</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1）严格操作规程，在油罐车卸油时采用密封式输油法，并连接除静电连线。</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2）操作工在操作时应穿戴统一的防静电服装。</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216" w:name="_Toc10174"/>
      <w:bookmarkStart w:id="217" w:name="_Toc333233432"/>
      <w:bookmarkStart w:id="218" w:name="_Toc306973792"/>
      <w:bookmarkStart w:id="219" w:name="_Toc3649"/>
      <w:bookmarkStart w:id="220" w:name="_Toc328576291"/>
      <w:bookmarkStart w:id="221" w:name="_Toc27940"/>
      <w:r>
        <w:rPr>
          <w:rFonts w:hint="default" w:ascii="Times New Roman" w:hAnsi="Times New Roman" w:cs="Times New Roman" w:eastAsiaTheme="minorEastAsia"/>
          <w:b/>
          <w:bCs w:val="0"/>
          <w:color w:val="auto"/>
          <w:sz w:val="28"/>
          <w:szCs w:val="28"/>
        </w:rPr>
        <w:t>附5.2 案例二</w:t>
      </w:r>
      <w:bookmarkEnd w:id="216"/>
      <w:bookmarkEnd w:id="217"/>
      <w:bookmarkEnd w:id="218"/>
      <w:bookmarkEnd w:id="219"/>
      <w:bookmarkEnd w:id="220"/>
      <w:bookmarkEnd w:id="221"/>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2001年11月27日下午3时30分，位于109国道大砂坪九公里处的“金日加油站”发生爆炸，造成二人死亡、十余人受伤。事故发生后，中油公司甘肃、兰州分公司相关负责人赶到现场进行调查。目前，中油兰州分公司已联合有关部门对所属的所有加油站进行了大检查，以杜绝此类事故的再次发生。</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事故原因：</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金日加油站内有六台加油机相连的近二百米的管线地沟未按规定做到填实，同时加油机部分泄漏，致使管沟内大量油气聚集，是事故发生的主要原因。</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防止同类事故的措施：</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1）委托有资质的施工单位施工。</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2）做好安全检查，对发现的隐患彻底整改。</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222" w:name="_Toc20985"/>
      <w:bookmarkStart w:id="223" w:name="_Toc30974"/>
      <w:bookmarkStart w:id="224" w:name="_Toc4412"/>
      <w:r>
        <w:rPr>
          <w:rFonts w:hint="default" w:ascii="Times New Roman" w:hAnsi="Times New Roman" w:cs="Times New Roman" w:eastAsiaTheme="minorEastAsia"/>
          <w:b/>
          <w:bCs w:val="0"/>
          <w:color w:val="auto"/>
          <w:sz w:val="28"/>
          <w:szCs w:val="28"/>
        </w:rPr>
        <w:t>附5.3 案例三</w:t>
      </w:r>
      <w:bookmarkEnd w:id="222"/>
      <w:bookmarkEnd w:id="223"/>
      <w:bookmarkEnd w:id="224"/>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2007年7月15日，河北省井陉县一加油站，一空油罐发生爆炸起火，致使两人受伤，其中一人右眼失明。</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据了解，发生爆炸的五凤岭加油站由于不符合新的安全标准已经停业。旁边新建了加油站，但还没有投入使用。事发时，两名工人正在铺设从旧油罐到新加油站的输油管。当工人切割旧罐的输油线路时引发爆炸起火。</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事故原因:</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1）油罐虽然没有油，但里面可能有油气残存，工人在电焊切割时引发罐内油气爆炸。</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2）施工人员违章作业未对管线进行有效安全隔离情况下，贸然对管线进行切割，引发爆炸。</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防止同类事故的措施：</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1）严格施工过程中的操作规程，对旧罐及相应管道切割前，应彻底倒空设备内的物料，吹扫置换干净，分析合格后，方可动火。</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2）加强施工人员的安全生产教育、培训工作、落实安全生产的各项制度。</w:t>
      </w:r>
    </w:p>
    <w:p>
      <w:pPr>
        <w:pStyle w:val="4"/>
        <w:pageBreakBefore w:val="0"/>
        <w:kinsoku/>
        <w:wordWrap/>
        <w:topLinePunct w:val="0"/>
        <w:bidi w:val="0"/>
        <w:adjustRightInd w:val="0"/>
        <w:snapToGrid w:val="0"/>
        <w:spacing w:before="93" w:after="93"/>
        <w:rPr>
          <w:rFonts w:hint="default" w:ascii="Times New Roman" w:hAnsi="Times New Roman" w:cs="Times New Roman" w:eastAsiaTheme="minorEastAsia"/>
          <w:b/>
          <w:bCs w:val="0"/>
          <w:color w:val="auto"/>
          <w:sz w:val="28"/>
          <w:szCs w:val="28"/>
        </w:rPr>
      </w:pPr>
      <w:bookmarkStart w:id="225" w:name="_Toc10456"/>
      <w:bookmarkStart w:id="226" w:name="_Toc20230"/>
      <w:bookmarkStart w:id="227" w:name="_Toc25686"/>
      <w:r>
        <w:rPr>
          <w:rFonts w:hint="default" w:ascii="Times New Roman" w:hAnsi="Times New Roman" w:cs="Times New Roman" w:eastAsiaTheme="minorEastAsia"/>
          <w:b/>
          <w:bCs w:val="0"/>
          <w:color w:val="auto"/>
          <w:sz w:val="28"/>
          <w:szCs w:val="28"/>
        </w:rPr>
        <w:t>附5.4 案例四</w:t>
      </w:r>
      <w:bookmarkEnd w:id="225"/>
      <w:bookmarkEnd w:id="226"/>
      <w:bookmarkEnd w:id="227"/>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古坝镇前姚加油站位于古坝镇前姚庄村，古坝大桥北首，岔洋公路西侧。</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该加油站有平房3间（1间为出租理发店、1间为加油站开票收款兼营百货小商店、1间为洗车店），与加油站相连的南北隔壁电器商店、缝纫店各1间、8月10日下午14:30，前姚加油站向位于地下室内的70#（-10#）汽油油罐注装8240升70#（-10#）汽油。由于油罐无安全附件，油罐上的排气管接装不规范，油气不能直接排入大气，致使大量的汽油蒸气进入放置油罐的地下室内，在地下室和管沟及人加油机内形成了汽油蒸气与空气混合，形成达到爆炸浓度范围的爆炸性混合气体。当日16:30左右，位于加油站中间的一台70#（-10#）汽油加油机，开始向一辆拖拉机拉来的8只油桶内加入70#（-10#）汽油1600升，在加油结束时，发生爆炸事故。炸毁上述5间平房，现场13人被埋入废墟，其中丛尤明等8人因房屋倒塌被当场砸死，砸伤2人，3人从废墟中自救脱险，未受损伤；在加油站前，另有6人被爆炸飞出的水泥块和砖块砸伤。受伤的8人立即被送往医院抢救，其中1人因伤势过重，抢救无效，于8月11日凌晨0:30死亡，7人经抢救脱离危险。这起事故共造成9人死亡，7人轻伤，直接经济损失为22.3289万元。</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事故原因：</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1</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直接原因</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前姚加油站中间一台70#（-10#）汽油加油机内的防爆继电器安装不规范，继电器内一根相线的绝缘包皮被夹破、加油机连续工作近1小时，加油机电器线路发热，在继电器，相线绝缘性能下降的情况下漏电、致使该台加油机在正常工作时电线通过的电流增大，加油机内电器线路温度剧升，绝缘包皮燃烧产生明火，遇加油机内、地沟内的爆炸性混合气体引起爆轰，经地沟传至地下室的爆炸性气体同时爆炸，造成加油站及毗邻的建筑物倒塌。并引发火灾。</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2</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间接原因</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1）</w:t>
      </w:r>
      <w:r>
        <w:rPr>
          <w:rFonts w:hint="default" w:ascii="Times New Roman" w:hAnsi="Times New Roman" w:cs="Times New Roman" w:eastAsiaTheme="minorEastAsia"/>
          <w:color w:val="auto"/>
          <w:szCs w:val="28"/>
        </w:rPr>
        <w:t>前姚加油站未按国家的有关规定、标准及程序进行审批建站，设施、设备管理均存在严重的事故隐患。如擅自将储油罐设置在地下室内，非法经营等是这起事故的主要原因。</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2）</w:t>
      </w:r>
      <w:r>
        <w:rPr>
          <w:rFonts w:hint="default" w:ascii="Times New Roman" w:hAnsi="Times New Roman" w:cs="Times New Roman" w:eastAsiaTheme="minorEastAsia"/>
          <w:color w:val="auto"/>
          <w:szCs w:val="28"/>
        </w:rPr>
        <w:t>相关的职能管理部门的人员，未能严格按照国家有关规定履行职责，特别是个别人涉嫌玩忽职守。</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val="en-US" w:eastAsia="zh-CN"/>
        </w:rPr>
        <w:t>3）</w:t>
      </w:r>
      <w:r>
        <w:rPr>
          <w:rFonts w:hint="default" w:ascii="Times New Roman" w:hAnsi="Times New Roman" w:cs="Times New Roman" w:eastAsiaTheme="minorEastAsia"/>
          <w:color w:val="auto"/>
          <w:szCs w:val="28"/>
        </w:rPr>
        <w:t>各有关职能部门对前姚加油站存在的重大事故隐患未及时认真地按有关规定进行严肃查处和整改。</w:t>
      </w:r>
    </w:p>
    <w:p>
      <w:pPr>
        <w:pageBreakBefore w:val="0"/>
        <w:kinsoku/>
        <w:wordWrap/>
        <w:topLinePunct w:val="0"/>
        <w:bidi w:val="0"/>
        <w:adjustRightInd w:val="0"/>
        <w:snapToGrid w:val="0"/>
        <w:ind w:firstLine="56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防止同类事故的措施：</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1</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采用符合规范的防爆电器设备，加强设备管理。</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2</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进一步明确安全生产责任制、加强安全生产的教育、培训工作、落实安全生产的各项制度。</w:t>
      </w:r>
    </w:p>
    <w:p>
      <w:pPr>
        <w:pageBreakBefore w:val="0"/>
        <w:kinsoku/>
        <w:wordWrap/>
        <w:topLinePunct w:val="0"/>
        <w:bidi w:val="0"/>
        <w:adjustRightInd w:val="0"/>
        <w:snapToGrid w:val="0"/>
        <w:ind w:left="0" w:leftChars="0" w:firstLine="280" w:firstLineChars="10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lang w:val="en-US" w:eastAsia="zh-CN"/>
        </w:rPr>
        <w:t>3</w:t>
      </w:r>
      <w:r>
        <w:rPr>
          <w:rFonts w:hint="default" w:ascii="Times New Roman" w:hAnsi="Times New Roman" w:cs="Times New Roman" w:eastAsiaTheme="minorEastAsia"/>
          <w:color w:val="auto"/>
          <w:szCs w:val="28"/>
          <w:lang w:eastAsia="zh-CN"/>
        </w:rPr>
        <w:t>）</w:t>
      </w:r>
      <w:r>
        <w:rPr>
          <w:rFonts w:hint="default" w:ascii="Times New Roman" w:hAnsi="Times New Roman" w:cs="Times New Roman" w:eastAsiaTheme="minorEastAsia"/>
          <w:color w:val="auto"/>
          <w:szCs w:val="28"/>
        </w:rPr>
        <w:t>加油站的建设和油罐的设置应符合现行国家技术规范的规定，做好油气的通风排放，避免聚集产生爆炸性气体。</w:t>
      </w:r>
    </w:p>
    <w:p>
      <w:pPr>
        <w:pStyle w:val="2"/>
        <w:pageBreakBefore w:val="0"/>
        <w:kinsoku/>
        <w:wordWrap/>
        <w:topLinePunct w:val="0"/>
        <w:bidi w:val="0"/>
        <w:adjustRightInd w:val="0"/>
        <w:snapToGrid w:val="0"/>
        <w:spacing w:line="360" w:lineRule="auto"/>
        <w:ind w:firstLine="560"/>
        <w:rPr>
          <w:rFonts w:hint="default" w:ascii="Times New Roman" w:hAnsi="Times New Roman" w:cs="Times New Roman" w:eastAsiaTheme="minorEastAsia"/>
          <w:color w:val="auto"/>
        </w:rPr>
        <w:sectPr>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12" w:charSpace="0"/>
        </w:sectPr>
      </w:pPr>
    </w:p>
    <w:p>
      <w:pPr>
        <w:pStyle w:val="3"/>
        <w:pageBreakBefore w:val="0"/>
        <w:kinsoku/>
        <w:wordWrap/>
        <w:topLinePunct w:val="0"/>
        <w:bidi w:val="0"/>
        <w:adjustRightInd w:val="0"/>
        <w:snapToGrid w:val="0"/>
        <w:spacing w:before="190" w:after="190"/>
        <w:rPr>
          <w:rFonts w:hint="default" w:ascii="Times New Roman" w:hAnsi="Times New Roman" w:cs="Times New Roman" w:eastAsiaTheme="minorEastAsia"/>
          <w:color w:val="auto"/>
          <w:szCs w:val="24"/>
        </w:rPr>
      </w:pPr>
      <w:bookmarkStart w:id="228" w:name="_Toc2835"/>
      <w:r>
        <w:rPr>
          <w:rFonts w:hint="default" w:ascii="Times New Roman" w:hAnsi="Times New Roman" w:cs="Times New Roman" w:eastAsiaTheme="minorEastAsia"/>
          <w:color w:val="auto"/>
          <w:szCs w:val="24"/>
        </w:rPr>
        <w:t>附件</w:t>
      </w:r>
      <w:r>
        <w:rPr>
          <w:rFonts w:hint="eastAsia" w:cs="Times New Roman" w:eastAsiaTheme="minorEastAsia"/>
          <w:color w:val="auto"/>
          <w:szCs w:val="24"/>
          <w:lang w:val="en-US" w:eastAsia="zh-CN"/>
        </w:rPr>
        <w:t>6</w:t>
      </w:r>
      <w:r>
        <w:rPr>
          <w:rFonts w:hint="default" w:ascii="Times New Roman" w:hAnsi="Times New Roman" w:cs="Times New Roman" w:eastAsiaTheme="minorEastAsia"/>
          <w:color w:val="auto"/>
          <w:szCs w:val="24"/>
        </w:rPr>
        <w:t xml:space="preserve"> </w:t>
      </w:r>
      <w:r>
        <w:rPr>
          <w:rFonts w:hint="default" w:ascii="Times New Roman" w:hAnsi="Times New Roman" w:cs="Times New Roman" w:eastAsiaTheme="minorEastAsia"/>
          <w:color w:val="auto"/>
        </w:rPr>
        <w:t>收集的文件、资料目录</w:t>
      </w:r>
      <w:bookmarkEnd w:id="228"/>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b/>
          <w:bCs/>
          <w:color w:val="auto"/>
          <w:szCs w:val="28"/>
        </w:rPr>
      </w:pPr>
      <w:r>
        <w:rPr>
          <w:rFonts w:hint="default" w:ascii="Times New Roman" w:hAnsi="Times New Roman" w:cs="Times New Roman" w:eastAsiaTheme="minorEastAsia"/>
          <w:b/>
          <w:bCs/>
          <w:color w:val="auto"/>
          <w:szCs w:val="28"/>
        </w:rPr>
        <w:t>附件</w:t>
      </w:r>
    </w:p>
    <w:p>
      <w:pPr>
        <w:pageBreakBefore w:val="0"/>
        <w:kinsoku/>
        <w:wordWrap/>
        <w:topLinePunct w:val="0"/>
        <w:bidi w:val="0"/>
        <w:adjustRightInd w:val="0"/>
        <w:snapToGrid w:val="0"/>
        <w:spacing w:line="520" w:lineRule="exact"/>
        <w:ind w:firstLine="0" w:firstLineChars="0"/>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 xml:space="preserve"> 企业营业执照</w:t>
      </w:r>
      <w:r>
        <w:rPr>
          <w:rFonts w:hint="eastAsia" w:cs="Times New Roman" w:eastAsiaTheme="minorEastAsia"/>
          <w:color w:val="auto"/>
          <w:szCs w:val="28"/>
          <w:lang w:eastAsia="zh-CN"/>
        </w:rPr>
        <w:t>复印件</w:t>
      </w:r>
    </w:p>
    <w:p>
      <w:pPr>
        <w:pStyle w:val="2"/>
        <w:pageBreakBefore w:val="0"/>
        <w:tabs>
          <w:tab w:val="left" w:pos="8400"/>
        </w:tabs>
        <w:kinsoku/>
        <w:wordWrap/>
        <w:topLinePunct w:val="0"/>
        <w:bidi w:val="0"/>
        <w:adjustRightInd w:val="0"/>
        <w:snapToGrid w:val="0"/>
        <w:ind w:firstLine="0" w:firstLineChars="0"/>
        <w:rPr>
          <w:rFonts w:hint="eastAsia" w:ascii="Times New Roman" w:hAnsi="Times New Roman" w:cs="Times New Roman" w:eastAsiaTheme="minorEastAsia"/>
          <w:color w:val="auto"/>
          <w:lang w:eastAsia="zh-CN"/>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2</w:t>
      </w:r>
      <w:r>
        <w:rPr>
          <w:rFonts w:hint="default" w:ascii="Times New Roman" w:hAnsi="Times New Roman" w:cs="Times New Roman" w:eastAsiaTheme="minorEastAsia"/>
          <w:color w:val="auto"/>
        </w:rPr>
        <w:t xml:space="preserve"> 土地</w:t>
      </w:r>
      <w:r>
        <w:rPr>
          <w:rFonts w:hint="eastAsia" w:cs="Times New Roman" w:eastAsiaTheme="minorEastAsia"/>
          <w:color w:val="auto"/>
          <w:lang w:eastAsia="zh-CN"/>
        </w:rPr>
        <w:t>手续证明复印件</w:t>
      </w:r>
    </w:p>
    <w:p>
      <w:pPr>
        <w:pStyle w:val="2"/>
        <w:pageBreakBefore w:val="0"/>
        <w:kinsoku/>
        <w:wordWrap/>
        <w:topLinePunct w:val="0"/>
        <w:bidi w:val="0"/>
        <w:adjustRightInd w:val="0"/>
        <w:snapToGrid w:val="0"/>
        <w:ind w:firstLine="0" w:firstLineChars="0"/>
        <w:rPr>
          <w:rFonts w:hint="eastAsia" w:cs="Times New Roman" w:eastAsiaTheme="minorEastAsia"/>
          <w:color w:val="auto"/>
          <w:lang w:val="en-US" w:eastAsia="zh-CN"/>
        </w:rPr>
      </w:pPr>
      <w:r>
        <w:rPr>
          <w:rFonts w:hint="default" w:ascii="Times New Roman" w:hAnsi="Times New Roman" w:cs="Times New Roman" w:eastAsiaTheme="minorEastAsia"/>
          <w:color w:val="auto"/>
          <w:lang w:eastAsia="zh-CN"/>
        </w:rPr>
        <w:t>附件</w:t>
      </w:r>
      <w:r>
        <w:rPr>
          <w:rFonts w:hint="eastAsia" w:cs="Times New Roman" w:eastAsiaTheme="minorEastAsia"/>
          <w:color w:val="auto"/>
          <w:lang w:val="en-US" w:eastAsia="zh-CN"/>
        </w:rPr>
        <w:t>3</w:t>
      </w:r>
      <w:r>
        <w:rPr>
          <w:rFonts w:hint="default" w:ascii="Times New Roman" w:hAnsi="Times New Roman" w:cs="Times New Roman" w:eastAsiaTheme="minorEastAsia"/>
          <w:color w:val="auto"/>
          <w:lang w:val="en-US" w:eastAsia="zh-CN"/>
        </w:rPr>
        <w:t xml:space="preserve"> </w:t>
      </w:r>
      <w:r>
        <w:rPr>
          <w:rFonts w:hint="eastAsia" w:cs="Times New Roman" w:eastAsiaTheme="minorEastAsia"/>
          <w:color w:val="auto"/>
          <w:lang w:val="en-US" w:eastAsia="zh-CN"/>
        </w:rPr>
        <w:t>危险化学品经营许可证复印件</w:t>
      </w:r>
    </w:p>
    <w:p>
      <w:pPr>
        <w:pStyle w:val="2"/>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lang w:eastAsia="zh-CN"/>
        </w:rPr>
        <w:t>附件</w:t>
      </w:r>
      <w:r>
        <w:rPr>
          <w:rFonts w:hint="eastAsia" w:cs="Times New Roman" w:eastAsiaTheme="minorEastAsia"/>
          <w:color w:val="auto"/>
          <w:lang w:val="en-US" w:eastAsia="zh-CN"/>
        </w:rPr>
        <w:t>4</w:t>
      </w:r>
      <w:r>
        <w:rPr>
          <w:rFonts w:hint="default" w:ascii="Times New Roman" w:hAnsi="Times New Roman" w:cs="Times New Roman" w:eastAsiaTheme="minorEastAsia"/>
          <w:color w:val="auto"/>
          <w:lang w:val="en-US" w:eastAsia="zh-CN"/>
        </w:rPr>
        <w:t xml:space="preserve"> </w:t>
      </w:r>
      <w:r>
        <w:rPr>
          <w:rFonts w:hint="eastAsia" w:cs="Times New Roman" w:eastAsiaTheme="minorEastAsia"/>
          <w:color w:val="auto"/>
          <w:lang w:val="en-US" w:eastAsia="zh-CN"/>
        </w:rPr>
        <w:t>成品油零售经营批准证书复印件</w:t>
      </w:r>
    </w:p>
    <w:p>
      <w:pPr>
        <w:pageBreakBefore w:val="0"/>
        <w:kinsoku/>
        <w:wordWrap/>
        <w:topLinePunct w:val="0"/>
        <w:bidi w:val="0"/>
        <w:adjustRightInd w:val="0"/>
        <w:snapToGrid w:val="0"/>
        <w:spacing w:line="520" w:lineRule="exact"/>
        <w:ind w:firstLine="0" w:firstLineChars="0"/>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5</w:t>
      </w:r>
      <w:r>
        <w:rPr>
          <w:rFonts w:hint="default" w:ascii="Times New Roman" w:hAnsi="Times New Roman" w:cs="Times New Roman" w:eastAsiaTheme="minorEastAsia"/>
          <w:color w:val="auto"/>
          <w:szCs w:val="28"/>
        </w:rPr>
        <w:t xml:space="preserve"> 成品油零售网点规划确认的</w:t>
      </w:r>
      <w:r>
        <w:rPr>
          <w:rFonts w:hint="eastAsia" w:cs="Times New Roman" w:eastAsiaTheme="minorEastAsia"/>
          <w:color w:val="auto"/>
          <w:szCs w:val="28"/>
          <w:lang w:eastAsia="zh-CN"/>
        </w:rPr>
        <w:t>批复复印件</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6</w:t>
      </w:r>
      <w:r>
        <w:rPr>
          <w:rFonts w:hint="default" w:ascii="Times New Roman" w:hAnsi="Times New Roman" w:cs="Times New Roman" w:eastAsiaTheme="minorEastAsia"/>
          <w:color w:val="auto"/>
          <w:szCs w:val="28"/>
        </w:rPr>
        <w:t xml:space="preserve"> 主要负责人及安全管理人员安全生产知识和管理能力考核合格证复印件</w:t>
      </w:r>
    </w:p>
    <w:p>
      <w:pPr>
        <w:pStyle w:val="2"/>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7</w:t>
      </w:r>
      <w:r>
        <w:rPr>
          <w:rFonts w:hint="default" w:ascii="Times New Roman" w:hAnsi="Times New Roman" w:cs="Times New Roman" w:eastAsiaTheme="minorEastAsia"/>
          <w:color w:val="auto"/>
        </w:rPr>
        <w:t xml:space="preserve"> 关于成立</w:t>
      </w:r>
      <w:r>
        <w:rPr>
          <w:rFonts w:hint="eastAsia" w:cs="Times New Roman" w:eastAsiaTheme="minorEastAsia"/>
          <w:color w:val="auto"/>
          <w:lang w:eastAsia="zh-CN"/>
        </w:rPr>
        <w:t>山东万通集团垦利金顺油品有限公司第六加油中心</w:t>
      </w:r>
      <w:r>
        <w:rPr>
          <w:rFonts w:hint="default" w:ascii="Times New Roman" w:hAnsi="Times New Roman" w:cs="Times New Roman" w:eastAsiaTheme="minorEastAsia"/>
          <w:color w:val="auto"/>
        </w:rPr>
        <w:t>安全生产领导小组的通知及人员任命复印件</w:t>
      </w:r>
    </w:p>
    <w:p>
      <w:pPr>
        <w:pageBreakBefore w:val="0"/>
        <w:kinsoku/>
        <w:wordWrap/>
        <w:topLinePunct w:val="0"/>
        <w:bidi w:val="0"/>
        <w:adjustRightInd w:val="0"/>
        <w:snapToGrid w:val="0"/>
        <w:spacing w:line="520" w:lineRule="exact"/>
        <w:ind w:firstLine="0" w:firstLineChars="0"/>
        <w:rPr>
          <w:rFonts w:hint="eastAsia" w:ascii="Times New Roman" w:hAnsi="Times New Roman" w:cs="Times New Roman" w:eastAsiaTheme="minorEastAsia"/>
          <w:color w:val="auto"/>
          <w:lang w:eastAsia="zh-CN"/>
        </w:rPr>
      </w:pPr>
      <w:r>
        <w:rPr>
          <w:rFonts w:hint="eastAsia" w:cs="Times New Roman" w:eastAsiaTheme="minorEastAsia"/>
          <w:color w:val="auto"/>
          <w:szCs w:val="28"/>
          <w:lang w:eastAsia="zh-CN"/>
        </w:rPr>
        <w:t>附件</w:t>
      </w:r>
      <w:r>
        <w:rPr>
          <w:rFonts w:hint="eastAsia" w:cs="Times New Roman" w:eastAsiaTheme="minorEastAsia"/>
          <w:color w:val="auto"/>
          <w:szCs w:val="28"/>
          <w:lang w:val="en-US" w:eastAsia="zh-CN"/>
        </w:rPr>
        <w:t xml:space="preserve">8 </w:t>
      </w:r>
      <w:r>
        <w:rPr>
          <w:rFonts w:hint="eastAsia" w:cs="Times New Roman" w:eastAsiaTheme="minorEastAsia"/>
          <w:color w:val="auto"/>
          <w:szCs w:val="28"/>
          <w:lang w:eastAsia="zh-CN"/>
        </w:rPr>
        <w:t>关于建立山东万通集团垦利金顺油品有限公司第六加油中心应急救援队伍的通知复印件</w:t>
      </w:r>
    </w:p>
    <w:p>
      <w:pPr>
        <w:pageBreakBefore w:val="0"/>
        <w:kinsoku/>
        <w:wordWrap/>
        <w:topLinePunct w:val="0"/>
        <w:bidi w:val="0"/>
        <w:adjustRightInd w:val="0"/>
        <w:snapToGrid w:val="0"/>
        <w:spacing w:line="520" w:lineRule="exact"/>
        <w:ind w:firstLine="0" w:firstLineChars="0"/>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9</w:t>
      </w:r>
      <w:r>
        <w:rPr>
          <w:rFonts w:hint="default" w:ascii="Times New Roman" w:hAnsi="Times New Roman" w:cs="Times New Roman" w:eastAsiaTheme="minorEastAsia"/>
          <w:color w:val="auto"/>
          <w:szCs w:val="28"/>
        </w:rPr>
        <w:t xml:space="preserve"> 建设工程消防验收意见书</w:t>
      </w:r>
      <w:r>
        <w:rPr>
          <w:rFonts w:hint="eastAsia" w:cs="Times New Roman" w:eastAsiaTheme="minorEastAsia"/>
          <w:color w:val="auto"/>
          <w:szCs w:val="28"/>
          <w:lang w:eastAsia="zh-CN"/>
        </w:rPr>
        <w:t>复印件</w:t>
      </w:r>
    </w:p>
    <w:p>
      <w:pPr>
        <w:pStyle w:val="2"/>
        <w:pageBreakBefore w:val="0"/>
        <w:kinsoku/>
        <w:wordWrap/>
        <w:topLinePunct w:val="0"/>
        <w:bidi w:val="0"/>
        <w:adjustRightInd w:val="0"/>
        <w:snapToGrid w:val="0"/>
        <w:ind w:firstLine="0" w:firstLineChars="0"/>
        <w:rPr>
          <w:rFonts w:hint="eastAsia" w:ascii="Times New Roman" w:hAnsi="Times New Roman" w:cs="Times New Roman" w:eastAsiaTheme="minorEastAsia"/>
          <w:color w:val="auto"/>
          <w:lang w:eastAsia="zh-CN"/>
        </w:rPr>
      </w:pPr>
      <w:r>
        <w:rPr>
          <w:rFonts w:hint="default" w:ascii="Times New Roman" w:hAnsi="Times New Roman" w:cs="Times New Roman" w:eastAsiaTheme="minorEastAsia"/>
          <w:color w:val="auto"/>
        </w:rPr>
        <w:t>附件</w:t>
      </w:r>
      <w:r>
        <w:rPr>
          <w:rFonts w:hint="default" w:ascii="Times New Roman" w:hAnsi="Times New Roman" w:cs="Times New Roman" w:eastAsiaTheme="minorEastAsia"/>
          <w:color w:val="auto"/>
          <w:lang w:val="en-US" w:eastAsia="zh-CN"/>
        </w:rPr>
        <w:t>1</w:t>
      </w:r>
      <w:r>
        <w:rPr>
          <w:rFonts w:hint="eastAsia" w:cs="Times New Roman" w:eastAsiaTheme="minorEastAsia"/>
          <w:color w:val="auto"/>
          <w:lang w:val="en-US" w:eastAsia="zh-CN"/>
        </w:rPr>
        <w:t>0</w:t>
      </w:r>
      <w:r>
        <w:rPr>
          <w:rFonts w:hint="default" w:ascii="Times New Roman" w:hAnsi="Times New Roman" w:cs="Times New Roman" w:eastAsiaTheme="minorEastAsia"/>
          <w:color w:val="auto"/>
        </w:rPr>
        <w:t xml:space="preserve"> 应急救援预案登记备案证明</w:t>
      </w:r>
      <w:r>
        <w:rPr>
          <w:rFonts w:hint="eastAsia" w:cs="Times New Roman" w:eastAsiaTheme="minorEastAsia"/>
          <w:color w:val="auto"/>
          <w:lang w:eastAsia="zh-CN"/>
        </w:rPr>
        <w:t>以及演练记录、</w:t>
      </w:r>
      <w:r>
        <w:rPr>
          <w:rFonts w:hint="eastAsia" w:cs="Times New Roman" w:eastAsiaTheme="minorEastAsia"/>
          <w:color w:val="auto"/>
          <w:lang w:val="en-US" w:eastAsia="zh-CN"/>
        </w:rPr>
        <w:t>安全教育培训记录、应急物资清单、劳动防护用品发放记录</w:t>
      </w:r>
      <w:r>
        <w:rPr>
          <w:rFonts w:hint="eastAsia" w:cs="Times New Roman" w:eastAsiaTheme="minorEastAsia"/>
          <w:color w:val="auto"/>
          <w:lang w:eastAsia="zh-CN"/>
        </w:rPr>
        <w:t>复印件</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附件1</w:t>
      </w:r>
      <w:r>
        <w:rPr>
          <w:rFonts w:hint="eastAsia" w:cs="Times New Roman" w:eastAsiaTheme="minorEastAsia"/>
          <w:color w:val="auto"/>
          <w:szCs w:val="28"/>
          <w:lang w:val="en-US" w:eastAsia="zh-CN"/>
        </w:rPr>
        <w:t>1</w:t>
      </w:r>
      <w:r>
        <w:rPr>
          <w:rFonts w:hint="default" w:ascii="Times New Roman" w:hAnsi="Times New Roman" w:cs="Times New Roman" w:eastAsiaTheme="minorEastAsia"/>
          <w:color w:val="auto"/>
          <w:szCs w:val="28"/>
        </w:rPr>
        <w:t xml:space="preserve"> 防雷</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静电</w:t>
      </w:r>
      <w:r>
        <w:rPr>
          <w:rFonts w:hint="eastAsia" w:cs="Times New Roman" w:eastAsiaTheme="minorEastAsia"/>
          <w:color w:val="auto"/>
          <w:szCs w:val="28"/>
          <w:lang w:eastAsia="zh-CN"/>
        </w:rPr>
        <w:t>）</w:t>
      </w:r>
      <w:r>
        <w:rPr>
          <w:rFonts w:hint="default" w:ascii="Times New Roman" w:hAnsi="Times New Roman" w:cs="Times New Roman" w:eastAsiaTheme="minorEastAsia"/>
          <w:color w:val="auto"/>
          <w:szCs w:val="28"/>
        </w:rPr>
        <w:t>装置检测报告及检测单位资质复印件</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附件1</w:t>
      </w:r>
      <w:r>
        <w:rPr>
          <w:rFonts w:hint="eastAsia" w:cs="Times New Roman" w:eastAsiaTheme="minorEastAsia"/>
          <w:color w:val="auto"/>
          <w:szCs w:val="28"/>
          <w:lang w:val="en-US" w:eastAsia="zh-CN"/>
        </w:rPr>
        <w:t>2</w:t>
      </w:r>
      <w:r>
        <w:rPr>
          <w:rFonts w:hint="default" w:ascii="Times New Roman" w:hAnsi="Times New Roman" w:cs="Times New Roman" w:eastAsiaTheme="minorEastAsia"/>
          <w:color w:val="auto"/>
          <w:szCs w:val="28"/>
        </w:rPr>
        <w:t xml:space="preserve"> 设计、施工单位资质复印件</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lang w:eastAsia="zh-CN"/>
        </w:rPr>
        <w:t>附件</w:t>
      </w:r>
      <w:r>
        <w:rPr>
          <w:rFonts w:hint="default" w:ascii="Times New Roman" w:hAnsi="Times New Roman" w:cs="Times New Roman" w:eastAsiaTheme="minorEastAsia"/>
          <w:color w:val="auto"/>
          <w:szCs w:val="28"/>
          <w:lang w:val="en-US" w:eastAsia="zh-CN"/>
        </w:rPr>
        <w:t>1</w:t>
      </w:r>
      <w:r>
        <w:rPr>
          <w:rFonts w:hint="eastAsia" w:cs="Times New Roman" w:eastAsiaTheme="minorEastAsia"/>
          <w:color w:val="auto"/>
          <w:szCs w:val="28"/>
          <w:lang w:val="en-US" w:eastAsia="zh-CN"/>
        </w:rPr>
        <w:t>3</w:t>
      </w:r>
      <w:r>
        <w:rPr>
          <w:rFonts w:hint="default" w:ascii="Times New Roman" w:hAnsi="Times New Roman" w:cs="Times New Roman" w:eastAsiaTheme="minorEastAsia"/>
          <w:color w:val="auto"/>
          <w:szCs w:val="28"/>
          <w:lang w:val="en-US" w:eastAsia="zh-CN"/>
        </w:rPr>
        <w:t xml:space="preserve"> </w:t>
      </w:r>
      <w:r>
        <w:rPr>
          <w:rFonts w:hint="default" w:ascii="Times New Roman" w:hAnsi="Times New Roman" w:cs="Times New Roman" w:eastAsiaTheme="minorEastAsia"/>
          <w:color w:val="auto"/>
          <w:szCs w:val="28"/>
        </w:rPr>
        <w:t>工程完工联合验收单复印件</w:t>
      </w:r>
    </w:p>
    <w:p>
      <w:pPr>
        <w:pageBreakBefore w:val="0"/>
        <w:kinsoku/>
        <w:wordWrap/>
        <w:topLinePunct w:val="0"/>
        <w:bidi w:val="0"/>
        <w:adjustRightInd w:val="0"/>
        <w:snapToGrid w:val="0"/>
        <w:spacing w:line="520" w:lineRule="exact"/>
        <w:ind w:firstLine="0" w:firstLineChars="0"/>
        <w:rPr>
          <w:rFonts w:hint="eastAsia" w:ascii="Times New Roman" w:hAnsi="Times New Roman" w:cs="Times New Roman" w:eastAsiaTheme="minorEastAsia"/>
          <w:color w:val="auto"/>
          <w:szCs w:val="28"/>
          <w:lang w:eastAsia="zh-CN"/>
        </w:rPr>
      </w:pPr>
      <w:r>
        <w:rPr>
          <w:rFonts w:hint="default" w:ascii="Times New Roman" w:hAnsi="Times New Roman" w:cs="Times New Roman" w:eastAsiaTheme="minorEastAsia"/>
          <w:color w:val="auto"/>
          <w:szCs w:val="28"/>
        </w:rPr>
        <w:t>附件</w:t>
      </w:r>
      <w:r>
        <w:rPr>
          <w:rFonts w:hint="eastAsia" w:cs="Times New Roman" w:eastAsiaTheme="minorEastAsia"/>
          <w:color w:val="auto"/>
          <w:szCs w:val="28"/>
          <w:lang w:val="en-US" w:eastAsia="zh-CN"/>
        </w:rPr>
        <w:t>14</w:t>
      </w:r>
      <w:r>
        <w:rPr>
          <w:rFonts w:hint="default" w:ascii="Times New Roman" w:hAnsi="Times New Roman" w:cs="Times New Roman" w:eastAsiaTheme="minorEastAsia"/>
          <w:color w:val="auto"/>
          <w:szCs w:val="28"/>
        </w:rPr>
        <w:t xml:space="preserve"> 工伤保险缴费证明及安责险缴纳证明</w:t>
      </w:r>
      <w:r>
        <w:rPr>
          <w:rFonts w:hint="eastAsia" w:cs="Times New Roman" w:eastAsiaTheme="minorEastAsia"/>
          <w:color w:val="auto"/>
          <w:szCs w:val="28"/>
          <w:lang w:eastAsia="zh-CN"/>
        </w:rPr>
        <w:t>复印件</w:t>
      </w:r>
    </w:p>
    <w:p>
      <w:pPr>
        <w:pStyle w:val="2"/>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lang w:val="en-US" w:eastAsia="zh-CN"/>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15</w:t>
      </w:r>
      <w:r>
        <w:rPr>
          <w:rFonts w:hint="default" w:ascii="Times New Roman" w:hAnsi="Times New Roman" w:cs="Times New Roman" w:eastAsiaTheme="minorEastAsia"/>
          <w:color w:val="auto"/>
          <w:lang w:val="en-US" w:eastAsia="zh-CN"/>
        </w:rPr>
        <w:t xml:space="preserve"> </w:t>
      </w:r>
      <w:r>
        <w:rPr>
          <w:rFonts w:hint="eastAsia" w:cs="Times New Roman" w:eastAsiaTheme="minorEastAsia"/>
          <w:color w:val="auto"/>
          <w:lang w:val="en-US" w:eastAsia="zh-CN"/>
        </w:rPr>
        <w:t>工艺变更通知单</w:t>
      </w:r>
    </w:p>
    <w:p>
      <w:pPr>
        <w:pStyle w:val="2"/>
        <w:pageBreakBefore w:val="0"/>
        <w:kinsoku/>
        <w:wordWrap/>
        <w:topLinePunct w:val="0"/>
        <w:bidi w:val="0"/>
        <w:adjustRightInd w:val="0"/>
        <w:snapToGrid w:val="0"/>
        <w:ind w:firstLine="0" w:firstLineChars="0"/>
        <w:rPr>
          <w:rFonts w:hint="eastAsia" w:ascii="Times New Roman" w:hAnsi="Times New Roman" w:cs="Times New Roman" w:eastAsiaTheme="minorEastAsia"/>
          <w:color w:val="auto"/>
          <w:lang w:eastAsia="zh-CN"/>
        </w:rPr>
      </w:pPr>
      <w:r>
        <w:rPr>
          <w:rFonts w:hint="eastAsia" w:cs="Times New Roman" w:eastAsiaTheme="minorEastAsia"/>
          <w:color w:val="auto"/>
          <w:lang w:val="en-US" w:eastAsia="zh-CN"/>
        </w:rPr>
        <w:t xml:space="preserve">附件16 </w:t>
      </w:r>
      <w:r>
        <w:rPr>
          <w:rFonts w:hint="default" w:ascii="Times New Roman" w:hAnsi="Times New Roman" w:cs="Times New Roman" w:eastAsiaTheme="minorEastAsia"/>
          <w:color w:val="auto"/>
        </w:rPr>
        <w:t>油罐、加油机等设备设施产品合格证</w:t>
      </w:r>
      <w:r>
        <w:rPr>
          <w:rFonts w:hint="eastAsia" w:cs="Times New Roman" w:eastAsiaTheme="minorEastAsia"/>
          <w:color w:val="auto"/>
          <w:lang w:eastAsia="zh-CN"/>
        </w:rPr>
        <w:t>以及检验报告复印件（部分）</w:t>
      </w:r>
    </w:p>
    <w:p>
      <w:pPr>
        <w:pStyle w:val="2"/>
        <w:pageBreakBefore w:val="0"/>
        <w:kinsoku/>
        <w:wordWrap/>
        <w:topLinePunct w:val="0"/>
        <w:bidi w:val="0"/>
        <w:adjustRightInd w:val="0"/>
        <w:snapToGrid w:val="0"/>
        <w:ind w:firstLine="0" w:firstLineChars="0"/>
        <w:rPr>
          <w:rFonts w:hint="eastAsia" w:cs="Times New Roman" w:eastAsiaTheme="minorEastAsia"/>
          <w:color w:val="auto"/>
          <w:lang w:eastAsia="zh-CN"/>
        </w:rPr>
      </w:pPr>
      <w:r>
        <w:rPr>
          <w:rFonts w:hint="default" w:ascii="Times New Roman" w:hAnsi="Times New Roman" w:cs="Times New Roman" w:eastAsiaTheme="minorEastAsia"/>
          <w:color w:val="auto"/>
        </w:rPr>
        <w:t>附件</w:t>
      </w:r>
      <w:r>
        <w:rPr>
          <w:rFonts w:hint="eastAsia" w:cs="Times New Roman" w:eastAsiaTheme="minorEastAsia"/>
          <w:color w:val="auto"/>
          <w:lang w:val="en-US" w:eastAsia="zh-CN"/>
        </w:rPr>
        <w:t>17</w:t>
      </w:r>
      <w:r>
        <w:rPr>
          <w:rFonts w:hint="default" w:ascii="Times New Roman" w:hAnsi="Times New Roman" w:cs="Times New Roman" w:eastAsiaTheme="minorEastAsia"/>
          <w:color w:val="auto"/>
        </w:rPr>
        <w:t xml:space="preserve"> </w:t>
      </w:r>
      <w:r>
        <w:rPr>
          <w:rFonts w:hint="eastAsia" w:cs="Times New Roman" w:eastAsiaTheme="minorEastAsia"/>
          <w:color w:val="auto"/>
          <w:lang w:eastAsia="zh-CN"/>
        </w:rPr>
        <w:t>绝缘工具检测报告复印件</w:t>
      </w:r>
    </w:p>
    <w:p>
      <w:pPr>
        <w:pStyle w:val="2"/>
        <w:pageBreakBefore w:val="0"/>
        <w:kinsoku/>
        <w:wordWrap/>
        <w:topLinePunct w:val="0"/>
        <w:bidi w:val="0"/>
        <w:adjustRightInd w:val="0"/>
        <w:snapToGrid w:val="0"/>
        <w:ind w:firstLine="0" w:firstLineChars="0"/>
        <w:rPr>
          <w:rFonts w:hint="eastAsia"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附件</w:t>
      </w:r>
      <w:r>
        <w:rPr>
          <w:rFonts w:hint="eastAsia" w:cs="Times New Roman" w:eastAsiaTheme="minorEastAsia"/>
          <w:color w:val="auto"/>
          <w:highlight w:val="none"/>
          <w:lang w:val="en-US" w:eastAsia="zh-CN"/>
        </w:rPr>
        <w:t>18</w:t>
      </w:r>
      <w:r>
        <w:rPr>
          <w:rFonts w:hint="default" w:ascii="Times New Roman" w:hAnsi="Times New Roman" w:cs="Times New Roman" w:eastAsiaTheme="minorEastAsia"/>
          <w:color w:val="auto"/>
          <w:highlight w:val="none"/>
          <w:lang w:val="en-US" w:eastAsia="zh-CN"/>
        </w:rPr>
        <w:t xml:space="preserve"> </w:t>
      </w:r>
      <w:r>
        <w:rPr>
          <w:rFonts w:hint="eastAsia" w:cs="Times New Roman" w:eastAsiaTheme="minorEastAsia"/>
          <w:color w:val="auto"/>
          <w:highlight w:val="none"/>
          <w:lang w:val="en-US" w:eastAsia="zh-CN"/>
        </w:rPr>
        <w:t>现场</w:t>
      </w:r>
      <w:r>
        <w:rPr>
          <w:rFonts w:hint="default" w:ascii="Times New Roman" w:hAnsi="Times New Roman" w:cs="Times New Roman" w:eastAsiaTheme="minorEastAsia"/>
          <w:color w:val="auto"/>
          <w:highlight w:val="none"/>
          <w:lang w:val="en-US" w:eastAsia="zh-CN"/>
        </w:rPr>
        <w:t>隐患整改</w:t>
      </w:r>
      <w:r>
        <w:rPr>
          <w:rFonts w:hint="eastAsia" w:cs="Times New Roman" w:eastAsiaTheme="minorEastAsia"/>
          <w:color w:val="auto"/>
          <w:highlight w:val="none"/>
          <w:lang w:val="en-US" w:eastAsia="zh-CN"/>
        </w:rPr>
        <w:t>照片</w:t>
      </w:r>
    </w:p>
    <w:p>
      <w:pPr>
        <w:pStyle w:val="2"/>
        <w:pageBreakBefore w:val="0"/>
        <w:kinsoku/>
        <w:wordWrap/>
        <w:topLinePunct w:val="0"/>
        <w:bidi w:val="0"/>
        <w:adjustRightInd w:val="0"/>
        <w:snapToGrid w:val="0"/>
        <w:ind w:firstLine="0" w:firstLineChars="0"/>
        <w:rPr>
          <w:rFonts w:hint="eastAsia" w:cs="Times New Roman" w:eastAsiaTheme="minorEastAsia"/>
          <w:color w:val="auto"/>
          <w:highlight w:val="none"/>
          <w:lang w:val="en-US" w:eastAsia="zh-CN"/>
        </w:rPr>
      </w:pPr>
      <w:r>
        <w:rPr>
          <w:rFonts w:hint="eastAsia" w:cs="Times New Roman" w:eastAsiaTheme="minorEastAsia"/>
          <w:color w:val="auto"/>
          <w:highlight w:val="none"/>
          <w:lang w:val="en-US" w:eastAsia="zh-CN"/>
        </w:rPr>
        <w:t>附件19 加油中心现场照片</w:t>
      </w:r>
    </w:p>
    <w:p>
      <w:pPr>
        <w:pStyle w:val="2"/>
        <w:pageBreakBefore w:val="0"/>
        <w:kinsoku/>
        <w:wordWrap/>
        <w:topLinePunct w:val="0"/>
        <w:bidi w:val="0"/>
        <w:adjustRightInd w:val="0"/>
        <w:snapToGrid w:val="0"/>
        <w:ind w:firstLine="0" w:firstLineChars="0"/>
        <w:rPr>
          <w:rFonts w:hint="eastAsia" w:cs="Times New Roman" w:eastAsiaTheme="minorEastAsia"/>
          <w:color w:val="auto"/>
          <w:highlight w:val="none"/>
          <w:lang w:val="en-US" w:eastAsia="zh-CN"/>
        </w:rPr>
      </w:pPr>
      <w:r>
        <w:rPr>
          <w:rFonts w:hint="eastAsia" w:cs="Times New Roman" w:eastAsiaTheme="minorEastAsia"/>
          <w:color w:val="auto"/>
          <w:highlight w:val="none"/>
          <w:lang w:val="en-US" w:eastAsia="zh-CN"/>
        </w:rPr>
        <w:t>附件20 专家意见及报告修改说明</w:t>
      </w:r>
    </w:p>
    <w:p>
      <w:pPr>
        <w:pStyle w:val="2"/>
        <w:pageBreakBefore w:val="0"/>
        <w:kinsoku/>
        <w:wordWrap/>
        <w:topLinePunct w:val="0"/>
        <w:bidi w:val="0"/>
        <w:adjustRightInd w:val="0"/>
        <w:snapToGrid w:val="0"/>
        <w:ind w:firstLine="0" w:firstLineChars="0"/>
        <w:rPr>
          <w:rFonts w:hint="eastAsia" w:cs="Times New Roman" w:eastAsiaTheme="minorEastAsia"/>
          <w:color w:val="auto"/>
          <w:highlight w:val="none"/>
          <w:lang w:val="en-US" w:eastAsia="zh-CN"/>
        </w:rPr>
      </w:pPr>
      <w:r>
        <w:rPr>
          <w:rFonts w:hint="eastAsia" w:cs="Times New Roman" w:eastAsiaTheme="minorEastAsia"/>
          <w:color w:val="auto"/>
          <w:highlight w:val="none"/>
          <w:lang w:val="en-US" w:eastAsia="zh-CN"/>
        </w:rPr>
        <w:t>附件21 专家意见现场隐患企业整改照片</w:t>
      </w:r>
    </w:p>
    <w:p>
      <w:pPr>
        <w:pStyle w:val="2"/>
        <w:pageBreakBefore w:val="0"/>
        <w:kinsoku/>
        <w:wordWrap/>
        <w:topLinePunct w:val="0"/>
        <w:bidi w:val="0"/>
        <w:adjustRightInd w:val="0"/>
        <w:snapToGrid w:val="0"/>
        <w:ind w:firstLine="0" w:firstLineChars="0"/>
        <w:rPr>
          <w:rFonts w:hint="eastAsia" w:cs="Times New Roman" w:eastAsiaTheme="minorEastAsia"/>
          <w:color w:val="auto"/>
          <w:highlight w:val="none"/>
          <w:lang w:val="en-US" w:eastAsia="zh-CN"/>
        </w:rPr>
      </w:pPr>
      <w:r>
        <w:rPr>
          <w:rFonts w:hint="eastAsia" w:cs="Times New Roman" w:eastAsiaTheme="minorEastAsia"/>
          <w:color w:val="auto"/>
          <w:highlight w:val="none"/>
          <w:lang w:val="en-US" w:eastAsia="zh-CN"/>
        </w:rPr>
        <w:t>附件22 核查专家组意见及报告修改说明</w:t>
      </w:r>
    </w:p>
    <w:p>
      <w:pPr>
        <w:pStyle w:val="2"/>
        <w:pageBreakBefore w:val="0"/>
        <w:kinsoku/>
        <w:wordWrap/>
        <w:topLinePunct w:val="0"/>
        <w:bidi w:val="0"/>
        <w:adjustRightInd w:val="0"/>
        <w:snapToGrid w:val="0"/>
        <w:ind w:firstLine="0" w:firstLineChars="0"/>
        <w:rPr>
          <w:rFonts w:hint="default" w:cs="Times New Roman" w:eastAsiaTheme="minorEastAsia"/>
          <w:color w:val="auto"/>
          <w:highlight w:val="none"/>
          <w:lang w:val="en-US" w:eastAsia="zh-CN"/>
        </w:rPr>
      </w:pPr>
      <w:r>
        <w:rPr>
          <w:rFonts w:hint="eastAsia" w:cs="Times New Roman" w:eastAsiaTheme="minorEastAsia"/>
          <w:color w:val="auto"/>
          <w:highlight w:val="none"/>
          <w:lang w:val="en-US" w:eastAsia="zh-CN"/>
        </w:rPr>
        <w:t>附件23 核查专家组意见现场隐患企业整改照片</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b/>
          <w:bCs/>
          <w:color w:val="auto"/>
          <w:szCs w:val="28"/>
        </w:rPr>
        <w:t>附图</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附图1 地理位置图</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附图2 周边环境图</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附图3 总平面布置图</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 xml:space="preserve">附图4 </w:t>
      </w:r>
      <w:r>
        <w:rPr>
          <w:rFonts w:hint="eastAsia" w:cs="Times New Roman" w:eastAsiaTheme="minorEastAsia"/>
          <w:color w:val="auto"/>
          <w:szCs w:val="28"/>
          <w:lang w:eastAsia="zh-CN"/>
        </w:rPr>
        <w:t>工艺</w:t>
      </w:r>
      <w:r>
        <w:rPr>
          <w:rFonts w:hint="default" w:ascii="Times New Roman" w:hAnsi="Times New Roman" w:cs="Times New Roman" w:eastAsiaTheme="minorEastAsia"/>
          <w:color w:val="auto"/>
          <w:szCs w:val="28"/>
        </w:rPr>
        <w:t>流程图</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 xml:space="preserve">附图5 </w:t>
      </w:r>
      <w:r>
        <w:rPr>
          <w:rFonts w:hint="eastAsia" w:cs="Times New Roman" w:eastAsiaTheme="minorEastAsia"/>
          <w:color w:val="auto"/>
          <w:szCs w:val="28"/>
          <w:lang w:eastAsia="zh-CN"/>
        </w:rPr>
        <w:t>防雷防静电接地平面</w:t>
      </w:r>
      <w:r>
        <w:rPr>
          <w:rFonts w:hint="default" w:ascii="Times New Roman" w:hAnsi="Times New Roman" w:cs="Times New Roman" w:eastAsiaTheme="minorEastAsia"/>
          <w:color w:val="auto"/>
          <w:szCs w:val="28"/>
        </w:rPr>
        <w:t>图</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附图6 消防</w:t>
      </w:r>
      <w:r>
        <w:rPr>
          <w:rFonts w:hint="eastAsia" w:cs="Times New Roman" w:eastAsiaTheme="minorEastAsia"/>
          <w:color w:val="auto"/>
          <w:szCs w:val="28"/>
          <w:lang w:eastAsia="zh-CN"/>
        </w:rPr>
        <w:t>设施</w:t>
      </w:r>
      <w:r>
        <w:rPr>
          <w:rFonts w:hint="default" w:ascii="Times New Roman" w:hAnsi="Times New Roman" w:cs="Times New Roman" w:eastAsiaTheme="minorEastAsia"/>
          <w:color w:val="auto"/>
          <w:szCs w:val="28"/>
        </w:rPr>
        <w:t>平面布置图</w:t>
      </w:r>
    </w:p>
    <w:p>
      <w:pPr>
        <w:pageBreakBefore w:val="0"/>
        <w:kinsoku/>
        <w:wordWrap/>
        <w:topLinePunct w:val="0"/>
        <w:bidi w:val="0"/>
        <w:adjustRightInd w:val="0"/>
        <w:snapToGrid w:val="0"/>
        <w:spacing w:line="520" w:lineRule="exact"/>
        <w:ind w:firstLine="0" w:firstLineChars="0"/>
        <w:rPr>
          <w:rFonts w:hint="default" w:ascii="Times New Roman" w:hAnsi="Times New Roman" w:cs="Times New Roman" w:eastAsiaTheme="minorEastAsia"/>
          <w:color w:val="auto"/>
          <w:szCs w:val="28"/>
        </w:rPr>
      </w:pPr>
      <w:r>
        <w:rPr>
          <w:rFonts w:hint="default" w:ascii="Times New Roman" w:hAnsi="Times New Roman" w:cs="Times New Roman" w:eastAsiaTheme="minorEastAsia"/>
          <w:color w:val="auto"/>
          <w:szCs w:val="28"/>
        </w:rPr>
        <w:t xml:space="preserve">附图7 </w:t>
      </w:r>
      <w:r>
        <w:rPr>
          <w:rFonts w:hint="eastAsia" w:cs="Times New Roman" w:eastAsiaTheme="minorEastAsia"/>
          <w:color w:val="auto"/>
          <w:szCs w:val="28"/>
          <w:lang w:eastAsia="zh-CN"/>
        </w:rPr>
        <w:t>爆炸危险区域划分平面</w:t>
      </w:r>
      <w:r>
        <w:rPr>
          <w:rFonts w:hint="default" w:ascii="Times New Roman" w:hAnsi="Times New Roman" w:cs="Times New Roman" w:eastAsiaTheme="minorEastAsia"/>
          <w:color w:val="auto"/>
          <w:szCs w:val="28"/>
        </w:rPr>
        <w:t>图</w:t>
      </w:r>
    </w:p>
    <w:p>
      <w:pPr>
        <w:pStyle w:val="2"/>
        <w:pageBreakBefore w:val="0"/>
        <w:kinsoku/>
        <w:wordWrap/>
        <w:topLinePunct w:val="0"/>
        <w:bidi w:val="0"/>
        <w:adjustRightInd w:val="0"/>
        <w:snapToGrid w:val="0"/>
        <w:ind w:firstLine="0" w:firstLineChars="0"/>
        <w:rPr>
          <w:rFonts w:hint="default" w:ascii="Times New Roman" w:hAnsi="Times New Roman" w:cs="Times New Roman" w:eastAsiaTheme="minorEastAsia"/>
          <w:color w:val="auto"/>
        </w:rPr>
      </w:pPr>
    </w:p>
    <w:sectPr>
      <w:headerReference r:id="rId14" w:type="default"/>
      <w:pgSz w:w="11906" w:h="16838"/>
      <w:pgMar w:top="1417" w:right="1417" w:bottom="1417" w:left="1417" w:header="964" w:footer="992" w:gutter="0"/>
      <w:pgBorders>
        <w:top w:val="none" w:sz="0" w:space="0"/>
        <w:left w:val="none" w:sz="0" w:space="0"/>
        <w:bottom w:val="none" w:sz="0" w:space="0"/>
        <w:right w:val="none" w:sz="0" w:space="0"/>
      </w:pgBorders>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FZFangSong-Z02S">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30806979"/>
                          </w:sdtPr>
                          <w:sdtContent>
                            <w:p>
                              <w:pPr>
                                <w:pStyle w:val="17"/>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p>
                          <w:pPr>
                            <w:pStyle w:val="2"/>
                            <w:ind w:firstLine="560"/>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sdt>
                    <w:sdtPr>
                      <w:id w:val="30806979"/>
                    </w:sdtPr>
                    <w:sdtContent>
                      <w:p>
                        <w:pPr>
                          <w:pStyle w:val="17"/>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p>
                    <w:pPr>
                      <w:pStyle w:val="2"/>
                      <w:ind w:firstLine="560"/>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30806969"/>
                          </w:sdtPr>
                          <w:sdtContent>
                            <w:p>
                              <w:pPr>
                                <w:pStyle w:val="17"/>
                                <w:ind w:firstLine="360"/>
                                <w:jc w:val="center"/>
                              </w:pPr>
                              <w:r>
                                <w:fldChar w:fldCharType="begin"/>
                              </w:r>
                              <w:r>
                                <w:instrText xml:space="preserve"> PAGE   \* MERGEFORMAT </w:instrText>
                              </w:r>
                              <w:r>
                                <w:fldChar w:fldCharType="separate"/>
                              </w:r>
                              <w:r>
                                <w:rPr>
                                  <w:lang w:val="zh-CN"/>
                                </w:rPr>
                                <w:t>37</w:t>
                              </w:r>
                              <w:r>
                                <w:rPr>
                                  <w:lang w:val="zh-CN"/>
                                </w:rPr>
                                <w:fldChar w:fldCharType="end"/>
                              </w:r>
                            </w:p>
                          </w:sdtContent>
                        </w:sdt>
                        <w:p>
                          <w:pPr>
                            <w:pStyle w:val="2"/>
                            <w:ind w:firstLine="560"/>
                          </w:pP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VBTYMkBAACZ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WJ4xYHfvn+7fLj1+XnV/Iy&#10;t6cPUGPWXcC8NLz1Ay7N7Ad0ZtWDijZ/UQ/BODb3fG2uHBIR+dF6tV5XGBIYmy+Izx6ehwjpnfSW&#10;ZKOhEadXmspPHyCNqXNKrub8rTamTNC4vxyImT0scx85ZisN+2EStPftGfX0OPiGOtxzSsx7h33N&#10;OzIbcTb2s3EMUR86pLYsvCC8OSYkUbjlCiPsVBgnVtRN25VX4s97yXr4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tUFNgyQEAAJkDAAAOAAAAAAAAAAEAIAAAAB4BAABkcnMvZTJvRG9j&#10;LnhtbFBLBQYAAAAABgAGAFkBAABZBQAAAAA=&#10;">
              <v:fill on="f" focussize="0,0"/>
              <v:stroke on="f"/>
              <v:imagedata o:title=""/>
              <o:lock v:ext="edit" aspectratio="f"/>
              <v:textbox inset="0mm,0mm,0mm,0mm" style="mso-fit-shape-to-text:t;">
                <w:txbxContent>
                  <w:sdt>
                    <w:sdtPr>
                      <w:id w:val="30806969"/>
                    </w:sdtPr>
                    <w:sdtContent>
                      <w:p>
                        <w:pPr>
                          <w:pStyle w:val="17"/>
                          <w:ind w:firstLine="360"/>
                          <w:jc w:val="center"/>
                        </w:pPr>
                        <w:r>
                          <w:fldChar w:fldCharType="begin"/>
                        </w:r>
                        <w:r>
                          <w:instrText xml:space="preserve"> PAGE   \* MERGEFORMAT </w:instrText>
                        </w:r>
                        <w:r>
                          <w:fldChar w:fldCharType="separate"/>
                        </w:r>
                        <w:r>
                          <w:rPr>
                            <w:lang w:val="zh-CN"/>
                          </w:rPr>
                          <w:t>37</w:t>
                        </w:r>
                        <w:r>
                          <w:rPr>
                            <w:lang w:val="zh-CN"/>
                          </w:rPr>
                          <w:fldChar w:fldCharType="end"/>
                        </w:r>
                      </w:p>
                    </w:sdtContent>
                  </w:sdt>
                  <w:p>
                    <w:pPr>
                      <w:pStyle w:val="2"/>
                      <w:ind w:firstLine="560"/>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spacing w:line="240" w:lineRule="auto"/>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240" w:lineRule="auto"/>
      <w:ind w:left="0" w:leftChars="0" w:firstLine="0" w:firstLineChars="0"/>
      <w:jc w:val="both"/>
      <w:rPr>
        <w:rFonts w:hint="eastAsia" w:eastAsia="宋体"/>
        <w:lang w:eastAsia="zh-CN"/>
      </w:rPr>
    </w:pPr>
    <w:r>
      <w:rPr>
        <w:rFonts w:hint="eastAsia"/>
        <w:lang w:eastAsia="zh-CN"/>
      </w:rPr>
      <w:t>山东万通集团垦利金顺油品有限公司第六加油中心扩容项目</w:t>
    </w:r>
    <w:r>
      <w:rPr>
        <w:rFonts w:hint="default"/>
        <w:lang w:val="en-US"/>
      </w:rPr>
      <w:t xml:space="preserve">        </w:t>
    </w:r>
    <w:r>
      <w:rPr>
        <w:rFonts w:hint="eastAsia"/>
        <w:lang w:val="en-US" w:eastAsia="zh-CN"/>
      </w:rPr>
      <w:t xml:space="preserve">     </w:t>
    </w:r>
    <w:r>
      <w:rPr>
        <w:rFonts w:hint="default"/>
        <w:lang w:val="en-US"/>
      </w:rPr>
      <w:t xml:space="preserve">       </w:t>
    </w:r>
    <w:r>
      <w:rPr>
        <w:rFonts w:hint="eastAsia"/>
        <w:lang w:val="en-US" w:eastAsia="zh-CN"/>
      </w:rPr>
      <w:t xml:space="preserve">    </w:t>
    </w:r>
    <w:r>
      <w:rPr>
        <w:rFonts w:hint="eastAsia"/>
        <w:lang w:eastAsia="zh-CN"/>
      </w:rPr>
      <w:t>安全设施竣工验收评价报告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240" w:lineRule="auto"/>
      <w:ind w:firstLine="0" w:firstLineChars="0"/>
      <w:jc w:val="both"/>
      <w:rPr>
        <w:rFonts w:hint="eastAsia" w:eastAsia="宋体"/>
        <w:lang w:eastAsia="zh-CN"/>
      </w:rPr>
    </w:pPr>
    <w:r>
      <w:rPr>
        <w:rFonts w:hint="eastAsia"/>
        <w:lang w:eastAsia="zh-CN"/>
      </w:rPr>
      <w:t>山东万通集团垦利金顺油品有限公司第六加油中心扩容项目</w:t>
    </w:r>
    <w:r>
      <w:rPr>
        <w:rFonts w:hint="eastAsia"/>
      </w:rPr>
      <w:t xml:space="preserve">      </w:t>
    </w:r>
    <w:r>
      <w:rPr>
        <w:rFonts w:hint="eastAsia"/>
        <w:lang w:val="en-US" w:eastAsia="zh-CN"/>
      </w:rPr>
      <w:t xml:space="preserve">        </w:t>
    </w:r>
    <w:r>
      <w:rPr>
        <w:rFonts w:hint="eastAsia"/>
      </w:rPr>
      <w:t xml:space="preserve">          </w:t>
    </w:r>
    <w:r>
      <w:rPr>
        <w:rFonts w:hint="eastAsia"/>
        <w:lang w:eastAsia="zh-CN"/>
      </w:rPr>
      <w:t>安全设施竣工验收评价报告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1FEFC4"/>
    <w:multiLevelType w:val="singleLevel"/>
    <w:tmpl w:val="931FEFC4"/>
    <w:lvl w:ilvl="0" w:tentative="0">
      <w:start w:val="2"/>
      <w:numFmt w:val="decimal"/>
      <w:suff w:val="nothing"/>
      <w:lvlText w:val="（%1）"/>
      <w:lvlJc w:val="left"/>
    </w:lvl>
  </w:abstractNum>
  <w:abstractNum w:abstractNumId="1">
    <w:nsid w:val="B13CA028"/>
    <w:multiLevelType w:val="singleLevel"/>
    <w:tmpl w:val="B13CA028"/>
    <w:lvl w:ilvl="0" w:tentative="0">
      <w:start w:val="1"/>
      <w:numFmt w:val="decimal"/>
      <w:suff w:val="nothing"/>
      <w:lvlText w:val="（%1）"/>
      <w:lvlJc w:val="left"/>
    </w:lvl>
  </w:abstractNum>
  <w:abstractNum w:abstractNumId="2">
    <w:nsid w:val="DAAA0AA2"/>
    <w:multiLevelType w:val="singleLevel"/>
    <w:tmpl w:val="DAAA0AA2"/>
    <w:lvl w:ilvl="0" w:tentative="0">
      <w:start w:val="1"/>
      <w:numFmt w:val="decimal"/>
      <w:suff w:val="nothing"/>
      <w:lvlText w:val="（%1）"/>
      <w:lvlJc w:val="left"/>
    </w:lvl>
  </w:abstractNum>
  <w:abstractNum w:abstractNumId="3">
    <w:nsid w:val="351D613F"/>
    <w:multiLevelType w:val="multilevel"/>
    <w:tmpl w:val="351D613F"/>
    <w:lvl w:ilvl="0" w:tentative="0">
      <w:start w:val="1"/>
      <w:numFmt w:val="chineseCountingThousand"/>
      <w:lvlText w:val="%1、"/>
      <w:lvlJc w:val="left"/>
      <w:pPr>
        <w:tabs>
          <w:tab w:val="left" w:pos="425"/>
        </w:tabs>
        <w:ind w:left="0" w:firstLine="0"/>
      </w:pPr>
      <w:rPr>
        <w:rFonts w:hint="eastAsia"/>
      </w:rPr>
    </w:lvl>
    <w:lvl w:ilvl="1" w:tentative="0">
      <w:start w:val="1"/>
      <w:numFmt w:val="decimal"/>
      <w:lvlText w:val="%2."/>
      <w:lvlJc w:val="left"/>
      <w:pPr>
        <w:tabs>
          <w:tab w:val="left" w:pos="1276"/>
        </w:tabs>
        <w:ind w:left="851" w:firstLine="0"/>
      </w:pPr>
      <w:rPr>
        <w:rFonts w:hint="eastAsia"/>
      </w:rPr>
    </w:lvl>
    <w:lvl w:ilvl="2" w:tentative="0">
      <w:start w:val="1"/>
      <w:numFmt w:val="decimal"/>
      <w:pStyle w:val="58"/>
      <w:lvlText w:val="(%3)"/>
      <w:lvlJc w:val="left"/>
      <w:pPr>
        <w:tabs>
          <w:tab w:val="left" w:pos="2126"/>
        </w:tabs>
        <w:ind w:left="1701" w:firstLine="0"/>
      </w:pPr>
      <w:rPr>
        <w:rFonts w:hint="eastAsia"/>
      </w:rPr>
    </w:lvl>
    <w:lvl w:ilvl="3" w:tentative="0">
      <w:start w:val="1"/>
      <w:numFmt w:val="decimal"/>
      <w:lvlText w:val="%4)"/>
      <w:lvlJc w:val="left"/>
      <w:pPr>
        <w:tabs>
          <w:tab w:val="left" w:pos="2976"/>
        </w:tabs>
        <w:ind w:left="2551" w:firstLine="0"/>
      </w:pPr>
      <w:rPr>
        <w:rFonts w:hint="eastAsia"/>
      </w:rPr>
    </w:lvl>
    <w:lvl w:ilvl="4" w:tentative="0">
      <w:start w:val="1"/>
      <w:numFmt w:val="upperLetter"/>
      <w:lvlText w:val="%5."/>
      <w:lvlJc w:val="left"/>
      <w:pPr>
        <w:tabs>
          <w:tab w:val="left" w:pos="3827"/>
        </w:tabs>
        <w:ind w:left="3402" w:firstLine="0"/>
      </w:pPr>
      <w:rPr>
        <w:rFonts w:hint="eastAsia"/>
      </w:rPr>
    </w:lvl>
    <w:lvl w:ilvl="5" w:tentative="0">
      <w:start w:val="1"/>
      <w:numFmt w:val="lowerLetter"/>
      <w:pStyle w:val="59"/>
      <w:lvlText w:val="%6)"/>
      <w:lvlJc w:val="left"/>
      <w:pPr>
        <w:tabs>
          <w:tab w:val="left" w:pos="4677"/>
        </w:tabs>
        <w:ind w:left="4252" w:firstLine="0"/>
      </w:pPr>
      <w:rPr>
        <w:rFonts w:hint="eastAsia"/>
      </w:rPr>
    </w:lvl>
    <w:lvl w:ilvl="6" w:tentative="0">
      <w:start w:val="1"/>
      <w:numFmt w:val="lowerRoman"/>
      <w:lvlText w:val="(%7)"/>
      <w:lvlJc w:val="left"/>
      <w:pPr>
        <w:tabs>
          <w:tab w:val="left" w:pos="5528"/>
        </w:tabs>
        <w:ind w:left="5102" w:firstLine="0"/>
      </w:pPr>
      <w:rPr>
        <w:rFonts w:hint="eastAsia"/>
      </w:rPr>
    </w:lvl>
    <w:lvl w:ilvl="7" w:tentative="0">
      <w:start w:val="1"/>
      <w:numFmt w:val="lowerLetter"/>
      <w:lvlText w:val="(%8)"/>
      <w:lvlJc w:val="left"/>
      <w:pPr>
        <w:tabs>
          <w:tab w:val="left" w:pos="6378"/>
        </w:tabs>
        <w:ind w:left="5953" w:firstLine="0"/>
      </w:pPr>
      <w:rPr>
        <w:rFonts w:hint="eastAsia"/>
      </w:rPr>
    </w:lvl>
    <w:lvl w:ilvl="8" w:tentative="0">
      <w:start w:val="1"/>
      <w:numFmt w:val="lowerRoman"/>
      <w:lvlText w:val="(%9)"/>
      <w:lvlJc w:val="left"/>
      <w:pPr>
        <w:tabs>
          <w:tab w:val="left" w:pos="7228"/>
        </w:tabs>
        <w:ind w:left="6803" w:firstLine="0"/>
      </w:pPr>
      <w:rPr>
        <w:rFonts w:hint="eastAsia"/>
      </w:rPr>
    </w:lvl>
  </w:abstractNum>
  <w:abstractNum w:abstractNumId="4">
    <w:nsid w:val="429B722D"/>
    <w:multiLevelType w:val="multilevel"/>
    <w:tmpl w:val="429B722D"/>
    <w:lvl w:ilvl="0" w:tentative="0">
      <w:start w:val="1"/>
      <w:numFmt w:val="decimal"/>
      <w:lvlText w:val="%1．"/>
      <w:lvlJc w:val="left"/>
      <w:pPr>
        <w:tabs>
          <w:tab w:val="left" w:pos="360"/>
        </w:tabs>
        <w:ind w:left="0" w:firstLine="0"/>
      </w:pPr>
      <w:rPr>
        <w:rFonts w:hint="eastAsia"/>
      </w:rPr>
    </w:lvl>
    <w:lvl w:ilvl="1" w:tentative="0">
      <w:start w:val="1"/>
      <w:numFmt w:val="decimal"/>
      <w:lvlText w:val="%2．"/>
      <w:lvlJc w:val="left"/>
      <w:pPr>
        <w:tabs>
          <w:tab w:val="left" w:pos="360"/>
        </w:tabs>
        <w:ind w:left="0" w:firstLine="0"/>
      </w:pPr>
      <w:rPr>
        <w:rFonts w:hint="eastAsia"/>
      </w:rPr>
    </w:lvl>
    <w:lvl w:ilvl="2" w:tentative="0">
      <w:start w:val="1"/>
      <w:numFmt w:val="chineseCountingThousand"/>
      <w:lvlText w:val="%3."/>
      <w:lvlJc w:val="left"/>
      <w:pPr>
        <w:tabs>
          <w:tab w:val="left" w:pos="1200"/>
        </w:tabs>
        <w:ind w:left="1200" w:hanging="360"/>
      </w:pPr>
      <w:rPr>
        <w:rFonts w:hint="eastAsia"/>
      </w:rPr>
    </w:lvl>
    <w:lvl w:ilvl="3" w:tentative="0">
      <w:start w:val="1"/>
      <w:numFmt w:val="decimal"/>
      <w:pStyle w:val="60"/>
      <w:lvlText w:val="%4．"/>
      <w:lvlJc w:val="left"/>
      <w:pPr>
        <w:tabs>
          <w:tab w:val="left" w:pos="360"/>
        </w:tabs>
        <w:ind w:left="0" w:firstLine="0"/>
      </w:pPr>
      <w:rPr>
        <w:rFonts w:hint="eastAsia"/>
        <w:lang w:val="en-U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901E6E4"/>
    <w:multiLevelType w:val="singleLevel"/>
    <w:tmpl w:val="5901E6E4"/>
    <w:lvl w:ilvl="0" w:tentative="0">
      <w:start w:val="1"/>
      <w:numFmt w:val="decimal"/>
      <w:suff w:val="nothing"/>
      <w:lvlText w:val="（%1）"/>
      <w:lvlJc w:val="left"/>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hideSpellingErrors/>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6E0"/>
    <w:rsid w:val="00000B64"/>
    <w:rsid w:val="000019C3"/>
    <w:rsid w:val="00015391"/>
    <w:rsid w:val="000154C6"/>
    <w:rsid w:val="000216C4"/>
    <w:rsid w:val="0002261F"/>
    <w:rsid w:val="00022DA6"/>
    <w:rsid w:val="00023F09"/>
    <w:rsid w:val="0002703F"/>
    <w:rsid w:val="00031BFA"/>
    <w:rsid w:val="00033317"/>
    <w:rsid w:val="00034F98"/>
    <w:rsid w:val="000404E7"/>
    <w:rsid w:val="00040CB4"/>
    <w:rsid w:val="0004373B"/>
    <w:rsid w:val="0004446C"/>
    <w:rsid w:val="000468EA"/>
    <w:rsid w:val="00057ECE"/>
    <w:rsid w:val="00060777"/>
    <w:rsid w:val="00063F30"/>
    <w:rsid w:val="000644C9"/>
    <w:rsid w:val="000650F5"/>
    <w:rsid w:val="00073BFA"/>
    <w:rsid w:val="00076F12"/>
    <w:rsid w:val="00077982"/>
    <w:rsid w:val="00090555"/>
    <w:rsid w:val="0009166F"/>
    <w:rsid w:val="00094149"/>
    <w:rsid w:val="00095726"/>
    <w:rsid w:val="000959F6"/>
    <w:rsid w:val="000A64D1"/>
    <w:rsid w:val="000B0F90"/>
    <w:rsid w:val="000B21EA"/>
    <w:rsid w:val="000B3222"/>
    <w:rsid w:val="000B6BC5"/>
    <w:rsid w:val="000B7E0B"/>
    <w:rsid w:val="000C0B40"/>
    <w:rsid w:val="000C2C15"/>
    <w:rsid w:val="000E1B4E"/>
    <w:rsid w:val="000E4499"/>
    <w:rsid w:val="000E5A09"/>
    <w:rsid w:val="000E7A0A"/>
    <w:rsid w:val="000F2075"/>
    <w:rsid w:val="000F2777"/>
    <w:rsid w:val="000F45F7"/>
    <w:rsid w:val="000F58C7"/>
    <w:rsid w:val="00104BA3"/>
    <w:rsid w:val="00111163"/>
    <w:rsid w:val="001111DD"/>
    <w:rsid w:val="001137A1"/>
    <w:rsid w:val="00123446"/>
    <w:rsid w:val="00126050"/>
    <w:rsid w:val="001323C3"/>
    <w:rsid w:val="00132873"/>
    <w:rsid w:val="001336D3"/>
    <w:rsid w:val="00137356"/>
    <w:rsid w:val="00137A81"/>
    <w:rsid w:val="00137DF4"/>
    <w:rsid w:val="0014114F"/>
    <w:rsid w:val="00143F39"/>
    <w:rsid w:val="001450F5"/>
    <w:rsid w:val="001453AD"/>
    <w:rsid w:val="00145AB4"/>
    <w:rsid w:val="001467F0"/>
    <w:rsid w:val="001469CC"/>
    <w:rsid w:val="00150C35"/>
    <w:rsid w:val="0015444E"/>
    <w:rsid w:val="00154606"/>
    <w:rsid w:val="00157E75"/>
    <w:rsid w:val="001613DC"/>
    <w:rsid w:val="001643AB"/>
    <w:rsid w:val="0016758B"/>
    <w:rsid w:val="00167BF7"/>
    <w:rsid w:val="001700DC"/>
    <w:rsid w:val="001709AF"/>
    <w:rsid w:val="00170BE5"/>
    <w:rsid w:val="00176CBC"/>
    <w:rsid w:val="001771C9"/>
    <w:rsid w:val="0018006E"/>
    <w:rsid w:val="0018440C"/>
    <w:rsid w:val="0018503B"/>
    <w:rsid w:val="00186DDF"/>
    <w:rsid w:val="00187E94"/>
    <w:rsid w:val="00190C3F"/>
    <w:rsid w:val="00193942"/>
    <w:rsid w:val="00193D33"/>
    <w:rsid w:val="001A046C"/>
    <w:rsid w:val="001A4062"/>
    <w:rsid w:val="001A4A26"/>
    <w:rsid w:val="001A4EA0"/>
    <w:rsid w:val="001A5E48"/>
    <w:rsid w:val="001B0E07"/>
    <w:rsid w:val="001B4017"/>
    <w:rsid w:val="001B42EE"/>
    <w:rsid w:val="001B7A1A"/>
    <w:rsid w:val="001C161B"/>
    <w:rsid w:val="001C2550"/>
    <w:rsid w:val="001C366C"/>
    <w:rsid w:val="001C58F6"/>
    <w:rsid w:val="001C5BFC"/>
    <w:rsid w:val="001C7756"/>
    <w:rsid w:val="001D17E5"/>
    <w:rsid w:val="001D1C82"/>
    <w:rsid w:val="001D351B"/>
    <w:rsid w:val="001D3D2F"/>
    <w:rsid w:val="001D63A3"/>
    <w:rsid w:val="001E012B"/>
    <w:rsid w:val="001E1AD3"/>
    <w:rsid w:val="001E4349"/>
    <w:rsid w:val="001E4637"/>
    <w:rsid w:val="001E6A6F"/>
    <w:rsid w:val="001E6E20"/>
    <w:rsid w:val="001E73E2"/>
    <w:rsid w:val="001F0FF2"/>
    <w:rsid w:val="001F78B6"/>
    <w:rsid w:val="00200022"/>
    <w:rsid w:val="00204920"/>
    <w:rsid w:val="00207DBB"/>
    <w:rsid w:val="00211734"/>
    <w:rsid w:val="00212ABC"/>
    <w:rsid w:val="00212E1F"/>
    <w:rsid w:val="00213815"/>
    <w:rsid w:val="00216D95"/>
    <w:rsid w:val="002217FF"/>
    <w:rsid w:val="00221E34"/>
    <w:rsid w:val="00221E6A"/>
    <w:rsid w:val="00224BA6"/>
    <w:rsid w:val="00227D57"/>
    <w:rsid w:val="00230291"/>
    <w:rsid w:val="002363F4"/>
    <w:rsid w:val="0024461A"/>
    <w:rsid w:val="002475AE"/>
    <w:rsid w:val="0025090F"/>
    <w:rsid w:val="00253230"/>
    <w:rsid w:val="00253562"/>
    <w:rsid w:val="002560AE"/>
    <w:rsid w:val="002634A0"/>
    <w:rsid w:val="00263A28"/>
    <w:rsid w:val="00266294"/>
    <w:rsid w:val="00267469"/>
    <w:rsid w:val="00267AD1"/>
    <w:rsid w:val="002713B5"/>
    <w:rsid w:val="00272C80"/>
    <w:rsid w:val="00281EA0"/>
    <w:rsid w:val="002833EF"/>
    <w:rsid w:val="002837FE"/>
    <w:rsid w:val="0028556A"/>
    <w:rsid w:val="0028711D"/>
    <w:rsid w:val="0029066A"/>
    <w:rsid w:val="002961E1"/>
    <w:rsid w:val="002970EA"/>
    <w:rsid w:val="002A10B3"/>
    <w:rsid w:val="002A3069"/>
    <w:rsid w:val="002A4B0F"/>
    <w:rsid w:val="002A4BF3"/>
    <w:rsid w:val="002A638F"/>
    <w:rsid w:val="002B608F"/>
    <w:rsid w:val="002B7BB9"/>
    <w:rsid w:val="002C0D5E"/>
    <w:rsid w:val="002C68BA"/>
    <w:rsid w:val="002D0A29"/>
    <w:rsid w:val="002E2723"/>
    <w:rsid w:val="002E27C1"/>
    <w:rsid w:val="002E3A94"/>
    <w:rsid w:val="002E5362"/>
    <w:rsid w:val="002F0EA1"/>
    <w:rsid w:val="002F1C91"/>
    <w:rsid w:val="002F2AA7"/>
    <w:rsid w:val="00300CB0"/>
    <w:rsid w:val="00300E05"/>
    <w:rsid w:val="00300EF8"/>
    <w:rsid w:val="00302899"/>
    <w:rsid w:val="003032C3"/>
    <w:rsid w:val="00303E82"/>
    <w:rsid w:val="003047F8"/>
    <w:rsid w:val="00312B14"/>
    <w:rsid w:val="00313F30"/>
    <w:rsid w:val="003144BF"/>
    <w:rsid w:val="00315761"/>
    <w:rsid w:val="003316F1"/>
    <w:rsid w:val="003361EB"/>
    <w:rsid w:val="00342B76"/>
    <w:rsid w:val="00343B25"/>
    <w:rsid w:val="003442B5"/>
    <w:rsid w:val="00345D4F"/>
    <w:rsid w:val="0034627A"/>
    <w:rsid w:val="00350707"/>
    <w:rsid w:val="00351374"/>
    <w:rsid w:val="003529F9"/>
    <w:rsid w:val="00353AF6"/>
    <w:rsid w:val="0035454E"/>
    <w:rsid w:val="00354E52"/>
    <w:rsid w:val="00361EF7"/>
    <w:rsid w:val="00371594"/>
    <w:rsid w:val="00376520"/>
    <w:rsid w:val="00377A71"/>
    <w:rsid w:val="00381C1A"/>
    <w:rsid w:val="0038602D"/>
    <w:rsid w:val="00392321"/>
    <w:rsid w:val="003939AD"/>
    <w:rsid w:val="00393B2A"/>
    <w:rsid w:val="00396388"/>
    <w:rsid w:val="00397C58"/>
    <w:rsid w:val="003A0C95"/>
    <w:rsid w:val="003A231B"/>
    <w:rsid w:val="003A2CDB"/>
    <w:rsid w:val="003A64AB"/>
    <w:rsid w:val="003B2098"/>
    <w:rsid w:val="003B4614"/>
    <w:rsid w:val="003C3C30"/>
    <w:rsid w:val="003C546D"/>
    <w:rsid w:val="003D41AD"/>
    <w:rsid w:val="003D428F"/>
    <w:rsid w:val="003D4F0D"/>
    <w:rsid w:val="003D5920"/>
    <w:rsid w:val="003D67A2"/>
    <w:rsid w:val="003E3F5A"/>
    <w:rsid w:val="003E5B2E"/>
    <w:rsid w:val="003F120C"/>
    <w:rsid w:val="003F392E"/>
    <w:rsid w:val="003F7D14"/>
    <w:rsid w:val="00400962"/>
    <w:rsid w:val="004010FB"/>
    <w:rsid w:val="004013FE"/>
    <w:rsid w:val="0040592A"/>
    <w:rsid w:val="004077AF"/>
    <w:rsid w:val="004123E8"/>
    <w:rsid w:val="004143E6"/>
    <w:rsid w:val="0041646C"/>
    <w:rsid w:val="0042278C"/>
    <w:rsid w:val="0042637E"/>
    <w:rsid w:val="0042697F"/>
    <w:rsid w:val="004273C1"/>
    <w:rsid w:val="004333A3"/>
    <w:rsid w:val="00441A93"/>
    <w:rsid w:val="00441F31"/>
    <w:rsid w:val="004422DD"/>
    <w:rsid w:val="00442421"/>
    <w:rsid w:val="00444D39"/>
    <w:rsid w:val="00445CE9"/>
    <w:rsid w:val="00452CCC"/>
    <w:rsid w:val="004543F7"/>
    <w:rsid w:val="004556DE"/>
    <w:rsid w:val="00461ECE"/>
    <w:rsid w:val="00462252"/>
    <w:rsid w:val="00464D68"/>
    <w:rsid w:val="00464EC7"/>
    <w:rsid w:val="00467ECB"/>
    <w:rsid w:val="004720D1"/>
    <w:rsid w:val="00475EE5"/>
    <w:rsid w:val="00476657"/>
    <w:rsid w:val="00476992"/>
    <w:rsid w:val="00476EB4"/>
    <w:rsid w:val="00481ECD"/>
    <w:rsid w:val="00482156"/>
    <w:rsid w:val="00483E0F"/>
    <w:rsid w:val="0048561B"/>
    <w:rsid w:val="00485AF9"/>
    <w:rsid w:val="00486B48"/>
    <w:rsid w:val="00486C53"/>
    <w:rsid w:val="00487E94"/>
    <w:rsid w:val="00492C9A"/>
    <w:rsid w:val="0049364D"/>
    <w:rsid w:val="004937B7"/>
    <w:rsid w:val="004947F5"/>
    <w:rsid w:val="004A1B12"/>
    <w:rsid w:val="004A28E8"/>
    <w:rsid w:val="004A3096"/>
    <w:rsid w:val="004A472E"/>
    <w:rsid w:val="004A7C73"/>
    <w:rsid w:val="004B3821"/>
    <w:rsid w:val="004B4CA6"/>
    <w:rsid w:val="004B5D05"/>
    <w:rsid w:val="004B6DC3"/>
    <w:rsid w:val="004B7FC6"/>
    <w:rsid w:val="004C09F4"/>
    <w:rsid w:val="004C281F"/>
    <w:rsid w:val="004C494F"/>
    <w:rsid w:val="004C69DE"/>
    <w:rsid w:val="004D3414"/>
    <w:rsid w:val="004D432A"/>
    <w:rsid w:val="004D465B"/>
    <w:rsid w:val="004D54C1"/>
    <w:rsid w:val="004D6F2E"/>
    <w:rsid w:val="004E05E6"/>
    <w:rsid w:val="004E112B"/>
    <w:rsid w:val="004E41FB"/>
    <w:rsid w:val="004E4FCB"/>
    <w:rsid w:val="004E6232"/>
    <w:rsid w:val="004E6AC3"/>
    <w:rsid w:val="004F11F2"/>
    <w:rsid w:val="004F212D"/>
    <w:rsid w:val="004F3416"/>
    <w:rsid w:val="004F5396"/>
    <w:rsid w:val="004F5B3D"/>
    <w:rsid w:val="004F608F"/>
    <w:rsid w:val="004F6E7F"/>
    <w:rsid w:val="004F7860"/>
    <w:rsid w:val="00503908"/>
    <w:rsid w:val="005060D4"/>
    <w:rsid w:val="005063DE"/>
    <w:rsid w:val="00506DBF"/>
    <w:rsid w:val="00513117"/>
    <w:rsid w:val="00513B15"/>
    <w:rsid w:val="00515067"/>
    <w:rsid w:val="005158B1"/>
    <w:rsid w:val="0052025D"/>
    <w:rsid w:val="00525093"/>
    <w:rsid w:val="005275FA"/>
    <w:rsid w:val="005372B7"/>
    <w:rsid w:val="00541476"/>
    <w:rsid w:val="00543EAD"/>
    <w:rsid w:val="005448B8"/>
    <w:rsid w:val="00550579"/>
    <w:rsid w:val="00552D71"/>
    <w:rsid w:val="00554302"/>
    <w:rsid w:val="00556CC2"/>
    <w:rsid w:val="00557E4A"/>
    <w:rsid w:val="0056054A"/>
    <w:rsid w:val="00563228"/>
    <w:rsid w:val="00563D93"/>
    <w:rsid w:val="005674C1"/>
    <w:rsid w:val="00577E35"/>
    <w:rsid w:val="00582E79"/>
    <w:rsid w:val="00584724"/>
    <w:rsid w:val="00584DC0"/>
    <w:rsid w:val="00593AE6"/>
    <w:rsid w:val="00593C5E"/>
    <w:rsid w:val="005A1843"/>
    <w:rsid w:val="005A4010"/>
    <w:rsid w:val="005A515D"/>
    <w:rsid w:val="005A6E19"/>
    <w:rsid w:val="005B2913"/>
    <w:rsid w:val="005B3234"/>
    <w:rsid w:val="005B46D8"/>
    <w:rsid w:val="005C0807"/>
    <w:rsid w:val="005C4898"/>
    <w:rsid w:val="005C5DDE"/>
    <w:rsid w:val="005C74D4"/>
    <w:rsid w:val="005D004F"/>
    <w:rsid w:val="005D0E3B"/>
    <w:rsid w:val="005D205B"/>
    <w:rsid w:val="005D28A0"/>
    <w:rsid w:val="005D6E6E"/>
    <w:rsid w:val="005E3FF2"/>
    <w:rsid w:val="005E6D63"/>
    <w:rsid w:val="005F416C"/>
    <w:rsid w:val="005F5EF7"/>
    <w:rsid w:val="005F648F"/>
    <w:rsid w:val="0060191A"/>
    <w:rsid w:val="00602749"/>
    <w:rsid w:val="0060319D"/>
    <w:rsid w:val="00603926"/>
    <w:rsid w:val="00613855"/>
    <w:rsid w:val="00616032"/>
    <w:rsid w:val="006217C4"/>
    <w:rsid w:val="00621B3E"/>
    <w:rsid w:val="00622124"/>
    <w:rsid w:val="00622181"/>
    <w:rsid w:val="00623345"/>
    <w:rsid w:val="00625FC4"/>
    <w:rsid w:val="00626310"/>
    <w:rsid w:val="006267EE"/>
    <w:rsid w:val="0063115F"/>
    <w:rsid w:val="006362C6"/>
    <w:rsid w:val="0064184A"/>
    <w:rsid w:val="006427B5"/>
    <w:rsid w:val="00644CBE"/>
    <w:rsid w:val="006457EB"/>
    <w:rsid w:val="00645AB3"/>
    <w:rsid w:val="00647D5F"/>
    <w:rsid w:val="00651C01"/>
    <w:rsid w:val="00654A67"/>
    <w:rsid w:val="006561E0"/>
    <w:rsid w:val="00657458"/>
    <w:rsid w:val="00660418"/>
    <w:rsid w:val="00660A93"/>
    <w:rsid w:val="00661C2A"/>
    <w:rsid w:val="006655E4"/>
    <w:rsid w:val="00666ED6"/>
    <w:rsid w:val="00672886"/>
    <w:rsid w:val="00672AC7"/>
    <w:rsid w:val="00673CDF"/>
    <w:rsid w:val="00677FF2"/>
    <w:rsid w:val="00680D4A"/>
    <w:rsid w:val="00681B48"/>
    <w:rsid w:val="00682FEE"/>
    <w:rsid w:val="00683149"/>
    <w:rsid w:val="00685F9E"/>
    <w:rsid w:val="006862AD"/>
    <w:rsid w:val="00691055"/>
    <w:rsid w:val="006919F4"/>
    <w:rsid w:val="00693A3D"/>
    <w:rsid w:val="00693EC5"/>
    <w:rsid w:val="00695699"/>
    <w:rsid w:val="00697380"/>
    <w:rsid w:val="006A2EB8"/>
    <w:rsid w:val="006A74B4"/>
    <w:rsid w:val="006A7A7D"/>
    <w:rsid w:val="006A7EC4"/>
    <w:rsid w:val="006B3C2D"/>
    <w:rsid w:val="006B4112"/>
    <w:rsid w:val="006B5047"/>
    <w:rsid w:val="006B5237"/>
    <w:rsid w:val="006C2E86"/>
    <w:rsid w:val="006C3024"/>
    <w:rsid w:val="006C31BC"/>
    <w:rsid w:val="006C37DC"/>
    <w:rsid w:val="006C4989"/>
    <w:rsid w:val="006D69B5"/>
    <w:rsid w:val="006D6E3F"/>
    <w:rsid w:val="006D7933"/>
    <w:rsid w:val="006E0215"/>
    <w:rsid w:val="006E1A40"/>
    <w:rsid w:val="006E2822"/>
    <w:rsid w:val="006E4522"/>
    <w:rsid w:val="006E598A"/>
    <w:rsid w:val="006F348D"/>
    <w:rsid w:val="006F57EB"/>
    <w:rsid w:val="006F6AC2"/>
    <w:rsid w:val="00712B35"/>
    <w:rsid w:val="00713AB5"/>
    <w:rsid w:val="0071468A"/>
    <w:rsid w:val="00715EDE"/>
    <w:rsid w:val="00717ACE"/>
    <w:rsid w:val="00717D4F"/>
    <w:rsid w:val="00721276"/>
    <w:rsid w:val="00724982"/>
    <w:rsid w:val="00725552"/>
    <w:rsid w:val="007304CA"/>
    <w:rsid w:val="00732DBE"/>
    <w:rsid w:val="007362CE"/>
    <w:rsid w:val="0073771C"/>
    <w:rsid w:val="00737939"/>
    <w:rsid w:val="007402FC"/>
    <w:rsid w:val="007409A7"/>
    <w:rsid w:val="00744169"/>
    <w:rsid w:val="00744F14"/>
    <w:rsid w:val="00747C3C"/>
    <w:rsid w:val="00750EA2"/>
    <w:rsid w:val="0075174A"/>
    <w:rsid w:val="007532E3"/>
    <w:rsid w:val="0075385A"/>
    <w:rsid w:val="00753C30"/>
    <w:rsid w:val="00756631"/>
    <w:rsid w:val="007602DA"/>
    <w:rsid w:val="00761EAF"/>
    <w:rsid w:val="0076378F"/>
    <w:rsid w:val="00763C21"/>
    <w:rsid w:val="00763ED4"/>
    <w:rsid w:val="007651E4"/>
    <w:rsid w:val="00765945"/>
    <w:rsid w:val="00766486"/>
    <w:rsid w:val="00766877"/>
    <w:rsid w:val="00770ACE"/>
    <w:rsid w:val="007735DE"/>
    <w:rsid w:val="00784314"/>
    <w:rsid w:val="00786CBF"/>
    <w:rsid w:val="00792A5A"/>
    <w:rsid w:val="007A01F2"/>
    <w:rsid w:val="007A2D51"/>
    <w:rsid w:val="007A59E2"/>
    <w:rsid w:val="007A743A"/>
    <w:rsid w:val="007B1DD0"/>
    <w:rsid w:val="007B2A4B"/>
    <w:rsid w:val="007B325F"/>
    <w:rsid w:val="007B4C88"/>
    <w:rsid w:val="007B7223"/>
    <w:rsid w:val="007C3169"/>
    <w:rsid w:val="007C31C2"/>
    <w:rsid w:val="007C33B0"/>
    <w:rsid w:val="007D09E0"/>
    <w:rsid w:val="007D13DC"/>
    <w:rsid w:val="007D40F4"/>
    <w:rsid w:val="007D5F87"/>
    <w:rsid w:val="007E1C70"/>
    <w:rsid w:val="007E4ECA"/>
    <w:rsid w:val="007E638D"/>
    <w:rsid w:val="007E6A9F"/>
    <w:rsid w:val="007F06F5"/>
    <w:rsid w:val="007F0A8E"/>
    <w:rsid w:val="007F0C04"/>
    <w:rsid w:val="007F11BD"/>
    <w:rsid w:val="007F218F"/>
    <w:rsid w:val="007F3E25"/>
    <w:rsid w:val="007F540A"/>
    <w:rsid w:val="007F644B"/>
    <w:rsid w:val="00803C32"/>
    <w:rsid w:val="00804AF8"/>
    <w:rsid w:val="008050AB"/>
    <w:rsid w:val="00810671"/>
    <w:rsid w:val="0081386C"/>
    <w:rsid w:val="00816B25"/>
    <w:rsid w:val="008213D5"/>
    <w:rsid w:val="00824071"/>
    <w:rsid w:val="008258DD"/>
    <w:rsid w:val="008261C9"/>
    <w:rsid w:val="008307F7"/>
    <w:rsid w:val="008311C8"/>
    <w:rsid w:val="008322AA"/>
    <w:rsid w:val="00833911"/>
    <w:rsid w:val="00835299"/>
    <w:rsid w:val="00846841"/>
    <w:rsid w:val="0085178B"/>
    <w:rsid w:val="00851A2B"/>
    <w:rsid w:val="008538BD"/>
    <w:rsid w:val="00853D3C"/>
    <w:rsid w:val="00854493"/>
    <w:rsid w:val="00857EBB"/>
    <w:rsid w:val="008607AE"/>
    <w:rsid w:val="00860813"/>
    <w:rsid w:val="00862B09"/>
    <w:rsid w:val="008632A9"/>
    <w:rsid w:val="00864284"/>
    <w:rsid w:val="008706EA"/>
    <w:rsid w:val="0087165C"/>
    <w:rsid w:val="00871E94"/>
    <w:rsid w:val="00872042"/>
    <w:rsid w:val="008772E9"/>
    <w:rsid w:val="00882B50"/>
    <w:rsid w:val="00885052"/>
    <w:rsid w:val="00887339"/>
    <w:rsid w:val="008878C0"/>
    <w:rsid w:val="008936E0"/>
    <w:rsid w:val="008A01D2"/>
    <w:rsid w:val="008A15CC"/>
    <w:rsid w:val="008A5D00"/>
    <w:rsid w:val="008A7948"/>
    <w:rsid w:val="008B0A50"/>
    <w:rsid w:val="008B3394"/>
    <w:rsid w:val="008B6C53"/>
    <w:rsid w:val="008B6D07"/>
    <w:rsid w:val="008B7DB9"/>
    <w:rsid w:val="008C1E44"/>
    <w:rsid w:val="008C5631"/>
    <w:rsid w:val="008D203F"/>
    <w:rsid w:val="008D267C"/>
    <w:rsid w:val="008D3C2A"/>
    <w:rsid w:val="008D5923"/>
    <w:rsid w:val="008E0CD4"/>
    <w:rsid w:val="008E1C58"/>
    <w:rsid w:val="008E3E5F"/>
    <w:rsid w:val="008E40C4"/>
    <w:rsid w:val="008E5485"/>
    <w:rsid w:val="008F16E2"/>
    <w:rsid w:val="008F309B"/>
    <w:rsid w:val="008F4966"/>
    <w:rsid w:val="008F57D9"/>
    <w:rsid w:val="00902CAF"/>
    <w:rsid w:val="00905D3C"/>
    <w:rsid w:val="00910AC9"/>
    <w:rsid w:val="009117CB"/>
    <w:rsid w:val="00911AF3"/>
    <w:rsid w:val="0091204C"/>
    <w:rsid w:val="009125F9"/>
    <w:rsid w:val="009143D4"/>
    <w:rsid w:val="00915271"/>
    <w:rsid w:val="009167E5"/>
    <w:rsid w:val="00916D3A"/>
    <w:rsid w:val="00916FE8"/>
    <w:rsid w:val="00927072"/>
    <w:rsid w:val="009275E3"/>
    <w:rsid w:val="00933095"/>
    <w:rsid w:val="0093356F"/>
    <w:rsid w:val="009403E2"/>
    <w:rsid w:val="0094578B"/>
    <w:rsid w:val="00946BCB"/>
    <w:rsid w:val="009506A7"/>
    <w:rsid w:val="0095176D"/>
    <w:rsid w:val="00955ED4"/>
    <w:rsid w:val="009560B1"/>
    <w:rsid w:val="009573A1"/>
    <w:rsid w:val="0096395E"/>
    <w:rsid w:val="00966002"/>
    <w:rsid w:val="009720B8"/>
    <w:rsid w:val="00974A17"/>
    <w:rsid w:val="00976371"/>
    <w:rsid w:val="009763E1"/>
    <w:rsid w:val="009911A8"/>
    <w:rsid w:val="0099177C"/>
    <w:rsid w:val="009933FC"/>
    <w:rsid w:val="00993986"/>
    <w:rsid w:val="00993AC4"/>
    <w:rsid w:val="00994554"/>
    <w:rsid w:val="00996B04"/>
    <w:rsid w:val="009A040B"/>
    <w:rsid w:val="009A4792"/>
    <w:rsid w:val="009B0391"/>
    <w:rsid w:val="009B250B"/>
    <w:rsid w:val="009B3709"/>
    <w:rsid w:val="009B4C68"/>
    <w:rsid w:val="009B68FE"/>
    <w:rsid w:val="009B736F"/>
    <w:rsid w:val="009C06E9"/>
    <w:rsid w:val="009C40D2"/>
    <w:rsid w:val="009C7381"/>
    <w:rsid w:val="009D1A80"/>
    <w:rsid w:val="009D405B"/>
    <w:rsid w:val="009D6CBD"/>
    <w:rsid w:val="009E75BE"/>
    <w:rsid w:val="009E7B45"/>
    <w:rsid w:val="009F3526"/>
    <w:rsid w:val="009F47B3"/>
    <w:rsid w:val="00A017E1"/>
    <w:rsid w:val="00A01F99"/>
    <w:rsid w:val="00A06608"/>
    <w:rsid w:val="00A07A65"/>
    <w:rsid w:val="00A1008A"/>
    <w:rsid w:val="00A11529"/>
    <w:rsid w:val="00A12CAA"/>
    <w:rsid w:val="00A14F13"/>
    <w:rsid w:val="00A217D8"/>
    <w:rsid w:val="00A22C8E"/>
    <w:rsid w:val="00A23D45"/>
    <w:rsid w:val="00A26079"/>
    <w:rsid w:val="00A26498"/>
    <w:rsid w:val="00A26DB8"/>
    <w:rsid w:val="00A30208"/>
    <w:rsid w:val="00A34B15"/>
    <w:rsid w:val="00A37975"/>
    <w:rsid w:val="00A450FD"/>
    <w:rsid w:val="00A46532"/>
    <w:rsid w:val="00A522A1"/>
    <w:rsid w:val="00A52E8B"/>
    <w:rsid w:val="00A53FFB"/>
    <w:rsid w:val="00A54ABC"/>
    <w:rsid w:val="00A56AD9"/>
    <w:rsid w:val="00A602D4"/>
    <w:rsid w:val="00A6148F"/>
    <w:rsid w:val="00A65631"/>
    <w:rsid w:val="00A704CC"/>
    <w:rsid w:val="00A714E8"/>
    <w:rsid w:val="00A726A4"/>
    <w:rsid w:val="00A77927"/>
    <w:rsid w:val="00A834CA"/>
    <w:rsid w:val="00A83683"/>
    <w:rsid w:val="00A83ED9"/>
    <w:rsid w:val="00A83FD1"/>
    <w:rsid w:val="00A84587"/>
    <w:rsid w:val="00A85C96"/>
    <w:rsid w:val="00A91F30"/>
    <w:rsid w:val="00A928BF"/>
    <w:rsid w:val="00A92CCC"/>
    <w:rsid w:val="00A96C31"/>
    <w:rsid w:val="00A97F25"/>
    <w:rsid w:val="00AA0285"/>
    <w:rsid w:val="00AA24D0"/>
    <w:rsid w:val="00AA3525"/>
    <w:rsid w:val="00AA6AE0"/>
    <w:rsid w:val="00AA7813"/>
    <w:rsid w:val="00AB101C"/>
    <w:rsid w:val="00AB1513"/>
    <w:rsid w:val="00AB4505"/>
    <w:rsid w:val="00AB4632"/>
    <w:rsid w:val="00AB5510"/>
    <w:rsid w:val="00AB62AA"/>
    <w:rsid w:val="00AC0314"/>
    <w:rsid w:val="00AC1A7A"/>
    <w:rsid w:val="00AC1FDA"/>
    <w:rsid w:val="00AC3BD8"/>
    <w:rsid w:val="00AC3CFC"/>
    <w:rsid w:val="00AC6D50"/>
    <w:rsid w:val="00AD04D6"/>
    <w:rsid w:val="00AD1FA8"/>
    <w:rsid w:val="00AD220A"/>
    <w:rsid w:val="00AD4B24"/>
    <w:rsid w:val="00AD611D"/>
    <w:rsid w:val="00AE3D77"/>
    <w:rsid w:val="00AE54B1"/>
    <w:rsid w:val="00AE6457"/>
    <w:rsid w:val="00AF056C"/>
    <w:rsid w:val="00AF153C"/>
    <w:rsid w:val="00AF328E"/>
    <w:rsid w:val="00AF55A1"/>
    <w:rsid w:val="00AF65CA"/>
    <w:rsid w:val="00AF72B3"/>
    <w:rsid w:val="00B04111"/>
    <w:rsid w:val="00B04A96"/>
    <w:rsid w:val="00B110F5"/>
    <w:rsid w:val="00B12BB9"/>
    <w:rsid w:val="00B13439"/>
    <w:rsid w:val="00B154DC"/>
    <w:rsid w:val="00B165E6"/>
    <w:rsid w:val="00B166B7"/>
    <w:rsid w:val="00B2113E"/>
    <w:rsid w:val="00B21CEA"/>
    <w:rsid w:val="00B237B2"/>
    <w:rsid w:val="00B242F6"/>
    <w:rsid w:val="00B2442A"/>
    <w:rsid w:val="00B2687F"/>
    <w:rsid w:val="00B2785B"/>
    <w:rsid w:val="00B30653"/>
    <w:rsid w:val="00B31151"/>
    <w:rsid w:val="00B34483"/>
    <w:rsid w:val="00B35041"/>
    <w:rsid w:val="00B35C51"/>
    <w:rsid w:val="00B362A2"/>
    <w:rsid w:val="00B3767A"/>
    <w:rsid w:val="00B45054"/>
    <w:rsid w:val="00B46E05"/>
    <w:rsid w:val="00B56FE6"/>
    <w:rsid w:val="00B57D25"/>
    <w:rsid w:val="00B60B26"/>
    <w:rsid w:val="00B63347"/>
    <w:rsid w:val="00B655D5"/>
    <w:rsid w:val="00B66DED"/>
    <w:rsid w:val="00B703C9"/>
    <w:rsid w:val="00B70949"/>
    <w:rsid w:val="00B70DF7"/>
    <w:rsid w:val="00B7381B"/>
    <w:rsid w:val="00B75F9C"/>
    <w:rsid w:val="00B76A4A"/>
    <w:rsid w:val="00B77812"/>
    <w:rsid w:val="00B77F93"/>
    <w:rsid w:val="00B83A9F"/>
    <w:rsid w:val="00B851B0"/>
    <w:rsid w:val="00B86B92"/>
    <w:rsid w:val="00B87B43"/>
    <w:rsid w:val="00B905CB"/>
    <w:rsid w:val="00B919CC"/>
    <w:rsid w:val="00B96095"/>
    <w:rsid w:val="00BA0F0E"/>
    <w:rsid w:val="00BA116E"/>
    <w:rsid w:val="00BB1092"/>
    <w:rsid w:val="00BB2E8C"/>
    <w:rsid w:val="00BB3B9E"/>
    <w:rsid w:val="00BC22F8"/>
    <w:rsid w:val="00BC247C"/>
    <w:rsid w:val="00BC28A4"/>
    <w:rsid w:val="00BC4C4A"/>
    <w:rsid w:val="00BC5EDA"/>
    <w:rsid w:val="00BD1D7E"/>
    <w:rsid w:val="00BD5AE9"/>
    <w:rsid w:val="00BD69C5"/>
    <w:rsid w:val="00BD7DD3"/>
    <w:rsid w:val="00BE0909"/>
    <w:rsid w:val="00BE10BD"/>
    <w:rsid w:val="00BE20F2"/>
    <w:rsid w:val="00BE247D"/>
    <w:rsid w:val="00BE37CE"/>
    <w:rsid w:val="00BE4AC8"/>
    <w:rsid w:val="00BE5256"/>
    <w:rsid w:val="00BE57E8"/>
    <w:rsid w:val="00BE602D"/>
    <w:rsid w:val="00BF5536"/>
    <w:rsid w:val="00C00120"/>
    <w:rsid w:val="00C01D5D"/>
    <w:rsid w:val="00C038F2"/>
    <w:rsid w:val="00C044BC"/>
    <w:rsid w:val="00C04AC0"/>
    <w:rsid w:val="00C04BB7"/>
    <w:rsid w:val="00C05146"/>
    <w:rsid w:val="00C06116"/>
    <w:rsid w:val="00C1025A"/>
    <w:rsid w:val="00C12085"/>
    <w:rsid w:val="00C1246D"/>
    <w:rsid w:val="00C13B1E"/>
    <w:rsid w:val="00C26353"/>
    <w:rsid w:val="00C32EA8"/>
    <w:rsid w:val="00C359CD"/>
    <w:rsid w:val="00C41106"/>
    <w:rsid w:val="00C42D83"/>
    <w:rsid w:val="00C436E6"/>
    <w:rsid w:val="00C45F26"/>
    <w:rsid w:val="00C45FF2"/>
    <w:rsid w:val="00C51184"/>
    <w:rsid w:val="00C517F3"/>
    <w:rsid w:val="00C554A4"/>
    <w:rsid w:val="00C56CF1"/>
    <w:rsid w:val="00C578AF"/>
    <w:rsid w:val="00C621EF"/>
    <w:rsid w:val="00C63C47"/>
    <w:rsid w:val="00C64BC5"/>
    <w:rsid w:val="00C67009"/>
    <w:rsid w:val="00C70567"/>
    <w:rsid w:val="00C77C60"/>
    <w:rsid w:val="00C82FF5"/>
    <w:rsid w:val="00C90178"/>
    <w:rsid w:val="00C91190"/>
    <w:rsid w:val="00C91344"/>
    <w:rsid w:val="00C92A80"/>
    <w:rsid w:val="00C9569A"/>
    <w:rsid w:val="00C96550"/>
    <w:rsid w:val="00CA190F"/>
    <w:rsid w:val="00CA1C2D"/>
    <w:rsid w:val="00CA5350"/>
    <w:rsid w:val="00CA67F8"/>
    <w:rsid w:val="00CA79E9"/>
    <w:rsid w:val="00CB0019"/>
    <w:rsid w:val="00CB0AB2"/>
    <w:rsid w:val="00CB15F8"/>
    <w:rsid w:val="00CB5503"/>
    <w:rsid w:val="00CC6BF3"/>
    <w:rsid w:val="00CC79D4"/>
    <w:rsid w:val="00CD0256"/>
    <w:rsid w:val="00CD1933"/>
    <w:rsid w:val="00CD520D"/>
    <w:rsid w:val="00CE06CA"/>
    <w:rsid w:val="00CE3B62"/>
    <w:rsid w:val="00CE58ED"/>
    <w:rsid w:val="00CE6B83"/>
    <w:rsid w:val="00CE6F30"/>
    <w:rsid w:val="00CF008C"/>
    <w:rsid w:val="00CF274E"/>
    <w:rsid w:val="00CF283B"/>
    <w:rsid w:val="00CF2A08"/>
    <w:rsid w:val="00CF6A2E"/>
    <w:rsid w:val="00CF6DDF"/>
    <w:rsid w:val="00D0168A"/>
    <w:rsid w:val="00D01AF8"/>
    <w:rsid w:val="00D01C63"/>
    <w:rsid w:val="00D04DDE"/>
    <w:rsid w:val="00D05BC2"/>
    <w:rsid w:val="00D0645E"/>
    <w:rsid w:val="00D06462"/>
    <w:rsid w:val="00D06773"/>
    <w:rsid w:val="00D06DCE"/>
    <w:rsid w:val="00D07270"/>
    <w:rsid w:val="00D11232"/>
    <w:rsid w:val="00D13354"/>
    <w:rsid w:val="00D1772D"/>
    <w:rsid w:val="00D21A8A"/>
    <w:rsid w:val="00D22B40"/>
    <w:rsid w:val="00D23EC7"/>
    <w:rsid w:val="00D25C58"/>
    <w:rsid w:val="00D27AC6"/>
    <w:rsid w:val="00D27B0D"/>
    <w:rsid w:val="00D357F0"/>
    <w:rsid w:val="00D35836"/>
    <w:rsid w:val="00D3728B"/>
    <w:rsid w:val="00D43D88"/>
    <w:rsid w:val="00D45E82"/>
    <w:rsid w:val="00D5101D"/>
    <w:rsid w:val="00D5362F"/>
    <w:rsid w:val="00D55039"/>
    <w:rsid w:val="00D55912"/>
    <w:rsid w:val="00D66AF0"/>
    <w:rsid w:val="00D67896"/>
    <w:rsid w:val="00D714FC"/>
    <w:rsid w:val="00D726F1"/>
    <w:rsid w:val="00D72B7D"/>
    <w:rsid w:val="00D73140"/>
    <w:rsid w:val="00D76CE6"/>
    <w:rsid w:val="00D77FB1"/>
    <w:rsid w:val="00D84BF3"/>
    <w:rsid w:val="00D850E3"/>
    <w:rsid w:val="00D875D1"/>
    <w:rsid w:val="00D904D1"/>
    <w:rsid w:val="00D9098B"/>
    <w:rsid w:val="00D91F49"/>
    <w:rsid w:val="00D92C69"/>
    <w:rsid w:val="00D9320D"/>
    <w:rsid w:val="00D936BD"/>
    <w:rsid w:val="00D963D8"/>
    <w:rsid w:val="00DA3B57"/>
    <w:rsid w:val="00DA4F5B"/>
    <w:rsid w:val="00DB0D95"/>
    <w:rsid w:val="00DB1015"/>
    <w:rsid w:val="00DC4A5E"/>
    <w:rsid w:val="00DC5703"/>
    <w:rsid w:val="00DD16AF"/>
    <w:rsid w:val="00DD4ED9"/>
    <w:rsid w:val="00DD5597"/>
    <w:rsid w:val="00DE299E"/>
    <w:rsid w:val="00DE3388"/>
    <w:rsid w:val="00DE4B1F"/>
    <w:rsid w:val="00DE6B79"/>
    <w:rsid w:val="00DE7F26"/>
    <w:rsid w:val="00DF4EA2"/>
    <w:rsid w:val="00DF61E1"/>
    <w:rsid w:val="00E01F4C"/>
    <w:rsid w:val="00E02B8A"/>
    <w:rsid w:val="00E07155"/>
    <w:rsid w:val="00E10AA8"/>
    <w:rsid w:val="00E11064"/>
    <w:rsid w:val="00E1342C"/>
    <w:rsid w:val="00E1468B"/>
    <w:rsid w:val="00E14FFB"/>
    <w:rsid w:val="00E15B26"/>
    <w:rsid w:val="00E22BF7"/>
    <w:rsid w:val="00E24BE2"/>
    <w:rsid w:val="00E2569F"/>
    <w:rsid w:val="00E27D63"/>
    <w:rsid w:val="00E307CB"/>
    <w:rsid w:val="00E33E96"/>
    <w:rsid w:val="00E346AD"/>
    <w:rsid w:val="00E35446"/>
    <w:rsid w:val="00E436C4"/>
    <w:rsid w:val="00E47BC1"/>
    <w:rsid w:val="00E56D17"/>
    <w:rsid w:val="00E61CA8"/>
    <w:rsid w:val="00E63D05"/>
    <w:rsid w:val="00E64166"/>
    <w:rsid w:val="00E67359"/>
    <w:rsid w:val="00E67456"/>
    <w:rsid w:val="00E67B9B"/>
    <w:rsid w:val="00E71506"/>
    <w:rsid w:val="00E71C32"/>
    <w:rsid w:val="00E72622"/>
    <w:rsid w:val="00E75479"/>
    <w:rsid w:val="00E76E68"/>
    <w:rsid w:val="00E83182"/>
    <w:rsid w:val="00E84DB6"/>
    <w:rsid w:val="00E867A3"/>
    <w:rsid w:val="00E93084"/>
    <w:rsid w:val="00E93243"/>
    <w:rsid w:val="00E93DDF"/>
    <w:rsid w:val="00E94B00"/>
    <w:rsid w:val="00E955A4"/>
    <w:rsid w:val="00EA04ED"/>
    <w:rsid w:val="00EA183C"/>
    <w:rsid w:val="00EA386F"/>
    <w:rsid w:val="00EA4B7A"/>
    <w:rsid w:val="00EA7CB9"/>
    <w:rsid w:val="00EB26D9"/>
    <w:rsid w:val="00EB2B79"/>
    <w:rsid w:val="00EB2F61"/>
    <w:rsid w:val="00EB755C"/>
    <w:rsid w:val="00EC05E0"/>
    <w:rsid w:val="00EC3D9C"/>
    <w:rsid w:val="00EC5186"/>
    <w:rsid w:val="00EC710B"/>
    <w:rsid w:val="00ED12E0"/>
    <w:rsid w:val="00ED191A"/>
    <w:rsid w:val="00ED1ED2"/>
    <w:rsid w:val="00EE183B"/>
    <w:rsid w:val="00EE2480"/>
    <w:rsid w:val="00EE33BC"/>
    <w:rsid w:val="00EE490F"/>
    <w:rsid w:val="00EE4C81"/>
    <w:rsid w:val="00EF2258"/>
    <w:rsid w:val="00EF2278"/>
    <w:rsid w:val="00EF3799"/>
    <w:rsid w:val="00EF5B3F"/>
    <w:rsid w:val="00EF7CE2"/>
    <w:rsid w:val="00F0035E"/>
    <w:rsid w:val="00F03539"/>
    <w:rsid w:val="00F04740"/>
    <w:rsid w:val="00F111BD"/>
    <w:rsid w:val="00F122DB"/>
    <w:rsid w:val="00F157C7"/>
    <w:rsid w:val="00F169D3"/>
    <w:rsid w:val="00F17C1B"/>
    <w:rsid w:val="00F224EA"/>
    <w:rsid w:val="00F31057"/>
    <w:rsid w:val="00F32127"/>
    <w:rsid w:val="00F341DD"/>
    <w:rsid w:val="00F3431A"/>
    <w:rsid w:val="00F37D39"/>
    <w:rsid w:val="00F50B91"/>
    <w:rsid w:val="00F523B1"/>
    <w:rsid w:val="00F55404"/>
    <w:rsid w:val="00F570D8"/>
    <w:rsid w:val="00F62759"/>
    <w:rsid w:val="00F6361A"/>
    <w:rsid w:val="00F65315"/>
    <w:rsid w:val="00F7050F"/>
    <w:rsid w:val="00F70665"/>
    <w:rsid w:val="00F71600"/>
    <w:rsid w:val="00F71EC6"/>
    <w:rsid w:val="00F72FEC"/>
    <w:rsid w:val="00F74379"/>
    <w:rsid w:val="00F80675"/>
    <w:rsid w:val="00F82A51"/>
    <w:rsid w:val="00F836F6"/>
    <w:rsid w:val="00F85644"/>
    <w:rsid w:val="00F85A6C"/>
    <w:rsid w:val="00F8639F"/>
    <w:rsid w:val="00F90F97"/>
    <w:rsid w:val="00F9362C"/>
    <w:rsid w:val="00F9573C"/>
    <w:rsid w:val="00F9637D"/>
    <w:rsid w:val="00FA0872"/>
    <w:rsid w:val="00FA1D7C"/>
    <w:rsid w:val="00FA640C"/>
    <w:rsid w:val="00FA6E61"/>
    <w:rsid w:val="00FB18E8"/>
    <w:rsid w:val="00FB3395"/>
    <w:rsid w:val="00FB4D94"/>
    <w:rsid w:val="00FB60A9"/>
    <w:rsid w:val="00FB64EA"/>
    <w:rsid w:val="00FB7196"/>
    <w:rsid w:val="00FB7790"/>
    <w:rsid w:val="00FB7A96"/>
    <w:rsid w:val="00FC0469"/>
    <w:rsid w:val="00FC3ED6"/>
    <w:rsid w:val="00FD0CE9"/>
    <w:rsid w:val="00FD1D3A"/>
    <w:rsid w:val="00FD2BDC"/>
    <w:rsid w:val="00FD3143"/>
    <w:rsid w:val="00FE259A"/>
    <w:rsid w:val="00FE2BAC"/>
    <w:rsid w:val="00FE3DEB"/>
    <w:rsid w:val="00FE427D"/>
    <w:rsid w:val="00FE7C69"/>
    <w:rsid w:val="00FF2EC8"/>
    <w:rsid w:val="00FF5536"/>
    <w:rsid w:val="017016D0"/>
    <w:rsid w:val="018D4C77"/>
    <w:rsid w:val="01A91B7B"/>
    <w:rsid w:val="01CC16BE"/>
    <w:rsid w:val="01F61695"/>
    <w:rsid w:val="01F812CB"/>
    <w:rsid w:val="02557D77"/>
    <w:rsid w:val="025A3F47"/>
    <w:rsid w:val="025E4F3F"/>
    <w:rsid w:val="0278008F"/>
    <w:rsid w:val="02B83C00"/>
    <w:rsid w:val="02C550E3"/>
    <w:rsid w:val="030E160C"/>
    <w:rsid w:val="030F5DC2"/>
    <w:rsid w:val="0312742D"/>
    <w:rsid w:val="031F4976"/>
    <w:rsid w:val="03224299"/>
    <w:rsid w:val="034470B0"/>
    <w:rsid w:val="035B712D"/>
    <w:rsid w:val="0366500C"/>
    <w:rsid w:val="038D457C"/>
    <w:rsid w:val="039F7301"/>
    <w:rsid w:val="03E55C70"/>
    <w:rsid w:val="041A0139"/>
    <w:rsid w:val="0445037D"/>
    <w:rsid w:val="044C0602"/>
    <w:rsid w:val="0485136B"/>
    <w:rsid w:val="04A6138D"/>
    <w:rsid w:val="04C0141D"/>
    <w:rsid w:val="05000B29"/>
    <w:rsid w:val="05243A9B"/>
    <w:rsid w:val="054B104E"/>
    <w:rsid w:val="05622042"/>
    <w:rsid w:val="056A5EF2"/>
    <w:rsid w:val="05751A99"/>
    <w:rsid w:val="05DA4721"/>
    <w:rsid w:val="0607116C"/>
    <w:rsid w:val="060C1831"/>
    <w:rsid w:val="060E39F5"/>
    <w:rsid w:val="06685B3C"/>
    <w:rsid w:val="06995D79"/>
    <w:rsid w:val="06D50B5D"/>
    <w:rsid w:val="06E965AC"/>
    <w:rsid w:val="07565AEE"/>
    <w:rsid w:val="07674C6E"/>
    <w:rsid w:val="07CD6BBF"/>
    <w:rsid w:val="07F52350"/>
    <w:rsid w:val="0840360E"/>
    <w:rsid w:val="084D059E"/>
    <w:rsid w:val="086236D1"/>
    <w:rsid w:val="087B477D"/>
    <w:rsid w:val="08856683"/>
    <w:rsid w:val="08D43DEA"/>
    <w:rsid w:val="0998549A"/>
    <w:rsid w:val="09A0318F"/>
    <w:rsid w:val="09A078AF"/>
    <w:rsid w:val="09C2029B"/>
    <w:rsid w:val="09D36504"/>
    <w:rsid w:val="0A0735AF"/>
    <w:rsid w:val="0A2E0844"/>
    <w:rsid w:val="0A6A19FF"/>
    <w:rsid w:val="0A9C7F3B"/>
    <w:rsid w:val="0A9D098C"/>
    <w:rsid w:val="0AA77EB4"/>
    <w:rsid w:val="0ACE1199"/>
    <w:rsid w:val="0AF43B31"/>
    <w:rsid w:val="0B0230BA"/>
    <w:rsid w:val="0B1B59A8"/>
    <w:rsid w:val="0B2216D3"/>
    <w:rsid w:val="0B253DD2"/>
    <w:rsid w:val="0B3427C9"/>
    <w:rsid w:val="0B4E2F4C"/>
    <w:rsid w:val="0B956A6E"/>
    <w:rsid w:val="0BD31204"/>
    <w:rsid w:val="0C360D5F"/>
    <w:rsid w:val="0D2D45B3"/>
    <w:rsid w:val="0D3123A8"/>
    <w:rsid w:val="0D4D47E9"/>
    <w:rsid w:val="0D5B162B"/>
    <w:rsid w:val="0D5F7D6B"/>
    <w:rsid w:val="0D7B66D0"/>
    <w:rsid w:val="0DF95628"/>
    <w:rsid w:val="0E0732D6"/>
    <w:rsid w:val="0E2F43DA"/>
    <w:rsid w:val="0E5078C0"/>
    <w:rsid w:val="0E8A5825"/>
    <w:rsid w:val="0EB07C04"/>
    <w:rsid w:val="0EB35AE0"/>
    <w:rsid w:val="0EB704DF"/>
    <w:rsid w:val="0EE64E9E"/>
    <w:rsid w:val="0F0B412A"/>
    <w:rsid w:val="0F142FAF"/>
    <w:rsid w:val="0F204950"/>
    <w:rsid w:val="0F307371"/>
    <w:rsid w:val="0F4730E3"/>
    <w:rsid w:val="0F8D728C"/>
    <w:rsid w:val="0FB4756E"/>
    <w:rsid w:val="0FBE0F2F"/>
    <w:rsid w:val="0FBF228B"/>
    <w:rsid w:val="1003161B"/>
    <w:rsid w:val="10224A91"/>
    <w:rsid w:val="102438D6"/>
    <w:rsid w:val="102B1C47"/>
    <w:rsid w:val="1030036C"/>
    <w:rsid w:val="1059714E"/>
    <w:rsid w:val="10667F26"/>
    <w:rsid w:val="10AC6910"/>
    <w:rsid w:val="10C059BF"/>
    <w:rsid w:val="10CB0ADE"/>
    <w:rsid w:val="10D82C52"/>
    <w:rsid w:val="111B6BE7"/>
    <w:rsid w:val="113F66CE"/>
    <w:rsid w:val="117450BC"/>
    <w:rsid w:val="11D37EFC"/>
    <w:rsid w:val="11E23A18"/>
    <w:rsid w:val="11E435AC"/>
    <w:rsid w:val="122B3102"/>
    <w:rsid w:val="124908FC"/>
    <w:rsid w:val="125C0018"/>
    <w:rsid w:val="126A36C6"/>
    <w:rsid w:val="12C5570C"/>
    <w:rsid w:val="12DE06DE"/>
    <w:rsid w:val="12DF1147"/>
    <w:rsid w:val="12EF36C6"/>
    <w:rsid w:val="13092B46"/>
    <w:rsid w:val="13262EB1"/>
    <w:rsid w:val="134A0B56"/>
    <w:rsid w:val="13536AAD"/>
    <w:rsid w:val="13547184"/>
    <w:rsid w:val="135C54E2"/>
    <w:rsid w:val="13992CEF"/>
    <w:rsid w:val="13AB4987"/>
    <w:rsid w:val="13B765C7"/>
    <w:rsid w:val="13CB04AB"/>
    <w:rsid w:val="13D24ADD"/>
    <w:rsid w:val="13F17D8C"/>
    <w:rsid w:val="14214A13"/>
    <w:rsid w:val="14300EF1"/>
    <w:rsid w:val="144254CE"/>
    <w:rsid w:val="14493977"/>
    <w:rsid w:val="146C47CA"/>
    <w:rsid w:val="147D4316"/>
    <w:rsid w:val="148D299E"/>
    <w:rsid w:val="14E72863"/>
    <w:rsid w:val="14E87B74"/>
    <w:rsid w:val="14F07C02"/>
    <w:rsid w:val="1507693D"/>
    <w:rsid w:val="151A12D5"/>
    <w:rsid w:val="151C1930"/>
    <w:rsid w:val="15341D26"/>
    <w:rsid w:val="153511E1"/>
    <w:rsid w:val="15755E55"/>
    <w:rsid w:val="15813514"/>
    <w:rsid w:val="158457C7"/>
    <w:rsid w:val="15C27CD4"/>
    <w:rsid w:val="15E73EAF"/>
    <w:rsid w:val="15F640EF"/>
    <w:rsid w:val="160F1671"/>
    <w:rsid w:val="161C5690"/>
    <w:rsid w:val="16276A3D"/>
    <w:rsid w:val="163D64C5"/>
    <w:rsid w:val="16492A8C"/>
    <w:rsid w:val="1652230F"/>
    <w:rsid w:val="167E2418"/>
    <w:rsid w:val="16A142D4"/>
    <w:rsid w:val="16AC0983"/>
    <w:rsid w:val="16C07E19"/>
    <w:rsid w:val="17096363"/>
    <w:rsid w:val="173C3DD8"/>
    <w:rsid w:val="173D0221"/>
    <w:rsid w:val="173D0C6E"/>
    <w:rsid w:val="175D1F08"/>
    <w:rsid w:val="17912EED"/>
    <w:rsid w:val="17927657"/>
    <w:rsid w:val="18091E39"/>
    <w:rsid w:val="187011E3"/>
    <w:rsid w:val="1872360C"/>
    <w:rsid w:val="188B5524"/>
    <w:rsid w:val="18E13284"/>
    <w:rsid w:val="18FB6061"/>
    <w:rsid w:val="19001156"/>
    <w:rsid w:val="192A6727"/>
    <w:rsid w:val="194253B9"/>
    <w:rsid w:val="195D045D"/>
    <w:rsid w:val="196178B7"/>
    <w:rsid w:val="19900CF6"/>
    <w:rsid w:val="19A60D3B"/>
    <w:rsid w:val="19CA6725"/>
    <w:rsid w:val="1A4104FC"/>
    <w:rsid w:val="1AA32CE4"/>
    <w:rsid w:val="1ADA3A8E"/>
    <w:rsid w:val="1AFF3FE6"/>
    <w:rsid w:val="1B137F89"/>
    <w:rsid w:val="1B693811"/>
    <w:rsid w:val="1B8C7774"/>
    <w:rsid w:val="1BA5453C"/>
    <w:rsid w:val="1BB03988"/>
    <w:rsid w:val="1BCB01E4"/>
    <w:rsid w:val="1BD2490A"/>
    <w:rsid w:val="1BEE62B5"/>
    <w:rsid w:val="1BF1709B"/>
    <w:rsid w:val="1BF9432C"/>
    <w:rsid w:val="1C174DFD"/>
    <w:rsid w:val="1C2C00C5"/>
    <w:rsid w:val="1C686CE9"/>
    <w:rsid w:val="1C7C7083"/>
    <w:rsid w:val="1C7E7255"/>
    <w:rsid w:val="1CA66F48"/>
    <w:rsid w:val="1CDA39D5"/>
    <w:rsid w:val="1CEA337D"/>
    <w:rsid w:val="1CFF0C9B"/>
    <w:rsid w:val="1D0315D3"/>
    <w:rsid w:val="1D3D29E5"/>
    <w:rsid w:val="1DAE442A"/>
    <w:rsid w:val="1DC7594A"/>
    <w:rsid w:val="1DE710B0"/>
    <w:rsid w:val="1DEA3418"/>
    <w:rsid w:val="1DF541EF"/>
    <w:rsid w:val="1E0B741E"/>
    <w:rsid w:val="1E1C61C8"/>
    <w:rsid w:val="1E1F4B80"/>
    <w:rsid w:val="1E2E1ED2"/>
    <w:rsid w:val="1E8F6DA9"/>
    <w:rsid w:val="1E971C0A"/>
    <w:rsid w:val="1EB629AC"/>
    <w:rsid w:val="1F477039"/>
    <w:rsid w:val="1F4E2F8B"/>
    <w:rsid w:val="1F601053"/>
    <w:rsid w:val="1F7D1395"/>
    <w:rsid w:val="1F971CE8"/>
    <w:rsid w:val="1F984949"/>
    <w:rsid w:val="1FB30429"/>
    <w:rsid w:val="20535246"/>
    <w:rsid w:val="20581C21"/>
    <w:rsid w:val="205E4ACE"/>
    <w:rsid w:val="20823D4F"/>
    <w:rsid w:val="20C043A8"/>
    <w:rsid w:val="20E36CC2"/>
    <w:rsid w:val="21053B24"/>
    <w:rsid w:val="211760F0"/>
    <w:rsid w:val="21524568"/>
    <w:rsid w:val="21616381"/>
    <w:rsid w:val="216F59D7"/>
    <w:rsid w:val="21B95932"/>
    <w:rsid w:val="21FC7ECB"/>
    <w:rsid w:val="225164D2"/>
    <w:rsid w:val="22587ED3"/>
    <w:rsid w:val="2262145F"/>
    <w:rsid w:val="22906BCF"/>
    <w:rsid w:val="2296296E"/>
    <w:rsid w:val="22F41F46"/>
    <w:rsid w:val="23544D79"/>
    <w:rsid w:val="23556CE3"/>
    <w:rsid w:val="23563A5E"/>
    <w:rsid w:val="23811F3C"/>
    <w:rsid w:val="239339DF"/>
    <w:rsid w:val="23A419BF"/>
    <w:rsid w:val="23A52E4D"/>
    <w:rsid w:val="24116272"/>
    <w:rsid w:val="241A145B"/>
    <w:rsid w:val="244955C6"/>
    <w:rsid w:val="24521C32"/>
    <w:rsid w:val="245952E4"/>
    <w:rsid w:val="24976248"/>
    <w:rsid w:val="24A44CAE"/>
    <w:rsid w:val="24B80286"/>
    <w:rsid w:val="24BD7117"/>
    <w:rsid w:val="24F353B3"/>
    <w:rsid w:val="25252E13"/>
    <w:rsid w:val="254A7343"/>
    <w:rsid w:val="25540A5E"/>
    <w:rsid w:val="255E6169"/>
    <w:rsid w:val="25672EC1"/>
    <w:rsid w:val="25A81090"/>
    <w:rsid w:val="25B477AF"/>
    <w:rsid w:val="25F55C8C"/>
    <w:rsid w:val="26421C70"/>
    <w:rsid w:val="264576FE"/>
    <w:rsid w:val="2663262F"/>
    <w:rsid w:val="26910C92"/>
    <w:rsid w:val="26A078BC"/>
    <w:rsid w:val="26A14DD8"/>
    <w:rsid w:val="26BE3781"/>
    <w:rsid w:val="26D96007"/>
    <w:rsid w:val="270F22E4"/>
    <w:rsid w:val="278A16EB"/>
    <w:rsid w:val="27987C27"/>
    <w:rsid w:val="27A5496F"/>
    <w:rsid w:val="27B72C62"/>
    <w:rsid w:val="27CC6E4A"/>
    <w:rsid w:val="27CD389B"/>
    <w:rsid w:val="27F62AD6"/>
    <w:rsid w:val="282F42B3"/>
    <w:rsid w:val="28441778"/>
    <w:rsid w:val="286255D0"/>
    <w:rsid w:val="28B82BDB"/>
    <w:rsid w:val="28CB073B"/>
    <w:rsid w:val="28E31976"/>
    <w:rsid w:val="28EA44BA"/>
    <w:rsid w:val="290625C6"/>
    <w:rsid w:val="294F2D4D"/>
    <w:rsid w:val="297542B1"/>
    <w:rsid w:val="29987D69"/>
    <w:rsid w:val="29C30D2B"/>
    <w:rsid w:val="29E30DA0"/>
    <w:rsid w:val="2A3C0E81"/>
    <w:rsid w:val="2A486500"/>
    <w:rsid w:val="2A527EF9"/>
    <w:rsid w:val="2AA24569"/>
    <w:rsid w:val="2AF26AFD"/>
    <w:rsid w:val="2B1F0F8D"/>
    <w:rsid w:val="2B5F2996"/>
    <w:rsid w:val="2B8E63D5"/>
    <w:rsid w:val="2BE80AEE"/>
    <w:rsid w:val="2C320E61"/>
    <w:rsid w:val="2C684CFE"/>
    <w:rsid w:val="2C722E9E"/>
    <w:rsid w:val="2C7351B1"/>
    <w:rsid w:val="2C7D02EB"/>
    <w:rsid w:val="2CC5155D"/>
    <w:rsid w:val="2CD7262B"/>
    <w:rsid w:val="2D0D10E9"/>
    <w:rsid w:val="2D235050"/>
    <w:rsid w:val="2D2367F8"/>
    <w:rsid w:val="2D311AA4"/>
    <w:rsid w:val="2D89634A"/>
    <w:rsid w:val="2D9377B8"/>
    <w:rsid w:val="2DA16F7B"/>
    <w:rsid w:val="2DB041A7"/>
    <w:rsid w:val="2DD23F73"/>
    <w:rsid w:val="2E0A33BF"/>
    <w:rsid w:val="2E0F4E50"/>
    <w:rsid w:val="2E232B0C"/>
    <w:rsid w:val="2E332AAD"/>
    <w:rsid w:val="2E690FC6"/>
    <w:rsid w:val="2E713E52"/>
    <w:rsid w:val="2E8E0E7F"/>
    <w:rsid w:val="2E99798D"/>
    <w:rsid w:val="2EA60944"/>
    <w:rsid w:val="2EFB7CAC"/>
    <w:rsid w:val="2F0466D7"/>
    <w:rsid w:val="2F077076"/>
    <w:rsid w:val="2F11417D"/>
    <w:rsid w:val="2F3E333B"/>
    <w:rsid w:val="2F6504D1"/>
    <w:rsid w:val="2F9E74F3"/>
    <w:rsid w:val="2FA5167D"/>
    <w:rsid w:val="2FC93CAC"/>
    <w:rsid w:val="300549EE"/>
    <w:rsid w:val="30132E22"/>
    <w:rsid w:val="301C7008"/>
    <w:rsid w:val="30631BBD"/>
    <w:rsid w:val="308717F7"/>
    <w:rsid w:val="30BD1674"/>
    <w:rsid w:val="30FB5F53"/>
    <w:rsid w:val="310B3CA7"/>
    <w:rsid w:val="31126E74"/>
    <w:rsid w:val="31C44F05"/>
    <w:rsid w:val="31D24A8D"/>
    <w:rsid w:val="31DE24C7"/>
    <w:rsid w:val="321D6900"/>
    <w:rsid w:val="3259498F"/>
    <w:rsid w:val="3284205D"/>
    <w:rsid w:val="32C76549"/>
    <w:rsid w:val="32D23AE0"/>
    <w:rsid w:val="32F84786"/>
    <w:rsid w:val="33017FC6"/>
    <w:rsid w:val="33445CDB"/>
    <w:rsid w:val="33601D2B"/>
    <w:rsid w:val="338D239E"/>
    <w:rsid w:val="33B85E3C"/>
    <w:rsid w:val="33EA1CB6"/>
    <w:rsid w:val="33FC5D59"/>
    <w:rsid w:val="342074CB"/>
    <w:rsid w:val="342B66C0"/>
    <w:rsid w:val="34447152"/>
    <w:rsid w:val="347670A8"/>
    <w:rsid w:val="348E72B6"/>
    <w:rsid w:val="34972BB9"/>
    <w:rsid w:val="34B04456"/>
    <w:rsid w:val="34DF1913"/>
    <w:rsid w:val="34F9196F"/>
    <w:rsid w:val="35157991"/>
    <w:rsid w:val="35294AEB"/>
    <w:rsid w:val="3538689A"/>
    <w:rsid w:val="35450969"/>
    <w:rsid w:val="35486FF8"/>
    <w:rsid w:val="354E498D"/>
    <w:rsid w:val="356725D9"/>
    <w:rsid w:val="35E26E85"/>
    <w:rsid w:val="35FB43D4"/>
    <w:rsid w:val="3643587F"/>
    <w:rsid w:val="367032E6"/>
    <w:rsid w:val="36A45152"/>
    <w:rsid w:val="36C5161A"/>
    <w:rsid w:val="36EE522F"/>
    <w:rsid w:val="36F01CCB"/>
    <w:rsid w:val="370F5FAD"/>
    <w:rsid w:val="37354536"/>
    <w:rsid w:val="374C0C4A"/>
    <w:rsid w:val="375C316C"/>
    <w:rsid w:val="376A0BCB"/>
    <w:rsid w:val="377C4135"/>
    <w:rsid w:val="37A7183F"/>
    <w:rsid w:val="37A966B2"/>
    <w:rsid w:val="37BA0BE4"/>
    <w:rsid w:val="37D23454"/>
    <w:rsid w:val="37EC06BF"/>
    <w:rsid w:val="380857E1"/>
    <w:rsid w:val="385F0BD7"/>
    <w:rsid w:val="38965B3D"/>
    <w:rsid w:val="38A5562B"/>
    <w:rsid w:val="38F90C9A"/>
    <w:rsid w:val="39282FF7"/>
    <w:rsid w:val="392D7B00"/>
    <w:rsid w:val="39346123"/>
    <w:rsid w:val="397C5927"/>
    <w:rsid w:val="39924BF0"/>
    <w:rsid w:val="39CD333A"/>
    <w:rsid w:val="3A011C1D"/>
    <w:rsid w:val="3A0437F0"/>
    <w:rsid w:val="3A047F64"/>
    <w:rsid w:val="3A344A74"/>
    <w:rsid w:val="3A717A42"/>
    <w:rsid w:val="3A8A7D43"/>
    <w:rsid w:val="3ABD3E73"/>
    <w:rsid w:val="3B2F465B"/>
    <w:rsid w:val="3B5F2FFB"/>
    <w:rsid w:val="3B677D9F"/>
    <w:rsid w:val="3BAA4C12"/>
    <w:rsid w:val="3BBB44A9"/>
    <w:rsid w:val="3BBC3BA3"/>
    <w:rsid w:val="3BCB3416"/>
    <w:rsid w:val="3C4274BF"/>
    <w:rsid w:val="3C613C17"/>
    <w:rsid w:val="3C96166F"/>
    <w:rsid w:val="3CB4462B"/>
    <w:rsid w:val="3CCC338D"/>
    <w:rsid w:val="3CED0A83"/>
    <w:rsid w:val="3D2B4A41"/>
    <w:rsid w:val="3D677A93"/>
    <w:rsid w:val="3D8D320F"/>
    <w:rsid w:val="3DA24F94"/>
    <w:rsid w:val="3DFC4BC0"/>
    <w:rsid w:val="3E2160CC"/>
    <w:rsid w:val="3E234DDE"/>
    <w:rsid w:val="3E380D7D"/>
    <w:rsid w:val="3E4A4ABE"/>
    <w:rsid w:val="3E7675A0"/>
    <w:rsid w:val="3E8133CC"/>
    <w:rsid w:val="3E93773F"/>
    <w:rsid w:val="3E9B36AB"/>
    <w:rsid w:val="3EBD1C72"/>
    <w:rsid w:val="3EBF3EDE"/>
    <w:rsid w:val="3EC55604"/>
    <w:rsid w:val="3EC7668B"/>
    <w:rsid w:val="3ED40A98"/>
    <w:rsid w:val="3F1E321F"/>
    <w:rsid w:val="3F3A1A3F"/>
    <w:rsid w:val="3F4B1F8A"/>
    <w:rsid w:val="3F6E343C"/>
    <w:rsid w:val="3F723EBB"/>
    <w:rsid w:val="3F737BC6"/>
    <w:rsid w:val="3F7F2FB1"/>
    <w:rsid w:val="3FA9603E"/>
    <w:rsid w:val="3FB05112"/>
    <w:rsid w:val="40101520"/>
    <w:rsid w:val="401573C6"/>
    <w:rsid w:val="403B4B80"/>
    <w:rsid w:val="405C1022"/>
    <w:rsid w:val="4068122B"/>
    <w:rsid w:val="40CB5534"/>
    <w:rsid w:val="40FF2D64"/>
    <w:rsid w:val="410B0F59"/>
    <w:rsid w:val="413746C5"/>
    <w:rsid w:val="413970DC"/>
    <w:rsid w:val="416F697C"/>
    <w:rsid w:val="41726C80"/>
    <w:rsid w:val="41C360F7"/>
    <w:rsid w:val="41D905F3"/>
    <w:rsid w:val="41F000F8"/>
    <w:rsid w:val="42060967"/>
    <w:rsid w:val="422D244D"/>
    <w:rsid w:val="42366EE2"/>
    <w:rsid w:val="426954E4"/>
    <w:rsid w:val="426F3E6B"/>
    <w:rsid w:val="4290140F"/>
    <w:rsid w:val="42AD6AD4"/>
    <w:rsid w:val="42E36999"/>
    <w:rsid w:val="43007071"/>
    <w:rsid w:val="435025E0"/>
    <w:rsid w:val="43680A49"/>
    <w:rsid w:val="43776C59"/>
    <w:rsid w:val="438D0746"/>
    <w:rsid w:val="43C147C2"/>
    <w:rsid w:val="43E061FA"/>
    <w:rsid w:val="441E3747"/>
    <w:rsid w:val="44275A4E"/>
    <w:rsid w:val="44836AFB"/>
    <w:rsid w:val="451B5B8B"/>
    <w:rsid w:val="451F6A9A"/>
    <w:rsid w:val="45556615"/>
    <w:rsid w:val="4578321A"/>
    <w:rsid w:val="459C5EA1"/>
    <w:rsid w:val="45A90293"/>
    <w:rsid w:val="45E95F43"/>
    <w:rsid w:val="46305894"/>
    <w:rsid w:val="466C59A9"/>
    <w:rsid w:val="46B87E30"/>
    <w:rsid w:val="46F13F50"/>
    <w:rsid w:val="4724145D"/>
    <w:rsid w:val="47864F04"/>
    <w:rsid w:val="47B02CFB"/>
    <w:rsid w:val="47B83C58"/>
    <w:rsid w:val="48260B25"/>
    <w:rsid w:val="482E185D"/>
    <w:rsid w:val="484A6685"/>
    <w:rsid w:val="486F3C0B"/>
    <w:rsid w:val="48720876"/>
    <w:rsid w:val="48781796"/>
    <w:rsid w:val="488F6262"/>
    <w:rsid w:val="4895769E"/>
    <w:rsid w:val="48A652EA"/>
    <w:rsid w:val="48AC28B8"/>
    <w:rsid w:val="48BF0978"/>
    <w:rsid w:val="48F43D73"/>
    <w:rsid w:val="48F45F67"/>
    <w:rsid w:val="49023D94"/>
    <w:rsid w:val="496A1A80"/>
    <w:rsid w:val="49932FBC"/>
    <w:rsid w:val="49E379A5"/>
    <w:rsid w:val="4A036E12"/>
    <w:rsid w:val="4A4738A8"/>
    <w:rsid w:val="4A496B98"/>
    <w:rsid w:val="4A864188"/>
    <w:rsid w:val="4A9A2861"/>
    <w:rsid w:val="4AC15082"/>
    <w:rsid w:val="4AC754B2"/>
    <w:rsid w:val="4AE50215"/>
    <w:rsid w:val="4AF647CB"/>
    <w:rsid w:val="4AF72CA9"/>
    <w:rsid w:val="4B0B3C96"/>
    <w:rsid w:val="4B241C14"/>
    <w:rsid w:val="4B306D8D"/>
    <w:rsid w:val="4B5F3508"/>
    <w:rsid w:val="4B884E58"/>
    <w:rsid w:val="4BA93E2E"/>
    <w:rsid w:val="4BC0436E"/>
    <w:rsid w:val="4BD11D2F"/>
    <w:rsid w:val="4BEB1DF1"/>
    <w:rsid w:val="4BFF5F61"/>
    <w:rsid w:val="4C1C67BD"/>
    <w:rsid w:val="4C2B5597"/>
    <w:rsid w:val="4C500837"/>
    <w:rsid w:val="4C6F39AE"/>
    <w:rsid w:val="4CC24849"/>
    <w:rsid w:val="4CDE10E1"/>
    <w:rsid w:val="4CEC5DC4"/>
    <w:rsid w:val="4D107783"/>
    <w:rsid w:val="4D3B03B8"/>
    <w:rsid w:val="4D5E6721"/>
    <w:rsid w:val="4D7B7012"/>
    <w:rsid w:val="4D906351"/>
    <w:rsid w:val="4D921282"/>
    <w:rsid w:val="4DB9411B"/>
    <w:rsid w:val="4DBA1EBE"/>
    <w:rsid w:val="4DE620C0"/>
    <w:rsid w:val="4E044AB7"/>
    <w:rsid w:val="4E1525FF"/>
    <w:rsid w:val="4E2B4E8B"/>
    <w:rsid w:val="4EC1043E"/>
    <w:rsid w:val="4F0617A5"/>
    <w:rsid w:val="4F0A54FC"/>
    <w:rsid w:val="4F4A5D6B"/>
    <w:rsid w:val="4F7B4353"/>
    <w:rsid w:val="4F994D01"/>
    <w:rsid w:val="501A0B88"/>
    <w:rsid w:val="50482FE4"/>
    <w:rsid w:val="50931F56"/>
    <w:rsid w:val="50AD135C"/>
    <w:rsid w:val="50BC5616"/>
    <w:rsid w:val="50CA0943"/>
    <w:rsid w:val="50CB229F"/>
    <w:rsid w:val="50E85AC7"/>
    <w:rsid w:val="50ED603B"/>
    <w:rsid w:val="50FE2A26"/>
    <w:rsid w:val="510649E5"/>
    <w:rsid w:val="51192037"/>
    <w:rsid w:val="51627067"/>
    <w:rsid w:val="51C801BF"/>
    <w:rsid w:val="51D525A0"/>
    <w:rsid w:val="52046688"/>
    <w:rsid w:val="520D7DAA"/>
    <w:rsid w:val="52206B00"/>
    <w:rsid w:val="523F6209"/>
    <w:rsid w:val="5268291F"/>
    <w:rsid w:val="529A19F4"/>
    <w:rsid w:val="52A807A2"/>
    <w:rsid w:val="53416C9C"/>
    <w:rsid w:val="54140DC5"/>
    <w:rsid w:val="542041C4"/>
    <w:rsid w:val="542156D6"/>
    <w:rsid w:val="545A6E7B"/>
    <w:rsid w:val="54B95C55"/>
    <w:rsid w:val="54D00BC2"/>
    <w:rsid w:val="54D413E6"/>
    <w:rsid w:val="550B7F18"/>
    <w:rsid w:val="55693C1B"/>
    <w:rsid w:val="558A6BD7"/>
    <w:rsid w:val="55A21542"/>
    <w:rsid w:val="55A600A9"/>
    <w:rsid w:val="55A62DB6"/>
    <w:rsid w:val="55D4559D"/>
    <w:rsid w:val="562837DE"/>
    <w:rsid w:val="56406C1E"/>
    <w:rsid w:val="569053AA"/>
    <w:rsid w:val="569713A9"/>
    <w:rsid w:val="56A702AA"/>
    <w:rsid w:val="56B90456"/>
    <w:rsid w:val="56BD15F0"/>
    <w:rsid w:val="570E7100"/>
    <w:rsid w:val="571F06FA"/>
    <w:rsid w:val="574358EC"/>
    <w:rsid w:val="575102B9"/>
    <w:rsid w:val="575E6D54"/>
    <w:rsid w:val="57952332"/>
    <w:rsid w:val="57B77987"/>
    <w:rsid w:val="582244EC"/>
    <w:rsid w:val="58241EF3"/>
    <w:rsid w:val="58472010"/>
    <w:rsid w:val="58A17895"/>
    <w:rsid w:val="58A528E4"/>
    <w:rsid w:val="58C103B5"/>
    <w:rsid w:val="58D2424D"/>
    <w:rsid w:val="59052AE8"/>
    <w:rsid w:val="591F74E6"/>
    <w:rsid w:val="597A7D7F"/>
    <w:rsid w:val="597B3906"/>
    <w:rsid w:val="59C87701"/>
    <w:rsid w:val="59D70289"/>
    <w:rsid w:val="59DD734B"/>
    <w:rsid w:val="5A085745"/>
    <w:rsid w:val="5A2758FA"/>
    <w:rsid w:val="5A2A19FA"/>
    <w:rsid w:val="5A2B38A2"/>
    <w:rsid w:val="5A4C3D30"/>
    <w:rsid w:val="5A6235B3"/>
    <w:rsid w:val="5A8456E5"/>
    <w:rsid w:val="5AA46330"/>
    <w:rsid w:val="5AAE0A2E"/>
    <w:rsid w:val="5ABA4F90"/>
    <w:rsid w:val="5AE822B0"/>
    <w:rsid w:val="5B383414"/>
    <w:rsid w:val="5B8B1D8E"/>
    <w:rsid w:val="5BAC6733"/>
    <w:rsid w:val="5BAE1561"/>
    <w:rsid w:val="5BBC6843"/>
    <w:rsid w:val="5BCA3A95"/>
    <w:rsid w:val="5BEF7A4C"/>
    <w:rsid w:val="5C0312A7"/>
    <w:rsid w:val="5C0911D9"/>
    <w:rsid w:val="5C1552D9"/>
    <w:rsid w:val="5C584BCF"/>
    <w:rsid w:val="5CA0593C"/>
    <w:rsid w:val="5CB27C1F"/>
    <w:rsid w:val="5CE155C3"/>
    <w:rsid w:val="5CFB30F3"/>
    <w:rsid w:val="5D2B7429"/>
    <w:rsid w:val="5D5A59CF"/>
    <w:rsid w:val="5D60398F"/>
    <w:rsid w:val="5D6A0C72"/>
    <w:rsid w:val="5D80081A"/>
    <w:rsid w:val="5D800D58"/>
    <w:rsid w:val="5DA1273C"/>
    <w:rsid w:val="5DF93348"/>
    <w:rsid w:val="5E130DCA"/>
    <w:rsid w:val="5E2E19DF"/>
    <w:rsid w:val="5E3C66E1"/>
    <w:rsid w:val="5E644C39"/>
    <w:rsid w:val="5E7458EC"/>
    <w:rsid w:val="5E796722"/>
    <w:rsid w:val="5E9A0061"/>
    <w:rsid w:val="5EA33DFC"/>
    <w:rsid w:val="5EA75469"/>
    <w:rsid w:val="5EC364D3"/>
    <w:rsid w:val="5ED636DF"/>
    <w:rsid w:val="5EEB1D76"/>
    <w:rsid w:val="5F621022"/>
    <w:rsid w:val="5F786046"/>
    <w:rsid w:val="5F922FF2"/>
    <w:rsid w:val="5FF101A7"/>
    <w:rsid w:val="5FF67C26"/>
    <w:rsid w:val="60005967"/>
    <w:rsid w:val="604546EE"/>
    <w:rsid w:val="604A7066"/>
    <w:rsid w:val="606D459C"/>
    <w:rsid w:val="607451A2"/>
    <w:rsid w:val="60915526"/>
    <w:rsid w:val="60921109"/>
    <w:rsid w:val="60CC1AAA"/>
    <w:rsid w:val="60E02C57"/>
    <w:rsid w:val="60EE118C"/>
    <w:rsid w:val="6124220B"/>
    <w:rsid w:val="61427806"/>
    <w:rsid w:val="616413C4"/>
    <w:rsid w:val="61666EFC"/>
    <w:rsid w:val="61895DF9"/>
    <w:rsid w:val="619E53AC"/>
    <w:rsid w:val="61BA7124"/>
    <w:rsid w:val="61BB588A"/>
    <w:rsid w:val="61C73981"/>
    <w:rsid w:val="61D6363E"/>
    <w:rsid w:val="61E664C3"/>
    <w:rsid w:val="61E85A28"/>
    <w:rsid w:val="622F5176"/>
    <w:rsid w:val="625D28C2"/>
    <w:rsid w:val="626B76E6"/>
    <w:rsid w:val="62A157CF"/>
    <w:rsid w:val="62AB2694"/>
    <w:rsid w:val="62C62525"/>
    <w:rsid w:val="62D64728"/>
    <w:rsid w:val="63091654"/>
    <w:rsid w:val="63205E48"/>
    <w:rsid w:val="63267A4C"/>
    <w:rsid w:val="633F61DE"/>
    <w:rsid w:val="634E6741"/>
    <w:rsid w:val="63541E16"/>
    <w:rsid w:val="638874AF"/>
    <w:rsid w:val="639D776A"/>
    <w:rsid w:val="63A0084C"/>
    <w:rsid w:val="64020748"/>
    <w:rsid w:val="641E358A"/>
    <w:rsid w:val="642241F9"/>
    <w:rsid w:val="64457797"/>
    <w:rsid w:val="6450518A"/>
    <w:rsid w:val="645D5528"/>
    <w:rsid w:val="648F48AF"/>
    <w:rsid w:val="64AE4DE2"/>
    <w:rsid w:val="64CC1A33"/>
    <w:rsid w:val="65053146"/>
    <w:rsid w:val="650A07DD"/>
    <w:rsid w:val="652B1E5D"/>
    <w:rsid w:val="65684BF5"/>
    <w:rsid w:val="65AE7D29"/>
    <w:rsid w:val="65BA752A"/>
    <w:rsid w:val="65BC7E29"/>
    <w:rsid w:val="65BD4230"/>
    <w:rsid w:val="65C62658"/>
    <w:rsid w:val="65C84229"/>
    <w:rsid w:val="66482609"/>
    <w:rsid w:val="665652B5"/>
    <w:rsid w:val="6697235F"/>
    <w:rsid w:val="66E02753"/>
    <w:rsid w:val="66E05237"/>
    <w:rsid w:val="66F61A90"/>
    <w:rsid w:val="66FF6E90"/>
    <w:rsid w:val="671C2451"/>
    <w:rsid w:val="672D23F6"/>
    <w:rsid w:val="675770B8"/>
    <w:rsid w:val="67CA52D9"/>
    <w:rsid w:val="67D73F66"/>
    <w:rsid w:val="67F91674"/>
    <w:rsid w:val="680B7D28"/>
    <w:rsid w:val="681511D7"/>
    <w:rsid w:val="683022F2"/>
    <w:rsid w:val="68601351"/>
    <w:rsid w:val="686E66AF"/>
    <w:rsid w:val="68762A42"/>
    <w:rsid w:val="687C0D85"/>
    <w:rsid w:val="68B76693"/>
    <w:rsid w:val="68EB660F"/>
    <w:rsid w:val="68F651F4"/>
    <w:rsid w:val="68F81F62"/>
    <w:rsid w:val="68F95B1F"/>
    <w:rsid w:val="691264C7"/>
    <w:rsid w:val="69285102"/>
    <w:rsid w:val="693F7656"/>
    <w:rsid w:val="697448C0"/>
    <w:rsid w:val="697A003B"/>
    <w:rsid w:val="69992806"/>
    <w:rsid w:val="69A158D5"/>
    <w:rsid w:val="69D856A3"/>
    <w:rsid w:val="69D86434"/>
    <w:rsid w:val="6A012CC0"/>
    <w:rsid w:val="6A0F14A9"/>
    <w:rsid w:val="6A2131D9"/>
    <w:rsid w:val="6A2456CE"/>
    <w:rsid w:val="6A2B6105"/>
    <w:rsid w:val="6A365303"/>
    <w:rsid w:val="6A4E3399"/>
    <w:rsid w:val="6A85082C"/>
    <w:rsid w:val="6ABA3229"/>
    <w:rsid w:val="6ABC169E"/>
    <w:rsid w:val="6AE54C93"/>
    <w:rsid w:val="6B150A80"/>
    <w:rsid w:val="6B4C60A7"/>
    <w:rsid w:val="6B5A4B6E"/>
    <w:rsid w:val="6B67133B"/>
    <w:rsid w:val="6B692393"/>
    <w:rsid w:val="6B741F2B"/>
    <w:rsid w:val="6B876B27"/>
    <w:rsid w:val="6BEC01A4"/>
    <w:rsid w:val="6C584143"/>
    <w:rsid w:val="6C5F43D8"/>
    <w:rsid w:val="6C79735B"/>
    <w:rsid w:val="6CAC129D"/>
    <w:rsid w:val="6CBB66E6"/>
    <w:rsid w:val="6CD43EB8"/>
    <w:rsid w:val="6CE11EFD"/>
    <w:rsid w:val="6D2911E7"/>
    <w:rsid w:val="6D316572"/>
    <w:rsid w:val="6D6837E0"/>
    <w:rsid w:val="6D9564E0"/>
    <w:rsid w:val="6D9E2F18"/>
    <w:rsid w:val="6DA938EC"/>
    <w:rsid w:val="6DAC6500"/>
    <w:rsid w:val="6DC63950"/>
    <w:rsid w:val="6DEE5CEE"/>
    <w:rsid w:val="6E0E7DF5"/>
    <w:rsid w:val="6E1205EA"/>
    <w:rsid w:val="6E427C63"/>
    <w:rsid w:val="6E6B3B97"/>
    <w:rsid w:val="6E7D35DD"/>
    <w:rsid w:val="6E7F27B1"/>
    <w:rsid w:val="6E8A2EF2"/>
    <w:rsid w:val="6EA23F11"/>
    <w:rsid w:val="6EFC5947"/>
    <w:rsid w:val="6F0B2A5B"/>
    <w:rsid w:val="6F2C1D50"/>
    <w:rsid w:val="6F940780"/>
    <w:rsid w:val="6F9F0EF7"/>
    <w:rsid w:val="6FB32CF2"/>
    <w:rsid w:val="702E42F4"/>
    <w:rsid w:val="70607674"/>
    <w:rsid w:val="70BC09AD"/>
    <w:rsid w:val="70D02855"/>
    <w:rsid w:val="710979B4"/>
    <w:rsid w:val="710B0E7D"/>
    <w:rsid w:val="71237976"/>
    <w:rsid w:val="71357AD6"/>
    <w:rsid w:val="71415782"/>
    <w:rsid w:val="71A15061"/>
    <w:rsid w:val="71DC740B"/>
    <w:rsid w:val="72167D32"/>
    <w:rsid w:val="724C4966"/>
    <w:rsid w:val="725B3E18"/>
    <w:rsid w:val="73051FDD"/>
    <w:rsid w:val="73107A24"/>
    <w:rsid w:val="731E4248"/>
    <w:rsid w:val="73307800"/>
    <w:rsid w:val="734D537F"/>
    <w:rsid w:val="73563D56"/>
    <w:rsid w:val="73AF13E8"/>
    <w:rsid w:val="73C71679"/>
    <w:rsid w:val="73C87931"/>
    <w:rsid w:val="73D605D2"/>
    <w:rsid w:val="73E8451D"/>
    <w:rsid w:val="741178B5"/>
    <w:rsid w:val="741A11E6"/>
    <w:rsid w:val="743877F5"/>
    <w:rsid w:val="74537475"/>
    <w:rsid w:val="747D240E"/>
    <w:rsid w:val="74902010"/>
    <w:rsid w:val="74E65FEA"/>
    <w:rsid w:val="74E84539"/>
    <w:rsid w:val="74EC336B"/>
    <w:rsid w:val="75045A69"/>
    <w:rsid w:val="751D285C"/>
    <w:rsid w:val="7546156F"/>
    <w:rsid w:val="75467C5F"/>
    <w:rsid w:val="75495D02"/>
    <w:rsid w:val="7556498C"/>
    <w:rsid w:val="758703A4"/>
    <w:rsid w:val="758B0930"/>
    <w:rsid w:val="75911BD6"/>
    <w:rsid w:val="759311FD"/>
    <w:rsid w:val="75FE1DDB"/>
    <w:rsid w:val="760D5F8F"/>
    <w:rsid w:val="766479D4"/>
    <w:rsid w:val="76727A9F"/>
    <w:rsid w:val="768C1488"/>
    <w:rsid w:val="76C451DA"/>
    <w:rsid w:val="77174D2E"/>
    <w:rsid w:val="77426A61"/>
    <w:rsid w:val="77582077"/>
    <w:rsid w:val="779C2640"/>
    <w:rsid w:val="77A61D61"/>
    <w:rsid w:val="78020E23"/>
    <w:rsid w:val="78141AD2"/>
    <w:rsid w:val="781E03A1"/>
    <w:rsid w:val="78205124"/>
    <w:rsid w:val="78214869"/>
    <w:rsid w:val="7869382F"/>
    <w:rsid w:val="78DB57A6"/>
    <w:rsid w:val="78E23DF1"/>
    <w:rsid w:val="78E44F00"/>
    <w:rsid w:val="79245C9C"/>
    <w:rsid w:val="79503B10"/>
    <w:rsid w:val="79587A82"/>
    <w:rsid w:val="797E54F0"/>
    <w:rsid w:val="7988158B"/>
    <w:rsid w:val="79AB5498"/>
    <w:rsid w:val="79C2221C"/>
    <w:rsid w:val="79C2545E"/>
    <w:rsid w:val="7A242E36"/>
    <w:rsid w:val="7A3448AC"/>
    <w:rsid w:val="7A4211AE"/>
    <w:rsid w:val="7A5636A2"/>
    <w:rsid w:val="7A710E79"/>
    <w:rsid w:val="7A953110"/>
    <w:rsid w:val="7A9D5B60"/>
    <w:rsid w:val="7AA471DA"/>
    <w:rsid w:val="7AA76FCF"/>
    <w:rsid w:val="7B08616E"/>
    <w:rsid w:val="7B2017CA"/>
    <w:rsid w:val="7B2B1170"/>
    <w:rsid w:val="7B34276D"/>
    <w:rsid w:val="7B366F10"/>
    <w:rsid w:val="7B660DD2"/>
    <w:rsid w:val="7B714E7C"/>
    <w:rsid w:val="7B880CBA"/>
    <w:rsid w:val="7BA3686D"/>
    <w:rsid w:val="7BA456FD"/>
    <w:rsid w:val="7BF61B80"/>
    <w:rsid w:val="7C305463"/>
    <w:rsid w:val="7C3C65B4"/>
    <w:rsid w:val="7C5534E9"/>
    <w:rsid w:val="7C77339E"/>
    <w:rsid w:val="7C972406"/>
    <w:rsid w:val="7CA57354"/>
    <w:rsid w:val="7D075C56"/>
    <w:rsid w:val="7D0C0403"/>
    <w:rsid w:val="7D0E4E44"/>
    <w:rsid w:val="7D17729F"/>
    <w:rsid w:val="7D380869"/>
    <w:rsid w:val="7D410106"/>
    <w:rsid w:val="7D437406"/>
    <w:rsid w:val="7D4475C7"/>
    <w:rsid w:val="7D4A373B"/>
    <w:rsid w:val="7D4E4B18"/>
    <w:rsid w:val="7D6B1639"/>
    <w:rsid w:val="7D6E0739"/>
    <w:rsid w:val="7D7342CC"/>
    <w:rsid w:val="7D772B1F"/>
    <w:rsid w:val="7D8F5423"/>
    <w:rsid w:val="7DB50211"/>
    <w:rsid w:val="7DBA7E55"/>
    <w:rsid w:val="7DBD3D3F"/>
    <w:rsid w:val="7DC655E7"/>
    <w:rsid w:val="7DF57C63"/>
    <w:rsid w:val="7E164D93"/>
    <w:rsid w:val="7E2A585C"/>
    <w:rsid w:val="7E4411ED"/>
    <w:rsid w:val="7E4B6BE3"/>
    <w:rsid w:val="7E4D1C84"/>
    <w:rsid w:val="7E535992"/>
    <w:rsid w:val="7E736F5F"/>
    <w:rsid w:val="7E875328"/>
    <w:rsid w:val="7E8D538C"/>
    <w:rsid w:val="7E9A0EF9"/>
    <w:rsid w:val="7EA13300"/>
    <w:rsid w:val="7EA96C28"/>
    <w:rsid w:val="7EC03640"/>
    <w:rsid w:val="7EDE5394"/>
    <w:rsid w:val="7EE35794"/>
    <w:rsid w:val="7F0E4A9F"/>
    <w:rsid w:val="7F5A5E88"/>
    <w:rsid w:val="7F5D32A7"/>
    <w:rsid w:val="7F653CF2"/>
    <w:rsid w:val="7F912587"/>
    <w:rsid w:val="7FAF3D5A"/>
    <w:rsid w:val="7FD7440A"/>
    <w:rsid w:val="7FE43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qFormat="1" w:unhideWhenUsed="0" w:uiPriority="0" w:semiHidden="0" w:name="Note Heading"/>
    <w:lsdException w:uiPriority="99" w:name="Body Text 2"/>
    <w:lsdException w:uiPriority="99" w:name="Body Text 3"/>
    <w:lsdException w:qFormat="1" w:uiPriority="99"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heme="minorBidi"/>
      <w:kern w:val="2"/>
      <w:sz w:val="28"/>
      <w:szCs w:val="22"/>
      <w:lang w:val="en-US" w:eastAsia="zh-CN" w:bidi="ar-SA"/>
    </w:rPr>
  </w:style>
  <w:style w:type="paragraph" w:styleId="3">
    <w:name w:val="heading 1"/>
    <w:basedOn w:val="1"/>
    <w:next w:val="1"/>
    <w:link w:val="41"/>
    <w:qFormat/>
    <w:uiPriority w:val="9"/>
    <w:pPr>
      <w:keepNext/>
      <w:keepLines/>
      <w:spacing w:beforeLines="50" w:afterLines="50"/>
      <w:ind w:firstLine="0" w:firstLineChars="0"/>
      <w:jc w:val="center"/>
      <w:outlineLvl w:val="0"/>
    </w:pPr>
    <w:rPr>
      <w:rFonts w:eastAsia="楷体_GB2312"/>
      <w:b/>
      <w:bCs/>
      <w:kern w:val="44"/>
      <w:sz w:val="36"/>
      <w:szCs w:val="44"/>
    </w:rPr>
  </w:style>
  <w:style w:type="paragraph" w:styleId="4">
    <w:name w:val="heading 2"/>
    <w:basedOn w:val="1"/>
    <w:next w:val="1"/>
    <w:link w:val="42"/>
    <w:unhideWhenUsed/>
    <w:qFormat/>
    <w:uiPriority w:val="9"/>
    <w:pPr>
      <w:keepNext/>
      <w:keepLines/>
      <w:spacing w:beforeLines="30" w:afterLines="30"/>
      <w:ind w:firstLine="0" w:firstLineChars="0"/>
      <w:jc w:val="left"/>
      <w:outlineLvl w:val="1"/>
    </w:pPr>
    <w:rPr>
      <w:rFonts w:eastAsia="黑体" w:cstheme="majorBidi"/>
      <w:bCs/>
      <w:sz w:val="32"/>
      <w:szCs w:val="32"/>
    </w:rPr>
  </w:style>
  <w:style w:type="paragraph" w:styleId="5">
    <w:name w:val="heading 3"/>
    <w:basedOn w:val="1"/>
    <w:next w:val="1"/>
    <w:link w:val="43"/>
    <w:unhideWhenUsed/>
    <w:qFormat/>
    <w:uiPriority w:val="9"/>
    <w:pPr>
      <w:keepNext/>
      <w:keepLines/>
      <w:ind w:firstLine="0" w:firstLineChars="0"/>
      <w:jc w:val="left"/>
      <w:outlineLvl w:val="2"/>
    </w:pPr>
    <w:rPr>
      <w:b/>
      <w:bCs/>
      <w:szCs w:val="32"/>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customStyle="1" w:styleId="2">
    <w:name w:val="正文样式"/>
    <w:basedOn w:val="1"/>
    <w:qFormat/>
    <w:uiPriority w:val="0"/>
    <w:pPr>
      <w:adjustRightInd w:val="0"/>
      <w:snapToGrid w:val="0"/>
      <w:spacing w:line="520" w:lineRule="exact"/>
      <w:ind w:firstLine="562"/>
    </w:pPr>
    <w:rPr>
      <w:color w:val="000000"/>
      <w:szCs w:val="28"/>
    </w:rPr>
  </w:style>
  <w:style w:type="paragraph" w:styleId="6">
    <w:name w:val="Note Heading"/>
    <w:basedOn w:val="1"/>
    <w:next w:val="1"/>
    <w:link w:val="52"/>
    <w:qFormat/>
    <w:uiPriority w:val="0"/>
    <w:pPr>
      <w:spacing w:line="240" w:lineRule="auto"/>
      <w:ind w:firstLine="0" w:firstLineChars="0"/>
      <w:jc w:val="center"/>
    </w:pPr>
    <w:rPr>
      <w:rFonts w:ascii="宋体" w:cs="Times New Roman"/>
      <w:kern w:val="0"/>
      <w:sz w:val="20"/>
      <w:szCs w:val="20"/>
    </w:rPr>
  </w:style>
  <w:style w:type="paragraph" w:styleId="7">
    <w:name w:val="Normal Indent"/>
    <w:basedOn w:val="1"/>
    <w:qFormat/>
    <w:uiPriority w:val="0"/>
    <w:pPr>
      <w:ind w:firstLine="420"/>
    </w:pPr>
  </w:style>
  <w:style w:type="paragraph" w:styleId="8">
    <w:name w:val="Document Map"/>
    <w:basedOn w:val="1"/>
    <w:link w:val="54"/>
    <w:unhideWhenUsed/>
    <w:qFormat/>
    <w:uiPriority w:val="99"/>
    <w:rPr>
      <w:rFonts w:ascii="宋体"/>
      <w:sz w:val="18"/>
      <w:szCs w:val="18"/>
    </w:rPr>
  </w:style>
  <w:style w:type="paragraph" w:styleId="9">
    <w:name w:val="annotation text"/>
    <w:basedOn w:val="1"/>
    <w:link w:val="53"/>
    <w:semiHidden/>
    <w:qFormat/>
    <w:uiPriority w:val="0"/>
    <w:pPr>
      <w:spacing w:line="240" w:lineRule="auto"/>
      <w:ind w:firstLine="0" w:firstLineChars="0"/>
      <w:jc w:val="left"/>
    </w:pPr>
    <w:rPr>
      <w:rFonts w:cs="Times New Roman"/>
      <w:sz w:val="21"/>
      <w:szCs w:val="24"/>
    </w:rPr>
  </w:style>
  <w:style w:type="paragraph" w:styleId="10">
    <w:name w:val="Body Text"/>
    <w:basedOn w:val="1"/>
    <w:link w:val="64"/>
    <w:qFormat/>
    <w:uiPriority w:val="0"/>
    <w:pPr>
      <w:spacing w:after="120" w:line="240" w:lineRule="auto"/>
      <w:ind w:firstLine="0" w:firstLineChars="0"/>
    </w:pPr>
    <w:rPr>
      <w:rFonts w:cs="Times New Roman"/>
      <w:sz w:val="21"/>
      <w:szCs w:val="24"/>
    </w:rPr>
  </w:style>
  <w:style w:type="paragraph" w:styleId="11">
    <w:name w:val="Body Text Indent"/>
    <w:basedOn w:val="1"/>
    <w:link w:val="56"/>
    <w:qFormat/>
    <w:uiPriority w:val="0"/>
    <w:pPr>
      <w:spacing w:after="120" w:line="240" w:lineRule="auto"/>
      <w:ind w:left="420" w:leftChars="200" w:firstLine="0" w:firstLineChars="0"/>
    </w:pPr>
    <w:rPr>
      <w:rFonts w:cs="Times New Roman"/>
      <w:sz w:val="21"/>
      <w:szCs w:val="24"/>
    </w:rPr>
  </w:style>
  <w:style w:type="paragraph" w:styleId="12">
    <w:name w:val="toc 3"/>
    <w:basedOn w:val="1"/>
    <w:next w:val="1"/>
    <w:semiHidden/>
    <w:qFormat/>
    <w:uiPriority w:val="0"/>
    <w:pPr>
      <w:spacing w:line="240" w:lineRule="auto"/>
      <w:ind w:left="46" w:hanging="46" w:hangingChars="22"/>
    </w:pPr>
    <w:rPr>
      <w:rFonts w:cs="Times New Roman"/>
      <w:sz w:val="21"/>
      <w:szCs w:val="24"/>
    </w:rPr>
  </w:style>
  <w:style w:type="paragraph" w:styleId="13">
    <w:name w:val="Plain Text"/>
    <w:basedOn w:val="1"/>
    <w:link w:val="51"/>
    <w:qFormat/>
    <w:uiPriority w:val="0"/>
    <w:pPr>
      <w:spacing w:line="240" w:lineRule="auto"/>
      <w:ind w:firstLine="0" w:firstLineChars="0"/>
    </w:pPr>
    <w:rPr>
      <w:rFonts w:ascii="宋体" w:hAnsi="Courier New" w:cs="Times New Roman"/>
      <w:kern w:val="0"/>
      <w:sz w:val="20"/>
      <w:szCs w:val="20"/>
    </w:rPr>
  </w:style>
  <w:style w:type="paragraph" w:styleId="14">
    <w:name w:val="Date"/>
    <w:basedOn w:val="1"/>
    <w:next w:val="1"/>
    <w:link w:val="57"/>
    <w:qFormat/>
    <w:uiPriority w:val="0"/>
    <w:pPr>
      <w:spacing w:line="240" w:lineRule="auto"/>
      <w:ind w:firstLine="0" w:firstLineChars="0"/>
    </w:pPr>
    <w:rPr>
      <w:rFonts w:ascii="宋体" w:cs="Times New Roman"/>
      <w:sz w:val="24"/>
      <w:szCs w:val="20"/>
    </w:rPr>
  </w:style>
  <w:style w:type="paragraph" w:styleId="15">
    <w:name w:val="Body Text Indent 2"/>
    <w:basedOn w:val="1"/>
    <w:link w:val="63"/>
    <w:unhideWhenUsed/>
    <w:qFormat/>
    <w:uiPriority w:val="99"/>
    <w:pPr>
      <w:spacing w:after="120" w:line="480" w:lineRule="auto"/>
      <w:ind w:left="420" w:leftChars="200"/>
    </w:pPr>
  </w:style>
  <w:style w:type="paragraph" w:styleId="16">
    <w:name w:val="Balloon Text"/>
    <w:basedOn w:val="1"/>
    <w:link w:val="47"/>
    <w:unhideWhenUsed/>
    <w:qFormat/>
    <w:uiPriority w:val="99"/>
    <w:pPr>
      <w:spacing w:line="240" w:lineRule="auto"/>
    </w:pPr>
    <w:rPr>
      <w:sz w:val="18"/>
      <w:szCs w:val="18"/>
    </w:rPr>
  </w:style>
  <w:style w:type="paragraph" w:styleId="17">
    <w:name w:val="footer"/>
    <w:basedOn w:val="1"/>
    <w:link w:val="40"/>
    <w:unhideWhenUsed/>
    <w:qFormat/>
    <w:uiPriority w:val="99"/>
    <w:pPr>
      <w:tabs>
        <w:tab w:val="center" w:pos="4153"/>
        <w:tab w:val="right" w:pos="8306"/>
      </w:tabs>
      <w:snapToGrid w:val="0"/>
      <w:jc w:val="left"/>
    </w:pPr>
    <w:rPr>
      <w:sz w:val="18"/>
      <w:szCs w:val="18"/>
    </w:rPr>
  </w:style>
  <w:style w:type="paragraph" w:styleId="18">
    <w:name w:val="header"/>
    <w:basedOn w:val="1"/>
    <w:link w:val="39"/>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tabs>
        <w:tab w:val="right" w:leader="dot" w:pos="8296"/>
      </w:tabs>
      <w:adjustRightInd w:val="0"/>
      <w:snapToGrid w:val="0"/>
      <w:spacing w:line="400" w:lineRule="exact"/>
      <w:ind w:firstLine="0" w:firstLineChars="0"/>
    </w:pPr>
    <w:rPr>
      <w:rFonts w:asciiTheme="minorEastAsia" w:hAnsiTheme="minorEastAsia" w:eastAsiaTheme="minorEastAsia"/>
      <w:szCs w:val="28"/>
    </w:rPr>
  </w:style>
  <w:style w:type="paragraph" w:styleId="20">
    <w:name w:val="Subtitle"/>
    <w:basedOn w:val="1"/>
    <w:next w:val="1"/>
    <w:qFormat/>
    <w:uiPriority w:val="11"/>
    <w:pPr>
      <w:spacing w:before="240" w:after="60" w:line="312" w:lineRule="auto"/>
      <w:jc w:val="center"/>
      <w:outlineLvl w:val="1"/>
    </w:pPr>
    <w:rPr>
      <w:rFonts w:ascii="Cambria" w:hAnsi="Cambria"/>
      <w:b/>
      <w:bCs/>
      <w:kern w:val="28"/>
      <w:sz w:val="32"/>
      <w:szCs w:val="32"/>
    </w:rPr>
  </w:style>
  <w:style w:type="paragraph" w:styleId="21">
    <w:name w:val="Body Text Indent 3"/>
    <w:basedOn w:val="1"/>
    <w:link w:val="48"/>
    <w:qFormat/>
    <w:uiPriority w:val="0"/>
    <w:pPr>
      <w:spacing w:after="120" w:line="240" w:lineRule="auto"/>
      <w:ind w:left="420" w:leftChars="200" w:firstLine="0" w:firstLineChars="0"/>
    </w:pPr>
    <w:rPr>
      <w:rFonts w:cs="Times New Roman"/>
      <w:sz w:val="16"/>
      <w:szCs w:val="16"/>
    </w:rPr>
  </w:style>
  <w:style w:type="paragraph" w:styleId="22">
    <w:name w:val="toc 2"/>
    <w:basedOn w:val="1"/>
    <w:next w:val="1"/>
    <w:unhideWhenUsed/>
    <w:qFormat/>
    <w:uiPriority w:val="39"/>
    <w:pPr>
      <w:tabs>
        <w:tab w:val="right" w:leader="dot" w:pos="8296"/>
      </w:tabs>
      <w:ind w:left="560" w:leftChars="153" w:hanging="132" w:hangingChars="47"/>
    </w:pPr>
  </w:style>
  <w:style w:type="paragraph" w:styleId="23">
    <w:name w:val="HTML Preformatted"/>
    <w:basedOn w:val="1"/>
    <w:link w:val="5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int="eastAsia" w:ascii="宋体" w:hAnsi="宋体" w:cs="Courier New"/>
      <w:color w:val="000000"/>
      <w:kern w:val="0"/>
      <w:sz w:val="21"/>
      <w:szCs w:val="21"/>
    </w:rPr>
  </w:style>
  <w:style w:type="paragraph" w:styleId="24">
    <w:name w:val="Normal (Web)"/>
    <w:basedOn w:val="1"/>
    <w:qFormat/>
    <w:uiPriority w:val="0"/>
    <w:pPr>
      <w:widowControl/>
      <w:spacing w:before="100" w:beforeAutospacing="1" w:after="100" w:afterAutospacing="1" w:line="240" w:lineRule="auto"/>
      <w:ind w:firstLine="0" w:firstLineChars="0"/>
      <w:jc w:val="left"/>
    </w:pPr>
    <w:rPr>
      <w:rFonts w:ascii="宋体" w:hAnsi="宋体" w:cs="宋体"/>
      <w:kern w:val="0"/>
      <w:sz w:val="24"/>
      <w:szCs w:val="24"/>
    </w:rPr>
  </w:style>
  <w:style w:type="paragraph" w:styleId="25">
    <w:name w:val="index 1"/>
    <w:basedOn w:val="1"/>
    <w:next w:val="1"/>
    <w:semiHidden/>
    <w:qFormat/>
    <w:uiPriority w:val="0"/>
    <w:pPr>
      <w:spacing w:line="240" w:lineRule="auto"/>
      <w:ind w:firstLine="0" w:firstLineChars="0"/>
      <w:jc w:val="center"/>
    </w:pPr>
    <w:rPr>
      <w:rFonts w:cs="Times New Roman" w:asciiTheme="minorEastAsia" w:hAnsiTheme="minorEastAsia" w:eastAsiaTheme="minorEastAsia"/>
      <w:color w:val="FF0000"/>
      <w:sz w:val="21"/>
      <w:szCs w:val="21"/>
    </w:rPr>
  </w:style>
  <w:style w:type="paragraph" w:styleId="26">
    <w:name w:val="annotation subject"/>
    <w:basedOn w:val="9"/>
    <w:next w:val="9"/>
    <w:link w:val="66"/>
    <w:unhideWhenUsed/>
    <w:qFormat/>
    <w:uiPriority w:val="99"/>
    <w:pPr>
      <w:spacing w:line="360" w:lineRule="auto"/>
      <w:ind w:firstLine="200" w:firstLineChars="200"/>
    </w:pPr>
    <w:rPr>
      <w:rFonts w:cstheme="minorBidi"/>
      <w:b/>
      <w:bCs/>
      <w:sz w:val="28"/>
      <w:szCs w:val="22"/>
    </w:rPr>
  </w:style>
  <w:style w:type="paragraph" w:styleId="27">
    <w:name w:val="Body Text First Indent"/>
    <w:basedOn w:val="10"/>
    <w:next w:val="1"/>
    <w:qFormat/>
    <w:uiPriority w:val="0"/>
    <w:pPr>
      <w:widowControl/>
      <w:ind w:firstLine="420" w:firstLineChars="100"/>
      <w:jc w:val="left"/>
    </w:pPr>
    <w:rPr>
      <w:rFonts w:ascii="Calibri" w:hAnsi="Calibri" w:cs="Calibri"/>
      <w:szCs w:val="21"/>
    </w:rPr>
  </w:style>
  <w:style w:type="table" w:styleId="29">
    <w:name w:val="Table Grid"/>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basedOn w:val="30"/>
    <w:qFormat/>
    <w:uiPriority w:val="0"/>
  </w:style>
  <w:style w:type="character" w:styleId="33">
    <w:name w:val="Hyperlink"/>
    <w:basedOn w:val="30"/>
    <w:unhideWhenUsed/>
    <w:qFormat/>
    <w:uiPriority w:val="99"/>
    <w:rPr>
      <w:color w:val="0000FF" w:themeColor="hyperlink"/>
      <w:u w:val="single"/>
      <w14:textFill>
        <w14:solidFill>
          <w14:schemeClr w14:val="hlink"/>
        </w14:solidFill>
      </w14:textFill>
    </w:rPr>
  </w:style>
  <w:style w:type="character" w:styleId="34">
    <w:name w:val="annotation reference"/>
    <w:basedOn w:val="30"/>
    <w:semiHidden/>
    <w:qFormat/>
    <w:uiPriority w:val="0"/>
    <w:rPr>
      <w:sz w:val="21"/>
      <w:szCs w:val="21"/>
    </w:rPr>
  </w:style>
  <w:style w:type="paragraph" w:customStyle="1" w:styleId="35">
    <w:name w:val="正文文本1"/>
    <w:basedOn w:val="1"/>
    <w:qFormat/>
    <w:uiPriority w:val="0"/>
    <w:pPr>
      <w:spacing w:after="120"/>
    </w:pPr>
    <w:rPr>
      <w:rFonts w:hint="eastAsia" w:ascii="宋体"/>
      <w:sz w:val="24"/>
    </w:rPr>
  </w:style>
  <w:style w:type="paragraph" w:customStyle="1" w:styleId="3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7">
    <w:name w:val="Title"/>
    <w:basedOn w:val="1"/>
    <w:qFormat/>
    <w:uiPriority w:val="0"/>
    <w:pPr>
      <w:spacing w:line="500" w:lineRule="exact"/>
      <w:jc w:val="center"/>
      <w:outlineLvl w:val="0"/>
    </w:pPr>
    <w:rPr>
      <w:rFonts w:ascii="宋体" w:hAnsi="宋体" w:eastAsia="仿宋_GB2312" w:cs="宋体"/>
      <w:bCs/>
      <w:kern w:val="0"/>
      <w:sz w:val="28"/>
      <w:szCs w:val="18"/>
    </w:rPr>
  </w:style>
  <w:style w:type="paragraph" w:customStyle="1" w:styleId="38">
    <w:name w:val="标题1"/>
    <w:basedOn w:val="1"/>
    <w:qFormat/>
    <w:uiPriority w:val="0"/>
    <w:pPr>
      <w:spacing w:line="500" w:lineRule="exact"/>
      <w:jc w:val="center"/>
      <w:outlineLvl w:val="0"/>
    </w:pPr>
    <w:rPr>
      <w:rFonts w:ascii="宋体" w:hAnsi="宋体" w:eastAsia="仿宋_GB2312" w:cs="宋体"/>
      <w:bCs/>
      <w:kern w:val="0"/>
      <w:szCs w:val="18"/>
    </w:rPr>
  </w:style>
  <w:style w:type="character" w:customStyle="1" w:styleId="39">
    <w:name w:val="页眉 字符"/>
    <w:basedOn w:val="30"/>
    <w:link w:val="18"/>
    <w:qFormat/>
    <w:uiPriority w:val="99"/>
    <w:rPr>
      <w:sz w:val="18"/>
      <w:szCs w:val="18"/>
    </w:rPr>
  </w:style>
  <w:style w:type="character" w:customStyle="1" w:styleId="40">
    <w:name w:val="页脚 字符"/>
    <w:basedOn w:val="30"/>
    <w:link w:val="17"/>
    <w:qFormat/>
    <w:uiPriority w:val="99"/>
    <w:rPr>
      <w:sz w:val="18"/>
      <w:szCs w:val="18"/>
    </w:rPr>
  </w:style>
  <w:style w:type="character" w:customStyle="1" w:styleId="41">
    <w:name w:val="标题 1 字符"/>
    <w:basedOn w:val="30"/>
    <w:link w:val="3"/>
    <w:qFormat/>
    <w:uiPriority w:val="9"/>
    <w:rPr>
      <w:rFonts w:ascii="Times New Roman" w:hAnsi="Times New Roman" w:eastAsia="楷体_GB2312"/>
      <w:b/>
      <w:bCs/>
      <w:kern w:val="44"/>
      <w:sz w:val="36"/>
      <w:szCs w:val="44"/>
    </w:rPr>
  </w:style>
  <w:style w:type="character" w:customStyle="1" w:styleId="42">
    <w:name w:val="标题 2 字符"/>
    <w:basedOn w:val="30"/>
    <w:link w:val="4"/>
    <w:qFormat/>
    <w:uiPriority w:val="9"/>
    <w:rPr>
      <w:rFonts w:ascii="Times New Roman" w:hAnsi="Times New Roman" w:eastAsia="黑体" w:cstheme="majorBidi"/>
      <w:bCs/>
      <w:sz w:val="32"/>
      <w:szCs w:val="32"/>
    </w:rPr>
  </w:style>
  <w:style w:type="character" w:customStyle="1" w:styleId="43">
    <w:name w:val="标题 3 字符"/>
    <w:basedOn w:val="30"/>
    <w:link w:val="5"/>
    <w:qFormat/>
    <w:uiPriority w:val="9"/>
    <w:rPr>
      <w:rFonts w:ascii="Times New Roman" w:hAnsi="Times New Roman" w:eastAsia="宋体"/>
      <w:b/>
      <w:bCs/>
      <w:sz w:val="28"/>
      <w:szCs w:val="32"/>
    </w:rPr>
  </w:style>
  <w:style w:type="paragraph" w:customStyle="1" w:styleId="44">
    <w:name w:val="+正文"/>
    <w:basedOn w:val="1"/>
    <w:link w:val="74"/>
    <w:qFormat/>
    <w:uiPriority w:val="0"/>
    <w:rPr>
      <w:rFonts w:cs="Times New Roman"/>
      <w:sz w:val="24"/>
      <w:szCs w:val="28"/>
    </w:rPr>
  </w:style>
  <w:style w:type="paragraph" w:customStyle="1" w:styleId="45">
    <w:name w:val="样式4"/>
    <w:basedOn w:val="1"/>
    <w:link w:val="46"/>
    <w:qFormat/>
    <w:uiPriority w:val="0"/>
    <w:pPr>
      <w:adjustRightInd w:val="0"/>
      <w:snapToGrid w:val="0"/>
      <w:spacing w:line="500" w:lineRule="exact"/>
    </w:pPr>
    <w:rPr>
      <w:rFonts w:cs="Times New Roman"/>
      <w:szCs w:val="28"/>
    </w:rPr>
  </w:style>
  <w:style w:type="character" w:customStyle="1" w:styleId="46">
    <w:name w:val="样式4 Char"/>
    <w:basedOn w:val="30"/>
    <w:link w:val="45"/>
    <w:qFormat/>
    <w:uiPriority w:val="0"/>
    <w:rPr>
      <w:rFonts w:ascii="Times New Roman" w:hAnsi="Times New Roman" w:eastAsia="宋体" w:cs="Times New Roman"/>
      <w:sz w:val="28"/>
      <w:szCs w:val="28"/>
    </w:rPr>
  </w:style>
  <w:style w:type="character" w:customStyle="1" w:styleId="47">
    <w:name w:val="批注框文本 字符"/>
    <w:basedOn w:val="30"/>
    <w:link w:val="16"/>
    <w:semiHidden/>
    <w:qFormat/>
    <w:uiPriority w:val="99"/>
    <w:rPr>
      <w:rFonts w:ascii="Times New Roman" w:hAnsi="Times New Roman" w:eastAsia="宋体"/>
      <w:sz w:val="18"/>
      <w:szCs w:val="18"/>
    </w:rPr>
  </w:style>
  <w:style w:type="character" w:customStyle="1" w:styleId="48">
    <w:name w:val="正文文本缩进 3 字符"/>
    <w:basedOn w:val="30"/>
    <w:link w:val="21"/>
    <w:qFormat/>
    <w:uiPriority w:val="0"/>
    <w:rPr>
      <w:rFonts w:ascii="Times New Roman" w:hAnsi="Times New Roman" w:eastAsia="宋体" w:cs="Times New Roman"/>
      <w:sz w:val="16"/>
      <w:szCs w:val="16"/>
    </w:rPr>
  </w:style>
  <w:style w:type="paragraph" w:customStyle="1" w:styleId="49">
    <w:name w:val="表格内容"/>
    <w:basedOn w:val="1"/>
    <w:qFormat/>
    <w:uiPriority w:val="0"/>
    <w:pPr>
      <w:overflowPunct w:val="0"/>
      <w:adjustRightInd w:val="0"/>
      <w:spacing w:before="40" w:after="60" w:line="200" w:lineRule="atLeast"/>
      <w:ind w:firstLine="0" w:firstLineChars="0"/>
      <w:textAlignment w:val="baseline"/>
    </w:pPr>
    <w:rPr>
      <w:rFonts w:ascii="Arial" w:hAnsi="Arial" w:eastAsia="仿宋_GB2312" w:cs="Times New Roman"/>
      <w:kern w:val="0"/>
      <w:sz w:val="24"/>
      <w:szCs w:val="20"/>
    </w:rPr>
  </w:style>
  <w:style w:type="character" w:customStyle="1" w:styleId="50">
    <w:name w:val="HTML 预设格式 字符"/>
    <w:basedOn w:val="30"/>
    <w:link w:val="23"/>
    <w:qFormat/>
    <w:uiPriority w:val="0"/>
    <w:rPr>
      <w:rFonts w:ascii="宋体" w:hAnsi="宋体" w:eastAsia="宋体" w:cs="Courier New"/>
      <w:color w:val="000000"/>
      <w:kern w:val="0"/>
      <w:szCs w:val="21"/>
    </w:rPr>
  </w:style>
  <w:style w:type="character" w:customStyle="1" w:styleId="51">
    <w:name w:val="纯文本 字符"/>
    <w:basedOn w:val="30"/>
    <w:link w:val="13"/>
    <w:qFormat/>
    <w:uiPriority w:val="0"/>
    <w:rPr>
      <w:rFonts w:ascii="宋体" w:hAnsi="Courier New" w:eastAsia="宋体" w:cs="Times New Roman"/>
      <w:kern w:val="0"/>
      <w:sz w:val="20"/>
      <w:szCs w:val="20"/>
    </w:rPr>
  </w:style>
  <w:style w:type="character" w:customStyle="1" w:styleId="52">
    <w:name w:val="注释标题 字符"/>
    <w:basedOn w:val="30"/>
    <w:link w:val="6"/>
    <w:qFormat/>
    <w:uiPriority w:val="0"/>
    <w:rPr>
      <w:rFonts w:ascii="宋体" w:hAnsi="Times New Roman" w:eastAsia="宋体" w:cs="Times New Roman"/>
      <w:kern w:val="0"/>
      <w:sz w:val="20"/>
      <w:szCs w:val="20"/>
    </w:rPr>
  </w:style>
  <w:style w:type="character" w:customStyle="1" w:styleId="53">
    <w:name w:val="批注文字 字符"/>
    <w:basedOn w:val="30"/>
    <w:link w:val="9"/>
    <w:semiHidden/>
    <w:qFormat/>
    <w:uiPriority w:val="0"/>
    <w:rPr>
      <w:rFonts w:ascii="Times New Roman" w:hAnsi="Times New Roman" w:eastAsia="宋体" w:cs="Times New Roman"/>
      <w:szCs w:val="24"/>
    </w:rPr>
  </w:style>
  <w:style w:type="character" w:customStyle="1" w:styleId="54">
    <w:name w:val="文档结构图 字符"/>
    <w:basedOn w:val="30"/>
    <w:link w:val="8"/>
    <w:semiHidden/>
    <w:qFormat/>
    <w:uiPriority w:val="99"/>
    <w:rPr>
      <w:rFonts w:ascii="宋体" w:hAnsi="Times New Roman" w:eastAsia="宋体"/>
      <w:sz w:val="18"/>
      <w:szCs w:val="18"/>
    </w:rPr>
  </w:style>
  <w:style w:type="character" w:customStyle="1" w:styleId="55">
    <w:name w:val="占位符文本1"/>
    <w:basedOn w:val="30"/>
    <w:semiHidden/>
    <w:qFormat/>
    <w:uiPriority w:val="99"/>
    <w:rPr>
      <w:color w:val="808080"/>
    </w:rPr>
  </w:style>
  <w:style w:type="character" w:customStyle="1" w:styleId="56">
    <w:name w:val="正文文本缩进 字符"/>
    <w:basedOn w:val="30"/>
    <w:link w:val="11"/>
    <w:qFormat/>
    <w:uiPriority w:val="0"/>
    <w:rPr>
      <w:rFonts w:ascii="Times New Roman" w:hAnsi="Times New Roman" w:eastAsia="宋体" w:cs="Times New Roman"/>
      <w:szCs w:val="24"/>
    </w:rPr>
  </w:style>
  <w:style w:type="character" w:customStyle="1" w:styleId="57">
    <w:name w:val="日期 字符"/>
    <w:basedOn w:val="30"/>
    <w:link w:val="14"/>
    <w:qFormat/>
    <w:uiPriority w:val="0"/>
    <w:rPr>
      <w:rFonts w:ascii="宋体" w:hAnsi="Times New Roman" w:eastAsia="宋体" w:cs="Times New Roman"/>
      <w:sz w:val="24"/>
      <w:szCs w:val="20"/>
    </w:rPr>
  </w:style>
  <w:style w:type="paragraph" w:customStyle="1" w:styleId="58">
    <w:name w:val="－列表2"/>
    <w:basedOn w:val="1"/>
    <w:qFormat/>
    <w:uiPriority w:val="0"/>
    <w:pPr>
      <w:numPr>
        <w:ilvl w:val="2"/>
        <w:numId w:val="1"/>
      </w:numPr>
      <w:tabs>
        <w:tab w:val="clear" w:pos="2126"/>
      </w:tabs>
      <w:spacing w:line="240" w:lineRule="auto"/>
      <w:ind w:left="0" w:firstLineChars="0"/>
      <w:jc w:val="center"/>
    </w:pPr>
    <w:rPr>
      <w:rFonts w:cs="Times New Roman"/>
      <w:sz w:val="21"/>
      <w:szCs w:val="21"/>
    </w:rPr>
  </w:style>
  <w:style w:type="paragraph" w:customStyle="1" w:styleId="59">
    <w:name w:val="+1. Char Char"/>
    <w:basedOn w:val="1"/>
    <w:qFormat/>
    <w:uiPriority w:val="0"/>
    <w:pPr>
      <w:numPr>
        <w:ilvl w:val="5"/>
        <w:numId w:val="1"/>
      </w:numPr>
      <w:ind w:firstLineChars="0"/>
    </w:pPr>
    <w:rPr>
      <w:rFonts w:cs="Times New Roman"/>
      <w:szCs w:val="28"/>
    </w:rPr>
  </w:style>
  <w:style w:type="paragraph" w:customStyle="1" w:styleId="60">
    <w:name w:val="正文文本 21"/>
    <w:basedOn w:val="1"/>
    <w:qFormat/>
    <w:uiPriority w:val="0"/>
    <w:pPr>
      <w:numPr>
        <w:ilvl w:val="3"/>
        <w:numId w:val="2"/>
      </w:numPr>
      <w:tabs>
        <w:tab w:val="left" w:pos="567"/>
      </w:tabs>
      <w:adjustRightInd w:val="0"/>
      <w:spacing w:line="410" w:lineRule="atLeast"/>
      <w:ind w:firstLineChars="0"/>
      <w:textAlignment w:val="baseline"/>
    </w:pPr>
    <w:rPr>
      <w:rFonts w:ascii="宋体" w:cs="Times New Roman"/>
      <w:kern w:val="0"/>
      <w:sz w:val="24"/>
      <w:szCs w:val="20"/>
    </w:rPr>
  </w:style>
  <w:style w:type="paragraph" w:customStyle="1" w:styleId="61">
    <w:name w:val="Char"/>
    <w:basedOn w:val="1"/>
    <w:qFormat/>
    <w:uiPriority w:val="0"/>
    <w:pPr>
      <w:spacing w:line="240" w:lineRule="auto"/>
      <w:ind w:firstLine="0" w:firstLineChars="0"/>
    </w:pPr>
    <w:rPr>
      <w:rFonts w:cs="Times New Roman"/>
      <w:sz w:val="21"/>
      <w:szCs w:val="24"/>
    </w:rPr>
  </w:style>
  <w:style w:type="paragraph" w:customStyle="1" w:styleId="62">
    <w:name w:val="图表文字居中"/>
    <w:basedOn w:val="1"/>
    <w:qFormat/>
    <w:uiPriority w:val="0"/>
    <w:pPr>
      <w:spacing w:line="240" w:lineRule="auto"/>
      <w:ind w:firstLine="0" w:firstLineChars="0"/>
      <w:jc w:val="center"/>
    </w:pPr>
    <w:rPr>
      <w:rFonts w:cs="Times New Roman"/>
      <w:sz w:val="21"/>
      <w:szCs w:val="20"/>
    </w:rPr>
  </w:style>
  <w:style w:type="character" w:customStyle="1" w:styleId="63">
    <w:name w:val="正文文本缩进 2 字符"/>
    <w:basedOn w:val="30"/>
    <w:link w:val="15"/>
    <w:semiHidden/>
    <w:qFormat/>
    <w:uiPriority w:val="99"/>
    <w:rPr>
      <w:rFonts w:ascii="Times New Roman" w:hAnsi="Times New Roman" w:eastAsia="宋体"/>
      <w:sz w:val="28"/>
    </w:rPr>
  </w:style>
  <w:style w:type="character" w:customStyle="1" w:styleId="64">
    <w:name w:val="正文文本 字符"/>
    <w:basedOn w:val="30"/>
    <w:link w:val="10"/>
    <w:qFormat/>
    <w:uiPriority w:val="0"/>
    <w:rPr>
      <w:rFonts w:ascii="Times New Roman" w:hAnsi="Times New Roman" w:eastAsia="宋体" w:cs="Times New Roman"/>
      <w:szCs w:val="24"/>
    </w:rPr>
  </w:style>
  <w:style w:type="paragraph" w:customStyle="1" w:styleId="65">
    <w:name w:val="p0"/>
    <w:basedOn w:val="1"/>
    <w:qFormat/>
    <w:uiPriority w:val="0"/>
    <w:pPr>
      <w:widowControl/>
      <w:spacing w:before="100" w:beforeAutospacing="1" w:after="100" w:afterAutospacing="1" w:line="245" w:lineRule="atLeast"/>
      <w:ind w:firstLine="0" w:firstLineChars="0"/>
      <w:jc w:val="left"/>
    </w:pPr>
    <w:rPr>
      <w:rFonts w:ascii="Tahoma" w:hAnsi="Tahoma" w:cs="Tahoma"/>
      <w:kern w:val="0"/>
      <w:sz w:val="24"/>
      <w:szCs w:val="24"/>
    </w:rPr>
  </w:style>
  <w:style w:type="character" w:customStyle="1" w:styleId="66">
    <w:name w:val="批注主题 字符"/>
    <w:basedOn w:val="53"/>
    <w:link w:val="26"/>
    <w:semiHidden/>
    <w:qFormat/>
    <w:uiPriority w:val="99"/>
    <w:rPr>
      <w:rFonts w:ascii="Times New Roman" w:hAnsi="Times New Roman" w:eastAsia="宋体" w:cs="Times New Roman"/>
      <w:b/>
      <w:bCs/>
      <w:sz w:val="28"/>
      <w:szCs w:val="24"/>
    </w:rPr>
  </w:style>
  <w:style w:type="paragraph" w:customStyle="1" w:styleId="67">
    <w:name w:val="列表段落1"/>
    <w:basedOn w:val="1"/>
    <w:qFormat/>
    <w:uiPriority w:val="34"/>
    <w:pPr>
      <w:ind w:firstLine="420"/>
    </w:pPr>
  </w:style>
  <w:style w:type="character" w:customStyle="1" w:styleId="68">
    <w:name w:val="li_正文 Char"/>
    <w:basedOn w:val="30"/>
    <w:link w:val="69"/>
    <w:qFormat/>
    <w:uiPriority w:val="0"/>
    <w:rPr>
      <w:rFonts w:eastAsia="宋体"/>
      <w:sz w:val="28"/>
      <w:szCs w:val="28"/>
    </w:rPr>
  </w:style>
  <w:style w:type="paragraph" w:customStyle="1" w:styleId="69">
    <w:name w:val="li_正文"/>
    <w:basedOn w:val="1"/>
    <w:link w:val="68"/>
    <w:qFormat/>
    <w:uiPriority w:val="0"/>
    <w:pPr>
      <w:spacing w:line="240" w:lineRule="auto"/>
      <w:ind w:firstLine="560"/>
      <w:jc w:val="left"/>
    </w:pPr>
    <w:rPr>
      <w:rFonts w:asciiTheme="minorHAnsi" w:hAnsiTheme="minorHAnsi"/>
      <w:szCs w:val="28"/>
    </w:rPr>
  </w:style>
  <w:style w:type="paragraph" w:customStyle="1" w:styleId="70">
    <w:name w:val="无间隔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71">
    <w:name w:val="内容"/>
    <w:basedOn w:val="1"/>
    <w:qFormat/>
    <w:uiPriority w:val="0"/>
    <w:pPr>
      <w:adjustRightInd w:val="0"/>
      <w:snapToGrid w:val="0"/>
      <w:ind w:left="280" w:leftChars="100" w:right="280" w:rightChars="100" w:firstLine="560"/>
      <w:jc w:val="left"/>
    </w:pPr>
    <w:rPr>
      <w:rFonts w:cs="Times New Roman"/>
      <w:szCs w:val="21"/>
    </w:rPr>
  </w:style>
  <w:style w:type="character" w:customStyle="1" w:styleId="72">
    <w:name w:val="编号1) Char Char"/>
    <w:basedOn w:val="30"/>
    <w:link w:val="73"/>
    <w:qFormat/>
    <w:uiPriority w:val="0"/>
    <w:rPr>
      <w:rFonts w:eastAsia="楷体_GB2312"/>
      <w:sz w:val="28"/>
      <w:szCs w:val="28"/>
    </w:rPr>
  </w:style>
  <w:style w:type="paragraph" w:customStyle="1" w:styleId="73">
    <w:name w:val="编号1)"/>
    <w:basedOn w:val="1"/>
    <w:link w:val="72"/>
    <w:qFormat/>
    <w:uiPriority w:val="0"/>
    <w:pPr>
      <w:tabs>
        <w:tab w:val="left" w:pos="1077"/>
      </w:tabs>
      <w:adjustRightInd w:val="0"/>
      <w:snapToGrid w:val="0"/>
      <w:ind w:firstLine="851" w:firstLineChars="0"/>
    </w:pPr>
    <w:rPr>
      <w:rFonts w:eastAsia="楷体_GB2312" w:asciiTheme="minorHAnsi" w:hAnsiTheme="minorHAnsi"/>
      <w:szCs w:val="28"/>
    </w:rPr>
  </w:style>
  <w:style w:type="character" w:customStyle="1" w:styleId="74">
    <w:name w:val="+正文 Char"/>
    <w:link w:val="44"/>
    <w:qFormat/>
    <w:uiPriority w:val="0"/>
    <w:rPr>
      <w:rFonts w:ascii="Times New Roman" w:hAnsi="Times New Roman" w:eastAsia="宋体" w:cs="Times New Roman"/>
      <w:sz w:val="24"/>
      <w:szCs w:val="28"/>
    </w:rPr>
  </w:style>
  <w:style w:type="paragraph" w:customStyle="1" w:styleId="75">
    <w:name w:val="主标题 样式 小一 加粗 居中(SL CON)"/>
    <w:basedOn w:val="1"/>
    <w:qFormat/>
    <w:uiPriority w:val="0"/>
    <w:pPr>
      <w:tabs>
        <w:tab w:val="left" w:pos="377"/>
      </w:tabs>
      <w:jc w:val="center"/>
    </w:pPr>
    <w:rPr>
      <w:rFonts w:cs="宋体"/>
      <w:b/>
      <w:bCs/>
      <w:sz w:val="48"/>
      <w:szCs w:val="20"/>
    </w:rPr>
  </w:style>
  <w:style w:type="paragraph" w:customStyle="1" w:styleId="76">
    <w:name w:val="正文 首行缩进:  2 字符 SL CON"/>
    <w:basedOn w:val="1"/>
    <w:qFormat/>
    <w:uiPriority w:val="0"/>
    <w:pPr>
      <w:tabs>
        <w:tab w:val="left" w:pos="377"/>
      </w:tabs>
    </w:pPr>
    <w:rPr>
      <w:rFonts w:cs="宋体"/>
    </w:rPr>
  </w:style>
  <w:style w:type="paragraph" w:customStyle="1" w:styleId="77">
    <w:name w:val="表内文字 样式 五号 居中 行距: 单倍行距 SL CON"/>
    <w:basedOn w:val="1"/>
    <w:qFormat/>
    <w:uiPriority w:val="0"/>
    <w:pPr>
      <w:tabs>
        <w:tab w:val="left" w:pos="377"/>
      </w:tabs>
      <w:spacing w:line="240" w:lineRule="auto"/>
      <w:jc w:val="center"/>
    </w:pPr>
    <w:rPr>
      <w:rFonts w:cs="宋体"/>
      <w:sz w:val="21"/>
      <w:szCs w:val="21"/>
    </w:rPr>
  </w:style>
  <w:style w:type="character" w:customStyle="1" w:styleId="78">
    <w:name w:val="zw1"/>
    <w:basedOn w:val="30"/>
    <w:qFormat/>
    <w:uiPriority w:val="0"/>
    <w:rPr>
      <w:rFonts w:hint="eastAsia" w:ascii="宋体" w:hAnsi="宋体" w:eastAsia="宋体"/>
      <w:sz w:val="22"/>
      <w:szCs w:val="22"/>
    </w:rPr>
  </w:style>
  <w:style w:type="character" w:customStyle="1" w:styleId="79">
    <w:name w:val="font11"/>
    <w:basedOn w:val="30"/>
    <w:qFormat/>
    <w:uiPriority w:val="0"/>
    <w:rPr>
      <w:rFonts w:hint="default" w:ascii="Tahoma" w:hAnsi="Tahoma" w:eastAsia="Tahoma" w:cs="Tahoma"/>
      <w:color w:val="000000"/>
      <w:sz w:val="22"/>
      <w:szCs w:val="22"/>
      <w:u w:val="none"/>
    </w:rPr>
  </w:style>
  <w:style w:type="character" w:customStyle="1" w:styleId="80">
    <w:name w:val="font01"/>
    <w:basedOn w:val="30"/>
    <w:qFormat/>
    <w:uiPriority w:val="0"/>
    <w:rPr>
      <w:rFonts w:hint="eastAsia" w:ascii="宋体" w:hAnsi="宋体" w:eastAsia="宋体" w:cs="宋体"/>
      <w:color w:val="000000"/>
      <w:sz w:val="22"/>
      <w:szCs w:val="22"/>
      <w:u w:val="none"/>
    </w:rPr>
  </w:style>
  <w:style w:type="paragraph" w:customStyle="1" w:styleId="81">
    <w:name w:val="列出段落2"/>
    <w:basedOn w:val="1"/>
    <w:unhideWhenUsed/>
    <w:qFormat/>
    <w:uiPriority w:val="99"/>
    <w:pPr>
      <w:ind w:firstLine="420"/>
    </w:pPr>
  </w:style>
  <w:style w:type="table" w:customStyle="1" w:styleId="82">
    <w:name w:val="网格型11"/>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
    <w:name w:val="啊正文"/>
    <w:basedOn w:val="1"/>
    <w:qFormat/>
    <w:uiPriority w:val="0"/>
    <w:pPr>
      <w:adjustRightInd w:val="0"/>
      <w:snapToGrid w:val="0"/>
      <w:ind w:firstLine="560"/>
    </w:pPr>
    <w:rPr>
      <w:color w:val="000000"/>
      <w:szCs w:val="28"/>
    </w:rPr>
  </w:style>
  <w:style w:type="paragraph" w:customStyle="1" w:styleId="84">
    <w:name w:val="表头"/>
    <w:basedOn w:val="1"/>
    <w:next w:val="85"/>
    <w:qFormat/>
    <w:uiPriority w:val="0"/>
    <w:pPr>
      <w:adjustRightInd w:val="0"/>
      <w:snapToGrid w:val="0"/>
      <w:jc w:val="center"/>
    </w:pPr>
    <w:rPr>
      <w:sz w:val="21"/>
      <w:szCs w:val="21"/>
    </w:rPr>
  </w:style>
  <w:style w:type="paragraph" w:customStyle="1" w:styleId="85">
    <w:name w:val="表内式样"/>
    <w:qFormat/>
    <w:uiPriority w:val="0"/>
    <w:pPr>
      <w:framePr w:hSpace="180" w:wrap="around" w:vAnchor="text" w:hAnchor="margin" w:xAlign="center" w:y="403"/>
      <w:widowControl w:val="0"/>
      <w:snapToGrid w:val="0"/>
      <w:jc w:val="center"/>
    </w:pPr>
    <w:rPr>
      <w:rFonts w:ascii="Times New Roman" w:hAnsi="Times New Roman" w:eastAsia="宋体" w:cs="Times New Roman"/>
      <w:color w:val="000000"/>
      <w:kern w:val="2"/>
      <w:sz w:val="21"/>
      <w:lang w:val="en-US" w:eastAsia="zh-CN" w:bidi="ar-SA"/>
    </w:rPr>
  </w:style>
  <w:style w:type="paragraph" w:customStyle="1" w:styleId="86">
    <w:name w:val="正文啊啊"/>
    <w:basedOn w:val="1"/>
    <w:qFormat/>
    <w:uiPriority w:val="0"/>
    <w:pPr>
      <w:adjustRightInd w:val="0"/>
      <w:snapToGrid w:val="0"/>
      <w:ind w:firstLine="560"/>
    </w:pPr>
    <w:rPr>
      <w:color w:val="000000"/>
      <w:szCs w:val="28"/>
    </w:rPr>
  </w:style>
  <w:style w:type="paragraph" w:customStyle="1" w:styleId="87">
    <w:name w:val="Table Paragraph"/>
    <w:basedOn w:val="1"/>
    <w:qFormat/>
    <w:uiPriority w:val="1"/>
    <w:rPr>
      <w:rFonts w:ascii="宋体" w:hAnsi="宋体" w:cs="宋体"/>
      <w:lang w:val="zh-CN" w:bidi="zh-CN"/>
    </w:rPr>
  </w:style>
  <w:style w:type="paragraph" w:customStyle="1" w:styleId="88">
    <w:name w:val="正文文本2"/>
    <w:basedOn w:val="1"/>
    <w:unhideWhenUsed/>
    <w:qFormat/>
    <w:uiPriority w:val="99"/>
    <w:rPr>
      <w:rFonts w:hint="eastAsia"/>
      <w:sz w:val="24"/>
    </w:rPr>
  </w:style>
  <w:style w:type="paragraph" w:customStyle="1" w:styleId="89">
    <w:name w:val="_Style 1"/>
    <w:basedOn w:val="1"/>
    <w:qFormat/>
    <w:uiPriority w:val="0"/>
    <w:pPr>
      <w:ind w:firstLine="420" w:firstLineChars="200"/>
    </w:pPr>
    <w:rPr>
      <w:szCs w:val="24"/>
    </w:rPr>
  </w:style>
  <w:style w:type="paragraph" w:styleId="90">
    <w:name w:val="List Paragraph"/>
    <w:basedOn w:val="1"/>
    <w:qFormat/>
    <w:uiPriority w:val="0"/>
    <w:pPr>
      <w:ind w:firstLine="420" w:firstLineChars="200"/>
    </w:pPr>
    <w:rPr>
      <w:szCs w:val="24"/>
    </w:rPr>
  </w:style>
  <w:style w:type="paragraph" w:customStyle="1" w:styleId="91">
    <w:name w:val="正文文本缩进 2 New"/>
    <w:basedOn w:val="1"/>
    <w:qFormat/>
    <w:uiPriority w:val="0"/>
    <w:pPr>
      <w:ind w:firstLine="560" w:firstLineChars="200"/>
    </w:pPr>
    <w:rPr>
      <w:rFonts w:ascii="宋体" w:hAnsi="宋体"/>
      <w:sz w:val="28"/>
    </w:rPr>
  </w:style>
  <w:style w:type="paragraph" w:customStyle="1" w:styleId="92">
    <w:name w:val="样式 正文 首行缩进:  2 字符 SL CON + 首行缩进:  2 字符 + 首行缩进:  2 字符 + 首行缩..."/>
    <w:basedOn w:val="1"/>
    <w:qFormat/>
    <w:uiPriority w:val="0"/>
    <w:pPr>
      <w:widowControl/>
      <w:tabs>
        <w:tab w:val="left" w:pos="377"/>
      </w:tabs>
      <w:spacing w:line="360" w:lineRule="auto"/>
      <w:ind w:firstLine="560" w:firstLineChars="200"/>
    </w:pPr>
    <w:rPr>
      <w:rFonts w:ascii="宋体" w:hAnsi="宋体" w:cs="宋体"/>
      <w:color w:val="000000"/>
      <w:kern w:val="0"/>
      <w:sz w:val="28"/>
      <w:szCs w:val="20"/>
    </w:rPr>
  </w:style>
  <w:style w:type="character" w:customStyle="1" w:styleId="93">
    <w:name w:val="bt_content1"/>
    <w:qFormat/>
    <w:uiPriority w:val="0"/>
    <w:rPr>
      <w:sz w:val="21"/>
      <w:szCs w:val="21"/>
      <w:u w:val="none"/>
    </w:rPr>
  </w:style>
  <w:style w:type="paragraph" w:customStyle="1" w:styleId="94">
    <w:name w:val="111"/>
    <w:basedOn w:val="1"/>
    <w:qFormat/>
    <w:uiPriority w:val="0"/>
    <w:pPr>
      <w:adjustRightInd w:val="0"/>
      <w:spacing w:line="480" w:lineRule="exact"/>
      <w:ind w:left="-54" w:leftChars="-21" w:firstLine="200" w:firstLineChars="200"/>
      <w:jc w:val="left"/>
    </w:pPr>
    <w:rPr>
      <w:rFonts w:eastAsia="仿宋_GB2312"/>
      <w:b/>
      <w:snapToGrid w:val="0"/>
      <w:color w:val="000000"/>
      <w:spacing w:val="8"/>
      <w:kern w:val="0"/>
      <w:sz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49AB2F-B91D-4D20-BBE8-D775803E3EB0}">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110</Pages>
  <Words>65474</Words>
  <Characters>71156</Characters>
  <Lines>600</Lines>
  <Paragraphs>168</Paragraphs>
  <TotalTime>12</TotalTime>
  <ScaleCrop>false</ScaleCrop>
  <LinksUpToDate>false</LinksUpToDate>
  <CharactersWithSpaces>76341</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2012-10-22T02:31:00Z</dcterms:created>
  <dc:creator>连利燕</dc:creator>
  <cp:lastModifiedBy>Administrator</cp:lastModifiedBy>
  <cp:lastPrinted>2020-11-30T05:34:00Z</cp:lastPrinted>
  <dcterms:modified xsi:type="dcterms:W3CDTF">2021-04-26T06:00:43Z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96060A28FBD148148844CE869B3A9512</vt:lpwstr>
  </property>
</Properties>
</file>