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3.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123901" w14:textId="77777777" w:rsidR="002D2AF8" w:rsidRDefault="002D2AF8">
      <w:pPr>
        <w:adjustRightInd w:val="0"/>
        <w:snapToGrid w:val="0"/>
        <w:spacing w:line="360" w:lineRule="auto"/>
        <w:rPr>
          <w:color w:val="000000" w:themeColor="text1"/>
        </w:rPr>
      </w:pPr>
    </w:p>
    <w:p w14:paraId="1221C8D6" w14:textId="77777777" w:rsidR="002D2AF8" w:rsidRDefault="002D2AF8">
      <w:pPr>
        <w:pStyle w:val="li"/>
        <w:ind w:firstLine="566"/>
        <w:rPr>
          <w:color w:val="000000" w:themeColor="text1"/>
        </w:rPr>
      </w:pPr>
    </w:p>
    <w:p w14:paraId="35227BC1" w14:textId="77777777" w:rsidR="002D2AF8" w:rsidRDefault="002D2AF8">
      <w:pPr>
        <w:pStyle w:val="li"/>
        <w:ind w:firstLine="566"/>
        <w:rPr>
          <w:color w:val="000000" w:themeColor="text1"/>
        </w:rPr>
      </w:pPr>
    </w:p>
    <w:p w14:paraId="06F275EE" w14:textId="77777777" w:rsidR="002D2AF8" w:rsidRDefault="002D2AF8">
      <w:pPr>
        <w:pStyle w:val="li"/>
        <w:ind w:firstLine="566"/>
        <w:rPr>
          <w:color w:val="000000" w:themeColor="text1"/>
        </w:rPr>
      </w:pPr>
    </w:p>
    <w:p w14:paraId="1EA2E4A2" w14:textId="77777777" w:rsidR="002D2AF8" w:rsidRDefault="00000000">
      <w:pPr>
        <w:pStyle w:val="af1"/>
        <w:snapToGrid w:val="0"/>
        <w:ind w:leftChars="-202" w:left="-430" w:rightChars="-230" w:right="-489"/>
        <w:jc w:val="center"/>
        <w:textAlignment w:val="auto"/>
        <w:rPr>
          <w:rFonts w:ascii="Times New Roman"/>
          <w:b/>
          <w:color w:val="000000" w:themeColor="text1"/>
          <w:spacing w:val="0"/>
          <w:kern w:val="2"/>
          <w:sz w:val="44"/>
          <w:szCs w:val="44"/>
        </w:rPr>
      </w:pPr>
      <w:r>
        <w:rPr>
          <w:rFonts w:ascii="Times New Roman" w:hint="eastAsia"/>
          <w:b/>
          <w:color w:val="000000" w:themeColor="text1"/>
          <w:spacing w:val="0"/>
          <w:kern w:val="2"/>
          <w:sz w:val="44"/>
          <w:szCs w:val="44"/>
        </w:rPr>
        <w:t>胜利油田胜兴堵驱新技术开发有限责任公司</w:t>
      </w:r>
    </w:p>
    <w:p w14:paraId="6A29E507" w14:textId="77777777" w:rsidR="002D2AF8" w:rsidRDefault="00000000">
      <w:pPr>
        <w:adjustRightInd w:val="0"/>
        <w:snapToGrid w:val="0"/>
        <w:spacing w:line="360" w:lineRule="auto"/>
        <w:jc w:val="center"/>
        <w:rPr>
          <w:b/>
          <w:color w:val="000000" w:themeColor="text1"/>
          <w:sz w:val="44"/>
          <w:szCs w:val="44"/>
        </w:rPr>
      </w:pPr>
      <w:r>
        <w:rPr>
          <w:b/>
          <w:color w:val="000000" w:themeColor="text1"/>
          <w:sz w:val="44"/>
          <w:szCs w:val="44"/>
        </w:rPr>
        <w:t>井下作业项目</w:t>
      </w:r>
    </w:p>
    <w:p w14:paraId="64443700" w14:textId="77777777" w:rsidR="002D2AF8" w:rsidRDefault="002D2AF8">
      <w:pPr>
        <w:pStyle w:val="li"/>
        <w:ind w:firstLine="566"/>
        <w:rPr>
          <w:color w:val="000000" w:themeColor="text1"/>
        </w:rPr>
      </w:pPr>
    </w:p>
    <w:p w14:paraId="27FEE5B3" w14:textId="77777777" w:rsidR="002D2AF8" w:rsidRDefault="00000000">
      <w:pPr>
        <w:adjustRightInd w:val="0"/>
        <w:snapToGrid w:val="0"/>
        <w:spacing w:line="360" w:lineRule="auto"/>
        <w:jc w:val="center"/>
        <w:rPr>
          <w:rFonts w:eastAsia="黑体"/>
          <w:b/>
          <w:bCs/>
          <w:color w:val="000000" w:themeColor="text1"/>
          <w:spacing w:val="11"/>
          <w:sz w:val="52"/>
          <w:szCs w:val="52"/>
        </w:rPr>
      </w:pPr>
      <w:r>
        <w:rPr>
          <w:rFonts w:eastAsia="黑体"/>
          <w:b/>
          <w:bCs/>
          <w:color w:val="000000" w:themeColor="text1"/>
          <w:spacing w:val="11"/>
          <w:sz w:val="52"/>
          <w:szCs w:val="52"/>
        </w:rPr>
        <w:t>安全现状评价报告</w:t>
      </w:r>
    </w:p>
    <w:p w14:paraId="78BED0AD" w14:textId="77777777" w:rsidR="002D2AF8" w:rsidRDefault="002D2AF8">
      <w:pPr>
        <w:adjustRightInd w:val="0"/>
        <w:snapToGrid w:val="0"/>
        <w:spacing w:line="360" w:lineRule="auto"/>
        <w:jc w:val="center"/>
        <w:rPr>
          <w:rFonts w:eastAsia="仿宋_GB2312"/>
          <w:b/>
          <w:bCs/>
          <w:color w:val="000000" w:themeColor="text1"/>
          <w:kern w:val="0"/>
          <w:sz w:val="52"/>
        </w:rPr>
      </w:pPr>
    </w:p>
    <w:p w14:paraId="4B587615" w14:textId="77777777" w:rsidR="002D2AF8" w:rsidRDefault="002D2AF8">
      <w:pPr>
        <w:adjustRightInd w:val="0"/>
        <w:snapToGrid w:val="0"/>
        <w:spacing w:line="360" w:lineRule="auto"/>
        <w:ind w:firstLineChars="200" w:firstLine="648"/>
        <w:rPr>
          <w:rFonts w:eastAsia="仿宋_GB2312"/>
          <w:b/>
          <w:bCs/>
          <w:color w:val="000000" w:themeColor="text1"/>
          <w:kern w:val="0"/>
          <w:sz w:val="32"/>
        </w:rPr>
      </w:pPr>
    </w:p>
    <w:p w14:paraId="1BB6D993" w14:textId="77777777" w:rsidR="002D2AF8" w:rsidRDefault="002D2AF8">
      <w:pPr>
        <w:adjustRightInd w:val="0"/>
        <w:snapToGrid w:val="0"/>
        <w:spacing w:line="360" w:lineRule="auto"/>
        <w:ind w:firstLineChars="200" w:firstLine="648"/>
        <w:rPr>
          <w:rFonts w:eastAsia="仿宋_GB2312"/>
          <w:b/>
          <w:bCs/>
          <w:color w:val="000000" w:themeColor="text1"/>
          <w:kern w:val="0"/>
          <w:sz w:val="32"/>
        </w:rPr>
      </w:pPr>
    </w:p>
    <w:p w14:paraId="50C59CFD" w14:textId="77777777" w:rsidR="002D2AF8" w:rsidRDefault="002D2AF8">
      <w:pPr>
        <w:adjustRightInd w:val="0"/>
        <w:snapToGrid w:val="0"/>
        <w:spacing w:line="360" w:lineRule="auto"/>
        <w:ind w:firstLineChars="200" w:firstLine="648"/>
        <w:rPr>
          <w:rFonts w:eastAsia="仿宋_GB2312"/>
          <w:b/>
          <w:bCs/>
          <w:color w:val="000000" w:themeColor="text1"/>
          <w:kern w:val="0"/>
          <w:sz w:val="32"/>
        </w:rPr>
      </w:pPr>
    </w:p>
    <w:p w14:paraId="482485C7" w14:textId="77777777" w:rsidR="002D2AF8" w:rsidRDefault="002D2AF8">
      <w:pPr>
        <w:pStyle w:val="li"/>
        <w:ind w:firstLine="648"/>
        <w:rPr>
          <w:rFonts w:eastAsia="仿宋_GB2312"/>
          <w:b/>
          <w:bCs/>
          <w:color w:val="000000" w:themeColor="text1"/>
          <w:kern w:val="0"/>
          <w:sz w:val="32"/>
        </w:rPr>
      </w:pPr>
    </w:p>
    <w:p w14:paraId="3C2D0467" w14:textId="77777777" w:rsidR="002D2AF8" w:rsidRDefault="002D2AF8">
      <w:pPr>
        <w:pStyle w:val="li"/>
        <w:ind w:firstLine="648"/>
        <w:rPr>
          <w:rFonts w:eastAsia="仿宋_GB2312"/>
          <w:b/>
          <w:bCs/>
          <w:color w:val="000000" w:themeColor="text1"/>
          <w:kern w:val="0"/>
          <w:sz w:val="32"/>
        </w:rPr>
      </w:pPr>
    </w:p>
    <w:p w14:paraId="260EA67B" w14:textId="77777777" w:rsidR="002D2AF8" w:rsidRDefault="002D2AF8">
      <w:pPr>
        <w:pStyle w:val="li"/>
        <w:ind w:firstLine="648"/>
        <w:rPr>
          <w:rFonts w:eastAsia="仿宋_GB2312"/>
          <w:b/>
          <w:bCs/>
          <w:color w:val="000000" w:themeColor="text1"/>
          <w:kern w:val="0"/>
          <w:sz w:val="32"/>
        </w:rPr>
      </w:pPr>
    </w:p>
    <w:p w14:paraId="1B1585F7" w14:textId="77777777" w:rsidR="002D2AF8" w:rsidRDefault="002D2AF8">
      <w:pPr>
        <w:pStyle w:val="li"/>
        <w:ind w:firstLine="648"/>
        <w:rPr>
          <w:rFonts w:eastAsia="仿宋_GB2312"/>
          <w:b/>
          <w:bCs/>
          <w:color w:val="000000" w:themeColor="text1"/>
          <w:kern w:val="0"/>
          <w:sz w:val="32"/>
        </w:rPr>
      </w:pPr>
    </w:p>
    <w:p w14:paraId="23C120EF" w14:textId="77777777" w:rsidR="002D2AF8" w:rsidRDefault="00000000">
      <w:pPr>
        <w:adjustRightInd w:val="0"/>
        <w:snapToGrid w:val="0"/>
        <w:spacing w:line="312" w:lineRule="auto"/>
        <w:jc w:val="center"/>
        <w:rPr>
          <w:rFonts w:eastAsia="仿宋_GB2312"/>
          <w:b/>
          <w:bCs/>
          <w:color w:val="000000" w:themeColor="text1"/>
          <w:kern w:val="0"/>
          <w:sz w:val="44"/>
        </w:rPr>
      </w:pPr>
      <w:r>
        <w:rPr>
          <w:rFonts w:eastAsia="仿宋_GB2312"/>
          <w:b/>
          <w:bCs/>
          <w:color w:val="000000" w:themeColor="text1"/>
          <w:kern w:val="0"/>
          <w:sz w:val="44"/>
        </w:rPr>
        <w:t>山东实华安全技术有限公司</w:t>
      </w:r>
    </w:p>
    <w:p w14:paraId="43194040" w14:textId="77777777" w:rsidR="002D2AF8" w:rsidRDefault="00000000">
      <w:pPr>
        <w:adjustRightInd w:val="0"/>
        <w:snapToGrid w:val="0"/>
        <w:spacing w:line="312" w:lineRule="auto"/>
        <w:jc w:val="center"/>
        <w:rPr>
          <w:rFonts w:eastAsia="仿宋_GB2312"/>
          <w:b/>
          <w:bCs/>
          <w:color w:val="000000" w:themeColor="text1"/>
          <w:kern w:val="0"/>
          <w:sz w:val="36"/>
          <w:szCs w:val="28"/>
        </w:rPr>
      </w:pPr>
      <w:r>
        <w:rPr>
          <w:rFonts w:eastAsia="仿宋_GB2312"/>
          <w:b/>
          <w:bCs/>
          <w:color w:val="000000" w:themeColor="text1"/>
          <w:kern w:val="0"/>
          <w:sz w:val="36"/>
          <w:szCs w:val="36"/>
        </w:rPr>
        <w:t>APJ-</w:t>
      </w:r>
      <w:r>
        <w:rPr>
          <w:rFonts w:eastAsia="仿宋_GB2312"/>
          <w:b/>
          <w:bCs/>
          <w:color w:val="000000" w:themeColor="text1"/>
          <w:kern w:val="0"/>
          <w:sz w:val="36"/>
          <w:szCs w:val="36"/>
        </w:rPr>
        <w:t>（鲁）</w:t>
      </w:r>
      <w:r>
        <w:rPr>
          <w:rFonts w:eastAsia="仿宋_GB2312"/>
          <w:b/>
          <w:bCs/>
          <w:color w:val="000000" w:themeColor="text1"/>
          <w:kern w:val="0"/>
          <w:sz w:val="36"/>
          <w:szCs w:val="36"/>
        </w:rPr>
        <w:t>-013</w:t>
      </w:r>
    </w:p>
    <w:p w14:paraId="3AC29F68" w14:textId="77777777" w:rsidR="002D2AF8" w:rsidRDefault="00000000">
      <w:pPr>
        <w:adjustRightInd w:val="0"/>
        <w:snapToGrid w:val="0"/>
        <w:spacing w:line="312" w:lineRule="auto"/>
        <w:jc w:val="center"/>
        <w:rPr>
          <w:rFonts w:eastAsia="仿宋_GB2312"/>
          <w:b/>
          <w:bCs/>
          <w:color w:val="000000" w:themeColor="text1"/>
          <w:kern w:val="0"/>
          <w:sz w:val="36"/>
          <w:szCs w:val="28"/>
        </w:rPr>
      </w:pPr>
      <w:r>
        <w:rPr>
          <w:rFonts w:eastAsia="仿宋_GB2312"/>
          <w:b/>
          <w:bCs/>
          <w:color w:val="000000" w:themeColor="text1"/>
          <w:kern w:val="0"/>
          <w:sz w:val="36"/>
          <w:szCs w:val="28"/>
        </w:rPr>
        <w:t>二〇二二年</w:t>
      </w:r>
      <w:r>
        <w:rPr>
          <w:rFonts w:eastAsia="仿宋_GB2312" w:hint="eastAsia"/>
          <w:b/>
          <w:bCs/>
          <w:color w:val="000000" w:themeColor="text1"/>
          <w:kern w:val="0"/>
          <w:sz w:val="36"/>
          <w:szCs w:val="28"/>
        </w:rPr>
        <w:t>十一</w:t>
      </w:r>
      <w:r>
        <w:rPr>
          <w:rFonts w:eastAsia="仿宋_GB2312"/>
          <w:b/>
          <w:bCs/>
          <w:color w:val="000000" w:themeColor="text1"/>
          <w:kern w:val="0"/>
          <w:sz w:val="36"/>
          <w:szCs w:val="28"/>
        </w:rPr>
        <w:t>月</w:t>
      </w:r>
    </w:p>
    <w:p w14:paraId="576A2F8C" w14:textId="77777777" w:rsidR="002D2AF8" w:rsidRDefault="002D2AF8">
      <w:pPr>
        <w:adjustRightInd w:val="0"/>
        <w:snapToGrid w:val="0"/>
        <w:spacing w:line="360" w:lineRule="auto"/>
        <w:jc w:val="center"/>
        <w:rPr>
          <w:b/>
          <w:bCs/>
          <w:color w:val="000000" w:themeColor="text1"/>
          <w:kern w:val="0"/>
          <w:sz w:val="32"/>
        </w:rPr>
      </w:pPr>
    </w:p>
    <w:p w14:paraId="1FAEF4BD" w14:textId="77777777" w:rsidR="002D2AF8" w:rsidRDefault="002D2AF8">
      <w:pPr>
        <w:adjustRightInd w:val="0"/>
        <w:snapToGrid w:val="0"/>
        <w:spacing w:line="360" w:lineRule="auto"/>
        <w:jc w:val="center"/>
        <w:rPr>
          <w:b/>
          <w:bCs/>
          <w:color w:val="000000" w:themeColor="text1"/>
          <w:kern w:val="0"/>
          <w:sz w:val="32"/>
        </w:rPr>
        <w:sectPr w:rsidR="002D2AF8">
          <w:headerReference w:type="even" r:id="rId9"/>
          <w:footerReference w:type="even" r:id="rId10"/>
          <w:headerReference w:type="first" r:id="rId11"/>
          <w:footerReference w:type="first" r:id="rId12"/>
          <w:pgSz w:w="11906" w:h="16838"/>
          <w:pgMar w:top="1440" w:right="1803" w:bottom="1440" w:left="1803" w:header="850" w:footer="992" w:gutter="0"/>
          <w:cols w:space="0"/>
          <w:docGrid w:type="linesAndChars" w:linePitch="325" w:charSpace="577"/>
        </w:sectPr>
      </w:pPr>
    </w:p>
    <w:p w14:paraId="15EFB933" w14:textId="77777777" w:rsidR="002D2AF8" w:rsidRDefault="00000000">
      <w:pPr>
        <w:rPr>
          <w:color w:val="000000" w:themeColor="text1"/>
          <w:spacing w:val="10"/>
          <w:sz w:val="28"/>
        </w:rPr>
      </w:pPr>
      <w:r>
        <w:rPr>
          <w:color w:val="000000" w:themeColor="text1"/>
          <w:spacing w:val="10"/>
          <w:sz w:val="28"/>
        </w:rPr>
        <w:lastRenderedPageBreak/>
        <w:br w:type="page"/>
      </w:r>
    </w:p>
    <w:p w14:paraId="28A09865" w14:textId="77777777" w:rsidR="002D2AF8" w:rsidRDefault="002D2AF8">
      <w:pPr>
        <w:pStyle w:val="li"/>
        <w:ind w:firstLine="566"/>
        <w:rPr>
          <w:color w:val="000000" w:themeColor="text1"/>
        </w:rPr>
      </w:pPr>
    </w:p>
    <w:p w14:paraId="34031D61" w14:textId="77777777" w:rsidR="002D2AF8" w:rsidRDefault="002D2AF8">
      <w:pPr>
        <w:adjustRightInd w:val="0"/>
        <w:snapToGrid w:val="0"/>
        <w:spacing w:line="360" w:lineRule="auto"/>
        <w:jc w:val="center"/>
        <w:rPr>
          <w:color w:val="000000" w:themeColor="text1"/>
          <w:spacing w:val="10"/>
          <w:sz w:val="28"/>
        </w:rPr>
      </w:pPr>
    </w:p>
    <w:p w14:paraId="768ADF09" w14:textId="77777777" w:rsidR="002D2AF8" w:rsidRDefault="002D2AF8">
      <w:pPr>
        <w:adjustRightInd w:val="0"/>
        <w:snapToGrid w:val="0"/>
        <w:spacing w:line="360" w:lineRule="auto"/>
        <w:jc w:val="center"/>
        <w:rPr>
          <w:color w:val="000000" w:themeColor="text1"/>
          <w:spacing w:val="10"/>
          <w:sz w:val="28"/>
        </w:rPr>
      </w:pPr>
    </w:p>
    <w:p w14:paraId="489B6371" w14:textId="77777777" w:rsidR="002D2AF8" w:rsidRDefault="002D2AF8">
      <w:pPr>
        <w:adjustRightInd w:val="0"/>
        <w:snapToGrid w:val="0"/>
        <w:spacing w:line="360" w:lineRule="auto"/>
        <w:jc w:val="center"/>
        <w:rPr>
          <w:color w:val="000000" w:themeColor="text1"/>
          <w:spacing w:val="10"/>
          <w:sz w:val="28"/>
        </w:rPr>
      </w:pPr>
    </w:p>
    <w:p w14:paraId="0C42B39B" w14:textId="77777777" w:rsidR="002D2AF8" w:rsidRDefault="002D2AF8">
      <w:pPr>
        <w:adjustRightInd w:val="0"/>
        <w:snapToGrid w:val="0"/>
        <w:spacing w:line="360" w:lineRule="auto"/>
        <w:jc w:val="center"/>
        <w:rPr>
          <w:color w:val="000000" w:themeColor="text1"/>
          <w:spacing w:val="10"/>
          <w:sz w:val="28"/>
        </w:rPr>
      </w:pPr>
    </w:p>
    <w:p w14:paraId="75F0F4B5" w14:textId="77777777" w:rsidR="002D2AF8" w:rsidRDefault="00000000">
      <w:pPr>
        <w:pStyle w:val="af1"/>
        <w:snapToGrid w:val="0"/>
        <w:jc w:val="center"/>
        <w:textAlignment w:val="auto"/>
        <w:rPr>
          <w:rFonts w:ascii="Times New Roman"/>
          <w:b/>
          <w:color w:val="000000" w:themeColor="text1"/>
          <w:spacing w:val="0"/>
          <w:kern w:val="2"/>
          <w:sz w:val="32"/>
          <w:szCs w:val="44"/>
        </w:rPr>
      </w:pPr>
      <w:r>
        <w:rPr>
          <w:rFonts w:ascii="Times New Roman" w:hint="eastAsia"/>
          <w:b/>
          <w:color w:val="000000" w:themeColor="text1"/>
          <w:spacing w:val="0"/>
          <w:kern w:val="2"/>
          <w:sz w:val="32"/>
          <w:szCs w:val="44"/>
        </w:rPr>
        <w:t>胜利油田胜兴堵驱新技术开发有限责任公司</w:t>
      </w:r>
    </w:p>
    <w:p w14:paraId="37E8B4D2" w14:textId="77777777" w:rsidR="002D2AF8" w:rsidRDefault="00000000">
      <w:pPr>
        <w:pStyle w:val="af1"/>
        <w:snapToGrid w:val="0"/>
        <w:jc w:val="center"/>
        <w:textAlignment w:val="auto"/>
        <w:rPr>
          <w:rFonts w:ascii="Times New Roman"/>
          <w:b/>
          <w:color w:val="000000" w:themeColor="text1"/>
          <w:spacing w:val="0"/>
          <w:kern w:val="2"/>
          <w:sz w:val="32"/>
          <w:szCs w:val="44"/>
        </w:rPr>
      </w:pPr>
      <w:r>
        <w:rPr>
          <w:rFonts w:ascii="Times New Roman"/>
          <w:b/>
          <w:color w:val="000000" w:themeColor="text1"/>
          <w:spacing w:val="0"/>
          <w:kern w:val="2"/>
          <w:sz w:val="32"/>
          <w:szCs w:val="44"/>
        </w:rPr>
        <w:t>井下作业项目</w:t>
      </w:r>
    </w:p>
    <w:p w14:paraId="756DB9DF" w14:textId="77777777" w:rsidR="002D2AF8" w:rsidRDefault="002D2AF8">
      <w:pPr>
        <w:rPr>
          <w:color w:val="000000" w:themeColor="text1"/>
        </w:rPr>
      </w:pPr>
    </w:p>
    <w:p w14:paraId="0D809B32" w14:textId="77777777" w:rsidR="002D2AF8" w:rsidRDefault="00000000">
      <w:pPr>
        <w:adjustRightInd w:val="0"/>
        <w:snapToGrid w:val="0"/>
        <w:spacing w:line="360" w:lineRule="auto"/>
        <w:jc w:val="center"/>
        <w:rPr>
          <w:b/>
          <w:bCs/>
          <w:color w:val="000000" w:themeColor="text1"/>
          <w:spacing w:val="60"/>
          <w:sz w:val="44"/>
          <w:szCs w:val="52"/>
        </w:rPr>
      </w:pPr>
      <w:r>
        <w:rPr>
          <w:b/>
          <w:bCs/>
          <w:color w:val="000000" w:themeColor="text1"/>
          <w:spacing w:val="60"/>
          <w:sz w:val="44"/>
          <w:szCs w:val="52"/>
        </w:rPr>
        <w:t>安全现状评价报告</w:t>
      </w:r>
    </w:p>
    <w:p w14:paraId="19CE9852" w14:textId="77777777" w:rsidR="002D2AF8" w:rsidRDefault="002D2AF8">
      <w:pPr>
        <w:adjustRightInd w:val="0"/>
        <w:snapToGrid w:val="0"/>
        <w:spacing w:line="360" w:lineRule="auto"/>
        <w:rPr>
          <w:rFonts w:eastAsia="黑体"/>
          <w:b/>
          <w:bCs/>
          <w:color w:val="000000" w:themeColor="text1"/>
          <w:spacing w:val="60"/>
          <w:sz w:val="32"/>
          <w:szCs w:val="32"/>
        </w:rPr>
      </w:pPr>
    </w:p>
    <w:p w14:paraId="25B63C63" w14:textId="77777777" w:rsidR="002D2AF8" w:rsidRDefault="002D2AF8">
      <w:pPr>
        <w:adjustRightInd w:val="0"/>
        <w:snapToGrid w:val="0"/>
        <w:spacing w:line="360" w:lineRule="auto"/>
        <w:rPr>
          <w:b/>
          <w:bCs/>
          <w:color w:val="000000" w:themeColor="text1"/>
          <w:sz w:val="13"/>
        </w:rPr>
      </w:pPr>
    </w:p>
    <w:p w14:paraId="5B375716" w14:textId="77777777" w:rsidR="002D2AF8" w:rsidRDefault="002D2AF8">
      <w:pPr>
        <w:adjustRightInd w:val="0"/>
        <w:snapToGrid w:val="0"/>
        <w:spacing w:line="360" w:lineRule="auto"/>
        <w:jc w:val="center"/>
        <w:rPr>
          <w:rFonts w:eastAsia="仿宋_GB2312"/>
          <w:b/>
          <w:bCs/>
          <w:color w:val="000000" w:themeColor="text1"/>
          <w:kern w:val="0"/>
          <w:sz w:val="28"/>
          <w:szCs w:val="28"/>
        </w:rPr>
      </w:pPr>
    </w:p>
    <w:p w14:paraId="7514DEE0" w14:textId="77777777" w:rsidR="002D2AF8" w:rsidRDefault="002D2AF8">
      <w:pPr>
        <w:adjustRightInd w:val="0"/>
        <w:snapToGrid w:val="0"/>
        <w:spacing w:line="360" w:lineRule="auto"/>
        <w:ind w:firstLineChars="200" w:firstLine="648"/>
        <w:rPr>
          <w:rFonts w:eastAsia="仿宋_GB2312"/>
          <w:b/>
          <w:bCs/>
          <w:color w:val="000000" w:themeColor="text1"/>
          <w:kern w:val="0"/>
          <w:sz w:val="32"/>
        </w:rPr>
      </w:pPr>
    </w:p>
    <w:p w14:paraId="3CB72931" w14:textId="77777777" w:rsidR="002D2AF8" w:rsidRDefault="002D2AF8">
      <w:pPr>
        <w:adjustRightInd w:val="0"/>
        <w:snapToGrid w:val="0"/>
        <w:spacing w:line="360" w:lineRule="auto"/>
        <w:ind w:firstLineChars="200" w:firstLine="648"/>
        <w:rPr>
          <w:rFonts w:eastAsia="仿宋_GB2312"/>
          <w:b/>
          <w:bCs/>
          <w:color w:val="000000" w:themeColor="text1"/>
          <w:kern w:val="0"/>
          <w:sz w:val="32"/>
        </w:rPr>
      </w:pPr>
    </w:p>
    <w:p w14:paraId="59B41357" w14:textId="77777777" w:rsidR="002D2AF8" w:rsidRDefault="002D2AF8">
      <w:pPr>
        <w:adjustRightInd w:val="0"/>
        <w:snapToGrid w:val="0"/>
        <w:spacing w:line="360" w:lineRule="auto"/>
        <w:ind w:firstLineChars="200" w:firstLine="648"/>
        <w:rPr>
          <w:rFonts w:eastAsia="仿宋_GB2312"/>
          <w:b/>
          <w:bCs/>
          <w:color w:val="000000" w:themeColor="text1"/>
          <w:kern w:val="0"/>
          <w:sz w:val="32"/>
        </w:rPr>
      </w:pPr>
    </w:p>
    <w:p w14:paraId="6C56E8F0" w14:textId="77777777" w:rsidR="002D2AF8" w:rsidRDefault="002D2AF8">
      <w:pPr>
        <w:adjustRightInd w:val="0"/>
        <w:snapToGrid w:val="0"/>
        <w:spacing w:line="360" w:lineRule="auto"/>
        <w:ind w:firstLineChars="200" w:firstLine="648"/>
        <w:rPr>
          <w:rFonts w:eastAsia="仿宋_GB2312"/>
          <w:b/>
          <w:bCs/>
          <w:color w:val="000000" w:themeColor="text1"/>
          <w:kern w:val="0"/>
          <w:sz w:val="32"/>
        </w:rPr>
      </w:pPr>
    </w:p>
    <w:p w14:paraId="5D333473" w14:textId="77777777" w:rsidR="002D2AF8" w:rsidRDefault="002D2AF8">
      <w:pPr>
        <w:adjustRightInd w:val="0"/>
        <w:snapToGrid w:val="0"/>
        <w:spacing w:line="360" w:lineRule="auto"/>
        <w:ind w:firstLineChars="200" w:firstLine="648"/>
        <w:rPr>
          <w:rFonts w:eastAsia="仿宋_GB2312"/>
          <w:b/>
          <w:bCs/>
          <w:color w:val="000000" w:themeColor="text1"/>
          <w:kern w:val="0"/>
          <w:sz w:val="32"/>
        </w:rPr>
      </w:pPr>
    </w:p>
    <w:p w14:paraId="107003F6" w14:textId="77777777" w:rsidR="002D2AF8" w:rsidRDefault="00000000">
      <w:pPr>
        <w:adjustRightInd w:val="0"/>
        <w:snapToGrid w:val="0"/>
        <w:spacing w:line="360" w:lineRule="auto"/>
        <w:jc w:val="center"/>
        <w:rPr>
          <w:color w:val="000000" w:themeColor="text1"/>
          <w:kern w:val="0"/>
          <w:sz w:val="28"/>
          <w:szCs w:val="32"/>
        </w:rPr>
      </w:pPr>
      <w:r>
        <w:rPr>
          <w:color w:val="000000" w:themeColor="text1"/>
          <w:kern w:val="0"/>
          <w:sz w:val="28"/>
          <w:szCs w:val="32"/>
        </w:rPr>
        <w:t>法定代表人：任红艳</w:t>
      </w:r>
    </w:p>
    <w:p w14:paraId="3454A239" w14:textId="77777777" w:rsidR="002D2AF8" w:rsidRDefault="00000000">
      <w:pPr>
        <w:adjustRightInd w:val="0"/>
        <w:snapToGrid w:val="0"/>
        <w:spacing w:line="360" w:lineRule="auto"/>
        <w:jc w:val="center"/>
        <w:rPr>
          <w:color w:val="000000" w:themeColor="text1"/>
          <w:kern w:val="0"/>
          <w:sz w:val="28"/>
          <w:szCs w:val="32"/>
        </w:rPr>
      </w:pPr>
      <w:r>
        <w:rPr>
          <w:color w:val="000000" w:themeColor="text1"/>
          <w:kern w:val="0"/>
          <w:sz w:val="28"/>
          <w:szCs w:val="32"/>
        </w:rPr>
        <w:t>技术负责人：吴佳东</w:t>
      </w:r>
    </w:p>
    <w:p w14:paraId="2DE044D7" w14:textId="77777777" w:rsidR="002D2AF8" w:rsidRDefault="00000000">
      <w:pPr>
        <w:adjustRightInd w:val="0"/>
        <w:snapToGrid w:val="0"/>
        <w:spacing w:line="360" w:lineRule="auto"/>
        <w:jc w:val="center"/>
        <w:rPr>
          <w:color w:val="000000" w:themeColor="text1"/>
          <w:kern w:val="0"/>
          <w:sz w:val="28"/>
          <w:szCs w:val="32"/>
          <w:highlight w:val="red"/>
        </w:rPr>
      </w:pPr>
      <w:r>
        <w:rPr>
          <w:color w:val="000000" w:themeColor="text1"/>
          <w:kern w:val="0"/>
          <w:sz w:val="28"/>
          <w:szCs w:val="32"/>
        </w:rPr>
        <w:t>项目负责人：刘瑞峰</w:t>
      </w:r>
    </w:p>
    <w:p w14:paraId="0FBDC7AC" w14:textId="77777777" w:rsidR="002D2AF8" w:rsidRDefault="002D2AF8">
      <w:pPr>
        <w:adjustRightInd w:val="0"/>
        <w:snapToGrid w:val="0"/>
        <w:spacing w:line="360" w:lineRule="auto"/>
        <w:rPr>
          <w:rFonts w:eastAsia="仿宋_GB2312"/>
          <w:color w:val="000000" w:themeColor="text1"/>
          <w:kern w:val="0"/>
          <w:sz w:val="32"/>
        </w:rPr>
      </w:pPr>
    </w:p>
    <w:p w14:paraId="7EA1C39C" w14:textId="77777777" w:rsidR="002D2AF8" w:rsidRDefault="002D2AF8">
      <w:pPr>
        <w:adjustRightInd w:val="0"/>
        <w:snapToGrid w:val="0"/>
        <w:spacing w:line="360" w:lineRule="auto"/>
        <w:rPr>
          <w:rFonts w:eastAsia="仿宋_GB2312"/>
          <w:color w:val="000000" w:themeColor="text1"/>
          <w:kern w:val="0"/>
          <w:sz w:val="32"/>
        </w:rPr>
      </w:pPr>
    </w:p>
    <w:p w14:paraId="1EDA255F" w14:textId="77777777" w:rsidR="002D2AF8" w:rsidRDefault="00000000">
      <w:pPr>
        <w:adjustRightInd w:val="0"/>
        <w:snapToGrid w:val="0"/>
        <w:spacing w:line="360" w:lineRule="auto"/>
        <w:jc w:val="center"/>
        <w:rPr>
          <w:b/>
          <w:bCs/>
          <w:color w:val="000000" w:themeColor="text1"/>
          <w:kern w:val="0"/>
          <w:sz w:val="24"/>
        </w:rPr>
      </w:pPr>
      <w:r>
        <w:rPr>
          <w:b/>
          <w:bCs/>
          <w:color w:val="000000" w:themeColor="text1"/>
          <w:kern w:val="0"/>
          <w:sz w:val="24"/>
        </w:rPr>
        <w:t>报告完成日期：</w:t>
      </w:r>
      <w:r>
        <w:rPr>
          <w:b/>
          <w:bCs/>
          <w:color w:val="000000" w:themeColor="text1"/>
          <w:kern w:val="0"/>
          <w:sz w:val="24"/>
        </w:rPr>
        <w:t>2022</w:t>
      </w:r>
      <w:r>
        <w:rPr>
          <w:b/>
          <w:bCs/>
          <w:color w:val="000000" w:themeColor="text1"/>
          <w:kern w:val="0"/>
          <w:sz w:val="24"/>
        </w:rPr>
        <w:t>年</w:t>
      </w:r>
      <w:r>
        <w:rPr>
          <w:rFonts w:hint="eastAsia"/>
          <w:b/>
          <w:bCs/>
          <w:color w:val="000000" w:themeColor="text1"/>
          <w:kern w:val="0"/>
          <w:sz w:val="24"/>
        </w:rPr>
        <w:t>11</w:t>
      </w:r>
      <w:r>
        <w:rPr>
          <w:b/>
          <w:bCs/>
          <w:color w:val="000000" w:themeColor="text1"/>
          <w:kern w:val="0"/>
          <w:sz w:val="24"/>
        </w:rPr>
        <w:t>月</w:t>
      </w:r>
      <w:r>
        <w:rPr>
          <w:rFonts w:hint="eastAsia"/>
          <w:b/>
          <w:bCs/>
          <w:color w:val="000000" w:themeColor="text1"/>
          <w:kern w:val="0"/>
          <w:sz w:val="24"/>
        </w:rPr>
        <w:t>9</w:t>
      </w:r>
      <w:r>
        <w:rPr>
          <w:b/>
          <w:bCs/>
          <w:color w:val="000000" w:themeColor="text1"/>
          <w:kern w:val="0"/>
          <w:sz w:val="24"/>
        </w:rPr>
        <w:t>日</w:t>
      </w:r>
    </w:p>
    <w:p w14:paraId="31D85DFE" w14:textId="77777777" w:rsidR="002D2AF8" w:rsidRDefault="002D2AF8">
      <w:pPr>
        <w:adjustRightInd w:val="0"/>
        <w:snapToGrid w:val="0"/>
        <w:spacing w:line="360" w:lineRule="auto"/>
        <w:rPr>
          <w:color w:val="000000" w:themeColor="text1"/>
          <w:sz w:val="44"/>
          <w:szCs w:val="32"/>
        </w:rPr>
      </w:pPr>
    </w:p>
    <w:p w14:paraId="549AA0C1" w14:textId="77777777" w:rsidR="002D2AF8" w:rsidRDefault="002D2AF8">
      <w:pPr>
        <w:adjustRightInd w:val="0"/>
        <w:snapToGrid w:val="0"/>
        <w:spacing w:line="360" w:lineRule="auto"/>
        <w:rPr>
          <w:color w:val="000000" w:themeColor="text1"/>
          <w:sz w:val="44"/>
          <w:szCs w:val="32"/>
        </w:rPr>
      </w:pPr>
    </w:p>
    <w:p w14:paraId="4B15F0E4" w14:textId="77777777" w:rsidR="002D2AF8" w:rsidRDefault="002D2AF8">
      <w:pPr>
        <w:adjustRightInd w:val="0"/>
        <w:snapToGrid w:val="0"/>
        <w:spacing w:line="360" w:lineRule="auto"/>
        <w:rPr>
          <w:color w:val="000000" w:themeColor="text1"/>
          <w:sz w:val="44"/>
          <w:szCs w:val="32"/>
        </w:rPr>
      </w:pPr>
    </w:p>
    <w:p w14:paraId="23C7406F" w14:textId="77777777" w:rsidR="002D2AF8" w:rsidRDefault="002D2AF8">
      <w:pPr>
        <w:adjustRightInd w:val="0"/>
        <w:snapToGrid w:val="0"/>
        <w:spacing w:line="360" w:lineRule="auto"/>
        <w:rPr>
          <w:color w:val="000000" w:themeColor="text1"/>
          <w:sz w:val="44"/>
          <w:szCs w:val="32"/>
        </w:rPr>
      </w:pPr>
    </w:p>
    <w:p w14:paraId="2DFFA17D" w14:textId="77777777" w:rsidR="002D2AF8" w:rsidRDefault="002D2AF8">
      <w:pPr>
        <w:adjustRightInd w:val="0"/>
        <w:snapToGrid w:val="0"/>
        <w:spacing w:line="360" w:lineRule="auto"/>
        <w:rPr>
          <w:color w:val="000000" w:themeColor="text1"/>
          <w:sz w:val="44"/>
          <w:szCs w:val="32"/>
        </w:rPr>
      </w:pPr>
    </w:p>
    <w:p w14:paraId="42E316F8" w14:textId="77777777" w:rsidR="002D2AF8" w:rsidRDefault="002D2AF8">
      <w:pPr>
        <w:adjustRightInd w:val="0"/>
        <w:snapToGrid w:val="0"/>
        <w:spacing w:line="360" w:lineRule="auto"/>
        <w:rPr>
          <w:color w:val="000000" w:themeColor="text1"/>
          <w:sz w:val="44"/>
          <w:szCs w:val="32"/>
        </w:rPr>
      </w:pPr>
    </w:p>
    <w:p w14:paraId="1CF50AC7" w14:textId="77777777" w:rsidR="002D2AF8" w:rsidRDefault="002D2AF8">
      <w:pPr>
        <w:adjustRightInd w:val="0"/>
        <w:snapToGrid w:val="0"/>
        <w:spacing w:line="360" w:lineRule="auto"/>
        <w:rPr>
          <w:color w:val="000000" w:themeColor="text1"/>
          <w:sz w:val="44"/>
          <w:szCs w:val="32"/>
        </w:rPr>
      </w:pPr>
    </w:p>
    <w:p w14:paraId="7FAB303B" w14:textId="77777777" w:rsidR="002D2AF8" w:rsidRDefault="002D2AF8">
      <w:pPr>
        <w:adjustRightInd w:val="0"/>
        <w:snapToGrid w:val="0"/>
        <w:spacing w:line="360" w:lineRule="auto"/>
        <w:rPr>
          <w:color w:val="000000" w:themeColor="text1"/>
          <w:sz w:val="44"/>
          <w:szCs w:val="32"/>
        </w:rPr>
      </w:pPr>
    </w:p>
    <w:p w14:paraId="6566539F" w14:textId="77777777" w:rsidR="002D2AF8" w:rsidRDefault="002D2AF8">
      <w:pPr>
        <w:adjustRightInd w:val="0"/>
        <w:snapToGrid w:val="0"/>
        <w:spacing w:line="360" w:lineRule="auto"/>
        <w:rPr>
          <w:color w:val="000000" w:themeColor="text1"/>
          <w:sz w:val="44"/>
          <w:szCs w:val="32"/>
        </w:rPr>
      </w:pPr>
    </w:p>
    <w:p w14:paraId="21A2F546" w14:textId="77777777" w:rsidR="002D2AF8" w:rsidRDefault="002D2AF8">
      <w:pPr>
        <w:adjustRightInd w:val="0"/>
        <w:snapToGrid w:val="0"/>
        <w:spacing w:line="360" w:lineRule="auto"/>
        <w:rPr>
          <w:color w:val="000000" w:themeColor="text1"/>
          <w:sz w:val="44"/>
          <w:szCs w:val="32"/>
        </w:rPr>
      </w:pPr>
    </w:p>
    <w:p w14:paraId="03A8313C" w14:textId="77777777" w:rsidR="002D2AF8" w:rsidRDefault="002D2AF8">
      <w:pPr>
        <w:adjustRightInd w:val="0"/>
        <w:snapToGrid w:val="0"/>
        <w:spacing w:line="360" w:lineRule="auto"/>
        <w:rPr>
          <w:color w:val="000000" w:themeColor="text1"/>
          <w:sz w:val="44"/>
          <w:szCs w:val="32"/>
        </w:rPr>
      </w:pPr>
    </w:p>
    <w:p w14:paraId="6675841D" w14:textId="77777777" w:rsidR="002D2AF8" w:rsidRDefault="002D2AF8">
      <w:pPr>
        <w:adjustRightInd w:val="0"/>
        <w:snapToGrid w:val="0"/>
        <w:spacing w:line="360" w:lineRule="auto"/>
        <w:rPr>
          <w:color w:val="000000" w:themeColor="text1"/>
          <w:sz w:val="44"/>
          <w:szCs w:val="32"/>
        </w:rPr>
      </w:pPr>
    </w:p>
    <w:p w14:paraId="455A4B04" w14:textId="77777777" w:rsidR="002D2AF8" w:rsidRDefault="002D2AF8">
      <w:pPr>
        <w:adjustRightInd w:val="0"/>
        <w:snapToGrid w:val="0"/>
        <w:spacing w:line="360" w:lineRule="auto"/>
        <w:rPr>
          <w:color w:val="000000" w:themeColor="text1"/>
          <w:sz w:val="44"/>
          <w:szCs w:val="32"/>
        </w:rPr>
      </w:pPr>
    </w:p>
    <w:p w14:paraId="33FCA34F" w14:textId="77777777" w:rsidR="002D2AF8" w:rsidRDefault="002D2AF8">
      <w:pPr>
        <w:adjustRightInd w:val="0"/>
        <w:snapToGrid w:val="0"/>
        <w:spacing w:line="360" w:lineRule="auto"/>
        <w:rPr>
          <w:color w:val="000000" w:themeColor="text1"/>
          <w:sz w:val="44"/>
          <w:szCs w:val="32"/>
        </w:rPr>
      </w:pPr>
    </w:p>
    <w:p w14:paraId="7E11D2C8" w14:textId="77777777" w:rsidR="002D2AF8" w:rsidRDefault="002D2AF8">
      <w:pPr>
        <w:adjustRightInd w:val="0"/>
        <w:snapToGrid w:val="0"/>
        <w:spacing w:line="360" w:lineRule="auto"/>
        <w:rPr>
          <w:color w:val="000000" w:themeColor="text1"/>
          <w:sz w:val="44"/>
          <w:szCs w:val="32"/>
        </w:rPr>
      </w:pPr>
    </w:p>
    <w:p w14:paraId="0CD02EA2" w14:textId="77777777" w:rsidR="002D2AF8" w:rsidRDefault="002D2AF8">
      <w:pPr>
        <w:adjustRightInd w:val="0"/>
        <w:snapToGrid w:val="0"/>
        <w:spacing w:line="360" w:lineRule="auto"/>
        <w:rPr>
          <w:color w:val="000000" w:themeColor="text1"/>
          <w:sz w:val="44"/>
          <w:szCs w:val="32"/>
        </w:rPr>
      </w:pPr>
    </w:p>
    <w:p w14:paraId="2999A697" w14:textId="77777777" w:rsidR="002D2AF8" w:rsidRDefault="002D2AF8">
      <w:pPr>
        <w:adjustRightInd w:val="0"/>
        <w:snapToGrid w:val="0"/>
        <w:spacing w:line="360" w:lineRule="auto"/>
        <w:rPr>
          <w:color w:val="000000" w:themeColor="text1"/>
          <w:sz w:val="44"/>
          <w:szCs w:val="32"/>
        </w:rPr>
      </w:pPr>
    </w:p>
    <w:p w14:paraId="0698A901" w14:textId="77777777" w:rsidR="002D2AF8" w:rsidRDefault="002D2AF8">
      <w:pPr>
        <w:adjustRightInd w:val="0"/>
        <w:snapToGrid w:val="0"/>
        <w:spacing w:line="360" w:lineRule="auto"/>
        <w:rPr>
          <w:color w:val="000000" w:themeColor="text1"/>
          <w:sz w:val="44"/>
          <w:szCs w:val="32"/>
        </w:rPr>
      </w:pPr>
    </w:p>
    <w:p w14:paraId="29983D0B" w14:textId="77777777" w:rsidR="002D2AF8" w:rsidRDefault="002D2AF8">
      <w:pPr>
        <w:adjustRightInd w:val="0"/>
        <w:snapToGrid w:val="0"/>
        <w:spacing w:line="360" w:lineRule="auto"/>
        <w:rPr>
          <w:color w:val="000000" w:themeColor="text1"/>
          <w:sz w:val="44"/>
          <w:szCs w:val="32"/>
        </w:rPr>
      </w:pPr>
    </w:p>
    <w:p w14:paraId="506A92E1" w14:textId="77777777" w:rsidR="002D2AF8" w:rsidRDefault="002D2AF8">
      <w:pPr>
        <w:adjustRightInd w:val="0"/>
        <w:snapToGrid w:val="0"/>
        <w:spacing w:line="360" w:lineRule="auto"/>
        <w:rPr>
          <w:color w:val="000000" w:themeColor="text1"/>
          <w:sz w:val="44"/>
          <w:szCs w:val="32"/>
        </w:rPr>
      </w:pPr>
    </w:p>
    <w:p w14:paraId="2391B14F" w14:textId="77777777" w:rsidR="002D2AF8" w:rsidRDefault="00000000">
      <w:pPr>
        <w:adjustRightInd w:val="0"/>
        <w:snapToGrid w:val="0"/>
        <w:spacing w:line="360" w:lineRule="auto"/>
        <w:rPr>
          <w:color w:val="000000" w:themeColor="text1"/>
          <w:sz w:val="28"/>
          <w:szCs w:val="28"/>
        </w:rPr>
      </w:pPr>
      <w:r>
        <w:rPr>
          <w:noProof/>
          <w:color w:val="000000" w:themeColor="text1"/>
          <w:sz w:val="28"/>
          <w:szCs w:val="28"/>
        </w:rPr>
        <w:lastRenderedPageBreak/>
        <w:drawing>
          <wp:inline distT="0" distB="0" distL="114300" distR="114300" wp14:anchorId="2C37FDDF" wp14:editId="7B131220">
            <wp:extent cx="5269865" cy="8019415"/>
            <wp:effectExtent l="0" t="0" r="6985" b="635"/>
            <wp:docPr id="101" name="图片 101" descr="E:\胜丰公司安全报告\非煤矿山\胜兴堵驱\微信图片_20220823155306.jpg微信图片_20220823155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E:\胜丰公司安全报告\非煤矿山\胜兴堵驱\微信图片_20220823155306.jpg微信图片_20220823155306"/>
                    <pic:cNvPicPr>
                      <a:picLocks noChangeAspect="1"/>
                    </pic:cNvPicPr>
                  </pic:nvPicPr>
                  <pic:blipFill>
                    <a:blip r:embed="rId13"/>
                    <a:srcRect/>
                    <a:stretch>
                      <a:fillRect/>
                    </a:stretch>
                  </pic:blipFill>
                  <pic:spPr>
                    <a:xfrm>
                      <a:off x="0" y="0"/>
                      <a:ext cx="5269865" cy="8019415"/>
                    </a:xfrm>
                    <a:prstGeom prst="rect">
                      <a:avLst/>
                    </a:prstGeom>
                  </pic:spPr>
                </pic:pic>
              </a:graphicData>
            </a:graphic>
          </wp:inline>
        </w:drawing>
      </w:r>
    </w:p>
    <w:p w14:paraId="274BE8EF" w14:textId="77777777" w:rsidR="002D2AF8" w:rsidRDefault="00000000">
      <w:pPr>
        <w:rPr>
          <w:color w:val="000000" w:themeColor="text1"/>
          <w:sz w:val="28"/>
          <w:szCs w:val="28"/>
        </w:rPr>
      </w:pPr>
      <w:r>
        <w:rPr>
          <w:color w:val="000000" w:themeColor="text1"/>
          <w:sz w:val="28"/>
          <w:szCs w:val="28"/>
        </w:rPr>
        <w:br w:type="page"/>
      </w:r>
    </w:p>
    <w:p w14:paraId="2633EC5F" w14:textId="77777777" w:rsidR="002D2AF8" w:rsidRDefault="002D2AF8">
      <w:pPr>
        <w:pStyle w:val="2"/>
        <w:ind w:firstLine="566"/>
        <w:rPr>
          <w:rFonts w:ascii="Times New Roman" w:hAnsi="Times New Roman"/>
          <w:color w:val="000000" w:themeColor="text1"/>
        </w:rPr>
      </w:pPr>
    </w:p>
    <w:p w14:paraId="30FFC04B" w14:textId="77777777" w:rsidR="002D2AF8" w:rsidRDefault="002D2AF8">
      <w:pPr>
        <w:pStyle w:val="Default"/>
        <w:rPr>
          <w:rFonts w:ascii="Times New Roman" w:hAnsi="Times New Roman" w:cs="Times New Roman"/>
          <w:color w:val="000000" w:themeColor="text1"/>
        </w:rPr>
        <w:sectPr w:rsidR="002D2AF8">
          <w:footerReference w:type="default" r:id="rId14"/>
          <w:pgSz w:w="11906" w:h="16838"/>
          <w:pgMar w:top="1440" w:right="1803" w:bottom="1440" w:left="1803" w:header="850" w:footer="992" w:gutter="0"/>
          <w:cols w:space="0"/>
          <w:docGrid w:type="linesAndChars" w:linePitch="325" w:charSpace="577"/>
        </w:sectPr>
      </w:pPr>
    </w:p>
    <w:p w14:paraId="5E80D788" w14:textId="77777777" w:rsidR="002D2AF8" w:rsidRDefault="00000000">
      <w:pPr>
        <w:adjustRightInd w:val="0"/>
        <w:snapToGrid w:val="0"/>
        <w:spacing w:line="360" w:lineRule="auto"/>
        <w:jc w:val="center"/>
        <w:rPr>
          <w:rFonts w:eastAsia="黑体"/>
          <w:b/>
          <w:bCs/>
          <w:color w:val="000000" w:themeColor="text1"/>
          <w:kern w:val="44"/>
          <w:sz w:val="32"/>
          <w:szCs w:val="32"/>
        </w:rPr>
      </w:pPr>
      <w:r>
        <w:rPr>
          <w:rFonts w:eastAsia="黑体"/>
          <w:b/>
          <w:bCs/>
          <w:color w:val="000000" w:themeColor="text1"/>
          <w:kern w:val="44"/>
          <w:sz w:val="32"/>
          <w:szCs w:val="32"/>
        </w:rPr>
        <w:lastRenderedPageBreak/>
        <w:t>前</w:t>
      </w:r>
      <w:r>
        <w:rPr>
          <w:rFonts w:eastAsia="黑体"/>
          <w:b/>
          <w:bCs/>
          <w:color w:val="000000" w:themeColor="text1"/>
          <w:kern w:val="44"/>
          <w:sz w:val="32"/>
          <w:szCs w:val="32"/>
        </w:rPr>
        <w:t xml:space="preserve">  </w:t>
      </w:r>
      <w:r>
        <w:rPr>
          <w:rFonts w:eastAsia="黑体"/>
          <w:b/>
          <w:bCs/>
          <w:color w:val="000000" w:themeColor="text1"/>
          <w:kern w:val="44"/>
          <w:sz w:val="32"/>
          <w:szCs w:val="32"/>
        </w:rPr>
        <w:t>言</w:t>
      </w:r>
    </w:p>
    <w:p w14:paraId="0FD977E4" w14:textId="77777777" w:rsidR="002D2AF8" w:rsidRDefault="002D2AF8">
      <w:pPr>
        <w:pStyle w:val="Char3"/>
        <w:widowControl w:val="0"/>
        <w:adjustRightInd w:val="0"/>
        <w:snapToGrid w:val="0"/>
        <w:spacing w:after="0" w:line="360" w:lineRule="auto"/>
        <w:ind w:firstLineChars="200" w:firstLine="566"/>
        <w:rPr>
          <w:color w:val="000000" w:themeColor="text1"/>
          <w:sz w:val="28"/>
          <w:szCs w:val="28"/>
        </w:rPr>
      </w:pPr>
    </w:p>
    <w:p w14:paraId="24D9267E" w14:textId="77777777" w:rsidR="002D2AF8" w:rsidRDefault="00000000">
      <w:pPr>
        <w:pStyle w:val="Char3"/>
        <w:widowControl w:val="0"/>
        <w:adjustRightInd w:val="0"/>
        <w:snapToGrid w:val="0"/>
        <w:spacing w:after="0"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（以下简称</w:t>
      </w:r>
      <w:r>
        <w:rPr>
          <w:rFonts w:hint="eastAsia"/>
          <w:color w:val="000000" w:themeColor="text1"/>
          <w:sz w:val="28"/>
          <w:szCs w:val="28"/>
        </w:rPr>
        <w:t>胜兴堵驱公司</w:t>
      </w:r>
      <w:r>
        <w:rPr>
          <w:color w:val="000000" w:themeColor="text1"/>
          <w:sz w:val="28"/>
          <w:szCs w:val="28"/>
        </w:rPr>
        <w:t>）成立于</w:t>
      </w:r>
      <w:r>
        <w:rPr>
          <w:rFonts w:hint="eastAsia"/>
          <w:color w:val="000000" w:themeColor="text1"/>
          <w:sz w:val="28"/>
          <w:szCs w:val="28"/>
        </w:rPr>
        <w:t>2000</w:t>
      </w:r>
      <w:r>
        <w:rPr>
          <w:color w:val="000000" w:themeColor="text1"/>
          <w:sz w:val="28"/>
          <w:szCs w:val="28"/>
        </w:rPr>
        <w:t>年</w:t>
      </w:r>
      <w:r>
        <w:rPr>
          <w:color w:val="000000" w:themeColor="text1"/>
          <w:sz w:val="28"/>
          <w:szCs w:val="28"/>
        </w:rPr>
        <w:t>1</w:t>
      </w:r>
      <w:r>
        <w:rPr>
          <w:rFonts w:hint="eastAsia"/>
          <w:color w:val="000000" w:themeColor="text1"/>
          <w:sz w:val="28"/>
          <w:szCs w:val="28"/>
        </w:rPr>
        <w:t>2</w:t>
      </w:r>
      <w:r>
        <w:rPr>
          <w:color w:val="000000" w:themeColor="text1"/>
          <w:sz w:val="28"/>
          <w:szCs w:val="28"/>
        </w:rPr>
        <w:t>月</w:t>
      </w:r>
      <w:r>
        <w:rPr>
          <w:color w:val="000000" w:themeColor="text1"/>
          <w:sz w:val="28"/>
          <w:szCs w:val="28"/>
        </w:rPr>
        <w:t>1</w:t>
      </w:r>
      <w:r>
        <w:rPr>
          <w:color w:val="000000" w:themeColor="text1"/>
          <w:sz w:val="28"/>
          <w:szCs w:val="28"/>
        </w:rPr>
        <w:t>日；住所位于山东省东营市东营区</w:t>
      </w:r>
      <w:r>
        <w:rPr>
          <w:rFonts w:hint="eastAsia"/>
          <w:color w:val="000000" w:themeColor="text1"/>
          <w:sz w:val="28"/>
          <w:szCs w:val="28"/>
        </w:rPr>
        <w:t>通河路</w:t>
      </w:r>
      <w:r>
        <w:rPr>
          <w:color w:val="000000" w:themeColor="text1"/>
          <w:sz w:val="28"/>
          <w:szCs w:val="28"/>
        </w:rPr>
        <w:t>；公司法定代表人：</w:t>
      </w:r>
      <w:r>
        <w:rPr>
          <w:rFonts w:hint="eastAsia"/>
          <w:color w:val="000000" w:themeColor="text1"/>
          <w:sz w:val="28"/>
          <w:szCs w:val="28"/>
        </w:rPr>
        <w:t>陈伟</w:t>
      </w:r>
      <w:r>
        <w:rPr>
          <w:color w:val="000000" w:themeColor="text1"/>
          <w:sz w:val="28"/>
          <w:szCs w:val="28"/>
        </w:rPr>
        <w:t>；注册资本：</w:t>
      </w:r>
      <w:r>
        <w:rPr>
          <w:rFonts w:hint="eastAsia"/>
          <w:color w:val="000000" w:themeColor="text1"/>
          <w:sz w:val="28"/>
          <w:szCs w:val="28"/>
        </w:rPr>
        <w:t>壹</w:t>
      </w:r>
      <w:r>
        <w:rPr>
          <w:color w:val="000000" w:themeColor="text1"/>
          <w:sz w:val="28"/>
          <w:szCs w:val="28"/>
        </w:rPr>
        <w:t>仟</w:t>
      </w:r>
      <w:r>
        <w:rPr>
          <w:rFonts w:hint="eastAsia"/>
          <w:color w:val="000000" w:themeColor="text1"/>
          <w:sz w:val="28"/>
          <w:szCs w:val="28"/>
        </w:rPr>
        <w:t>伍</w:t>
      </w:r>
      <w:r>
        <w:rPr>
          <w:color w:val="000000" w:themeColor="text1"/>
          <w:sz w:val="28"/>
          <w:szCs w:val="28"/>
        </w:rPr>
        <w:t>佰万元整。主要经营范围包括堵水剂、驱油剂的现场施工；化工产品</w:t>
      </w:r>
      <w:r>
        <w:rPr>
          <w:color w:val="000000" w:themeColor="text1"/>
          <w:sz w:val="28"/>
          <w:szCs w:val="28"/>
        </w:rPr>
        <w:t>(</w:t>
      </w:r>
      <w:r>
        <w:rPr>
          <w:color w:val="000000" w:themeColor="text1"/>
          <w:sz w:val="28"/>
          <w:szCs w:val="28"/>
        </w:rPr>
        <w:t>不含危险品</w:t>
      </w:r>
      <w:r>
        <w:rPr>
          <w:color w:val="000000" w:themeColor="text1"/>
          <w:sz w:val="28"/>
          <w:szCs w:val="28"/>
        </w:rPr>
        <w:t>)</w:t>
      </w:r>
      <w:r>
        <w:rPr>
          <w:color w:val="000000" w:themeColor="text1"/>
          <w:sz w:val="28"/>
          <w:szCs w:val="28"/>
        </w:rPr>
        <w:t>加工、销售；堵水剂、驱油剂产品的技术开发、转让、服务；油水井测试、技术服务；堵驱设备租赁；示踪剂检测；管线清洗。（以上经营事项涉及法律法规规定需报批的，凭批准证书经营）</w:t>
      </w:r>
      <w:r>
        <w:rPr>
          <w:rFonts w:hint="eastAsia"/>
          <w:color w:val="000000" w:themeColor="text1"/>
          <w:sz w:val="28"/>
          <w:szCs w:val="28"/>
        </w:rPr>
        <w:t>（</w:t>
      </w:r>
      <w:r>
        <w:rPr>
          <w:color w:val="000000" w:themeColor="text1"/>
          <w:sz w:val="28"/>
          <w:szCs w:val="28"/>
        </w:rPr>
        <w:t>依法须经批准的项目，经相关部门批准后方可开展经营活动</w:t>
      </w:r>
      <w:r>
        <w:rPr>
          <w:rFonts w:hint="eastAsia"/>
          <w:color w:val="000000" w:themeColor="text1"/>
          <w:sz w:val="28"/>
          <w:szCs w:val="28"/>
        </w:rPr>
        <w:t>）</w:t>
      </w:r>
      <w:r>
        <w:rPr>
          <w:color w:val="000000" w:themeColor="text1"/>
          <w:sz w:val="28"/>
          <w:szCs w:val="28"/>
        </w:rPr>
        <w:t>。</w:t>
      </w:r>
    </w:p>
    <w:p w14:paraId="39A6803F"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胜兴堵驱公司</w:t>
      </w:r>
      <w:r>
        <w:rPr>
          <w:color w:val="000000" w:themeColor="text1"/>
          <w:sz w:val="28"/>
          <w:szCs w:val="28"/>
        </w:rPr>
        <w:t>于</w:t>
      </w:r>
      <w:r>
        <w:rPr>
          <w:color w:val="000000" w:themeColor="text1"/>
          <w:sz w:val="28"/>
          <w:szCs w:val="28"/>
        </w:rPr>
        <w:t>201</w:t>
      </w:r>
      <w:r>
        <w:rPr>
          <w:rFonts w:hint="eastAsia"/>
          <w:color w:val="000000" w:themeColor="text1"/>
          <w:sz w:val="28"/>
          <w:szCs w:val="28"/>
        </w:rPr>
        <w:t>5</w:t>
      </w:r>
      <w:r>
        <w:rPr>
          <w:color w:val="000000" w:themeColor="text1"/>
          <w:sz w:val="28"/>
          <w:szCs w:val="28"/>
        </w:rPr>
        <w:t>年取得安全生产许可证，</w:t>
      </w:r>
      <w:r>
        <w:rPr>
          <w:rFonts w:hint="eastAsia"/>
          <w:color w:val="000000" w:themeColor="text1"/>
          <w:sz w:val="28"/>
          <w:szCs w:val="28"/>
        </w:rPr>
        <w:t>并于</w:t>
      </w:r>
      <w:r>
        <w:rPr>
          <w:color w:val="000000" w:themeColor="text1"/>
          <w:sz w:val="28"/>
          <w:szCs w:val="28"/>
        </w:rPr>
        <w:t>201</w:t>
      </w:r>
      <w:r>
        <w:rPr>
          <w:rFonts w:hint="eastAsia"/>
          <w:color w:val="000000" w:themeColor="text1"/>
          <w:sz w:val="28"/>
          <w:szCs w:val="28"/>
        </w:rPr>
        <w:t>8</w:t>
      </w:r>
      <w:r>
        <w:rPr>
          <w:color w:val="000000" w:themeColor="text1"/>
          <w:sz w:val="28"/>
          <w:szCs w:val="28"/>
        </w:rPr>
        <w:t>年</w:t>
      </w:r>
      <w:r>
        <w:rPr>
          <w:rFonts w:hint="eastAsia"/>
          <w:color w:val="000000" w:themeColor="text1"/>
          <w:sz w:val="28"/>
          <w:szCs w:val="28"/>
        </w:rPr>
        <w:t>9</w:t>
      </w:r>
      <w:r>
        <w:rPr>
          <w:rFonts w:hint="eastAsia"/>
          <w:color w:val="000000" w:themeColor="text1"/>
          <w:sz w:val="28"/>
          <w:szCs w:val="28"/>
        </w:rPr>
        <w:t>月</w:t>
      </w:r>
      <w:r>
        <w:rPr>
          <w:rFonts w:hint="eastAsia"/>
          <w:color w:val="000000" w:themeColor="text1"/>
          <w:sz w:val="28"/>
          <w:szCs w:val="28"/>
        </w:rPr>
        <w:t>20</w:t>
      </w:r>
      <w:r>
        <w:rPr>
          <w:rFonts w:hint="eastAsia"/>
          <w:color w:val="000000" w:themeColor="text1"/>
          <w:sz w:val="28"/>
          <w:szCs w:val="28"/>
        </w:rPr>
        <w:t>日对</w:t>
      </w:r>
      <w:r>
        <w:rPr>
          <w:color w:val="000000" w:themeColor="text1"/>
          <w:sz w:val="28"/>
          <w:szCs w:val="28"/>
        </w:rPr>
        <w:t>安全生产许可证</w:t>
      </w:r>
      <w:r>
        <w:rPr>
          <w:rFonts w:hint="eastAsia"/>
          <w:color w:val="000000" w:themeColor="text1"/>
          <w:sz w:val="28"/>
          <w:szCs w:val="28"/>
        </w:rPr>
        <w:t>进行了延期换证工作</w:t>
      </w:r>
      <w:r>
        <w:rPr>
          <w:color w:val="000000" w:themeColor="text1"/>
          <w:sz w:val="28"/>
          <w:szCs w:val="28"/>
        </w:rPr>
        <w:t>，许可范围：井下作业（</w:t>
      </w:r>
      <w:r>
        <w:rPr>
          <w:rFonts w:hint="eastAsia"/>
          <w:color w:val="000000" w:themeColor="text1"/>
          <w:sz w:val="28"/>
          <w:szCs w:val="28"/>
        </w:rPr>
        <w:t>堵水调剖、示踪剂检测、油水井测试</w:t>
      </w:r>
      <w:r>
        <w:rPr>
          <w:color w:val="000000" w:themeColor="text1"/>
          <w:sz w:val="28"/>
          <w:szCs w:val="28"/>
        </w:rPr>
        <w:t>），编号：（鲁）</w:t>
      </w:r>
      <w:r>
        <w:rPr>
          <w:color w:val="000000" w:themeColor="text1"/>
          <w:sz w:val="28"/>
          <w:szCs w:val="28"/>
        </w:rPr>
        <w:t>FM</w:t>
      </w:r>
      <w:r>
        <w:rPr>
          <w:color w:val="000000" w:themeColor="text1"/>
          <w:sz w:val="28"/>
          <w:szCs w:val="28"/>
        </w:rPr>
        <w:t>安许证字</w:t>
      </w:r>
      <w:r>
        <w:rPr>
          <w:color w:val="000000" w:themeColor="text1"/>
          <w:sz w:val="28"/>
          <w:szCs w:val="28"/>
        </w:rPr>
        <w:t>[201</w:t>
      </w:r>
      <w:r>
        <w:rPr>
          <w:rFonts w:hint="eastAsia"/>
          <w:color w:val="000000" w:themeColor="text1"/>
          <w:sz w:val="28"/>
          <w:szCs w:val="28"/>
        </w:rPr>
        <w:t>8</w:t>
      </w:r>
      <w:r>
        <w:rPr>
          <w:color w:val="000000" w:themeColor="text1"/>
          <w:sz w:val="28"/>
          <w:szCs w:val="28"/>
        </w:rPr>
        <w:t>]05-002</w:t>
      </w:r>
      <w:r>
        <w:rPr>
          <w:rFonts w:hint="eastAsia"/>
          <w:color w:val="000000" w:themeColor="text1"/>
          <w:sz w:val="28"/>
          <w:szCs w:val="28"/>
        </w:rPr>
        <w:t>4</w:t>
      </w:r>
      <w:r>
        <w:rPr>
          <w:color w:val="000000" w:themeColor="text1"/>
          <w:sz w:val="28"/>
          <w:szCs w:val="28"/>
        </w:rPr>
        <w:t>，有效期至</w:t>
      </w:r>
      <w:r>
        <w:rPr>
          <w:color w:val="000000" w:themeColor="text1"/>
          <w:sz w:val="28"/>
          <w:szCs w:val="28"/>
        </w:rPr>
        <w:t>20</w:t>
      </w:r>
      <w:r>
        <w:rPr>
          <w:rFonts w:hint="eastAsia"/>
          <w:color w:val="000000" w:themeColor="text1"/>
          <w:sz w:val="28"/>
          <w:szCs w:val="28"/>
        </w:rPr>
        <w:t>21</w:t>
      </w:r>
      <w:r>
        <w:rPr>
          <w:color w:val="000000" w:themeColor="text1"/>
          <w:sz w:val="28"/>
          <w:szCs w:val="28"/>
        </w:rPr>
        <w:t>年</w:t>
      </w:r>
      <w:r>
        <w:rPr>
          <w:rFonts w:hint="eastAsia"/>
          <w:color w:val="000000" w:themeColor="text1"/>
          <w:sz w:val="28"/>
          <w:szCs w:val="28"/>
        </w:rPr>
        <w:t>9</w:t>
      </w:r>
      <w:r>
        <w:rPr>
          <w:color w:val="000000" w:themeColor="text1"/>
          <w:sz w:val="28"/>
          <w:szCs w:val="28"/>
        </w:rPr>
        <w:t>月</w:t>
      </w:r>
      <w:r>
        <w:rPr>
          <w:rFonts w:hint="eastAsia"/>
          <w:color w:val="000000" w:themeColor="text1"/>
          <w:sz w:val="28"/>
          <w:szCs w:val="28"/>
        </w:rPr>
        <w:t>1</w:t>
      </w:r>
      <w:r>
        <w:rPr>
          <w:color w:val="000000" w:themeColor="text1"/>
          <w:sz w:val="28"/>
          <w:szCs w:val="28"/>
        </w:rPr>
        <w:t>9</w:t>
      </w:r>
      <w:r>
        <w:rPr>
          <w:color w:val="000000" w:themeColor="text1"/>
          <w:sz w:val="28"/>
          <w:szCs w:val="28"/>
        </w:rPr>
        <w:t>日。依据</w:t>
      </w:r>
      <w:r>
        <w:rPr>
          <w:color w:val="000000" w:themeColor="text1"/>
          <w:sz w:val="28"/>
          <w:szCs w:val="28"/>
        </w:rPr>
        <w:t>2019</w:t>
      </w:r>
      <w:r>
        <w:rPr>
          <w:color w:val="000000" w:themeColor="text1"/>
          <w:sz w:val="28"/>
          <w:szCs w:val="28"/>
        </w:rPr>
        <w:t>年</w:t>
      </w:r>
      <w:r>
        <w:rPr>
          <w:color w:val="000000" w:themeColor="text1"/>
          <w:sz w:val="28"/>
          <w:szCs w:val="28"/>
        </w:rPr>
        <w:t>7</w:t>
      </w:r>
      <w:r>
        <w:rPr>
          <w:color w:val="000000" w:themeColor="text1"/>
          <w:sz w:val="28"/>
          <w:szCs w:val="28"/>
        </w:rPr>
        <w:t>月</w:t>
      </w:r>
      <w:r>
        <w:rPr>
          <w:color w:val="000000" w:themeColor="text1"/>
          <w:sz w:val="28"/>
          <w:szCs w:val="28"/>
        </w:rPr>
        <w:t>31</w:t>
      </w:r>
      <w:r>
        <w:rPr>
          <w:color w:val="000000" w:themeColor="text1"/>
          <w:sz w:val="28"/>
          <w:szCs w:val="28"/>
        </w:rPr>
        <w:t>日山东省应急管理厅发布的《关于石油天然气技术服务企业不再实施安全许可的通知》（鲁应急函</w:t>
      </w:r>
      <w:r>
        <w:rPr>
          <w:color w:val="000000" w:themeColor="text1"/>
          <w:sz w:val="28"/>
          <w:szCs w:val="28"/>
        </w:rPr>
        <w:t>[2019]46</w:t>
      </w:r>
      <w:r>
        <w:rPr>
          <w:color w:val="000000" w:themeColor="text1"/>
          <w:sz w:val="28"/>
          <w:szCs w:val="28"/>
        </w:rPr>
        <w:t>号），山东省应急厅不再对石油天然气技术服务企业实施安全许可，公司安全生产许可证于</w:t>
      </w:r>
      <w:r>
        <w:rPr>
          <w:color w:val="000000" w:themeColor="text1"/>
          <w:sz w:val="28"/>
          <w:szCs w:val="28"/>
        </w:rPr>
        <w:t>20</w:t>
      </w:r>
      <w:r>
        <w:rPr>
          <w:rFonts w:hint="eastAsia"/>
          <w:color w:val="000000" w:themeColor="text1"/>
          <w:sz w:val="28"/>
          <w:szCs w:val="28"/>
        </w:rPr>
        <w:t>21</w:t>
      </w:r>
      <w:r>
        <w:rPr>
          <w:color w:val="000000" w:themeColor="text1"/>
          <w:sz w:val="28"/>
          <w:szCs w:val="28"/>
        </w:rPr>
        <w:t>年</w:t>
      </w:r>
      <w:r>
        <w:rPr>
          <w:rFonts w:hint="eastAsia"/>
          <w:color w:val="000000" w:themeColor="text1"/>
          <w:sz w:val="28"/>
          <w:szCs w:val="28"/>
        </w:rPr>
        <w:t>9</w:t>
      </w:r>
      <w:r>
        <w:rPr>
          <w:color w:val="000000" w:themeColor="text1"/>
          <w:sz w:val="28"/>
          <w:szCs w:val="28"/>
        </w:rPr>
        <w:t>月</w:t>
      </w:r>
      <w:r>
        <w:rPr>
          <w:rFonts w:hint="eastAsia"/>
          <w:color w:val="000000" w:themeColor="text1"/>
          <w:sz w:val="28"/>
          <w:szCs w:val="28"/>
        </w:rPr>
        <w:t>1</w:t>
      </w:r>
      <w:r>
        <w:rPr>
          <w:color w:val="000000" w:themeColor="text1"/>
          <w:sz w:val="28"/>
          <w:szCs w:val="28"/>
        </w:rPr>
        <w:t>9</w:t>
      </w:r>
      <w:r>
        <w:rPr>
          <w:color w:val="000000" w:themeColor="text1"/>
          <w:sz w:val="28"/>
          <w:szCs w:val="28"/>
        </w:rPr>
        <w:t>日到期后未进行延续。</w:t>
      </w:r>
    </w:p>
    <w:p w14:paraId="4392CDD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根据《关于对钻井、物探、测井、录井、井下作业、油建企业实施安全生产许可的通知》（鲁应急函</w:t>
      </w:r>
      <w:r>
        <w:rPr>
          <w:color w:val="000000" w:themeColor="text1"/>
          <w:sz w:val="28"/>
          <w:szCs w:val="28"/>
        </w:rPr>
        <w:t>[2021]86</w:t>
      </w:r>
      <w:r>
        <w:rPr>
          <w:color w:val="000000" w:themeColor="text1"/>
          <w:sz w:val="28"/>
          <w:szCs w:val="28"/>
        </w:rPr>
        <w:t>号）、《东营市应急管理局关于进一步规范</w:t>
      </w:r>
      <w:r>
        <w:rPr>
          <w:rFonts w:hint="eastAsia"/>
          <w:snapToGrid w:val="0"/>
          <w:color w:val="000000" w:themeColor="text1"/>
          <w:kern w:val="0"/>
          <w:sz w:val="28"/>
        </w:rPr>
        <w:t>&lt;</w:t>
      </w:r>
      <w:r>
        <w:rPr>
          <w:color w:val="000000" w:themeColor="text1"/>
          <w:sz w:val="28"/>
          <w:szCs w:val="28"/>
        </w:rPr>
        <w:t>非煤矿矿山安全生产许可证</w:t>
      </w:r>
      <w:r>
        <w:rPr>
          <w:color w:val="000000" w:themeColor="text1"/>
          <w:sz w:val="28"/>
        </w:rPr>
        <w:t>&gt;</w:t>
      </w:r>
      <w:r>
        <w:rPr>
          <w:color w:val="000000" w:themeColor="text1"/>
          <w:sz w:val="28"/>
          <w:szCs w:val="28"/>
        </w:rPr>
        <w:t>颁发管理有关问题的函》（东应急函字</w:t>
      </w:r>
      <w:r>
        <w:rPr>
          <w:color w:val="000000" w:themeColor="text1"/>
          <w:sz w:val="28"/>
          <w:szCs w:val="28"/>
        </w:rPr>
        <w:t>[2021]50</w:t>
      </w:r>
      <w:r>
        <w:rPr>
          <w:color w:val="000000" w:themeColor="text1"/>
          <w:sz w:val="28"/>
          <w:szCs w:val="28"/>
        </w:rPr>
        <w:t>号）等文件要求，</w:t>
      </w:r>
      <w:r>
        <w:rPr>
          <w:rFonts w:hint="eastAsia"/>
          <w:color w:val="000000" w:themeColor="text1"/>
          <w:sz w:val="28"/>
          <w:szCs w:val="28"/>
        </w:rPr>
        <w:t>胜利油田胜兴堵驱新技术开发有限责任公司</w:t>
      </w:r>
      <w:r>
        <w:rPr>
          <w:color w:val="000000" w:themeColor="text1"/>
          <w:sz w:val="28"/>
          <w:szCs w:val="28"/>
        </w:rPr>
        <w:t>现申请办理安全生产许可证。</w:t>
      </w:r>
    </w:p>
    <w:p w14:paraId="71F0CDC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根据《中华人民共和国安全生产法》（中华人民共和国主席令</w:t>
      </w:r>
      <w:r>
        <w:rPr>
          <w:color w:val="000000" w:themeColor="text1"/>
          <w:sz w:val="28"/>
          <w:szCs w:val="28"/>
        </w:rPr>
        <w:t>[2014]</w:t>
      </w:r>
      <w:r>
        <w:rPr>
          <w:color w:val="000000" w:themeColor="text1"/>
          <w:sz w:val="28"/>
          <w:szCs w:val="28"/>
        </w:rPr>
        <w:t>第</w:t>
      </w:r>
      <w:r>
        <w:rPr>
          <w:color w:val="000000" w:themeColor="text1"/>
          <w:sz w:val="28"/>
          <w:szCs w:val="28"/>
        </w:rPr>
        <w:t>13</w:t>
      </w:r>
      <w:r>
        <w:rPr>
          <w:color w:val="000000" w:themeColor="text1"/>
          <w:sz w:val="28"/>
          <w:szCs w:val="28"/>
        </w:rPr>
        <w:t>号，</w:t>
      </w:r>
      <w:r>
        <w:rPr>
          <w:color w:val="000000" w:themeColor="text1"/>
          <w:sz w:val="28"/>
          <w:szCs w:val="28"/>
        </w:rPr>
        <w:t>[2021]</w:t>
      </w:r>
      <w:r>
        <w:rPr>
          <w:color w:val="000000" w:themeColor="text1"/>
          <w:sz w:val="28"/>
          <w:szCs w:val="28"/>
        </w:rPr>
        <w:t>第</w:t>
      </w:r>
      <w:r>
        <w:rPr>
          <w:color w:val="000000" w:themeColor="text1"/>
          <w:sz w:val="28"/>
          <w:szCs w:val="28"/>
        </w:rPr>
        <w:t>88</w:t>
      </w:r>
      <w:r>
        <w:rPr>
          <w:color w:val="000000" w:themeColor="text1"/>
          <w:sz w:val="28"/>
          <w:szCs w:val="28"/>
        </w:rPr>
        <w:t>号令修正）、《安全生产许可证条例》</w:t>
      </w:r>
      <w:r>
        <w:rPr>
          <w:color w:val="000000" w:themeColor="text1"/>
          <w:sz w:val="28"/>
          <w:szCs w:val="28"/>
        </w:rPr>
        <w:lastRenderedPageBreak/>
        <w:t>（国务院令</w:t>
      </w:r>
      <w:r>
        <w:rPr>
          <w:color w:val="000000" w:themeColor="text1"/>
          <w:sz w:val="28"/>
          <w:szCs w:val="28"/>
        </w:rPr>
        <w:t>[2004]</w:t>
      </w:r>
      <w:r>
        <w:rPr>
          <w:color w:val="000000" w:themeColor="text1"/>
          <w:sz w:val="28"/>
          <w:szCs w:val="28"/>
        </w:rPr>
        <w:t>第</w:t>
      </w:r>
      <w:r>
        <w:rPr>
          <w:color w:val="000000" w:themeColor="text1"/>
          <w:sz w:val="28"/>
          <w:szCs w:val="28"/>
        </w:rPr>
        <w:t>397</w:t>
      </w:r>
      <w:r>
        <w:rPr>
          <w:color w:val="000000" w:themeColor="text1"/>
          <w:sz w:val="28"/>
          <w:szCs w:val="28"/>
        </w:rPr>
        <w:t>号，</w:t>
      </w:r>
      <w:r>
        <w:rPr>
          <w:color w:val="000000" w:themeColor="text1"/>
          <w:sz w:val="28"/>
          <w:szCs w:val="28"/>
        </w:rPr>
        <w:t>[2014]</w:t>
      </w:r>
      <w:r>
        <w:rPr>
          <w:color w:val="000000" w:themeColor="text1"/>
          <w:sz w:val="28"/>
          <w:szCs w:val="28"/>
        </w:rPr>
        <w:t>第</w:t>
      </w:r>
      <w:r>
        <w:rPr>
          <w:color w:val="000000" w:themeColor="text1"/>
          <w:sz w:val="28"/>
          <w:szCs w:val="28"/>
        </w:rPr>
        <w:t>653</w:t>
      </w:r>
      <w:r>
        <w:rPr>
          <w:color w:val="000000" w:themeColor="text1"/>
          <w:sz w:val="28"/>
          <w:szCs w:val="28"/>
        </w:rPr>
        <w:t>号修订）、《非煤矿矿山企业安全生产许可证实施办法》（国家安全生产监督管理总局令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号，第</w:t>
      </w:r>
      <w:r>
        <w:rPr>
          <w:color w:val="000000" w:themeColor="text1"/>
          <w:sz w:val="28"/>
          <w:szCs w:val="28"/>
        </w:rPr>
        <w:t>78</w:t>
      </w:r>
      <w:r>
        <w:rPr>
          <w:color w:val="000000" w:themeColor="text1"/>
          <w:sz w:val="28"/>
          <w:szCs w:val="28"/>
        </w:rPr>
        <w:t>号修订）、《山东省非煤矿矿山企业安全生产许可证实施方案》（鲁安监发</w:t>
      </w:r>
      <w:r>
        <w:rPr>
          <w:color w:val="000000" w:themeColor="text1"/>
          <w:sz w:val="28"/>
          <w:szCs w:val="28"/>
        </w:rPr>
        <w:t>[2009]133</w:t>
      </w:r>
      <w:r>
        <w:rPr>
          <w:color w:val="000000" w:themeColor="text1"/>
          <w:sz w:val="28"/>
          <w:szCs w:val="28"/>
        </w:rPr>
        <w:t>号）等规定的要求，为办理非煤矿矿山企业安全生产许可证，</w:t>
      </w:r>
      <w:r>
        <w:rPr>
          <w:rFonts w:hint="eastAsia"/>
          <w:color w:val="000000" w:themeColor="text1"/>
          <w:sz w:val="28"/>
          <w:szCs w:val="28"/>
        </w:rPr>
        <w:t>胜利油田胜兴堵驱新技术开发有限责任公司</w:t>
      </w:r>
      <w:r>
        <w:rPr>
          <w:color w:val="000000" w:themeColor="text1"/>
          <w:sz w:val="28"/>
          <w:szCs w:val="28"/>
        </w:rPr>
        <w:t>委托</w:t>
      </w:r>
      <w:r>
        <w:rPr>
          <w:rFonts w:hint="eastAsia"/>
          <w:color w:val="000000" w:themeColor="text1"/>
          <w:sz w:val="28"/>
          <w:szCs w:val="28"/>
        </w:rPr>
        <w:t>我公司</w:t>
      </w:r>
      <w:r>
        <w:rPr>
          <w:color w:val="000000" w:themeColor="text1"/>
          <w:sz w:val="28"/>
          <w:szCs w:val="28"/>
        </w:rPr>
        <w:t>对其进行安全现状评价。</w:t>
      </w:r>
    </w:p>
    <w:p w14:paraId="3E146A52"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我公司</w:t>
      </w:r>
      <w:r>
        <w:rPr>
          <w:color w:val="000000" w:themeColor="text1"/>
          <w:sz w:val="28"/>
          <w:szCs w:val="28"/>
        </w:rPr>
        <w:t>接到委托后，成立了评价项目组，按照《安全评价通则》（</w:t>
      </w:r>
      <w:r>
        <w:rPr>
          <w:color w:val="000000" w:themeColor="text1"/>
          <w:sz w:val="28"/>
          <w:szCs w:val="28"/>
        </w:rPr>
        <w:t>AQ8001-2007</w:t>
      </w:r>
      <w:r>
        <w:rPr>
          <w:color w:val="000000" w:themeColor="text1"/>
          <w:sz w:val="28"/>
          <w:szCs w:val="28"/>
        </w:rPr>
        <w:t>）的要求，进行了资料与标准收集、现场调研、工程分析、危险与有害因素分析、定性评价，并在此基础上提出了安全对策措施建议，最后编制完成了本安全现状评价报告。</w:t>
      </w:r>
    </w:p>
    <w:p w14:paraId="303FA9D3"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此次安全评价工作，自始至终都得到了</w:t>
      </w:r>
      <w:r>
        <w:rPr>
          <w:rFonts w:hint="eastAsia"/>
          <w:color w:val="000000" w:themeColor="text1"/>
          <w:sz w:val="28"/>
          <w:szCs w:val="28"/>
        </w:rPr>
        <w:t>胜利油田胜兴堵驱新技术开发有限责任公司</w:t>
      </w:r>
      <w:r>
        <w:rPr>
          <w:color w:val="000000" w:themeColor="text1"/>
          <w:sz w:val="28"/>
          <w:szCs w:val="28"/>
        </w:rPr>
        <w:t>领导和员工的大力支持和配合，在此表示衷心的感谢！</w:t>
      </w:r>
    </w:p>
    <w:p w14:paraId="1562DBEC" w14:textId="77777777" w:rsidR="002D2AF8" w:rsidRDefault="00000000">
      <w:pPr>
        <w:adjustRightInd w:val="0"/>
        <w:snapToGrid w:val="0"/>
        <w:spacing w:line="360" w:lineRule="auto"/>
        <w:ind w:firstLineChars="200" w:firstLine="566"/>
        <w:jc w:val="right"/>
        <w:rPr>
          <w:color w:val="000000" w:themeColor="text1"/>
          <w:sz w:val="28"/>
          <w:szCs w:val="28"/>
        </w:rPr>
      </w:pPr>
      <w:r>
        <w:rPr>
          <w:color w:val="000000" w:themeColor="text1"/>
          <w:sz w:val="28"/>
          <w:szCs w:val="28"/>
        </w:rPr>
        <w:t>评价项目组</w:t>
      </w:r>
    </w:p>
    <w:p w14:paraId="0C9B9F2A" w14:textId="77777777" w:rsidR="002D2AF8" w:rsidRDefault="00000000">
      <w:pPr>
        <w:adjustRightInd w:val="0"/>
        <w:snapToGrid w:val="0"/>
        <w:spacing w:line="360" w:lineRule="auto"/>
        <w:ind w:firstLineChars="200" w:firstLine="566"/>
        <w:jc w:val="right"/>
        <w:rPr>
          <w:color w:val="000000" w:themeColor="text1"/>
          <w:sz w:val="28"/>
          <w:szCs w:val="28"/>
        </w:rPr>
      </w:pPr>
      <w:r>
        <w:rPr>
          <w:color w:val="000000" w:themeColor="text1"/>
          <w:sz w:val="28"/>
          <w:szCs w:val="28"/>
        </w:rPr>
        <w:t>2022</w:t>
      </w:r>
      <w:r>
        <w:rPr>
          <w:color w:val="000000" w:themeColor="text1"/>
          <w:sz w:val="28"/>
          <w:szCs w:val="28"/>
        </w:rPr>
        <w:t>年</w:t>
      </w:r>
      <w:r>
        <w:rPr>
          <w:rFonts w:hint="eastAsia"/>
          <w:color w:val="000000" w:themeColor="text1"/>
          <w:sz w:val="28"/>
          <w:szCs w:val="28"/>
        </w:rPr>
        <w:t>11</w:t>
      </w:r>
      <w:r>
        <w:rPr>
          <w:color w:val="000000" w:themeColor="text1"/>
          <w:sz w:val="28"/>
          <w:szCs w:val="28"/>
        </w:rPr>
        <w:t>月</w:t>
      </w:r>
    </w:p>
    <w:p w14:paraId="4935CB19" w14:textId="77777777" w:rsidR="002D2AF8" w:rsidRDefault="002D2AF8">
      <w:pPr>
        <w:adjustRightInd w:val="0"/>
        <w:snapToGrid w:val="0"/>
        <w:spacing w:line="360" w:lineRule="auto"/>
        <w:ind w:firstLineChars="200" w:firstLine="648"/>
        <w:jc w:val="center"/>
        <w:rPr>
          <w:b/>
          <w:bCs/>
          <w:color w:val="000000" w:themeColor="text1"/>
          <w:kern w:val="0"/>
          <w:sz w:val="32"/>
          <w:szCs w:val="32"/>
        </w:rPr>
        <w:sectPr w:rsidR="002D2AF8">
          <w:footerReference w:type="default" r:id="rId15"/>
          <w:pgSz w:w="11906" w:h="16838"/>
          <w:pgMar w:top="1440" w:right="1803" w:bottom="1440" w:left="1803" w:header="850" w:footer="992" w:gutter="0"/>
          <w:cols w:space="0"/>
          <w:docGrid w:type="linesAndChars" w:linePitch="325" w:charSpace="577"/>
        </w:sectPr>
      </w:pPr>
    </w:p>
    <w:p w14:paraId="2FBD6ACE" w14:textId="77777777" w:rsidR="002D2AF8" w:rsidRDefault="00000000">
      <w:pPr>
        <w:adjustRightInd w:val="0"/>
        <w:snapToGrid w:val="0"/>
        <w:spacing w:line="360" w:lineRule="auto"/>
        <w:jc w:val="center"/>
        <w:rPr>
          <w:rFonts w:eastAsia="黑体"/>
          <w:b/>
          <w:bCs/>
          <w:color w:val="000000" w:themeColor="text1"/>
          <w:kern w:val="44"/>
          <w:sz w:val="36"/>
          <w:szCs w:val="36"/>
        </w:rPr>
      </w:pPr>
      <w:r>
        <w:rPr>
          <w:rFonts w:eastAsia="黑体"/>
          <w:b/>
          <w:bCs/>
          <w:color w:val="000000" w:themeColor="text1"/>
          <w:kern w:val="44"/>
          <w:sz w:val="36"/>
          <w:szCs w:val="36"/>
        </w:rPr>
        <w:lastRenderedPageBreak/>
        <w:t>目</w:t>
      </w:r>
      <w:r>
        <w:rPr>
          <w:rFonts w:eastAsia="黑体"/>
          <w:b/>
          <w:bCs/>
          <w:color w:val="000000" w:themeColor="text1"/>
          <w:kern w:val="44"/>
          <w:sz w:val="36"/>
          <w:szCs w:val="36"/>
        </w:rPr>
        <w:t xml:space="preserve">   </w:t>
      </w:r>
      <w:r>
        <w:rPr>
          <w:rFonts w:eastAsia="黑体"/>
          <w:b/>
          <w:bCs/>
          <w:color w:val="000000" w:themeColor="text1"/>
          <w:kern w:val="44"/>
          <w:sz w:val="36"/>
          <w:szCs w:val="36"/>
        </w:rPr>
        <w:t>录</w:t>
      </w:r>
    </w:p>
    <w:p w14:paraId="10B729D2" w14:textId="77777777" w:rsidR="002D2AF8" w:rsidRDefault="00000000">
      <w:pPr>
        <w:pStyle w:val="TOC1"/>
        <w:tabs>
          <w:tab w:val="clear" w:pos="8302"/>
          <w:tab w:val="right" w:leader="dot" w:pos="8306"/>
        </w:tabs>
        <w:spacing w:line="360" w:lineRule="auto"/>
        <w:rPr>
          <w:szCs w:val="28"/>
        </w:rPr>
      </w:pPr>
      <w:r>
        <w:rPr>
          <w:color w:val="000000" w:themeColor="text1"/>
          <w:szCs w:val="28"/>
        </w:rPr>
        <w:fldChar w:fldCharType="begin"/>
      </w:r>
      <w:r>
        <w:rPr>
          <w:color w:val="000000" w:themeColor="text1"/>
          <w:szCs w:val="28"/>
        </w:rPr>
        <w:instrText xml:space="preserve"> TOC \o "1-2" \h \z \u </w:instrText>
      </w:r>
      <w:r>
        <w:rPr>
          <w:color w:val="000000" w:themeColor="text1"/>
          <w:szCs w:val="28"/>
        </w:rPr>
        <w:fldChar w:fldCharType="separate"/>
      </w:r>
      <w:hyperlink w:anchor="_Toc23077" w:history="1">
        <w:r>
          <w:rPr>
            <w:szCs w:val="28"/>
          </w:rPr>
          <w:t xml:space="preserve">1 </w:t>
        </w:r>
        <w:r>
          <w:rPr>
            <w:szCs w:val="28"/>
          </w:rPr>
          <w:t>总则</w:t>
        </w:r>
        <w:r>
          <w:rPr>
            <w:szCs w:val="28"/>
          </w:rPr>
          <w:tab/>
        </w:r>
        <w:r>
          <w:rPr>
            <w:szCs w:val="28"/>
          </w:rPr>
          <w:fldChar w:fldCharType="begin"/>
        </w:r>
        <w:r>
          <w:rPr>
            <w:szCs w:val="28"/>
          </w:rPr>
          <w:instrText xml:space="preserve"> PAGEREF _Toc23077 \h </w:instrText>
        </w:r>
        <w:r>
          <w:rPr>
            <w:szCs w:val="28"/>
          </w:rPr>
        </w:r>
        <w:r>
          <w:rPr>
            <w:szCs w:val="28"/>
          </w:rPr>
          <w:fldChar w:fldCharType="separate"/>
        </w:r>
        <w:r>
          <w:rPr>
            <w:szCs w:val="28"/>
          </w:rPr>
          <w:t>1</w:t>
        </w:r>
        <w:r>
          <w:rPr>
            <w:szCs w:val="28"/>
          </w:rPr>
          <w:fldChar w:fldCharType="end"/>
        </w:r>
      </w:hyperlink>
    </w:p>
    <w:p w14:paraId="5DCC0D9E" w14:textId="77777777" w:rsidR="002D2AF8" w:rsidRDefault="00000000">
      <w:pPr>
        <w:pStyle w:val="TOC2"/>
        <w:tabs>
          <w:tab w:val="clear" w:pos="8296"/>
          <w:tab w:val="right" w:leader="dot" w:pos="8306"/>
        </w:tabs>
        <w:spacing w:line="360" w:lineRule="auto"/>
        <w:ind w:left="426"/>
        <w:rPr>
          <w:sz w:val="28"/>
        </w:rPr>
      </w:pPr>
      <w:hyperlink w:anchor="_Toc29345" w:history="1">
        <w:r>
          <w:rPr>
            <w:sz w:val="28"/>
          </w:rPr>
          <w:t xml:space="preserve">1.1 </w:t>
        </w:r>
        <w:r>
          <w:rPr>
            <w:sz w:val="28"/>
          </w:rPr>
          <w:t>评价目的</w:t>
        </w:r>
        <w:r>
          <w:rPr>
            <w:sz w:val="28"/>
          </w:rPr>
          <w:tab/>
        </w:r>
        <w:r>
          <w:rPr>
            <w:sz w:val="28"/>
          </w:rPr>
          <w:fldChar w:fldCharType="begin"/>
        </w:r>
        <w:r>
          <w:rPr>
            <w:sz w:val="28"/>
          </w:rPr>
          <w:instrText xml:space="preserve"> PAGEREF _Toc29345 \h </w:instrText>
        </w:r>
        <w:r>
          <w:rPr>
            <w:sz w:val="28"/>
          </w:rPr>
        </w:r>
        <w:r>
          <w:rPr>
            <w:sz w:val="28"/>
          </w:rPr>
          <w:fldChar w:fldCharType="separate"/>
        </w:r>
        <w:r>
          <w:rPr>
            <w:sz w:val="28"/>
          </w:rPr>
          <w:t>1</w:t>
        </w:r>
        <w:r>
          <w:rPr>
            <w:sz w:val="28"/>
          </w:rPr>
          <w:fldChar w:fldCharType="end"/>
        </w:r>
      </w:hyperlink>
    </w:p>
    <w:p w14:paraId="7833464E" w14:textId="77777777" w:rsidR="002D2AF8" w:rsidRDefault="00000000">
      <w:pPr>
        <w:pStyle w:val="TOC2"/>
        <w:tabs>
          <w:tab w:val="clear" w:pos="8296"/>
          <w:tab w:val="right" w:leader="dot" w:pos="8306"/>
        </w:tabs>
        <w:spacing w:line="360" w:lineRule="auto"/>
        <w:ind w:left="426"/>
        <w:rPr>
          <w:sz w:val="28"/>
        </w:rPr>
      </w:pPr>
      <w:hyperlink w:anchor="_Toc18951" w:history="1">
        <w:r>
          <w:rPr>
            <w:sz w:val="28"/>
          </w:rPr>
          <w:t xml:space="preserve">1.2 </w:t>
        </w:r>
        <w:r>
          <w:rPr>
            <w:sz w:val="28"/>
          </w:rPr>
          <w:t>评价依据</w:t>
        </w:r>
        <w:r>
          <w:rPr>
            <w:sz w:val="28"/>
          </w:rPr>
          <w:tab/>
        </w:r>
        <w:r>
          <w:rPr>
            <w:sz w:val="28"/>
          </w:rPr>
          <w:fldChar w:fldCharType="begin"/>
        </w:r>
        <w:r>
          <w:rPr>
            <w:sz w:val="28"/>
          </w:rPr>
          <w:instrText xml:space="preserve"> PAGEREF _Toc18951 \h </w:instrText>
        </w:r>
        <w:r>
          <w:rPr>
            <w:sz w:val="28"/>
          </w:rPr>
        </w:r>
        <w:r>
          <w:rPr>
            <w:sz w:val="28"/>
          </w:rPr>
          <w:fldChar w:fldCharType="separate"/>
        </w:r>
        <w:r>
          <w:rPr>
            <w:sz w:val="28"/>
          </w:rPr>
          <w:t>1</w:t>
        </w:r>
        <w:r>
          <w:rPr>
            <w:sz w:val="28"/>
          </w:rPr>
          <w:fldChar w:fldCharType="end"/>
        </w:r>
      </w:hyperlink>
    </w:p>
    <w:p w14:paraId="621D0B5B" w14:textId="77777777" w:rsidR="002D2AF8" w:rsidRDefault="00000000">
      <w:pPr>
        <w:pStyle w:val="TOC2"/>
        <w:tabs>
          <w:tab w:val="clear" w:pos="8296"/>
          <w:tab w:val="right" w:leader="dot" w:pos="8306"/>
        </w:tabs>
        <w:spacing w:line="360" w:lineRule="auto"/>
        <w:ind w:left="426"/>
        <w:rPr>
          <w:sz w:val="28"/>
        </w:rPr>
      </w:pPr>
      <w:hyperlink w:anchor="_Toc29491" w:history="1">
        <w:r>
          <w:rPr>
            <w:sz w:val="28"/>
          </w:rPr>
          <w:t xml:space="preserve">1.3 </w:t>
        </w:r>
        <w:r>
          <w:rPr>
            <w:sz w:val="28"/>
          </w:rPr>
          <w:t>评价范围</w:t>
        </w:r>
        <w:r>
          <w:rPr>
            <w:sz w:val="28"/>
          </w:rPr>
          <w:tab/>
        </w:r>
        <w:r>
          <w:rPr>
            <w:sz w:val="28"/>
          </w:rPr>
          <w:fldChar w:fldCharType="begin"/>
        </w:r>
        <w:r>
          <w:rPr>
            <w:sz w:val="28"/>
          </w:rPr>
          <w:instrText xml:space="preserve"> PAGEREF _Toc29491 \h </w:instrText>
        </w:r>
        <w:r>
          <w:rPr>
            <w:sz w:val="28"/>
          </w:rPr>
        </w:r>
        <w:r>
          <w:rPr>
            <w:sz w:val="28"/>
          </w:rPr>
          <w:fldChar w:fldCharType="separate"/>
        </w:r>
        <w:r>
          <w:rPr>
            <w:sz w:val="28"/>
          </w:rPr>
          <w:t>9</w:t>
        </w:r>
        <w:r>
          <w:rPr>
            <w:sz w:val="28"/>
          </w:rPr>
          <w:fldChar w:fldCharType="end"/>
        </w:r>
      </w:hyperlink>
    </w:p>
    <w:p w14:paraId="0F4986FE" w14:textId="77777777" w:rsidR="002D2AF8" w:rsidRDefault="00000000">
      <w:pPr>
        <w:pStyle w:val="TOC2"/>
        <w:tabs>
          <w:tab w:val="clear" w:pos="8296"/>
          <w:tab w:val="right" w:leader="dot" w:pos="8306"/>
        </w:tabs>
        <w:spacing w:line="360" w:lineRule="auto"/>
        <w:ind w:left="426"/>
        <w:rPr>
          <w:sz w:val="28"/>
        </w:rPr>
      </w:pPr>
      <w:hyperlink w:anchor="_Toc29641" w:history="1">
        <w:r>
          <w:rPr>
            <w:sz w:val="28"/>
          </w:rPr>
          <w:t xml:space="preserve">1.4 </w:t>
        </w:r>
        <w:r>
          <w:rPr>
            <w:sz w:val="28"/>
          </w:rPr>
          <w:t>评价程序</w:t>
        </w:r>
        <w:r>
          <w:rPr>
            <w:sz w:val="28"/>
          </w:rPr>
          <w:tab/>
        </w:r>
        <w:r>
          <w:rPr>
            <w:sz w:val="28"/>
          </w:rPr>
          <w:fldChar w:fldCharType="begin"/>
        </w:r>
        <w:r>
          <w:rPr>
            <w:sz w:val="28"/>
          </w:rPr>
          <w:instrText xml:space="preserve"> PAGEREF _Toc29641 \h </w:instrText>
        </w:r>
        <w:r>
          <w:rPr>
            <w:sz w:val="28"/>
          </w:rPr>
        </w:r>
        <w:r>
          <w:rPr>
            <w:sz w:val="28"/>
          </w:rPr>
          <w:fldChar w:fldCharType="separate"/>
        </w:r>
        <w:r>
          <w:rPr>
            <w:sz w:val="28"/>
          </w:rPr>
          <w:t>10</w:t>
        </w:r>
        <w:r>
          <w:rPr>
            <w:sz w:val="28"/>
          </w:rPr>
          <w:fldChar w:fldCharType="end"/>
        </w:r>
      </w:hyperlink>
    </w:p>
    <w:p w14:paraId="12CC6517" w14:textId="77777777" w:rsidR="002D2AF8" w:rsidRDefault="00000000">
      <w:pPr>
        <w:pStyle w:val="TOC1"/>
        <w:tabs>
          <w:tab w:val="clear" w:pos="8302"/>
          <w:tab w:val="right" w:leader="dot" w:pos="8306"/>
        </w:tabs>
        <w:spacing w:line="360" w:lineRule="auto"/>
        <w:rPr>
          <w:szCs w:val="28"/>
        </w:rPr>
      </w:pPr>
      <w:hyperlink w:anchor="_Toc7976" w:history="1">
        <w:r>
          <w:rPr>
            <w:szCs w:val="28"/>
          </w:rPr>
          <w:t xml:space="preserve">2 </w:t>
        </w:r>
        <w:r>
          <w:rPr>
            <w:szCs w:val="28"/>
          </w:rPr>
          <w:t>被评价单位基本情况</w:t>
        </w:r>
        <w:r>
          <w:rPr>
            <w:szCs w:val="28"/>
          </w:rPr>
          <w:tab/>
        </w:r>
        <w:r>
          <w:rPr>
            <w:szCs w:val="28"/>
          </w:rPr>
          <w:fldChar w:fldCharType="begin"/>
        </w:r>
        <w:r>
          <w:rPr>
            <w:szCs w:val="28"/>
          </w:rPr>
          <w:instrText xml:space="preserve"> PAGEREF _Toc7976 \h </w:instrText>
        </w:r>
        <w:r>
          <w:rPr>
            <w:szCs w:val="28"/>
          </w:rPr>
        </w:r>
        <w:r>
          <w:rPr>
            <w:szCs w:val="28"/>
          </w:rPr>
          <w:fldChar w:fldCharType="separate"/>
        </w:r>
        <w:r>
          <w:rPr>
            <w:szCs w:val="28"/>
          </w:rPr>
          <w:t>12</w:t>
        </w:r>
        <w:r>
          <w:rPr>
            <w:szCs w:val="28"/>
          </w:rPr>
          <w:fldChar w:fldCharType="end"/>
        </w:r>
      </w:hyperlink>
    </w:p>
    <w:p w14:paraId="464EDA47" w14:textId="77777777" w:rsidR="002D2AF8" w:rsidRDefault="00000000">
      <w:pPr>
        <w:pStyle w:val="TOC2"/>
        <w:tabs>
          <w:tab w:val="clear" w:pos="8296"/>
          <w:tab w:val="right" w:leader="dot" w:pos="8306"/>
        </w:tabs>
        <w:spacing w:line="360" w:lineRule="auto"/>
        <w:ind w:left="426"/>
        <w:rPr>
          <w:sz w:val="28"/>
        </w:rPr>
      </w:pPr>
      <w:hyperlink w:anchor="_Toc29010" w:history="1">
        <w:r>
          <w:rPr>
            <w:sz w:val="28"/>
          </w:rPr>
          <w:t xml:space="preserve">2.1 </w:t>
        </w:r>
        <w:r>
          <w:rPr>
            <w:sz w:val="28"/>
          </w:rPr>
          <w:t>企业概况</w:t>
        </w:r>
        <w:r>
          <w:rPr>
            <w:sz w:val="28"/>
          </w:rPr>
          <w:tab/>
        </w:r>
        <w:r>
          <w:rPr>
            <w:sz w:val="28"/>
          </w:rPr>
          <w:fldChar w:fldCharType="begin"/>
        </w:r>
        <w:r>
          <w:rPr>
            <w:sz w:val="28"/>
          </w:rPr>
          <w:instrText xml:space="preserve"> PAGEREF _Toc29010 \h </w:instrText>
        </w:r>
        <w:r>
          <w:rPr>
            <w:sz w:val="28"/>
          </w:rPr>
        </w:r>
        <w:r>
          <w:rPr>
            <w:sz w:val="28"/>
          </w:rPr>
          <w:fldChar w:fldCharType="separate"/>
        </w:r>
        <w:r>
          <w:rPr>
            <w:sz w:val="28"/>
          </w:rPr>
          <w:t>12</w:t>
        </w:r>
        <w:r>
          <w:rPr>
            <w:sz w:val="28"/>
          </w:rPr>
          <w:fldChar w:fldCharType="end"/>
        </w:r>
      </w:hyperlink>
    </w:p>
    <w:p w14:paraId="5A18B51A" w14:textId="77777777" w:rsidR="002D2AF8" w:rsidRDefault="00000000">
      <w:pPr>
        <w:pStyle w:val="TOC2"/>
        <w:tabs>
          <w:tab w:val="clear" w:pos="8296"/>
          <w:tab w:val="right" w:leader="dot" w:pos="8306"/>
        </w:tabs>
        <w:spacing w:line="360" w:lineRule="auto"/>
        <w:ind w:left="426"/>
        <w:rPr>
          <w:sz w:val="28"/>
        </w:rPr>
      </w:pPr>
      <w:hyperlink w:anchor="_Toc10994" w:history="1">
        <w:r>
          <w:rPr>
            <w:sz w:val="28"/>
          </w:rPr>
          <w:t xml:space="preserve">2.2 </w:t>
        </w:r>
        <w:r>
          <w:rPr>
            <w:sz w:val="28"/>
          </w:rPr>
          <w:t>机构设置</w:t>
        </w:r>
        <w:r>
          <w:rPr>
            <w:sz w:val="28"/>
          </w:rPr>
          <w:tab/>
        </w:r>
        <w:r>
          <w:rPr>
            <w:sz w:val="28"/>
          </w:rPr>
          <w:fldChar w:fldCharType="begin"/>
        </w:r>
        <w:r>
          <w:rPr>
            <w:sz w:val="28"/>
          </w:rPr>
          <w:instrText xml:space="preserve"> PAGEREF _Toc10994 \h </w:instrText>
        </w:r>
        <w:r>
          <w:rPr>
            <w:sz w:val="28"/>
          </w:rPr>
        </w:r>
        <w:r>
          <w:rPr>
            <w:sz w:val="28"/>
          </w:rPr>
          <w:fldChar w:fldCharType="separate"/>
        </w:r>
        <w:r>
          <w:rPr>
            <w:sz w:val="28"/>
          </w:rPr>
          <w:t>13</w:t>
        </w:r>
        <w:r>
          <w:rPr>
            <w:sz w:val="28"/>
          </w:rPr>
          <w:fldChar w:fldCharType="end"/>
        </w:r>
      </w:hyperlink>
    </w:p>
    <w:p w14:paraId="00E88216" w14:textId="77777777" w:rsidR="002D2AF8" w:rsidRDefault="00000000">
      <w:pPr>
        <w:pStyle w:val="TOC2"/>
        <w:tabs>
          <w:tab w:val="clear" w:pos="8296"/>
          <w:tab w:val="right" w:leader="dot" w:pos="8306"/>
        </w:tabs>
        <w:spacing w:line="360" w:lineRule="auto"/>
        <w:ind w:left="426"/>
        <w:rPr>
          <w:sz w:val="28"/>
        </w:rPr>
      </w:pPr>
      <w:hyperlink w:anchor="_Toc9963" w:history="1">
        <w:r>
          <w:rPr>
            <w:sz w:val="28"/>
          </w:rPr>
          <w:t xml:space="preserve">2.3 </w:t>
        </w:r>
        <w:r>
          <w:rPr>
            <w:sz w:val="28"/>
          </w:rPr>
          <w:t>主要装备、设施、作业场所概况</w:t>
        </w:r>
        <w:r>
          <w:rPr>
            <w:sz w:val="28"/>
          </w:rPr>
          <w:tab/>
        </w:r>
        <w:r>
          <w:rPr>
            <w:sz w:val="28"/>
          </w:rPr>
          <w:fldChar w:fldCharType="begin"/>
        </w:r>
        <w:r>
          <w:rPr>
            <w:sz w:val="28"/>
          </w:rPr>
          <w:instrText xml:space="preserve"> PAGEREF _Toc9963 \h </w:instrText>
        </w:r>
        <w:r>
          <w:rPr>
            <w:sz w:val="28"/>
          </w:rPr>
        </w:r>
        <w:r>
          <w:rPr>
            <w:sz w:val="28"/>
          </w:rPr>
          <w:fldChar w:fldCharType="separate"/>
        </w:r>
        <w:r>
          <w:rPr>
            <w:sz w:val="28"/>
          </w:rPr>
          <w:t>14</w:t>
        </w:r>
        <w:r>
          <w:rPr>
            <w:sz w:val="28"/>
          </w:rPr>
          <w:fldChar w:fldCharType="end"/>
        </w:r>
      </w:hyperlink>
    </w:p>
    <w:p w14:paraId="72D33F16" w14:textId="77777777" w:rsidR="002D2AF8" w:rsidRDefault="00000000">
      <w:pPr>
        <w:pStyle w:val="TOC2"/>
        <w:tabs>
          <w:tab w:val="clear" w:pos="8296"/>
          <w:tab w:val="right" w:leader="dot" w:pos="8306"/>
        </w:tabs>
        <w:spacing w:line="360" w:lineRule="auto"/>
        <w:ind w:left="426"/>
        <w:rPr>
          <w:sz w:val="28"/>
        </w:rPr>
      </w:pPr>
      <w:hyperlink w:anchor="_Toc19680" w:history="1">
        <w:r>
          <w:rPr>
            <w:sz w:val="28"/>
          </w:rPr>
          <w:t xml:space="preserve">2.4 </w:t>
        </w:r>
        <w:r>
          <w:rPr>
            <w:sz w:val="28"/>
          </w:rPr>
          <w:t>安全生产管理机构的设置和安全生产管理人员的配备</w:t>
        </w:r>
        <w:r>
          <w:rPr>
            <w:sz w:val="28"/>
          </w:rPr>
          <w:tab/>
        </w:r>
        <w:r>
          <w:rPr>
            <w:sz w:val="28"/>
          </w:rPr>
          <w:fldChar w:fldCharType="begin"/>
        </w:r>
        <w:r>
          <w:rPr>
            <w:sz w:val="28"/>
          </w:rPr>
          <w:instrText xml:space="preserve"> PAGEREF _Toc19680 \h </w:instrText>
        </w:r>
        <w:r>
          <w:rPr>
            <w:sz w:val="28"/>
          </w:rPr>
        </w:r>
        <w:r>
          <w:rPr>
            <w:sz w:val="28"/>
          </w:rPr>
          <w:fldChar w:fldCharType="separate"/>
        </w:r>
        <w:r>
          <w:rPr>
            <w:sz w:val="28"/>
          </w:rPr>
          <w:t>23</w:t>
        </w:r>
        <w:r>
          <w:rPr>
            <w:sz w:val="28"/>
          </w:rPr>
          <w:fldChar w:fldCharType="end"/>
        </w:r>
      </w:hyperlink>
    </w:p>
    <w:p w14:paraId="2D281892" w14:textId="77777777" w:rsidR="002D2AF8" w:rsidRDefault="00000000">
      <w:pPr>
        <w:pStyle w:val="TOC2"/>
        <w:tabs>
          <w:tab w:val="clear" w:pos="8296"/>
          <w:tab w:val="right" w:leader="dot" w:pos="8306"/>
        </w:tabs>
        <w:spacing w:line="360" w:lineRule="auto"/>
        <w:ind w:left="426"/>
        <w:rPr>
          <w:sz w:val="28"/>
        </w:rPr>
      </w:pPr>
      <w:hyperlink w:anchor="_Toc24396" w:history="1">
        <w:r>
          <w:rPr>
            <w:sz w:val="28"/>
          </w:rPr>
          <w:t xml:space="preserve">2.5 </w:t>
        </w:r>
        <w:r>
          <w:rPr>
            <w:sz w:val="28"/>
          </w:rPr>
          <w:t>安全生产规章制度及操作规程</w:t>
        </w:r>
        <w:r>
          <w:rPr>
            <w:sz w:val="28"/>
          </w:rPr>
          <w:tab/>
        </w:r>
        <w:r>
          <w:rPr>
            <w:sz w:val="28"/>
          </w:rPr>
          <w:fldChar w:fldCharType="begin"/>
        </w:r>
        <w:r>
          <w:rPr>
            <w:sz w:val="28"/>
          </w:rPr>
          <w:instrText xml:space="preserve"> PAGEREF _Toc24396 \h </w:instrText>
        </w:r>
        <w:r>
          <w:rPr>
            <w:sz w:val="28"/>
          </w:rPr>
        </w:r>
        <w:r>
          <w:rPr>
            <w:sz w:val="28"/>
          </w:rPr>
          <w:fldChar w:fldCharType="separate"/>
        </w:r>
        <w:r>
          <w:rPr>
            <w:sz w:val="28"/>
          </w:rPr>
          <w:t>24</w:t>
        </w:r>
        <w:r>
          <w:rPr>
            <w:sz w:val="28"/>
          </w:rPr>
          <w:fldChar w:fldCharType="end"/>
        </w:r>
      </w:hyperlink>
    </w:p>
    <w:p w14:paraId="76435581" w14:textId="77777777" w:rsidR="002D2AF8" w:rsidRDefault="00000000">
      <w:pPr>
        <w:pStyle w:val="TOC2"/>
        <w:tabs>
          <w:tab w:val="clear" w:pos="8296"/>
          <w:tab w:val="right" w:leader="dot" w:pos="8306"/>
        </w:tabs>
        <w:spacing w:line="360" w:lineRule="auto"/>
        <w:ind w:left="426"/>
        <w:rPr>
          <w:sz w:val="28"/>
        </w:rPr>
      </w:pPr>
      <w:hyperlink w:anchor="_Toc16234" w:history="1">
        <w:r>
          <w:rPr>
            <w:sz w:val="28"/>
          </w:rPr>
          <w:t xml:space="preserve">2.6 </w:t>
        </w:r>
        <w:r>
          <w:rPr>
            <w:sz w:val="28"/>
          </w:rPr>
          <w:t>安全投入情况</w:t>
        </w:r>
        <w:r>
          <w:rPr>
            <w:sz w:val="28"/>
          </w:rPr>
          <w:tab/>
        </w:r>
        <w:r>
          <w:rPr>
            <w:sz w:val="28"/>
          </w:rPr>
          <w:fldChar w:fldCharType="begin"/>
        </w:r>
        <w:r>
          <w:rPr>
            <w:sz w:val="28"/>
          </w:rPr>
          <w:instrText xml:space="preserve"> PAGEREF _Toc16234 \h </w:instrText>
        </w:r>
        <w:r>
          <w:rPr>
            <w:sz w:val="28"/>
          </w:rPr>
        </w:r>
        <w:r>
          <w:rPr>
            <w:sz w:val="28"/>
          </w:rPr>
          <w:fldChar w:fldCharType="separate"/>
        </w:r>
        <w:r>
          <w:rPr>
            <w:sz w:val="28"/>
          </w:rPr>
          <w:t>30</w:t>
        </w:r>
        <w:r>
          <w:rPr>
            <w:sz w:val="28"/>
          </w:rPr>
          <w:fldChar w:fldCharType="end"/>
        </w:r>
      </w:hyperlink>
    </w:p>
    <w:p w14:paraId="1034261C" w14:textId="77777777" w:rsidR="002D2AF8" w:rsidRDefault="00000000">
      <w:pPr>
        <w:pStyle w:val="TOC2"/>
        <w:tabs>
          <w:tab w:val="clear" w:pos="8296"/>
          <w:tab w:val="right" w:leader="dot" w:pos="8306"/>
        </w:tabs>
        <w:spacing w:line="360" w:lineRule="auto"/>
        <w:ind w:left="426"/>
        <w:rPr>
          <w:sz w:val="28"/>
        </w:rPr>
      </w:pPr>
      <w:hyperlink w:anchor="_Toc11517" w:history="1">
        <w:r>
          <w:rPr>
            <w:sz w:val="28"/>
          </w:rPr>
          <w:t xml:space="preserve">2.7 </w:t>
        </w:r>
        <w:r>
          <w:rPr>
            <w:sz w:val="28"/>
          </w:rPr>
          <w:t>安全教育培训及人员持证情况</w:t>
        </w:r>
        <w:r>
          <w:rPr>
            <w:sz w:val="28"/>
          </w:rPr>
          <w:tab/>
        </w:r>
        <w:r>
          <w:rPr>
            <w:sz w:val="28"/>
          </w:rPr>
          <w:fldChar w:fldCharType="begin"/>
        </w:r>
        <w:r>
          <w:rPr>
            <w:sz w:val="28"/>
          </w:rPr>
          <w:instrText xml:space="preserve"> PAGEREF _Toc11517 \h </w:instrText>
        </w:r>
        <w:r>
          <w:rPr>
            <w:sz w:val="28"/>
          </w:rPr>
        </w:r>
        <w:r>
          <w:rPr>
            <w:sz w:val="28"/>
          </w:rPr>
          <w:fldChar w:fldCharType="separate"/>
        </w:r>
        <w:r>
          <w:rPr>
            <w:sz w:val="28"/>
          </w:rPr>
          <w:t>31</w:t>
        </w:r>
        <w:r>
          <w:rPr>
            <w:sz w:val="28"/>
          </w:rPr>
          <w:fldChar w:fldCharType="end"/>
        </w:r>
      </w:hyperlink>
    </w:p>
    <w:p w14:paraId="3BA6B78B" w14:textId="77777777" w:rsidR="002D2AF8" w:rsidRDefault="00000000">
      <w:pPr>
        <w:pStyle w:val="TOC2"/>
        <w:tabs>
          <w:tab w:val="clear" w:pos="8296"/>
          <w:tab w:val="right" w:leader="dot" w:pos="8306"/>
        </w:tabs>
        <w:spacing w:line="360" w:lineRule="auto"/>
        <w:ind w:left="426"/>
        <w:rPr>
          <w:sz w:val="28"/>
        </w:rPr>
      </w:pPr>
      <w:hyperlink w:anchor="_Toc5172" w:history="1">
        <w:r>
          <w:rPr>
            <w:sz w:val="28"/>
          </w:rPr>
          <w:t xml:space="preserve">2.8 </w:t>
        </w:r>
        <w:r>
          <w:rPr>
            <w:sz w:val="28"/>
          </w:rPr>
          <w:t>人员保险</w:t>
        </w:r>
        <w:r>
          <w:rPr>
            <w:sz w:val="28"/>
          </w:rPr>
          <w:tab/>
        </w:r>
        <w:r>
          <w:rPr>
            <w:sz w:val="28"/>
          </w:rPr>
          <w:fldChar w:fldCharType="begin"/>
        </w:r>
        <w:r>
          <w:rPr>
            <w:sz w:val="28"/>
          </w:rPr>
          <w:instrText xml:space="preserve"> PAGEREF _Toc5172 \h </w:instrText>
        </w:r>
        <w:r>
          <w:rPr>
            <w:sz w:val="28"/>
          </w:rPr>
        </w:r>
        <w:r>
          <w:rPr>
            <w:sz w:val="28"/>
          </w:rPr>
          <w:fldChar w:fldCharType="separate"/>
        </w:r>
        <w:r>
          <w:rPr>
            <w:sz w:val="28"/>
          </w:rPr>
          <w:t>36</w:t>
        </w:r>
        <w:r>
          <w:rPr>
            <w:sz w:val="28"/>
          </w:rPr>
          <w:fldChar w:fldCharType="end"/>
        </w:r>
      </w:hyperlink>
    </w:p>
    <w:p w14:paraId="05DC3241" w14:textId="77777777" w:rsidR="002D2AF8" w:rsidRDefault="00000000">
      <w:pPr>
        <w:pStyle w:val="TOC2"/>
        <w:tabs>
          <w:tab w:val="clear" w:pos="8296"/>
          <w:tab w:val="right" w:leader="dot" w:pos="8306"/>
        </w:tabs>
        <w:spacing w:line="360" w:lineRule="auto"/>
        <w:ind w:left="426"/>
        <w:rPr>
          <w:sz w:val="28"/>
        </w:rPr>
      </w:pPr>
      <w:hyperlink w:anchor="_Toc430" w:history="1">
        <w:r>
          <w:rPr>
            <w:sz w:val="28"/>
          </w:rPr>
          <w:t xml:space="preserve">2.9 </w:t>
        </w:r>
        <w:r>
          <w:rPr>
            <w:sz w:val="28"/>
          </w:rPr>
          <w:t>职业危害防护及劳保用品发放</w:t>
        </w:r>
        <w:r>
          <w:rPr>
            <w:sz w:val="28"/>
          </w:rPr>
          <w:tab/>
        </w:r>
        <w:r>
          <w:rPr>
            <w:sz w:val="28"/>
          </w:rPr>
          <w:fldChar w:fldCharType="begin"/>
        </w:r>
        <w:r>
          <w:rPr>
            <w:sz w:val="28"/>
          </w:rPr>
          <w:instrText xml:space="preserve"> PAGEREF _Toc430 \h </w:instrText>
        </w:r>
        <w:r>
          <w:rPr>
            <w:sz w:val="28"/>
          </w:rPr>
        </w:r>
        <w:r>
          <w:rPr>
            <w:sz w:val="28"/>
          </w:rPr>
          <w:fldChar w:fldCharType="separate"/>
        </w:r>
        <w:r>
          <w:rPr>
            <w:sz w:val="28"/>
          </w:rPr>
          <w:t>36</w:t>
        </w:r>
        <w:r>
          <w:rPr>
            <w:sz w:val="28"/>
          </w:rPr>
          <w:fldChar w:fldCharType="end"/>
        </w:r>
      </w:hyperlink>
    </w:p>
    <w:p w14:paraId="6B80AA86" w14:textId="77777777" w:rsidR="002D2AF8" w:rsidRDefault="00000000">
      <w:pPr>
        <w:pStyle w:val="TOC2"/>
        <w:tabs>
          <w:tab w:val="clear" w:pos="8296"/>
          <w:tab w:val="right" w:leader="dot" w:pos="8306"/>
        </w:tabs>
        <w:spacing w:line="360" w:lineRule="auto"/>
        <w:ind w:left="426"/>
        <w:rPr>
          <w:sz w:val="28"/>
        </w:rPr>
      </w:pPr>
      <w:hyperlink w:anchor="_Toc30480" w:history="1">
        <w:r>
          <w:rPr>
            <w:sz w:val="28"/>
          </w:rPr>
          <w:t xml:space="preserve">2.10 </w:t>
        </w:r>
        <w:r>
          <w:rPr>
            <w:sz w:val="28"/>
          </w:rPr>
          <w:t>设备设施检测、检验情况</w:t>
        </w:r>
        <w:r>
          <w:rPr>
            <w:sz w:val="28"/>
          </w:rPr>
          <w:tab/>
        </w:r>
        <w:r>
          <w:rPr>
            <w:sz w:val="28"/>
          </w:rPr>
          <w:fldChar w:fldCharType="begin"/>
        </w:r>
        <w:r>
          <w:rPr>
            <w:sz w:val="28"/>
          </w:rPr>
          <w:instrText xml:space="preserve"> PAGEREF _Toc30480 \h </w:instrText>
        </w:r>
        <w:r>
          <w:rPr>
            <w:sz w:val="28"/>
          </w:rPr>
        </w:r>
        <w:r>
          <w:rPr>
            <w:sz w:val="28"/>
          </w:rPr>
          <w:fldChar w:fldCharType="separate"/>
        </w:r>
        <w:r>
          <w:rPr>
            <w:sz w:val="28"/>
          </w:rPr>
          <w:t>38</w:t>
        </w:r>
        <w:r>
          <w:rPr>
            <w:sz w:val="28"/>
          </w:rPr>
          <w:fldChar w:fldCharType="end"/>
        </w:r>
      </w:hyperlink>
    </w:p>
    <w:p w14:paraId="421AB863" w14:textId="77777777" w:rsidR="002D2AF8" w:rsidRDefault="00000000">
      <w:pPr>
        <w:pStyle w:val="TOC2"/>
        <w:tabs>
          <w:tab w:val="clear" w:pos="8296"/>
          <w:tab w:val="right" w:leader="dot" w:pos="8306"/>
        </w:tabs>
        <w:spacing w:line="360" w:lineRule="auto"/>
        <w:ind w:left="426"/>
        <w:rPr>
          <w:sz w:val="28"/>
        </w:rPr>
      </w:pPr>
      <w:hyperlink w:anchor="_Toc10219" w:history="1">
        <w:r>
          <w:rPr>
            <w:sz w:val="28"/>
          </w:rPr>
          <w:t xml:space="preserve">2.11 </w:t>
        </w:r>
        <w:r>
          <w:rPr>
            <w:sz w:val="28"/>
          </w:rPr>
          <w:t>事故应急救援预案及演练</w:t>
        </w:r>
        <w:r>
          <w:rPr>
            <w:sz w:val="28"/>
          </w:rPr>
          <w:tab/>
        </w:r>
        <w:r>
          <w:rPr>
            <w:sz w:val="28"/>
          </w:rPr>
          <w:fldChar w:fldCharType="begin"/>
        </w:r>
        <w:r>
          <w:rPr>
            <w:sz w:val="28"/>
          </w:rPr>
          <w:instrText xml:space="preserve"> PAGEREF _Toc10219 \h </w:instrText>
        </w:r>
        <w:r>
          <w:rPr>
            <w:sz w:val="28"/>
          </w:rPr>
        </w:r>
        <w:r>
          <w:rPr>
            <w:sz w:val="28"/>
          </w:rPr>
          <w:fldChar w:fldCharType="separate"/>
        </w:r>
        <w:r>
          <w:rPr>
            <w:sz w:val="28"/>
          </w:rPr>
          <w:t>42</w:t>
        </w:r>
        <w:r>
          <w:rPr>
            <w:sz w:val="28"/>
          </w:rPr>
          <w:fldChar w:fldCharType="end"/>
        </w:r>
      </w:hyperlink>
    </w:p>
    <w:p w14:paraId="16208269" w14:textId="77777777" w:rsidR="002D2AF8" w:rsidRDefault="00000000">
      <w:pPr>
        <w:pStyle w:val="TOC2"/>
        <w:tabs>
          <w:tab w:val="clear" w:pos="8296"/>
          <w:tab w:val="right" w:leader="dot" w:pos="8306"/>
        </w:tabs>
        <w:spacing w:line="360" w:lineRule="auto"/>
        <w:ind w:left="426"/>
        <w:rPr>
          <w:sz w:val="28"/>
        </w:rPr>
      </w:pPr>
      <w:hyperlink w:anchor="_Toc30646" w:history="1">
        <w:r>
          <w:rPr>
            <w:sz w:val="28"/>
          </w:rPr>
          <w:t xml:space="preserve">2.12 </w:t>
        </w:r>
        <w:r>
          <w:rPr>
            <w:sz w:val="28"/>
          </w:rPr>
          <w:t>承包商管理和井控管理</w:t>
        </w:r>
        <w:r>
          <w:rPr>
            <w:sz w:val="28"/>
          </w:rPr>
          <w:tab/>
        </w:r>
        <w:r>
          <w:rPr>
            <w:sz w:val="28"/>
          </w:rPr>
          <w:fldChar w:fldCharType="begin"/>
        </w:r>
        <w:r>
          <w:rPr>
            <w:sz w:val="28"/>
          </w:rPr>
          <w:instrText xml:space="preserve"> PAGEREF _Toc30646 \h </w:instrText>
        </w:r>
        <w:r>
          <w:rPr>
            <w:sz w:val="28"/>
          </w:rPr>
        </w:r>
        <w:r>
          <w:rPr>
            <w:sz w:val="28"/>
          </w:rPr>
          <w:fldChar w:fldCharType="separate"/>
        </w:r>
        <w:r>
          <w:rPr>
            <w:sz w:val="28"/>
          </w:rPr>
          <w:t>44</w:t>
        </w:r>
        <w:r>
          <w:rPr>
            <w:sz w:val="28"/>
          </w:rPr>
          <w:fldChar w:fldCharType="end"/>
        </w:r>
      </w:hyperlink>
    </w:p>
    <w:p w14:paraId="7837C4D1" w14:textId="77777777" w:rsidR="002D2AF8" w:rsidRDefault="00000000">
      <w:pPr>
        <w:pStyle w:val="TOC2"/>
        <w:tabs>
          <w:tab w:val="clear" w:pos="8296"/>
          <w:tab w:val="right" w:leader="dot" w:pos="8306"/>
        </w:tabs>
        <w:spacing w:line="360" w:lineRule="auto"/>
        <w:ind w:left="426"/>
        <w:rPr>
          <w:sz w:val="28"/>
        </w:rPr>
      </w:pPr>
      <w:hyperlink w:anchor="_Toc16639" w:history="1">
        <w:r>
          <w:rPr>
            <w:sz w:val="28"/>
          </w:rPr>
          <w:t xml:space="preserve">2.13 </w:t>
        </w:r>
        <w:r>
          <w:rPr>
            <w:sz w:val="28"/>
          </w:rPr>
          <w:t>危险作业、交叉作业安全管理</w:t>
        </w:r>
        <w:r>
          <w:rPr>
            <w:sz w:val="28"/>
          </w:rPr>
          <w:tab/>
        </w:r>
        <w:r>
          <w:rPr>
            <w:sz w:val="28"/>
          </w:rPr>
          <w:fldChar w:fldCharType="begin"/>
        </w:r>
        <w:r>
          <w:rPr>
            <w:sz w:val="28"/>
          </w:rPr>
          <w:instrText xml:space="preserve"> PAGEREF _Toc16639 \h </w:instrText>
        </w:r>
        <w:r>
          <w:rPr>
            <w:sz w:val="28"/>
          </w:rPr>
        </w:r>
        <w:r>
          <w:rPr>
            <w:sz w:val="28"/>
          </w:rPr>
          <w:fldChar w:fldCharType="separate"/>
        </w:r>
        <w:r>
          <w:rPr>
            <w:sz w:val="28"/>
          </w:rPr>
          <w:t>45</w:t>
        </w:r>
        <w:r>
          <w:rPr>
            <w:sz w:val="28"/>
          </w:rPr>
          <w:fldChar w:fldCharType="end"/>
        </w:r>
      </w:hyperlink>
    </w:p>
    <w:p w14:paraId="0E867B7E" w14:textId="77777777" w:rsidR="002D2AF8" w:rsidRDefault="00000000">
      <w:pPr>
        <w:pStyle w:val="TOC2"/>
        <w:tabs>
          <w:tab w:val="clear" w:pos="8296"/>
          <w:tab w:val="right" w:leader="dot" w:pos="8306"/>
        </w:tabs>
        <w:spacing w:line="360" w:lineRule="auto"/>
        <w:ind w:left="426"/>
        <w:rPr>
          <w:sz w:val="28"/>
        </w:rPr>
      </w:pPr>
      <w:hyperlink w:anchor="_Toc14071" w:history="1">
        <w:r>
          <w:rPr>
            <w:sz w:val="28"/>
          </w:rPr>
          <w:t xml:space="preserve">2.14 </w:t>
        </w:r>
        <w:r>
          <w:rPr>
            <w:sz w:val="28"/>
          </w:rPr>
          <w:t>变更安全管理</w:t>
        </w:r>
        <w:r>
          <w:rPr>
            <w:sz w:val="28"/>
          </w:rPr>
          <w:tab/>
        </w:r>
        <w:r>
          <w:rPr>
            <w:sz w:val="28"/>
          </w:rPr>
          <w:fldChar w:fldCharType="begin"/>
        </w:r>
        <w:r>
          <w:rPr>
            <w:sz w:val="28"/>
          </w:rPr>
          <w:instrText xml:space="preserve"> PAGEREF _Toc14071 \h </w:instrText>
        </w:r>
        <w:r>
          <w:rPr>
            <w:sz w:val="28"/>
          </w:rPr>
        </w:r>
        <w:r>
          <w:rPr>
            <w:sz w:val="28"/>
          </w:rPr>
          <w:fldChar w:fldCharType="separate"/>
        </w:r>
        <w:r>
          <w:rPr>
            <w:sz w:val="28"/>
          </w:rPr>
          <w:t>45</w:t>
        </w:r>
        <w:r>
          <w:rPr>
            <w:sz w:val="28"/>
          </w:rPr>
          <w:fldChar w:fldCharType="end"/>
        </w:r>
      </w:hyperlink>
    </w:p>
    <w:p w14:paraId="583C4419" w14:textId="77777777" w:rsidR="002D2AF8" w:rsidRDefault="00000000">
      <w:pPr>
        <w:pStyle w:val="TOC2"/>
        <w:tabs>
          <w:tab w:val="clear" w:pos="8296"/>
          <w:tab w:val="right" w:leader="dot" w:pos="8306"/>
        </w:tabs>
        <w:spacing w:line="360" w:lineRule="auto"/>
        <w:ind w:left="426"/>
        <w:rPr>
          <w:sz w:val="28"/>
        </w:rPr>
      </w:pPr>
      <w:hyperlink w:anchor="_Toc15496" w:history="1">
        <w:r>
          <w:rPr>
            <w:sz w:val="28"/>
          </w:rPr>
          <w:t xml:space="preserve">2.15 </w:t>
        </w:r>
        <w:r>
          <w:rPr>
            <w:sz w:val="28"/>
          </w:rPr>
          <w:t>生产安全事故管理</w:t>
        </w:r>
        <w:r>
          <w:rPr>
            <w:sz w:val="28"/>
          </w:rPr>
          <w:tab/>
        </w:r>
        <w:r>
          <w:rPr>
            <w:sz w:val="28"/>
          </w:rPr>
          <w:fldChar w:fldCharType="begin"/>
        </w:r>
        <w:r>
          <w:rPr>
            <w:sz w:val="28"/>
          </w:rPr>
          <w:instrText xml:space="preserve"> PAGEREF _Toc15496 \h </w:instrText>
        </w:r>
        <w:r>
          <w:rPr>
            <w:sz w:val="28"/>
          </w:rPr>
        </w:r>
        <w:r>
          <w:rPr>
            <w:sz w:val="28"/>
          </w:rPr>
          <w:fldChar w:fldCharType="separate"/>
        </w:r>
        <w:r>
          <w:rPr>
            <w:sz w:val="28"/>
          </w:rPr>
          <w:t>45</w:t>
        </w:r>
        <w:r>
          <w:rPr>
            <w:sz w:val="28"/>
          </w:rPr>
          <w:fldChar w:fldCharType="end"/>
        </w:r>
      </w:hyperlink>
    </w:p>
    <w:p w14:paraId="1B0D5D2F" w14:textId="77777777" w:rsidR="002D2AF8" w:rsidRDefault="00000000">
      <w:pPr>
        <w:pStyle w:val="TOC2"/>
        <w:tabs>
          <w:tab w:val="clear" w:pos="8296"/>
          <w:tab w:val="right" w:leader="dot" w:pos="8306"/>
        </w:tabs>
        <w:spacing w:line="360" w:lineRule="auto"/>
        <w:ind w:left="426"/>
        <w:rPr>
          <w:sz w:val="28"/>
        </w:rPr>
      </w:pPr>
      <w:hyperlink w:anchor="_Toc7833" w:history="1">
        <w:r>
          <w:rPr>
            <w:sz w:val="28"/>
          </w:rPr>
          <w:t xml:space="preserve">2.16 </w:t>
        </w:r>
        <w:r>
          <w:rPr>
            <w:sz w:val="28"/>
          </w:rPr>
          <w:t>安全生产标准化及双重预防体系的建设、运行情况</w:t>
        </w:r>
        <w:r>
          <w:rPr>
            <w:sz w:val="28"/>
          </w:rPr>
          <w:tab/>
        </w:r>
        <w:r>
          <w:rPr>
            <w:sz w:val="28"/>
          </w:rPr>
          <w:fldChar w:fldCharType="begin"/>
        </w:r>
        <w:r>
          <w:rPr>
            <w:sz w:val="28"/>
          </w:rPr>
          <w:instrText xml:space="preserve"> PAGEREF _Toc7833 \h </w:instrText>
        </w:r>
        <w:r>
          <w:rPr>
            <w:sz w:val="28"/>
          </w:rPr>
        </w:r>
        <w:r>
          <w:rPr>
            <w:sz w:val="28"/>
          </w:rPr>
          <w:fldChar w:fldCharType="separate"/>
        </w:r>
        <w:r>
          <w:rPr>
            <w:sz w:val="28"/>
          </w:rPr>
          <w:t>46</w:t>
        </w:r>
        <w:r>
          <w:rPr>
            <w:sz w:val="28"/>
          </w:rPr>
          <w:fldChar w:fldCharType="end"/>
        </w:r>
      </w:hyperlink>
    </w:p>
    <w:p w14:paraId="6ABC8F57" w14:textId="77777777" w:rsidR="002D2AF8" w:rsidRDefault="00000000">
      <w:pPr>
        <w:pStyle w:val="TOC1"/>
        <w:tabs>
          <w:tab w:val="clear" w:pos="8302"/>
          <w:tab w:val="right" w:leader="dot" w:pos="8306"/>
        </w:tabs>
        <w:spacing w:line="360" w:lineRule="auto"/>
        <w:rPr>
          <w:szCs w:val="28"/>
        </w:rPr>
      </w:pPr>
      <w:hyperlink w:anchor="_Toc25732" w:history="1">
        <w:r>
          <w:rPr>
            <w:szCs w:val="28"/>
          </w:rPr>
          <w:t xml:space="preserve">3 </w:t>
        </w:r>
        <w:r>
          <w:rPr>
            <w:szCs w:val="28"/>
          </w:rPr>
          <w:t>主要危险、有害因素分析</w:t>
        </w:r>
        <w:r>
          <w:rPr>
            <w:szCs w:val="28"/>
          </w:rPr>
          <w:tab/>
        </w:r>
        <w:r>
          <w:rPr>
            <w:szCs w:val="28"/>
          </w:rPr>
          <w:fldChar w:fldCharType="begin"/>
        </w:r>
        <w:r>
          <w:rPr>
            <w:szCs w:val="28"/>
          </w:rPr>
          <w:instrText xml:space="preserve"> PAGEREF _Toc25732 \h </w:instrText>
        </w:r>
        <w:r>
          <w:rPr>
            <w:szCs w:val="28"/>
          </w:rPr>
        </w:r>
        <w:r>
          <w:rPr>
            <w:szCs w:val="28"/>
          </w:rPr>
          <w:fldChar w:fldCharType="separate"/>
        </w:r>
        <w:r>
          <w:rPr>
            <w:szCs w:val="28"/>
          </w:rPr>
          <w:t>49</w:t>
        </w:r>
        <w:r>
          <w:rPr>
            <w:szCs w:val="28"/>
          </w:rPr>
          <w:fldChar w:fldCharType="end"/>
        </w:r>
      </w:hyperlink>
    </w:p>
    <w:p w14:paraId="5ED3F071" w14:textId="77777777" w:rsidR="002D2AF8" w:rsidRDefault="00000000">
      <w:pPr>
        <w:pStyle w:val="TOC2"/>
        <w:tabs>
          <w:tab w:val="clear" w:pos="8296"/>
          <w:tab w:val="right" w:leader="dot" w:pos="8306"/>
        </w:tabs>
        <w:spacing w:line="360" w:lineRule="auto"/>
        <w:ind w:left="426"/>
        <w:rPr>
          <w:sz w:val="28"/>
        </w:rPr>
      </w:pPr>
      <w:hyperlink w:anchor="_Toc16669" w:history="1">
        <w:r>
          <w:rPr>
            <w:sz w:val="28"/>
          </w:rPr>
          <w:t xml:space="preserve">3.1 </w:t>
        </w:r>
        <w:r>
          <w:rPr>
            <w:sz w:val="28"/>
          </w:rPr>
          <w:t>主要危险有害物质分析</w:t>
        </w:r>
        <w:r>
          <w:rPr>
            <w:sz w:val="28"/>
          </w:rPr>
          <w:tab/>
        </w:r>
        <w:r>
          <w:rPr>
            <w:sz w:val="28"/>
          </w:rPr>
          <w:fldChar w:fldCharType="begin"/>
        </w:r>
        <w:r>
          <w:rPr>
            <w:sz w:val="28"/>
          </w:rPr>
          <w:instrText xml:space="preserve"> PAGEREF _Toc16669 \h </w:instrText>
        </w:r>
        <w:r>
          <w:rPr>
            <w:sz w:val="28"/>
          </w:rPr>
        </w:r>
        <w:r>
          <w:rPr>
            <w:sz w:val="28"/>
          </w:rPr>
          <w:fldChar w:fldCharType="separate"/>
        </w:r>
        <w:r>
          <w:rPr>
            <w:sz w:val="28"/>
          </w:rPr>
          <w:t>49</w:t>
        </w:r>
        <w:r>
          <w:rPr>
            <w:sz w:val="28"/>
          </w:rPr>
          <w:fldChar w:fldCharType="end"/>
        </w:r>
      </w:hyperlink>
    </w:p>
    <w:p w14:paraId="03BC1837" w14:textId="77777777" w:rsidR="002D2AF8" w:rsidRDefault="00000000">
      <w:pPr>
        <w:pStyle w:val="TOC2"/>
        <w:tabs>
          <w:tab w:val="clear" w:pos="8296"/>
          <w:tab w:val="right" w:leader="dot" w:pos="8306"/>
        </w:tabs>
        <w:spacing w:line="360" w:lineRule="auto"/>
        <w:ind w:left="426"/>
        <w:rPr>
          <w:sz w:val="28"/>
        </w:rPr>
      </w:pPr>
      <w:hyperlink w:anchor="_Toc2103" w:history="1">
        <w:r>
          <w:rPr>
            <w:sz w:val="28"/>
          </w:rPr>
          <w:t xml:space="preserve">3.2 </w:t>
        </w:r>
        <w:r>
          <w:rPr>
            <w:sz w:val="28"/>
          </w:rPr>
          <w:t>主要作业流程危险性分析</w:t>
        </w:r>
        <w:r>
          <w:rPr>
            <w:sz w:val="28"/>
          </w:rPr>
          <w:tab/>
        </w:r>
        <w:r>
          <w:rPr>
            <w:sz w:val="28"/>
          </w:rPr>
          <w:fldChar w:fldCharType="begin"/>
        </w:r>
        <w:r>
          <w:rPr>
            <w:sz w:val="28"/>
          </w:rPr>
          <w:instrText xml:space="preserve"> PAGEREF _Toc2103 \h </w:instrText>
        </w:r>
        <w:r>
          <w:rPr>
            <w:sz w:val="28"/>
          </w:rPr>
        </w:r>
        <w:r>
          <w:rPr>
            <w:sz w:val="28"/>
          </w:rPr>
          <w:fldChar w:fldCharType="separate"/>
        </w:r>
        <w:r>
          <w:rPr>
            <w:sz w:val="28"/>
          </w:rPr>
          <w:t>55</w:t>
        </w:r>
        <w:r>
          <w:rPr>
            <w:sz w:val="28"/>
          </w:rPr>
          <w:fldChar w:fldCharType="end"/>
        </w:r>
      </w:hyperlink>
    </w:p>
    <w:p w14:paraId="61F99E71" w14:textId="77777777" w:rsidR="002D2AF8" w:rsidRDefault="00000000">
      <w:pPr>
        <w:pStyle w:val="TOC2"/>
        <w:tabs>
          <w:tab w:val="clear" w:pos="8296"/>
          <w:tab w:val="right" w:leader="dot" w:pos="8306"/>
        </w:tabs>
        <w:spacing w:line="360" w:lineRule="auto"/>
        <w:ind w:left="426"/>
        <w:rPr>
          <w:sz w:val="28"/>
        </w:rPr>
      </w:pPr>
      <w:hyperlink w:anchor="_Toc9322" w:history="1">
        <w:r>
          <w:rPr>
            <w:sz w:val="28"/>
          </w:rPr>
          <w:t xml:space="preserve">3.3 </w:t>
        </w:r>
        <w:r>
          <w:rPr>
            <w:sz w:val="28"/>
          </w:rPr>
          <w:t>主要设备设施危险性分析</w:t>
        </w:r>
        <w:r>
          <w:rPr>
            <w:sz w:val="28"/>
          </w:rPr>
          <w:tab/>
        </w:r>
        <w:r>
          <w:rPr>
            <w:sz w:val="28"/>
          </w:rPr>
          <w:fldChar w:fldCharType="begin"/>
        </w:r>
        <w:r>
          <w:rPr>
            <w:sz w:val="28"/>
          </w:rPr>
          <w:instrText xml:space="preserve"> PAGEREF _Toc9322 \h </w:instrText>
        </w:r>
        <w:r>
          <w:rPr>
            <w:sz w:val="28"/>
          </w:rPr>
        </w:r>
        <w:r>
          <w:rPr>
            <w:sz w:val="28"/>
          </w:rPr>
          <w:fldChar w:fldCharType="separate"/>
        </w:r>
        <w:r>
          <w:rPr>
            <w:sz w:val="28"/>
          </w:rPr>
          <w:t>59</w:t>
        </w:r>
        <w:r>
          <w:rPr>
            <w:sz w:val="28"/>
          </w:rPr>
          <w:fldChar w:fldCharType="end"/>
        </w:r>
      </w:hyperlink>
    </w:p>
    <w:p w14:paraId="40403230" w14:textId="77777777" w:rsidR="002D2AF8" w:rsidRDefault="00000000">
      <w:pPr>
        <w:pStyle w:val="TOC2"/>
        <w:tabs>
          <w:tab w:val="clear" w:pos="8296"/>
          <w:tab w:val="right" w:leader="dot" w:pos="8306"/>
        </w:tabs>
        <w:spacing w:line="360" w:lineRule="auto"/>
        <w:ind w:left="426"/>
        <w:rPr>
          <w:sz w:val="28"/>
        </w:rPr>
      </w:pPr>
      <w:hyperlink w:anchor="_Toc8889" w:history="1">
        <w:r>
          <w:rPr>
            <w:sz w:val="28"/>
          </w:rPr>
          <w:t xml:space="preserve">3.4 </w:t>
        </w:r>
        <w:r>
          <w:rPr>
            <w:sz w:val="28"/>
          </w:rPr>
          <w:t>主要危险因素分析</w:t>
        </w:r>
        <w:r>
          <w:rPr>
            <w:sz w:val="28"/>
          </w:rPr>
          <w:tab/>
        </w:r>
        <w:r>
          <w:rPr>
            <w:sz w:val="28"/>
          </w:rPr>
          <w:fldChar w:fldCharType="begin"/>
        </w:r>
        <w:r>
          <w:rPr>
            <w:sz w:val="28"/>
          </w:rPr>
          <w:instrText xml:space="preserve"> PAGEREF _Toc8889 \h </w:instrText>
        </w:r>
        <w:r>
          <w:rPr>
            <w:sz w:val="28"/>
          </w:rPr>
        </w:r>
        <w:r>
          <w:rPr>
            <w:sz w:val="28"/>
          </w:rPr>
          <w:fldChar w:fldCharType="separate"/>
        </w:r>
        <w:r>
          <w:rPr>
            <w:sz w:val="28"/>
          </w:rPr>
          <w:t>60</w:t>
        </w:r>
        <w:r>
          <w:rPr>
            <w:sz w:val="28"/>
          </w:rPr>
          <w:fldChar w:fldCharType="end"/>
        </w:r>
      </w:hyperlink>
    </w:p>
    <w:p w14:paraId="79D22CCE" w14:textId="77777777" w:rsidR="002D2AF8" w:rsidRDefault="00000000">
      <w:pPr>
        <w:pStyle w:val="TOC2"/>
        <w:tabs>
          <w:tab w:val="clear" w:pos="8296"/>
          <w:tab w:val="right" w:leader="dot" w:pos="8306"/>
        </w:tabs>
        <w:spacing w:line="360" w:lineRule="auto"/>
        <w:ind w:left="426"/>
        <w:rPr>
          <w:sz w:val="28"/>
        </w:rPr>
      </w:pPr>
      <w:hyperlink w:anchor="_Toc30918" w:history="1">
        <w:r>
          <w:rPr>
            <w:sz w:val="28"/>
          </w:rPr>
          <w:t xml:space="preserve">3.5 </w:t>
        </w:r>
        <w:r>
          <w:rPr>
            <w:sz w:val="28"/>
          </w:rPr>
          <w:t>主要有害因素辨识</w:t>
        </w:r>
        <w:r>
          <w:rPr>
            <w:sz w:val="28"/>
          </w:rPr>
          <w:tab/>
        </w:r>
        <w:r>
          <w:rPr>
            <w:sz w:val="28"/>
          </w:rPr>
          <w:fldChar w:fldCharType="begin"/>
        </w:r>
        <w:r>
          <w:rPr>
            <w:sz w:val="28"/>
          </w:rPr>
          <w:instrText xml:space="preserve"> PAGEREF _Toc30918 \h </w:instrText>
        </w:r>
        <w:r>
          <w:rPr>
            <w:sz w:val="28"/>
          </w:rPr>
        </w:r>
        <w:r>
          <w:rPr>
            <w:sz w:val="28"/>
          </w:rPr>
          <w:fldChar w:fldCharType="separate"/>
        </w:r>
        <w:r>
          <w:rPr>
            <w:sz w:val="28"/>
          </w:rPr>
          <w:t>66</w:t>
        </w:r>
        <w:r>
          <w:rPr>
            <w:sz w:val="28"/>
          </w:rPr>
          <w:fldChar w:fldCharType="end"/>
        </w:r>
      </w:hyperlink>
    </w:p>
    <w:p w14:paraId="0F0DE515" w14:textId="77777777" w:rsidR="002D2AF8" w:rsidRDefault="00000000">
      <w:pPr>
        <w:pStyle w:val="TOC2"/>
        <w:tabs>
          <w:tab w:val="clear" w:pos="8296"/>
          <w:tab w:val="right" w:leader="dot" w:pos="8306"/>
        </w:tabs>
        <w:spacing w:line="360" w:lineRule="auto"/>
        <w:ind w:left="426"/>
        <w:rPr>
          <w:sz w:val="28"/>
        </w:rPr>
      </w:pPr>
      <w:hyperlink w:anchor="_Toc26268" w:history="1">
        <w:r>
          <w:rPr>
            <w:sz w:val="28"/>
          </w:rPr>
          <w:t xml:space="preserve">3.6 </w:t>
        </w:r>
        <w:r>
          <w:rPr>
            <w:sz w:val="28"/>
          </w:rPr>
          <w:t>自然灾害的影响</w:t>
        </w:r>
        <w:r>
          <w:rPr>
            <w:sz w:val="28"/>
          </w:rPr>
          <w:tab/>
        </w:r>
        <w:r>
          <w:rPr>
            <w:sz w:val="28"/>
          </w:rPr>
          <w:fldChar w:fldCharType="begin"/>
        </w:r>
        <w:r>
          <w:rPr>
            <w:sz w:val="28"/>
          </w:rPr>
          <w:instrText xml:space="preserve"> PAGEREF _Toc26268 \h </w:instrText>
        </w:r>
        <w:r>
          <w:rPr>
            <w:sz w:val="28"/>
          </w:rPr>
        </w:r>
        <w:r>
          <w:rPr>
            <w:sz w:val="28"/>
          </w:rPr>
          <w:fldChar w:fldCharType="separate"/>
        </w:r>
        <w:r>
          <w:rPr>
            <w:sz w:val="28"/>
          </w:rPr>
          <w:t>66</w:t>
        </w:r>
        <w:r>
          <w:rPr>
            <w:sz w:val="28"/>
          </w:rPr>
          <w:fldChar w:fldCharType="end"/>
        </w:r>
      </w:hyperlink>
    </w:p>
    <w:p w14:paraId="231A0F0D" w14:textId="77777777" w:rsidR="002D2AF8" w:rsidRDefault="00000000">
      <w:pPr>
        <w:pStyle w:val="TOC2"/>
        <w:tabs>
          <w:tab w:val="clear" w:pos="8296"/>
          <w:tab w:val="right" w:leader="dot" w:pos="8306"/>
        </w:tabs>
        <w:spacing w:line="360" w:lineRule="auto"/>
        <w:ind w:left="426"/>
        <w:rPr>
          <w:sz w:val="28"/>
        </w:rPr>
      </w:pPr>
      <w:hyperlink w:anchor="_Toc25687" w:history="1">
        <w:r>
          <w:rPr>
            <w:sz w:val="28"/>
          </w:rPr>
          <w:t xml:space="preserve">3.7 </w:t>
        </w:r>
        <w:r>
          <w:rPr>
            <w:sz w:val="28"/>
          </w:rPr>
          <w:t>人的不安全行为和安全管理缺陷</w:t>
        </w:r>
        <w:r>
          <w:rPr>
            <w:sz w:val="28"/>
          </w:rPr>
          <w:tab/>
        </w:r>
        <w:r>
          <w:rPr>
            <w:sz w:val="28"/>
          </w:rPr>
          <w:fldChar w:fldCharType="begin"/>
        </w:r>
        <w:r>
          <w:rPr>
            <w:sz w:val="28"/>
          </w:rPr>
          <w:instrText xml:space="preserve"> PAGEREF _Toc25687 \h </w:instrText>
        </w:r>
        <w:r>
          <w:rPr>
            <w:sz w:val="28"/>
          </w:rPr>
        </w:r>
        <w:r>
          <w:rPr>
            <w:sz w:val="28"/>
          </w:rPr>
          <w:fldChar w:fldCharType="separate"/>
        </w:r>
        <w:r>
          <w:rPr>
            <w:sz w:val="28"/>
          </w:rPr>
          <w:t>68</w:t>
        </w:r>
        <w:r>
          <w:rPr>
            <w:sz w:val="28"/>
          </w:rPr>
          <w:fldChar w:fldCharType="end"/>
        </w:r>
      </w:hyperlink>
    </w:p>
    <w:p w14:paraId="39C036F2" w14:textId="77777777" w:rsidR="002D2AF8" w:rsidRDefault="00000000">
      <w:pPr>
        <w:pStyle w:val="TOC2"/>
        <w:tabs>
          <w:tab w:val="clear" w:pos="8296"/>
          <w:tab w:val="right" w:leader="dot" w:pos="8306"/>
        </w:tabs>
        <w:spacing w:line="360" w:lineRule="auto"/>
        <w:ind w:left="426"/>
        <w:rPr>
          <w:sz w:val="28"/>
        </w:rPr>
      </w:pPr>
      <w:hyperlink w:anchor="_Toc4066" w:history="1">
        <w:r>
          <w:rPr>
            <w:sz w:val="28"/>
          </w:rPr>
          <w:t xml:space="preserve">3.8 </w:t>
        </w:r>
        <w:r>
          <w:rPr>
            <w:sz w:val="28"/>
          </w:rPr>
          <w:t>重大危险源辨识</w:t>
        </w:r>
        <w:r>
          <w:rPr>
            <w:sz w:val="28"/>
          </w:rPr>
          <w:tab/>
        </w:r>
        <w:r>
          <w:rPr>
            <w:sz w:val="28"/>
          </w:rPr>
          <w:fldChar w:fldCharType="begin"/>
        </w:r>
        <w:r>
          <w:rPr>
            <w:sz w:val="28"/>
          </w:rPr>
          <w:instrText xml:space="preserve"> PAGEREF _Toc4066 \h </w:instrText>
        </w:r>
        <w:r>
          <w:rPr>
            <w:sz w:val="28"/>
          </w:rPr>
        </w:r>
        <w:r>
          <w:rPr>
            <w:sz w:val="28"/>
          </w:rPr>
          <w:fldChar w:fldCharType="separate"/>
        </w:r>
        <w:r>
          <w:rPr>
            <w:sz w:val="28"/>
          </w:rPr>
          <w:t>70</w:t>
        </w:r>
        <w:r>
          <w:rPr>
            <w:sz w:val="28"/>
          </w:rPr>
          <w:fldChar w:fldCharType="end"/>
        </w:r>
      </w:hyperlink>
    </w:p>
    <w:p w14:paraId="1E08B7DC" w14:textId="77777777" w:rsidR="002D2AF8" w:rsidRDefault="00000000">
      <w:pPr>
        <w:pStyle w:val="TOC2"/>
        <w:tabs>
          <w:tab w:val="clear" w:pos="8296"/>
          <w:tab w:val="right" w:leader="dot" w:pos="8306"/>
        </w:tabs>
        <w:spacing w:line="360" w:lineRule="auto"/>
        <w:ind w:left="426"/>
        <w:rPr>
          <w:sz w:val="28"/>
        </w:rPr>
      </w:pPr>
      <w:hyperlink w:anchor="_Toc28605" w:history="1">
        <w:r>
          <w:rPr>
            <w:sz w:val="28"/>
          </w:rPr>
          <w:t xml:space="preserve">3.9 </w:t>
        </w:r>
        <w:r>
          <w:rPr>
            <w:sz w:val="28"/>
          </w:rPr>
          <w:t>事故案例分析</w:t>
        </w:r>
        <w:r>
          <w:rPr>
            <w:sz w:val="28"/>
          </w:rPr>
          <w:tab/>
        </w:r>
        <w:r>
          <w:rPr>
            <w:sz w:val="28"/>
          </w:rPr>
          <w:fldChar w:fldCharType="begin"/>
        </w:r>
        <w:r>
          <w:rPr>
            <w:sz w:val="28"/>
          </w:rPr>
          <w:instrText xml:space="preserve"> PAGEREF _Toc28605 \h </w:instrText>
        </w:r>
        <w:r>
          <w:rPr>
            <w:sz w:val="28"/>
          </w:rPr>
        </w:r>
        <w:r>
          <w:rPr>
            <w:sz w:val="28"/>
          </w:rPr>
          <w:fldChar w:fldCharType="separate"/>
        </w:r>
        <w:r>
          <w:rPr>
            <w:sz w:val="28"/>
          </w:rPr>
          <w:t>71</w:t>
        </w:r>
        <w:r>
          <w:rPr>
            <w:sz w:val="28"/>
          </w:rPr>
          <w:fldChar w:fldCharType="end"/>
        </w:r>
      </w:hyperlink>
    </w:p>
    <w:p w14:paraId="4F823382" w14:textId="77777777" w:rsidR="002D2AF8" w:rsidRDefault="00000000">
      <w:pPr>
        <w:pStyle w:val="TOC2"/>
        <w:tabs>
          <w:tab w:val="clear" w:pos="8296"/>
          <w:tab w:val="right" w:leader="dot" w:pos="8306"/>
        </w:tabs>
        <w:spacing w:line="360" w:lineRule="auto"/>
        <w:ind w:left="426"/>
        <w:rPr>
          <w:sz w:val="28"/>
        </w:rPr>
      </w:pPr>
      <w:hyperlink w:anchor="_Toc30379" w:history="1">
        <w:r>
          <w:rPr>
            <w:sz w:val="28"/>
          </w:rPr>
          <w:t xml:space="preserve">3.10 </w:t>
        </w:r>
        <w:r>
          <w:rPr>
            <w:sz w:val="28"/>
          </w:rPr>
          <w:t>主要危险、有害因素分析结论</w:t>
        </w:r>
        <w:r>
          <w:rPr>
            <w:sz w:val="28"/>
          </w:rPr>
          <w:tab/>
        </w:r>
        <w:r>
          <w:rPr>
            <w:sz w:val="28"/>
          </w:rPr>
          <w:fldChar w:fldCharType="begin"/>
        </w:r>
        <w:r>
          <w:rPr>
            <w:sz w:val="28"/>
          </w:rPr>
          <w:instrText xml:space="preserve"> PAGEREF _Toc30379 \h </w:instrText>
        </w:r>
        <w:r>
          <w:rPr>
            <w:sz w:val="28"/>
          </w:rPr>
        </w:r>
        <w:r>
          <w:rPr>
            <w:sz w:val="28"/>
          </w:rPr>
          <w:fldChar w:fldCharType="separate"/>
        </w:r>
        <w:r>
          <w:rPr>
            <w:sz w:val="28"/>
          </w:rPr>
          <w:t>74</w:t>
        </w:r>
        <w:r>
          <w:rPr>
            <w:sz w:val="28"/>
          </w:rPr>
          <w:fldChar w:fldCharType="end"/>
        </w:r>
      </w:hyperlink>
    </w:p>
    <w:p w14:paraId="50FEF218" w14:textId="77777777" w:rsidR="002D2AF8" w:rsidRDefault="00000000">
      <w:pPr>
        <w:pStyle w:val="TOC1"/>
        <w:tabs>
          <w:tab w:val="clear" w:pos="8302"/>
          <w:tab w:val="right" w:leader="dot" w:pos="8306"/>
        </w:tabs>
        <w:spacing w:line="360" w:lineRule="auto"/>
        <w:rPr>
          <w:szCs w:val="28"/>
        </w:rPr>
      </w:pPr>
      <w:hyperlink w:anchor="_Toc17553" w:history="1">
        <w:r>
          <w:rPr>
            <w:szCs w:val="28"/>
          </w:rPr>
          <w:t xml:space="preserve">4 </w:t>
        </w:r>
        <w:r>
          <w:rPr>
            <w:szCs w:val="28"/>
          </w:rPr>
          <w:t>评价单元划分及评价方法选择</w:t>
        </w:r>
        <w:r>
          <w:rPr>
            <w:szCs w:val="28"/>
          </w:rPr>
          <w:tab/>
        </w:r>
        <w:r>
          <w:rPr>
            <w:szCs w:val="28"/>
          </w:rPr>
          <w:fldChar w:fldCharType="begin"/>
        </w:r>
        <w:r>
          <w:rPr>
            <w:szCs w:val="28"/>
          </w:rPr>
          <w:instrText xml:space="preserve"> PAGEREF _Toc17553 \h </w:instrText>
        </w:r>
        <w:r>
          <w:rPr>
            <w:szCs w:val="28"/>
          </w:rPr>
        </w:r>
        <w:r>
          <w:rPr>
            <w:szCs w:val="28"/>
          </w:rPr>
          <w:fldChar w:fldCharType="separate"/>
        </w:r>
        <w:r>
          <w:rPr>
            <w:szCs w:val="28"/>
          </w:rPr>
          <w:t>75</w:t>
        </w:r>
        <w:r>
          <w:rPr>
            <w:szCs w:val="28"/>
          </w:rPr>
          <w:fldChar w:fldCharType="end"/>
        </w:r>
      </w:hyperlink>
    </w:p>
    <w:p w14:paraId="5F9A63D3" w14:textId="77777777" w:rsidR="002D2AF8" w:rsidRDefault="00000000">
      <w:pPr>
        <w:pStyle w:val="TOC2"/>
        <w:tabs>
          <w:tab w:val="clear" w:pos="8296"/>
          <w:tab w:val="right" w:leader="dot" w:pos="8306"/>
        </w:tabs>
        <w:spacing w:line="360" w:lineRule="auto"/>
        <w:ind w:left="426"/>
        <w:rPr>
          <w:sz w:val="28"/>
        </w:rPr>
      </w:pPr>
      <w:hyperlink w:anchor="_Toc28734" w:history="1">
        <w:r>
          <w:rPr>
            <w:sz w:val="28"/>
          </w:rPr>
          <w:t xml:space="preserve">4.1 </w:t>
        </w:r>
        <w:r>
          <w:rPr>
            <w:sz w:val="28"/>
          </w:rPr>
          <w:t>评价单元划分</w:t>
        </w:r>
        <w:r>
          <w:rPr>
            <w:sz w:val="28"/>
          </w:rPr>
          <w:tab/>
        </w:r>
        <w:r>
          <w:rPr>
            <w:sz w:val="28"/>
          </w:rPr>
          <w:fldChar w:fldCharType="begin"/>
        </w:r>
        <w:r>
          <w:rPr>
            <w:sz w:val="28"/>
          </w:rPr>
          <w:instrText xml:space="preserve"> PAGEREF _Toc28734 \h </w:instrText>
        </w:r>
        <w:r>
          <w:rPr>
            <w:sz w:val="28"/>
          </w:rPr>
        </w:r>
        <w:r>
          <w:rPr>
            <w:sz w:val="28"/>
          </w:rPr>
          <w:fldChar w:fldCharType="separate"/>
        </w:r>
        <w:r>
          <w:rPr>
            <w:sz w:val="28"/>
          </w:rPr>
          <w:t>75</w:t>
        </w:r>
        <w:r>
          <w:rPr>
            <w:sz w:val="28"/>
          </w:rPr>
          <w:fldChar w:fldCharType="end"/>
        </w:r>
      </w:hyperlink>
    </w:p>
    <w:p w14:paraId="40F47F14" w14:textId="77777777" w:rsidR="002D2AF8" w:rsidRDefault="00000000">
      <w:pPr>
        <w:pStyle w:val="TOC2"/>
        <w:tabs>
          <w:tab w:val="clear" w:pos="8296"/>
          <w:tab w:val="right" w:leader="dot" w:pos="8306"/>
        </w:tabs>
        <w:spacing w:line="360" w:lineRule="auto"/>
        <w:ind w:left="426"/>
        <w:rPr>
          <w:sz w:val="28"/>
        </w:rPr>
      </w:pPr>
      <w:hyperlink w:anchor="_Toc13515" w:history="1">
        <w:r>
          <w:rPr>
            <w:sz w:val="28"/>
          </w:rPr>
          <w:t xml:space="preserve">4.2 </w:t>
        </w:r>
        <w:r>
          <w:rPr>
            <w:sz w:val="28"/>
          </w:rPr>
          <w:t>评价方法选择</w:t>
        </w:r>
        <w:r>
          <w:rPr>
            <w:sz w:val="28"/>
          </w:rPr>
          <w:tab/>
        </w:r>
        <w:r>
          <w:rPr>
            <w:sz w:val="28"/>
          </w:rPr>
          <w:fldChar w:fldCharType="begin"/>
        </w:r>
        <w:r>
          <w:rPr>
            <w:sz w:val="28"/>
          </w:rPr>
          <w:instrText xml:space="preserve"> PAGEREF _Toc13515 \h </w:instrText>
        </w:r>
        <w:r>
          <w:rPr>
            <w:sz w:val="28"/>
          </w:rPr>
        </w:r>
        <w:r>
          <w:rPr>
            <w:sz w:val="28"/>
          </w:rPr>
          <w:fldChar w:fldCharType="separate"/>
        </w:r>
        <w:r>
          <w:rPr>
            <w:sz w:val="28"/>
          </w:rPr>
          <w:t>75</w:t>
        </w:r>
        <w:r>
          <w:rPr>
            <w:sz w:val="28"/>
          </w:rPr>
          <w:fldChar w:fldCharType="end"/>
        </w:r>
      </w:hyperlink>
    </w:p>
    <w:p w14:paraId="7EBBEB8B" w14:textId="77777777" w:rsidR="002D2AF8" w:rsidRDefault="00000000">
      <w:pPr>
        <w:pStyle w:val="TOC1"/>
        <w:tabs>
          <w:tab w:val="clear" w:pos="8302"/>
          <w:tab w:val="right" w:leader="dot" w:pos="8306"/>
        </w:tabs>
        <w:spacing w:line="360" w:lineRule="auto"/>
        <w:rPr>
          <w:szCs w:val="28"/>
        </w:rPr>
      </w:pPr>
      <w:hyperlink w:anchor="_Toc14676" w:history="1">
        <w:r>
          <w:rPr>
            <w:szCs w:val="28"/>
          </w:rPr>
          <w:t xml:space="preserve">5 </w:t>
        </w:r>
        <w:r>
          <w:rPr>
            <w:szCs w:val="28"/>
          </w:rPr>
          <w:t>定性定量评价</w:t>
        </w:r>
        <w:r>
          <w:rPr>
            <w:szCs w:val="28"/>
          </w:rPr>
          <w:tab/>
        </w:r>
        <w:r>
          <w:rPr>
            <w:szCs w:val="28"/>
          </w:rPr>
          <w:fldChar w:fldCharType="begin"/>
        </w:r>
        <w:r>
          <w:rPr>
            <w:szCs w:val="28"/>
          </w:rPr>
          <w:instrText xml:space="preserve"> PAGEREF _Toc14676 \h </w:instrText>
        </w:r>
        <w:r>
          <w:rPr>
            <w:szCs w:val="28"/>
          </w:rPr>
        </w:r>
        <w:r>
          <w:rPr>
            <w:szCs w:val="28"/>
          </w:rPr>
          <w:fldChar w:fldCharType="separate"/>
        </w:r>
        <w:r>
          <w:rPr>
            <w:szCs w:val="28"/>
          </w:rPr>
          <w:t>79</w:t>
        </w:r>
        <w:r>
          <w:rPr>
            <w:szCs w:val="28"/>
          </w:rPr>
          <w:fldChar w:fldCharType="end"/>
        </w:r>
      </w:hyperlink>
    </w:p>
    <w:p w14:paraId="0A482611" w14:textId="77777777" w:rsidR="002D2AF8" w:rsidRDefault="00000000">
      <w:pPr>
        <w:pStyle w:val="TOC2"/>
        <w:tabs>
          <w:tab w:val="clear" w:pos="8296"/>
          <w:tab w:val="right" w:leader="dot" w:pos="8306"/>
        </w:tabs>
        <w:spacing w:line="360" w:lineRule="auto"/>
        <w:ind w:left="426"/>
        <w:rPr>
          <w:sz w:val="28"/>
        </w:rPr>
      </w:pPr>
      <w:hyperlink w:anchor="_Toc31322" w:history="1">
        <w:r>
          <w:rPr>
            <w:sz w:val="28"/>
          </w:rPr>
          <w:t xml:space="preserve">5.1 </w:t>
        </w:r>
        <w:r>
          <w:rPr>
            <w:sz w:val="28"/>
          </w:rPr>
          <w:t>生产单元安全检查表</w:t>
        </w:r>
        <w:r>
          <w:rPr>
            <w:sz w:val="28"/>
          </w:rPr>
          <w:tab/>
        </w:r>
        <w:r>
          <w:rPr>
            <w:sz w:val="28"/>
          </w:rPr>
          <w:fldChar w:fldCharType="begin"/>
        </w:r>
        <w:r>
          <w:rPr>
            <w:sz w:val="28"/>
          </w:rPr>
          <w:instrText xml:space="preserve"> PAGEREF _Toc31322 \h </w:instrText>
        </w:r>
        <w:r>
          <w:rPr>
            <w:sz w:val="28"/>
          </w:rPr>
        </w:r>
        <w:r>
          <w:rPr>
            <w:sz w:val="28"/>
          </w:rPr>
          <w:fldChar w:fldCharType="separate"/>
        </w:r>
        <w:r>
          <w:rPr>
            <w:sz w:val="28"/>
          </w:rPr>
          <w:t>79</w:t>
        </w:r>
        <w:r>
          <w:rPr>
            <w:sz w:val="28"/>
          </w:rPr>
          <w:fldChar w:fldCharType="end"/>
        </w:r>
      </w:hyperlink>
    </w:p>
    <w:p w14:paraId="0CE90351" w14:textId="77777777" w:rsidR="002D2AF8" w:rsidRDefault="00000000">
      <w:pPr>
        <w:pStyle w:val="TOC2"/>
        <w:tabs>
          <w:tab w:val="clear" w:pos="8296"/>
          <w:tab w:val="right" w:leader="dot" w:pos="8306"/>
        </w:tabs>
        <w:spacing w:line="360" w:lineRule="auto"/>
        <w:ind w:left="426"/>
        <w:rPr>
          <w:sz w:val="28"/>
        </w:rPr>
      </w:pPr>
      <w:hyperlink w:anchor="_Toc15316" w:history="1">
        <w:r>
          <w:rPr>
            <w:sz w:val="28"/>
          </w:rPr>
          <w:t xml:space="preserve">5.2 </w:t>
        </w:r>
        <w:r>
          <w:rPr>
            <w:sz w:val="28"/>
          </w:rPr>
          <w:t>作业条件危险性评价</w:t>
        </w:r>
        <w:r>
          <w:rPr>
            <w:sz w:val="28"/>
          </w:rPr>
          <w:tab/>
        </w:r>
        <w:r>
          <w:rPr>
            <w:sz w:val="28"/>
          </w:rPr>
          <w:fldChar w:fldCharType="begin"/>
        </w:r>
        <w:r>
          <w:rPr>
            <w:sz w:val="28"/>
          </w:rPr>
          <w:instrText xml:space="preserve"> PAGEREF _Toc15316 \h </w:instrText>
        </w:r>
        <w:r>
          <w:rPr>
            <w:sz w:val="28"/>
          </w:rPr>
        </w:r>
        <w:r>
          <w:rPr>
            <w:sz w:val="28"/>
          </w:rPr>
          <w:fldChar w:fldCharType="separate"/>
        </w:r>
        <w:r>
          <w:rPr>
            <w:sz w:val="28"/>
          </w:rPr>
          <w:t>91</w:t>
        </w:r>
        <w:r>
          <w:rPr>
            <w:sz w:val="28"/>
          </w:rPr>
          <w:fldChar w:fldCharType="end"/>
        </w:r>
      </w:hyperlink>
    </w:p>
    <w:p w14:paraId="6230E32F" w14:textId="77777777" w:rsidR="002D2AF8" w:rsidRDefault="00000000">
      <w:pPr>
        <w:pStyle w:val="TOC2"/>
        <w:tabs>
          <w:tab w:val="clear" w:pos="8296"/>
          <w:tab w:val="right" w:leader="dot" w:pos="8306"/>
        </w:tabs>
        <w:spacing w:line="360" w:lineRule="auto"/>
        <w:ind w:left="426"/>
        <w:rPr>
          <w:sz w:val="28"/>
        </w:rPr>
      </w:pPr>
      <w:hyperlink w:anchor="_Toc22642" w:history="1">
        <w:r>
          <w:rPr>
            <w:sz w:val="28"/>
          </w:rPr>
          <w:t xml:space="preserve">5.3 </w:t>
        </w:r>
        <w:r>
          <w:rPr>
            <w:sz w:val="28"/>
          </w:rPr>
          <w:t>管理单元安全检查表</w:t>
        </w:r>
        <w:r>
          <w:rPr>
            <w:sz w:val="28"/>
          </w:rPr>
          <w:tab/>
        </w:r>
        <w:r>
          <w:rPr>
            <w:sz w:val="28"/>
          </w:rPr>
          <w:fldChar w:fldCharType="begin"/>
        </w:r>
        <w:r>
          <w:rPr>
            <w:sz w:val="28"/>
          </w:rPr>
          <w:instrText xml:space="preserve"> PAGEREF _Toc22642 \h </w:instrText>
        </w:r>
        <w:r>
          <w:rPr>
            <w:sz w:val="28"/>
          </w:rPr>
        </w:r>
        <w:r>
          <w:rPr>
            <w:sz w:val="28"/>
          </w:rPr>
          <w:fldChar w:fldCharType="separate"/>
        </w:r>
        <w:r>
          <w:rPr>
            <w:sz w:val="28"/>
          </w:rPr>
          <w:t>93</w:t>
        </w:r>
        <w:r>
          <w:rPr>
            <w:sz w:val="28"/>
          </w:rPr>
          <w:fldChar w:fldCharType="end"/>
        </w:r>
      </w:hyperlink>
    </w:p>
    <w:p w14:paraId="08887B16" w14:textId="77777777" w:rsidR="002D2AF8" w:rsidRDefault="00000000">
      <w:pPr>
        <w:pStyle w:val="TOC1"/>
        <w:tabs>
          <w:tab w:val="clear" w:pos="8302"/>
          <w:tab w:val="right" w:leader="dot" w:pos="8306"/>
        </w:tabs>
        <w:spacing w:line="360" w:lineRule="auto"/>
        <w:rPr>
          <w:szCs w:val="28"/>
        </w:rPr>
      </w:pPr>
      <w:hyperlink w:anchor="_Toc21347" w:history="1">
        <w:r>
          <w:rPr>
            <w:szCs w:val="28"/>
          </w:rPr>
          <w:t xml:space="preserve">6 </w:t>
        </w:r>
        <w:r>
          <w:rPr>
            <w:szCs w:val="28"/>
          </w:rPr>
          <w:t>安全对策措施与管理建议</w:t>
        </w:r>
        <w:r>
          <w:rPr>
            <w:szCs w:val="28"/>
          </w:rPr>
          <w:tab/>
        </w:r>
        <w:r>
          <w:rPr>
            <w:szCs w:val="28"/>
          </w:rPr>
          <w:fldChar w:fldCharType="begin"/>
        </w:r>
        <w:r>
          <w:rPr>
            <w:szCs w:val="28"/>
          </w:rPr>
          <w:instrText xml:space="preserve"> PAGEREF _Toc21347 \h </w:instrText>
        </w:r>
        <w:r>
          <w:rPr>
            <w:szCs w:val="28"/>
          </w:rPr>
        </w:r>
        <w:r>
          <w:rPr>
            <w:szCs w:val="28"/>
          </w:rPr>
          <w:fldChar w:fldCharType="separate"/>
        </w:r>
        <w:r>
          <w:rPr>
            <w:szCs w:val="28"/>
          </w:rPr>
          <w:t>102</w:t>
        </w:r>
        <w:r>
          <w:rPr>
            <w:szCs w:val="28"/>
          </w:rPr>
          <w:fldChar w:fldCharType="end"/>
        </w:r>
      </w:hyperlink>
    </w:p>
    <w:p w14:paraId="76E6BBE1" w14:textId="77777777" w:rsidR="002D2AF8" w:rsidRDefault="00000000">
      <w:pPr>
        <w:pStyle w:val="TOC2"/>
        <w:tabs>
          <w:tab w:val="clear" w:pos="8296"/>
          <w:tab w:val="right" w:leader="dot" w:pos="8306"/>
        </w:tabs>
        <w:spacing w:line="360" w:lineRule="auto"/>
        <w:ind w:left="426"/>
        <w:rPr>
          <w:sz w:val="28"/>
        </w:rPr>
      </w:pPr>
      <w:hyperlink w:anchor="_Toc21600" w:history="1">
        <w:r>
          <w:rPr>
            <w:sz w:val="28"/>
          </w:rPr>
          <w:t xml:space="preserve">6.1 </w:t>
        </w:r>
        <w:r>
          <w:rPr>
            <w:sz w:val="28"/>
          </w:rPr>
          <w:t>安全对策措施</w:t>
        </w:r>
        <w:r>
          <w:rPr>
            <w:sz w:val="28"/>
          </w:rPr>
          <w:tab/>
        </w:r>
        <w:r>
          <w:rPr>
            <w:sz w:val="28"/>
          </w:rPr>
          <w:fldChar w:fldCharType="begin"/>
        </w:r>
        <w:r>
          <w:rPr>
            <w:sz w:val="28"/>
          </w:rPr>
          <w:instrText xml:space="preserve"> PAGEREF _Toc21600 \h </w:instrText>
        </w:r>
        <w:r>
          <w:rPr>
            <w:sz w:val="28"/>
          </w:rPr>
        </w:r>
        <w:r>
          <w:rPr>
            <w:sz w:val="28"/>
          </w:rPr>
          <w:fldChar w:fldCharType="separate"/>
        </w:r>
        <w:r>
          <w:rPr>
            <w:sz w:val="28"/>
          </w:rPr>
          <w:t>102</w:t>
        </w:r>
        <w:r>
          <w:rPr>
            <w:sz w:val="28"/>
          </w:rPr>
          <w:fldChar w:fldCharType="end"/>
        </w:r>
      </w:hyperlink>
    </w:p>
    <w:p w14:paraId="0CC28C1F" w14:textId="77777777" w:rsidR="002D2AF8" w:rsidRDefault="00000000">
      <w:pPr>
        <w:pStyle w:val="TOC2"/>
        <w:tabs>
          <w:tab w:val="clear" w:pos="8296"/>
          <w:tab w:val="right" w:leader="dot" w:pos="8306"/>
        </w:tabs>
        <w:spacing w:line="360" w:lineRule="auto"/>
        <w:ind w:left="426"/>
        <w:rPr>
          <w:sz w:val="28"/>
        </w:rPr>
      </w:pPr>
      <w:hyperlink w:anchor="_Toc3952" w:history="1">
        <w:r>
          <w:rPr>
            <w:sz w:val="28"/>
          </w:rPr>
          <w:t xml:space="preserve">6.2 </w:t>
        </w:r>
        <w:r>
          <w:rPr>
            <w:sz w:val="28"/>
          </w:rPr>
          <w:t>安全管理建议</w:t>
        </w:r>
        <w:r>
          <w:rPr>
            <w:sz w:val="28"/>
          </w:rPr>
          <w:tab/>
        </w:r>
        <w:r>
          <w:rPr>
            <w:sz w:val="28"/>
          </w:rPr>
          <w:fldChar w:fldCharType="begin"/>
        </w:r>
        <w:r>
          <w:rPr>
            <w:sz w:val="28"/>
          </w:rPr>
          <w:instrText xml:space="preserve"> PAGEREF _Toc3952 \h </w:instrText>
        </w:r>
        <w:r>
          <w:rPr>
            <w:sz w:val="28"/>
          </w:rPr>
        </w:r>
        <w:r>
          <w:rPr>
            <w:sz w:val="28"/>
          </w:rPr>
          <w:fldChar w:fldCharType="separate"/>
        </w:r>
        <w:r>
          <w:rPr>
            <w:sz w:val="28"/>
          </w:rPr>
          <w:t>102</w:t>
        </w:r>
        <w:r>
          <w:rPr>
            <w:sz w:val="28"/>
          </w:rPr>
          <w:fldChar w:fldCharType="end"/>
        </w:r>
      </w:hyperlink>
    </w:p>
    <w:p w14:paraId="1E862B99" w14:textId="77777777" w:rsidR="002D2AF8" w:rsidRDefault="00000000">
      <w:pPr>
        <w:pStyle w:val="TOC1"/>
        <w:tabs>
          <w:tab w:val="clear" w:pos="8302"/>
          <w:tab w:val="right" w:leader="dot" w:pos="8306"/>
        </w:tabs>
        <w:spacing w:line="360" w:lineRule="auto"/>
        <w:rPr>
          <w:szCs w:val="28"/>
        </w:rPr>
      </w:pPr>
      <w:hyperlink w:anchor="_Toc10718" w:history="1">
        <w:r>
          <w:rPr>
            <w:szCs w:val="28"/>
          </w:rPr>
          <w:t xml:space="preserve">7 </w:t>
        </w:r>
        <w:r>
          <w:rPr>
            <w:szCs w:val="28"/>
          </w:rPr>
          <w:t>隐患整改复查情况</w:t>
        </w:r>
        <w:r>
          <w:rPr>
            <w:szCs w:val="28"/>
          </w:rPr>
          <w:tab/>
        </w:r>
        <w:r>
          <w:rPr>
            <w:szCs w:val="28"/>
          </w:rPr>
          <w:fldChar w:fldCharType="begin"/>
        </w:r>
        <w:r>
          <w:rPr>
            <w:szCs w:val="28"/>
          </w:rPr>
          <w:instrText xml:space="preserve"> PAGEREF _Toc10718 \h </w:instrText>
        </w:r>
        <w:r>
          <w:rPr>
            <w:szCs w:val="28"/>
          </w:rPr>
        </w:r>
        <w:r>
          <w:rPr>
            <w:szCs w:val="28"/>
          </w:rPr>
          <w:fldChar w:fldCharType="separate"/>
        </w:r>
        <w:r>
          <w:rPr>
            <w:szCs w:val="28"/>
          </w:rPr>
          <w:t>104</w:t>
        </w:r>
        <w:r>
          <w:rPr>
            <w:szCs w:val="28"/>
          </w:rPr>
          <w:fldChar w:fldCharType="end"/>
        </w:r>
      </w:hyperlink>
    </w:p>
    <w:p w14:paraId="1C43581D" w14:textId="77777777" w:rsidR="002D2AF8" w:rsidRDefault="00000000">
      <w:pPr>
        <w:pStyle w:val="TOC1"/>
        <w:tabs>
          <w:tab w:val="clear" w:pos="8302"/>
          <w:tab w:val="right" w:leader="dot" w:pos="8306"/>
        </w:tabs>
        <w:spacing w:line="360" w:lineRule="auto"/>
        <w:rPr>
          <w:szCs w:val="28"/>
        </w:rPr>
      </w:pPr>
      <w:hyperlink w:anchor="_Toc9893" w:history="1">
        <w:r>
          <w:rPr>
            <w:szCs w:val="28"/>
          </w:rPr>
          <w:t xml:space="preserve">8 </w:t>
        </w:r>
        <w:r>
          <w:rPr>
            <w:szCs w:val="28"/>
          </w:rPr>
          <w:t>安全生产条件及重大安全风险隐患分析评价</w:t>
        </w:r>
        <w:r>
          <w:rPr>
            <w:szCs w:val="28"/>
          </w:rPr>
          <w:tab/>
        </w:r>
        <w:r>
          <w:rPr>
            <w:szCs w:val="28"/>
          </w:rPr>
          <w:fldChar w:fldCharType="begin"/>
        </w:r>
        <w:r>
          <w:rPr>
            <w:szCs w:val="28"/>
          </w:rPr>
          <w:instrText xml:space="preserve"> PAGEREF _Toc9893 \h </w:instrText>
        </w:r>
        <w:r>
          <w:rPr>
            <w:szCs w:val="28"/>
          </w:rPr>
        </w:r>
        <w:r>
          <w:rPr>
            <w:szCs w:val="28"/>
          </w:rPr>
          <w:fldChar w:fldCharType="separate"/>
        </w:r>
        <w:r>
          <w:rPr>
            <w:szCs w:val="28"/>
          </w:rPr>
          <w:t>106</w:t>
        </w:r>
        <w:r>
          <w:rPr>
            <w:szCs w:val="28"/>
          </w:rPr>
          <w:fldChar w:fldCharType="end"/>
        </w:r>
      </w:hyperlink>
    </w:p>
    <w:p w14:paraId="5E98079B" w14:textId="77777777" w:rsidR="002D2AF8" w:rsidRDefault="00000000">
      <w:pPr>
        <w:pStyle w:val="TOC2"/>
        <w:tabs>
          <w:tab w:val="clear" w:pos="8296"/>
          <w:tab w:val="right" w:leader="dot" w:pos="8306"/>
        </w:tabs>
        <w:spacing w:line="360" w:lineRule="auto"/>
        <w:ind w:left="426"/>
        <w:rPr>
          <w:sz w:val="28"/>
        </w:rPr>
      </w:pPr>
      <w:hyperlink w:anchor="_Toc32585" w:history="1">
        <w:r>
          <w:rPr>
            <w:sz w:val="28"/>
          </w:rPr>
          <w:t xml:space="preserve">8.1 </w:t>
        </w:r>
        <w:r>
          <w:rPr>
            <w:sz w:val="28"/>
          </w:rPr>
          <w:t>安全生产条件分析</w:t>
        </w:r>
        <w:r>
          <w:rPr>
            <w:sz w:val="28"/>
          </w:rPr>
          <w:tab/>
        </w:r>
        <w:r>
          <w:rPr>
            <w:sz w:val="28"/>
          </w:rPr>
          <w:fldChar w:fldCharType="begin"/>
        </w:r>
        <w:r>
          <w:rPr>
            <w:sz w:val="28"/>
          </w:rPr>
          <w:instrText xml:space="preserve"> PAGEREF _Toc32585 \h </w:instrText>
        </w:r>
        <w:r>
          <w:rPr>
            <w:sz w:val="28"/>
          </w:rPr>
        </w:r>
        <w:r>
          <w:rPr>
            <w:sz w:val="28"/>
          </w:rPr>
          <w:fldChar w:fldCharType="separate"/>
        </w:r>
        <w:r>
          <w:rPr>
            <w:sz w:val="28"/>
          </w:rPr>
          <w:t>106</w:t>
        </w:r>
        <w:r>
          <w:rPr>
            <w:sz w:val="28"/>
          </w:rPr>
          <w:fldChar w:fldCharType="end"/>
        </w:r>
      </w:hyperlink>
    </w:p>
    <w:p w14:paraId="0968B28F" w14:textId="77777777" w:rsidR="002D2AF8" w:rsidRDefault="00000000">
      <w:pPr>
        <w:pStyle w:val="TOC2"/>
        <w:tabs>
          <w:tab w:val="clear" w:pos="8296"/>
          <w:tab w:val="right" w:leader="dot" w:pos="8306"/>
        </w:tabs>
        <w:spacing w:line="360" w:lineRule="auto"/>
        <w:ind w:left="426"/>
        <w:rPr>
          <w:sz w:val="28"/>
        </w:rPr>
      </w:pPr>
      <w:hyperlink w:anchor="_Toc12008" w:history="1">
        <w:r>
          <w:rPr>
            <w:sz w:val="28"/>
          </w:rPr>
          <w:t xml:space="preserve">8.2 </w:t>
        </w:r>
        <w:r>
          <w:rPr>
            <w:sz w:val="28"/>
          </w:rPr>
          <w:t>重大安全风险隐患分析</w:t>
        </w:r>
        <w:r>
          <w:rPr>
            <w:sz w:val="28"/>
          </w:rPr>
          <w:tab/>
        </w:r>
        <w:r>
          <w:rPr>
            <w:sz w:val="28"/>
          </w:rPr>
          <w:fldChar w:fldCharType="begin"/>
        </w:r>
        <w:r>
          <w:rPr>
            <w:sz w:val="28"/>
          </w:rPr>
          <w:instrText xml:space="preserve"> PAGEREF _Toc12008 \h </w:instrText>
        </w:r>
        <w:r>
          <w:rPr>
            <w:sz w:val="28"/>
          </w:rPr>
        </w:r>
        <w:r>
          <w:rPr>
            <w:sz w:val="28"/>
          </w:rPr>
          <w:fldChar w:fldCharType="separate"/>
        </w:r>
        <w:r>
          <w:rPr>
            <w:sz w:val="28"/>
          </w:rPr>
          <w:t>110</w:t>
        </w:r>
        <w:r>
          <w:rPr>
            <w:sz w:val="28"/>
          </w:rPr>
          <w:fldChar w:fldCharType="end"/>
        </w:r>
      </w:hyperlink>
    </w:p>
    <w:p w14:paraId="1096C4FC" w14:textId="77777777" w:rsidR="002D2AF8" w:rsidRDefault="00000000">
      <w:pPr>
        <w:pStyle w:val="TOC1"/>
        <w:tabs>
          <w:tab w:val="clear" w:pos="8302"/>
          <w:tab w:val="right" w:leader="dot" w:pos="8306"/>
        </w:tabs>
        <w:spacing w:line="360" w:lineRule="auto"/>
        <w:rPr>
          <w:szCs w:val="28"/>
        </w:rPr>
      </w:pPr>
      <w:hyperlink w:anchor="_Toc16409" w:history="1">
        <w:r>
          <w:rPr>
            <w:szCs w:val="28"/>
          </w:rPr>
          <w:t xml:space="preserve">9 </w:t>
        </w:r>
        <w:r>
          <w:rPr>
            <w:szCs w:val="28"/>
          </w:rPr>
          <w:t>安全现状评价结论</w:t>
        </w:r>
        <w:r>
          <w:rPr>
            <w:szCs w:val="28"/>
          </w:rPr>
          <w:tab/>
        </w:r>
        <w:r>
          <w:rPr>
            <w:szCs w:val="28"/>
          </w:rPr>
          <w:fldChar w:fldCharType="begin"/>
        </w:r>
        <w:r>
          <w:rPr>
            <w:szCs w:val="28"/>
          </w:rPr>
          <w:instrText xml:space="preserve"> PAGEREF _Toc16409 \h </w:instrText>
        </w:r>
        <w:r>
          <w:rPr>
            <w:szCs w:val="28"/>
          </w:rPr>
        </w:r>
        <w:r>
          <w:rPr>
            <w:szCs w:val="28"/>
          </w:rPr>
          <w:fldChar w:fldCharType="separate"/>
        </w:r>
        <w:r>
          <w:rPr>
            <w:szCs w:val="28"/>
          </w:rPr>
          <w:t>113</w:t>
        </w:r>
        <w:r>
          <w:rPr>
            <w:szCs w:val="28"/>
          </w:rPr>
          <w:fldChar w:fldCharType="end"/>
        </w:r>
      </w:hyperlink>
    </w:p>
    <w:p w14:paraId="030FB165" w14:textId="77777777" w:rsidR="002D2AF8" w:rsidRDefault="00000000">
      <w:pPr>
        <w:pStyle w:val="TOC1"/>
        <w:tabs>
          <w:tab w:val="clear" w:pos="8302"/>
          <w:tab w:val="right" w:leader="dot" w:pos="8306"/>
        </w:tabs>
        <w:spacing w:line="360" w:lineRule="auto"/>
        <w:rPr>
          <w:szCs w:val="28"/>
        </w:rPr>
      </w:pPr>
      <w:hyperlink w:anchor="_Toc30863" w:history="1">
        <w:r>
          <w:rPr>
            <w:bCs/>
            <w:szCs w:val="28"/>
          </w:rPr>
          <w:t>附件</w:t>
        </w:r>
        <w:r>
          <w:rPr>
            <w:bCs/>
            <w:szCs w:val="28"/>
          </w:rPr>
          <w:t xml:space="preserve">1 </w:t>
        </w:r>
        <w:r>
          <w:rPr>
            <w:bCs/>
            <w:szCs w:val="28"/>
          </w:rPr>
          <w:t>营业执照复印件</w:t>
        </w:r>
        <w:r>
          <w:rPr>
            <w:szCs w:val="28"/>
          </w:rPr>
          <w:tab/>
        </w:r>
        <w:r>
          <w:rPr>
            <w:szCs w:val="28"/>
          </w:rPr>
          <w:fldChar w:fldCharType="begin"/>
        </w:r>
        <w:r>
          <w:rPr>
            <w:szCs w:val="28"/>
          </w:rPr>
          <w:instrText xml:space="preserve"> PAGEREF _Toc30863 \h </w:instrText>
        </w:r>
        <w:r>
          <w:rPr>
            <w:szCs w:val="28"/>
          </w:rPr>
        </w:r>
        <w:r>
          <w:rPr>
            <w:szCs w:val="28"/>
          </w:rPr>
          <w:fldChar w:fldCharType="separate"/>
        </w:r>
        <w:r>
          <w:rPr>
            <w:szCs w:val="28"/>
          </w:rPr>
          <w:t>115</w:t>
        </w:r>
        <w:r>
          <w:rPr>
            <w:szCs w:val="28"/>
          </w:rPr>
          <w:fldChar w:fldCharType="end"/>
        </w:r>
      </w:hyperlink>
    </w:p>
    <w:p w14:paraId="0C152BDD" w14:textId="77777777" w:rsidR="002D2AF8" w:rsidRDefault="00000000">
      <w:pPr>
        <w:pStyle w:val="TOC1"/>
        <w:tabs>
          <w:tab w:val="clear" w:pos="8302"/>
          <w:tab w:val="right" w:leader="dot" w:pos="8306"/>
        </w:tabs>
        <w:spacing w:line="360" w:lineRule="auto"/>
        <w:rPr>
          <w:szCs w:val="28"/>
        </w:rPr>
      </w:pPr>
      <w:hyperlink w:anchor="_Toc31907" w:history="1">
        <w:r>
          <w:rPr>
            <w:bCs/>
            <w:szCs w:val="28"/>
          </w:rPr>
          <w:t>附件</w:t>
        </w:r>
        <w:r>
          <w:rPr>
            <w:bCs/>
            <w:szCs w:val="28"/>
          </w:rPr>
          <w:t xml:space="preserve">2 </w:t>
        </w:r>
        <w:r>
          <w:rPr>
            <w:bCs/>
            <w:szCs w:val="28"/>
          </w:rPr>
          <w:t>成立安全管理机构的文件</w:t>
        </w:r>
        <w:r>
          <w:rPr>
            <w:szCs w:val="28"/>
          </w:rPr>
          <w:tab/>
        </w:r>
        <w:r>
          <w:rPr>
            <w:szCs w:val="28"/>
          </w:rPr>
          <w:fldChar w:fldCharType="begin"/>
        </w:r>
        <w:r>
          <w:rPr>
            <w:szCs w:val="28"/>
          </w:rPr>
          <w:instrText xml:space="preserve"> PAGEREF _Toc31907 \h </w:instrText>
        </w:r>
        <w:r>
          <w:rPr>
            <w:szCs w:val="28"/>
          </w:rPr>
        </w:r>
        <w:r>
          <w:rPr>
            <w:szCs w:val="28"/>
          </w:rPr>
          <w:fldChar w:fldCharType="separate"/>
        </w:r>
        <w:r>
          <w:rPr>
            <w:szCs w:val="28"/>
          </w:rPr>
          <w:t>116</w:t>
        </w:r>
        <w:r>
          <w:rPr>
            <w:szCs w:val="28"/>
          </w:rPr>
          <w:fldChar w:fldCharType="end"/>
        </w:r>
      </w:hyperlink>
    </w:p>
    <w:p w14:paraId="23406B4C" w14:textId="77777777" w:rsidR="002D2AF8" w:rsidRDefault="00000000">
      <w:pPr>
        <w:pStyle w:val="TOC1"/>
        <w:tabs>
          <w:tab w:val="clear" w:pos="8302"/>
          <w:tab w:val="right" w:leader="dot" w:pos="8306"/>
        </w:tabs>
        <w:spacing w:line="360" w:lineRule="auto"/>
        <w:rPr>
          <w:szCs w:val="28"/>
        </w:rPr>
      </w:pPr>
      <w:hyperlink w:anchor="_Toc9086" w:history="1">
        <w:r>
          <w:rPr>
            <w:bCs/>
            <w:szCs w:val="28"/>
          </w:rPr>
          <w:t>附件</w:t>
        </w:r>
        <w:r>
          <w:rPr>
            <w:bCs/>
            <w:szCs w:val="28"/>
          </w:rPr>
          <w:t xml:space="preserve">3 </w:t>
        </w:r>
        <w:r>
          <w:rPr>
            <w:bCs/>
            <w:szCs w:val="28"/>
          </w:rPr>
          <w:t>注册安全工程师证书及注册信息、劳动合同</w:t>
        </w:r>
        <w:r>
          <w:rPr>
            <w:szCs w:val="28"/>
          </w:rPr>
          <w:tab/>
        </w:r>
        <w:r>
          <w:rPr>
            <w:szCs w:val="28"/>
          </w:rPr>
          <w:fldChar w:fldCharType="begin"/>
        </w:r>
        <w:r>
          <w:rPr>
            <w:szCs w:val="28"/>
          </w:rPr>
          <w:instrText xml:space="preserve"> PAGEREF _Toc9086 \h </w:instrText>
        </w:r>
        <w:r>
          <w:rPr>
            <w:szCs w:val="28"/>
          </w:rPr>
        </w:r>
        <w:r>
          <w:rPr>
            <w:szCs w:val="28"/>
          </w:rPr>
          <w:fldChar w:fldCharType="separate"/>
        </w:r>
        <w:r>
          <w:rPr>
            <w:szCs w:val="28"/>
          </w:rPr>
          <w:t>119</w:t>
        </w:r>
        <w:r>
          <w:rPr>
            <w:szCs w:val="28"/>
          </w:rPr>
          <w:fldChar w:fldCharType="end"/>
        </w:r>
      </w:hyperlink>
    </w:p>
    <w:p w14:paraId="7960FAF1" w14:textId="77777777" w:rsidR="002D2AF8" w:rsidRDefault="00000000">
      <w:pPr>
        <w:pStyle w:val="TOC1"/>
        <w:tabs>
          <w:tab w:val="clear" w:pos="8302"/>
          <w:tab w:val="right" w:leader="dot" w:pos="8306"/>
        </w:tabs>
        <w:spacing w:line="360" w:lineRule="auto"/>
        <w:rPr>
          <w:szCs w:val="28"/>
        </w:rPr>
      </w:pPr>
      <w:hyperlink w:anchor="_Toc2708" w:history="1">
        <w:r>
          <w:rPr>
            <w:bCs/>
            <w:szCs w:val="28"/>
          </w:rPr>
          <w:t>附件</w:t>
        </w:r>
        <w:r>
          <w:rPr>
            <w:bCs/>
            <w:szCs w:val="28"/>
          </w:rPr>
          <w:t xml:space="preserve">4 </w:t>
        </w:r>
        <w:r>
          <w:rPr>
            <w:bCs/>
            <w:szCs w:val="28"/>
          </w:rPr>
          <w:t>主要负责人、安全管理人员合格证及复审情况</w:t>
        </w:r>
        <w:r>
          <w:rPr>
            <w:szCs w:val="28"/>
          </w:rPr>
          <w:tab/>
        </w:r>
        <w:r>
          <w:rPr>
            <w:szCs w:val="28"/>
          </w:rPr>
          <w:fldChar w:fldCharType="begin"/>
        </w:r>
        <w:r>
          <w:rPr>
            <w:szCs w:val="28"/>
          </w:rPr>
          <w:instrText xml:space="preserve"> PAGEREF _Toc2708 \h </w:instrText>
        </w:r>
        <w:r>
          <w:rPr>
            <w:szCs w:val="28"/>
          </w:rPr>
        </w:r>
        <w:r>
          <w:rPr>
            <w:szCs w:val="28"/>
          </w:rPr>
          <w:fldChar w:fldCharType="separate"/>
        </w:r>
        <w:r>
          <w:rPr>
            <w:szCs w:val="28"/>
          </w:rPr>
          <w:t>125</w:t>
        </w:r>
        <w:r>
          <w:rPr>
            <w:szCs w:val="28"/>
          </w:rPr>
          <w:fldChar w:fldCharType="end"/>
        </w:r>
      </w:hyperlink>
    </w:p>
    <w:p w14:paraId="1887F749" w14:textId="77777777" w:rsidR="002D2AF8" w:rsidRDefault="00000000">
      <w:pPr>
        <w:pStyle w:val="TOC1"/>
        <w:tabs>
          <w:tab w:val="clear" w:pos="8302"/>
          <w:tab w:val="right" w:leader="dot" w:pos="8306"/>
        </w:tabs>
        <w:spacing w:line="360" w:lineRule="auto"/>
        <w:rPr>
          <w:szCs w:val="28"/>
        </w:rPr>
      </w:pPr>
      <w:hyperlink w:anchor="_Toc9102" w:history="1">
        <w:r>
          <w:rPr>
            <w:bCs/>
            <w:szCs w:val="28"/>
          </w:rPr>
          <w:t>附件</w:t>
        </w:r>
        <w:r>
          <w:rPr>
            <w:bCs/>
            <w:szCs w:val="28"/>
          </w:rPr>
          <w:t xml:space="preserve">5 </w:t>
        </w:r>
        <w:r>
          <w:rPr>
            <w:bCs/>
            <w:szCs w:val="28"/>
          </w:rPr>
          <w:t>主要负责人授权委托书</w:t>
        </w:r>
        <w:r>
          <w:rPr>
            <w:szCs w:val="28"/>
          </w:rPr>
          <w:tab/>
        </w:r>
        <w:r>
          <w:rPr>
            <w:szCs w:val="28"/>
          </w:rPr>
          <w:fldChar w:fldCharType="begin"/>
        </w:r>
        <w:r>
          <w:rPr>
            <w:szCs w:val="28"/>
          </w:rPr>
          <w:instrText xml:space="preserve"> PAGEREF _Toc9102 \h </w:instrText>
        </w:r>
        <w:r>
          <w:rPr>
            <w:szCs w:val="28"/>
          </w:rPr>
        </w:r>
        <w:r>
          <w:rPr>
            <w:szCs w:val="28"/>
          </w:rPr>
          <w:fldChar w:fldCharType="separate"/>
        </w:r>
        <w:r>
          <w:rPr>
            <w:szCs w:val="28"/>
          </w:rPr>
          <w:t>128</w:t>
        </w:r>
        <w:r>
          <w:rPr>
            <w:szCs w:val="28"/>
          </w:rPr>
          <w:fldChar w:fldCharType="end"/>
        </w:r>
      </w:hyperlink>
    </w:p>
    <w:p w14:paraId="332673D4" w14:textId="77777777" w:rsidR="002D2AF8" w:rsidRDefault="00000000">
      <w:pPr>
        <w:pStyle w:val="TOC1"/>
        <w:tabs>
          <w:tab w:val="clear" w:pos="8302"/>
          <w:tab w:val="right" w:leader="dot" w:pos="8306"/>
        </w:tabs>
        <w:spacing w:line="360" w:lineRule="auto"/>
        <w:rPr>
          <w:szCs w:val="28"/>
        </w:rPr>
      </w:pPr>
      <w:hyperlink w:anchor="_Toc2652" w:history="1">
        <w:r>
          <w:rPr>
            <w:bCs/>
            <w:szCs w:val="28"/>
          </w:rPr>
          <w:t>附件</w:t>
        </w:r>
        <w:r>
          <w:rPr>
            <w:bCs/>
            <w:szCs w:val="28"/>
          </w:rPr>
          <w:t xml:space="preserve">6 </w:t>
        </w:r>
        <w:r>
          <w:rPr>
            <w:bCs/>
            <w:szCs w:val="28"/>
          </w:rPr>
          <w:t>特种作业人员及特种设备操作人员台账及证件</w:t>
        </w:r>
        <w:r>
          <w:rPr>
            <w:szCs w:val="28"/>
          </w:rPr>
          <w:tab/>
        </w:r>
        <w:r>
          <w:rPr>
            <w:szCs w:val="28"/>
          </w:rPr>
          <w:fldChar w:fldCharType="begin"/>
        </w:r>
        <w:r>
          <w:rPr>
            <w:szCs w:val="28"/>
          </w:rPr>
          <w:instrText xml:space="preserve"> PAGEREF _Toc2652 \h </w:instrText>
        </w:r>
        <w:r>
          <w:rPr>
            <w:szCs w:val="28"/>
          </w:rPr>
        </w:r>
        <w:r>
          <w:rPr>
            <w:szCs w:val="28"/>
          </w:rPr>
          <w:fldChar w:fldCharType="separate"/>
        </w:r>
        <w:r>
          <w:rPr>
            <w:szCs w:val="28"/>
          </w:rPr>
          <w:t>129</w:t>
        </w:r>
        <w:r>
          <w:rPr>
            <w:szCs w:val="28"/>
          </w:rPr>
          <w:fldChar w:fldCharType="end"/>
        </w:r>
      </w:hyperlink>
    </w:p>
    <w:p w14:paraId="65364A5B" w14:textId="77777777" w:rsidR="002D2AF8" w:rsidRDefault="00000000">
      <w:pPr>
        <w:pStyle w:val="TOC1"/>
        <w:tabs>
          <w:tab w:val="clear" w:pos="8302"/>
          <w:tab w:val="right" w:leader="dot" w:pos="8306"/>
        </w:tabs>
        <w:spacing w:line="360" w:lineRule="auto"/>
        <w:rPr>
          <w:szCs w:val="28"/>
        </w:rPr>
      </w:pPr>
      <w:hyperlink w:anchor="_Toc11120" w:history="1">
        <w:r>
          <w:rPr>
            <w:szCs w:val="28"/>
          </w:rPr>
          <w:t>附件</w:t>
        </w:r>
        <w:r>
          <w:rPr>
            <w:szCs w:val="28"/>
          </w:rPr>
          <w:t xml:space="preserve">7 </w:t>
        </w:r>
        <w:r>
          <w:rPr>
            <w:szCs w:val="28"/>
          </w:rPr>
          <w:t>三证台账及证书复印件</w:t>
        </w:r>
        <w:r>
          <w:rPr>
            <w:szCs w:val="28"/>
          </w:rPr>
          <w:tab/>
        </w:r>
        <w:r>
          <w:rPr>
            <w:szCs w:val="28"/>
          </w:rPr>
          <w:fldChar w:fldCharType="begin"/>
        </w:r>
        <w:r>
          <w:rPr>
            <w:szCs w:val="28"/>
          </w:rPr>
          <w:instrText xml:space="preserve"> PAGEREF _Toc11120 \h </w:instrText>
        </w:r>
        <w:r>
          <w:rPr>
            <w:szCs w:val="28"/>
          </w:rPr>
        </w:r>
        <w:r>
          <w:rPr>
            <w:szCs w:val="28"/>
          </w:rPr>
          <w:fldChar w:fldCharType="separate"/>
        </w:r>
        <w:r>
          <w:rPr>
            <w:szCs w:val="28"/>
          </w:rPr>
          <w:t>133</w:t>
        </w:r>
        <w:r>
          <w:rPr>
            <w:szCs w:val="28"/>
          </w:rPr>
          <w:fldChar w:fldCharType="end"/>
        </w:r>
      </w:hyperlink>
    </w:p>
    <w:p w14:paraId="6ECF63B1" w14:textId="77777777" w:rsidR="002D2AF8" w:rsidRDefault="00000000">
      <w:pPr>
        <w:pStyle w:val="TOC1"/>
        <w:tabs>
          <w:tab w:val="clear" w:pos="8302"/>
          <w:tab w:val="right" w:leader="dot" w:pos="8306"/>
        </w:tabs>
        <w:spacing w:line="360" w:lineRule="auto"/>
        <w:rPr>
          <w:szCs w:val="28"/>
        </w:rPr>
      </w:pPr>
      <w:hyperlink w:anchor="_Toc18343" w:history="1">
        <w:r>
          <w:rPr>
            <w:szCs w:val="28"/>
          </w:rPr>
          <w:t>附件</w:t>
        </w:r>
        <w:r>
          <w:rPr>
            <w:szCs w:val="28"/>
          </w:rPr>
          <w:t xml:space="preserve">8 </w:t>
        </w:r>
        <w:r>
          <w:rPr>
            <w:szCs w:val="28"/>
          </w:rPr>
          <w:t>单位工伤保险参保证明</w:t>
        </w:r>
        <w:r>
          <w:rPr>
            <w:szCs w:val="28"/>
          </w:rPr>
          <w:tab/>
        </w:r>
        <w:r>
          <w:rPr>
            <w:szCs w:val="28"/>
          </w:rPr>
          <w:fldChar w:fldCharType="begin"/>
        </w:r>
        <w:r>
          <w:rPr>
            <w:szCs w:val="28"/>
          </w:rPr>
          <w:instrText xml:space="preserve"> PAGEREF _Toc18343 \h </w:instrText>
        </w:r>
        <w:r>
          <w:rPr>
            <w:szCs w:val="28"/>
          </w:rPr>
        </w:r>
        <w:r>
          <w:rPr>
            <w:szCs w:val="28"/>
          </w:rPr>
          <w:fldChar w:fldCharType="separate"/>
        </w:r>
        <w:r>
          <w:rPr>
            <w:szCs w:val="28"/>
          </w:rPr>
          <w:t>149</w:t>
        </w:r>
        <w:r>
          <w:rPr>
            <w:szCs w:val="28"/>
          </w:rPr>
          <w:fldChar w:fldCharType="end"/>
        </w:r>
      </w:hyperlink>
    </w:p>
    <w:p w14:paraId="253066F4" w14:textId="77777777" w:rsidR="002D2AF8" w:rsidRDefault="00000000">
      <w:pPr>
        <w:pStyle w:val="TOC1"/>
        <w:tabs>
          <w:tab w:val="clear" w:pos="8302"/>
          <w:tab w:val="right" w:leader="dot" w:pos="8306"/>
        </w:tabs>
        <w:spacing w:line="360" w:lineRule="auto"/>
        <w:rPr>
          <w:szCs w:val="28"/>
        </w:rPr>
      </w:pPr>
      <w:hyperlink w:anchor="_Toc13531" w:history="1">
        <w:r>
          <w:rPr>
            <w:szCs w:val="28"/>
          </w:rPr>
          <w:t>附件</w:t>
        </w:r>
        <w:r>
          <w:rPr>
            <w:szCs w:val="28"/>
          </w:rPr>
          <w:t xml:space="preserve">9 </w:t>
        </w:r>
        <w:r>
          <w:rPr>
            <w:szCs w:val="28"/>
          </w:rPr>
          <w:t>安全生产责任保险的有关证明</w:t>
        </w:r>
        <w:r>
          <w:rPr>
            <w:szCs w:val="28"/>
          </w:rPr>
          <w:tab/>
        </w:r>
        <w:r>
          <w:rPr>
            <w:szCs w:val="28"/>
          </w:rPr>
          <w:fldChar w:fldCharType="begin"/>
        </w:r>
        <w:r>
          <w:rPr>
            <w:szCs w:val="28"/>
          </w:rPr>
          <w:instrText xml:space="preserve"> PAGEREF _Toc13531 \h </w:instrText>
        </w:r>
        <w:r>
          <w:rPr>
            <w:szCs w:val="28"/>
          </w:rPr>
        </w:r>
        <w:r>
          <w:rPr>
            <w:szCs w:val="28"/>
          </w:rPr>
          <w:fldChar w:fldCharType="separate"/>
        </w:r>
        <w:r>
          <w:rPr>
            <w:szCs w:val="28"/>
          </w:rPr>
          <w:t>151</w:t>
        </w:r>
        <w:r>
          <w:rPr>
            <w:szCs w:val="28"/>
          </w:rPr>
          <w:fldChar w:fldCharType="end"/>
        </w:r>
      </w:hyperlink>
    </w:p>
    <w:p w14:paraId="4CEA569D" w14:textId="77777777" w:rsidR="002D2AF8" w:rsidRDefault="00000000">
      <w:pPr>
        <w:pStyle w:val="TOC1"/>
        <w:tabs>
          <w:tab w:val="clear" w:pos="8302"/>
          <w:tab w:val="right" w:leader="dot" w:pos="8306"/>
        </w:tabs>
        <w:spacing w:line="360" w:lineRule="auto"/>
        <w:rPr>
          <w:szCs w:val="28"/>
        </w:rPr>
      </w:pPr>
      <w:hyperlink w:anchor="_Toc10020" w:history="1">
        <w:r>
          <w:rPr>
            <w:szCs w:val="28"/>
          </w:rPr>
          <w:t>附件</w:t>
        </w:r>
        <w:r>
          <w:rPr>
            <w:szCs w:val="28"/>
          </w:rPr>
          <w:t xml:space="preserve">10 </w:t>
        </w:r>
        <w:r>
          <w:rPr>
            <w:szCs w:val="28"/>
          </w:rPr>
          <w:t>生产安全事故应急预案备案登记表</w:t>
        </w:r>
        <w:r>
          <w:rPr>
            <w:szCs w:val="28"/>
          </w:rPr>
          <w:tab/>
        </w:r>
        <w:r>
          <w:rPr>
            <w:szCs w:val="28"/>
          </w:rPr>
          <w:fldChar w:fldCharType="begin"/>
        </w:r>
        <w:r>
          <w:rPr>
            <w:szCs w:val="28"/>
          </w:rPr>
          <w:instrText xml:space="preserve"> PAGEREF _Toc10020 \h </w:instrText>
        </w:r>
        <w:r>
          <w:rPr>
            <w:szCs w:val="28"/>
          </w:rPr>
        </w:r>
        <w:r>
          <w:rPr>
            <w:szCs w:val="28"/>
          </w:rPr>
          <w:fldChar w:fldCharType="separate"/>
        </w:r>
        <w:r>
          <w:rPr>
            <w:szCs w:val="28"/>
          </w:rPr>
          <w:t>155</w:t>
        </w:r>
        <w:r>
          <w:rPr>
            <w:szCs w:val="28"/>
          </w:rPr>
          <w:fldChar w:fldCharType="end"/>
        </w:r>
      </w:hyperlink>
    </w:p>
    <w:p w14:paraId="550992CF" w14:textId="77777777" w:rsidR="002D2AF8" w:rsidRDefault="00000000">
      <w:pPr>
        <w:pStyle w:val="TOC1"/>
        <w:tabs>
          <w:tab w:val="clear" w:pos="8302"/>
          <w:tab w:val="right" w:leader="dot" w:pos="8306"/>
        </w:tabs>
        <w:spacing w:line="360" w:lineRule="auto"/>
        <w:rPr>
          <w:szCs w:val="28"/>
        </w:rPr>
      </w:pPr>
      <w:hyperlink w:anchor="_Toc25676" w:history="1">
        <w:r>
          <w:rPr>
            <w:szCs w:val="28"/>
          </w:rPr>
          <w:t>附件</w:t>
        </w:r>
        <w:r>
          <w:rPr>
            <w:szCs w:val="28"/>
          </w:rPr>
          <w:t xml:space="preserve">11 </w:t>
        </w:r>
        <w:r>
          <w:rPr>
            <w:szCs w:val="28"/>
          </w:rPr>
          <w:t>成立应急组织机构文件</w:t>
        </w:r>
        <w:r>
          <w:rPr>
            <w:szCs w:val="28"/>
          </w:rPr>
          <w:tab/>
        </w:r>
        <w:r>
          <w:rPr>
            <w:szCs w:val="28"/>
          </w:rPr>
          <w:fldChar w:fldCharType="begin"/>
        </w:r>
        <w:r>
          <w:rPr>
            <w:szCs w:val="28"/>
          </w:rPr>
          <w:instrText xml:space="preserve"> PAGEREF _Toc25676 \h </w:instrText>
        </w:r>
        <w:r>
          <w:rPr>
            <w:szCs w:val="28"/>
          </w:rPr>
        </w:r>
        <w:r>
          <w:rPr>
            <w:szCs w:val="28"/>
          </w:rPr>
          <w:fldChar w:fldCharType="separate"/>
        </w:r>
        <w:r>
          <w:rPr>
            <w:szCs w:val="28"/>
          </w:rPr>
          <w:t>156</w:t>
        </w:r>
        <w:r>
          <w:rPr>
            <w:szCs w:val="28"/>
          </w:rPr>
          <w:fldChar w:fldCharType="end"/>
        </w:r>
      </w:hyperlink>
    </w:p>
    <w:p w14:paraId="6B51FDDE" w14:textId="77777777" w:rsidR="002D2AF8" w:rsidRDefault="00000000">
      <w:pPr>
        <w:pStyle w:val="TOC1"/>
        <w:tabs>
          <w:tab w:val="clear" w:pos="8302"/>
          <w:tab w:val="right" w:leader="dot" w:pos="8306"/>
        </w:tabs>
        <w:spacing w:line="360" w:lineRule="auto"/>
        <w:rPr>
          <w:szCs w:val="28"/>
        </w:rPr>
      </w:pPr>
      <w:hyperlink w:anchor="_Toc27582" w:history="1">
        <w:r>
          <w:rPr>
            <w:szCs w:val="28"/>
          </w:rPr>
          <w:t>附件</w:t>
        </w:r>
        <w:r>
          <w:rPr>
            <w:szCs w:val="28"/>
          </w:rPr>
          <w:t xml:space="preserve">12 </w:t>
        </w:r>
        <w:r>
          <w:rPr>
            <w:szCs w:val="28"/>
          </w:rPr>
          <w:t>应急演练计划及演练记录</w:t>
        </w:r>
        <w:r>
          <w:rPr>
            <w:szCs w:val="28"/>
          </w:rPr>
          <w:tab/>
        </w:r>
        <w:r>
          <w:rPr>
            <w:szCs w:val="28"/>
          </w:rPr>
          <w:fldChar w:fldCharType="begin"/>
        </w:r>
        <w:r>
          <w:rPr>
            <w:szCs w:val="28"/>
          </w:rPr>
          <w:instrText xml:space="preserve"> PAGEREF _Toc27582 \h </w:instrText>
        </w:r>
        <w:r>
          <w:rPr>
            <w:szCs w:val="28"/>
          </w:rPr>
        </w:r>
        <w:r>
          <w:rPr>
            <w:szCs w:val="28"/>
          </w:rPr>
          <w:fldChar w:fldCharType="separate"/>
        </w:r>
        <w:r>
          <w:rPr>
            <w:szCs w:val="28"/>
          </w:rPr>
          <w:t>159</w:t>
        </w:r>
        <w:r>
          <w:rPr>
            <w:szCs w:val="28"/>
          </w:rPr>
          <w:fldChar w:fldCharType="end"/>
        </w:r>
      </w:hyperlink>
    </w:p>
    <w:p w14:paraId="4385125A" w14:textId="77777777" w:rsidR="002D2AF8" w:rsidRDefault="00000000">
      <w:pPr>
        <w:pStyle w:val="TOC1"/>
        <w:tabs>
          <w:tab w:val="clear" w:pos="8302"/>
          <w:tab w:val="right" w:leader="dot" w:pos="8306"/>
        </w:tabs>
        <w:spacing w:line="360" w:lineRule="auto"/>
        <w:rPr>
          <w:szCs w:val="28"/>
        </w:rPr>
      </w:pPr>
      <w:hyperlink w:anchor="_Toc26584" w:history="1">
        <w:r>
          <w:rPr>
            <w:szCs w:val="28"/>
          </w:rPr>
          <w:t>附件</w:t>
        </w:r>
        <w:r>
          <w:rPr>
            <w:szCs w:val="28"/>
          </w:rPr>
          <w:t xml:space="preserve">13 </w:t>
        </w:r>
        <w:r>
          <w:rPr>
            <w:szCs w:val="28"/>
          </w:rPr>
          <w:t>应急救援协议</w:t>
        </w:r>
        <w:r>
          <w:rPr>
            <w:szCs w:val="28"/>
          </w:rPr>
          <w:tab/>
        </w:r>
        <w:r>
          <w:rPr>
            <w:szCs w:val="28"/>
          </w:rPr>
          <w:fldChar w:fldCharType="begin"/>
        </w:r>
        <w:r>
          <w:rPr>
            <w:szCs w:val="28"/>
          </w:rPr>
          <w:instrText xml:space="preserve"> PAGEREF _Toc26584 \h </w:instrText>
        </w:r>
        <w:r>
          <w:rPr>
            <w:szCs w:val="28"/>
          </w:rPr>
        </w:r>
        <w:r>
          <w:rPr>
            <w:szCs w:val="28"/>
          </w:rPr>
          <w:fldChar w:fldCharType="separate"/>
        </w:r>
        <w:r>
          <w:rPr>
            <w:szCs w:val="28"/>
          </w:rPr>
          <w:t>181</w:t>
        </w:r>
        <w:r>
          <w:rPr>
            <w:szCs w:val="28"/>
          </w:rPr>
          <w:fldChar w:fldCharType="end"/>
        </w:r>
      </w:hyperlink>
    </w:p>
    <w:p w14:paraId="631DE554" w14:textId="77777777" w:rsidR="002D2AF8" w:rsidRDefault="00000000">
      <w:pPr>
        <w:pStyle w:val="TOC1"/>
        <w:tabs>
          <w:tab w:val="clear" w:pos="8302"/>
          <w:tab w:val="right" w:leader="dot" w:pos="8306"/>
        </w:tabs>
        <w:spacing w:line="360" w:lineRule="auto"/>
        <w:rPr>
          <w:szCs w:val="28"/>
        </w:rPr>
      </w:pPr>
      <w:hyperlink w:anchor="_Toc3750" w:history="1">
        <w:r>
          <w:rPr>
            <w:szCs w:val="28"/>
          </w:rPr>
          <w:t>附件</w:t>
        </w:r>
        <w:r>
          <w:rPr>
            <w:szCs w:val="28"/>
          </w:rPr>
          <w:t xml:space="preserve">14 </w:t>
        </w:r>
        <w:r>
          <w:rPr>
            <w:szCs w:val="28"/>
          </w:rPr>
          <w:t>设备设施检验检测台账及检测报告</w:t>
        </w:r>
        <w:r>
          <w:rPr>
            <w:szCs w:val="28"/>
          </w:rPr>
          <w:tab/>
        </w:r>
        <w:r>
          <w:rPr>
            <w:szCs w:val="28"/>
          </w:rPr>
          <w:fldChar w:fldCharType="begin"/>
        </w:r>
        <w:r>
          <w:rPr>
            <w:szCs w:val="28"/>
          </w:rPr>
          <w:instrText xml:space="preserve"> PAGEREF _Toc3750 \h </w:instrText>
        </w:r>
        <w:r>
          <w:rPr>
            <w:szCs w:val="28"/>
          </w:rPr>
        </w:r>
        <w:r>
          <w:rPr>
            <w:szCs w:val="28"/>
          </w:rPr>
          <w:fldChar w:fldCharType="separate"/>
        </w:r>
        <w:r>
          <w:rPr>
            <w:szCs w:val="28"/>
          </w:rPr>
          <w:t>187</w:t>
        </w:r>
        <w:r>
          <w:rPr>
            <w:szCs w:val="28"/>
          </w:rPr>
          <w:fldChar w:fldCharType="end"/>
        </w:r>
      </w:hyperlink>
    </w:p>
    <w:p w14:paraId="0CF3B12B" w14:textId="77777777" w:rsidR="002D2AF8" w:rsidRDefault="00000000">
      <w:pPr>
        <w:pStyle w:val="TOC1"/>
        <w:tabs>
          <w:tab w:val="clear" w:pos="8302"/>
          <w:tab w:val="right" w:leader="dot" w:pos="8306"/>
        </w:tabs>
        <w:spacing w:line="360" w:lineRule="auto"/>
        <w:rPr>
          <w:szCs w:val="28"/>
        </w:rPr>
      </w:pPr>
      <w:hyperlink w:anchor="_Toc4507" w:history="1">
        <w:r>
          <w:rPr>
            <w:szCs w:val="28"/>
          </w:rPr>
          <w:t>附件</w:t>
        </w:r>
        <w:r>
          <w:rPr>
            <w:szCs w:val="28"/>
          </w:rPr>
          <w:t xml:space="preserve">15 </w:t>
        </w:r>
        <w:r>
          <w:rPr>
            <w:szCs w:val="28"/>
          </w:rPr>
          <w:t>空呼、气体检测报警仪检验检测台账及部分检测检验报告</w:t>
        </w:r>
        <w:r>
          <w:rPr>
            <w:szCs w:val="28"/>
          </w:rPr>
          <w:tab/>
        </w:r>
        <w:r>
          <w:rPr>
            <w:szCs w:val="28"/>
          </w:rPr>
          <w:fldChar w:fldCharType="begin"/>
        </w:r>
        <w:r>
          <w:rPr>
            <w:szCs w:val="28"/>
          </w:rPr>
          <w:instrText xml:space="preserve"> PAGEREF _Toc4507 \h </w:instrText>
        </w:r>
        <w:r>
          <w:rPr>
            <w:szCs w:val="28"/>
          </w:rPr>
        </w:r>
        <w:r>
          <w:rPr>
            <w:szCs w:val="28"/>
          </w:rPr>
          <w:fldChar w:fldCharType="separate"/>
        </w:r>
        <w:r>
          <w:rPr>
            <w:szCs w:val="28"/>
          </w:rPr>
          <w:t>216</w:t>
        </w:r>
        <w:r>
          <w:rPr>
            <w:szCs w:val="28"/>
          </w:rPr>
          <w:fldChar w:fldCharType="end"/>
        </w:r>
      </w:hyperlink>
    </w:p>
    <w:p w14:paraId="7BE07670" w14:textId="77777777" w:rsidR="002D2AF8" w:rsidRDefault="00000000">
      <w:pPr>
        <w:pStyle w:val="TOC1"/>
        <w:tabs>
          <w:tab w:val="clear" w:pos="8302"/>
          <w:tab w:val="right" w:leader="dot" w:pos="8306"/>
        </w:tabs>
        <w:spacing w:line="360" w:lineRule="auto"/>
        <w:rPr>
          <w:szCs w:val="28"/>
        </w:rPr>
      </w:pPr>
      <w:hyperlink w:anchor="_Toc2186" w:history="1">
        <w:r>
          <w:rPr>
            <w:szCs w:val="28"/>
          </w:rPr>
          <w:t>附件</w:t>
        </w:r>
        <w:r>
          <w:rPr>
            <w:szCs w:val="28"/>
          </w:rPr>
          <w:t xml:space="preserve">16 </w:t>
        </w:r>
        <w:r>
          <w:rPr>
            <w:szCs w:val="28"/>
          </w:rPr>
          <w:t>绝缘手套检验检测台账及部分检测报告</w:t>
        </w:r>
        <w:r>
          <w:rPr>
            <w:szCs w:val="28"/>
          </w:rPr>
          <w:tab/>
        </w:r>
        <w:r>
          <w:rPr>
            <w:szCs w:val="28"/>
          </w:rPr>
          <w:fldChar w:fldCharType="begin"/>
        </w:r>
        <w:r>
          <w:rPr>
            <w:szCs w:val="28"/>
          </w:rPr>
          <w:instrText xml:space="preserve"> PAGEREF _Toc2186 \h </w:instrText>
        </w:r>
        <w:r>
          <w:rPr>
            <w:szCs w:val="28"/>
          </w:rPr>
        </w:r>
        <w:r>
          <w:rPr>
            <w:szCs w:val="28"/>
          </w:rPr>
          <w:fldChar w:fldCharType="separate"/>
        </w:r>
        <w:r>
          <w:rPr>
            <w:szCs w:val="28"/>
          </w:rPr>
          <w:t>229</w:t>
        </w:r>
        <w:r>
          <w:rPr>
            <w:szCs w:val="28"/>
          </w:rPr>
          <w:fldChar w:fldCharType="end"/>
        </w:r>
      </w:hyperlink>
    </w:p>
    <w:p w14:paraId="6D2CB340" w14:textId="77777777" w:rsidR="002D2AF8" w:rsidRDefault="00000000">
      <w:pPr>
        <w:pStyle w:val="TOC1"/>
        <w:tabs>
          <w:tab w:val="clear" w:pos="8302"/>
          <w:tab w:val="right" w:leader="dot" w:pos="8306"/>
        </w:tabs>
        <w:spacing w:line="360" w:lineRule="auto"/>
        <w:rPr>
          <w:szCs w:val="28"/>
        </w:rPr>
      </w:pPr>
      <w:hyperlink w:anchor="_Toc12933" w:history="1">
        <w:r>
          <w:rPr>
            <w:szCs w:val="28"/>
          </w:rPr>
          <w:t>附件</w:t>
        </w:r>
        <w:r>
          <w:rPr>
            <w:szCs w:val="28"/>
          </w:rPr>
          <w:t xml:space="preserve">17 </w:t>
        </w:r>
        <w:r>
          <w:rPr>
            <w:szCs w:val="28"/>
          </w:rPr>
          <w:t>检验检测单位资质证书</w:t>
        </w:r>
        <w:r>
          <w:rPr>
            <w:szCs w:val="28"/>
          </w:rPr>
          <w:tab/>
        </w:r>
        <w:r>
          <w:rPr>
            <w:szCs w:val="28"/>
          </w:rPr>
          <w:fldChar w:fldCharType="begin"/>
        </w:r>
        <w:r>
          <w:rPr>
            <w:szCs w:val="28"/>
          </w:rPr>
          <w:instrText xml:space="preserve"> PAGEREF _Toc12933 \h </w:instrText>
        </w:r>
        <w:r>
          <w:rPr>
            <w:szCs w:val="28"/>
          </w:rPr>
        </w:r>
        <w:r>
          <w:rPr>
            <w:szCs w:val="28"/>
          </w:rPr>
          <w:fldChar w:fldCharType="separate"/>
        </w:r>
        <w:r>
          <w:rPr>
            <w:szCs w:val="28"/>
          </w:rPr>
          <w:t>236</w:t>
        </w:r>
        <w:r>
          <w:rPr>
            <w:szCs w:val="28"/>
          </w:rPr>
          <w:fldChar w:fldCharType="end"/>
        </w:r>
      </w:hyperlink>
    </w:p>
    <w:p w14:paraId="66E59529" w14:textId="77777777" w:rsidR="002D2AF8" w:rsidRDefault="00000000">
      <w:pPr>
        <w:pStyle w:val="TOC1"/>
        <w:tabs>
          <w:tab w:val="clear" w:pos="8302"/>
          <w:tab w:val="right" w:leader="dot" w:pos="8306"/>
        </w:tabs>
        <w:spacing w:line="360" w:lineRule="auto"/>
        <w:rPr>
          <w:szCs w:val="28"/>
        </w:rPr>
      </w:pPr>
      <w:hyperlink w:anchor="_Toc7599" w:history="1">
        <w:r>
          <w:rPr>
            <w:szCs w:val="28"/>
          </w:rPr>
          <w:t>附件</w:t>
        </w:r>
        <w:r>
          <w:rPr>
            <w:szCs w:val="28"/>
          </w:rPr>
          <w:t xml:space="preserve">18 </w:t>
        </w:r>
        <w:r>
          <w:rPr>
            <w:szCs w:val="28"/>
          </w:rPr>
          <w:t>测试车信息材料</w:t>
        </w:r>
        <w:r>
          <w:rPr>
            <w:szCs w:val="28"/>
          </w:rPr>
          <w:tab/>
        </w:r>
        <w:r>
          <w:rPr>
            <w:szCs w:val="28"/>
          </w:rPr>
          <w:fldChar w:fldCharType="begin"/>
        </w:r>
        <w:r>
          <w:rPr>
            <w:szCs w:val="28"/>
          </w:rPr>
          <w:instrText xml:space="preserve"> PAGEREF _Toc7599 \h </w:instrText>
        </w:r>
        <w:r>
          <w:rPr>
            <w:szCs w:val="28"/>
          </w:rPr>
        </w:r>
        <w:r>
          <w:rPr>
            <w:szCs w:val="28"/>
          </w:rPr>
          <w:fldChar w:fldCharType="separate"/>
        </w:r>
        <w:r>
          <w:rPr>
            <w:szCs w:val="28"/>
          </w:rPr>
          <w:t>247</w:t>
        </w:r>
        <w:r>
          <w:rPr>
            <w:szCs w:val="28"/>
          </w:rPr>
          <w:fldChar w:fldCharType="end"/>
        </w:r>
      </w:hyperlink>
    </w:p>
    <w:p w14:paraId="109829ED" w14:textId="77777777" w:rsidR="002D2AF8" w:rsidRDefault="00000000">
      <w:pPr>
        <w:pStyle w:val="TOC1"/>
        <w:tabs>
          <w:tab w:val="clear" w:pos="8302"/>
          <w:tab w:val="right" w:leader="dot" w:pos="8306"/>
        </w:tabs>
        <w:spacing w:line="360" w:lineRule="auto"/>
        <w:rPr>
          <w:szCs w:val="28"/>
        </w:rPr>
      </w:pPr>
      <w:hyperlink w:anchor="_Toc8333" w:history="1">
        <w:r>
          <w:rPr>
            <w:szCs w:val="28"/>
          </w:rPr>
          <w:t>附件</w:t>
        </w:r>
        <w:r>
          <w:rPr>
            <w:szCs w:val="28"/>
          </w:rPr>
          <w:t xml:space="preserve">19 </w:t>
        </w:r>
        <w:r>
          <w:rPr>
            <w:szCs w:val="28"/>
          </w:rPr>
          <w:t>安全生产费用提取计划及使用证明材料</w:t>
        </w:r>
        <w:r>
          <w:rPr>
            <w:szCs w:val="28"/>
          </w:rPr>
          <w:tab/>
        </w:r>
        <w:r>
          <w:rPr>
            <w:szCs w:val="28"/>
          </w:rPr>
          <w:fldChar w:fldCharType="begin"/>
        </w:r>
        <w:r>
          <w:rPr>
            <w:szCs w:val="28"/>
          </w:rPr>
          <w:instrText xml:space="preserve"> PAGEREF _Toc8333 \h </w:instrText>
        </w:r>
        <w:r>
          <w:rPr>
            <w:szCs w:val="28"/>
          </w:rPr>
        </w:r>
        <w:r>
          <w:rPr>
            <w:szCs w:val="28"/>
          </w:rPr>
          <w:fldChar w:fldCharType="separate"/>
        </w:r>
        <w:r>
          <w:rPr>
            <w:szCs w:val="28"/>
          </w:rPr>
          <w:t>248</w:t>
        </w:r>
        <w:r>
          <w:rPr>
            <w:szCs w:val="28"/>
          </w:rPr>
          <w:fldChar w:fldCharType="end"/>
        </w:r>
      </w:hyperlink>
    </w:p>
    <w:p w14:paraId="388D2F62" w14:textId="77777777" w:rsidR="002D2AF8" w:rsidRDefault="00000000">
      <w:pPr>
        <w:pStyle w:val="TOC1"/>
        <w:tabs>
          <w:tab w:val="clear" w:pos="8302"/>
          <w:tab w:val="right" w:leader="dot" w:pos="8306"/>
        </w:tabs>
        <w:spacing w:line="360" w:lineRule="auto"/>
        <w:rPr>
          <w:szCs w:val="28"/>
        </w:rPr>
      </w:pPr>
      <w:hyperlink w:anchor="_Toc3026" w:history="1">
        <w:r>
          <w:rPr>
            <w:szCs w:val="28"/>
          </w:rPr>
          <w:t>附件</w:t>
        </w:r>
        <w:r>
          <w:rPr>
            <w:szCs w:val="28"/>
          </w:rPr>
          <w:t xml:space="preserve">20 </w:t>
        </w:r>
        <w:r>
          <w:rPr>
            <w:szCs w:val="28"/>
          </w:rPr>
          <w:t>安全教育培训资料</w:t>
        </w:r>
        <w:r>
          <w:rPr>
            <w:szCs w:val="28"/>
          </w:rPr>
          <w:tab/>
        </w:r>
        <w:r>
          <w:rPr>
            <w:szCs w:val="28"/>
          </w:rPr>
          <w:fldChar w:fldCharType="begin"/>
        </w:r>
        <w:r>
          <w:rPr>
            <w:szCs w:val="28"/>
          </w:rPr>
          <w:instrText xml:space="preserve"> PAGEREF _Toc3026 \h </w:instrText>
        </w:r>
        <w:r>
          <w:rPr>
            <w:szCs w:val="28"/>
          </w:rPr>
        </w:r>
        <w:r>
          <w:rPr>
            <w:szCs w:val="28"/>
          </w:rPr>
          <w:fldChar w:fldCharType="separate"/>
        </w:r>
        <w:r>
          <w:rPr>
            <w:szCs w:val="28"/>
          </w:rPr>
          <w:t>254</w:t>
        </w:r>
        <w:r>
          <w:rPr>
            <w:szCs w:val="28"/>
          </w:rPr>
          <w:fldChar w:fldCharType="end"/>
        </w:r>
      </w:hyperlink>
    </w:p>
    <w:p w14:paraId="1B5F849E" w14:textId="77777777" w:rsidR="002D2AF8" w:rsidRDefault="00000000">
      <w:pPr>
        <w:pStyle w:val="TOC1"/>
        <w:tabs>
          <w:tab w:val="clear" w:pos="8302"/>
          <w:tab w:val="right" w:leader="dot" w:pos="8306"/>
        </w:tabs>
        <w:spacing w:line="360" w:lineRule="auto"/>
        <w:rPr>
          <w:szCs w:val="28"/>
        </w:rPr>
      </w:pPr>
      <w:hyperlink w:anchor="_Toc27545" w:history="1">
        <w:r>
          <w:rPr>
            <w:szCs w:val="28"/>
          </w:rPr>
          <w:t>附件</w:t>
        </w:r>
        <w:r>
          <w:rPr>
            <w:szCs w:val="28"/>
          </w:rPr>
          <w:t xml:space="preserve">21 </w:t>
        </w:r>
        <w:r>
          <w:rPr>
            <w:szCs w:val="28"/>
          </w:rPr>
          <w:t>劳动防护用品发放记录（部分）</w:t>
        </w:r>
        <w:r>
          <w:rPr>
            <w:szCs w:val="28"/>
          </w:rPr>
          <w:tab/>
        </w:r>
        <w:r>
          <w:rPr>
            <w:szCs w:val="28"/>
          </w:rPr>
          <w:fldChar w:fldCharType="begin"/>
        </w:r>
        <w:r>
          <w:rPr>
            <w:szCs w:val="28"/>
          </w:rPr>
          <w:instrText xml:space="preserve"> PAGEREF _Toc27545 \h </w:instrText>
        </w:r>
        <w:r>
          <w:rPr>
            <w:szCs w:val="28"/>
          </w:rPr>
        </w:r>
        <w:r>
          <w:rPr>
            <w:szCs w:val="28"/>
          </w:rPr>
          <w:fldChar w:fldCharType="separate"/>
        </w:r>
        <w:r>
          <w:rPr>
            <w:szCs w:val="28"/>
          </w:rPr>
          <w:t>286</w:t>
        </w:r>
        <w:r>
          <w:rPr>
            <w:szCs w:val="28"/>
          </w:rPr>
          <w:fldChar w:fldCharType="end"/>
        </w:r>
      </w:hyperlink>
    </w:p>
    <w:p w14:paraId="3A6F55D9" w14:textId="77777777" w:rsidR="002D2AF8" w:rsidRDefault="00000000">
      <w:pPr>
        <w:pStyle w:val="TOC1"/>
        <w:tabs>
          <w:tab w:val="clear" w:pos="8302"/>
          <w:tab w:val="right" w:leader="dot" w:pos="8306"/>
        </w:tabs>
        <w:spacing w:line="360" w:lineRule="auto"/>
        <w:rPr>
          <w:szCs w:val="28"/>
        </w:rPr>
      </w:pPr>
      <w:hyperlink w:anchor="_Toc12270" w:history="1">
        <w:r>
          <w:rPr>
            <w:szCs w:val="28"/>
          </w:rPr>
          <w:t>附件</w:t>
        </w:r>
        <w:r>
          <w:rPr>
            <w:szCs w:val="28"/>
          </w:rPr>
          <w:t xml:space="preserve">22 </w:t>
        </w:r>
        <w:r>
          <w:rPr>
            <w:szCs w:val="28"/>
          </w:rPr>
          <w:t>承包商资质、安全生产管理协议及入场教育培训及监督检查</w:t>
        </w:r>
        <w:r>
          <w:rPr>
            <w:szCs w:val="28"/>
          </w:rPr>
          <w:tab/>
        </w:r>
        <w:r>
          <w:rPr>
            <w:szCs w:val="28"/>
          </w:rPr>
          <w:fldChar w:fldCharType="begin"/>
        </w:r>
        <w:r>
          <w:rPr>
            <w:szCs w:val="28"/>
          </w:rPr>
          <w:instrText xml:space="preserve"> PAGEREF _Toc12270 \h </w:instrText>
        </w:r>
        <w:r>
          <w:rPr>
            <w:szCs w:val="28"/>
          </w:rPr>
        </w:r>
        <w:r>
          <w:rPr>
            <w:szCs w:val="28"/>
          </w:rPr>
          <w:fldChar w:fldCharType="separate"/>
        </w:r>
        <w:r>
          <w:rPr>
            <w:szCs w:val="28"/>
          </w:rPr>
          <w:t>296</w:t>
        </w:r>
        <w:r>
          <w:rPr>
            <w:szCs w:val="28"/>
          </w:rPr>
          <w:fldChar w:fldCharType="end"/>
        </w:r>
      </w:hyperlink>
    </w:p>
    <w:p w14:paraId="5C3D455D" w14:textId="77777777" w:rsidR="002D2AF8" w:rsidRDefault="00000000">
      <w:pPr>
        <w:pStyle w:val="TOC1"/>
        <w:tabs>
          <w:tab w:val="clear" w:pos="8302"/>
          <w:tab w:val="right" w:leader="dot" w:pos="8306"/>
        </w:tabs>
        <w:spacing w:line="360" w:lineRule="auto"/>
        <w:rPr>
          <w:szCs w:val="28"/>
        </w:rPr>
      </w:pPr>
      <w:hyperlink w:anchor="_Toc7843" w:history="1">
        <w:r>
          <w:rPr>
            <w:szCs w:val="28"/>
          </w:rPr>
          <w:t>附件</w:t>
        </w:r>
        <w:r>
          <w:rPr>
            <w:szCs w:val="28"/>
          </w:rPr>
          <w:t xml:space="preserve">23 </w:t>
        </w:r>
        <w:r>
          <w:rPr>
            <w:szCs w:val="28"/>
          </w:rPr>
          <w:t>危险作业许可票证（部分）</w:t>
        </w:r>
        <w:r>
          <w:rPr>
            <w:szCs w:val="28"/>
          </w:rPr>
          <w:tab/>
        </w:r>
        <w:r>
          <w:rPr>
            <w:szCs w:val="28"/>
          </w:rPr>
          <w:fldChar w:fldCharType="begin"/>
        </w:r>
        <w:r>
          <w:rPr>
            <w:szCs w:val="28"/>
          </w:rPr>
          <w:instrText xml:space="preserve"> PAGEREF _Toc7843 \h </w:instrText>
        </w:r>
        <w:r>
          <w:rPr>
            <w:szCs w:val="28"/>
          </w:rPr>
        </w:r>
        <w:r>
          <w:rPr>
            <w:szCs w:val="28"/>
          </w:rPr>
          <w:fldChar w:fldCharType="separate"/>
        </w:r>
        <w:r>
          <w:rPr>
            <w:szCs w:val="28"/>
          </w:rPr>
          <w:t>312</w:t>
        </w:r>
        <w:r>
          <w:rPr>
            <w:szCs w:val="28"/>
          </w:rPr>
          <w:fldChar w:fldCharType="end"/>
        </w:r>
      </w:hyperlink>
    </w:p>
    <w:p w14:paraId="359AF154" w14:textId="77777777" w:rsidR="002D2AF8" w:rsidRDefault="00000000">
      <w:pPr>
        <w:pStyle w:val="TOC1"/>
        <w:tabs>
          <w:tab w:val="clear" w:pos="8302"/>
          <w:tab w:val="right" w:leader="dot" w:pos="8306"/>
        </w:tabs>
        <w:spacing w:line="360" w:lineRule="auto"/>
        <w:rPr>
          <w:szCs w:val="28"/>
        </w:rPr>
      </w:pPr>
      <w:hyperlink w:anchor="_Toc5842" w:history="1">
        <w:r>
          <w:rPr>
            <w:szCs w:val="28"/>
          </w:rPr>
          <w:t>附件</w:t>
        </w:r>
        <w:r>
          <w:rPr>
            <w:szCs w:val="28"/>
          </w:rPr>
          <w:t xml:space="preserve">24 </w:t>
        </w:r>
        <w:r>
          <w:rPr>
            <w:szCs w:val="28"/>
          </w:rPr>
          <w:t>安全生产责任制封面及目录</w:t>
        </w:r>
        <w:r>
          <w:rPr>
            <w:szCs w:val="28"/>
          </w:rPr>
          <w:tab/>
        </w:r>
        <w:r>
          <w:rPr>
            <w:szCs w:val="28"/>
          </w:rPr>
          <w:fldChar w:fldCharType="begin"/>
        </w:r>
        <w:r>
          <w:rPr>
            <w:szCs w:val="28"/>
          </w:rPr>
          <w:instrText xml:space="preserve"> PAGEREF _Toc5842 \h </w:instrText>
        </w:r>
        <w:r>
          <w:rPr>
            <w:szCs w:val="28"/>
          </w:rPr>
        </w:r>
        <w:r>
          <w:rPr>
            <w:szCs w:val="28"/>
          </w:rPr>
          <w:fldChar w:fldCharType="separate"/>
        </w:r>
        <w:r>
          <w:rPr>
            <w:szCs w:val="28"/>
          </w:rPr>
          <w:t>316</w:t>
        </w:r>
        <w:r>
          <w:rPr>
            <w:szCs w:val="28"/>
          </w:rPr>
          <w:fldChar w:fldCharType="end"/>
        </w:r>
      </w:hyperlink>
    </w:p>
    <w:p w14:paraId="1428F69D" w14:textId="77777777" w:rsidR="002D2AF8" w:rsidRDefault="00000000">
      <w:pPr>
        <w:pStyle w:val="TOC1"/>
        <w:tabs>
          <w:tab w:val="clear" w:pos="8302"/>
          <w:tab w:val="right" w:leader="dot" w:pos="8306"/>
        </w:tabs>
        <w:spacing w:line="360" w:lineRule="auto"/>
        <w:rPr>
          <w:szCs w:val="28"/>
        </w:rPr>
      </w:pPr>
      <w:hyperlink w:anchor="_Toc2808" w:history="1">
        <w:r>
          <w:rPr>
            <w:szCs w:val="28"/>
          </w:rPr>
          <w:t>附件</w:t>
        </w:r>
        <w:r>
          <w:rPr>
            <w:szCs w:val="28"/>
          </w:rPr>
          <w:t xml:space="preserve">25 </w:t>
        </w:r>
        <w:r>
          <w:rPr>
            <w:szCs w:val="28"/>
          </w:rPr>
          <w:t>安全管理制度封面及目录</w:t>
        </w:r>
        <w:r>
          <w:rPr>
            <w:szCs w:val="28"/>
          </w:rPr>
          <w:tab/>
        </w:r>
        <w:r>
          <w:rPr>
            <w:szCs w:val="28"/>
          </w:rPr>
          <w:fldChar w:fldCharType="begin"/>
        </w:r>
        <w:r>
          <w:rPr>
            <w:szCs w:val="28"/>
          </w:rPr>
          <w:instrText xml:space="preserve"> PAGEREF _Toc2808 \h </w:instrText>
        </w:r>
        <w:r>
          <w:rPr>
            <w:szCs w:val="28"/>
          </w:rPr>
        </w:r>
        <w:r>
          <w:rPr>
            <w:szCs w:val="28"/>
          </w:rPr>
          <w:fldChar w:fldCharType="separate"/>
        </w:r>
        <w:r>
          <w:rPr>
            <w:szCs w:val="28"/>
          </w:rPr>
          <w:t>318</w:t>
        </w:r>
        <w:r>
          <w:rPr>
            <w:szCs w:val="28"/>
          </w:rPr>
          <w:fldChar w:fldCharType="end"/>
        </w:r>
      </w:hyperlink>
    </w:p>
    <w:p w14:paraId="0289A960" w14:textId="77777777" w:rsidR="002D2AF8" w:rsidRDefault="00000000">
      <w:pPr>
        <w:pStyle w:val="TOC1"/>
        <w:tabs>
          <w:tab w:val="clear" w:pos="8302"/>
          <w:tab w:val="right" w:leader="dot" w:pos="8306"/>
        </w:tabs>
        <w:spacing w:line="360" w:lineRule="auto"/>
        <w:rPr>
          <w:szCs w:val="28"/>
        </w:rPr>
      </w:pPr>
      <w:hyperlink w:anchor="_Toc2219" w:history="1">
        <w:r>
          <w:rPr>
            <w:szCs w:val="28"/>
          </w:rPr>
          <w:t>附件</w:t>
        </w:r>
        <w:r>
          <w:rPr>
            <w:szCs w:val="28"/>
          </w:rPr>
          <w:t xml:space="preserve">26 </w:t>
        </w:r>
        <w:r>
          <w:rPr>
            <w:szCs w:val="28"/>
          </w:rPr>
          <w:t>操作规程封面及目录</w:t>
        </w:r>
        <w:r>
          <w:rPr>
            <w:szCs w:val="28"/>
          </w:rPr>
          <w:tab/>
        </w:r>
        <w:r>
          <w:rPr>
            <w:szCs w:val="28"/>
          </w:rPr>
          <w:fldChar w:fldCharType="begin"/>
        </w:r>
        <w:r>
          <w:rPr>
            <w:szCs w:val="28"/>
          </w:rPr>
          <w:instrText xml:space="preserve"> PAGEREF _Toc2219 \h </w:instrText>
        </w:r>
        <w:r>
          <w:rPr>
            <w:szCs w:val="28"/>
          </w:rPr>
        </w:r>
        <w:r>
          <w:rPr>
            <w:szCs w:val="28"/>
          </w:rPr>
          <w:fldChar w:fldCharType="separate"/>
        </w:r>
        <w:r>
          <w:rPr>
            <w:szCs w:val="28"/>
          </w:rPr>
          <w:t>321</w:t>
        </w:r>
        <w:r>
          <w:rPr>
            <w:szCs w:val="28"/>
          </w:rPr>
          <w:fldChar w:fldCharType="end"/>
        </w:r>
      </w:hyperlink>
    </w:p>
    <w:p w14:paraId="76336E29" w14:textId="77777777" w:rsidR="002D2AF8" w:rsidRDefault="00000000">
      <w:pPr>
        <w:pStyle w:val="TOC1"/>
        <w:tabs>
          <w:tab w:val="clear" w:pos="8302"/>
          <w:tab w:val="right" w:leader="dot" w:pos="8306"/>
        </w:tabs>
        <w:spacing w:line="360" w:lineRule="auto"/>
      </w:pPr>
      <w:hyperlink w:anchor="_Toc18450" w:history="1">
        <w:r>
          <w:rPr>
            <w:szCs w:val="28"/>
          </w:rPr>
          <w:t>附件</w:t>
        </w:r>
        <w:r>
          <w:rPr>
            <w:szCs w:val="28"/>
          </w:rPr>
          <w:t>27</w:t>
        </w:r>
        <w:r>
          <w:rPr>
            <w:szCs w:val="28"/>
          </w:rPr>
          <w:t>专家审查意见及报告修改说明</w:t>
        </w:r>
        <w:r>
          <w:rPr>
            <w:szCs w:val="28"/>
          </w:rPr>
          <w:tab/>
        </w:r>
        <w:r>
          <w:rPr>
            <w:szCs w:val="28"/>
          </w:rPr>
          <w:fldChar w:fldCharType="begin"/>
        </w:r>
        <w:r>
          <w:rPr>
            <w:szCs w:val="28"/>
          </w:rPr>
          <w:instrText xml:space="preserve"> PAGEREF _Toc18450 \h </w:instrText>
        </w:r>
        <w:r>
          <w:rPr>
            <w:szCs w:val="28"/>
          </w:rPr>
        </w:r>
        <w:r>
          <w:rPr>
            <w:szCs w:val="28"/>
          </w:rPr>
          <w:fldChar w:fldCharType="separate"/>
        </w:r>
        <w:r>
          <w:rPr>
            <w:szCs w:val="28"/>
          </w:rPr>
          <w:t>324</w:t>
        </w:r>
        <w:r>
          <w:rPr>
            <w:szCs w:val="28"/>
          </w:rPr>
          <w:fldChar w:fldCharType="end"/>
        </w:r>
      </w:hyperlink>
    </w:p>
    <w:p w14:paraId="2E161422" w14:textId="77777777" w:rsidR="002D2AF8" w:rsidRDefault="00000000">
      <w:pPr>
        <w:pStyle w:val="TOC1"/>
        <w:tabs>
          <w:tab w:val="clear" w:pos="8302"/>
          <w:tab w:val="right" w:leader="dot" w:pos="8306"/>
        </w:tabs>
        <w:spacing w:line="360" w:lineRule="auto"/>
        <w:rPr>
          <w:color w:val="000000" w:themeColor="text1"/>
          <w:szCs w:val="28"/>
        </w:rPr>
        <w:sectPr w:rsidR="002D2AF8">
          <w:headerReference w:type="default" r:id="rId16"/>
          <w:footerReference w:type="default" r:id="rId17"/>
          <w:pgSz w:w="11906" w:h="16838"/>
          <w:pgMar w:top="1440" w:right="1803" w:bottom="1440" w:left="1803" w:header="850" w:footer="992" w:gutter="0"/>
          <w:pgNumType w:fmt="upperRoman" w:start="1"/>
          <w:cols w:space="0"/>
          <w:docGrid w:type="linesAndChars" w:linePitch="325" w:charSpace="577"/>
        </w:sectPr>
      </w:pPr>
      <w:r>
        <w:rPr>
          <w:color w:val="000000" w:themeColor="text1"/>
          <w:szCs w:val="28"/>
        </w:rPr>
        <w:fldChar w:fldCharType="end"/>
      </w:r>
    </w:p>
    <w:p w14:paraId="200F22DD" w14:textId="77777777" w:rsidR="002D2AF8" w:rsidRDefault="00000000">
      <w:pPr>
        <w:pStyle w:val="10"/>
        <w:keepNext w:val="0"/>
        <w:adjustRightInd w:val="0"/>
        <w:snapToGrid w:val="0"/>
        <w:spacing w:line="360" w:lineRule="auto"/>
        <w:rPr>
          <w:rFonts w:eastAsia="楷体_GB2312"/>
          <w:b/>
          <w:color w:val="000000" w:themeColor="text1"/>
          <w:sz w:val="36"/>
          <w:szCs w:val="36"/>
        </w:rPr>
      </w:pPr>
      <w:bookmarkStart w:id="0" w:name="_Toc23077"/>
      <w:r>
        <w:rPr>
          <w:rFonts w:eastAsia="楷体_GB2312"/>
          <w:b/>
          <w:color w:val="000000" w:themeColor="text1"/>
          <w:sz w:val="36"/>
          <w:szCs w:val="36"/>
        </w:rPr>
        <w:lastRenderedPageBreak/>
        <w:t xml:space="preserve">1 </w:t>
      </w:r>
      <w:r>
        <w:rPr>
          <w:rFonts w:eastAsia="楷体_GB2312"/>
          <w:b/>
          <w:color w:val="000000" w:themeColor="text1"/>
          <w:sz w:val="36"/>
          <w:szCs w:val="36"/>
        </w:rPr>
        <w:t>总则</w:t>
      </w:r>
      <w:bookmarkEnd w:id="0"/>
    </w:p>
    <w:p w14:paraId="7FB928D6"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 w:name="_Toc202759398"/>
      <w:bookmarkStart w:id="2" w:name="_Toc29345"/>
      <w:r>
        <w:rPr>
          <w:rFonts w:ascii="Times New Roman" w:hAnsi="Times New Roman"/>
          <w:b w:val="0"/>
          <w:bCs/>
          <w:color w:val="000000" w:themeColor="text1"/>
          <w:szCs w:val="32"/>
        </w:rPr>
        <w:t xml:space="preserve">1.1 </w:t>
      </w:r>
      <w:r>
        <w:rPr>
          <w:rFonts w:ascii="Times New Roman" w:hAnsi="Times New Roman"/>
          <w:b w:val="0"/>
          <w:bCs/>
          <w:color w:val="000000" w:themeColor="text1"/>
          <w:szCs w:val="32"/>
        </w:rPr>
        <w:t>评价目的</w:t>
      </w:r>
      <w:bookmarkEnd w:id="1"/>
      <w:bookmarkEnd w:id="2"/>
    </w:p>
    <w:p w14:paraId="7D608E8D"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按照《安全生产许可证条例》（国务院令</w:t>
      </w:r>
      <w:r>
        <w:rPr>
          <w:color w:val="000000" w:themeColor="text1"/>
          <w:sz w:val="28"/>
          <w:szCs w:val="28"/>
        </w:rPr>
        <w:t>[2004]</w:t>
      </w:r>
      <w:r>
        <w:rPr>
          <w:color w:val="000000" w:themeColor="text1"/>
          <w:sz w:val="28"/>
          <w:szCs w:val="28"/>
        </w:rPr>
        <w:t>第</w:t>
      </w:r>
      <w:r>
        <w:rPr>
          <w:color w:val="000000" w:themeColor="text1"/>
          <w:sz w:val="28"/>
          <w:szCs w:val="28"/>
        </w:rPr>
        <w:t>397</w:t>
      </w:r>
      <w:r>
        <w:rPr>
          <w:color w:val="000000" w:themeColor="text1"/>
          <w:sz w:val="28"/>
          <w:szCs w:val="28"/>
        </w:rPr>
        <w:t>号，</w:t>
      </w:r>
      <w:r>
        <w:rPr>
          <w:color w:val="000000" w:themeColor="text1"/>
          <w:sz w:val="28"/>
          <w:szCs w:val="28"/>
        </w:rPr>
        <w:t>2014</w:t>
      </w:r>
      <w:r>
        <w:rPr>
          <w:color w:val="000000" w:themeColor="text1"/>
          <w:sz w:val="28"/>
          <w:szCs w:val="28"/>
        </w:rPr>
        <w:t>修订版）、《非煤矿矿山企业安全生产许可证实施办法》（国家安全生产监督管理总局令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修订版）的规定，陆上石油天然气企业必须进行安全现状评价，通过评价做出客观的评价结论，明确被评价单位是否具备陆上石油天然气企业的各项安全生产条件，为应急管理部门实施监督管理提供依据。</w:t>
      </w:r>
    </w:p>
    <w:p w14:paraId="7C49BE51" w14:textId="77777777" w:rsidR="002D2AF8" w:rsidRDefault="00000000">
      <w:pPr>
        <w:adjustRightInd w:val="0"/>
        <w:snapToGrid w:val="0"/>
        <w:spacing w:line="360" w:lineRule="auto"/>
        <w:ind w:firstLineChars="200" w:firstLine="566"/>
        <w:rPr>
          <w:color w:val="000000" w:themeColor="text1"/>
          <w:kern w:val="0"/>
          <w:sz w:val="28"/>
          <w:szCs w:val="28"/>
        </w:rPr>
      </w:pPr>
      <w:r>
        <w:rPr>
          <w:color w:val="000000" w:themeColor="text1"/>
          <w:sz w:val="28"/>
          <w:szCs w:val="28"/>
        </w:rPr>
        <w:t>2.</w:t>
      </w:r>
      <w:r>
        <w:rPr>
          <w:color w:val="000000" w:themeColor="text1"/>
          <w:sz w:val="28"/>
          <w:szCs w:val="28"/>
        </w:rPr>
        <w:t>通过对</w:t>
      </w:r>
      <w:r>
        <w:rPr>
          <w:rFonts w:hint="eastAsia"/>
          <w:color w:val="000000" w:themeColor="text1"/>
          <w:sz w:val="28"/>
          <w:szCs w:val="28"/>
        </w:rPr>
        <w:t>胜利油田胜兴堵驱新技术开发有限责任公司</w:t>
      </w:r>
      <w:r>
        <w:rPr>
          <w:color w:val="000000" w:themeColor="text1"/>
          <w:sz w:val="28"/>
          <w:szCs w:val="28"/>
        </w:rPr>
        <w:t>井下作业</w:t>
      </w:r>
      <w:r>
        <w:rPr>
          <w:color w:val="000000" w:themeColor="text1"/>
          <w:sz w:val="28"/>
          <w:szCs w:val="28"/>
        </w:rPr>
        <w:t>-</w:t>
      </w:r>
      <w:r>
        <w:rPr>
          <w:rFonts w:hint="eastAsia"/>
          <w:color w:val="000000" w:themeColor="text1"/>
          <w:sz w:val="28"/>
          <w:szCs w:val="28"/>
        </w:rPr>
        <w:t>测试</w:t>
      </w:r>
      <w:r>
        <w:rPr>
          <w:color w:val="000000" w:themeColor="text1"/>
          <w:sz w:val="28"/>
          <w:szCs w:val="28"/>
        </w:rPr>
        <w:t>、</w:t>
      </w:r>
      <w:r>
        <w:rPr>
          <w:rFonts w:hint="eastAsia"/>
          <w:color w:val="000000" w:themeColor="text1"/>
          <w:sz w:val="28"/>
          <w:szCs w:val="28"/>
        </w:rPr>
        <w:t>堵水</w:t>
      </w:r>
      <w:r>
        <w:rPr>
          <w:rFonts w:hint="eastAsia"/>
          <w:color w:val="000000" w:themeColor="text1"/>
          <w:sz w:val="28"/>
          <w:szCs w:val="28"/>
        </w:rPr>
        <w:t>/</w:t>
      </w:r>
      <w:r>
        <w:rPr>
          <w:rFonts w:hint="eastAsia"/>
          <w:color w:val="000000" w:themeColor="text1"/>
          <w:sz w:val="28"/>
          <w:szCs w:val="28"/>
        </w:rPr>
        <w:t>调剖</w:t>
      </w:r>
      <w:r>
        <w:rPr>
          <w:color w:val="000000" w:themeColor="text1"/>
          <w:sz w:val="28"/>
          <w:szCs w:val="28"/>
        </w:rPr>
        <w:t>等项目现有的生产设施、设备的实际运行状况及管理状况的调查、分析，识别作业</w:t>
      </w:r>
      <w:r>
        <w:rPr>
          <w:color w:val="000000" w:themeColor="text1"/>
          <w:kern w:val="0"/>
          <w:sz w:val="28"/>
          <w:szCs w:val="28"/>
        </w:rPr>
        <w:t>过程中存在的主要危险、有害因素，对企业在现场作业、安全管理方面与标准和法规的符合性进行评价，对不符合国家标准的作法提出整改建议并补充相应的安全对策措施。</w:t>
      </w:r>
    </w:p>
    <w:p w14:paraId="34171673"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 w:name="_Toc18951"/>
      <w:bookmarkStart w:id="4" w:name="_Toc215277128"/>
      <w:bookmarkStart w:id="5" w:name="_Toc215277127"/>
      <w:r>
        <w:rPr>
          <w:rFonts w:ascii="Times New Roman" w:hAnsi="Times New Roman"/>
          <w:b w:val="0"/>
          <w:bCs/>
          <w:color w:val="000000" w:themeColor="text1"/>
          <w:szCs w:val="32"/>
        </w:rPr>
        <w:t xml:space="preserve">1.2 </w:t>
      </w:r>
      <w:r>
        <w:rPr>
          <w:rFonts w:ascii="Times New Roman" w:hAnsi="Times New Roman"/>
          <w:b w:val="0"/>
          <w:bCs/>
          <w:color w:val="000000" w:themeColor="text1"/>
          <w:szCs w:val="32"/>
        </w:rPr>
        <w:t>评价依据</w:t>
      </w:r>
      <w:bookmarkEnd w:id="3"/>
    </w:p>
    <w:p w14:paraId="74C4F857"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1.2.1 </w:t>
      </w:r>
      <w:r>
        <w:rPr>
          <w:rFonts w:eastAsia="黑体"/>
          <w:b w:val="0"/>
          <w:snapToGrid w:val="0"/>
          <w:color w:val="000000" w:themeColor="text1"/>
          <w:kern w:val="0"/>
          <w:sz w:val="28"/>
          <w:szCs w:val="28"/>
        </w:rPr>
        <w:t>法律</w:t>
      </w:r>
    </w:p>
    <w:p w14:paraId="43781525" w14:textId="77777777" w:rsidR="002D2AF8"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《中华人民共和国安全生产法》（</w:t>
      </w:r>
      <w:r>
        <w:rPr>
          <w:color w:val="000000" w:themeColor="text1"/>
          <w:sz w:val="28"/>
        </w:rPr>
        <w:t>2002</w:t>
      </w:r>
      <w:r>
        <w:rPr>
          <w:color w:val="000000" w:themeColor="text1"/>
          <w:sz w:val="28"/>
        </w:rPr>
        <w:t>年</w:t>
      </w:r>
      <w:r>
        <w:rPr>
          <w:color w:val="000000" w:themeColor="text1"/>
          <w:sz w:val="28"/>
        </w:rPr>
        <w:t>6</w:t>
      </w:r>
      <w:r>
        <w:rPr>
          <w:color w:val="000000" w:themeColor="text1"/>
          <w:sz w:val="28"/>
        </w:rPr>
        <w:t>月</w:t>
      </w:r>
      <w:r>
        <w:rPr>
          <w:color w:val="000000" w:themeColor="text1"/>
          <w:sz w:val="28"/>
        </w:rPr>
        <w:t>29</w:t>
      </w:r>
      <w:r>
        <w:rPr>
          <w:color w:val="000000" w:themeColor="text1"/>
          <w:sz w:val="28"/>
        </w:rPr>
        <w:t>日第九届</w:t>
      </w:r>
      <w:r>
        <w:rPr>
          <w:color w:val="000000" w:themeColor="text1"/>
        </w:rPr>
        <w:fldChar w:fldCharType="begin"/>
      </w:r>
      <w:r>
        <w:rPr>
          <w:color w:val="000000" w:themeColor="text1"/>
        </w:rPr>
        <w:instrText xml:space="preserve"> HYPERLINK "https://baike.baidu.com/item/%E5%85%A8%E5%9B%BD%E4%BA%BA%E6%B0%91%E4%BB%A3%E8%A1%A8%E5%A4%A7%E4%BC%9A/117422" \t "https://baike.baidu.com/item/%E4%B8%AD%E5%8D%8E%E4%BA%BA%E6%B0%91%E5%85%B1%E5%92%8C%E5%9B%BD%E5%AE%89%E5%85%A8%E7%94%9F%E4%BA%A7%E6%B3%95/_blank" </w:instrText>
      </w:r>
      <w:r>
        <w:rPr>
          <w:color w:val="000000" w:themeColor="text1"/>
        </w:rPr>
      </w:r>
      <w:r>
        <w:rPr>
          <w:color w:val="000000" w:themeColor="text1"/>
        </w:rPr>
        <w:fldChar w:fldCharType="separate"/>
      </w:r>
      <w:r>
        <w:rPr>
          <w:color w:val="000000" w:themeColor="text1"/>
          <w:sz w:val="28"/>
        </w:rPr>
        <w:t>全国人民代表大会</w:t>
      </w:r>
      <w:r>
        <w:rPr>
          <w:color w:val="000000" w:themeColor="text1"/>
          <w:sz w:val="28"/>
        </w:rPr>
        <w:fldChar w:fldCharType="end"/>
      </w:r>
      <w:r>
        <w:rPr>
          <w:color w:val="000000" w:themeColor="text1"/>
          <w:sz w:val="28"/>
        </w:rPr>
        <w:t>常务委员会第二十八次会议通过，</w:t>
      </w:r>
      <w:r>
        <w:rPr>
          <w:color w:val="000000" w:themeColor="text1"/>
          <w:sz w:val="28"/>
        </w:rPr>
        <w:t>2021</w:t>
      </w:r>
      <w:r>
        <w:rPr>
          <w:color w:val="000000" w:themeColor="text1"/>
          <w:sz w:val="28"/>
        </w:rPr>
        <w:t>年</w:t>
      </w:r>
      <w:r>
        <w:rPr>
          <w:color w:val="000000" w:themeColor="text1"/>
          <w:sz w:val="28"/>
        </w:rPr>
        <w:t>6</w:t>
      </w:r>
      <w:r>
        <w:rPr>
          <w:color w:val="000000" w:themeColor="text1"/>
          <w:sz w:val="28"/>
        </w:rPr>
        <w:t>月</w:t>
      </w:r>
      <w:r>
        <w:rPr>
          <w:color w:val="000000" w:themeColor="text1"/>
          <w:sz w:val="28"/>
        </w:rPr>
        <w:t>10</w:t>
      </w:r>
      <w:r>
        <w:rPr>
          <w:color w:val="000000" w:themeColor="text1"/>
          <w:sz w:val="28"/>
        </w:rPr>
        <w:t>日第十三届全国人民代表大会常务委员会第二十九次会议《关于修改</w:t>
      </w:r>
      <w:r>
        <w:rPr>
          <w:color w:val="000000" w:themeColor="text1"/>
          <w:sz w:val="28"/>
        </w:rPr>
        <w:t>&lt;</w:t>
      </w:r>
      <w:r>
        <w:rPr>
          <w:color w:val="000000" w:themeColor="text1"/>
          <w:sz w:val="28"/>
        </w:rPr>
        <w:t>中华人民共和国安全生产法</w:t>
      </w:r>
      <w:r>
        <w:rPr>
          <w:color w:val="000000" w:themeColor="text1"/>
          <w:sz w:val="28"/>
        </w:rPr>
        <w:t>&gt;</w:t>
      </w:r>
      <w:r>
        <w:rPr>
          <w:color w:val="000000" w:themeColor="text1"/>
          <w:sz w:val="28"/>
        </w:rPr>
        <w:t>的决定》第三次修正。）</w:t>
      </w:r>
    </w:p>
    <w:p w14:paraId="70D009E0" w14:textId="77777777" w:rsidR="002D2AF8"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《中华人民共和国劳动法》（</w:t>
      </w:r>
      <w:r>
        <w:rPr>
          <w:color w:val="000000" w:themeColor="text1"/>
          <w:sz w:val="28"/>
        </w:rPr>
        <w:t>1994</w:t>
      </w:r>
      <w:r>
        <w:rPr>
          <w:color w:val="000000" w:themeColor="text1"/>
          <w:sz w:val="28"/>
        </w:rPr>
        <w:t>年</w:t>
      </w:r>
      <w:r>
        <w:rPr>
          <w:color w:val="000000" w:themeColor="text1"/>
          <w:sz w:val="28"/>
        </w:rPr>
        <w:t>7</w:t>
      </w:r>
      <w:r>
        <w:rPr>
          <w:color w:val="000000" w:themeColor="text1"/>
          <w:sz w:val="28"/>
        </w:rPr>
        <w:t>月</w:t>
      </w:r>
      <w:r>
        <w:rPr>
          <w:color w:val="000000" w:themeColor="text1"/>
          <w:sz w:val="28"/>
        </w:rPr>
        <w:t>5</w:t>
      </w:r>
      <w:r>
        <w:rPr>
          <w:color w:val="000000" w:themeColor="text1"/>
          <w:sz w:val="28"/>
        </w:rPr>
        <w:t>日</w:t>
      </w:r>
      <w:r>
        <w:rPr>
          <w:color w:val="000000" w:themeColor="text1"/>
        </w:rPr>
        <w:fldChar w:fldCharType="begin"/>
      </w:r>
      <w:r>
        <w:rPr>
          <w:color w:val="000000" w:themeColor="text1"/>
        </w:rPr>
        <w:instrText xml:space="preserve"> HYPERLINK "https://baike.baidu.com/item/%E7%AC%AC%E5%85%AB%E5%B1%8A%E5%85%A8%E5%9B%BD%E4%BA%BA%E6%B0%91%E4%BB%A3%E8%A1%A8%E5%A4%A7%E4%BC%9A%E5%B8%B8%E5%8A%A1%E5%A7%94%E5%91%98%E4%BC%9A/10230165" \t "https://baike.baidu.com/item/%E4%B8%AD%E5%8D%8E%E4%BA%BA%E6%B0%91%E5%85%B1%E5%92%8C%E5%9B%BD%E5%8A%B3%E5%8A%A8%E6%B3%95/_blank" </w:instrText>
      </w:r>
      <w:r>
        <w:rPr>
          <w:color w:val="000000" w:themeColor="text1"/>
        </w:rPr>
      </w:r>
      <w:r>
        <w:rPr>
          <w:color w:val="000000" w:themeColor="text1"/>
        </w:rPr>
        <w:fldChar w:fldCharType="separate"/>
      </w:r>
      <w:r>
        <w:rPr>
          <w:color w:val="000000" w:themeColor="text1"/>
          <w:sz w:val="28"/>
        </w:rPr>
        <w:t>第八届全国人民代表大会常务委员会</w:t>
      </w:r>
      <w:r>
        <w:rPr>
          <w:color w:val="000000" w:themeColor="text1"/>
          <w:sz w:val="28"/>
        </w:rPr>
        <w:fldChar w:fldCharType="end"/>
      </w:r>
      <w:r>
        <w:rPr>
          <w:color w:val="000000" w:themeColor="text1"/>
          <w:sz w:val="28"/>
        </w:rPr>
        <w:t>第八次会议通过，根据</w:t>
      </w:r>
      <w:r>
        <w:rPr>
          <w:color w:val="000000" w:themeColor="text1"/>
          <w:sz w:val="28"/>
        </w:rPr>
        <w:t>2018</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w:t>
      </w:r>
      <w:r>
        <w:rPr>
          <w:color w:val="000000" w:themeColor="text1"/>
        </w:rPr>
        <w:fldChar w:fldCharType="begin"/>
      </w:r>
      <w:r>
        <w:rPr>
          <w:color w:val="000000" w:themeColor="text1"/>
        </w:rPr>
        <w:instrText xml:space="preserve"> HYPERLINK "https://baike.baidu.com/item/%E7%AC%AC%E5%8D%81%E4%B8%89%E5%B1%8A%E5%85%A8%E5%9B%BD%E4%BA%BA%E6%B0%91%E4%BB%A3%E8%A1%A8%E5%A4%A7%E4%BC%9A%E5%B8%B8%E5%8A%A1%E5%A7%94%E5%91%98%E4%BC%9A/22439522" \t "https://baike.baidu.com/item/%E4%B8%AD%E5%8D%8E%E4%BA%BA%E6%B0%91%E5%85%B1%E5%92%8C%E5%9B%BD%E5%8A%B3%E5%8A%A8%E6%B3%95/_blank" </w:instrText>
      </w:r>
      <w:r>
        <w:rPr>
          <w:color w:val="000000" w:themeColor="text1"/>
        </w:rPr>
      </w:r>
      <w:r>
        <w:rPr>
          <w:color w:val="000000" w:themeColor="text1"/>
        </w:rPr>
        <w:fldChar w:fldCharType="separate"/>
      </w:r>
      <w:r>
        <w:rPr>
          <w:color w:val="000000" w:themeColor="text1"/>
          <w:sz w:val="28"/>
        </w:rPr>
        <w:t>第十三届全国人民代表大会常务委员会</w:t>
      </w:r>
      <w:r>
        <w:rPr>
          <w:color w:val="000000" w:themeColor="text1"/>
          <w:sz w:val="28"/>
        </w:rPr>
        <w:fldChar w:fldCharType="end"/>
      </w:r>
      <w:r>
        <w:rPr>
          <w:color w:val="000000" w:themeColor="text1"/>
          <w:sz w:val="28"/>
        </w:rPr>
        <w:t>第七次会议《关于修改〈中华人民共和国劳动法〉等七部法律的决定》第二次修正。）</w:t>
      </w:r>
    </w:p>
    <w:p w14:paraId="7817C39E" w14:textId="77777777" w:rsidR="002D2AF8"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《中华人民共和国突发事件应对法》（主席令</w:t>
      </w:r>
      <w:r>
        <w:rPr>
          <w:color w:val="000000" w:themeColor="text1"/>
          <w:sz w:val="28"/>
        </w:rPr>
        <w:t>[2007]</w:t>
      </w:r>
      <w:r>
        <w:rPr>
          <w:color w:val="000000" w:themeColor="text1"/>
          <w:sz w:val="28"/>
        </w:rPr>
        <w:t>第</w:t>
      </w:r>
      <w:r>
        <w:rPr>
          <w:color w:val="000000" w:themeColor="text1"/>
          <w:sz w:val="28"/>
        </w:rPr>
        <w:t>69</w:t>
      </w:r>
      <w:r>
        <w:rPr>
          <w:color w:val="000000" w:themeColor="text1"/>
          <w:sz w:val="28"/>
        </w:rPr>
        <w:t>号，</w:t>
      </w:r>
      <w:r>
        <w:rPr>
          <w:color w:val="000000" w:themeColor="text1"/>
        </w:rPr>
        <w:fldChar w:fldCharType="begin"/>
      </w:r>
      <w:r>
        <w:rPr>
          <w:color w:val="000000" w:themeColor="text1"/>
        </w:rPr>
        <w:instrText xml:space="preserve"> HYPERLINK "https://baike.baidu.com/item/%E4%B8%AD%E5%8D%8E%E4%BA%BA%E6%B0%91%E5%85%B1%E5%92%8C%E5%9B%BD%E7%AC%AC%E5%8D%81%E5%B1%8A%E5%85%A8%E5%9B%BD%E4%BA%BA%E6%B0%91%E4%BB%A3%E8%A1%A8%E5%A4%A7%E4%BC%9A" \t "https://baike.baidu.com/item/%E4%B8%AD%E5%8D%8E%E4%BA%BA%E6%B0%91%E5%85%B1%E5%92%8C%E5%9B%BD%E7%AA%81%E5%8F%91%E4%BA%8B%E4%BB%B6%E5%BA%94%E5%AF%B9%E6%B3%95/_blank" </w:instrText>
      </w:r>
      <w:r>
        <w:rPr>
          <w:color w:val="000000" w:themeColor="text1"/>
        </w:rPr>
      </w:r>
      <w:r>
        <w:rPr>
          <w:color w:val="000000" w:themeColor="text1"/>
        </w:rPr>
        <w:fldChar w:fldCharType="separate"/>
      </w:r>
      <w:r>
        <w:rPr>
          <w:color w:val="000000" w:themeColor="text1"/>
          <w:sz w:val="28"/>
        </w:rPr>
        <w:t>中华人民共和国第十届全国人民代表大会</w:t>
      </w:r>
      <w:r>
        <w:rPr>
          <w:color w:val="000000" w:themeColor="text1"/>
          <w:sz w:val="28"/>
        </w:rPr>
        <w:fldChar w:fldCharType="end"/>
      </w:r>
      <w:r>
        <w:rPr>
          <w:color w:val="000000" w:themeColor="text1"/>
          <w:sz w:val="28"/>
        </w:rPr>
        <w:t>常务委员会第二十九次会</w:t>
      </w:r>
      <w:r>
        <w:rPr>
          <w:color w:val="000000" w:themeColor="text1"/>
          <w:sz w:val="28"/>
        </w:rPr>
        <w:lastRenderedPageBreak/>
        <w:t>议于</w:t>
      </w:r>
      <w:r>
        <w:rPr>
          <w:color w:val="000000" w:themeColor="text1"/>
          <w:sz w:val="28"/>
        </w:rPr>
        <w:t>2007</w:t>
      </w:r>
      <w:r>
        <w:rPr>
          <w:color w:val="000000" w:themeColor="text1"/>
          <w:sz w:val="28"/>
        </w:rPr>
        <w:t>年</w:t>
      </w:r>
      <w:r>
        <w:rPr>
          <w:color w:val="000000" w:themeColor="text1"/>
          <w:sz w:val="28"/>
        </w:rPr>
        <w:t>8</w:t>
      </w:r>
      <w:r>
        <w:rPr>
          <w:color w:val="000000" w:themeColor="text1"/>
          <w:sz w:val="28"/>
        </w:rPr>
        <w:t>月</w:t>
      </w:r>
      <w:r>
        <w:rPr>
          <w:color w:val="000000" w:themeColor="text1"/>
          <w:sz w:val="28"/>
        </w:rPr>
        <w:t>30</w:t>
      </w:r>
      <w:r>
        <w:rPr>
          <w:color w:val="000000" w:themeColor="text1"/>
          <w:sz w:val="28"/>
        </w:rPr>
        <w:t>日通过，自</w:t>
      </w:r>
      <w:r>
        <w:rPr>
          <w:color w:val="000000" w:themeColor="text1"/>
          <w:sz w:val="28"/>
        </w:rPr>
        <w:t>2007</w:t>
      </w:r>
      <w:r>
        <w:rPr>
          <w:color w:val="000000" w:themeColor="text1"/>
          <w:sz w:val="28"/>
        </w:rPr>
        <w:t>年</w:t>
      </w:r>
      <w:r>
        <w:rPr>
          <w:color w:val="000000" w:themeColor="text1"/>
          <w:sz w:val="28"/>
        </w:rPr>
        <w:t>11</w:t>
      </w:r>
      <w:r>
        <w:rPr>
          <w:color w:val="000000" w:themeColor="text1"/>
          <w:sz w:val="28"/>
        </w:rPr>
        <w:t>月</w:t>
      </w:r>
      <w:r>
        <w:rPr>
          <w:color w:val="000000" w:themeColor="text1"/>
          <w:sz w:val="28"/>
        </w:rPr>
        <w:t>1</w:t>
      </w:r>
      <w:r>
        <w:rPr>
          <w:color w:val="000000" w:themeColor="text1"/>
          <w:sz w:val="28"/>
        </w:rPr>
        <w:t>日起施行。）</w:t>
      </w:r>
    </w:p>
    <w:p w14:paraId="42B87E4F" w14:textId="77777777" w:rsidR="002D2AF8"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《中华人民共和国消防法》（</w:t>
      </w:r>
      <w:r>
        <w:rPr>
          <w:color w:val="000000" w:themeColor="text1"/>
          <w:sz w:val="28"/>
        </w:rPr>
        <w:t>1998</w:t>
      </w:r>
      <w:r>
        <w:rPr>
          <w:color w:val="000000" w:themeColor="text1"/>
          <w:sz w:val="28"/>
        </w:rPr>
        <w:t>年</w:t>
      </w:r>
      <w:r>
        <w:rPr>
          <w:color w:val="000000" w:themeColor="text1"/>
          <w:sz w:val="28"/>
        </w:rPr>
        <w:t>4</w:t>
      </w:r>
      <w:r>
        <w:rPr>
          <w:color w:val="000000" w:themeColor="text1"/>
          <w:sz w:val="28"/>
        </w:rPr>
        <w:t>月</w:t>
      </w:r>
      <w:r>
        <w:rPr>
          <w:color w:val="000000" w:themeColor="text1"/>
          <w:sz w:val="28"/>
        </w:rPr>
        <w:t>29</w:t>
      </w:r>
      <w:r>
        <w:rPr>
          <w:color w:val="000000" w:themeColor="text1"/>
          <w:sz w:val="28"/>
        </w:rPr>
        <w:t>日第九届全国人民代表大会常务委员会第二次会议通过，根据</w:t>
      </w:r>
      <w:r>
        <w:rPr>
          <w:color w:val="000000" w:themeColor="text1"/>
          <w:sz w:val="28"/>
        </w:rPr>
        <w:t>2021</w:t>
      </w:r>
      <w:r>
        <w:rPr>
          <w:color w:val="000000" w:themeColor="text1"/>
          <w:sz w:val="28"/>
        </w:rPr>
        <w:t>年</w:t>
      </w:r>
      <w:r>
        <w:rPr>
          <w:color w:val="000000" w:themeColor="text1"/>
          <w:sz w:val="28"/>
        </w:rPr>
        <w:t>4</w:t>
      </w:r>
      <w:r>
        <w:rPr>
          <w:color w:val="000000" w:themeColor="text1"/>
          <w:sz w:val="28"/>
        </w:rPr>
        <w:t>月</w:t>
      </w:r>
      <w:r>
        <w:rPr>
          <w:color w:val="000000" w:themeColor="text1"/>
          <w:sz w:val="28"/>
        </w:rPr>
        <w:t>29</w:t>
      </w:r>
      <w:r>
        <w:rPr>
          <w:color w:val="000000" w:themeColor="text1"/>
          <w:sz w:val="28"/>
        </w:rPr>
        <w:t>日第十三届全国人民代表大会常务委员会第二十八次会议《关于修改〈</w:t>
      </w:r>
      <w:r>
        <w:rPr>
          <w:color w:val="000000" w:themeColor="text1"/>
        </w:rPr>
        <w:fldChar w:fldCharType="begin"/>
      </w:r>
      <w:r>
        <w:rPr>
          <w:color w:val="000000" w:themeColor="text1"/>
        </w:rPr>
        <w:instrText xml:space="preserve"> HYPERLINK "https://baike.baidu.com/item/%E4%B8%AD%E5%8D%8E%E4%BA%BA%E6%B0%91%E5%85%B1%E5%92%8C%E5%9B%BD%E9%81%93%E8%B7%AF%E4%BA%A4%E9%80%9A%E5%AE%89%E5%85%A8%E6%B3%95/149277" \t "https://baike.baidu.com/item/%E4%B8%AD%E5%8D%8E%E4%BA%BA%E6%B0%91%E5%85%B1%E5%92%8C%E5%9B%BD%E6%B6%88%E9%98%B2%E6%B3%95/_blank" </w:instrText>
      </w:r>
      <w:r>
        <w:rPr>
          <w:color w:val="000000" w:themeColor="text1"/>
        </w:rPr>
      </w:r>
      <w:r>
        <w:rPr>
          <w:color w:val="000000" w:themeColor="text1"/>
        </w:rPr>
        <w:fldChar w:fldCharType="separate"/>
      </w:r>
      <w:r>
        <w:rPr>
          <w:color w:val="000000" w:themeColor="text1"/>
          <w:sz w:val="28"/>
        </w:rPr>
        <w:t>中华人民共和国道路交通安全法</w:t>
      </w:r>
      <w:r>
        <w:rPr>
          <w:color w:val="000000" w:themeColor="text1"/>
          <w:sz w:val="28"/>
        </w:rPr>
        <w:fldChar w:fldCharType="end"/>
      </w:r>
      <w:r>
        <w:rPr>
          <w:color w:val="000000" w:themeColor="text1"/>
          <w:sz w:val="28"/>
        </w:rPr>
        <w:t>〉等八部法律的决定》第二次修正。）</w:t>
      </w:r>
    </w:p>
    <w:p w14:paraId="3AD2648E" w14:textId="77777777" w:rsidR="002D2AF8"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《中华人民共和国防震减灾法》（第八届全国人民代表大会常务委员会第二十九次会议于</w:t>
      </w:r>
      <w:r>
        <w:rPr>
          <w:color w:val="000000" w:themeColor="text1"/>
          <w:sz w:val="28"/>
        </w:rPr>
        <w:t>1997</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日通过，</w:t>
      </w:r>
      <w:r>
        <w:rPr>
          <w:color w:val="000000" w:themeColor="text1"/>
          <w:sz w:val="28"/>
        </w:rPr>
        <w:t>2008</w:t>
      </w:r>
      <w:r>
        <w:rPr>
          <w:color w:val="000000" w:themeColor="text1"/>
          <w:sz w:val="28"/>
        </w:rPr>
        <w:t>年</w:t>
      </w:r>
      <w:r>
        <w:rPr>
          <w:color w:val="000000" w:themeColor="text1"/>
          <w:sz w:val="28"/>
        </w:rPr>
        <w:t>12</w:t>
      </w:r>
      <w:r>
        <w:rPr>
          <w:color w:val="000000" w:themeColor="text1"/>
          <w:sz w:val="28"/>
        </w:rPr>
        <w:t>月</w:t>
      </w:r>
      <w:r>
        <w:rPr>
          <w:color w:val="000000" w:themeColor="text1"/>
          <w:sz w:val="28"/>
        </w:rPr>
        <w:t>27</w:t>
      </w:r>
      <w:r>
        <w:rPr>
          <w:color w:val="000000" w:themeColor="text1"/>
          <w:sz w:val="28"/>
        </w:rPr>
        <w:t>日第十一届全国人民代表大会常务委员会第六次会议修订。）</w:t>
      </w:r>
    </w:p>
    <w:p w14:paraId="34687CD8" w14:textId="77777777" w:rsidR="002D2AF8" w:rsidRDefault="00000000">
      <w:pPr>
        <w:pStyle w:val="18"/>
        <w:numPr>
          <w:ilvl w:val="0"/>
          <w:numId w:val="3"/>
        </w:numPr>
        <w:adjustRightInd w:val="0"/>
        <w:snapToGrid w:val="0"/>
        <w:spacing w:line="360" w:lineRule="auto"/>
        <w:ind w:left="0" w:firstLine="566"/>
        <w:rPr>
          <w:color w:val="000000" w:themeColor="text1"/>
          <w:sz w:val="28"/>
        </w:rPr>
      </w:pPr>
      <w:r>
        <w:rPr>
          <w:color w:val="000000" w:themeColor="text1"/>
          <w:sz w:val="28"/>
        </w:rPr>
        <w:t>《中华人民共和国职业病防治法》（</w:t>
      </w:r>
      <w:r>
        <w:rPr>
          <w:color w:val="000000" w:themeColor="text1"/>
          <w:sz w:val="28"/>
        </w:rPr>
        <w:t>2001</w:t>
      </w:r>
      <w:r>
        <w:rPr>
          <w:color w:val="000000" w:themeColor="text1"/>
          <w:sz w:val="28"/>
        </w:rPr>
        <w:t>年</w:t>
      </w:r>
      <w:r>
        <w:rPr>
          <w:color w:val="000000" w:themeColor="text1"/>
          <w:sz w:val="28"/>
        </w:rPr>
        <w:t>10</w:t>
      </w:r>
      <w:r>
        <w:rPr>
          <w:color w:val="000000" w:themeColor="text1"/>
          <w:sz w:val="28"/>
        </w:rPr>
        <w:t>月</w:t>
      </w:r>
      <w:r>
        <w:rPr>
          <w:color w:val="000000" w:themeColor="text1"/>
          <w:sz w:val="28"/>
        </w:rPr>
        <w:t>27</w:t>
      </w:r>
      <w:r>
        <w:rPr>
          <w:color w:val="000000" w:themeColor="text1"/>
          <w:sz w:val="28"/>
        </w:rPr>
        <w:t>日第九届</w:t>
      </w:r>
      <w:r>
        <w:rPr>
          <w:color w:val="000000" w:themeColor="text1"/>
        </w:rPr>
        <w:fldChar w:fldCharType="begin"/>
      </w:r>
      <w:r>
        <w:rPr>
          <w:color w:val="000000" w:themeColor="text1"/>
        </w:rPr>
        <w:instrText xml:space="preserve"> HYPERLINK "https://baike.baidu.com/item/%E5%85%A8%E5%9B%BD%E4%BA%BA%E6%B0%91%E4%BB%A3%E8%A1%A8%E5%A4%A7%E4%BC%9A/117422" \t "https://baike.baidu.com/item/%E4%B8%AD%E5%8D%8E%E4%BA%BA%E6%B0%91%E5%85%B1%E5%92%8C%E5%9B%BD%E8%81%8C%E4%B8%9A%E7%97%85%E9%98%B2%E6%B2%BB%E6%B3%95/_blank" </w:instrText>
      </w:r>
      <w:r>
        <w:rPr>
          <w:color w:val="000000" w:themeColor="text1"/>
        </w:rPr>
      </w:r>
      <w:r>
        <w:rPr>
          <w:color w:val="000000" w:themeColor="text1"/>
        </w:rPr>
        <w:fldChar w:fldCharType="separate"/>
      </w:r>
      <w:r>
        <w:rPr>
          <w:color w:val="000000" w:themeColor="text1"/>
          <w:sz w:val="28"/>
        </w:rPr>
        <w:t>全国人民代表大会</w:t>
      </w:r>
      <w:r>
        <w:rPr>
          <w:color w:val="000000" w:themeColor="text1"/>
          <w:sz w:val="28"/>
        </w:rPr>
        <w:fldChar w:fldCharType="end"/>
      </w:r>
      <w:r>
        <w:rPr>
          <w:color w:val="000000" w:themeColor="text1"/>
          <w:sz w:val="28"/>
        </w:rPr>
        <w:t>常务委员会第二十四次会议通过，根据</w:t>
      </w:r>
      <w:r>
        <w:rPr>
          <w:color w:val="000000" w:themeColor="text1"/>
          <w:sz w:val="28"/>
        </w:rPr>
        <w:t>2018</w:t>
      </w:r>
      <w:r>
        <w:rPr>
          <w:color w:val="000000" w:themeColor="text1"/>
          <w:sz w:val="28"/>
        </w:rPr>
        <w:t>年</w:t>
      </w:r>
      <w:r>
        <w:rPr>
          <w:color w:val="000000" w:themeColor="text1"/>
          <w:sz w:val="28"/>
        </w:rPr>
        <w:t>12</w:t>
      </w:r>
      <w:r>
        <w:rPr>
          <w:color w:val="000000" w:themeColor="text1"/>
          <w:sz w:val="28"/>
        </w:rPr>
        <w:t>月</w:t>
      </w:r>
      <w:r>
        <w:rPr>
          <w:color w:val="000000" w:themeColor="text1"/>
          <w:sz w:val="28"/>
        </w:rPr>
        <w:t>29</w:t>
      </w:r>
      <w:r>
        <w:rPr>
          <w:color w:val="000000" w:themeColor="text1"/>
          <w:sz w:val="28"/>
        </w:rPr>
        <w:t>日第十三届全国人民代表大会常务委员会第七次会议《关于修改〈中华人民共和国劳动法〉等七部法律的决定》第四次修正。）</w:t>
      </w:r>
    </w:p>
    <w:p w14:paraId="278A3B78"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1.2.2 </w:t>
      </w:r>
      <w:r>
        <w:rPr>
          <w:rFonts w:eastAsia="黑体"/>
          <w:b w:val="0"/>
          <w:snapToGrid w:val="0"/>
          <w:color w:val="000000" w:themeColor="text1"/>
          <w:kern w:val="0"/>
          <w:sz w:val="28"/>
          <w:szCs w:val="28"/>
        </w:rPr>
        <w:t>行政法规</w:t>
      </w:r>
    </w:p>
    <w:p w14:paraId="7D182BA1" w14:textId="77777777" w:rsidR="002D2AF8"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《安全生产许可证条例》（国务院令</w:t>
      </w:r>
      <w:r>
        <w:rPr>
          <w:color w:val="000000" w:themeColor="text1"/>
          <w:sz w:val="28"/>
        </w:rPr>
        <w:t>[2004]</w:t>
      </w:r>
      <w:r>
        <w:rPr>
          <w:color w:val="000000" w:themeColor="text1"/>
          <w:sz w:val="28"/>
        </w:rPr>
        <w:t>第</w:t>
      </w:r>
      <w:r>
        <w:rPr>
          <w:color w:val="000000" w:themeColor="text1"/>
          <w:sz w:val="28"/>
        </w:rPr>
        <w:t>397</w:t>
      </w:r>
      <w:r>
        <w:rPr>
          <w:color w:val="000000" w:themeColor="text1"/>
          <w:sz w:val="28"/>
        </w:rPr>
        <w:t>号，</w:t>
      </w:r>
      <w:r>
        <w:rPr>
          <w:color w:val="000000" w:themeColor="text1"/>
          <w:sz w:val="28"/>
        </w:rPr>
        <w:t>2014</w:t>
      </w:r>
      <w:r>
        <w:rPr>
          <w:color w:val="000000" w:themeColor="text1"/>
          <w:sz w:val="28"/>
        </w:rPr>
        <w:t>修订版）</w:t>
      </w:r>
    </w:p>
    <w:p w14:paraId="234EB2CE" w14:textId="77777777" w:rsidR="002D2AF8"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《生产安全事故报告和调查处理条例》（国务院令</w:t>
      </w:r>
      <w:r>
        <w:rPr>
          <w:color w:val="000000" w:themeColor="text1"/>
          <w:sz w:val="28"/>
        </w:rPr>
        <w:t>[2007]</w:t>
      </w:r>
      <w:r>
        <w:rPr>
          <w:color w:val="000000" w:themeColor="text1"/>
          <w:sz w:val="28"/>
        </w:rPr>
        <w:t>第</w:t>
      </w:r>
      <w:r>
        <w:rPr>
          <w:color w:val="000000" w:themeColor="text1"/>
          <w:sz w:val="28"/>
        </w:rPr>
        <w:t>493</w:t>
      </w:r>
      <w:r>
        <w:rPr>
          <w:color w:val="000000" w:themeColor="text1"/>
          <w:sz w:val="28"/>
        </w:rPr>
        <w:t>号）</w:t>
      </w:r>
    </w:p>
    <w:p w14:paraId="1D2E514B" w14:textId="77777777" w:rsidR="002D2AF8"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《特种设备安全监察条例》（国务院令</w:t>
      </w:r>
      <w:r>
        <w:rPr>
          <w:color w:val="000000" w:themeColor="text1"/>
          <w:sz w:val="28"/>
        </w:rPr>
        <w:t>[2009]</w:t>
      </w:r>
      <w:r>
        <w:rPr>
          <w:color w:val="000000" w:themeColor="text1"/>
          <w:sz w:val="28"/>
        </w:rPr>
        <w:t>第</w:t>
      </w:r>
      <w:r>
        <w:rPr>
          <w:color w:val="000000" w:themeColor="text1"/>
          <w:sz w:val="28"/>
        </w:rPr>
        <w:t>549</w:t>
      </w:r>
      <w:r>
        <w:rPr>
          <w:color w:val="000000" w:themeColor="text1"/>
          <w:sz w:val="28"/>
        </w:rPr>
        <w:t>号）</w:t>
      </w:r>
    </w:p>
    <w:p w14:paraId="14F17687" w14:textId="77777777" w:rsidR="002D2AF8"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《工伤保险条例》（国务院令</w:t>
      </w:r>
      <w:r>
        <w:rPr>
          <w:color w:val="000000" w:themeColor="text1"/>
          <w:sz w:val="28"/>
        </w:rPr>
        <w:t>[2010]</w:t>
      </w:r>
      <w:r>
        <w:rPr>
          <w:color w:val="000000" w:themeColor="text1"/>
          <w:sz w:val="28"/>
        </w:rPr>
        <w:t>第</w:t>
      </w:r>
      <w:r>
        <w:rPr>
          <w:color w:val="000000" w:themeColor="text1"/>
          <w:sz w:val="28"/>
        </w:rPr>
        <w:t>586</w:t>
      </w:r>
      <w:r>
        <w:rPr>
          <w:color w:val="000000" w:themeColor="text1"/>
          <w:sz w:val="28"/>
        </w:rPr>
        <w:t>号）</w:t>
      </w:r>
    </w:p>
    <w:p w14:paraId="0E5CC913" w14:textId="77777777" w:rsidR="002D2AF8"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szCs w:val="28"/>
        </w:rPr>
        <w:t>《生产安全事故应急条例》（国务院令</w:t>
      </w:r>
      <w:r>
        <w:rPr>
          <w:color w:val="000000" w:themeColor="text1"/>
          <w:sz w:val="28"/>
        </w:rPr>
        <w:t>[2019]</w:t>
      </w:r>
      <w:r>
        <w:rPr>
          <w:color w:val="000000" w:themeColor="text1"/>
          <w:sz w:val="28"/>
          <w:szCs w:val="28"/>
        </w:rPr>
        <w:t>第</w:t>
      </w:r>
      <w:r>
        <w:rPr>
          <w:color w:val="000000" w:themeColor="text1"/>
          <w:sz w:val="28"/>
          <w:szCs w:val="28"/>
        </w:rPr>
        <w:t>708</w:t>
      </w:r>
      <w:r>
        <w:rPr>
          <w:color w:val="000000" w:themeColor="text1"/>
          <w:sz w:val="28"/>
          <w:szCs w:val="28"/>
        </w:rPr>
        <w:t>号）</w:t>
      </w:r>
    </w:p>
    <w:p w14:paraId="189AA1F1" w14:textId="77777777" w:rsidR="002D2AF8" w:rsidRDefault="00000000">
      <w:pPr>
        <w:pStyle w:val="18"/>
        <w:numPr>
          <w:ilvl w:val="0"/>
          <w:numId w:val="4"/>
        </w:numPr>
        <w:adjustRightInd w:val="0"/>
        <w:snapToGrid w:val="0"/>
        <w:spacing w:line="360" w:lineRule="auto"/>
        <w:ind w:left="0" w:firstLine="566"/>
        <w:rPr>
          <w:color w:val="000000" w:themeColor="text1"/>
          <w:sz w:val="28"/>
        </w:rPr>
      </w:pPr>
      <w:r>
        <w:rPr>
          <w:color w:val="000000" w:themeColor="text1"/>
          <w:sz w:val="28"/>
        </w:rPr>
        <w:t>《危险化学品管理安全管理条例》（国务院令</w:t>
      </w:r>
      <w:r>
        <w:rPr>
          <w:color w:val="000000" w:themeColor="text1"/>
          <w:sz w:val="28"/>
        </w:rPr>
        <w:t>[2013]</w:t>
      </w:r>
      <w:r>
        <w:rPr>
          <w:color w:val="000000" w:themeColor="text1"/>
          <w:sz w:val="28"/>
        </w:rPr>
        <w:t>第</w:t>
      </w:r>
      <w:r>
        <w:rPr>
          <w:color w:val="000000" w:themeColor="text1"/>
          <w:sz w:val="28"/>
        </w:rPr>
        <w:t>645</w:t>
      </w:r>
      <w:r>
        <w:rPr>
          <w:color w:val="000000" w:themeColor="text1"/>
          <w:sz w:val="28"/>
        </w:rPr>
        <w:t>号修订）</w:t>
      </w:r>
    </w:p>
    <w:p w14:paraId="7F434B53"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1.2.3 </w:t>
      </w:r>
      <w:r>
        <w:rPr>
          <w:rFonts w:eastAsia="黑体"/>
          <w:b w:val="0"/>
          <w:snapToGrid w:val="0"/>
          <w:color w:val="000000" w:themeColor="text1"/>
          <w:kern w:val="0"/>
          <w:sz w:val="28"/>
          <w:szCs w:val="28"/>
        </w:rPr>
        <w:t>地方性法规</w:t>
      </w:r>
    </w:p>
    <w:p w14:paraId="53ADB8DF" w14:textId="77777777" w:rsidR="002D2AF8" w:rsidRDefault="00000000">
      <w:pPr>
        <w:pStyle w:val="18"/>
        <w:numPr>
          <w:ilvl w:val="0"/>
          <w:numId w:val="5"/>
        </w:numPr>
        <w:adjustRightInd w:val="0"/>
        <w:snapToGrid w:val="0"/>
        <w:spacing w:line="360" w:lineRule="auto"/>
        <w:ind w:left="0" w:firstLine="566"/>
        <w:rPr>
          <w:color w:val="000000" w:themeColor="text1"/>
          <w:sz w:val="28"/>
        </w:rPr>
      </w:pPr>
      <w:r>
        <w:rPr>
          <w:color w:val="000000" w:themeColor="text1"/>
          <w:sz w:val="28"/>
          <w:szCs w:val="28"/>
        </w:rPr>
        <w:t>《山东省安全生产条例》（</w:t>
      </w:r>
      <w:r>
        <w:rPr>
          <w:color w:val="000000" w:themeColor="text1"/>
          <w:sz w:val="28"/>
          <w:szCs w:val="28"/>
        </w:rPr>
        <w:t>2021</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3</w:t>
      </w:r>
      <w:r>
        <w:rPr>
          <w:color w:val="000000" w:themeColor="text1"/>
          <w:sz w:val="28"/>
          <w:szCs w:val="28"/>
        </w:rPr>
        <w:t>日山东省第十三届人民代表大会常务委员会第三十二次会议修订）</w:t>
      </w:r>
    </w:p>
    <w:p w14:paraId="4A9A1775" w14:textId="77777777" w:rsidR="002D2AF8" w:rsidRDefault="00000000">
      <w:pPr>
        <w:pStyle w:val="18"/>
        <w:numPr>
          <w:ilvl w:val="0"/>
          <w:numId w:val="5"/>
        </w:numPr>
        <w:adjustRightInd w:val="0"/>
        <w:snapToGrid w:val="0"/>
        <w:spacing w:line="360" w:lineRule="auto"/>
        <w:ind w:left="0" w:firstLine="566"/>
        <w:rPr>
          <w:color w:val="000000" w:themeColor="text1"/>
          <w:sz w:val="28"/>
        </w:rPr>
      </w:pPr>
      <w:r>
        <w:rPr>
          <w:color w:val="000000" w:themeColor="text1"/>
          <w:sz w:val="28"/>
        </w:rPr>
        <w:lastRenderedPageBreak/>
        <w:t>《山东省消防条例》（山东省第十一届人大常委会第</w:t>
      </w:r>
      <w:r>
        <w:rPr>
          <w:color w:val="000000" w:themeColor="text1"/>
          <w:sz w:val="28"/>
        </w:rPr>
        <w:t>21</w:t>
      </w:r>
      <w:r>
        <w:rPr>
          <w:color w:val="000000" w:themeColor="text1"/>
          <w:sz w:val="28"/>
        </w:rPr>
        <w:t>次会议修订）</w:t>
      </w:r>
    </w:p>
    <w:p w14:paraId="1482B22E"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1.2.4 </w:t>
      </w:r>
      <w:r>
        <w:rPr>
          <w:rFonts w:eastAsia="黑体"/>
          <w:b w:val="0"/>
          <w:snapToGrid w:val="0"/>
          <w:color w:val="000000" w:themeColor="text1"/>
          <w:kern w:val="0"/>
          <w:sz w:val="28"/>
          <w:szCs w:val="28"/>
        </w:rPr>
        <w:t>部门规章</w:t>
      </w:r>
    </w:p>
    <w:p w14:paraId="74FA5DE8"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szCs w:val="28"/>
        </w:rPr>
        <w:t>《生产经营单位安全培训规定》（国家安监总局令第</w:t>
      </w:r>
      <w:r>
        <w:rPr>
          <w:color w:val="000000" w:themeColor="text1"/>
          <w:sz w:val="28"/>
          <w:szCs w:val="28"/>
        </w:rPr>
        <w:t>3</w:t>
      </w:r>
      <w:r>
        <w:rPr>
          <w:color w:val="000000" w:themeColor="text1"/>
          <w:sz w:val="28"/>
          <w:szCs w:val="28"/>
        </w:rPr>
        <w:t>号）（根据</w:t>
      </w:r>
      <w:r>
        <w:rPr>
          <w:color w:val="000000" w:themeColor="text1"/>
          <w:sz w:val="28"/>
          <w:szCs w:val="28"/>
        </w:rPr>
        <w:t>2015</w:t>
      </w:r>
      <w:r>
        <w:rPr>
          <w:color w:val="000000" w:themeColor="text1"/>
          <w:sz w:val="28"/>
          <w:szCs w:val="28"/>
        </w:rPr>
        <w:t>年</w:t>
      </w:r>
      <w:r>
        <w:rPr>
          <w:color w:val="000000" w:themeColor="text1"/>
          <w:sz w:val="28"/>
          <w:szCs w:val="28"/>
        </w:rPr>
        <w:t>5</w:t>
      </w:r>
      <w:r>
        <w:rPr>
          <w:color w:val="000000" w:themeColor="text1"/>
          <w:sz w:val="28"/>
          <w:szCs w:val="28"/>
        </w:rPr>
        <w:t>月</w:t>
      </w:r>
      <w:r>
        <w:rPr>
          <w:color w:val="000000" w:themeColor="text1"/>
          <w:sz w:val="28"/>
          <w:szCs w:val="28"/>
        </w:rPr>
        <w:t>29</w:t>
      </w:r>
      <w:r>
        <w:rPr>
          <w:color w:val="000000" w:themeColor="text1"/>
          <w:sz w:val="28"/>
          <w:szCs w:val="28"/>
        </w:rPr>
        <w:t>日国家安全生产监管总局令第</w:t>
      </w:r>
      <w:r>
        <w:rPr>
          <w:color w:val="000000" w:themeColor="text1"/>
          <w:sz w:val="28"/>
          <w:szCs w:val="28"/>
        </w:rPr>
        <w:t>80</w:t>
      </w:r>
      <w:r>
        <w:rPr>
          <w:color w:val="000000" w:themeColor="text1"/>
          <w:sz w:val="28"/>
          <w:szCs w:val="28"/>
        </w:rPr>
        <w:t>号第二次修正）</w:t>
      </w:r>
    </w:p>
    <w:p w14:paraId="43F18D42"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《生产安全事故罚款处罚规定（试行）》（国家安全生产监督管理总局令</w:t>
      </w:r>
      <w:r>
        <w:rPr>
          <w:color w:val="000000" w:themeColor="text1"/>
          <w:sz w:val="28"/>
        </w:rPr>
        <w:t>[2007]</w:t>
      </w:r>
      <w:r>
        <w:rPr>
          <w:color w:val="000000" w:themeColor="text1"/>
          <w:sz w:val="28"/>
        </w:rPr>
        <w:t>第</w:t>
      </w:r>
      <w:r>
        <w:rPr>
          <w:color w:val="000000" w:themeColor="text1"/>
          <w:sz w:val="28"/>
        </w:rPr>
        <w:t>13</w:t>
      </w:r>
      <w:r>
        <w:rPr>
          <w:color w:val="000000" w:themeColor="text1"/>
          <w:sz w:val="28"/>
        </w:rPr>
        <w:t>号，</w:t>
      </w:r>
      <w:r>
        <w:rPr>
          <w:color w:val="000000" w:themeColor="text1"/>
          <w:sz w:val="28"/>
        </w:rPr>
        <w:t>2015</w:t>
      </w:r>
      <w:r>
        <w:rPr>
          <w:color w:val="000000" w:themeColor="text1"/>
          <w:sz w:val="28"/>
        </w:rPr>
        <w:t>修订版）</w:t>
      </w:r>
    </w:p>
    <w:p w14:paraId="24C5001C"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《安全生产事故隐患排查治理暂行规定》（国家安全生产监督管理总局令</w:t>
      </w:r>
      <w:r>
        <w:rPr>
          <w:color w:val="000000" w:themeColor="text1"/>
          <w:sz w:val="28"/>
        </w:rPr>
        <w:t>[2007]</w:t>
      </w:r>
      <w:r>
        <w:rPr>
          <w:color w:val="000000" w:themeColor="text1"/>
          <w:sz w:val="28"/>
        </w:rPr>
        <w:t>第</w:t>
      </w:r>
      <w:r>
        <w:rPr>
          <w:color w:val="000000" w:themeColor="text1"/>
          <w:sz w:val="28"/>
        </w:rPr>
        <w:t>16</w:t>
      </w:r>
      <w:r>
        <w:rPr>
          <w:color w:val="000000" w:themeColor="text1"/>
          <w:sz w:val="28"/>
        </w:rPr>
        <w:t>号）</w:t>
      </w:r>
    </w:p>
    <w:p w14:paraId="34A1F190"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《非煤矿矿山企业安全生产许可证实施办法》（</w:t>
      </w:r>
      <w:r>
        <w:rPr>
          <w:color w:val="000000" w:themeColor="text1"/>
          <w:sz w:val="28"/>
          <w:szCs w:val="28"/>
        </w:rPr>
        <w:t>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w:t>
      </w:r>
    </w:p>
    <w:p w14:paraId="43BCEE6A"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《特种作业人员安全技术培训考核管理规定》（国家安全生产监督管理总局令</w:t>
      </w:r>
      <w:r>
        <w:rPr>
          <w:color w:val="000000" w:themeColor="text1"/>
          <w:sz w:val="28"/>
        </w:rPr>
        <w:t>[2010]</w:t>
      </w:r>
      <w:r>
        <w:rPr>
          <w:color w:val="000000" w:themeColor="text1"/>
          <w:sz w:val="28"/>
        </w:rPr>
        <w:t>第</w:t>
      </w:r>
      <w:r>
        <w:rPr>
          <w:color w:val="000000" w:themeColor="text1"/>
          <w:sz w:val="28"/>
        </w:rPr>
        <w:t>30</w:t>
      </w:r>
      <w:r>
        <w:rPr>
          <w:color w:val="000000" w:themeColor="text1"/>
          <w:sz w:val="28"/>
        </w:rPr>
        <w:t>号，</w:t>
      </w:r>
      <w:r>
        <w:rPr>
          <w:color w:val="000000" w:themeColor="text1"/>
          <w:sz w:val="28"/>
        </w:rPr>
        <w:t>2015</w:t>
      </w:r>
      <w:r>
        <w:rPr>
          <w:color w:val="000000" w:themeColor="text1"/>
          <w:sz w:val="28"/>
        </w:rPr>
        <w:t>修订版）</w:t>
      </w:r>
    </w:p>
    <w:p w14:paraId="42132ED3"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《危险化学品重大危险源监督管理暂行规定》（国家安全生产监督管理总局令</w:t>
      </w:r>
      <w:r>
        <w:rPr>
          <w:color w:val="000000" w:themeColor="text1"/>
          <w:sz w:val="28"/>
        </w:rPr>
        <w:t>[2011]</w:t>
      </w:r>
      <w:r>
        <w:rPr>
          <w:color w:val="000000" w:themeColor="text1"/>
          <w:sz w:val="28"/>
        </w:rPr>
        <w:t>第</w:t>
      </w:r>
      <w:r>
        <w:rPr>
          <w:color w:val="000000" w:themeColor="text1"/>
          <w:sz w:val="28"/>
        </w:rPr>
        <w:t>40</w:t>
      </w:r>
      <w:r>
        <w:rPr>
          <w:color w:val="000000" w:themeColor="text1"/>
          <w:sz w:val="28"/>
        </w:rPr>
        <w:t>号，</w:t>
      </w:r>
      <w:r>
        <w:rPr>
          <w:color w:val="000000" w:themeColor="text1"/>
          <w:sz w:val="28"/>
        </w:rPr>
        <w:t>2015</w:t>
      </w:r>
      <w:r>
        <w:rPr>
          <w:color w:val="000000" w:themeColor="text1"/>
          <w:sz w:val="28"/>
        </w:rPr>
        <w:t>修订版）</w:t>
      </w:r>
    </w:p>
    <w:p w14:paraId="74F83814"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《安全生产培训管理办法》（国家安全生产监督管理总局令</w:t>
      </w:r>
      <w:r>
        <w:rPr>
          <w:color w:val="000000" w:themeColor="text1"/>
          <w:sz w:val="28"/>
        </w:rPr>
        <w:t>[2012]</w:t>
      </w:r>
      <w:r>
        <w:rPr>
          <w:color w:val="000000" w:themeColor="text1"/>
          <w:sz w:val="28"/>
        </w:rPr>
        <w:t>第</w:t>
      </w:r>
      <w:r>
        <w:rPr>
          <w:color w:val="000000" w:themeColor="text1"/>
          <w:sz w:val="28"/>
        </w:rPr>
        <w:t>44</w:t>
      </w:r>
      <w:r>
        <w:rPr>
          <w:color w:val="000000" w:themeColor="text1"/>
          <w:sz w:val="28"/>
        </w:rPr>
        <w:t>号，</w:t>
      </w:r>
      <w:r>
        <w:rPr>
          <w:color w:val="000000" w:themeColor="text1"/>
          <w:sz w:val="28"/>
        </w:rPr>
        <w:t>2015</w:t>
      </w:r>
      <w:r>
        <w:rPr>
          <w:color w:val="000000" w:themeColor="text1"/>
          <w:sz w:val="28"/>
        </w:rPr>
        <w:t>修订版）</w:t>
      </w:r>
    </w:p>
    <w:p w14:paraId="718C58E4"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《非煤矿山外包工程安全管理暂行办法》（国家安全生产监督管理总局令</w:t>
      </w:r>
      <w:r>
        <w:rPr>
          <w:color w:val="000000" w:themeColor="text1"/>
          <w:sz w:val="28"/>
        </w:rPr>
        <w:t>[2013]</w:t>
      </w:r>
      <w:r>
        <w:rPr>
          <w:color w:val="000000" w:themeColor="text1"/>
          <w:sz w:val="28"/>
        </w:rPr>
        <w:t>第</w:t>
      </w:r>
      <w:r>
        <w:rPr>
          <w:color w:val="000000" w:themeColor="text1"/>
          <w:sz w:val="28"/>
        </w:rPr>
        <w:t>62</w:t>
      </w:r>
      <w:r>
        <w:rPr>
          <w:color w:val="000000" w:themeColor="text1"/>
          <w:sz w:val="28"/>
        </w:rPr>
        <w:t>号，</w:t>
      </w:r>
      <w:r>
        <w:rPr>
          <w:color w:val="000000" w:themeColor="text1"/>
          <w:sz w:val="28"/>
        </w:rPr>
        <w:t>2015</w:t>
      </w:r>
      <w:r>
        <w:rPr>
          <w:color w:val="000000" w:themeColor="text1"/>
          <w:sz w:val="28"/>
        </w:rPr>
        <w:t>修订版）</w:t>
      </w:r>
    </w:p>
    <w:p w14:paraId="303B05F6"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《应急管理部办公厅关于石油天然气企业安全生产许可的复函》（应急厅函</w:t>
      </w:r>
      <w:r>
        <w:rPr>
          <w:color w:val="000000" w:themeColor="text1"/>
          <w:sz w:val="28"/>
        </w:rPr>
        <w:t>[2021]244</w:t>
      </w:r>
      <w:r>
        <w:rPr>
          <w:color w:val="000000" w:themeColor="text1"/>
          <w:sz w:val="28"/>
        </w:rPr>
        <w:t>号）</w:t>
      </w:r>
    </w:p>
    <w:p w14:paraId="63606DD4"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《生产安全事故应急预案管理办法》（国家安全生产监督管理总局令</w:t>
      </w:r>
      <w:r>
        <w:rPr>
          <w:color w:val="000000" w:themeColor="text1"/>
          <w:sz w:val="28"/>
        </w:rPr>
        <w:t>[2016]</w:t>
      </w:r>
      <w:r>
        <w:rPr>
          <w:color w:val="000000" w:themeColor="text1"/>
          <w:sz w:val="28"/>
        </w:rPr>
        <w:t>第</w:t>
      </w:r>
      <w:r>
        <w:rPr>
          <w:color w:val="000000" w:themeColor="text1"/>
          <w:sz w:val="28"/>
        </w:rPr>
        <w:t>88</w:t>
      </w:r>
      <w:r>
        <w:rPr>
          <w:color w:val="000000" w:themeColor="text1"/>
          <w:sz w:val="28"/>
        </w:rPr>
        <w:t>号，应急管理部令</w:t>
      </w:r>
      <w:r>
        <w:rPr>
          <w:color w:val="000000" w:themeColor="text1"/>
          <w:sz w:val="28"/>
        </w:rPr>
        <w:t>[2019]</w:t>
      </w:r>
      <w:r>
        <w:rPr>
          <w:color w:val="000000" w:themeColor="text1"/>
          <w:sz w:val="28"/>
        </w:rPr>
        <w:t>第</w:t>
      </w:r>
      <w:r>
        <w:rPr>
          <w:color w:val="000000" w:themeColor="text1"/>
          <w:sz w:val="28"/>
        </w:rPr>
        <w:t>2</w:t>
      </w:r>
      <w:r>
        <w:rPr>
          <w:color w:val="000000" w:themeColor="text1"/>
          <w:sz w:val="28"/>
        </w:rPr>
        <w:t>号修改）</w:t>
      </w:r>
    </w:p>
    <w:p w14:paraId="05625874"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szCs w:val="28"/>
        </w:rPr>
        <w:t>《防雷减灾管理办法（修订）》（中国气象局</w:t>
      </w:r>
      <w:r>
        <w:rPr>
          <w:color w:val="000000" w:themeColor="text1"/>
          <w:sz w:val="28"/>
        </w:rPr>
        <w:t>[2013]</w:t>
      </w:r>
      <w:r>
        <w:rPr>
          <w:color w:val="000000" w:themeColor="text1"/>
          <w:sz w:val="28"/>
          <w:szCs w:val="28"/>
        </w:rPr>
        <w:t>第</w:t>
      </w:r>
      <w:r>
        <w:rPr>
          <w:color w:val="000000" w:themeColor="text1"/>
          <w:sz w:val="28"/>
          <w:szCs w:val="28"/>
        </w:rPr>
        <w:t>24</w:t>
      </w:r>
      <w:r>
        <w:rPr>
          <w:color w:val="000000" w:themeColor="text1"/>
          <w:sz w:val="28"/>
          <w:szCs w:val="28"/>
        </w:rPr>
        <w:t>号令）</w:t>
      </w:r>
    </w:p>
    <w:p w14:paraId="28E805FA"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lastRenderedPageBreak/>
        <w:t>《危险化学品目录（</w:t>
      </w:r>
      <w:r>
        <w:rPr>
          <w:color w:val="000000" w:themeColor="text1"/>
          <w:sz w:val="28"/>
        </w:rPr>
        <w:t>2015</w:t>
      </w:r>
      <w:r>
        <w:rPr>
          <w:color w:val="000000" w:themeColor="text1"/>
          <w:sz w:val="28"/>
        </w:rPr>
        <w:t>版）》（安全监管总局、工业和信息化部、公安部、环境保护部、交通运输部、农业部、国家卫生计生委、质检总局、铁路局、民航局公告</w:t>
      </w:r>
      <w:r>
        <w:rPr>
          <w:color w:val="000000" w:themeColor="text1"/>
          <w:sz w:val="28"/>
        </w:rPr>
        <w:t>[2015]</w:t>
      </w:r>
      <w:r>
        <w:rPr>
          <w:color w:val="000000" w:themeColor="text1"/>
          <w:sz w:val="28"/>
        </w:rPr>
        <w:t>第</w:t>
      </w:r>
      <w:r>
        <w:rPr>
          <w:color w:val="000000" w:themeColor="text1"/>
          <w:sz w:val="28"/>
        </w:rPr>
        <w:t>5</w:t>
      </w:r>
      <w:r>
        <w:rPr>
          <w:color w:val="000000" w:themeColor="text1"/>
          <w:sz w:val="28"/>
        </w:rPr>
        <w:t>号）</w:t>
      </w:r>
    </w:p>
    <w:p w14:paraId="683A0542"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《企业安全生产费用提取和使用管理办法》（财企</w:t>
      </w:r>
      <w:r>
        <w:rPr>
          <w:color w:val="000000" w:themeColor="text1"/>
          <w:sz w:val="28"/>
        </w:rPr>
        <w:t>[2012]16</w:t>
      </w:r>
      <w:r>
        <w:rPr>
          <w:color w:val="000000" w:themeColor="text1"/>
          <w:sz w:val="28"/>
        </w:rPr>
        <w:t>号）</w:t>
      </w:r>
    </w:p>
    <w:p w14:paraId="14E8B315"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《安全生产责任保险实施办法》（安监总办</w:t>
      </w:r>
      <w:r>
        <w:rPr>
          <w:color w:val="000000" w:themeColor="text1"/>
          <w:sz w:val="28"/>
        </w:rPr>
        <w:t>[2017]140</w:t>
      </w:r>
      <w:r>
        <w:rPr>
          <w:color w:val="000000" w:themeColor="text1"/>
          <w:sz w:val="28"/>
        </w:rPr>
        <w:t>号）</w:t>
      </w:r>
    </w:p>
    <w:p w14:paraId="3E2AFB01"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《关于印发用人单位劳动防护用品管理规范的通知》（安监总厅安健</w:t>
      </w:r>
      <w:r>
        <w:rPr>
          <w:color w:val="000000" w:themeColor="text1"/>
          <w:sz w:val="28"/>
        </w:rPr>
        <w:t>[2018]3</w:t>
      </w:r>
      <w:r>
        <w:rPr>
          <w:color w:val="000000" w:themeColor="text1"/>
          <w:sz w:val="28"/>
        </w:rPr>
        <w:t>号）</w:t>
      </w:r>
    </w:p>
    <w:p w14:paraId="11EC2F0E"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《国务院安委会办公室关于全面加强企业全员安全生产责任制工作的通知》（安委办</w:t>
      </w:r>
      <w:r>
        <w:rPr>
          <w:color w:val="000000" w:themeColor="text1"/>
          <w:sz w:val="28"/>
        </w:rPr>
        <w:t>[2017]29</w:t>
      </w:r>
      <w:r>
        <w:rPr>
          <w:color w:val="000000" w:themeColor="text1"/>
          <w:sz w:val="28"/>
        </w:rPr>
        <w:t>号）</w:t>
      </w:r>
    </w:p>
    <w:p w14:paraId="2CD5EFD3"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《注册安全工程师分类管理办法》（安监总人事</w:t>
      </w:r>
      <w:r>
        <w:rPr>
          <w:color w:val="000000" w:themeColor="text1"/>
          <w:sz w:val="28"/>
        </w:rPr>
        <w:t>[2017]118</w:t>
      </w:r>
      <w:r>
        <w:rPr>
          <w:color w:val="000000" w:themeColor="text1"/>
          <w:sz w:val="28"/>
        </w:rPr>
        <w:t>号）</w:t>
      </w:r>
    </w:p>
    <w:p w14:paraId="265E2CEC"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《注册安全工程师职业资格制度规定》（应急</w:t>
      </w:r>
      <w:r>
        <w:rPr>
          <w:color w:val="000000" w:themeColor="text1"/>
          <w:sz w:val="28"/>
        </w:rPr>
        <w:t>[2019]8</w:t>
      </w:r>
      <w:r>
        <w:rPr>
          <w:color w:val="000000" w:themeColor="text1"/>
          <w:sz w:val="28"/>
        </w:rPr>
        <w:t>号）</w:t>
      </w:r>
    </w:p>
    <w:p w14:paraId="05EE2737" w14:textId="77777777" w:rsidR="002D2AF8" w:rsidRDefault="00000000">
      <w:pPr>
        <w:pStyle w:val="18"/>
        <w:numPr>
          <w:ilvl w:val="0"/>
          <w:numId w:val="6"/>
        </w:numPr>
        <w:adjustRightInd w:val="0"/>
        <w:snapToGrid w:val="0"/>
        <w:spacing w:line="360" w:lineRule="auto"/>
        <w:ind w:left="0" w:firstLine="566"/>
        <w:rPr>
          <w:color w:val="000000" w:themeColor="text1"/>
          <w:sz w:val="28"/>
        </w:rPr>
      </w:pPr>
      <w:r>
        <w:rPr>
          <w:color w:val="000000" w:themeColor="text1"/>
          <w:sz w:val="28"/>
        </w:rPr>
        <w:t>《企业安全生产标准化建设定级办法》（应急</w:t>
      </w:r>
      <w:r>
        <w:rPr>
          <w:color w:val="000000" w:themeColor="text1"/>
          <w:sz w:val="28"/>
        </w:rPr>
        <w:t>[20</w:t>
      </w:r>
      <w:r>
        <w:rPr>
          <w:rFonts w:hint="eastAsia"/>
          <w:color w:val="000000" w:themeColor="text1"/>
          <w:sz w:val="28"/>
        </w:rPr>
        <w:t>21</w:t>
      </w:r>
      <w:r>
        <w:rPr>
          <w:color w:val="000000" w:themeColor="text1"/>
          <w:sz w:val="28"/>
        </w:rPr>
        <w:t>]8</w:t>
      </w:r>
      <w:r>
        <w:rPr>
          <w:rFonts w:hint="eastAsia"/>
          <w:color w:val="000000" w:themeColor="text1"/>
          <w:sz w:val="28"/>
        </w:rPr>
        <w:t>3</w:t>
      </w:r>
      <w:r>
        <w:rPr>
          <w:color w:val="000000" w:themeColor="text1"/>
          <w:sz w:val="28"/>
        </w:rPr>
        <w:t>号）</w:t>
      </w:r>
    </w:p>
    <w:p w14:paraId="1C63156A"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1.2.5 </w:t>
      </w:r>
      <w:r>
        <w:rPr>
          <w:rFonts w:eastAsia="黑体"/>
          <w:b w:val="0"/>
          <w:snapToGrid w:val="0"/>
          <w:color w:val="000000" w:themeColor="text1"/>
          <w:kern w:val="0"/>
          <w:sz w:val="28"/>
          <w:szCs w:val="28"/>
        </w:rPr>
        <w:t>地方政府规章</w:t>
      </w:r>
    </w:p>
    <w:p w14:paraId="20395256"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《山东省生产经营单位安全生产主体责任规定》（</w:t>
      </w:r>
      <w:r>
        <w:rPr>
          <w:color w:val="000000" w:themeColor="text1"/>
          <w:sz w:val="28"/>
        </w:rPr>
        <w:t>2013</w:t>
      </w:r>
      <w:r>
        <w:rPr>
          <w:color w:val="000000" w:themeColor="text1"/>
          <w:sz w:val="28"/>
        </w:rPr>
        <w:t>年</w:t>
      </w:r>
      <w:r>
        <w:rPr>
          <w:color w:val="000000" w:themeColor="text1"/>
          <w:sz w:val="28"/>
        </w:rPr>
        <w:t>3</w:t>
      </w:r>
      <w:r>
        <w:rPr>
          <w:color w:val="000000" w:themeColor="text1"/>
          <w:sz w:val="28"/>
        </w:rPr>
        <w:t>月</w:t>
      </w:r>
      <w:r>
        <w:rPr>
          <w:color w:val="000000" w:themeColor="text1"/>
          <w:sz w:val="28"/>
        </w:rPr>
        <w:t>1</w:t>
      </w:r>
      <w:r>
        <w:rPr>
          <w:color w:val="000000" w:themeColor="text1"/>
          <w:sz w:val="28"/>
        </w:rPr>
        <w:t>日山东省人民政府令第</w:t>
      </w:r>
      <w:r>
        <w:rPr>
          <w:color w:val="000000" w:themeColor="text1"/>
          <w:sz w:val="28"/>
        </w:rPr>
        <w:t>260</w:t>
      </w:r>
      <w:r>
        <w:rPr>
          <w:color w:val="000000" w:themeColor="text1"/>
          <w:sz w:val="28"/>
        </w:rPr>
        <w:t>号；</w:t>
      </w:r>
      <w:r>
        <w:rPr>
          <w:color w:val="000000" w:themeColor="text1"/>
          <w:sz w:val="28"/>
        </w:rPr>
        <w:t>2016</w:t>
      </w:r>
      <w:r>
        <w:rPr>
          <w:color w:val="000000" w:themeColor="text1"/>
          <w:sz w:val="28"/>
        </w:rPr>
        <w:t>年</w:t>
      </w:r>
      <w:r>
        <w:rPr>
          <w:color w:val="000000" w:themeColor="text1"/>
          <w:sz w:val="28"/>
        </w:rPr>
        <w:t>6</w:t>
      </w:r>
      <w:r>
        <w:rPr>
          <w:color w:val="000000" w:themeColor="text1"/>
          <w:sz w:val="28"/>
        </w:rPr>
        <w:t>月</w:t>
      </w:r>
      <w:r>
        <w:rPr>
          <w:color w:val="000000" w:themeColor="text1"/>
          <w:sz w:val="28"/>
        </w:rPr>
        <w:t>7</w:t>
      </w:r>
      <w:r>
        <w:rPr>
          <w:color w:val="000000" w:themeColor="text1"/>
          <w:sz w:val="28"/>
        </w:rPr>
        <w:t>日山东省人民政府令第</w:t>
      </w:r>
      <w:r>
        <w:rPr>
          <w:color w:val="000000" w:themeColor="text1"/>
          <w:sz w:val="28"/>
        </w:rPr>
        <w:t>303</w:t>
      </w:r>
      <w:r>
        <w:rPr>
          <w:color w:val="000000" w:themeColor="text1"/>
          <w:sz w:val="28"/>
        </w:rPr>
        <w:t>号第一次修订；</w:t>
      </w:r>
      <w:r>
        <w:rPr>
          <w:color w:val="000000" w:themeColor="text1"/>
          <w:sz w:val="28"/>
        </w:rPr>
        <w:t>2018</w:t>
      </w:r>
      <w:r>
        <w:rPr>
          <w:color w:val="000000" w:themeColor="text1"/>
          <w:sz w:val="28"/>
        </w:rPr>
        <w:t>年</w:t>
      </w:r>
      <w:r>
        <w:rPr>
          <w:color w:val="000000" w:themeColor="text1"/>
          <w:sz w:val="28"/>
        </w:rPr>
        <w:t>1</w:t>
      </w:r>
      <w:r>
        <w:rPr>
          <w:color w:val="000000" w:themeColor="text1"/>
          <w:sz w:val="28"/>
        </w:rPr>
        <w:t>月</w:t>
      </w:r>
      <w:r>
        <w:rPr>
          <w:color w:val="000000" w:themeColor="text1"/>
          <w:sz w:val="28"/>
        </w:rPr>
        <w:t>24</w:t>
      </w:r>
      <w:r>
        <w:rPr>
          <w:color w:val="000000" w:themeColor="text1"/>
          <w:sz w:val="28"/>
        </w:rPr>
        <w:t>日山东省人民政府令第</w:t>
      </w:r>
      <w:r>
        <w:rPr>
          <w:color w:val="000000" w:themeColor="text1"/>
          <w:sz w:val="28"/>
        </w:rPr>
        <w:t>311</w:t>
      </w:r>
      <w:r>
        <w:rPr>
          <w:color w:val="000000" w:themeColor="text1"/>
          <w:sz w:val="28"/>
        </w:rPr>
        <w:t>号第二次修订。）</w:t>
      </w:r>
    </w:p>
    <w:p w14:paraId="52186404"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《硫化氢防护安全管理规定（试行）》</w:t>
      </w:r>
      <w:r>
        <w:rPr>
          <w:rFonts w:hint="eastAsia"/>
          <w:color w:val="000000" w:themeColor="text1"/>
          <w:sz w:val="28"/>
        </w:rPr>
        <w:t>（</w:t>
      </w:r>
      <w:r>
        <w:rPr>
          <w:color w:val="000000" w:themeColor="text1"/>
          <w:sz w:val="28"/>
        </w:rPr>
        <w:t>鲁安监发</w:t>
      </w:r>
      <w:r>
        <w:rPr>
          <w:color w:val="000000" w:themeColor="text1"/>
          <w:sz w:val="28"/>
        </w:rPr>
        <w:t>[2008]51</w:t>
      </w:r>
      <w:r>
        <w:rPr>
          <w:color w:val="000000" w:themeColor="text1"/>
          <w:sz w:val="28"/>
        </w:rPr>
        <w:t>号</w:t>
      </w:r>
      <w:r>
        <w:rPr>
          <w:rFonts w:hint="eastAsia"/>
          <w:color w:val="000000" w:themeColor="text1"/>
          <w:sz w:val="28"/>
        </w:rPr>
        <w:t>）</w:t>
      </w:r>
    </w:p>
    <w:p w14:paraId="0CC1BED4"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《山东省非煤矿矿山企业安全生产许可证实施方案》（鲁安监发</w:t>
      </w:r>
      <w:r>
        <w:rPr>
          <w:color w:val="000000" w:themeColor="text1"/>
          <w:sz w:val="28"/>
        </w:rPr>
        <w:t>[2009]133</w:t>
      </w:r>
      <w:r>
        <w:rPr>
          <w:color w:val="000000" w:themeColor="text1"/>
          <w:sz w:val="28"/>
        </w:rPr>
        <w:t>号）</w:t>
      </w:r>
    </w:p>
    <w:p w14:paraId="7FC28887"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《关于印发</w:t>
      </w:r>
      <w:r>
        <w:rPr>
          <w:color w:val="000000" w:themeColor="text1"/>
          <w:sz w:val="28"/>
        </w:rPr>
        <w:t>&lt;</w:t>
      </w:r>
      <w:r>
        <w:rPr>
          <w:color w:val="000000" w:themeColor="text1"/>
          <w:sz w:val="28"/>
        </w:rPr>
        <w:t>山东省非煤矿山重特大生产安全事故预防措施</w:t>
      </w:r>
      <w:r>
        <w:rPr>
          <w:color w:val="000000" w:themeColor="text1"/>
          <w:sz w:val="28"/>
        </w:rPr>
        <w:t>&gt;</w:t>
      </w:r>
      <w:r>
        <w:rPr>
          <w:color w:val="000000" w:themeColor="text1"/>
          <w:sz w:val="28"/>
        </w:rPr>
        <w:t>的通知》（鲁安监发</w:t>
      </w:r>
      <w:r>
        <w:rPr>
          <w:color w:val="000000" w:themeColor="text1"/>
          <w:sz w:val="28"/>
        </w:rPr>
        <w:t>[2010]43</w:t>
      </w:r>
      <w:r>
        <w:rPr>
          <w:color w:val="000000" w:themeColor="text1"/>
          <w:sz w:val="28"/>
        </w:rPr>
        <w:t>号）</w:t>
      </w:r>
    </w:p>
    <w:p w14:paraId="64FCA81D"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《关于进一步加强非煤矿山安全生产标准化建设工作的通知》</w:t>
      </w:r>
      <w:r>
        <w:rPr>
          <w:color w:val="000000" w:themeColor="text1"/>
          <w:sz w:val="28"/>
        </w:rPr>
        <w:lastRenderedPageBreak/>
        <w:t>（鲁安监发</w:t>
      </w:r>
      <w:r>
        <w:rPr>
          <w:color w:val="000000" w:themeColor="text1"/>
          <w:sz w:val="28"/>
        </w:rPr>
        <w:t>[2011]146</w:t>
      </w:r>
      <w:r>
        <w:rPr>
          <w:color w:val="000000" w:themeColor="text1"/>
          <w:sz w:val="28"/>
        </w:rPr>
        <w:t>号，</w:t>
      </w:r>
      <w:r>
        <w:rPr>
          <w:color w:val="000000" w:themeColor="text1"/>
          <w:sz w:val="28"/>
        </w:rPr>
        <w:t>2015</w:t>
      </w:r>
      <w:r>
        <w:rPr>
          <w:color w:val="000000" w:themeColor="text1"/>
          <w:sz w:val="28"/>
        </w:rPr>
        <w:t>修订版）</w:t>
      </w:r>
    </w:p>
    <w:p w14:paraId="4BCA5127"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《关于印发山东省生产经营单位全员安全生产责任制的通知》（鲁安办发</w:t>
      </w:r>
      <w:r>
        <w:rPr>
          <w:color w:val="000000" w:themeColor="text1"/>
          <w:sz w:val="28"/>
        </w:rPr>
        <w:t>[2021]50</w:t>
      </w:r>
      <w:r>
        <w:rPr>
          <w:color w:val="000000" w:themeColor="text1"/>
          <w:sz w:val="28"/>
        </w:rPr>
        <w:t>号）</w:t>
      </w:r>
    </w:p>
    <w:p w14:paraId="2B981F3C"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w:t>
      </w:r>
      <w:r>
        <w:rPr>
          <w:rFonts w:hint="eastAsia"/>
          <w:color w:val="000000" w:themeColor="text1"/>
          <w:sz w:val="28"/>
        </w:rPr>
        <w:t>关于实施</w:t>
      </w:r>
      <w:r>
        <w:rPr>
          <w:color w:val="000000" w:themeColor="text1"/>
          <w:sz w:val="28"/>
        </w:rPr>
        <w:t>企业安全生产标准化建设</w:t>
      </w:r>
      <w:r>
        <w:rPr>
          <w:rFonts w:hint="eastAsia"/>
          <w:color w:val="000000" w:themeColor="text1"/>
          <w:sz w:val="28"/>
        </w:rPr>
        <w:t>定级办法的</w:t>
      </w:r>
      <w:r>
        <w:rPr>
          <w:color w:val="000000" w:themeColor="text1"/>
          <w:sz w:val="28"/>
        </w:rPr>
        <w:t>通知》（鲁</w:t>
      </w:r>
      <w:r>
        <w:rPr>
          <w:rFonts w:hint="eastAsia"/>
          <w:color w:val="000000" w:themeColor="text1"/>
          <w:sz w:val="28"/>
        </w:rPr>
        <w:t>应急</w:t>
      </w:r>
      <w:r>
        <w:rPr>
          <w:color w:val="000000" w:themeColor="text1"/>
          <w:sz w:val="28"/>
        </w:rPr>
        <w:t>发</w:t>
      </w:r>
      <w:r>
        <w:rPr>
          <w:color w:val="000000" w:themeColor="text1"/>
          <w:sz w:val="28"/>
        </w:rPr>
        <w:t>[20</w:t>
      </w:r>
      <w:r>
        <w:rPr>
          <w:rFonts w:hint="eastAsia"/>
          <w:color w:val="000000" w:themeColor="text1"/>
          <w:sz w:val="28"/>
        </w:rPr>
        <w:t>22</w:t>
      </w:r>
      <w:r>
        <w:rPr>
          <w:color w:val="000000" w:themeColor="text1"/>
          <w:sz w:val="28"/>
        </w:rPr>
        <w:t>]</w:t>
      </w:r>
      <w:r>
        <w:rPr>
          <w:rFonts w:hint="eastAsia"/>
          <w:color w:val="000000" w:themeColor="text1"/>
          <w:sz w:val="28"/>
        </w:rPr>
        <w:t>5</w:t>
      </w:r>
      <w:r>
        <w:rPr>
          <w:color w:val="000000" w:themeColor="text1"/>
          <w:sz w:val="28"/>
        </w:rPr>
        <w:t>号）</w:t>
      </w:r>
    </w:p>
    <w:p w14:paraId="05F30104"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《关于进一步加强非煤矿山安全生产工作的意见》（鲁安监发</w:t>
      </w:r>
      <w:r>
        <w:rPr>
          <w:color w:val="000000" w:themeColor="text1"/>
          <w:sz w:val="28"/>
        </w:rPr>
        <w:t>[2013]86</w:t>
      </w:r>
      <w:r>
        <w:rPr>
          <w:color w:val="000000" w:themeColor="text1"/>
          <w:sz w:val="28"/>
        </w:rPr>
        <w:t>号）</w:t>
      </w:r>
    </w:p>
    <w:p w14:paraId="567A9D1D" w14:textId="77777777" w:rsidR="002D2AF8" w:rsidRDefault="00000000">
      <w:pPr>
        <w:pStyle w:val="18"/>
        <w:numPr>
          <w:ilvl w:val="0"/>
          <w:numId w:val="7"/>
        </w:numPr>
        <w:adjustRightInd w:val="0"/>
        <w:snapToGrid w:val="0"/>
        <w:spacing w:line="360" w:lineRule="auto"/>
        <w:ind w:left="0" w:firstLine="566"/>
        <w:rPr>
          <w:color w:val="000000" w:themeColor="text1"/>
          <w:sz w:val="28"/>
        </w:rPr>
      </w:pPr>
      <w:r>
        <w:rPr>
          <w:color w:val="000000" w:themeColor="text1"/>
          <w:sz w:val="28"/>
        </w:rPr>
        <w:t>《关于认真落实国家安全监管总局</w:t>
      </w:r>
      <w:r>
        <w:rPr>
          <w:color w:val="000000" w:themeColor="text1"/>
          <w:sz w:val="28"/>
        </w:rPr>
        <w:t>62</w:t>
      </w:r>
      <w:r>
        <w:rPr>
          <w:color w:val="000000" w:themeColor="text1"/>
          <w:sz w:val="28"/>
        </w:rPr>
        <w:t>号令切实加强非煤矿山外包工程安全管理的通知》（鲁安监发</w:t>
      </w:r>
      <w:r>
        <w:rPr>
          <w:color w:val="000000" w:themeColor="text1"/>
          <w:sz w:val="28"/>
        </w:rPr>
        <w:t>[2014]28</w:t>
      </w:r>
      <w:r>
        <w:rPr>
          <w:color w:val="000000" w:themeColor="text1"/>
          <w:sz w:val="28"/>
        </w:rPr>
        <w:t>号，</w:t>
      </w:r>
      <w:r>
        <w:rPr>
          <w:color w:val="000000" w:themeColor="text1"/>
          <w:sz w:val="28"/>
        </w:rPr>
        <w:t>2015</w:t>
      </w:r>
      <w:r>
        <w:rPr>
          <w:color w:val="000000" w:themeColor="text1"/>
          <w:sz w:val="28"/>
        </w:rPr>
        <w:t>修订版）</w:t>
      </w:r>
    </w:p>
    <w:p w14:paraId="38EA5740" w14:textId="77777777" w:rsidR="002D2AF8"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《山东省生产安全事故应急办法》（山东省人民政府令</w:t>
      </w:r>
      <w:r>
        <w:rPr>
          <w:snapToGrid w:val="0"/>
          <w:color w:val="000000" w:themeColor="text1"/>
          <w:kern w:val="0"/>
          <w:sz w:val="28"/>
        </w:rPr>
        <w:t xml:space="preserve"> [2021]</w:t>
      </w:r>
      <w:r>
        <w:rPr>
          <w:snapToGrid w:val="0"/>
          <w:color w:val="000000" w:themeColor="text1"/>
          <w:kern w:val="0"/>
          <w:sz w:val="28"/>
        </w:rPr>
        <w:t>第</w:t>
      </w:r>
      <w:r>
        <w:rPr>
          <w:snapToGrid w:val="0"/>
          <w:color w:val="000000" w:themeColor="text1"/>
          <w:kern w:val="0"/>
          <w:sz w:val="28"/>
        </w:rPr>
        <w:t>341</w:t>
      </w:r>
      <w:r>
        <w:rPr>
          <w:snapToGrid w:val="0"/>
          <w:color w:val="000000" w:themeColor="text1"/>
          <w:kern w:val="0"/>
          <w:sz w:val="28"/>
        </w:rPr>
        <w:t>号）</w:t>
      </w:r>
    </w:p>
    <w:p w14:paraId="1121F371" w14:textId="77777777" w:rsidR="002D2AF8"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color w:val="000000" w:themeColor="text1"/>
          <w:sz w:val="28"/>
        </w:rPr>
        <w:t>《山东省生产安全事故报告和调查处理办法》（山东省人民政府令</w:t>
      </w:r>
      <w:r>
        <w:rPr>
          <w:snapToGrid w:val="0"/>
          <w:color w:val="000000" w:themeColor="text1"/>
          <w:kern w:val="0"/>
          <w:sz w:val="28"/>
        </w:rPr>
        <w:t>[2021]</w:t>
      </w:r>
      <w:r>
        <w:rPr>
          <w:color w:val="000000" w:themeColor="text1"/>
          <w:sz w:val="28"/>
        </w:rPr>
        <w:t>第</w:t>
      </w:r>
      <w:r>
        <w:rPr>
          <w:color w:val="000000" w:themeColor="text1"/>
          <w:sz w:val="28"/>
        </w:rPr>
        <w:t>342</w:t>
      </w:r>
      <w:r>
        <w:rPr>
          <w:color w:val="000000" w:themeColor="text1"/>
          <w:sz w:val="28"/>
        </w:rPr>
        <w:t>号；</w:t>
      </w:r>
      <w:r>
        <w:rPr>
          <w:color w:val="000000" w:themeColor="text1"/>
          <w:sz w:val="28"/>
        </w:rPr>
        <w:t>2022</w:t>
      </w:r>
      <w:r>
        <w:rPr>
          <w:color w:val="000000" w:themeColor="text1"/>
          <w:sz w:val="28"/>
        </w:rPr>
        <w:t>年</w:t>
      </w:r>
      <w:r>
        <w:rPr>
          <w:color w:val="000000" w:themeColor="text1"/>
          <w:sz w:val="28"/>
        </w:rPr>
        <w:t>4</w:t>
      </w:r>
      <w:r>
        <w:rPr>
          <w:color w:val="000000" w:themeColor="text1"/>
          <w:sz w:val="28"/>
        </w:rPr>
        <w:t>月</w:t>
      </w:r>
      <w:r>
        <w:rPr>
          <w:color w:val="000000" w:themeColor="text1"/>
          <w:sz w:val="28"/>
        </w:rPr>
        <w:t>25</w:t>
      </w:r>
      <w:r>
        <w:rPr>
          <w:color w:val="000000" w:themeColor="text1"/>
          <w:sz w:val="28"/>
        </w:rPr>
        <w:t>日，经山东省人民政府令第</w:t>
      </w:r>
      <w:r>
        <w:rPr>
          <w:color w:val="000000" w:themeColor="text1"/>
          <w:sz w:val="28"/>
        </w:rPr>
        <w:t>349</w:t>
      </w:r>
      <w:r>
        <w:rPr>
          <w:color w:val="000000" w:themeColor="text1"/>
          <w:sz w:val="28"/>
        </w:rPr>
        <w:t>号修订并实施。）</w:t>
      </w:r>
    </w:p>
    <w:p w14:paraId="5E84EA93" w14:textId="77777777" w:rsidR="002D2AF8"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《山东省生产安全事故隐患排查治理办法》（山东省人民政府令</w:t>
      </w:r>
      <w:r>
        <w:rPr>
          <w:snapToGrid w:val="0"/>
          <w:color w:val="000000" w:themeColor="text1"/>
          <w:kern w:val="0"/>
          <w:sz w:val="28"/>
        </w:rPr>
        <w:t>[2022]</w:t>
      </w:r>
      <w:r>
        <w:rPr>
          <w:snapToGrid w:val="0"/>
          <w:color w:val="000000" w:themeColor="text1"/>
          <w:kern w:val="0"/>
          <w:sz w:val="28"/>
        </w:rPr>
        <w:t>第</w:t>
      </w:r>
      <w:r>
        <w:rPr>
          <w:snapToGrid w:val="0"/>
          <w:color w:val="000000" w:themeColor="text1"/>
          <w:kern w:val="0"/>
          <w:sz w:val="28"/>
        </w:rPr>
        <w:t>347</w:t>
      </w:r>
      <w:r>
        <w:rPr>
          <w:snapToGrid w:val="0"/>
          <w:color w:val="000000" w:themeColor="text1"/>
          <w:kern w:val="0"/>
          <w:sz w:val="28"/>
        </w:rPr>
        <w:t>号）</w:t>
      </w:r>
    </w:p>
    <w:p w14:paraId="2C27EFE8" w14:textId="77777777" w:rsidR="002D2AF8"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《山东省安全生产风险管控办法》（山东省政府令</w:t>
      </w:r>
      <w:r>
        <w:rPr>
          <w:snapToGrid w:val="0"/>
          <w:color w:val="000000" w:themeColor="text1"/>
          <w:kern w:val="0"/>
          <w:sz w:val="28"/>
        </w:rPr>
        <w:t>[2020]</w:t>
      </w:r>
      <w:r>
        <w:rPr>
          <w:snapToGrid w:val="0"/>
          <w:color w:val="000000" w:themeColor="text1"/>
          <w:kern w:val="0"/>
          <w:sz w:val="28"/>
        </w:rPr>
        <w:t>第</w:t>
      </w:r>
      <w:r>
        <w:rPr>
          <w:snapToGrid w:val="0"/>
          <w:color w:val="000000" w:themeColor="text1"/>
          <w:kern w:val="0"/>
          <w:sz w:val="28"/>
        </w:rPr>
        <w:t>331</w:t>
      </w:r>
      <w:r>
        <w:rPr>
          <w:snapToGrid w:val="0"/>
          <w:color w:val="000000" w:themeColor="text1"/>
          <w:kern w:val="0"/>
          <w:sz w:val="28"/>
        </w:rPr>
        <w:t>号）</w:t>
      </w:r>
    </w:p>
    <w:p w14:paraId="132B5D58" w14:textId="77777777" w:rsidR="002D2AF8"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《关于对钻井、物探、测井、录井、井下作业、油建企业实施安全生产许可的通知》（鲁应急函</w:t>
      </w:r>
      <w:r>
        <w:rPr>
          <w:snapToGrid w:val="0"/>
          <w:color w:val="000000" w:themeColor="text1"/>
          <w:kern w:val="0"/>
          <w:sz w:val="28"/>
        </w:rPr>
        <w:t>[2021]86</w:t>
      </w:r>
      <w:r>
        <w:rPr>
          <w:snapToGrid w:val="0"/>
          <w:color w:val="000000" w:themeColor="text1"/>
          <w:kern w:val="0"/>
          <w:sz w:val="28"/>
        </w:rPr>
        <w:t>号）</w:t>
      </w:r>
    </w:p>
    <w:p w14:paraId="01A8A614" w14:textId="77777777" w:rsidR="002D2AF8" w:rsidRDefault="00000000">
      <w:pPr>
        <w:pStyle w:val="18"/>
        <w:numPr>
          <w:ilvl w:val="0"/>
          <w:numId w:val="7"/>
        </w:numPr>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《关于印发</w:t>
      </w:r>
      <w:r>
        <w:rPr>
          <w:snapToGrid w:val="0"/>
          <w:color w:val="000000" w:themeColor="text1"/>
          <w:kern w:val="0"/>
          <w:sz w:val="28"/>
        </w:rPr>
        <w:t>&lt;</w:t>
      </w:r>
      <w:r>
        <w:rPr>
          <w:snapToGrid w:val="0"/>
          <w:color w:val="000000" w:themeColor="text1"/>
          <w:kern w:val="0"/>
          <w:sz w:val="28"/>
        </w:rPr>
        <w:t>山东省非煤矿山企业安全生产风险分级监管暂行办法</w:t>
      </w:r>
      <w:r>
        <w:rPr>
          <w:snapToGrid w:val="0"/>
          <w:color w:val="000000" w:themeColor="text1"/>
          <w:kern w:val="0"/>
          <w:sz w:val="28"/>
        </w:rPr>
        <w:t>&gt;</w:t>
      </w:r>
      <w:r>
        <w:rPr>
          <w:snapToGrid w:val="0"/>
          <w:color w:val="000000" w:themeColor="text1"/>
          <w:kern w:val="0"/>
          <w:sz w:val="28"/>
        </w:rPr>
        <w:t>和</w:t>
      </w:r>
      <w:r>
        <w:rPr>
          <w:snapToGrid w:val="0"/>
          <w:color w:val="000000" w:themeColor="text1"/>
          <w:kern w:val="0"/>
          <w:sz w:val="28"/>
        </w:rPr>
        <w:t>&lt;</w:t>
      </w:r>
      <w:r>
        <w:rPr>
          <w:snapToGrid w:val="0"/>
          <w:color w:val="000000" w:themeColor="text1"/>
          <w:kern w:val="0"/>
          <w:sz w:val="28"/>
        </w:rPr>
        <w:t>山东省非煤矿山企业安全生产风险分级标准（试行）</w:t>
      </w:r>
      <w:r>
        <w:rPr>
          <w:snapToGrid w:val="0"/>
          <w:color w:val="000000" w:themeColor="text1"/>
          <w:kern w:val="0"/>
          <w:sz w:val="28"/>
        </w:rPr>
        <w:t>&gt;</w:t>
      </w:r>
      <w:r>
        <w:rPr>
          <w:snapToGrid w:val="0"/>
          <w:color w:val="000000" w:themeColor="text1"/>
          <w:kern w:val="0"/>
          <w:sz w:val="28"/>
        </w:rPr>
        <w:t>的通知》（鲁安监发</w:t>
      </w:r>
      <w:r>
        <w:rPr>
          <w:snapToGrid w:val="0"/>
          <w:color w:val="000000" w:themeColor="text1"/>
          <w:kern w:val="0"/>
          <w:sz w:val="28"/>
        </w:rPr>
        <w:t>[2015]151</w:t>
      </w:r>
      <w:r>
        <w:rPr>
          <w:snapToGrid w:val="0"/>
          <w:color w:val="000000" w:themeColor="text1"/>
          <w:kern w:val="0"/>
          <w:sz w:val="28"/>
        </w:rPr>
        <w:t>号）</w:t>
      </w:r>
    </w:p>
    <w:p w14:paraId="3DF80E14" w14:textId="77777777" w:rsidR="002D2AF8"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《山东省企业安全生产</w:t>
      </w:r>
      <w:r>
        <w:rPr>
          <w:snapToGrid w:val="0"/>
          <w:color w:val="000000" w:themeColor="text1"/>
          <w:kern w:val="0"/>
          <w:sz w:val="28"/>
        </w:rPr>
        <w:t>“</w:t>
      </w:r>
      <w:r>
        <w:rPr>
          <w:snapToGrid w:val="0"/>
          <w:color w:val="000000" w:themeColor="text1"/>
          <w:kern w:val="0"/>
          <w:sz w:val="28"/>
        </w:rPr>
        <w:t>晨会</w:t>
      </w:r>
      <w:r>
        <w:rPr>
          <w:snapToGrid w:val="0"/>
          <w:color w:val="000000" w:themeColor="text1"/>
          <w:kern w:val="0"/>
          <w:sz w:val="28"/>
        </w:rPr>
        <w:t>”</w:t>
      </w:r>
      <w:r>
        <w:rPr>
          <w:snapToGrid w:val="0"/>
          <w:color w:val="000000" w:themeColor="text1"/>
          <w:kern w:val="0"/>
          <w:sz w:val="28"/>
        </w:rPr>
        <w:t>制度规范（试行）》（鲁安发</w:t>
      </w:r>
      <w:r>
        <w:rPr>
          <w:snapToGrid w:val="0"/>
          <w:color w:val="000000" w:themeColor="text1"/>
          <w:kern w:val="0"/>
          <w:sz w:val="28"/>
        </w:rPr>
        <w:t>[2022]4</w:t>
      </w:r>
      <w:r>
        <w:rPr>
          <w:snapToGrid w:val="0"/>
          <w:color w:val="000000" w:themeColor="text1"/>
          <w:kern w:val="0"/>
          <w:sz w:val="28"/>
        </w:rPr>
        <w:t>号）</w:t>
      </w:r>
    </w:p>
    <w:p w14:paraId="7040F3AC" w14:textId="77777777" w:rsidR="002D2AF8"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lastRenderedPageBreak/>
        <w:t>关于印发《关于规范和加强安全生产安全生产培训考核工作的实施意见》的通知（鲁应急发</w:t>
      </w:r>
      <w:r>
        <w:rPr>
          <w:snapToGrid w:val="0"/>
          <w:color w:val="000000" w:themeColor="text1"/>
          <w:kern w:val="0"/>
          <w:sz w:val="28"/>
        </w:rPr>
        <w:t>[2022]6</w:t>
      </w:r>
      <w:r>
        <w:rPr>
          <w:snapToGrid w:val="0"/>
          <w:color w:val="000000" w:themeColor="text1"/>
          <w:kern w:val="0"/>
          <w:sz w:val="28"/>
        </w:rPr>
        <w:t>号）</w:t>
      </w:r>
    </w:p>
    <w:p w14:paraId="06D1140F" w14:textId="77777777" w:rsidR="002D2AF8"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《山东省生产经营单位劳务派遣人员和灵活用工人员安全管理办法》（鲁应急发</w:t>
      </w:r>
      <w:r>
        <w:rPr>
          <w:snapToGrid w:val="0"/>
          <w:color w:val="000000" w:themeColor="text1"/>
          <w:kern w:val="0"/>
          <w:sz w:val="28"/>
        </w:rPr>
        <w:t>[2022]7</w:t>
      </w:r>
      <w:r>
        <w:rPr>
          <w:snapToGrid w:val="0"/>
          <w:color w:val="000000" w:themeColor="text1"/>
          <w:kern w:val="0"/>
          <w:sz w:val="28"/>
        </w:rPr>
        <w:t>号）</w:t>
      </w:r>
    </w:p>
    <w:p w14:paraId="1DFB3F9E" w14:textId="77777777" w:rsidR="002D2AF8"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关于印发《重点行业领域重大安全风险隐患清单》的通知（鲁安发</w:t>
      </w:r>
      <w:r>
        <w:rPr>
          <w:snapToGrid w:val="0"/>
          <w:color w:val="000000" w:themeColor="text1"/>
          <w:kern w:val="0"/>
          <w:sz w:val="28"/>
        </w:rPr>
        <w:t>[2022]11</w:t>
      </w:r>
      <w:r>
        <w:rPr>
          <w:snapToGrid w:val="0"/>
          <w:color w:val="000000" w:themeColor="text1"/>
          <w:kern w:val="0"/>
          <w:sz w:val="28"/>
        </w:rPr>
        <w:t>号）</w:t>
      </w:r>
    </w:p>
    <w:p w14:paraId="4AC464C4" w14:textId="77777777" w:rsidR="002D2AF8"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《关于转发省应急厅〈关于对钻井、物探、测井、录井、钻井作业、油建企业实施安全生产许可的通知〉的通知》（东应急函字</w:t>
      </w:r>
      <w:r>
        <w:rPr>
          <w:snapToGrid w:val="0"/>
          <w:color w:val="000000" w:themeColor="text1"/>
          <w:kern w:val="0"/>
          <w:sz w:val="28"/>
        </w:rPr>
        <w:t>[2021]49</w:t>
      </w:r>
      <w:r>
        <w:rPr>
          <w:snapToGrid w:val="0"/>
          <w:color w:val="000000" w:themeColor="text1"/>
          <w:kern w:val="0"/>
          <w:sz w:val="28"/>
        </w:rPr>
        <w:t>号）</w:t>
      </w:r>
    </w:p>
    <w:p w14:paraId="6B5AA145" w14:textId="77777777" w:rsidR="002D2AF8" w:rsidRDefault="00000000">
      <w:pPr>
        <w:pStyle w:val="18"/>
        <w:numPr>
          <w:ilvl w:val="0"/>
          <w:numId w:val="7"/>
        </w:numPr>
        <w:kinsoku w:val="0"/>
        <w:overflowPunct w:val="0"/>
        <w:autoSpaceDE w:val="0"/>
        <w:autoSpaceDN w:val="0"/>
        <w:adjustRightInd w:val="0"/>
        <w:snapToGrid w:val="0"/>
        <w:spacing w:line="360" w:lineRule="auto"/>
        <w:ind w:left="0" w:firstLine="566"/>
        <w:rPr>
          <w:snapToGrid w:val="0"/>
          <w:color w:val="000000" w:themeColor="text1"/>
          <w:kern w:val="0"/>
          <w:sz w:val="28"/>
        </w:rPr>
      </w:pPr>
      <w:r>
        <w:rPr>
          <w:snapToGrid w:val="0"/>
          <w:color w:val="000000" w:themeColor="text1"/>
          <w:kern w:val="0"/>
          <w:sz w:val="28"/>
        </w:rPr>
        <w:t>《东营市应急管理局关于进一步规范非煤矿矿山〈安全生产许可证〉颁发管理有关问题的函》（东应急函字</w:t>
      </w:r>
      <w:r>
        <w:rPr>
          <w:snapToGrid w:val="0"/>
          <w:color w:val="000000" w:themeColor="text1"/>
          <w:kern w:val="0"/>
          <w:sz w:val="28"/>
        </w:rPr>
        <w:t>[2021]50</w:t>
      </w:r>
      <w:r>
        <w:rPr>
          <w:snapToGrid w:val="0"/>
          <w:color w:val="000000" w:themeColor="text1"/>
          <w:kern w:val="0"/>
          <w:sz w:val="28"/>
        </w:rPr>
        <w:t>号）</w:t>
      </w:r>
    </w:p>
    <w:p w14:paraId="0EE9CDC1" w14:textId="77777777" w:rsidR="002D2AF8" w:rsidRDefault="00000000">
      <w:pPr>
        <w:pStyle w:val="18"/>
        <w:numPr>
          <w:ilvl w:val="0"/>
          <w:numId w:val="7"/>
        </w:numPr>
        <w:kinsoku w:val="0"/>
        <w:overflowPunct w:val="0"/>
        <w:autoSpaceDE w:val="0"/>
        <w:autoSpaceDN w:val="0"/>
        <w:adjustRightInd w:val="0"/>
        <w:snapToGrid w:val="0"/>
        <w:spacing w:line="360" w:lineRule="auto"/>
        <w:ind w:left="0" w:firstLine="566"/>
        <w:rPr>
          <w:color w:val="000000" w:themeColor="text1"/>
          <w:sz w:val="28"/>
        </w:rPr>
      </w:pPr>
      <w:r>
        <w:rPr>
          <w:snapToGrid w:val="0"/>
          <w:color w:val="000000" w:themeColor="text1"/>
          <w:kern w:val="0"/>
          <w:sz w:val="28"/>
        </w:rPr>
        <w:t>关于印发</w:t>
      </w:r>
      <w:r>
        <w:rPr>
          <w:rFonts w:hint="eastAsia"/>
          <w:snapToGrid w:val="0"/>
          <w:color w:val="000000" w:themeColor="text1"/>
          <w:kern w:val="0"/>
          <w:sz w:val="28"/>
        </w:rPr>
        <w:t>&lt;</w:t>
      </w:r>
      <w:r>
        <w:rPr>
          <w:snapToGrid w:val="0"/>
          <w:color w:val="000000" w:themeColor="text1"/>
          <w:kern w:val="0"/>
          <w:sz w:val="28"/>
        </w:rPr>
        <w:t>非煤矿矿山安全生产许可证申请自查要点</w:t>
      </w:r>
      <w:r>
        <w:rPr>
          <w:rFonts w:hint="eastAsia"/>
          <w:snapToGrid w:val="0"/>
          <w:color w:val="000000" w:themeColor="text1"/>
          <w:kern w:val="0"/>
          <w:sz w:val="28"/>
        </w:rPr>
        <w:t>&gt;</w:t>
      </w:r>
      <w:r>
        <w:rPr>
          <w:snapToGrid w:val="0"/>
          <w:color w:val="000000" w:themeColor="text1"/>
          <w:kern w:val="0"/>
          <w:sz w:val="28"/>
        </w:rPr>
        <w:t>的通知（东应急函字</w:t>
      </w:r>
      <w:r>
        <w:rPr>
          <w:snapToGrid w:val="0"/>
          <w:color w:val="000000" w:themeColor="text1"/>
          <w:kern w:val="0"/>
          <w:sz w:val="28"/>
        </w:rPr>
        <w:t>[2022]13</w:t>
      </w:r>
      <w:r>
        <w:rPr>
          <w:snapToGrid w:val="0"/>
          <w:color w:val="000000" w:themeColor="text1"/>
          <w:kern w:val="0"/>
          <w:sz w:val="28"/>
        </w:rPr>
        <w:t>号）</w:t>
      </w:r>
    </w:p>
    <w:p w14:paraId="3A8717FE"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1.2.6 </w:t>
      </w:r>
      <w:r>
        <w:rPr>
          <w:rFonts w:eastAsia="黑体"/>
          <w:b w:val="0"/>
          <w:snapToGrid w:val="0"/>
          <w:color w:val="000000" w:themeColor="text1"/>
          <w:kern w:val="0"/>
          <w:sz w:val="28"/>
          <w:szCs w:val="28"/>
        </w:rPr>
        <w:t>国家标准</w:t>
      </w:r>
    </w:p>
    <w:p w14:paraId="6BB02B8F"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《安全色》（</w:t>
      </w:r>
      <w:r>
        <w:rPr>
          <w:color w:val="000000" w:themeColor="text1"/>
          <w:sz w:val="28"/>
        </w:rPr>
        <w:t>GB2893-2008</w:t>
      </w:r>
      <w:r>
        <w:rPr>
          <w:color w:val="000000" w:themeColor="text1"/>
          <w:sz w:val="28"/>
        </w:rPr>
        <w:t>）</w:t>
      </w:r>
    </w:p>
    <w:p w14:paraId="6084074E"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《安全标志及其使用导则》（</w:t>
      </w:r>
      <w:r>
        <w:rPr>
          <w:color w:val="000000" w:themeColor="text1"/>
          <w:sz w:val="28"/>
        </w:rPr>
        <w:t>GB2894-2008</w:t>
      </w:r>
      <w:r>
        <w:rPr>
          <w:color w:val="000000" w:themeColor="text1"/>
          <w:sz w:val="28"/>
        </w:rPr>
        <w:t>）</w:t>
      </w:r>
    </w:p>
    <w:p w14:paraId="44192D01"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《生产设备安全卫生设计总则》（</w:t>
      </w:r>
      <w:r>
        <w:rPr>
          <w:color w:val="000000" w:themeColor="text1"/>
          <w:sz w:val="28"/>
        </w:rPr>
        <w:t>GB5083-1999</w:t>
      </w:r>
      <w:r>
        <w:rPr>
          <w:color w:val="000000" w:themeColor="text1"/>
          <w:sz w:val="28"/>
        </w:rPr>
        <w:t>）</w:t>
      </w:r>
    </w:p>
    <w:p w14:paraId="14E047E6"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《企业职工伤亡事故分类》（</w:t>
      </w:r>
      <w:r>
        <w:rPr>
          <w:color w:val="000000" w:themeColor="text1"/>
          <w:sz w:val="28"/>
        </w:rPr>
        <w:t>GB6441-1986</w:t>
      </w:r>
      <w:r>
        <w:rPr>
          <w:color w:val="000000" w:themeColor="text1"/>
          <w:sz w:val="28"/>
        </w:rPr>
        <w:t>）</w:t>
      </w:r>
    </w:p>
    <w:p w14:paraId="7B32EF6F"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《防止静电事故通用导则》（</w:t>
      </w:r>
      <w:r>
        <w:rPr>
          <w:color w:val="000000" w:themeColor="text1"/>
          <w:sz w:val="28"/>
        </w:rPr>
        <w:t>GB12158-2006</w:t>
      </w:r>
      <w:r>
        <w:rPr>
          <w:color w:val="000000" w:themeColor="text1"/>
          <w:sz w:val="28"/>
        </w:rPr>
        <w:t>）</w:t>
      </w:r>
    </w:p>
    <w:p w14:paraId="6C186DF5"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《石油与石油设施雷电安全规范》（</w:t>
      </w:r>
      <w:r>
        <w:rPr>
          <w:color w:val="000000" w:themeColor="text1"/>
          <w:sz w:val="28"/>
        </w:rPr>
        <w:t>GB15599-2009</w:t>
      </w:r>
      <w:r>
        <w:rPr>
          <w:color w:val="000000" w:themeColor="text1"/>
          <w:sz w:val="28"/>
        </w:rPr>
        <w:t>）</w:t>
      </w:r>
    </w:p>
    <w:p w14:paraId="003F3AEE"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《危险化学品重大危险源辨识》（</w:t>
      </w:r>
      <w:r>
        <w:rPr>
          <w:color w:val="000000" w:themeColor="text1"/>
          <w:sz w:val="28"/>
        </w:rPr>
        <w:t>GB18218-2018</w:t>
      </w:r>
      <w:r>
        <w:rPr>
          <w:color w:val="000000" w:themeColor="text1"/>
          <w:sz w:val="28"/>
        </w:rPr>
        <w:t>）</w:t>
      </w:r>
    </w:p>
    <w:p w14:paraId="14C477BB"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《爆炸危险环境电力装置设计规范》（</w:t>
      </w:r>
      <w:r>
        <w:rPr>
          <w:color w:val="000000" w:themeColor="text1"/>
          <w:sz w:val="28"/>
        </w:rPr>
        <w:t>GB50058-2014</w:t>
      </w:r>
      <w:r>
        <w:rPr>
          <w:color w:val="000000" w:themeColor="text1"/>
          <w:sz w:val="28"/>
        </w:rPr>
        <w:t>）</w:t>
      </w:r>
    </w:p>
    <w:p w14:paraId="50320E69"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《个体防护装备配备规范</w:t>
      </w:r>
      <w:r>
        <w:rPr>
          <w:color w:val="000000" w:themeColor="text1"/>
          <w:sz w:val="28"/>
        </w:rPr>
        <w:t xml:space="preserve"> </w:t>
      </w:r>
      <w:r>
        <w:rPr>
          <w:color w:val="000000" w:themeColor="text1"/>
          <w:sz w:val="28"/>
        </w:rPr>
        <w:t>第</w:t>
      </w:r>
      <w:r>
        <w:rPr>
          <w:color w:val="000000" w:themeColor="text1"/>
          <w:sz w:val="28"/>
        </w:rPr>
        <w:t>1</w:t>
      </w:r>
      <w:r>
        <w:rPr>
          <w:color w:val="000000" w:themeColor="text1"/>
          <w:sz w:val="28"/>
        </w:rPr>
        <w:t>部分：总则》（</w:t>
      </w:r>
      <w:r>
        <w:rPr>
          <w:color w:val="000000" w:themeColor="text1"/>
          <w:sz w:val="28"/>
        </w:rPr>
        <w:t>GB39800.1-2020</w:t>
      </w:r>
      <w:r>
        <w:rPr>
          <w:color w:val="000000" w:themeColor="text1"/>
          <w:sz w:val="28"/>
        </w:rPr>
        <w:t>）</w:t>
      </w:r>
    </w:p>
    <w:p w14:paraId="2B5FB34F"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《个体防护装备配备规范</w:t>
      </w:r>
      <w:r>
        <w:rPr>
          <w:color w:val="000000" w:themeColor="text1"/>
          <w:sz w:val="28"/>
        </w:rPr>
        <w:t xml:space="preserve"> </w:t>
      </w:r>
      <w:r>
        <w:rPr>
          <w:color w:val="000000" w:themeColor="text1"/>
          <w:sz w:val="28"/>
        </w:rPr>
        <w:t>第</w:t>
      </w:r>
      <w:r>
        <w:rPr>
          <w:color w:val="000000" w:themeColor="text1"/>
          <w:sz w:val="28"/>
        </w:rPr>
        <w:t>2</w:t>
      </w:r>
      <w:r>
        <w:rPr>
          <w:color w:val="000000" w:themeColor="text1"/>
          <w:sz w:val="28"/>
        </w:rPr>
        <w:t>部分：石油、化工、天然气》（</w:t>
      </w:r>
      <w:r>
        <w:rPr>
          <w:color w:val="000000" w:themeColor="text1"/>
          <w:sz w:val="28"/>
        </w:rPr>
        <w:t>GB39800.2-2020</w:t>
      </w:r>
      <w:r>
        <w:rPr>
          <w:color w:val="000000" w:themeColor="text1"/>
          <w:sz w:val="28"/>
        </w:rPr>
        <w:t>）</w:t>
      </w:r>
    </w:p>
    <w:p w14:paraId="116EAF99"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lastRenderedPageBreak/>
        <w:t>《石油天然气工程设计防火规范》（</w:t>
      </w:r>
      <w:r>
        <w:rPr>
          <w:color w:val="000000" w:themeColor="text1"/>
          <w:sz w:val="28"/>
        </w:rPr>
        <w:t>GB50183-2004</w:t>
      </w:r>
      <w:r>
        <w:rPr>
          <w:color w:val="000000" w:themeColor="text1"/>
          <w:sz w:val="28"/>
        </w:rPr>
        <w:t>）</w:t>
      </w:r>
    </w:p>
    <w:p w14:paraId="5E534883"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《供配电系统设计规范》（</w:t>
      </w:r>
      <w:r>
        <w:rPr>
          <w:color w:val="000000" w:themeColor="text1"/>
          <w:sz w:val="28"/>
        </w:rPr>
        <w:t>GB50052-2009</w:t>
      </w:r>
      <w:r>
        <w:rPr>
          <w:color w:val="000000" w:themeColor="text1"/>
          <w:sz w:val="28"/>
        </w:rPr>
        <w:t>）</w:t>
      </w:r>
    </w:p>
    <w:p w14:paraId="3C11B1D1"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《低压配电设计规范》（</w:t>
      </w:r>
      <w:r>
        <w:rPr>
          <w:color w:val="000000" w:themeColor="text1"/>
          <w:sz w:val="28"/>
        </w:rPr>
        <w:t>GB50054-2011</w:t>
      </w:r>
      <w:r>
        <w:rPr>
          <w:color w:val="000000" w:themeColor="text1"/>
          <w:sz w:val="28"/>
        </w:rPr>
        <w:t>）</w:t>
      </w:r>
    </w:p>
    <w:p w14:paraId="0DDF6BCE"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《危险货物品名表》（</w:t>
      </w:r>
      <w:r>
        <w:rPr>
          <w:color w:val="000000" w:themeColor="text1"/>
          <w:sz w:val="28"/>
        </w:rPr>
        <w:t>GB12268-2012</w:t>
      </w:r>
      <w:r>
        <w:rPr>
          <w:color w:val="000000" w:themeColor="text1"/>
          <w:sz w:val="28"/>
        </w:rPr>
        <w:t>）</w:t>
      </w:r>
    </w:p>
    <w:p w14:paraId="4F377F3F"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《工业企业设计卫生标准》（</w:t>
      </w:r>
      <w:r>
        <w:rPr>
          <w:color w:val="000000" w:themeColor="text1"/>
          <w:sz w:val="28"/>
        </w:rPr>
        <w:t>GBZ1-2010</w:t>
      </w:r>
      <w:r>
        <w:rPr>
          <w:color w:val="000000" w:themeColor="text1"/>
          <w:sz w:val="28"/>
        </w:rPr>
        <w:t>）</w:t>
      </w:r>
    </w:p>
    <w:p w14:paraId="1F1983AF"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《工作场所职业病危害警示标识》（</w:t>
      </w:r>
      <w:r>
        <w:rPr>
          <w:color w:val="000000" w:themeColor="text1"/>
          <w:sz w:val="28"/>
        </w:rPr>
        <w:t>GBZ158-2003</w:t>
      </w:r>
      <w:r>
        <w:rPr>
          <w:color w:val="000000" w:themeColor="text1"/>
          <w:sz w:val="28"/>
        </w:rPr>
        <w:t>）</w:t>
      </w:r>
    </w:p>
    <w:p w14:paraId="30DD845A"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《工作场所有害因素职业接触限值第</w:t>
      </w:r>
      <w:r>
        <w:rPr>
          <w:color w:val="000000" w:themeColor="text1"/>
          <w:sz w:val="28"/>
        </w:rPr>
        <w:t>1</w:t>
      </w:r>
      <w:r>
        <w:rPr>
          <w:color w:val="000000" w:themeColor="text1"/>
          <w:sz w:val="28"/>
        </w:rPr>
        <w:t>部分：化学有害因素》（</w:t>
      </w:r>
      <w:r>
        <w:rPr>
          <w:color w:val="000000" w:themeColor="text1"/>
          <w:sz w:val="28"/>
        </w:rPr>
        <w:t>GBZ2.1-2019</w:t>
      </w:r>
      <w:r>
        <w:rPr>
          <w:color w:val="000000" w:themeColor="text1"/>
          <w:sz w:val="28"/>
        </w:rPr>
        <w:t>）</w:t>
      </w:r>
    </w:p>
    <w:p w14:paraId="3D2B37E1"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《工作场所有害因素职业接触限值第</w:t>
      </w:r>
      <w:r>
        <w:rPr>
          <w:color w:val="000000" w:themeColor="text1"/>
          <w:sz w:val="28"/>
        </w:rPr>
        <w:t>2</w:t>
      </w:r>
      <w:r>
        <w:rPr>
          <w:color w:val="000000" w:themeColor="text1"/>
          <w:sz w:val="28"/>
        </w:rPr>
        <w:t>部分：物理因素》（</w:t>
      </w:r>
      <w:r>
        <w:rPr>
          <w:color w:val="000000" w:themeColor="text1"/>
          <w:sz w:val="28"/>
        </w:rPr>
        <w:t>GBZ2.2-2007</w:t>
      </w:r>
      <w:r>
        <w:rPr>
          <w:color w:val="000000" w:themeColor="text1"/>
          <w:sz w:val="28"/>
        </w:rPr>
        <w:t>）</w:t>
      </w:r>
    </w:p>
    <w:p w14:paraId="3E0B7BA5"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《火灾分类》（</w:t>
      </w:r>
      <w:r>
        <w:rPr>
          <w:color w:val="000000" w:themeColor="text1"/>
          <w:sz w:val="28"/>
        </w:rPr>
        <w:t>GB/T4968-2008</w:t>
      </w:r>
      <w:r>
        <w:rPr>
          <w:color w:val="000000" w:themeColor="text1"/>
          <w:sz w:val="28"/>
        </w:rPr>
        <w:t>）</w:t>
      </w:r>
    </w:p>
    <w:p w14:paraId="599338AA"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《生产过程安全卫生要求总则》（</w:t>
      </w:r>
      <w:r>
        <w:rPr>
          <w:color w:val="000000" w:themeColor="text1"/>
          <w:sz w:val="28"/>
        </w:rPr>
        <w:t>GB/T12801-2008</w:t>
      </w:r>
      <w:r>
        <w:rPr>
          <w:color w:val="000000" w:themeColor="text1"/>
          <w:sz w:val="28"/>
        </w:rPr>
        <w:t>）</w:t>
      </w:r>
    </w:p>
    <w:p w14:paraId="7FF1B5C9"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《生产过程危险和有害因素分类与代码》（</w:t>
      </w:r>
      <w:r>
        <w:rPr>
          <w:color w:val="000000" w:themeColor="text1"/>
          <w:sz w:val="28"/>
        </w:rPr>
        <w:t>GB/T13861-20</w:t>
      </w:r>
      <w:r>
        <w:rPr>
          <w:rFonts w:hint="eastAsia"/>
          <w:color w:val="000000" w:themeColor="text1"/>
          <w:sz w:val="28"/>
        </w:rPr>
        <w:t>22</w:t>
      </w:r>
      <w:r>
        <w:rPr>
          <w:color w:val="000000" w:themeColor="text1"/>
          <w:sz w:val="28"/>
        </w:rPr>
        <w:t>）</w:t>
      </w:r>
    </w:p>
    <w:p w14:paraId="76D7CCAA"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《企业安全生产标准化基本规范》（</w:t>
      </w:r>
      <w:r>
        <w:rPr>
          <w:color w:val="000000" w:themeColor="text1"/>
          <w:sz w:val="28"/>
        </w:rPr>
        <w:t>GB/T33000-2016</w:t>
      </w:r>
      <w:r>
        <w:rPr>
          <w:color w:val="000000" w:themeColor="text1"/>
          <w:sz w:val="28"/>
        </w:rPr>
        <w:t>）</w:t>
      </w:r>
    </w:p>
    <w:p w14:paraId="4FD37E48"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《用电安全导则》（</w:t>
      </w:r>
      <w:r>
        <w:rPr>
          <w:color w:val="000000" w:themeColor="text1"/>
          <w:sz w:val="28"/>
        </w:rPr>
        <w:t>GB/T13869-20</w:t>
      </w:r>
      <w:r>
        <w:rPr>
          <w:rFonts w:hint="eastAsia"/>
          <w:color w:val="000000" w:themeColor="text1"/>
          <w:sz w:val="28"/>
        </w:rPr>
        <w:t>17</w:t>
      </w:r>
      <w:r>
        <w:rPr>
          <w:color w:val="000000" w:themeColor="text1"/>
          <w:sz w:val="28"/>
        </w:rPr>
        <w:t>）</w:t>
      </w:r>
    </w:p>
    <w:p w14:paraId="7FA078FA"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《生产经营单位生产安全事故应急预案编制导则》（</w:t>
      </w:r>
      <w:r>
        <w:rPr>
          <w:color w:val="000000" w:themeColor="text1"/>
          <w:sz w:val="28"/>
        </w:rPr>
        <w:t>GB/T29639-2020</w:t>
      </w:r>
      <w:r>
        <w:rPr>
          <w:color w:val="000000" w:themeColor="text1"/>
          <w:sz w:val="28"/>
        </w:rPr>
        <w:t>）</w:t>
      </w:r>
    </w:p>
    <w:p w14:paraId="4A4E1371"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《油田注水工程设计规范》</w:t>
      </w:r>
      <w:r>
        <w:rPr>
          <w:rFonts w:hint="eastAsia"/>
          <w:color w:val="000000" w:themeColor="text1"/>
          <w:sz w:val="28"/>
        </w:rPr>
        <w:t>（</w:t>
      </w:r>
      <w:r>
        <w:rPr>
          <w:color w:val="000000" w:themeColor="text1"/>
          <w:sz w:val="28"/>
        </w:rPr>
        <w:t>GB50391-2014</w:t>
      </w:r>
      <w:r>
        <w:rPr>
          <w:rFonts w:hint="eastAsia"/>
          <w:color w:val="000000" w:themeColor="text1"/>
          <w:sz w:val="28"/>
        </w:rPr>
        <w:t>）</w:t>
      </w:r>
    </w:p>
    <w:p w14:paraId="304CC35F"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《电气装置安装工程</w:t>
      </w:r>
      <w:r>
        <w:rPr>
          <w:color w:val="000000" w:themeColor="text1"/>
          <w:sz w:val="28"/>
        </w:rPr>
        <w:t xml:space="preserve"> </w:t>
      </w:r>
      <w:r>
        <w:rPr>
          <w:color w:val="000000" w:themeColor="text1"/>
          <w:sz w:val="28"/>
        </w:rPr>
        <w:t>接地装置施工及验收规范》</w:t>
      </w:r>
      <w:r>
        <w:rPr>
          <w:rFonts w:hint="eastAsia"/>
          <w:color w:val="000000" w:themeColor="text1"/>
          <w:sz w:val="28"/>
        </w:rPr>
        <w:t>（</w:t>
      </w:r>
      <w:r>
        <w:rPr>
          <w:rFonts w:hint="eastAsia"/>
          <w:color w:val="000000" w:themeColor="text1"/>
          <w:sz w:val="28"/>
        </w:rPr>
        <w:t>GB50169-2016</w:t>
      </w:r>
      <w:r>
        <w:rPr>
          <w:rFonts w:hint="eastAsia"/>
          <w:color w:val="000000" w:themeColor="text1"/>
          <w:sz w:val="28"/>
        </w:rPr>
        <w:t>）</w:t>
      </w:r>
    </w:p>
    <w:p w14:paraId="0BEFEDE1" w14:textId="77777777" w:rsidR="002D2AF8" w:rsidRDefault="00000000">
      <w:pPr>
        <w:pStyle w:val="18"/>
        <w:numPr>
          <w:ilvl w:val="0"/>
          <w:numId w:val="8"/>
        </w:numPr>
        <w:adjustRightInd w:val="0"/>
        <w:snapToGrid w:val="0"/>
        <w:spacing w:line="360" w:lineRule="auto"/>
        <w:ind w:left="0" w:firstLine="566"/>
        <w:rPr>
          <w:color w:val="000000" w:themeColor="text1"/>
          <w:sz w:val="28"/>
        </w:rPr>
      </w:pPr>
      <w:r>
        <w:rPr>
          <w:color w:val="000000" w:themeColor="text1"/>
          <w:sz w:val="28"/>
        </w:rPr>
        <w:t>《</w:t>
      </w:r>
      <w:r>
        <w:rPr>
          <w:rFonts w:hint="eastAsia"/>
          <w:color w:val="000000" w:themeColor="text1"/>
          <w:sz w:val="28"/>
        </w:rPr>
        <w:t>建筑灭火器配置设计规范</w:t>
      </w:r>
      <w:r>
        <w:rPr>
          <w:color w:val="000000" w:themeColor="text1"/>
          <w:sz w:val="28"/>
        </w:rPr>
        <w:t>》</w:t>
      </w:r>
      <w:r>
        <w:rPr>
          <w:rFonts w:hint="eastAsia"/>
          <w:color w:val="000000" w:themeColor="text1"/>
          <w:sz w:val="28"/>
        </w:rPr>
        <w:t>（</w:t>
      </w:r>
      <w:r>
        <w:rPr>
          <w:rFonts w:hint="eastAsia"/>
          <w:color w:val="000000" w:themeColor="text1"/>
          <w:sz w:val="28"/>
        </w:rPr>
        <w:t>GB50140-2005</w:t>
      </w:r>
      <w:r>
        <w:rPr>
          <w:rFonts w:hint="eastAsia"/>
          <w:color w:val="000000" w:themeColor="text1"/>
          <w:sz w:val="28"/>
        </w:rPr>
        <w:t>）</w:t>
      </w:r>
    </w:p>
    <w:p w14:paraId="0E858677"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1.2.7 </w:t>
      </w:r>
      <w:r>
        <w:rPr>
          <w:rFonts w:eastAsia="黑体"/>
          <w:b w:val="0"/>
          <w:snapToGrid w:val="0"/>
          <w:color w:val="000000" w:themeColor="text1"/>
          <w:kern w:val="0"/>
          <w:sz w:val="28"/>
          <w:szCs w:val="28"/>
        </w:rPr>
        <w:t>行业、地方标准</w:t>
      </w:r>
    </w:p>
    <w:p w14:paraId="33843FC6" w14:textId="77777777" w:rsidR="002D2AF8" w:rsidRDefault="00000000">
      <w:pPr>
        <w:pStyle w:val="affff"/>
        <w:numPr>
          <w:ilvl w:val="0"/>
          <w:numId w:val="9"/>
        </w:numPr>
        <w:adjustRightInd w:val="0"/>
        <w:snapToGrid w:val="0"/>
        <w:spacing w:line="360" w:lineRule="auto"/>
        <w:ind w:left="0" w:firstLineChars="0" w:firstLine="544"/>
        <w:rPr>
          <w:bCs/>
          <w:color w:val="000000" w:themeColor="text1"/>
          <w:spacing w:val="-4"/>
          <w:sz w:val="28"/>
          <w:szCs w:val="28"/>
        </w:rPr>
      </w:pPr>
      <w:bookmarkStart w:id="6" w:name="_Toc215277129"/>
      <w:bookmarkEnd w:id="4"/>
      <w:bookmarkEnd w:id="5"/>
      <w:r>
        <w:rPr>
          <w:bCs/>
          <w:color w:val="000000" w:themeColor="text1"/>
          <w:spacing w:val="-4"/>
          <w:sz w:val="28"/>
          <w:szCs w:val="28"/>
        </w:rPr>
        <w:t>《石油天然气安全规程》（</w:t>
      </w:r>
      <w:r>
        <w:rPr>
          <w:bCs/>
          <w:color w:val="000000" w:themeColor="text1"/>
          <w:spacing w:val="-4"/>
          <w:sz w:val="28"/>
          <w:szCs w:val="28"/>
        </w:rPr>
        <w:t>AQ2012-2007</w:t>
      </w:r>
      <w:r>
        <w:rPr>
          <w:bCs/>
          <w:color w:val="000000" w:themeColor="text1"/>
          <w:spacing w:val="-4"/>
          <w:sz w:val="28"/>
          <w:szCs w:val="28"/>
        </w:rPr>
        <w:t>）</w:t>
      </w:r>
    </w:p>
    <w:p w14:paraId="738F5FC6" w14:textId="77777777" w:rsidR="002D2AF8" w:rsidRDefault="00000000">
      <w:pPr>
        <w:pStyle w:val="affff"/>
        <w:numPr>
          <w:ilvl w:val="0"/>
          <w:numId w:val="9"/>
        </w:numPr>
        <w:adjustRightInd w:val="0"/>
        <w:snapToGrid w:val="0"/>
        <w:spacing w:line="360" w:lineRule="auto"/>
        <w:ind w:left="0" w:firstLineChars="0" w:firstLine="544"/>
        <w:rPr>
          <w:color w:val="000000" w:themeColor="text1"/>
          <w:sz w:val="28"/>
        </w:rPr>
      </w:pPr>
      <w:r>
        <w:rPr>
          <w:bCs/>
          <w:color w:val="000000" w:themeColor="text1"/>
          <w:spacing w:val="-4"/>
          <w:sz w:val="28"/>
          <w:szCs w:val="28"/>
        </w:rPr>
        <w:t>《石油行业安全生产标准化</w:t>
      </w:r>
      <w:r>
        <w:rPr>
          <w:bCs/>
          <w:color w:val="000000" w:themeColor="text1"/>
          <w:spacing w:val="-4"/>
          <w:sz w:val="28"/>
          <w:szCs w:val="28"/>
        </w:rPr>
        <w:t xml:space="preserve"> </w:t>
      </w:r>
      <w:r>
        <w:rPr>
          <w:bCs/>
          <w:color w:val="000000" w:themeColor="text1"/>
          <w:spacing w:val="-4"/>
          <w:sz w:val="28"/>
          <w:szCs w:val="28"/>
        </w:rPr>
        <w:t>井下作业实施规范》（</w:t>
      </w:r>
      <w:r>
        <w:rPr>
          <w:bCs/>
          <w:color w:val="000000" w:themeColor="text1"/>
          <w:spacing w:val="-4"/>
          <w:sz w:val="28"/>
          <w:szCs w:val="28"/>
        </w:rPr>
        <w:t>AQ2041-2012</w:t>
      </w:r>
      <w:r>
        <w:rPr>
          <w:bCs/>
          <w:color w:val="000000" w:themeColor="text1"/>
          <w:spacing w:val="-4"/>
          <w:sz w:val="28"/>
          <w:szCs w:val="28"/>
        </w:rPr>
        <w:t>）</w:t>
      </w:r>
    </w:p>
    <w:p w14:paraId="5E5A2EC1" w14:textId="77777777" w:rsidR="002D2AF8" w:rsidRDefault="00000000">
      <w:pPr>
        <w:pStyle w:val="18"/>
        <w:numPr>
          <w:ilvl w:val="0"/>
          <w:numId w:val="9"/>
        </w:numPr>
        <w:adjustRightInd w:val="0"/>
        <w:snapToGrid w:val="0"/>
        <w:spacing w:line="360" w:lineRule="auto"/>
        <w:ind w:left="0" w:firstLine="566"/>
        <w:rPr>
          <w:color w:val="000000" w:themeColor="text1"/>
          <w:sz w:val="28"/>
        </w:rPr>
      </w:pPr>
      <w:r>
        <w:rPr>
          <w:color w:val="000000" w:themeColor="text1"/>
          <w:sz w:val="28"/>
        </w:rPr>
        <w:t>《安全评价通则》（</w:t>
      </w:r>
      <w:r>
        <w:rPr>
          <w:color w:val="000000" w:themeColor="text1"/>
          <w:sz w:val="28"/>
        </w:rPr>
        <w:t>AQ8001-2007</w:t>
      </w:r>
      <w:r>
        <w:rPr>
          <w:color w:val="000000" w:themeColor="text1"/>
          <w:sz w:val="28"/>
        </w:rPr>
        <w:t>）</w:t>
      </w:r>
    </w:p>
    <w:p w14:paraId="44C09DD2" w14:textId="77777777" w:rsidR="002D2AF8" w:rsidRDefault="00000000">
      <w:pPr>
        <w:pStyle w:val="18"/>
        <w:numPr>
          <w:ilvl w:val="0"/>
          <w:numId w:val="9"/>
        </w:numPr>
        <w:adjustRightInd w:val="0"/>
        <w:snapToGrid w:val="0"/>
        <w:spacing w:line="360" w:lineRule="auto"/>
        <w:ind w:left="0" w:firstLine="566"/>
        <w:rPr>
          <w:color w:val="000000" w:themeColor="text1"/>
          <w:sz w:val="28"/>
        </w:rPr>
      </w:pPr>
      <w:r>
        <w:rPr>
          <w:color w:val="000000" w:themeColor="text1"/>
          <w:sz w:val="28"/>
        </w:rPr>
        <w:lastRenderedPageBreak/>
        <w:t>《生产安全事故应急演练基本规范》（</w:t>
      </w:r>
      <w:r>
        <w:rPr>
          <w:color w:val="000000" w:themeColor="text1"/>
          <w:sz w:val="28"/>
        </w:rPr>
        <w:t>AQ/T9007-2019</w:t>
      </w:r>
      <w:r>
        <w:rPr>
          <w:color w:val="000000" w:themeColor="text1"/>
          <w:sz w:val="28"/>
        </w:rPr>
        <w:t>）</w:t>
      </w:r>
    </w:p>
    <w:p w14:paraId="2C7356DC" w14:textId="77777777" w:rsidR="002D2AF8" w:rsidRDefault="00000000">
      <w:pPr>
        <w:pStyle w:val="18"/>
        <w:numPr>
          <w:ilvl w:val="0"/>
          <w:numId w:val="9"/>
        </w:numPr>
        <w:adjustRightInd w:val="0"/>
        <w:snapToGrid w:val="0"/>
        <w:spacing w:line="360" w:lineRule="auto"/>
        <w:ind w:left="0" w:firstLine="566"/>
        <w:rPr>
          <w:color w:val="000000" w:themeColor="text1"/>
          <w:sz w:val="28"/>
        </w:rPr>
      </w:pPr>
      <w:r>
        <w:rPr>
          <w:color w:val="000000" w:themeColor="text1"/>
          <w:sz w:val="28"/>
        </w:rPr>
        <w:t>《生产安全事故应急演练评估规范》（</w:t>
      </w:r>
      <w:r>
        <w:rPr>
          <w:color w:val="000000" w:themeColor="text1"/>
          <w:sz w:val="28"/>
        </w:rPr>
        <w:t>AQ/T9009-2015</w:t>
      </w:r>
      <w:r>
        <w:rPr>
          <w:color w:val="000000" w:themeColor="text1"/>
          <w:sz w:val="28"/>
        </w:rPr>
        <w:t>）</w:t>
      </w:r>
    </w:p>
    <w:p w14:paraId="5FD7FA08" w14:textId="77777777" w:rsidR="002D2AF8" w:rsidRDefault="00000000">
      <w:pPr>
        <w:pStyle w:val="18"/>
        <w:numPr>
          <w:ilvl w:val="0"/>
          <w:numId w:val="9"/>
        </w:numPr>
        <w:adjustRightInd w:val="0"/>
        <w:snapToGrid w:val="0"/>
        <w:spacing w:line="360" w:lineRule="auto"/>
        <w:ind w:left="0" w:firstLine="566"/>
        <w:rPr>
          <w:bCs/>
          <w:color w:val="000000" w:themeColor="text1"/>
          <w:spacing w:val="-4"/>
          <w:sz w:val="28"/>
          <w:szCs w:val="28"/>
        </w:rPr>
      </w:pPr>
      <w:r>
        <w:rPr>
          <w:color w:val="000000" w:themeColor="text1"/>
          <w:sz w:val="28"/>
        </w:rPr>
        <w:t>《生产经营单位生产安全事故应急预案评估指南》（</w:t>
      </w:r>
      <w:r>
        <w:rPr>
          <w:color w:val="000000" w:themeColor="text1"/>
          <w:sz w:val="28"/>
        </w:rPr>
        <w:t>AQ/T9011-2019</w:t>
      </w:r>
      <w:r>
        <w:rPr>
          <w:color w:val="000000" w:themeColor="text1"/>
          <w:sz w:val="28"/>
        </w:rPr>
        <w:t>）</w:t>
      </w:r>
    </w:p>
    <w:p w14:paraId="7B9FE303" w14:textId="77777777" w:rsidR="002D2AF8" w:rsidRDefault="00000000">
      <w:pPr>
        <w:pStyle w:val="18"/>
        <w:numPr>
          <w:ilvl w:val="0"/>
          <w:numId w:val="9"/>
        </w:numPr>
        <w:adjustRightInd w:val="0"/>
        <w:snapToGrid w:val="0"/>
        <w:spacing w:line="360" w:lineRule="auto"/>
        <w:ind w:left="0" w:firstLine="566"/>
        <w:rPr>
          <w:color w:val="000000" w:themeColor="text1"/>
          <w:sz w:val="28"/>
        </w:rPr>
      </w:pPr>
      <w:r>
        <w:rPr>
          <w:color w:val="000000" w:themeColor="text1"/>
          <w:sz w:val="28"/>
        </w:rPr>
        <w:t>《石油与天然气井井控安全技术考核管理规则》（</w:t>
      </w:r>
      <w:r>
        <w:rPr>
          <w:color w:val="000000" w:themeColor="text1"/>
          <w:sz w:val="28"/>
        </w:rPr>
        <w:t>SY/T5742-2019</w:t>
      </w:r>
      <w:r>
        <w:rPr>
          <w:color w:val="000000" w:themeColor="text1"/>
          <w:sz w:val="28"/>
        </w:rPr>
        <w:t>）</w:t>
      </w:r>
    </w:p>
    <w:p w14:paraId="3FD4EFB0" w14:textId="77777777" w:rsidR="002D2AF8" w:rsidRDefault="00000000">
      <w:pPr>
        <w:pStyle w:val="18"/>
        <w:numPr>
          <w:ilvl w:val="0"/>
          <w:numId w:val="9"/>
        </w:numPr>
        <w:adjustRightInd w:val="0"/>
        <w:snapToGrid w:val="0"/>
        <w:spacing w:line="360" w:lineRule="auto"/>
        <w:ind w:left="0" w:firstLine="566"/>
        <w:rPr>
          <w:bCs/>
          <w:color w:val="000000" w:themeColor="text1"/>
          <w:spacing w:val="-4"/>
          <w:sz w:val="28"/>
          <w:szCs w:val="28"/>
        </w:rPr>
      </w:pPr>
      <w:r>
        <w:rPr>
          <w:color w:val="000000" w:themeColor="text1"/>
          <w:sz w:val="28"/>
        </w:rPr>
        <w:t>《</w:t>
      </w:r>
      <w:r>
        <w:rPr>
          <w:bCs/>
          <w:color w:val="000000" w:themeColor="text1"/>
          <w:spacing w:val="-4"/>
          <w:sz w:val="28"/>
          <w:szCs w:val="28"/>
        </w:rPr>
        <w:t>石油天然气钻井、开发、储运防火防爆安全生产技术规程》（</w:t>
      </w:r>
      <w:r>
        <w:rPr>
          <w:bCs/>
          <w:color w:val="000000" w:themeColor="text1"/>
          <w:spacing w:val="-4"/>
          <w:sz w:val="28"/>
          <w:szCs w:val="28"/>
        </w:rPr>
        <w:t>SY/T5225-2019</w:t>
      </w:r>
      <w:r>
        <w:rPr>
          <w:bCs/>
          <w:color w:val="000000" w:themeColor="text1"/>
          <w:spacing w:val="-4"/>
          <w:sz w:val="28"/>
          <w:szCs w:val="28"/>
        </w:rPr>
        <w:t>）</w:t>
      </w:r>
    </w:p>
    <w:p w14:paraId="66FC07AE"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《井下作业安全规程》（</w:t>
      </w:r>
      <w:r>
        <w:rPr>
          <w:bCs/>
          <w:color w:val="000000" w:themeColor="text1"/>
          <w:spacing w:val="-4"/>
          <w:sz w:val="28"/>
          <w:szCs w:val="28"/>
        </w:rPr>
        <w:t>SY/T5727-2020</w:t>
      </w:r>
      <w:r>
        <w:rPr>
          <w:bCs/>
          <w:color w:val="000000" w:themeColor="text1"/>
          <w:spacing w:val="-4"/>
          <w:sz w:val="28"/>
          <w:szCs w:val="28"/>
        </w:rPr>
        <w:t>）</w:t>
      </w:r>
    </w:p>
    <w:p w14:paraId="6DBF88C2"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《石油天然气工业</w:t>
      </w:r>
      <w:r>
        <w:rPr>
          <w:bCs/>
          <w:color w:val="000000" w:themeColor="text1"/>
          <w:spacing w:val="-4"/>
          <w:sz w:val="28"/>
          <w:szCs w:val="28"/>
        </w:rPr>
        <w:t xml:space="preserve"> </w:t>
      </w:r>
      <w:r>
        <w:rPr>
          <w:bCs/>
          <w:color w:val="000000" w:themeColor="text1"/>
          <w:spacing w:val="-4"/>
          <w:sz w:val="28"/>
          <w:szCs w:val="28"/>
        </w:rPr>
        <w:t>健康、安全与环境管理体系》（</w:t>
      </w:r>
      <w:r>
        <w:rPr>
          <w:bCs/>
          <w:color w:val="000000" w:themeColor="text1"/>
          <w:spacing w:val="-4"/>
          <w:sz w:val="28"/>
          <w:szCs w:val="28"/>
        </w:rPr>
        <w:t>SY/T6276-2014</w:t>
      </w:r>
      <w:r>
        <w:rPr>
          <w:bCs/>
          <w:color w:val="000000" w:themeColor="text1"/>
          <w:spacing w:val="-4"/>
          <w:sz w:val="28"/>
          <w:szCs w:val="28"/>
        </w:rPr>
        <w:t>）</w:t>
      </w:r>
    </w:p>
    <w:p w14:paraId="67EE5F8D"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《油井堵水作业方法</w:t>
      </w:r>
      <w:r>
        <w:rPr>
          <w:bCs/>
          <w:color w:val="000000" w:themeColor="text1"/>
          <w:spacing w:val="-4"/>
          <w:sz w:val="28"/>
          <w:szCs w:val="28"/>
        </w:rPr>
        <w:t xml:space="preserve"> </w:t>
      </w:r>
      <w:r>
        <w:rPr>
          <w:bCs/>
          <w:color w:val="000000" w:themeColor="text1"/>
          <w:spacing w:val="-4"/>
          <w:sz w:val="28"/>
          <w:szCs w:val="28"/>
        </w:rPr>
        <w:t>水玻璃</w:t>
      </w:r>
      <w:r>
        <w:rPr>
          <w:bCs/>
          <w:color w:val="000000" w:themeColor="text1"/>
          <w:spacing w:val="-4"/>
          <w:sz w:val="28"/>
          <w:szCs w:val="28"/>
        </w:rPr>
        <w:t>-</w:t>
      </w:r>
      <w:r>
        <w:rPr>
          <w:bCs/>
          <w:color w:val="000000" w:themeColor="text1"/>
          <w:spacing w:val="-4"/>
          <w:sz w:val="28"/>
          <w:szCs w:val="28"/>
        </w:rPr>
        <w:t>氯化钙堵水及调剖工艺作法》（</w:t>
      </w:r>
      <w:r>
        <w:rPr>
          <w:bCs/>
          <w:color w:val="000000" w:themeColor="text1"/>
          <w:spacing w:val="-4"/>
          <w:sz w:val="28"/>
          <w:szCs w:val="28"/>
        </w:rPr>
        <w:t>SY/T5923-2012</w:t>
      </w:r>
      <w:r>
        <w:rPr>
          <w:bCs/>
          <w:color w:val="000000" w:themeColor="text1"/>
          <w:spacing w:val="-4"/>
          <w:sz w:val="28"/>
          <w:szCs w:val="28"/>
        </w:rPr>
        <w:t>）</w:t>
      </w:r>
    </w:p>
    <w:p w14:paraId="3ED4A5C6"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《防止静电、雷电和杂散电流引燃的措施》（</w:t>
      </w:r>
      <w:r>
        <w:rPr>
          <w:bCs/>
          <w:color w:val="000000" w:themeColor="text1"/>
          <w:spacing w:val="-4"/>
          <w:sz w:val="28"/>
          <w:szCs w:val="28"/>
        </w:rPr>
        <w:t>SY/T6319-2016</w:t>
      </w:r>
      <w:r>
        <w:rPr>
          <w:bCs/>
          <w:color w:val="000000" w:themeColor="text1"/>
          <w:spacing w:val="-4"/>
          <w:sz w:val="28"/>
          <w:szCs w:val="28"/>
        </w:rPr>
        <w:t>）</w:t>
      </w:r>
    </w:p>
    <w:p w14:paraId="7EE878F0"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《井下作业井控技术规程》（</w:t>
      </w:r>
      <w:r>
        <w:rPr>
          <w:bCs/>
          <w:color w:val="000000" w:themeColor="text1"/>
          <w:spacing w:val="-4"/>
          <w:sz w:val="28"/>
          <w:szCs w:val="28"/>
        </w:rPr>
        <w:t>SY/T6690-2016</w:t>
      </w:r>
      <w:r>
        <w:rPr>
          <w:bCs/>
          <w:color w:val="000000" w:themeColor="text1"/>
          <w:spacing w:val="-4"/>
          <w:sz w:val="28"/>
          <w:szCs w:val="28"/>
        </w:rPr>
        <w:t>）</w:t>
      </w:r>
    </w:p>
    <w:p w14:paraId="3774917D"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《石油天然气生产专用安全标志》（</w:t>
      </w:r>
      <w:r>
        <w:rPr>
          <w:bCs/>
          <w:color w:val="000000" w:themeColor="text1"/>
          <w:spacing w:val="-4"/>
          <w:sz w:val="28"/>
          <w:szCs w:val="28"/>
        </w:rPr>
        <w:t>SY/T6355-2017</w:t>
      </w:r>
      <w:r>
        <w:rPr>
          <w:bCs/>
          <w:color w:val="000000" w:themeColor="text1"/>
          <w:spacing w:val="-4"/>
          <w:sz w:val="28"/>
          <w:szCs w:val="28"/>
        </w:rPr>
        <w:t>）</w:t>
      </w:r>
    </w:p>
    <w:p w14:paraId="0DFE3D75"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《石油天然气作业场所劳动防护用品配备规范》（</w:t>
      </w:r>
      <w:r>
        <w:rPr>
          <w:bCs/>
          <w:color w:val="000000" w:themeColor="text1"/>
          <w:spacing w:val="-4"/>
          <w:sz w:val="28"/>
          <w:szCs w:val="28"/>
        </w:rPr>
        <w:t>SY/T6524-2017</w:t>
      </w:r>
      <w:r>
        <w:rPr>
          <w:bCs/>
          <w:color w:val="000000" w:themeColor="text1"/>
          <w:spacing w:val="-4"/>
          <w:sz w:val="28"/>
          <w:szCs w:val="28"/>
        </w:rPr>
        <w:t>）</w:t>
      </w:r>
    </w:p>
    <w:p w14:paraId="6D886B32"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《硫化氢环境人身防护规范》（</w:t>
      </w:r>
      <w:r>
        <w:rPr>
          <w:bCs/>
          <w:color w:val="000000" w:themeColor="text1"/>
          <w:spacing w:val="-4"/>
          <w:sz w:val="28"/>
          <w:szCs w:val="28"/>
        </w:rPr>
        <w:t>SY/T6277-2017</w:t>
      </w:r>
      <w:r>
        <w:rPr>
          <w:bCs/>
          <w:color w:val="000000" w:themeColor="text1"/>
          <w:spacing w:val="-4"/>
          <w:sz w:val="28"/>
          <w:szCs w:val="28"/>
        </w:rPr>
        <w:t>）</w:t>
      </w:r>
    </w:p>
    <w:p w14:paraId="25855820"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《油气井井喷着火抢险作法》（</w:t>
      </w:r>
      <w:r>
        <w:rPr>
          <w:bCs/>
          <w:color w:val="000000" w:themeColor="text1"/>
          <w:spacing w:val="-4"/>
          <w:sz w:val="28"/>
          <w:szCs w:val="28"/>
        </w:rPr>
        <w:t>SY/T6203-2014</w:t>
      </w:r>
      <w:r>
        <w:rPr>
          <w:bCs/>
          <w:color w:val="000000" w:themeColor="text1"/>
          <w:spacing w:val="-4"/>
          <w:sz w:val="28"/>
          <w:szCs w:val="28"/>
        </w:rPr>
        <w:t>）</w:t>
      </w:r>
    </w:p>
    <w:p w14:paraId="079279F4"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《石油天然气工程项目安全现状评价报告编写规则》（</w:t>
      </w:r>
      <w:r>
        <w:rPr>
          <w:bCs/>
          <w:color w:val="000000" w:themeColor="text1"/>
          <w:spacing w:val="-4"/>
          <w:sz w:val="28"/>
          <w:szCs w:val="28"/>
        </w:rPr>
        <w:t>SY/T6778-2010</w:t>
      </w:r>
      <w:r>
        <w:rPr>
          <w:bCs/>
          <w:color w:val="000000" w:themeColor="text1"/>
          <w:spacing w:val="-4"/>
          <w:sz w:val="28"/>
          <w:szCs w:val="28"/>
        </w:rPr>
        <w:t>）</w:t>
      </w:r>
    </w:p>
    <w:p w14:paraId="195D2D35"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《硫化氢防护安全培训规范》（</w:t>
      </w:r>
      <w:r>
        <w:rPr>
          <w:bCs/>
          <w:color w:val="000000" w:themeColor="text1"/>
          <w:spacing w:val="-4"/>
          <w:sz w:val="28"/>
          <w:szCs w:val="28"/>
        </w:rPr>
        <w:t>SY/T7356-2017</w:t>
      </w:r>
      <w:r>
        <w:rPr>
          <w:bCs/>
          <w:color w:val="000000" w:themeColor="text1"/>
          <w:spacing w:val="-4"/>
          <w:sz w:val="28"/>
          <w:szCs w:val="28"/>
        </w:rPr>
        <w:t>）</w:t>
      </w:r>
    </w:p>
    <w:p w14:paraId="269BFA23"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《硫化氢环境井下作业场所作业安全规范》（</w:t>
      </w:r>
      <w:r>
        <w:rPr>
          <w:bCs/>
          <w:color w:val="000000" w:themeColor="text1"/>
          <w:spacing w:val="-4"/>
          <w:sz w:val="28"/>
          <w:szCs w:val="28"/>
        </w:rPr>
        <w:t>SY/T6610-2017</w:t>
      </w:r>
      <w:r>
        <w:rPr>
          <w:bCs/>
          <w:color w:val="000000" w:themeColor="text1"/>
          <w:spacing w:val="-4"/>
          <w:sz w:val="28"/>
          <w:szCs w:val="28"/>
        </w:rPr>
        <w:t>）</w:t>
      </w:r>
    </w:p>
    <w:p w14:paraId="48D7C6D0"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《注水井调剖工艺及效果评价》（</w:t>
      </w:r>
      <w:r>
        <w:rPr>
          <w:bCs/>
          <w:color w:val="000000" w:themeColor="text1"/>
          <w:spacing w:val="-4"/>
          <w:sz w:val="28"/>
          <w:szCs w:val="28"/>
        </w:rPr>
        <w:t>SY/T5588-2012</w:t>
      </w:r>
      <w:r>
        <w:rPr>
          <w:bCs/>
          <w:color w:val="000000" w:themeColor="text1"/>
          <w:spacing w:val="-4"/>
          <w:sz w:val="28"/>
          <w:szCs w:val="28"/>
        </w:rPr>
        <w:t>）</w:t>
      </w:r>
    </w:p>
    <w:p w14:paraId="18F2F8F3"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lastRenderedPageBreak/>
        <w:t>《石油天然气工程总图设计规范》（</w:t>
      </w:r>
      <w:r>
        <w:rPr>
          <w:bCs/>
          <w:color w:val="000000" w:themeColor="text1"/>
          <w:spacing w:val="-4"/>
          <w:sz w:val="28"/>
          <w:szCs w:val="28"/>
        </w:rPr>
        <w:t>SY/T0048-2016</w:t>
      </w:r>
      <w:r>
        <w:rPr>
          <w:bCs/>
          <w:color w:val="000000" w:themeColor="text1"/>
          <w:spacing w:val="-4"/>
          <w:sz w:val="28"/>
          <w:szCs w:val="28"/>
        </w:rPr>
        <w:t>）</w:t>
      </w:r>
    </w:p>
    <w:p w14:paraId="3C453E85" w14:textId="77777777" w:rsidR="002D2AF8" w:rsidRDefault="00000000">
      <w:pPr>
        <w:pStyle w:val="18"/>
        <w:numPr>
          <w:ilvl w:val="0"/>
          <w:numId w:val="9"/>
        </w:numPr>
        <w:adjustRightInd w:val="0"/>
        <w:snapToGrid w:val="0"/>
        <w:spacing w:line="360" w:lineRule="auto"/>
        <w:ind w:left="0" w:firstLine="550"/>
        <w:rPr>
          <w:rFonts w:eastAsiaTheme="minorEastAsia"/>
          <w:bCs/>
          <w:color w:val="000000" w:themeColor="text1"/>
          <w:spacing w:val="-4"/>
          <w:sz w:val="28"/>
          <w:szCs w:val="28"/>
        </w:rPr>
      </w:pPr>
      <w:r>
        <w:rPr>
          <w:bCs/>
          <w:color w:val="000000" w:themeColor="text1"/>
          <w:spacing w:val="-4"/>
          <w:sz w:val="28"/>
          <w:szCs w:val="28"/>
        </w:rPr>
        <w:t>《</w:t>
      </w:r>
      <w:r>
        <w:rPr>
          <w:rFonts w:eastAsiaTheme="minorEastAsia"/>
          <w:color w:val="000000" w:themeColor="text1"/>
          <w:sz w:val="28"/>
          <w:szCs w:val="28"/>
        </w:rPr>
        <w:t>油井堵水效果评价方法</w:t>
      </w:r>
      <w:r>
        <w:rPr>
          <w:bCs/>
          <w:color w:val="000000" w:themeColor="text1"/>
          <w:spacing w:val="-4"/>
          <w:sz w:val="28"/>
          <w:szCs w:val="28"/>
        </w:rPr>
        <w:t>》（</w:t>
      </w:r>
      <w:r>
        <w:rPr>
          <w:rFonts w:eastAsiaTheme="minorEastAsia"/>
          <w:color w:val="000000" w:themeColor="text1"/>
          <w:sz w:val="28"/>
          <w:szCs w:val="28"/>
        </w:rPr>
        <w:t>SY/T5874-2021</w:t>
      </w:r>
      <w:r>
        <w:rPr>
          <w:bCs/>
          <w:color w:val="000000" w:themeColor="text1"/>
          <w:spacing w:val="-4"/>
          <w:sz w:val="28"/>
          <w:szCs w:val="28"/>
        </w:rPr>
        <w:t>）</w:t>
      </w:r>
    </w:p>
    <w:p w14:paraId="477C4FA7"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w:t>
      </w:r>
      <w:r>
        <w:rPr>
          <w:rFonts w:hint="eastAsia"/>
          <w:bCs/>
          <w:color w:val="000000" w:themeColor="text1"/>
          <w:spacing w:val="-4"/>
          <w:sz w:val="28"/>
          <w:szCs w:val="28"/>
        </w:rPr>
        <w:t>常规地层测试技术规程</w:t>
      </w:r>
      <w:r>
        <w:rPr>
          <w:bCs/>
          <w:color w:val="000000" w:themeColor="text1"/>
          <w:spacing w:val="-4"/>
          <w:sz w:val="28"/>
          <w:szCs w:val="28"/>
        </w:rPr>
        <w:t>》（</w:t>
      </w:r>
      <w:r>
        <w:rPr>
          <w:bCs/>
          <w:color w:val="000000" w:themeColor="text1"/>
          <w:spacing w:val="-4"/>
          <w:sz w:val="28"/>
          <w:szCs w:val="28"/>
        </w:rPr>
        <w:t>SY/T</w:t>
      </w:r>
      <w:r>
        <w:rPr>
          <w:rFonts w:hint="eastAsia"/>
          <w:bCs/>
          <w:color w:val="000000" w:themeColor="text1"/>
          <w:spacing w:val="-4"/>
          <w:sz w:val="28"/>
          <w:szCs w:val="28"/>
        </w:rPr>
        <w:t>5483</w:t>
      </w:r>
      <w:r>
        <w:rPr>
          <w:bCs/>
          <w:color w:val="000000" w:themeColor="text1"/>
          <w:spacing w:val="-4"/>
          <w:sz w:val="28"/>
          <w:szCs w:val="28"/>
        </w:rPr>
        <w:t>-201</w:t>
      </w:r>
      <w:r>
        <w:rPr>
          <w:rFonts w:hint="eastAsia"/>
          <w:bCs/>
          <w:color w:val="000000" w:themeColor="text1"/>
          <w:spacing w:val="-4"/>
          <w:sz w:val="28"/>
          <w:szCs w:val="28"/>
        </w:rPr>
        <w:t>7</w:t>
      </w:r>
      <w:r>
        <w:rPr>
          <w:bCs/>
          <w:color w:val="000000" w:themeColor="text1"/>
          <w:spacing w:val="-4"/>
          <w:sz w:val="28"/>
          <w:szCs w:val="28"/>
        </w:rPr>
        <w:t>）</w:t>
      </w:r>
    </w:p>
    <w:p w14:paraId="0708A39F"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《电缆式地层测试器作业技术规范》（</w:t>
      </w:r>
      <w:r>
        <w:rPr>
          <w:bCs/>
          <w:color w:val="000000" w:themeColor="text1"/>
          <w:spacing w:val="-4"/>
          <w:sz w:val="28"/>
          <w:szCs w:val="28"/>
        </w:rPr>
        <w:t>SY/T5692-2016</w:t>
      </w:r>
      <w:r>
        <w:rPr>
          <w:bCs/>
          <w:color w:val="000000" w:themeColor="text1"/>
          <w:spacing w:val="-4"/>
          <w:sz w:val="28"/>
          <w:szCs w:val="28"/>
        </w:rPr>
        <w:t>）</w:t>
      </w:r>
    </w:p>
    <w:p w14:paraId="7179B817"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rFonts w:hint="eastAsia"/>
          <w:bCs/>
          <w:color w:val="000000" w:themeColor="text1"/>
          <w:spacing w:val="-4"/>
          <w:sz w:val="28"/>
          <w:szCs w:val="28"/>
        </w:rPr>
        <w:t>《油井测试设备》（</w:t>
      </w:r>
      <w:r>
        <w:rPr>
          <w:rFonts w:hint="eastAsia"/>
          <w:bCs/>
          <w:color w:val="000000" w:themeColor="text1"/>
          <w:spacing w:val="-4"/>
          <w:sz w:val="28"/>
          <w:szCs w:val="28"/>
        </w:rPr>
        <w:t>SY/T5079-2014</w:t>
      </w:r>
      <w:r>
        <w:rPr>
          <w:rFonts w:hint="eastAsia"/>
          <w:bCs/>
          <w:color w:val="000000" w:themeColor="text1"/>
          <w:spacing w:val="-4"/>
          <w:sz w:val="28"/>
          <w:szCs w:val="28"/>
        </w:rPr>
        <w:t>）</w:t>
      </w:r>
    </w:p>
    <w:p w14:paraId="6598466F" w14:textId="77777777" w:rsidR="002D2AF8" w:rsidRDefault="00000000">
      <w:pPr>
        <w:pStyle w:val="18"/>
        <w:numPr>
          <w:ilvl w:val="0"/>
          <w:numId w:val="9"/>
        </w:numPr>
        <w:adjustRightInd w:val="0"/>
        <w:snapToGrid w:val="0"/>
        <w:spacing w:line="360" w:lineRule="auto"/>
        <w:ind w:firstLineChars="0"/>
        <w:rPr>
          <w:bCs/>
          <w:color w:val="000000" w:themeColor="text1"/>
          <w:spacing w:val="-4"/>
          <w:sz w:val="28"/>
          <w:szCs w:val="28"/>
        </w:rPr>
      </w:pPr>
      <w:r>
        <w:rPr>
          <w:bCs/>
          <w:color w:val="000000" w:themeColor="text1"/>
          <w:spacing w:val="-4"/>
          <w:sz w:val="28"/>
          <w:szCs w:val="28"/>
        </w:rPr>
        <w:t>《山东省劳动防护用品配备标准》（</w:t>
      </w:r>
      <w:r>
        <w:rPr>
          <w:bCs/>
          <w:color w:val="000000" w:themeColor="text1"/>
          <w:spacing w:val="-4"/>
          <w:sz w:val="28"/>
          <w:szCs w:val="28"/>
        </w:rPr>
        <w:t>DB37/1922-2011</w:t>
      </w:r>
      <w:r>
        <w:rPr>
          <w:bCs/>
          <w:color w:val="000000" w:themeColor="text1"/>
          <w:spacing w:val="-4"/>
          <w:sz w:val="28"/>
          <w:szCs w:val="28"/>
        </w:rPr>
        <w:t>）</w:t>
      </w:r>
    </w:p>
    <w:p w14:paraId="1DD308BD"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《非煤矿山企业安全生产风险分级管控体系细则》（</w:t>
      </w:r>
      <w:r>
        <w:rPr>
          <w:bCs/>
          <w:color w:val="000000" w:themeColor="text1"/>
          <w:spacing w:val="-4"/>
          <w:sz w:val="28"/>
          <w:szCs w:val="28"/>
        </w:rPr>
        <w:t>DB37/T2972-2017</w:t>
      </w:r>
      <w:r>
        <w:rPr>
          <w:bCs/>
          <w:color w:val="000000" w:themeColor="text1"/>
          <w:spacing w:val="-4"/>
          <w:sz w:val="28"/>
          <w:szCs w:val="28"/>
        </w:rPr>
        <w:t>）</w:t>
      </w:r>
    </w:p>
    <w:p w14:paraId="4402EA2A"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《非煤矿山企业生产安全事故隐患排查治理体系细则》（</w:t>
      </w:r>
      <w:r>
        <w:rPr>
          <w:bCs/>
          <w:color w:val="000000" w:themeColor="text1"/>
          <w:spacing w:val="-4"/>
          <w:sz w:val="28"/>
          <w:szCs w:val="28"/>
        </w:rPr>
        <w:t>DB37/T3013-2017</w:t>
      </w:r>
      <w:r>
        <w:rPr>
          <w:bCs/>
          <w:color w:val="000000" w:themeColor="text1"/>
          <w:spacing w:val="-4"/>
          <w:sz w:val="28"/>
          <w:szCs w:val="28"/>
        </w:rPr>
        <w:t>）</w:t>
      </w:r>
    </w:p>
    <w:p w14:paraId="3EDE2D3E"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《安全阀安全技术监察规程》（</w:t>
      </w:r>
      <w:r>
        <w:rPr>
          <w:bCs/>
          <w:color w:val="000000" w:themeColor="text1"/>
          <w:spacing w:val="-4"/>
          <w:sz w:val="28"/>
          <w:szCs w:val="28"/>
        </w:rPr>
        <w:t>TSG ZF001-2006</w:t>
      </w:r>
      <w:r>
        <w:rPr>
          <w:bCs/>
          <w:color w:val="000000" w:themeColor="text1"/>
          <w:spacing w:val="-4"/>
          <w:sz w:val="28"/>
          <w:szCs w:val="28"/>
        </w:rPr>
        <w:t>）</w:t>
      </w:r>
    </w:p>
    <w:p w14:paraId="6C7A7126" w14:textId="77777777" w:rsidR="002D2AF8" w:rsidRDefault="00000000">
      <w:pPr>
        <w:pStyle w:val="18"/>
        <w:numPr>
          <w:ilvl w:val="0"/>
          <w:numId w:val="9"/>
        </w:numPr>
        <w:adjustRightInd w:val="0"/>
        <w:snapToGrid w:val="0"/>
        <w:spacing w:line="360" w:lineRule="auto"/>
        <w:ind w:left="0" w:firstLine="550"/>
        <w:rPr>
          <w:bCs/>
          <w:color w:val="000000" w:themeColor="text1"/>
          <w:spacing w:val="-4"/>
          <w:sz w:val="28"/>
          <w:szCs w:val="28"/>
        </w:rPr>
      </w:pPr>
      <w:r>
        <w:rPr>
          <w:bCs/>
          <w:color w:val="000000" w:themeColor="text1"/>
          <w:spacing w:val="-4"/>
          <w:sz w:val="28"/>
          <w:szCs w:val="28"/>
        </w:rPr>
        <w:t>《</w:t>
      </w:r>
      <w:r>
        <w:rPr>
          <w:rFonts w:hint="eastAsia"/>
          <w:bCs/>
          <w:color w:val="000000" w:themeColor="text1"/>
          <w:spacing w:val="-4"/>
          <w:sz w:val="28"/>
          <w:szCs w:val="28"/>
        </w:rPr>
        <w:t>油田专用车辆通用技术条件</w:t>
      </w:r>
      <w:r>
        <w:rPr>
          <w:bCs/>
          <w:color w:val="000000" w:themeColor="text1"/>
          <w:spacing w:val="-4"/>
          <w:sz w:val="28"/>
          <w:szCs w:val="28"/>
        </w:rPr>
        <w:t>》</w:t>
      </w:r>
      <w:r>
        <w:rPr>
          <w:rFonts w:hint="eastAsia"/>
          <w:bCs/>
          <w:color w:val="000000" w:themeColor="text1"/>
          <w:spacing w:val="-4"/>
          <w:sz w:val="28"/>
          <w:szCs w:val="28"/>
        </w:rPr>
        <w:t>（</w:t>
      </w:r>
      <w:r>
        <w:rPr>
          <w:rFonts w:hint="eastAsia"/>
          <w:bCs/>
          <w:color w:val="000000" w:themeColor="text1"/>
          <w:spacing w:val="-4"/>
          <w:sz w:val="28"/>
          <w:szCs w:val="28"/>
        </w:rPr>
        <w:t>QCT739-2005</w:t>
      </w:r>
      <w:r>
        <w:rPr>
          <w:rFonts w:hint="eastAsia"/>
          <w:bCs/>
          <w:color w:val="000000" w:themeColor="text1"/>
          <w:spacing w:val="-4"/>
          <w:sz w:val="28"/>
          <w:szCs w:val="28"/>
        </w:rPr>
        <w:t>）</w:t>
      </w:r>
    </w:p>
    <w:p w14:paraId="30539F8A"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1.2.8 </w:t>
      </w:r>
      <w:r>
        <w:rPr>
          <w:rFonts w:eastAsia="黑体"/>
          <w:b w:val="0"/>
          <w:snapToGrid w:val="0"/>
          <w:color w:val="000000" w:themeColor="text1"/>
          <w:kern w:val="0"/>
          <w:sz w:val="28"/>
          <w:szCs w:val="28"/>
        </w:rPr>
        <w:t>工程有关技术文件</w:t>
      </w:r>
      <w:bookmarkEnd w:id="6"/>
    </w:p>
    <w:p w14:paraId="131C37CB"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1.</w:t>
      </w:r>
      <w:r>
        <w:rPr>
          <w:rFonts w:hint="eastAsia"/>
          <w:color w:val="000000" w:themeColor="text1"/>
          <w:sz w:val="28"/>
          <w:szCs w:val="28"/>
        </w:rPr>
        <w:t>胜利油田胜兴堵驱新技术开发有限责任公司</w:t>
      </w:r>
      <w:r>
        <w:rPr>
          <w:color w:val="000000" w:themeColor="text1"/>
          <w:sz w:val="28"/>
          <w:szCs w:val="28"/>
        </w:rPr>
        <w:t>井下作业</w:t>
      </w:r>
      <w:r>
        <w:rPr>
          <w:rFonts w:hint="eastAsia"/>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调剖等项目安全现状评价技术服务合同</w:t>
      </w:r>
      <w:r>
        <w:rPr>
          <w:snapToGrid w:val="0"/>
          <w:color w:val="000000" w:themeColor="text1"/>
          <w:kern w:val="0"/>
          <w:sz w:val="28"/>
        </w:rPr>
        <w:t>。</w:t>
      </w:r>
    </w:p>
    <w:p w14:paraId="3C95253D"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2.</w:t>
      </w:r>
      <w:r>
        <w:rPr>
          <w:rFonts w:hint="eastAsia"/>
          <w:color w:val="000000" w:themeColor="text1"/>
          <w:sz w:val="28"/>
          <w:szCs w:val="28"/>
        </w:rPr>
        <w:t>胜利油田胜兴堵驱新技术开发有限责任公司</w:t>
      </w:r>
      <w:r>
        <w:rPr>
          <w:snapToGrid w:val="0"/>
          <w:color w:val="000000" w:themeColor="text1"/>
          <w:kern w:val="0"/>
          <w:sz w:val="28"/>
        </w:rPr>
        <w:t>提供的有关文件、资料。</w:t>
      </w:r>
    </w:p>
    <w:p w14:paraId="40C25B5E" w14:textId="77777777" w:rsidR="002D2AF8" w:rsidRDefault="00000000">
      <w:pPr>
        <w:tabs>
          <w:tab w:val="left" w:pos="6120"/>
        </w:tabs>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3.</w:t>
      </w:r>
      <w:r>
        <w:rPr>
          <w:snapToGrid w:val="0"/>
          <w:color w:val="000000" w:themeColor="text1"/>
          <w:kern w:val="0"/>
          <w:sz w:val="28"/>
        </w:rPr>
        <w:t>其他与该工程安全评价有关的技术资料。</w:t>
      </w:r>
    </w:p>
    <w:p w14:paraId="7B38068D"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7" w:name="_Toc202759399"/>
      <w:bookmarkStart w:id="8" w:name="_Toc29491"/>
      <w:r>
        <w:rPr>
          <w:rFonts w:ascii="Times New Roman" w:hAnsi="Times New Roman"/>
          <w:b w:val="0"/>
          <w:bCs/>
          <w:color w:val="000000" w:themeColor="text1"/>
          <w:szCs w:val="32"/>
        </w:rPr>
        <w:t xml:space="preserve">1.3 </w:t>
      </w:r>
      <w:r>
        <w:rPr>
          <w:rFonts w:ascii="Times New Roman" w:hAnsi="Times New Roman"/>
          <w:b w:val="0"/>
          <w:bCs/>
          <w:color w:val="000000" w:themeColor="text1"/>
          <w:szCs w:val="32"/>
        </w:rPr>
        <w:t>评价范围</w:t>
      </w:r>
      <w:bookmarkEnd w:id="7"/>
      <w:bookmarkEnd w:id="8"/>
    </w:p>
    <w:p w14:paraId="2F605485" w14:textId="77777777" w:rsidR="002D2AF8" w:rsidRDefault="00000000">
      <w:pPr>
        <w:adjustRightInd w:val="0"/>
        <w:snapToGrid w:val="0"/>
        <w:spacing w:line="360" w:lineRule="auto"/>
        <w:ind w:firstLine="570"/>
        <w:rPr>
          <w:color w:val="000000" w:themeColor="text1"/>
          <w:sz w:val="28"/>
          <w:szCs w:val="28"/>
        </w:rPr>
      </w:pPr>
      <w:r>
        <w:rPr>
          <w:color w:val="000000" w:themeColor="text1"/>
          <w:sz w:val="28"/>
          <w:szCs w:val="28"/>
        </w:rPr>
        <w:t>根据企业石油天然气服务业务情况，并与企业协商确定，本次评价范围为</w:t>
      </w:r>
      <w:r>
        <w:rPr>
          <w:rFonts w:hint="eastAsia"/>
          <w:color w:val="000000" w:themeColor="text1"/>
          <w:sz w:val="28"/>
          <w:szCs w:val="28"/>
        </w:rPr>
        <w:t>胜利油田胜兴堵驱新技术开发有限责任公司</w:t>
      </w:r>
      <w:r>
        <w:rPr>
          <w:color w:val="000000" w:themeColor="text1"/>
          <w:sz w:val="28"/>
          <w:szCs w:val="28"/>
        </w:rPr>
        <w:t>的井下作业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调剖项目（不涉及海上作业）有关的设施、设备的实际运行状况以及安全管理状况，</w:t>
      </w:r>
      <w:r>
        <w:rPr>
          <w:color w:val="000000" w:themeColor="text1"/>
          <w:kern w:val="0"/>
          <w:sz w:val="28"/>
          <w:szCs w:val="28"/>
        </w:rPr>
        <w:t>通过对危险有害因素和企业现有的安全技术设施的分析，确定</w:t>
      </w:r>
      <w:r>
        <w:rPr>
          <w:rFonts w:hint="eastAsia"/>
          <w:color w:val="000000" w:themeColor="text1"/>
          <w:kern w:val="0"/>
          <w:sz w:val="28"/>
          <w:szCs w:val="28"/>
        </w:rPr>
        <w:t>胜兴堵驱公司</w:t>
      </w:r>
      <w:r>
        <w:rPr>
          <w:color w:val="000000" w:themeColor="text1"/>
          <w:kern w:val="0"/>
          <w:sz w:val="28"/>
          <w:szCs w:val="28"/>
        </w:rPr>
        <w:t>是否具备从事</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w:t>
      </w:r>
      <w:r>
        <w:rPr>
          <w:color w:val="000000" w:themeColor="text1"/>
          <w:kern w:val="0"/>
          <w:sz w:val="28"/>
          <w:szCs w:val="28"/>
        </w:rPr>
        <w:t>的各项安全生产条件</w:t>
      </w:r>
      <w:r>
        <w:rPr>
          <w:color w:val="000000" w:themeColor="text1"/>
          <w:sz w:val="28"/>
          <w:szCs w:val="28"/>
        </w:rPr>
        <w:t>。</w:t>
      </w:r>
    </w:p>
    <w:p w14:paraId="1D97518D" w14:textId="77777777" w:rsidR="002D2AF8" w:rsidRDefault="00000000">
      <w:pPr>
        <w:adjustRightInd w:val="0"/>
        <w:snapToGrid w:val="0"/>
        <w:spacing w:line="360" w:lineRule="auto"/>
        <w:ind w:firstLine="570"/>
        <w:rPr>
          <w:color w:val="000000" w:themeColor="text1"/>
          <w:sz w:val="28"/>
          <w:szCs w:val="28"/>
        </w:rPr>
      </w:pPr>
      <w:r>
        <w:rPr>
          <w:color w:val="000000" w:themeColor="text1"/>
          <w:sz w:val="28"/>
          <w:szCs w:val="28"/>
        </w:rPr>
        <w:lastRenderedPageBreak/>
        <w:t>具体评价范围如表</w:t>
      </w:r>
      <w:r>
        <w:rPr>
          <w:color w:val="000000" w:themeColor="text1"/>
          <w:sz w:val="28"/>
          <w:szCs w:val="28"/>
        </w:rPr>
        <w:t>1-1</w:t>
      </w:r>
      <w:r>
        <w:rPr>
          <w:color w:val="000000" w:themeColor="text1"/>
          <w:sz w:val="28"/>
          <w:szCs w:val="28"/>
        </w:rPr>
        <w:t>所示：</w:t>
      </w:r>
    </w:p>
    <w:p w14:paraId="512062E4" w14:textId="77777777" w:rsidR="002D2AF8" w:rsidRDefault="00000000">
      <w:pPr>
        <w:pStyle w:val="NormalIndent1"/>
        <w:adjustRightInd w:val="0"/>
        <w:snapToGrid w:val="0"/>
        <w:spacing w:line="360" w:lineRule="auto"/>
        <w:ind w:firstLineChars="0" w:firstLine="0"/>
        <w:jc w:val="center"/>
        <w:rPr>
          <w:b/>
          <w:bCs/>
          <w:color w:val="000000" w:themeColor="text1"/>
          <w:sz w:val="24"/>
        </w:rPr>
      </w:pPr>
      <w:r>
        <w:rPr>
          <w:b/>
          <w:bCs/>
          <w:color w:val="000000" w:themeColor="text1"/>
          <w:sz w:val="24"/>
        </w:rPr>
        <w:t>表</w:t>
      </w:r>
      <w:r>
        <w:rPr>
          <w:b/>
          <w:bCs/>
          <w:color w:val="000000" w:themeColor="text1"/>
          <w:sz w:val="24"/>
        </w:rPr>
        <w:t>1-1</w:t>
      </w:r>
      <w:r>
        <w:rPr>
          <w:b/>
          <w:bCs/>
          <w:color w:val="000000" w:themeColor="text1"/>
          <w:sz w:val="24"/>
        </w:rPr>
        <w:t>评价范围一览表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482"/>
        <w:gridCol w:w="5063"/>
        <w:gridCol w:w="1968"/>
      </w:tblGrid>
      <w:tr w:rsidR="002D2AF8" w14:paraId="264DA74D" w14:textId="77777777">
        <w:trPr>
          <w:trHeight w:val="23"/>
          <w:tblHeader/>
          <w:jc w:val="center"/>
        </w:trPr>
        <w:tc>
          <w:tcPr>
            <w:tcW w:w="870" w:type="pct"/>
            <w:tcBorders>
              <w:tl2br w:val="nil"/>
              <w:tr2bl w:val="nil"/>
            </w:tcBorders>
            <w:vAlign w:val="center"/>
          </w:tcPr>
          <w:p w14:paraId="627EA868" w14:textId="77777777" w:rsidR="002D2AF8" w:rsidRDefault="00000000">
            <w:pPr>
              <w:adjustRightInd w:val="0"/>
              <w:snapToGrid w:val="0"/>
              <w:spacing w:beforeLines="20" w:before="65" w:afterLines="20" w:after="65"/>
              <w:jc w:val="center"/>
              <w:rPr>
                <w:b/>
                <w:color w:val="000000" w:themeColor="text1"/>
                <w:kern w:val="0"/>
                <w:szCs w:val="21"/>
              </w:rPr>
            </w:pPr>
            <w:r>
              <w:rPr>
                <w:b/>
                <w:color w:val="000000" w:themeColor="text1"/>
                <w:kern w:val="0"/>
                <w:szCs w:val="21"/>
              </w:rPr>
              <w:t>项目类型</w:t>
            </w:r>
          </w:p>
        </w:tc>
        <w:tc>
          <w:tcPr>
            <w:tcW w:w="2972" w:type="pct"/>
            <w:tcBorders>
              <w:tl2br w:val="nil"/>
              <w:tr2bl w:val="nil"/>
            </w:tcBorders>
            <w:vAlign w:val="center"/>
          </w:tcPr>
          <w:p w14:paraId="300F86FB" w14:textId="77777777" w:rsidR="002D2AF8" w:rsidRDefault="00000000">
            <w:pPr>
              <w:adjustRightInd w:val="0"/>
              <w:snapToGrid w:val="0"/>
              <w:spacing w:beforeLines="20" w:before="65" w:afterLines="20" w:after="65"/>
              <w:jc w:val="center"/>
              <w:rPr>
                <w:b/>
                <w:color w:val="000000" w:themeColor="text1"/>
                <w:kern w:val="0"/>
                <w:szCs w:val="21"/>
              </w:rPr>
            </w:pPr>
            <w:r>
              <w:rPr>
                <w:b/>
                <w:color w:val="000000" w:themeColor="text1"/>
                <w:kern w:val="0"/>
                <w:szCs w:val="21"/>
              </w:rPr>
              <w:t>具体内容</w:t>
            </w:r>
          </w:p>
        </w:tc>
        <w:tc>
          <w:tcPr>
            <w:tcW w:w="1156" w:type="pct"/>
            <w:tcBorders>
              <w:tl2br w:val="nil"/>
              <w:tr2bl w:val="nil"/>
            </w:tcBorders>
            <w:vAlign w:val="center"/>
          </w:tcPr>
          <w:p w14:paraId="5EBA25EC" w14:textId="77777777" w:rsidR="002D2AF8" w:rsidRDefault="00000000">
            <w:pPr>
              <w:adjustRightInd w:val="0"/>
              <w:snapToGrid w:val="0"/>
              <w:spacing w:beforeLines="20" w:before="65" w:afterLines="20" w:after="65"/>
              <w:jc w:val="center"/>
              <w:rPr>
                <w:b/>
                <w:color w:val="000000" w:themeColor="text1"/>
                <w:kern w:val="0"/>
                <w:szCs w:val="21"/>
              </w:rPr>
            </w:pPr>
            <w:r>
              <w:rPr>
                <w:b/>
                <w:color w:val="000000" w:themeColor="text1"/>
                <w:kern w:val="0"/>
                <w:szCs w:val="21"/>
              </w:rPr>
              <w:t>备注</w:t>
            </w:r>
          </w:p>
        </w:tc>
      </w:tr>
      <w:tr w:rsidR="002D2AF8" w14:paraId="57BFC66F" w14:textId="77777777">
        <w:trPr>
          <w:cantSplit/>
          <w:jc w:val="center"/>
        </w:trPr>
        <w:tc>
          <w:tcPr>
            <w:tcW w:w="870" w:type="pct"/>
            <w:tcBorders>
              <w:tl2br w:val="nil"/>
              <w:tr2bl w:val="nil"/>
            </w:tcBorders>
            <w:vAlign w:val="center"/>
          </w:tcPr>
          <w:p w14:paraId="0C18034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石油天然气服务业务</w:t>
            </w:r>
          </w:p>
        </w:tc>
        <w:tc>
          <w:tcPr>
            <w:tcW w:w="2972" w:type="pct"/>
            <w:tcBorders>
              <w:tl2br w:val="nil"/>
              <w:tr2bl w:val="nil"/>
            </w:tcBorders>
            <w:vAlign w:val="center"/>
          </w:tcPr>
          <w:p w14:paraId="1042672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井下作业</w:t>
            </w:r>
            <w:r>
              <w:rPr>
                <w:color w:val="000000" w:themeColor="text1"/>
                <w:szCs w:val="21"/>
              </w:rPr>
              <w:t>-</w:t>
            </w:r>
            <w:r>
              <w:rPr>
                <w:color w:val="000000" w:themeColor="text1"/>
                <w:szCs w:val="21"/>
              </w:rPr>
              <w:t>测试、堵水</w:t>
            </w:r>
            <w:r>
              <w:rPr>
                <w:color w:val="000000" w:themeColor="text1"/>
                <w:szCs w:val="21"/>
              </w:rPr>
              <w:t>/</w:t>
            </w:r>
            <w:r>
              <w:rPr>
                <w:color w:val="000000" w:themeColor="text1"/>
                <w:szCs w:val="21"/>
              </w:rPr>
              <w:t>调剖</w:t>
            </w:r>
          </w:p>
        </w:tc>
        <w:tc>
          <w:tcPr>
            <w:tcW w:w="1156" w:type="pct"/>
            <w:tcBorders>
              <w:tl2br w:val="nil"/>
              <w:tr2bl w:val="nil"/>
            </w:tcBorders>
            <w:vAlign w:val="center"/>
          </w:tcPr>
          <w:p w14:paraId="5E7C0B06" w14:textId="77777777" w:rsidR="002D2AF8" w:rsidRDefault="002D2AF8">
            <w:pPr>
              <w:adjustRightInd w:val="0"/>
              <w:snapToGrid w:val="0"/>
              <w:spacing w:beforeLines="20" w:before="65" w:afterLines="20" w:after="65"/>
              <w:jc w:val="center"/>
              <w:rPr>
                <w:color w:val="000000" w:themeColor="text1"/>
                <w:szCs w:val="21"/>
              </w:rPr>
            </w:pPr>
          </w:p>
        </w:tc>
      </w:tr>
      <w:tr w:rsidR="002D2AF8" w14:paraId="550D8E4F" w14:textId="77777777">
        <w:trPr>
          <w:cantSplit/>
          <w:jc w:val="center"/>
        </w:trPr>
        <w:tc>
          <w:tcPr>
            <w:tcW w:w="870" w:type="pct"/>
            <w:tcBorders>
              <w:tl2br w:val="nil"/>
              <w:tr2bl w:val="nil"/>
            </w:tcBorders>
            <w:shd w:val="clear" w:color="auto" w:fill="FFFFFF"/>
            <w:vAlign w:val="center"/>
          </w:tcPr>
          <w:p w14:paraId="732C87AF" w14:textId="77777777" w:rsidR="002D2AF8" w:rsidRDefault="00000000">
            <w:pPr>
              <w:jc w:val="center"/>
              <w:textAlignment w:val="center"/>
              <w:rPr>
                <w:color w:val="000000" w:themeColor="text1"/>
                <w:szCs w:val="21"/>
              </w:rPr>
            </w:pPr>
            <w:r>
              <w:rPr>
                <w:color w:val="000000" w:themeColor="text1"/>
                <w:szCs w:val="21"/>
              </w:rPr>
              <w:t>组织机构</w:t>
            </w:r>
          </w:p>
        </w:tc>
        <w:tc>
          <w:tcPr>
            <w:tcW w:w="2972" w:type="pct"/>
            <w:tcBorders>
              <w:tl2br w:val="nil"/>
              <w:tr2bl w:val="nil"/>
            </w:tcBorders>
            <w:shd w:val="clear" w:color="auto" w:fill="FFFFFF"/>
            <w:vAlign w:val="center"/>
          </w:tcPr>
          <w:p w14:paraId="0E5E2BFB" w14:textId="77777777" w:rsidR="002D2AF8" w:rsidRDefault="00000000">
            <w:pPr>
              <w:textAlignment w:val="center"/>
              <w:rPr>
                <w:color w:val="000000" w:themeColor="text1"/>
                <w:szCs w:val="21"/>
              </w:rPr>
            </w:pPr>
            <w:r>
              <w:rPr>
                <w:rFonts w:hint="eastAsia"/>
                <w:color w:val="000000" w:themeColor="text1"/>
                <w:szCs w:val="21"/>
              </w:rPr>
              <w:t>胜利油田胜兴堵驱新技术开发有限责任公司</w:t>
            </w:r>
            <w:r>
              <w:rPr>
                <w:color w:val="000000" w:themeColor="text1"/>
                <w:szCs w:val="21"/>
              </w:rPr>
              <w:t>的领导层、综合管理部、技术开发部、生产管理部、安全办公室等以及</w:t>
            </w:r>
            <w:r>
              <w:rPr>
                <w:rFonts w:hint="eastAsia"/>
                <w:color w:val="000000" w:themeColor="text1"/>
                <w:szCs w:val="21"/>
              </w:rPr>
              <w:t>堵调测试队</w:t>
            </w:r>
            <w:r>
              <w:rPr>
                <w:color w:val="000000" w:themeColor="text1"/>
                <w:szCs w:val="21"/>
              </w:rPr>
              <w:t>。</w:t>
            </w:r>
          </w:p>
        </w:tc>
        <w:tc>
          <w:tcPr>
            <w:tcW w:w="1156" w:type="pct"/>
            <w:tcBorders>
              <w:tl2br w:val="nil"/>
              <w:tr2bl w:val="nil"/>
            </w:tcBorders>
            <w:shd w:val="clear" w:color="auto" w:fill="FFFFFF"/>
            <w:vAlign w:val="center"/>
          </w:tcPr>
          <w:p w14:paraId="4DC9E2C5" w14:textId="77777777" w:rsidR="002D2AF8" w:rsidRDefault="00000000">
            <w:pPr>
              <w:jc w:val="center"/>
              <w:textAlignment w:val="center"/>
              <w:rPr>
                <w:color w:val="000000" w:themeColor="text1"/>
                <w:kern w:val="0"/>
                <w:sz w:val="24"/>
              </w:rPr>
            </w:pPr>
            <w:r>
              <w:rPr>
                <w:color w:val="000000" w:themeColor="text1"/>
                <w:szCs w:val="21"/>
              </w:rPr>
              <w:t>组织机构及基层队伍详细情况见第</w:t>
            </w:r>
            <w:r>
              <w:rPr>
                <w:color w:val="000000" w:themeColor="text1"/>
                <w:szCs w:val="21"/>
              </w:rPr>
              <w:t>2.2</w:t>
            </w:r>
            <w:r>
              <w:rPr>
                <w:color w:val="000000" w:themeColor="text1"/>
                <w:szCs w:val="21"/>
              </w:rPr>
              <w:t>及</w:t>
            </w:r>
            <w:r>
              <w:rPr>
                <w:color w:val="000000" w:themeColor="text1"/>
                <w:szCs w:val="21"/>
              </w:rPr>
              <w:t>2.3.3</w:t>
            </w:r>
            <w:r>
              <w:rPr>
                <w:color w:val="000000" w:themeColor="text1"/>
                <w:szCs w:val="21"/>
              </w:rPr>
              <w:t>节。</w:t>
            </w:r>
          </w:p>
        </w:tc>
      </w:tr>
      <w:tr w:rsidR="002D2AF8" w14:paraId="5677FC8E" w14:textId="77777777">
        <w:trPr>
          <w:cantSplit/>
          <w:jc w:val="center"/>
        </w:trPr>
        <w:tc>
          <w:tcPr>
            <w:tcW w:w="870" w:type="pct"/>
            <w:tcBorders>
              <w:tl2br w:val="nil"/>
              <w:tr2bl w:val="nil"/>
            </w:tcBorders>
            <w:shd w:val="clear" w:color="auto" w:fill="FFFFFF"/>
            <w:vAlign w:val="center"/>
          </w:tcPr>
          <w:p w14:paraId="04195860" w14:textId="77777777" w:rsidR="002D2AF8" w:rsidRDefault="00000000">
            <w:pPr>
              <w:jc w:val="center"/>
              <w:textAlignment w:val="center"/>
              <w:rPr>
                <w:color w:val="000000" w:themeColor="text1"/>
                <w:szCs w:val="21"/>
              </w:rPr>
            </w:pPr>
            <w:r>
              <w:rPr>
                <w:color w:val="000000" w:themeColor="text1"/>
                <w:szCs w:val="21"/>
              </w:rPr>
              <w:t>作业区域</w:t>
            </w:r>
          </w:p>
        </w:tc>
        <w:tc>
          <w:tcPr>
            <w:tcW w:w="2972" w:type="pct"/>
            <w:tcBorders>
              <w:tl2br w:val="nil"/>
              <w:tr2bl w:val="nil"/>
            </w:tcBorders>
            <w:shd w:val="clear" w:color="auto" w:fill="FFFFFF"/>
            <w:vAlign w:val="center"/>
          </w:tcPr>
          <w:p w14:paraId="5B600F06" w14:textId="77777777" w:rsidR="002D2AF8" w:rsidRDefault="00000000">
            <w:pPr>
              <w:jc w:val="center"/>
              <w:textAlignment w:val="center"/>
              <w:rPr>
                <w:color w:val="000000" w:themeColor="text1"/>
                <w:szCs w:val="21"/>
              </w:rPr>
            </w:pPr>
            <w:r>
              <w:rPr>
                <w:color w:val="000000" w:themeColor="text1"/>
                <w:szCs w:val="21"/>
              </w:rPr>
              <w:t>胜利</w:t>
            </w:r>
            <w:r>
              <w:rPr>
                <w:rFonts w:hint="eastAsia"/>
                <w:color w:val="000000" w:themeColor="text1"/>
                <w:szCs w:val="21"/>
              </w:rPr>
              <w:t>采油厂</w:t>
            </w:r>
            <w:r>
              <w:rPr>
                <w:color w:val="000000" w:themeColor="text1"/>
                <w:szCs w:val="21"/>
              </w:rPr>
              <w:t>区域内</w:t>
            </w:r>
          </w:p>
        </w:tc>
        <w:tc>
          <w:tcPr>
            <w:tcW w:w="1156" w:type="pct"/>
            <w:tcBorders>
              <w:tl2br w:val="nil"/>
              <w:tr2bl w:val="nil"/>
            </w:tcBorders>
            <w:shd w:val="clear" w:color="auto" w:fill="FFFFFF"/>
            <w:vAlign w:val="center"/>
          </w:tcPr>
          <w:p w14:paraId="0F2D4335" w14:textId="77777777" w:rsidR="002D2AF8" w:rsidRDefault="002D2AF8">
            <w:pPr>
              <w:jc w:val="center"/>
              <w:textAlignment w:val="center"/>
              <w:rPr>
                <w:color w:val="000000" w:themeColor="text1"/>
                <w:kern w:val="0"/>
                <w:sz w:val="24"/>
              </w:rPr>
            </w:pPr>
          </w:p>
        </w:tc>
      </w:tr>
      <w:tr w:rsidR="002D2AF8" w14:paraId="245A506D" w14:textId="77777777">
        <w:trPr>
          <w:cantSplit/>
          <w:trHeight w:val="885"/>
          <w:jc w:val="center"/>
        </w:trPr>
        <w:tc>
          <w:tcPr>
            <w:tcW w:w="870" w:type="pct"/>
            <w:tcBorders>
              <w:tl2br w:val="nil"/>
              <w:tr2bl w:val="nil"/>
            </w:tcBorders>
            <w:shd w:val="clear" w:color="auto" w:fill="FFFFFF"/>
            <w:vAlign w:val="center"/>
          </w:tcPr>
          <w:p w14:paraId="5420A52F" w14:textId="77777777" w:rsidR="002D2AF8" w:rsidRDefault="00000000">
            <w:pPr>
              <w:jc w:val="center"/>
              <w:textAlignment w:val="center"/>
              <w:rPr>
                <w:color w:val="000000" w:themeColor="text1"/>
                <w:szCs w:val="21"/>
              </w:rPr>
            </w:pPr>
            <w:r>
              <w:rPr>
                <w:color w:val="000000" w:themeColor="text1"/>
                <w:szCs w:val="21"/>
              </w:rPr>
              <w:t>主要作业流程</w:t>
            </w:r>
          </w:p>
        </w:tc>
        <w:tc>
          <w:tcPr>
            <w:tcW w:w="2972" w:type="pct"/>
            <w:tcBorders>
              <w:tl2br w:val="nil"/>
              <w:tr2bl w:val="nil"/>
            </w:tcBorders>
            <w:shd w:val="clear" w:color="auto" w:fill="FFFFFF"/>
            <w:vAlign w:val="center"/>
          </w:tcPr>
          <w:p w14:paraId="036DCE80" w14:textId="77777777" w:rsidR="002D2AF8" w:rsidRDefault="00000000">
            <w:pPr>
              <w:jc w:val="center"/>
              <w:textAlignment w:val="center"/>
              <w:rPr>
                <w:color w:val="000000" w:themeColor="text1"/>
                <w:szCs w:val="21"/>
              </w:rPr>
            </w:pPr>
            <w:r>
              <w:rPr>
                <w:color w:val="000000" w:themeColor="text1"/>
                <w:szCs w:val="21"/>
              </w:rPr>
              <w:t>人员、设备、材料进入井场；现场井下作业（测试、堵水</w:t>
            </w:r>
            <w:r>
              <w:rPr>
                <w:color w:val="000000" w:themeColor="text1"/>
                <w:szCs w:val="21"/>
              </w:rPr>
              <w:t>/</w:t>
            </w:r>
            <w:r>
              <w:rPr>
                <w:color w:val="000000" w:themeColor="text1"/>
                <w:szCs w:val="21"/>
              </w:rPr>
              <w:t>调剖）；清理井场，人员、设备离场。</w:t>
            </w:r>
          </w:p>
        </w:tc>
        <w:tc>
          <w:tcPr>
            <w:tcW w:w="1156" w:type="pct"/>
            <w:tcBorders>
              <w:tl2br w:val="nil"/>
              <w:tr2bl w:val="nil"/>
            </w:tcBorders>
            <w:shd w:val="clear" w:color="auto" w:fill="FFFFFF"/>
            <w:vAlign w:val="center"/>
          </w:tcPr>
          <w:p w14:paraId="2697B07C" w14:textId="77777777" w:rsidR="002D2AF8" w:rsidRDefault="00000000">
            <w:pPr>
              <w:jc w:val="center"/>
              <w:textAlignment w:val="center"/>
              <w:rPr>
                <w:color w:val="000000" w:themeColor="text1"/>
                <w:kern w:val="0"/>
                <w:sz w:val="24"/>
              </w:rPr>
            </w:pPr>
            <w:r>
              <w:rPr>
                <w:color w:val="000000" w:themeColor="text1"/>
                <w:szCs w:val="21"/>
              </w:rPr>
              <w:t>详细作业流程见报告第</w:t>
            </w:r>
            <w:r>
              <w:rPr>
                <w:color w:val="000000" w:themeColor="text1"/>
                <w:szCs w:val="21"/>
              </w:rPr>
              <w:t>2.3.2</w:t>
            </w:r>
            <w:r>
              <w:rPr>
                <w:color w:val="000000" w:themeColor="text1"/>
                <w:szCs w:val="21"/>
              </w:rPr>
              <w:t>节</w:t>
            </w:r>
          </w:p>
        </w:tc>
      </w:tr>
      <w:tr w:rsidR="002D2AF8" w14:paraId="40E6BCCE" w14:textId="77777777">
        <w:trPr>
          <w:cantSplit/>
          <w:trHeight w:val="93"/>
          <w:jc w:val="center"/>
        </w:trPr>
        <w:tc>
          <w:tcPr>
            <w:tcW w:w="870" w:type="pct"/>
            <w:vMerge w:val="restart"/>
            <w:tcBorders>
              <w:tl2br w:val="nil"/>
              <w:tr2bl w:val="nil"/>
            </w:tcBorders>
            <w:shd w:val="clear" w:color="auto" w:fill="FFFFFF"/>
            <w:vAlign w:val="center"/>
          </w:tcPr>
          <w:p w14:paraId="37CC3519" w14:textId="77777777" w:rsidR="002D2AF8" w:rsidRDefault="00000000">
            <w:pPr>
              <w:jc w:val="center"/>
              <w:textAlignment w:val="center"/>
              <w:rPr>
                <w:color w:val="000000" w:themeColor="text1"/>
                <w:szCs w:val="21"/>
              </w:rPr>
            </w:pPr>
            <w:r>
              <w:rPr>
                <w:color w:val="000000" w:themeColor="text1"/>
                <w:szCs w:val="21"/>
              </w:rPr>
              <w:t>主要设备设施</w:t>
            </w:r>
          </w:p>
        </w:tc>
        <w:tc>
          <w:tcPr>
            <w:tcW w:w="2972" w:type="pct"/>
            <w:tcBorders>
              <w:tl2br w:val="nil"/>
              <w:tr2bl w:val="nil"/>
            </w:tcBorders>
            <w:shd w:val="clear" w:color="auto" w:fill="FFFFFF"/>
            <w:vAlign w:val="center"/>
          </w:tcPr>
          <w:p w14:paraId="301DCF35" w14:textId="77777777" w:rsidR="002D2AF8" w:rsidRDefault="00000000">
            <w:pPr>
              <w:jc w:val="center"/>
              <w:textAlignment w:val="center"/>
              <w:rPr>
                <w:color w:val="000000" w:themeColor="text1"/>
                <w:szCs w:val="21"/>
              </w:rPr>
            </w:pPr>
            <w:r>
              <w:rPr>
                <w:color w:val="000000" w:themeColor="text1"/>
                <w:szCs w:val="21"/>
              </w:rPr>
              <w:t>测试：测</w:t>
            </w:r>
            <w:r>
              <w:rPr>
                <w:rFonts w:hint="eastAsia"/>
                <w:color w:val="000000" w:themeColor="text1"/>
                <w:szCs w:val="21"/>
              </w:rPr>
              <w:t>试</w:t>
            </w:r>
            <w:r>
              <w:rPr>
                <w:color w:val="000000" w:themeColor="text1"/>
                <w:szCs w:val="21"/>
              </w:rPr>
              <w:t>车、</w:t>
            </w:r>
            <w:r>
              <w:rPr>
                <w:rFonts w:hint="eastAsia"/>
                <w:color w:val="000000" w:themeColor="text1"/>
                <w:szCs w:val="21"/>
              </w:rPr>
              <w:t>测试</w:t>
            </w:r>
            <w:r>
              <w:rPr>
                <w:color w:val="000000" w:themeColor="text1"/>
                <w:szCs w:val="21"/>
              </w:rPr>
              <w:t>仪等。</w:t>
            </w:r>
          </w:p>
        </w:tc>
        <w:tc>
          <w:tcPr>
            <w:tcW w:w="1156" w:type="pct"/>
            <w:vMerge w:val="restart"/>
            <w:tcBorders>
              <w:tl2br w:val="nil"/>
              <w:tr2bl w:val="nil"/>
            </w:tcBorders>
            <w:shd w:val="clear" w:color="auto" w:fill="FFFFFF"/>
            <w:vAlign w:val="center"/>
          </w:tcPr>
          <w:p w14:paraId="02A2F6E7" w14:textId="77777777" w:rsidR="002D2AF8" w:rsidRDefault="00000000">
            <w:pPr>
              <w:jc w:val="center"/>
              <w:textAlignment w:val="center"/>
              <w:rPr>
                <w:color w:val="000000" w:themeColor="text1"/>
                <w:szCs w:val="21"/>
              </w:rPr>
            </w:pPr>
            <w:r>
              <w:rPr>
                <w:color w:val="000000" w:themeColor="text1"/>
                <w:szCs w:val="21"/>
              </w:rPr>
              <w:t>详细设备设施情况见</w:t>
            </w:r>
            <w:r>
              <w:rPr>
                <w:color w:val="000000" w:themeColor="text1"/>
                <w:szCs w:val="21"/>
              </w:rPr>
              <w:t>2.3.4</w:t>
            </w:r>
            <w:r>
              <w:rPr>
                <w:color w:val="000000" w:themeColor="text1"/>
                <w:szCs w:val="21"/>
              </w:rPr>
              <w:t>节</w:t>
            </w:r>
          </w:p>
        </w:tc>
      </w:tr>
      <w:tr w:rsidR="002D2AF8" w14:paraId="65459682" w14:textId="77777777">
        <w:trPr>
          <w:cantSplit/>
          <w:trHeight w:val="93"/>
          <w:jc w:val="center"/>
        </w:trPr>
        <w:tc>
          <w:tcPr>
            <w:tcW w:w="870" w:type="pct"/>
            <w:vMerge/>
            <w:tcBorders>
              <w:tl2br w:val="nil"/>
              <w:tr2bl w:val="nil"/>
            </w:tcBorders>
            <w:shd w:val="clear" w:color="auto" w:fill="FFFFFF"/>
            <w:vAlign w:val="center"/>
          </w:tcPr>
          <w:p w14:paraId="6EE61037" w14:textId="77777777" w:rsidR="002D2AF8" w:rsidRDefault="002D2AF8">
            <w:pPr>
              <w:jc w:val="center"/>
              <w:textAlignment w:val="center"/>
              <w:rPr>
                <w:color w:val="000000" w:themeColor="text1"/>
              </w:rPr>
            </w:pPr>
          </w:p>
        </w:tc>
        <w:tc>
          <w:tcPr>
            <w:tcW w:w="2972" w:type="pct"/>
            <w:tcBorders>
              <w:tl2br w:val="nil"/>
              <w:tr2bl w:val="nil"/>
            </w:tcBorders>
            <w:shd w:val="clear" w:color="auto" w:fill="FFFFFF"/>
            <w:vAlign w:val="center"/>
          </w:tcPr>
          <w:p w14:paraId="0B08F59C" w14:textId="77777777" w:rsidR="002D2AF8" w:rsidRDefault="00000000">
            <w:pPr>
              <w:jc w:val="center"/>
              <w:textAlignment w:val="center"/>
              <w:rPr>
                <w:color w:val="000000" w:themeColor="text1"/>
                <w:szCs w:val="21"/>
              </w:rPr>
            </w:pPr>
            <w:r>
              <w:rPr>
                <w:color w:val="000000" w:themeColor="text1"/>
                <w:szCs w:val="21"/>
              </w:rPr>
              <w:t>堵水</w:t>
            </w:r>
            <w:r>
              <w:rPr>
                <w:color w:val="000000" w:themeColor="text1"/>
                <w:szCs w:val="21"/>
              </w:rPr>
              <w:t>/</w:t>
            </w:r>
            <w:r>
              <w:rPr>
                <w:color w:val="000000" w:themeColor="text1"/>
                <w:szCs w:val="21"/>
              </w:rPr>
              <w:t>调剖：注入泵、</w:t>
            </w:r>
            <w:r>
              <w:rPr>
                <w:rFonts w:hint="eastAsia"/>
                <w:color w:val="000000" w:themeColor="text1"/>
                <w:szCs w:val="21"/>
              </w:rPr>
              <w:t>配液</w:t>
            </w:r>
            <w:r>
              <w:rPr>
                <w:color w:val="000000" w:themeColor="text1"/>
                <w:szCs w:val="21"/>
              </w:rPr>
              <w:t>罐</w:t>
            </w:r>
            <w:r>
              <w:rPr>
                <w:rFonts w:hint="eastAsia"/>
                <w:color w:val="000000" w:themeColor="text1"/>
                <w:szCs w:val="21"/>
              </w:rPr>
              <w:t>、电气设备设施</w:t>
            </w:r>
            <w:r>
              <w:rPr>
                <w:color w:val="000000" w:themeColor="text1"/>
                <w:szCs w:val="21"/>
              </w:rPr>
              <w:t>等。</w:t>
            </w:r>
          </w:p>
        </w:tc>
        <w:tc>
          <w:tcPr>
            <w:tcW w:w="1156" w:type="pct"/>
            <w:vMerge/>
            <w:tcBorders>
              <w:tl2br w:val="nil"/>
              <w:tr2bl w:val="nil"/>
            </w:tcBorders>
            <w:shd w:val="clear" w:color="auto" w:fill="FFFFFF"/>
            <w:vAlign w:val="center"/>
          </w:tcPr>
          <w:p w14:paraId="71C31D3D" w14:textId="77777777" w:rsidR="002D2AF8" w:rsidRDefault="002D2AF8">
            <w:pPr>
              <w:jc w:val="center"/>
              <w:textAlignment w:val="center"/>
              <w:rPr>
                <w:color w:val="000000" w:themeColor="text1"/>
                <w:szCs w:val="21"/>
              </w:rPr>
            </w:pPr>
          </w:p>
        </w:tc>
      </w:tr>
    </w:tbl>
    <w:p w14:paraId="39ABE20D" w14:textId="77777777" w:rsidR="002D2AF8" w:rsidRDefault="00000000">
      <w:pPr>
        <w:adjustRightInd w:val="0"/>
        <w:snapToGrid w:val="0"/>
        <w:spacing w:beforeLines="50" w:before="162" w:line="360" w:lineRule="auto"/>
        <w:ind w:firstLineChars="200" w:firstLine="566"/>
        <w:rPr>
          <w:color w:val="000000" w:themeColor="text1"/>
          <w:sz w:val="28"/>
          <w:szCs w:val="28"/>
        </w:rPr>
      </w:pPr>
      <w:r>
        <w:rPr>
          <w:rFonts w:hint="eastAsia"/>
          <w:color w:val="000000" w:themeColor="text1"/>
          <w:sz w:val="28"/>
          <w:szCs w:val="28"/>
        </w:rPr>
        <w:t>生产管理部下属单位注聚站不在本次评价范围内。</w:t>
      </w:r>
    </w:p>
    <w:p w14:paraId="120BEAFC"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凡涉及该公司的环保问题、污水处理、职业卫生评价、办公生活设施、厂外运输、物料输送以及其他厂区、其他项目等，则应执行国家有关规定和相关标准，不在本评价范围。</w:t>
      </w:r>
    </w:p>
    <w:p w14:paraId="6E428C5A" w14:textId="77777777" w:rsidR="002D2AF8" w:rsidRDefault="00000000">
      <w:pPr>
        <w:adjustRightInd w:val="0"/>
        <w:snapToGrid w:val="0"/>
        <w:spacing w:line="360" w:lineRule="auto"/>
        <w:ind w:firstLine="570"/>
        <w:rPr>
          <w:color w:val="000000" w:themeColor="text1"/>
          <w:sz w:val="28"/>
          <w:szCs w:val="28"/>
        </w:rPr>
      </w:pPr>
      <w:r>
        <w:rPr>
          <w:color w:val="000000" w:themeColor="text1"/>
          <w:sz w:val="28"/>
          <w:szCs w:val="28"/>
        </w:rPr>
        <w:t>根据《非煤矿矿山企业安全生产许可证实施办法》（国家安全生产监督管理总局令</w:t>
      </w:r>
      <w:r>
        <w:rPr>
          <w:color w:val="000000" w:themeColor="text1"/>
          <w:sz w:val="28"/>
          <w:szCs w:val="28"/>
        </w:rPr>
        <w:t>[2009]</w:t>
      </w:r>
      <w:r>
        <w:rPr>
          <w:color w:val="000000" w:themeColor="text1"/>
          <w:sz w:val="28"/>
          <w:szCs w:val="28"/>
        </w:rPr>
        <w:t>第</w:t>
      </w:r>
      <w:r>
        <w:rPr>
          <w:color w:val="000000" w:themeColor="text1"/>
          <w:sz w:val="28"/>
          <w:szCs w:val="28"/>
        </w:rPr>
        <w:t>20</w:t>
      </w:r>
      <w:r>
        <w:rPr>
          <w:color w:val="000000" w:themeColor="text1"/>
          <w:sz w:val="28"/>
          <w:szCs w:val="28"/>
        </w:rPr>
        <w:t>号，</w:t>
      </w:r>
      <w:r>
        <w:rPr>
          <w:color w:val="000000" w:themeColor="text1"/>
          <w:sz w:val="28"/>
          <w:szCs w:val="28"/>
        </w:rPr>
        <w:t>2015</w:t>
      </w:r>
      <w:r>
        <w:rPr>
          <w:color w:val="000000" w:themeColor="text1"/>
          <w:sz w:val="28"/>
          <w:szCs w:val="28"/>
        </w:rPr>
        <w:t>修订版）、《东营市应急管理局关于进一步规范非煤矿矿山《安全生产许可证》颁发管理有关问题的函》（东应急函字</w:t>
      </w:r>
      <w:r>
        <w:rPr>
          <w:color w:val="000000" w:themeColor="text1"/>
          <w:sz w:val="28"/>
          <w:szCs w:val="28"/>
        </w:rPr>
        <w:t>[2021]50</w:t>
      </w:r>
      <w:r>
        <w:rPr>
          <w:color w:val="000000" w:themeColor="text1"/>
          <w:sz w:val="28"/>
          <w:szCs w:val="28"/>
        </w:rPr>
        <w:t>号），企业安全生产许可证申请范围为：井下作业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调剖等项目，本次安全评价范围与企业安全生产许可证申请范围一致。</w:t>
      </w:r>
    </w:p>
    <w:p w14:paraId="0A0F4B7D"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9" w:name="_Toc202759400"/>
      <w:bookmarkStart w:id="10" w:name="_Toc29641"/>
      <w:r>
        <w:rPr>
          <w:rFonts w:ascii="Times New Roman" w:hAnsi="Times New Roman"/>
          <w:b w:val="0"/>
          <w:bCs/>
          <w:color w:val="000000" w:themeColor="text1"/>
          <w:szCs w:val="32"/>
        </w:rPr>
        <w:t xml:space="preserve">1.4 </w:t>
      </w:r>
      <w:r>
        <w:rPr>
          <w:rFonts w:ascii="Times New Roman" w:hAnsi="Times New Roman"/>
          <w:b w:val="0"/>
          <w:bCs/>
          <w:color w:val="000000" w:themeColor="text1"/>
          <w:szCs w:val="32"/>
        </w:rPr>
        <w:t>评价程序</w:t>
      </w:r>
      <w:bookmarkEnd w:id="9"/>
      <w:bookmarkEnd w:id="10"/>
    </w:p>
    <w:p w14:paraId="07CFB861" w14:textId="77777777" w:rsidR="002D2AF8" w:rsidRDefault="00000000">
      <w:pPr>
        <w:adjustRightInd w:val="0"/>
        <w:snapToGrid w:val="0"/>
        <w:spacing w:line="360" w:lineRule="auto"/>
        <w:ind w:firstLineChars="200" w:firstLine="566"/>
        <w:rPr>
          <w:color w:val="000000" w:themeColor="text1"/>
          <w:sz w:val="28"/>
          <w:szCs w:val="28"/>
        </w:rPr>
      </w:pPr>
      <w:bookmarkStart w:id="11" w:name="_Toc202759401"/>
      <w:r>
        <w:rPr>
          <w:color w:val="000000" w:themeColor="text1"/>
          <w:sz w:val="28"/>
          <w:szCs w:val="28"/>
        </w:rPr>
        <w:t>安全现状评价工作程序如下：</w:t>
      </w:r>
    </w:p>
    <w:p w14:paraId="46E11D08" w14:textId="77777777" w:rsidR="002D2AF8"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前期准备阶段：收集有关资料；</w:t>
      </w:r>
    </w:p>
    <w:p w14:paraId="452393CC" w14:textId="77777777" w:rsidR="002D2AF8"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辨识与分析危险、有害因素；</w:t>
      </w:r>
    </w:p>
    <w:p w14:paraId="00E9D56D" w14:textId="77777777" w:rsidR="002D2AF8"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划分评价单元，选择评价方法；</w:t>
      </w:r>
    </w:p>
    <w:p w14:paraId="25AD61AF" w14:textId="77777777" w:rsidR="002D2AF8"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实施评价阶段：对作业情况及安全管理情况进行现场检查、</w:t>
      </w:r>
      <w:r>
        <w:rPr>
          <w:color w:val="000000" w:themeColor="text1"/>
          <w:sz w:val="28"/>
          <w:szCs w:val="28"/>
        </w:rPr>
        <w:lastRenderedPageBreak/>
        <w:t>调查，运用相应的评价方法进行定性定量评价；</w:t>
      </w:r>
    </w:p>
    <w:p w14:paraId="07893B10" w14:textId="77777777" w:rsidR="002D2AF8"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提出安全对策措施及建议；</w:t>
      </w:r>
      <w:r>
        <w:rPr>
          <w:color w:val="000000" w:themeColor="text1"/>
          <w:sz w:val="28"/>
          <w:szCs w:val="28"/>
        </w:rPr>
        <w:t xml:space="preserve"> </w:t>
      </w:r>
    </w:p>
    <w:p w14:paraId="36AB948A" w14:textId="77777777" w:rsidR="002D2AF8" w:rsidRDefault="00000000">
      <w:pPr>
        <w:numPr>
          <w:ilvl w:val="0"/>
          <w:numId w:val="10"/>
        </w:numPr>
        <w:adjustRightInd w:val="0"/>
        <w:snapToGrid w:val="0"/>
        <w:spacing w:line="360" w:lineRule="auto"/>
        <w:ind w:firstLineChars="200" w:firstLine="566"/>
        <w:rPr>
          <w:color w:val="000000" w:themeColor="text1"/>
          <w:sz w:val="28"/>
          <w:szCs w:val="28"/>
        </w:rPr>
      </w:pPr>
      <w:r>
        <w:rPr>
          <w:color w:val="000000" w:themeColor="text1"/>
          <w:sz w:val="28"/>
          <w:szCs w:val="28"/>
        </w:rPr>
        <w:t>作出评价结论，编制完成安全现状评价报告。</w:t>
      </w:r>
    </w:p>
    <w:p w14:paraId="6F6E4B6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具体程序见下图</w:t>
      </w:r>
      <w:r>
        <w:rPr>
          <w:color w:val="000000" w:themeColor="text1"/>
          <w:sz w:val="28"/>
          <w:szCs w:val="28"/>
        </w:rPr>
        <w:t>1-1</w:t>
      </w:r>
      <w:r>
        <w:rPr>
          <w:color w:val="000000" w:themeColor="text1"/>
          <w:sz w:val="28"/>
          <w:szCs w:val="28"/>
        </w:rPr>
        <w:t>。</w:t>
      </w:r>
    </w:p>
    <w:p w14:paraId="754FD20F" w14:textId="77777777" w:rsidR="002D2AF8" w:rsidRDefault="00000000">
      <w:pPr>
        <w:pStyle w:val="affff3"/>
        <w:adjustRightInd w:val="0"/>
        <w:snapToGrid w:val="0"/>
        <w:spacing w:beforeLines="0"/>
        <w:ind w:firstLine="566"/>
        <w:jc w:val="center"/>
        <w:rPr>
          <w:color w:val="000000" w:themeColor="text1"/>
        </w:rPr>
      </w:pPr>
      <w:r>
        <w:rPr>
          <w:noProof/>
          <w:color w:val="000000" w:themeColor="text1"/>
        </w:rPr>
        <w:drawing>
          <wp:inline distT="0" distB="0" distL="114300" distR="114300" wp14:anchorId="25AB45B8" wp14:editId="369E737E">
            <wp:extent cx="3819525" cy="6724650"/>
            <wp:effectExtent l="0" t="0" r="9525" b="0"/>
            <wp:docPr id="3" name="图片 3"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片1"/>
                    <pic:cNvPicPr>
                      <a:picLocks noChangeAspect="1"/>
                    </pic:cNvPicPr>
                  </pic:nvPicPr>
                  <pic:blipFill>
                    <a:blip r:embed="rId18" cstate="print"/>
                    <a:stretch>
                      <a:fillRect/>
                    </a:stretch>
                  </pic:blipFill>
                  <pic:spPr>
                    <a:xfrm>
                      <a:off x="0" y="0"/>
                      <a:ext cx="3819525" cy="6724650"/>
                    </a:xfrm>
                    <a:prstGeom prst="rect">
                      <a:avLst/>
                    </a:prstGeom>
                  </pic:spPr>
                </pic:pic>
              </a:graphicData>
            </a:graphic>
          </wp:inline>
        </w:drawing>
      </w:r>
    </w:p>
    <w:p w14:paraId="123A7E44" w14:textId="77777777" w:rsidR="002D2AF8" w:rsidRDefault="00000000">
      <w:pPr>
        <w:adjustRightInd w:val="0"/>
        <w:snapToGrid w:val="0"/>
        <w:spacing w:line="360" w:lineRule="auto"/>
        <w:jc w:val="center"/>
        <w:rPr>
          <w:b/>
          <w:color w:val="000000" w:themeColor="text1"/>
          <w:sz w:val="24"/>
          <w:szCs w:val="28"/>
        </w:rPr>
      </w:pPr>
      <w:r>
        <w:rPr>
          <w:b/>
          <w:color w:val="000000" w:themeColor="text1"/>
          <w:sz w:val="24"/>
          <w:szCs w:val="28"/>
        </w:rPr>
        <w:t>图</w:t>
      </w:r>
      <w:r>
        <w:rPr>
          <w:b/>
          <w:color w:val="000000" w:themeColor="text1"/>
          <w:sz w:val="24"/>
          <w:szCs w:val="28"/>
        </w:rPr>
        <w:t xml:space="preserve">1-1  </w:t>
      </w:r>
      <w:r>
        <w:rPr>
          <w:b/>
          <w:color w:val="000000" w:themeColor="text1"/>
          <w:sz w:val="24"/>
          <w:szCs w:val="28"/>
        </w:rPr>
        <w:t>安全现状评价程序</w:t>
      </w:r>
    </w:p>
    <w:p w14:paraId="690AB112" w14:textId="77777777" w:rsidR="002D2AF8" w:rsidRDefault="002D2AF8">
      <w:pPr>
        <w:adjustRightInd w:val="0"/>
        <w:snapToGrid w:val="0"/>
        <w:spacing w:line="360" w:lineRule="auto"/>
        <w:rPr>
          <w:color w:val="000000" w:themeColor="text1"/>
          <w:sz w:val="28"/>
          <w:szCs w:val="28"/>
        </w:rPr>
        <w:sectPr w:rsidR="002D2AF8">
          <w:headerReference w:type="default" r:id="rId19"/>
          <w:footerReference w:type="default" r:id="rId20"/>
          <w:pgSz w:w="11906" w:h="16838"/>
          <w:pgMar w:top="1440" w:right="1803" w:bottom="1440" w:left="1803" w:header="850" w:footer="992" w:gutter="0"/>
          <w:pgNumType w:start="1"/>
          <w:cols w:space="0"/>
          <w:docGrid w:type="linesAndChars" w:linePitch="325" w:charSpace="577"/>
        </w:sectPr>
      </w:pPr>
    </w:p>
    <w:p w14:paraId="5A37EC7C" w14:textId="77777777" w:rsidR="002D2AF8" w:rsidRDefault="00000000">
      <w:pPr>
        <w:pStyle w:val="10"/>
        <w:keepNext w:val="0"/>
        <w:adjustRightInd w:val="0"/>
        <w:snapToGrid w:val="0"/>
        <w:spacing w:line="360" w:lineRule="auto"/>
        <w:rPr>
          <w:rFonts w:eastAsia="楷体_GB2312"/>
          <w:b/>
          <w:color w:val="000000" w:themeColor="text1"/>
          <w:sz w:val="36"/>
          <w:szCs w:val="36"/>
        </w:rPr>
      </w:pPr>
      <w:bookmarkStart w:id="12" w:name="_Toc285310333"/>
      <w:bookmarkStart w:id="13" w:name="_Toc7976"/>
      <w:bookmarkStart w:id="14" w:name="_Toc244964626"/>
      <w:bookmarkStart w:id="15" w:name="_Toc248650007"/>
      <w:bookmarkStart w:id="16" w:name="_Toc276394619"/>
      <w:bookmarkStart w:id="17" w:name="_Toc291144363"/>
      <w:bookmarkEnd w:id="11"/>
      <w:r>
        <w:rPr>
          <w:rFonts w:eastAsia="楷体_GB2312"/>
          <w:b/>
          <w:color w:val="000000" w:themeColor="text1"/>
          <w:sz w:val="36"/>
          <w:szCs w:val="36"/>
        </w:rPr>
        <w:lastRenderedPageBreak/>
        <w:t xml:space="preserve">2 </w:t>
      </w:r>
      <w:r>
        <w:rPr>
          <w:rFonts w:eastAsia="楷体_GB2312"/>
          <w:b/>
          <w:color w:val="000000" w:themeColor="text1"/>
          <w:sz w:val="36"/>
          <w:szCs w:val="36"/>
        </w:rPr>
        <w:t>被评价单位基本情况</w:t>
      </w:r>
      <w:bookmarkEnd w:id="12"/>
      <w:bookmarkEnd w:id="13"/>
    </w:p>
    <w:p w14:paraId="2E782EEF"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8" w:name="_Toc285310334"/>
      <w:bookmarkStart w:id="19" w:name="_Toc29010"/>
      <w:r>
        <w:rPr>
          <w:rFonts w:ascii="Times New Roman" w:hAnsi="Times New Roman"/>
          <w:b w:val="0"/>
          <w:bCs/>
          <w:color w:val="000000" w:themeColor="text1"/>
          <w:szCs w:val="32"/>
        </w:rPr>
        <w:t>2.1</w:t>
      </w:r>
      <w:bookmarkEnd w:id="18"/>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企业概况</w:t>
      </w:r>
      <w:bookmarkEnd w:id="19"/>
    </w:p>
    <w:p w14:paraId="53AD5127" w14:textId="77777777" w:rsidR="002D2AF8" w:rsidRDefault="00000000">
      <w:pPr>
        <w:pStyle w:val="Char3"/>
        <w:widowControl w:val="0"/>
        <w:adjustRightInd w:val="0"/>
        <w:snapToGrid w:val="0"/>
        <w:spacing w:after="0"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（以下简称</w:t>
      </w:r>
      <w:r>
        <w:rPr>
          <w:rFonts w:hint="eastAsia"/>
          <w:color w:val="000000" w:themeColor="text1"/>
          <w:sz w:val="28"/>
          <w:szCs w:val="28"/>
        </w:rPr>
        <w:t>胜兴堵驱公司</w:t>
      </w:r>
      <w:r>
        <w:rPr>
          <w:color w:val="000000" w:themeColor="text1"/>
          <w:sz w:val="28"/>
          <w:szCs w:val="28"/>
        </w:rPr>
        <w:t>）成立于</w:t>
      </w:r>
      <w:r>
        <w:rPr>
          <w:rFonts w:hint="eastAsia"/>
          <w:color w:val="000000" w:themeColor="text1"/>
          <w:sz w:val="28"/>
          <w:szCs w:val="28"/>
        </w:rPr>
        <w:t>2000</w:t>
      </w:r>
      <w:r>
        <w:rPr>
          <w:color w:val="000000" w:themeColor="text1"/>
          <w:sz w:val="28"/>
          <w:szCs w:val="28"/>
        </w:rPr>
        <w:t>年</w:t>
      </w:r>
      <w:r>
        <w:rPr>
          <w:color w:val="000000" w:themeColor="text1"/>
          <w:sz w:val="28"/>
          <w:szCs w:val="28"/>
        </w:rPr>
        <w:t>1</w:t>
      </w:r>
      <w:r>
        <w:rPr>
          <w:rFonts w:hint="eastAsia"/>
          <w:color w:val="000000" w:themeColor="text1"/>
          <w:sz w:val="28"/>
          <w:szCs w:val="28"/>
        </w:rPr>
        <w:t>2</w:t>
      </w:r>
      <w:r>
        <w:rPr>
          <w:color w:val="000000" w:themeColor="text1"/>
          <w:sz w:val="28"/>
          <w:szCs w:val="28"/>
        </w:rPr>
        <w:t>月</w:t>
      </w:r>
      <w:r>
        <w:rPr>
          <w:color w:val="000000" w:themeColor="text1"/>
          <w:sz w:val="28"/>
          <w:szCs w:val="28"/>
        </w:rPr>
        <w:t>1</w:t>
      </w:r>
      <w:r>
        <w:rPr>
          <w:color w:val="000000" w:themeColor="text1"/>
          <w:sz w:val="28"/>
          <w:szCs w:val="28"/>
        </w:rPr>
        <w:t>日；</w:t>
      </w:r>
      <w:r>
        <w:rPr>
          <w:rFonts w:hint="eastAsia"/>
          <w:color w:val="000000" w:themeColor="text1"/>
          <w:sz w:val="28"/>
          <w:szCs w:val="28"/>
        </w:rPr>
        <w:t>注册地址为</w:t>
      </w:r>
      <w:r>
        <w:rPr>
          <w:color w:val="000000" w:themeColor="text1"/>
          <w:sz w:val="28"/>
          <w:szCs w:val="28"/>
        </w:rPr>
        <w:t>山东省东营市东营区</w:t>
      </w:r>
      <w:r>
        <w:rPr>
          <w:rFonts w:hint="eastAsia"/>
          <w:color w:val="000000" w:themeColor="text1"/>
          <w:sz w:val="28"/>
          <w:szCs w:val="28"/>
        </w:rPr>
        <w:t>通河路，办公地址为东营市垦利区胜坨镇万达路以东、胜坨路以北</w:t>
      </w:r>
      <w:r>
        <w:rPr>
          <w:color w:val="000000" w:themeColor="text1"/>
          <w:sz w:val="28"/>
          <w:szCs w:val="28"/>
        </w:rPr>
        <w:t>；公司法定代表人：</w:t>
      </w:r>
      <w:r>
        <w:rPr>
          <w:rFonts w:hint="eastAsia"/>
          <w:color w:val="000000" w:themeColor="text1"/>
          <w:sz w:val="28"/>
          <w:szCs w:val="28"/>
        </w:rPr>
        <w:t>陈伟</w:t>
      </w:r>
      <w:r>
        <w:rPr>
          <w:color w:val="000000" w:themeColor="text1"/>
          <w:sz w:val="28"/>
          <w:szCs w:val="28"/>
        </w:rPr>
        <w:t>；注册资本：</w:t>
      </w:r>
      <w:r>
        <w:rPr>
          <w:rFonts w:hint="eastAsia"/>
          <w:color w:val="000000" w:themeColor="text1"/>
          <w:sz w:val="28"/>
          <w:szCs w:val="28"/>
        </w:rPr>
        <w:t>壹</w:t>
      </w:r>
      <w:r>
        <w:rPr>
          <w:color w:val="000000" w:themeColor="text1"/>
          <w:sz w:val="28"/>
          <w:szCs w:val="28"/>
        </w:rPr>
        <w:t>仟</w:t>
      </w:r>
      <w:r>
        <w:rPr>
          <w:rFonts w:hint="eastAsia"/>
          <w:color w:val="000000" w:themeColor="text1"/>
          <w:sz w:val="28"/>
          <w:szCs w:val="28"/>
        </w:rPr>
        <w:t>伍</w:t>
      </w:r>
      <w:r>
        <w:rPr>
          <w:color w:val="000000" w:themeColor="text1"/>
          <w:sz w:val="28"/>
          <w:szCs w:val="28"/>
        </w:rPr>
        <w:t>佰万元整。主要经营范围包括堵水剂、驱油剂的现场施工；化工产品</w:t>
      </w:r>
      <w:r>
        <w:rPr>
          <w:rFonts w:hint="eastAsia"/>
          <w:color w:val="000000" w:themeColor="text1"/>
          <w:sz w:val="28"/>
          <w:szCs w:val="28"/>
        </w:rPr>
        <w:t>（</w:t>
      </w:r>
      <w:r>
        <w:rPr>
          <w:color w:val="000000" w:themeColor="text1"/>
          <w:sz w:val="28"/>
          <w:szCs w:val="28"/>
        </w:rPr>
        <w:t>不含危险品</w:t>
      </w:r>
      <w:r>
        <w:rPr>
          <w:rFonts w:hint="eastAsia"/>
          <w:color w:val="000000" w:themeColor="text1"/>
          <w:sz w:val="28"/>
          <w:szCs w:val="28"/>
        </w:rPr>
        <w:t>）</w:t>
      </w:r>
      <w:r>
        <w:rPr>
          <w:color w:val="000000" w:themeColor="text1"/>
          <w:sz w:val="28"/>
          <w:szCs w:val="28"/>
        </w:rPr>
        <w:t>加工、销售；堵水剂、驱油剂产品的技术开发、转让、服务；油水井测试、技术服务；堵驱设备租赁；示踪剂检测；管线清洗。（以上经营事项涉及法律法规规定需报批的，凭批准证书经营）</w:t>
      </w:r>
      <w:r>
        <w:rPr>
          <w:rFonts w:hint="eastAsia"/>
          <w:color w:val="000000" w:themeColor="text1"/>
          <w:sz w:val="28"/>
          <w:szCs w:val="28"/>
        </w:rPr>
        <w:t>（</w:t>
      </w:r>
      <w:r>
        <w:rPr>
          <w:color w:val="000000" w:themeColor="text1"/>
          <w:sz w:val="28"/>
          <w:szCs w:val="28"/>
        </w:rPr>
        <w:t>依法须经批准的项目，经相关部门批准后方可开展经营活动</w:t>
      </w:r>
      <w:r>
        <w:rPr>
          <w:rFonts w:hint="eastAsia"/>
          <w:color w:val="000000" w:themeColor="text1"/>
          <w:sz w:val="28"/>
          <w:szCs w:val="28"/>
        </w:rPr>
        <w:t>）</w:t>
      </w:r>
      <w:r>
        <w:rPr>
          <w:color w:val="000000" w:themeColor="text1"/>
          <w:sz w:val="28"/>
          <w:szCs w:val="28"/>
        </w:rPr>
        <w:t>。</w:t>
      </w:r>
    </w:p>
    <w:p w14:paraId="3B0F2633" w14:textId="77777777" w:rsidR="002D2AF8" w:rsidRDefault="00000000">
      <w:pPr>
        <w:pStyle w:val="Char3"/>
        <w:widowControl w:val="0"/>
        <w:adjustRightInd w:val="0"/>
        <w:snapToGrid w:val="0"/>
        <w:spacing w:after="0" w:line="360" w:lineRule="auto"/>
        <w:ind w:firstLineChars="200" w:firstLine="566"/>
        <w:jc w:val="both"/>
        <w:rPr>
          <w:color w:val="000000" w:themeColor="text1"/>
          <w:sz w:val="28"/>
          <w:szCs w:val="28"/>
        </w:rPr>
      </w:pPr>
      <w:r>
        <w:rPr>
          <w:color w:val="000000" w:themeColor="text1"/>
          <w:sz w:val="28"/>
          <w:szCs w:val="28"/>
        </w:rPr>
        <w:t>机构设置：</w:t>
      </w:r>
      <w:r>
        <w:rPr>
          <w:rFonts w:hint="eastAsia"/>
          <w:color w:val="000000" w:themeColor="text1"/>
          <w:sz w:val="28"/>
          <w:szCs w:val="28"/>
        </w:rPr>
        <w:t>胜兴堵驱公司</w:t>
      </w:r>
      <w:r>
        <w:rPr>
          <w:color w:val="000000" w:themeColor="text1"/>
          <w:sz w:val="28"/>
          <w:szCs w:val="28"/>
        </w:rPr>
        <w:t>设有安全</w:t>
      </w:r>
      <w:r>
        <w:rPr>
          <w:rFonts w:hint="eastAsia"/>
          <w:color w:val="000000" w:themeColor="text1"/>
          <w:sz w:val="28"/>
          <w:szCs w:val="28"/>
        </w:rPr>
        <w:t>办公室</w:t>
      </w:r>
      <w:r>
        <w:rPr>
          <w:color w:val="000000" w:themeColor="text1"/>
          <w:sz w:val="28"/>
          <w:szCs w:val="28"/>
        </w:rPr>
        <w:t>、生产</w:t>
      </w:r>
      <w:r>
        <w:rPr>
          <w:rFonts w:hint="eastAsia"/>
          <w:color w:val="000000" w:themeColor="text1"/>
          <w:sz w:val="28"/>
          <w:szCs w:val="28"/>
        </w:rPr>
        <w:t>管理部</w:t>
      </w:r>
      <w:r>
        <w:rPr>
          <w:color w:val="000000" w:themeColor="text1"/>
          <w:sz w:val="28"/>
          <w:szCs w:val="28"/>
        </w:rPr>
        <w:t>、技术</w:t>
      </w:r>
      <w:r>
        <w:rPr>
          <w:rFonts w:hint="eastAsia"/>
          <w:color w:val="000000" w:themeColor="text1"/>
          <w:sz w:val="28"/>
          <w:szCs w:val="28"/>
        </w:rPr>
        <w:t>开发部</w:t>
      </w:r>
      <w:r>
        <w:rPr>
          <w:color w:val="000000" w:themeColor="text1"/>
          <w:sz w:val="28"/>
          <w:szCs w:val="28"/>
        </w:rPr>
        <w:t>、</w:t>
      </w:r>
      <w:r>
        <w:rPr>
          <w:rFonts w:hint="eastAsia"/>
          <w:color w:val="000000" w:themeColor="text1"/>
          <w:sz w:val="28"/>
          <w:szCs w:val="28"/>
        </w:rPr>
        <w:t>综合</w:t>
      </w:r>
      <w:r>
        <w:rPr>
          <w:color w:val="000000" w:themeColor="text1"/>
          <w:sz w:val="28"/>
          <w:szCs w:val="28"/>
        </w:rPr>
        <w:t>管理</w:t>
      </w:r>
      <w:r>
        <w:rPr>
          <w:rFonts w:hint="eastAsia"/>
          <w:color w:val="000000" w:themeColor="text1"/>
          <w:sz w:val="28"/>
          <w:szCs w:val="28"/>
        </w:rPr>
        <w:t>部</w:t>
      </w:r>
      <w:r>
        <w:rPr>
          <w:color w:val="000000" w:themeColor="text1"/>
          <w:sz w:val="28"/>
          <w:szCs w:val="28"/>
        </w:rPr>
        <w:t>，主要行使管理职能。</w:t>
      </w:r>
    </w:p>
    <w:p w14:paraId="4F3954FC" w14:textId="77777777" w:rsidR="002D2AF8" w:rsidRDefault="00000000">
      <w:pPr>
        <w:pStyle w:val="Char3"/>
        <w:widowControl w:val="0"/>
        <w:adjustRightInd w:val="0"/>
        <w:snapToGrid w:val="0"/>
        <w:spacing w:after="0" w:line="360" w:lineRule="auto"/>
        <w:ind w:firstLineChars="200" w:firstLine="566"/>
        <w:jc w:val="both"/>
        <w:rPr>
          <w:color w:val="000000" w:themeColor="text1"/>
          <w:sz w:val="28"/>
          <w:szCs w:val="28"/>
        </w:rPr>
      </w:pPr>
      <w:r>
        <w:rPr>
          <w:color w:val="000000" w:themeColor="text1"/>
          <w:sz w:val="28"/>
          <w:szCs w:val="28"/>
        </w:rPr>
        <w:t>人员设置：</w:t>
      </w:r>
      <w:r>
        <w:rPr>
          <w:rFonts w:hint="eastAsia"/>
          <w:color w:val="000000" w:themeColor="text1"/>
          <w:sz w:val="28"/>
          <w:szCs w:val="28"/>
        </w:rPr>
        <w:t>胜兴堵驱</w:t>
      </w:r>
      <w:r>
        <w:rPr>
          <w:color w:val="000000" w:themeColor="text1"/>
          <w:sz w:val="28"/>
          <w:szCs w:val="28"/>
        </w:rPr>
        <w:t>公司目前在岗职工</w:t>
      </w:r>
      <w:r>
        <w:rPr>
          <w:rFonts w:hint="eastAsia"/>
          <w:color w:val="000000" w:themeColor="text1"/>
          <w:sz w:val="28"/>
          <w:szCs w:val="28"/>
        </w:rPr>
        <w:t>60</w:t>
      </w:r>
      <w:r>
        <w:rPr>
          <w:color w:val="000000" w:themeColor="text1"/>
          <w:sz w:val="28"/>
          <w:szCs w:val="28"/>
        </w:rPr>
        <w:t>人</w:t>
      </w:r>
      <w:r>
        <w:rPr>
          <w:rFonts w:hint="eastAsia"/>
          <w:color w:val="000000" w:themeColor="text1"/>
          <w:sz w:val="28"/>
          <w:szCs w:val="28"/>
        </w:rPr>
        <w:t>（含法人）</w:t>
      </w:r>
      <w:r>
        <w:rPr>
          <w:color w:val="000000" w:themeColor="text1"/>
          <w:sz w:val="28"/>
          <w:szCs w:val="28"/>
        </w:rPr>
        <w:t>，</w:t>
      </w:r>
      <w:r>
        <w:rPr>
          <w:rFonts w:hint="eastAsia"/>
          <w:color w:val="000000" w:themeColor="text1"/>
          <w:sz w:val="28"/>
          <w:szCs w:val="28"/>
        </w:rPr>
        <w:t>胜兴堵驱</w:t>
      </w:r>
      <w:r>
        <w:rPr>
          <w:color w:val="000000" w:themeColor="text1"/>
          <w:sz w:val="28"/>
          <w:szCs w:val="28"/>
        </w:rPr>
        <w:t>公司领导及机关部室人员为</w:t>
      </w:r>
      <w:r>
        <w:rPr>
          <w:rFonts w:hint="eastAsia"/>
          <w:color w:val="000000" w:themeColor="text1"/>
          <w:sz w:val="28"/>
          <w:szCs w:val="28"/>
        </w:rPr>
        <w:t>35</w:t>
      </w:r>
      <w:r>
        <w:rPr>
          <w:color w:val="000000" w:themeColor="text1"/>
          <w:sz w:val="28"/>
          <w:szCs w:val="28"/>
        </w:rPr>
        <w:t>人，井下作业</w:t>
      </w:r>
      <w:r>
        <w:rPr>
          <w:rFonts w:hint="eastAsia"/>
          <w:color w:val="000000" w:themeColor="text1"/>
          <w:sz w:val="28"/>
          <w:szCs w:val="28"/>
        </w:rPr>
        <w:t>堵调测试队的</w:t>
      </w:r>
      <w:r>
        <w:rPr>
          <w:color w:val="000000" w:themeColor="text1"/>
          <w:sz w:val="28"/>
          <w:szCs w:val="28"/>
        </w:rPr>
        <w:t>人</w:t>
      </w:r>
      <w:r>
        <w:rPr>
          <w:rFonts w:hint="eastAsia"/>
          <w:color w:val="000000" w:themeColor="text1"/>
          <w:sz w:val="28"/>
          <w:szCs w:val="28"/>
        </w:rPr>
        <w:t>员</w:t>
      </w:r>
      <w:r>
        <w:rPr>
          <w:color w:val="000000" w:themeColor="text1"/>
          <w:sz w:val="28"/>
          <w:szCs w:val="28"/>
        </w:rPr>
        <w:t>为</w:t>
      </w:r>
      <w:r>
        <w:rPr>
          <w:rFonts w:hint="eastAsia"/>
          <w:color w:val="000000" w:themeColor="text1"/>
          <w:sz w:val="28"/>
          <w:szCs w:val="28"/>
        </w:rPr>
        <w:t>6</w:t>
      </w:r>
      <w:r>
        <w:rPr>
          <w:color w:val="000000" w:themeColor="text1"/>
          <w:sz w:val="28"/>
          <w:szCs w:val="28"/>
        </w:rPr>
        <w:t>人</w:t>
      </w:r>
      <w:r>
        <w:rPr>
          <w:rFonts w:hint="eastAsia"/>
          <w:color w:val="000000" w:themeColor="text1"/>
          <w:sz w:val="28"/>
          <w:szCs w:val="28"/>
        </w:rPr>
        <w:t>，注聚站共有人员</w:t>
      </w:r>
      <w:r>
        <w:rPr>
          <w:rFonts w:hint="eastAsia"/>
          <w:color w:val="000000" w:themeColor="text1"/>
          <w:sz w:val="28"/>
          <w:szCs w:val="28"/>
        </w:rPr>
        <w:t>19</w:t>
      </w:r>
      <w:r>
        <w:rPr>
          <w:rFonts w:hint="eastAsia"/>
          <w:color w:val="000000" w:themeColor="text1"/>
          <w:sz w:val="28"/>
          <w:szCs w:val="28"/>
        </w:rPr>
        <w:t>人（均为胜利采油厂外闯人员）</w:t>
      </w:r>
      <w:r>
        <w:rPr>
          <w:color w:val="000000" w:themeColor="text1"/>
          <w:sz w:val="28"/>
          <w:szCs w:val="28"/>
        </w:rPr>
        <w:t>。</w:t>
      </w:r>
    </w:p>
    <w:p w14:paraId="657E14F2"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胜兴堵驱公司于</w:t>
      </w:r>
      <w:r>
        <w:rPr>
          <w:rFonts w:hint="eastAsia"/>
          <w:color w:val="000000" w:themeColor="text1"/>
          <w:sz w:val="28"/>
          <w:szCs w:val="28"/>
        </w:rPr>
        <w:t>2016</w:t>
      </w:r>
      <w:r>
        <w:rPr>
          <w:rFonts w:hint="eastAsia"/>
          <w:color w:val="000000" w:themeColor="text1"/>
          <w:sz w:val="28"/>
          <w:szCs w:val="28"/>
        </w:rPr>
        <w:t>年</w:t>
      </w:r>
      <w:r>
        <w:rPr>
          <w:rFonts w:hint="eastAsia"/>
          <w:color w:val="000000" w:themeColor="text1"/>
          <w:sz w:val="28"/>
          <w:szCs w:val="28"/>
        </w:rPr>
        <w:t>9</w:t>
      </w:r>
      <w:r>
        <w:rPr>
          <w:rFonts w:hint="eastAsia"/>
          <w:color w:val="000000" w:themeColor="text1"/>
          <w:sz w:val="28"/>
          <w:szCs w:val="28"/>
        </w:rPr>
        <w:t>月取得了由东营市安全生产监督管理局颁发的非煤矿山安全生产标准化三级企业证书，并于</w:t>
      </w:r>
      <w:r>
        <w:rPr>
          <w:rFonts w:hint="eastAsia"/>
          <w:color w:val="000000" w:themeColor="text1"/>
          <w:sz w:val="28"/>
          <w:szCs w:val="28"/>
        </w:rPr>
        <w:t>2019</w:t>
      </w:r>
      <w:r>
        <w:rPr>
          <w:rFonts w:hint="eastAsia"/>
          <w:color w:val="000000" w:themeColor="text1"/>
          <w:sz w:val="28"/>
          <w:szCs w:val="28"/>
        </w:rPr>
        <w:t>年</w:t>
      </w:r>
      <w:r>
        <w:rPr>
          <w:rFonts w:hint="eastAsia"/>
          <w:color w:val="000000" w:themeColor="text1"/>
          <w:sz w:val="28"/>
          <w:szCs w:val="28"/>
        </w:rPr>
        <w:t>6</w:t>
      </w:r>
      <w:r>
        <w:rPr>
          <w:rFonts w:hint="eastAsia"/>
          <w:color w:val="000000" w:themeColor="text1"/>
          <w:sz w:val="28"/>
          <w:szCs w:val="28"/>
        </w:rPr>
        <w:t>月</w:t>
      </w:r>
      <w:r>
        <w:rPr>
          <w:rFonts w:hint="eastAsia"/>
          <w:color w:val="000000" w:themeColor="text1"/>
          <w:sz w:val="28"/>
          <w:szCs w:val="28"/>
        </w:rPr>
        <w:t>26</w:t>
      </w:r>
      <w:r>
        <w:rPr>
          <w:rFonts w:hint="eastAsia"/>
          <w:color w:val="000000" w:themeColor="text1"/>
          <w:sz w:val="28"/>
          <w:szCs w:val="28"/>
        </w:rPr>
        <w:t>日完成了标准化复审工作，取得东营市应急管理局颁发了安全生产标准化三级企业（井下作业）证书，有效期至</w:t>
      </w:r>
      <w:r>
        <w:rPr>
          <w:rFonts w:hint="eastAsia"/>
          <w:color w:val="000000" w:themeColor="text1"/>
          <w:sz w:val="28"/>
          <w:szCs w:val="28"/>
        </w:rPr>
        <w:t>2022</w:t>
      </w:r>
      <w:r>
        <w:rPr>
          <w:rFonts w:hint="eastAsia"/>
          <w:color w:val="000000" w:themeColor="text1"/>
          <w:sz w:val="28"/>
          <w:szCs w:val="28"/>
        </w:rPr>
        <w:t>年</w:t>
      </w:r>
      <w:r>
        <w:rPr>
          <w:rFonts w:hint="eastAsia"/>
          <w:color w:val="000000" w:themeColor="text1"/>
          <w:sz w:val="28"/>
          <w:szCs w:val="28"/>
        </w:rPr>
        <w:t>6</w:t>
      </w:r>
      <w:r>
        <w:rPr>
          <w:rFonts w:hint="eastAsia"/>
          <w:color w:val="000000" w:themeColor="text1"/>
          <w:sz w:val="28"/>
          <w:szCs w:val="28"/>
        </w:rPr>
        <w:t>月。</w:t>
      </w:r>
    </w:p>
    <w:p w14:paraId="30F67A1B"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胜兴堵驱公司于</w:t>
      </w:r>
      <w:r>
        <w:rPr>
          <w:rFonts w:hint="eastAsia"/>
          <w:color w:val="000000" w:themeColor="text1"/>
          <w:sz w:val="28"/>
          <w:szCs w:val="28"/>
        </w:rPr>
        <w:t>2015</w:t>
      </w:r>
      <w:r>
        <w:rPr>
          <w:rFonts w:hint="eastAsia"/>
          <w:color w:val="000000" w:themeColor="text1"/>
          <w:sz w:val="28"/>
          <w:szCs w:val="28"/>
        </w:rPr>
        <w:t>年取得安全生产许可证，并于</w:t>
      </w:r>
      <w:r>
        <w:rPr>
          <w:rFonts w:hint="eastAsia"/>
          <w:color w:val="000000" w:themeColor="text1"/>
          <w:sz w:val="28"/>
          <w:szCs w:val="28"/>
        </w:rPr>
        <w:t>2018</w:t>
      </w:r>
      <w:r>
        <w:rPr>
          <w:rFonts w:hint="eastAsia"/>
          <w:color w:val="000000" w:themeColor="text1"/>
          <w:sz w:val="28"/>
          <w:szCs w:val="28"/>
        </w:rPr>
        <w:t>年</w:t>
      </w:r>
      <w:r>
        <w:rPr>
          <w:rFonts w:hint="eastAsia"/>
          <w:color w:val="000000" w:themeColor="text1"/>
          <w:sz w:val="28"/>
          <w:szCs w:val="28"/>
        </w:rPr>
        <w:t>9</w:t>
      </w:r>
      <w:r>
        <w:rPr>
          <w:rFonts w:hint="eastAsia"/>
          <w:color w:val="000000" w:themeColor="text1"/>
          <w:sz w:val="28"/>
          <w:szCs w:val="28"/>
        </w:rPr>
        <w:t>月</w:t>
      </w:r>
      <w:r>
        <w:rPr>
          <w:rFonts w:hint="eastAsia"/>
          <w:color w:val="000000" w:themeColor="text1"/>
          <w:sz w:val="28"/>
          <w:szCs w:val="28"/>
        </w:rPr>
        <w:t>20</w:t>
      </w:r>
      <w:r>
        <w:rPr>
          <w:rFonts w:hint="eastAsia"/>
          <w:color w:val="000000" w:themeColor="text1"/>
          <w:sz w:val="28"/>
          <w:szCs w:val="28"/>
        </w:rPr>
        <w:t>日对安全生产许可证进行了延期换证工作，许可范围：井下作业（堵水调剖、示踪剂检测、油水井测试），编号：（鲁）</w:t>
      </w:r>
      <w:r>
        <w:rPr>
          <w:rFonts w:hint="eastAsia"/>
          <w:color w:val="000000" w:themeColor="text1"/>
          <w:sz w:val="28"/>
          <w:szCs w:val="28"/>
        </w:rPr>
        <w:t>FM</w:t>
      </w:r>
      <w:r>
        <w:rPr>
          <w:rFonts w:hint="eastAsia"/>
          <w:color w:val="000000" w:themeColor="text1"/>
          <w:sz w:val="28"/>
          <w:szCs w:val="28"/>
        </w:rPr>
        <w:t>安许证字</w:t>
      </w:r>
      <w:r>
        <w:rPr>
          <w:rFonts w:hint="eastAsia"/>
          <w:color w:val="000000" w:themeColor="text1"/>
          <w:sz w:val="28"/>
          <w:szCs w:val="28"/>
        </w:rPr>
        <w:t>[2018]05-0024</w:t>
      </w:r>
      <w:r>
        <w:rPr>
          <w:rFonts w:hint="eastAsia"/>
          <w:color w:val="000000" w:themeColor="text1"/>
          <w:sz w:val="28"/>
          <w:szCs w:val="28"/>
        </w:rPr>
        <w:t>，有效期至</w:t>
      </w:r>
      <w:r>
        <w:rPr>
          <w:rFonts w:hint="eastAsia"/>
          <w:color w:val="000000" w:themeColor="text1"/>
          <w:sz w:val="28"/>
          <w:szCs w:val="28"/>
        </w:rPr>
        <w:t>2021</w:t>
      </w:r>
      <w:r>
        <w:rPr>
          <w:rFonts w:hint="eastAsia"/>
          <w:color w:val="000000" w:themeColor="text1"/>
          <w:sz w:val="28"/>
          <w:szCs w:val="28"/>
        </w:rPr>
        <w:t>年</w:t>
      </w:r>
      <w:r>
        <w:rPr>
          <w:rFonts w:hint="eastAsia"/>
          <w:color w:val="000000" w:themeColor="text1"/>
          <w:sz w:val="28"/>
          <w:szCs w:val="28"/>
        </w:rPr>
        <w:t>9</w:t>
      </w:r>
      <w:r>
        <w:rPr>
          <w:rFonts w:hint="eastAsia"/>
          <w:color w:val="000000" w:themeColor="text1"/>
          <w:sz w:val="28"/>
          <w:szCs w:val="28"/>
        </w:rPr>
        <w:t>月</w:t>
      </w:r>
      <w:r>
        <w:rPr>
          <w:rFonts w:hint="eastAsia"/>
          <w:color w:val="000000" w:themeColor="text1"/>
          <w:sz w:val="28"/>
          <w:szCs w:val="28"/>
        </w:rPr>
        <w:t>19</w:t>
      </w:r>
      <w:r>
        <w:rPr>
          <w:rFonts w:hint="eastAsia"/>
          <w:color w:val="000000" w:themeColor="text1"/>
          <w:sz w:val="28"/>
          <w:szCs w:val="28"/>
        </w:rPr>
        <w:t>日。</w:t>
      </w:r>
    </w:p>
    <w:p w14:paraId="7AB730C0"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依据</w:t>
      </w:r>
      <w:r>
        <w:rPr>
          <w:rFonts w:hint="eastAsia"/>
          <w:color w:val="000000" w:themeColor="text1"/>
          <w:sz w:val="28"/>
          <w:szCs w:val="28"/>
        </w:rPr>
        <w:t>2019</w:t>
      </w:r>
      <w:r>
        <w:rPr>
          <w:rFonts w:hint="eastAsia"/>
          <w:color w:val="000000" w:themeColor="text1"/>
          <w:sz w:val="28"/>
          <w:szCs w:val="28"/>
        </w:rPr>
        <w:t>年</w:t>
      </w:r>
      <w:r>
        <w:rPr>
          <w:rFonts w:hint="eastAsia"/>
          <w:color w:val="000000" w:themeColor="text1"/>
          <w:sz w:val="28"/>
          <w:szCs w:val="28"/>
        </w:rPr>
        <w:t>7</w:t>
      </w:r>
      <w:r>
        <w:rPr>
          <w:rFonts w:hint="eastAsia"/>
          <w:color w:val="000000" w:themeColor="text1"/>
          <w:sz w:val="28"/>
          <w:szCs w:val="28"/>
        </w:rPr>
        <w:t>月</w:t>
      </w:r>
      <w:r>
        <w:rPr>
          <w:rFonts w:hint="eastAsia"/>
          <w:color w:val="000000" w:themeColor="text1"/>
          <w:sz w:val="28"/>
          <w:szCs w:val="28"/>
        </w:rPr>
        <w:t>31</w:t>
      </w:r>
      <w:r>
        <w:rPr>
          <w:rFonts w:hint="eastAsia"/>
          <w:color w:val="000000" w:themeColor="text1"/>
          <w:sz w:val="28"/>
          <w:szCs w:val="28"/>
        </w:rPr>
        <w:t>日山东省应急管理厅发布的《关于石油天</w:t>
      </w:r>
      <w:r>
        <w:rPr>
          <w:rFonts w:hint="eastAsia"/>
          <w:color w:val="000000" w:themeColor="text1"/>
          <w:sz w:val="28"/>
          <w:szCs w:val="28"/>
        </w:rPr>
        <w:lastRenderedPageBreak/>
        <w:t>然气技术服务企业不再实施安全许可的通知》（鲁应急函</w:t>
      </w:r>
      <w:r>
        <w:rPr>
          <w:rFonts w:hint="eastAsia"/>
          <w:color w:val="000000" w:themeColor="text1"/>
          <w:sz w:val="28"/>
          <w:szCs w:val="28"/>
        </w:rPr>
        <w:t>[2019]46</w:t>
      </w:r>
      <w:r>
        <w:rPr>
          <w:rFonts w:hint="eastAsia"/>
          <w:color w:val="000000" w:themeColor="text1"/>
          <w:sz w:val="28"/>
          <w:szCs w:val="28"/>
        </w:rPr>
        <w:t>号），山东省应急厅不再对石油天然气技术服务企业实施安全许可，公司安全生产许可证于</w:t>
      </w:r>
      <w:r>
        <w:rPr>
          <w:rFonts w:hint="eastAsia"/>
          <w:color w:val="000000" w:themeColor="text1"/>
          <w:sz w:val="28"/>
          <w:szCs w:val="28"/>
        </w:rPr>
        <w:t>2021</w:t>
      </w:r>
      <w:r>
        <w:rPr>
          <w:rFonts w:hint="eastAsia"/>
          <w:color w:val="000000" w:themeColor="text1"/>
          <w:sz w:val="28"/>
          <w:szCs w:val="28"/>
        </w:rPr>
        <w:t>年</w:t>
      </w:r>
      <w:r>
        <w:rPr>
          <w:rFonts w:hint="eastAsia"/>
          <w:color w:val="000000" w:themeColor="text1"/>
          <w:sz w:val="28"/>
          <w:szCs w:val="28"/>
        </w:rPr>
        <w:t>9</w:t>
      </w:r>
      <w:r>
        <w:rPr>
          <w:rFonts w:hint="eastAsia"/>
          <w:color w:val="000000" w:themeColor="text1"/>
          <w:sz w:val="28"/>
          <w:szCs w:val="28"/>
        </w:rPr>
        <w:t>月</w:t>
      </w:r>
      <w:r>
        <w:rPr>
          <w:rFonts w:hint="eastAsia"/>
          <w:color w:val="000000" w:themeColor="text1"/>
          <w:sz w:val="28"/>
          <w:szCs w:val="28"/>
        </w:rPr>
        <w:t>19</w:t>
      </w:r>
      <w:r>
        <w:rPr>
          <w:rFonts w:hint="eastAsia"/>
          <w:color w:val="000000" w:themeColor="text1"/>
          <w:sz w:val="28"/>
          <w:szCs w:val="28"/>
        </w:rPr>
        <w:t>日到期后未进行延续。</w:t>
      </w:r>
    </w:p>
    <w:p w14:paraId="60D638D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根据《关于对钻井、物探、测井、录井、井下作业、油建企业实施安全生产许可的通知》（鲁应急函</w:t>
      </w:r>
      <w:r>
        <w:rPr>
          <w:color w:val="000000" w:themeColor="text1"/>
          <w:sz w:val="28"/>
          <w:szCs w:val="28"/>
        </w:rPr>
        <w:t>[2021]86</w:t>
      </w:r>
      <w:r>
        <w:rPr>
          <w:color w:val="000000" w:themeColor="text1"/>
          <w:sz w:val="28"/>
          <w:szCs w:val="28"/>
        </w:rPr>
        <w:t>号）、《东营市应急管理局关于进一步规范非煤矿矿山《安全生产许可证》颁发管理有关问题的函》（东应急函字</w:t>
      </w:r>
      <w:r>
        <w:rPr>
          <w:color w:val="000000" w:themeColor="text1"/>
          <w:sz w:val="28"/>
          <w:szCs w:val="28"/>
        </w:rPr>
        <w:t>[2021]50</w:t>
      </w:r>
      <w:r>
        <w:rPr>
          <w:color w:val="000000" w:themeColor="text1"/>
          <w:sz w:val="28"/>
          <w:szCs w:val="28"/>
        </w:rPr>
        <w:t>号）等文件要求，</w:t>
      </w:r>
      <w:r>
        <w:rPr>
          <w:rFonts w:hint="eastAsia"/>
          <w:color w:val="000000" w:themeColor="text1"/>
          <w:sz w:val="28"/>
          <w:szCs w:val="28"/>
        </w:rPr>
        <w:t>胜利油田胜兴堵驱新技术开发有限责任公司</w:t>
      </w:r>
      <w:r>
        <w:rPr>
          <w:color w:val="000000" w:themeColor="text1"/>
          <w:sz w:val="28"/>
          <w:szCs w:val="28"/>
        </w:rPr>
        <w:t>现申请井下作业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调剖等项目安全生产许可证。</w:t>
      </w:r>
    </w:p>
    <w:p w14:paraId="1550BE6C"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20" w:name="_Toc10994"/>
      <w:r>
        <w:rPr>
          <w:rFonts w:ascii="Times New Roman" w:hAnsi="Times New Roman"/>
          <w:b w:val="0"/>
          <w:bCs/>
          <w:color w:val="000000" w:themeColor="text1"/>
          <w:szCs w:val="32"/>
        </w:rPr>
        <w:t xml:space="preserve">2.2 </w:t>
      </w:r>
      <w:r>
        <w:rPr>
          <w:rFonts w:ascii="Times New Roman" w:hAnsi="Times New Roman"/>
          <w:b w:val="0"/>
          <w:bCs/>
          <w:color w:val="000000" w:themeColor="text1"/>
          <w:szCs w:val="32"/>
        </w:rPr>
        <w:t>机构设置</w:t>
      </w:r>
      <w:bookmarkEnd w:id="20"/>
    </w:p>
    <w:p w14:paraId="55A5EEEE" w14:textId="77777777" w:rsidR="002D2AF8" w:rsidRDefault="00000000">
      <w:pPr>
        <w:adjustRightInd w:val="0"/>
        <w:snapToGrid w:val="0"/>
        <w:spacing w:line="360" w:lineRule="auto"/>
        <w:ind w:firstLineChars="200" w:firstLine="566"/>
        <w:jc w:val="left"/>
        <w:rPr>
          <w:color w:val="000000" w:themeColor="text1"/>
          <w:sz w:val="28"/>
          <w:szCs w:val="28"/>
        </w:rPr>
      </w:pPr>
      <w:bookmarkStart w:id="21" w:name="_Toc285310336"/>
      <w:bookmarkStart w:id="22" w:name="_Toc9963"/>
      <w:bookmarkStart w:id="23" w:name="_Toc202759402"/>
      <w:r>
        <w:rPr>
          <w:rFonts w:hint="eastAsia"/>
          <w:color w:val="000000" w:themeColor="text1"/>
          <w:sz w:val="28"/>
          <w:szCs w:val="28"/>
        </w:rPr>
        <w:t>涉及企业机密，不予公开。</w:t>
      </w:r>
    </w:p>
    <w:p w14:paraId="59CBF50E"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2.3 </w:t>
      </w:r>
      <w:r>
        <w:rPr>
          <w:rFonts w:ascii="Times New Roman" w:hAnsi="Times New Roman"/>
          <w:b w:val="0"/>
          <w:bCs/>
          <w:color w:val="000000" w:themeColor="text1"/>
          <w:szCs w:val="32"/>
        </w:rPr>
        <w:t>主要装备、设施、作业场所概况</w:t>
      </w:r>
      <w:bookmarkEnd w:id="21"/>
      <w:bookmarkEnd w:id="22"/>
    </w:p>
    <w:p w14:paraId="0084F6B4"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2.3.1 </w:t>
      </w:r>
      <w:r>
        <w:rPr>
          <w:rFonts w:eastAsia="黑体"/>
          <w:b w:val="0"/>
          <w:snapToGrid w:val="0"/>
          <w:color w:val="000000" w:themeColor="text1"/>
          <w:kern w:val="0"/>
          <w:sz w:val="28"/>
          <w:szCs w:val="28"/>
        </w:rPr>
        <w:t>作业类型</w:t>
      </w:r>
    </w:p>
    <w:p w14:paraId="07F8F7FD" w14:textId="77777777" w:rsidR="002D2AF8" w:rsidRDefault="00000000">
      <w:pPr>
        <w:pStyle w:val="a4"/>
        <w:adjustRightInd w:val="0"/>
        <w:snapToGrid w:val="0"/>
        <w:spacing w:line="360" w:lineRule="auto"/>
        <w:ind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井下作业项目包括：测试、堵水</w:t>
      </w:r>
      <w:r>
        <w:rPr>
          <w:color w:val="000000" w:themeColor="text1"/>
          <w:sz w:val="28"/>
          <w:szCs w:val="28"/>
        </w:rPr>
        <w:t>/</w:t>
      </w:r>
      <w:r>
        <w:rPr>
          <w:color w:val="000000" w:themeColor="text1"/>
          <w:sz w:val="28"/>
          <w:szCs w:val="28"/>
        </w:rPr>
        <w:t>调剖。</w:t>
      </w:r>
    </w:p>
    <w:p w14:paraId="754E58E9" w14:textId="77777777" w:rsidR="002D2AF8" w:rsidRDefault="00000000">
      <w:pPr>
        <w:pStyle w:val="a4"/>
        <w:adjustRightInd w:val="0"/>
        <w:snapToGrid w:val="0"/>
        <w:spacing w:line="360" w:lineRule="auto"/>
        <w:ind w:firstLine="568"/>
        <w:rPr>
          <w:bCs/>
          <w:color w:val="000000" w:themeColor="text1"/>
          <w:sz w:val="28"/>
          <w:szCs w:val="28"/>
        </w:rPr>
      </w:pPr>
      <w:r>
        <w:rPr>
          <w:b/>
          <w:color w:val="000000" w:themeColor="text1"/>
          <w:sz w:val="28"/>
          <w:szCs w:val="28"/>
        </w:rPr>
        <w:t>1.</w:t>
      </w:r>
      <w:r>
        <w:rPr>
          <w:b/>
          <w:color w:val="000000" w:themeColor="text1"/>
          <w:sz w:val="28"/>
          <w:szCs w:val="28"/>
        </w:rPr>
        <w:t>测试</w:t>
      </w:r>
    </w:p>
    <w:p w14:paraId="59B5CA3B" w14:textId="77777777" w:rsidR="002D2AF8" w:rsidRDefault="00000000">
      <w:pPr>
        <w:pStyle w:val="a9"/>
        <w:adjustRightInd w:val="0"/>
        <w:snapToGrid w:val="0"/>
        <w:ind w:firstLineChars="200" w:firstLine="566"/>
        <w:jc w:val="both"/>
        <w:rPr>
          <w:rFonts w:ascii="Times New Roman"/>
          <w:bCs/>
          <w:color w:val="000000" w:themeColor="text1"/>
          <w:sz w:val="28"/>
          <w:szCs w:val="28"/>
        </w:rPr>
      </w:pPr>
      <w:r>
        <w:rPr>
          <w:rFonts w:ascii="Times New Roman"/>
          <w:bCs/>
          <w:color w:val="000000" w:themeColor="text1"/>
          <w:sz w:val="28"/>
          <w:szCs w:val="28"/>
        </w:rPr>
        <w:t>是指用油管（或钻杆）将测试工具下到要测试位置，封隔器将欲测试层与其它层隔开后操作测试器开关，对测试层进行测试，取得</w:t>
      </w:r>
      <w:r>
        <w:rPr>
          <w:rFonts w:hint="eastAsia"/>
          <w:color w:val="000000" w:themeColor="text1"/>
          <w:sz w:val="28"/>
          <w:szCs w:val="28"/>
        </w:rPr>
        <w:t>注水井各层位注水流量</w:t>
      </w:r>
      <w:r>
        <w:rPr>
          <w:rFonts w:ascii="Times New Roman"/>
          <w:bCs/>
          <w:color w:val="000000" w:themeColor="text1"/>
          <w:sz w:val="28"/>
          <w:szCs w:val="28"/>
        </w:rPr>
        <w:t>的工艺过程。</w:t>
      </w:r>
    </w:p>
    <w:p w14:paraId="2E1C2B1A" w14:textId="77777777" w:rsidR="002D2AF8" w:rsidRDefault="00000000">
      <w:pPr>
        <w:pStyle w:val="a4"/>
        <w:adjustRightInd w:val="0"/>
        <w:snapToGrid w:val="0"/>
        <w:spacing w:line="360" w:lineRule="auto"/>
        <w:ind w:firstLine="566"/>
        <w:rPr>
          <w:bCs/>
          <w:color w:val="000000" w:themeColor="text1"/>
          <w:sz w:val="28"/>
          <w:szCs w:val="28"/>
        </w:rPr>
      </w:pPr>
      <w:r>
        <w:rPr>
          <w:rFonts w:hint="eastAsia"/>
          <w:bCs/>
          <w:color w:val="000000" w:themeColor="text1"/>
          <w:sz w:val="28"/>
          <w:szCs w:val="28"/>
        </w:rPr>
        <w:t>2.</w:t>
      </w:r>
      <w:r>
        <w:rPr>
          <w:b/>
          <w:color w:val="000000" w:themeColor="text1"/>
          <w:sz w:val="28"/>
          <w:szCs w:val="28"/>
        </w:rPr>
        <w:t>堵水</w:t>
      </w:r>
      <w:r>
        <w:rPr>
          <w:b/>
          <w:color w:val="000000" w:themeColor="text1"/>
          <w:sz w:val="28"/>
          <w:szCs w:val="28"/>
        </w:rPr>
        <w:t>/</w:t>
      </w:r>
      <w:r>
        <w:rPr>
          <w:b/>
          <w:color w:val="000000" w:themeColor="text1"/>
          <w:sz w:val="28"/>
          <w:szCs w:val="28"/>
        </w:rPr>
        <w:t>调剖</w:t>
      </w:r>
    </w:p>
    <w:p w14:paraId="09AE4CFB" w14:textId="77777777" w:rsidR="002D2AF8"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堵水调剖是指油井出水后进行封堵的办法。目的控制产水层中水的流动和改变水油中水的流动方向，提高水驱油效率。堵水工艺可分为机械堵水和化学堵水两大类，化学堵水又包括选择性堵水和非选择性堵水及注水井调整吸水剖面。机械堵水就是用封隔器及井下配套工具卡封油井中的出水层位。这种堵水没有选择性，在施工</w:t>
      </w:r>
      <w:r>
        <w:rPr>
          <w:color w:val="000000" w:themeColor="text1"/>
          <w:sz w:val="28"/>
          <w:szCs w:val="28"/>
        </w:rPr>
        <w:lastRenderedPageBreak/>
        <w:t>时，配好管柱，使封隔器座封准确、严密，才能达到堵水目的。这种堵水方法可以封上层采下层，封下层采上层，或封中间层采两头和封两头采中间层位。</w:t>
      </w:r>
    </w:p>
    <w:p w14:paraId="7ECBE610" w14:textId="77777777" w:rsidR="002D2AF8" w:rsidRDefault="00000000">
      <w:pPr>
        <w:pStyle w:val="a4"/>
        <w:adjustRightInd w:val="0"/>
        <w:snapToGrid w:val="0"/>
        <w:spacing w:line="360" w:lineRule="auto"/>
        <w:ind w:firstLine="566"/>
        <w:rPr>
          <w:color w:val="000000" w:themeColor="text1"/>
          <w:sz w:val="28"/>
          <w:szCs w:val="28"/>
        </w:rPr>
      </w:pPr>
      <w:r>
        <w:rPr>
          <w:color w:val="000000" w:themeColor="text1"/>
          <w:sz w:val="28"/>
          <w:szCs w:val="28"/>
        </w:rPr>
        <w:t>化学堵水就是将化学堵剂注入出水层位，利用堵剂的化学性质或化学反应物在地层中变化生成的物质达到封堵地层出水孔道，降低油井综合含水。选择性堵水是将一些高分子聚合物或一些遇水生成沉淀、凝固的无机物挤入地层中。高分子聚合物中的亲水基因遇水后对水有亲合力、吸附性，发生膨胀；遇油则收缩，没有吸附作用。遇水生成沉淀、凝固的无机物则可以封堵地层出水孔道，遇油不会产生沉淀或凝固。非选择性堵水大多是靠沉淀颗粒堵塞地层孔道。这种堵水方法既堵出水孔道，也堵出油孔道。</w:t>
      </w:r>
    </w:p>
    <w:p w14:paraId="6F45EC72" w14:textId="77777777" w:rsidR="002D2AF8" w:rsidRDefault="00000000">
      <w:pPr>
        <w:pStyle w:val="a4"/>
        <w:adjustRightInd w:val="0"/>
        <w:snapToGrid w:val="0"/>
        <w:spacing w:line="360" w:lineRule="auto"/>
        <w:ind w:firstLine="566"/>
        <w:rPr>
          <w:color w:val="000000" w:themeColor="text1"/>
          <w:sz w:val="28"/>
          <w:szCs w:val="28"/>
        </w:rPr>
      </w:pPr>
      <w:r>
        <w:rPr>
          <w:rFonts w:hint="eastAsia"/>
          <w:color w:val="000000" w:themeColor="text1"/>
          <w:sz w:val="28"/>
          <w:szCs w:val="28"/>
        </w:rPr>
        <w:t>该公司</w:t>
      </w:r>
      <w:r>
        <w:rPr>
          <w:color w:val="000000" w:themeColor="text1"/>
          <w:sz w:val="28"/>
          <w:szCs w:val="28"/>
        </w:rPr>
        <w:t>主要采用化学堵水方式，</w:t>
      </w:r>
      <w:r>
        <w:rPr>
          <w:rFonts w:hint="eastAsia"/>
          <w:color w:val="000000" w:themeColor="text1"/>
          <w:sz w:val="28"/>
          <w:szCs w:val="28"/>
        </w:rPr>
        <w:t>目前</w:t>
      </w:r>
      <w:r>
        <w:rPr>
          <w:color w:val="000000" w:themeColor="text1"/>
          <w:sz w:val="28"/>
          <w:szCs w:val="28"/>
        </w:rPr>
        <w:t>采用的化学堵剂</w:t>
      </w:r>
      <w:r>
        <w:rPr>
          <w:rFonts w:hint="eastAsia"/>
          <w:color w:val="000000" w:themeColor="text1"/>
          <w:sz w:val="28"/>
          <w:szCs w:val="28"/>
        </w:rPr>
        <w:t>主要是</w:t>
      </w:r>
      <w:r>
        <w:rPr>
          <w:color w:val="000000" w:themeColor="text1"/>
          <w:sz w:val="28"/>
          <w:szCs w:val="28"/>
        </w:rPr>
        <w:t>高分子聚丙烯酰胺粉剂。</w:t>
      </w:r>
    </w:p>
    <w:p w14:paraId="688CBC56"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2.3.2 </w:t>
      </w:r>
      <w:r>
        <w:rPr>
          <w:rFonts w:eastAsia="黑体"/>
          <w:b w:val="0"/>
          <w:snapToGrid w:val="0"/>
          <w:color w:val="000000" w:themeColor="text1"/>
          <w:kern w:val="0"/>
          <w:sz w:val="28"/>
          <w:szCs w:val="28"/>
        </w:rPr>
        <w:t>作业流程</w:t>
      </w:r>
    </w:p>
    <w:p w14:paraId="7A2210DF" w14:textId="77777777" w:rsidR="002D2AF8" w:rsidRDefault="00000000">
      <w:pPr>
        <w:pStyle w:val="a4"/>
        <w:adjustRightInd w:val="0"/>
        <w:snapToGrid w:val="0"/>
        <w:spacing w:line="360" w:lineRule="auto"/>
        <w:ind w:firstLineChars="0" w:firstLine="0"/>
        <w:outlineLvl w:val="3"/>
        <w:rPr>
          <w:b/>
          <w:color w:val="000000" w:themeColor="text1"/>
          <w:sz w:val="28"/>
        </w:rPr>
      </w:pPr>
      <w:r>
        <w:rPr>
          <w:b/>
          <w:color w:val="000000" w:themeColor="text1"/>
          <w:sz w:val="28"/>
          <w:szCs w:val="28"/>
        </w:rPr>
        <w:t>2.3.2.</w:t>
      </w:r>
      <w:r>
        <w:rPr>
          <w:rFonts w:hint="eastAsia"/>
          <w:b/>
          <w:color w:val="000000" w:themeColor="text1"/>
          <w:sz w:val="28"/>
          <w:szCs w:val="28"/>
        </w:rPr>
        <w:t>1</w:t>
      </w:r>
      <w:r>
        <w:rPr>
          <w:b/>
          <w:color w:val="000000" w:themeColor="text1"/>
          <w:sz w:val="28"/>
          <w:szCs w:val="28"/>
        </w:rPr>
        <w:t xml:space="preserve"> </w:t>
      </w:r>
      <w:r>
        <w:rPr>
          <w:b/>
          <w:color w:val="000000" w:themeColor="text1"/>
          <w:sz w:val="28"/>
        </w:rPr>
        <w:t>测试作业流程</w:t>
      </w:r>
    </w:p>
    <w:p w14:paraId="07EE2EDB"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57883424" w14:textId="77777777" w:rsidR="002D2AF8"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2.3.2.</w:t>
      </w:r>
      <w:r>
        <w:rPr>
          <w:rFonts w:hint="eastAsia"/>
          <w:b/>
          <w:color w:val="000000" w:themeColor="text1"/>
          <w:sz w:val="28"/>
          <w:szCs w:val="28"/>
        </w:rPr>
        <w:t>2</w:t>
      </w:r>
      <w:r>
        <w:rPr>
          <w:b/>
          <w:color w:val="000000" w:themeColor="text1"/>
          <w:sz w:val="28"/>
          <w:szCs w:val="28"/>
        </w:rPr>
        <w:t xml:space="preserve"> </w:t>
      </w:r>
      <w:r>
        <w:rPr>
          <w:b/>
          <w:color w:val="000000" w:themeColor="text1"/>
          <w:sz w:val="28"/>
        </w:rPr>
        <w:t>堵水</w:t>
      </w:r>
      <w:r>
        <w:rPr>
          <w:b/>
          <w:color w:val="000000" w:themeColor="text1"/>
          <w:sz w:val="28"/>
        </w:rPr>
        <w:t>/</w:t>
      </w:r>
      <w:r>
        <w:rPr>
          <w:b/>
          <w:color w:val="000000" w:themeColor="text1"/>
          <w:sz w:val="28"/>
        </w:rPr>
        <w:t>调剖</w:t>
      </w:r>
      <w:r>
        <w:rPr>
          <w:b/>
          <w:color w:val="000000" w:themeColor="text1"/>
          <w:sz w:val="28"/>
          <w:szCs w:val="28"/>
        </w:rPr>
        <w:t>作业</w:t>
      </w:r>
    </w:p>
    <w:p w14:paraId="1F4525D7"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3AC97E00"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2.3.3 </w:t>
      </w:r>
      <w:r>
        <w:rPr>
          <w:rFonts w:eastAsia="黑体"/>
          <w:b w:val="0"/>
          <w:snapToGrid w:val="0"/>
          <w:color w:val="000000" w:themeColor="text1"/>
          <w:kern w:val="0"/>
          <w:sz w:val="28"/>
          <w:szCs w:val="28"/>
        </w:rPr>
        <w:t>队伍简介</w:t>
      </w:r>
    </w:p>
    <w:p w14:paraId="5EF3981F"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421FBA19" w14:textId="77777777" w:rsidR="002D2AF8"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2.3.4 </w:t>
      </w:r>
      <w:r>
        <w:rPr>
          <w:rFonts w:eastAsia="黑体"/>
          <w:b w:val="0"/>
          <w:snapToGrid w:val="0"/>
          <w:color w:val="000000" w:themeColor="text1"/>
          <w:kern w:val="0"/>
          <w:sz w:val="28"/>
          <w:szCs w:val="28"/>
        </w:rPr>
        <w:t>装备、设施的配备</w:t>
      </w:r>
    </w:p>
    <w:p w14:paraId="56332CF1"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04500DEB" w14:textId="77777777" w:rsidR="002D2AF8" w:rsidRDefault="00000000">
      <w:pPr>
        <w:adjustRightInd w:val="0"/>
        <w:snapToGrid w:val="0"/>
        <w:spacing w:beforeLines="50" w:before="162" w:line="360" w:lineRule="auto"/>
        <w:rPr>
          <w:rFonts w:eastAsia="黑体"/>
          <w:snapToGrid w:val="0"/>
          <w:color w:val="000000" w:themeColor="text1"/>
          <w:kern w:val="0"/>
          <w:sz w:val="28"/>
          <w:szCs w:val="28"/>
        </w:rPr>
      </w:pPr>
      <w:r>
        <w:rPr>
          <w:rFonts w:eastAsia="黑体"/>
          <w:snapToGrid w:val="0"/>
          <w:color w:val="000000" w:themeColor="text1"/>
          <w:kern w:val="0"/>
          <w:sz w:val="28"/>
          <w:szCs w:val="28"/>
        </w:rPr>
        <w:t xml:space="preserve">2.3.5 </w:t>
      </w:r>
      <w:r>
        <w:rPr>
          <w:rFonts w:eastAsia="黑体"/>
          <w:snapToGrid w:val="0"/>
          <w:color w:val="000000" w:themeColor="text1"/>
          <w:kern w:val="0"/>
          <w:sz w:val="28"/>
          <w:szCs w:val="28"/>
        </w:rPr>
        <w:t>作业区域及自然条件</w:t>
      </w:r>
    </w:p>
    <w:p w14:paraId="0E32A739" w14:textId="77777777" w:rsidR="002D2AF8" w:rsidRDefault="00000000">
      <w:pPr>
        <w:pStyle w:val="Char3"/>
        <w:widowControl w:val="0"/>
        <w:adjustRightInd w:val="0"/>
        <w:snapToGrid w:val="0"/>
        <w:spacing w:after="0" w:line="360" w:lineRule="auto"/>
        <w:ind w:firstLineChars="200" w:firstLine="566"/>
        <w:rPr>
          <w:color w:val="000000" w:themeColor="text1"/>
          <w:sz w:val="28"/>
        </w:rPr>
      </w:pPr>
      <w:r>
        <w:rPr>
          <w:rFonts w:hint="eastAsia"/>
          <w:color w:val="000000" w:themeColor="text1"/>
          <w:sz w:val="28"/>
          <w:szCs w:val="28"/>
        </w:rPr>
        <w:t>胜利油田胜兴堵驱新技术开发有限责任公司注册地址为</w:t>
      </w:r>
      <w:r>
        <w:rPr>
          <w:color w:val="000000" w:themeColor="text1"/>
          <w:sz w:val="28"/>
          <w:szCs w:val="28"/>
        </w:rPr>
        <w:t>山东省东营市东营区</w:t>
      </w:r>
      <w:r>
        <w:rPr>
          <w:rFonts w:hint="eastAsia"/>
          <w:color w:val="000000" w:themeColor="text1"/>
          <w:sz w:val="28"/>
          <w:szCs w:val="28"/>
        </w:rPr>
        <w:t>通河路，办公地址为东营市垦利区胜坨镇万达路以东、</w:t>
      </w:r>
      <w:r>
        <w:rPr>
          <w:rFonts w:hint="eastAsia"/>
          <w:color w:val="000000" w:themeColor="text1"/>
          <w:sz w:val="28"/>
          <w:szCs w:val="28"/>
        </w:rPr>
        <w:lastRenderedPageBreak/>
        <w:t>胜坨路以北</w:t>
      </w:r>
      <w:r>
        <w:rPr>
          <w:color w:val="000000" w:themeColor="text1"/>
          <w:sz w:val="28"/>
          <w:szCs w:val="28"/>
        </w:rPr>
        <w:t>。公司从事井下作业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调剖等业务。该企业主要服务于胜利</w:t>
      </w:r>
      <w:r>
        <w:rPr>
          <w:rFonts w:hint="eastAsia"/>
          <w:color w:val="000000" w:themeColor="text1"/>
          <w:sz w:val="28"/>
          <w:szCs w:val="28"/>
        </w:rPr>
        <w:t>采油厂</w:t>
      </w:r>
      <w:r>
        <w:rPr>
          <w:color w:val="000000" w:themeColor="text1"/>
          <w:sz w:val="28"/>
          <w:szCs w:val="28"/>
        </w:rPr>
        <w:t>区域，作业地</w:t>
      </w:r>
      <w:r>
        <w:rPr>
          <w:rFonts w:hint="eastAsia"/>
          <w:color w:val="000000" w:themeColor="text1"/>
          <w:sz w:val="28"/>
          <w:szCs w:val="28"/>
        </w:rPr>
        <w:t>为山东省</w:t>
      </w:r>
      <w:r>
        <w:rPr>
          <w:color w:val="000000" w:themeColor="text1"/>
          <w:sz w:val="28"/>
          <w:szCs w:val="28"/>
        </w:rPr>
        <w:t>东营市。</w:t>
      </w:r>
    </w:p>
    <w:p w14:paraId="4845E7AF" w14:textId="77777777" w:rsidR="002D2AF8"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 xml:space="preserve">2.3.5.1 </w:t>
      </w:r>
      <w:r>
        <w:rPr>
          <w:b/>
          <w:color w:val="000000" w:themeColor="text1"/>
          <w:sz w:val="28"/>
          <w:szCs w:val="28"/>
        </w:rPr>
        <w:t>东营市自然气象条件</w:t>
      </w:r>
    </w:p>
    <w:p w14:paraId="3CD60455"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shd w:val="clear" w:color="auto" w:fill="FFFFFF"/>
        </w:rPr>
        <w:t>地形地貌</w:t>
      </w:r>
    </w:p>
    <w:p w14:paraId="79710FF6" w14:textId="77777777" w:rsidR="002D2AF8" w:rsidRDefault="00000000">
      <w:pPr>
        <w:shd w:val="clear" w:color="auto" w:fill="FFFFFF"/>
        <w:adjustRightInd w:val="0"/>
        <w:snapToGrid w:val="0"/>
        <w:spacing w:line="360" w:lineRule="auto"/>
        <w:ind w:firstLineChars="200" w:firstLine="566"/>
        <w:jc w:val="left"/>
        <w:rPr>
          <w:color w:val="000000" w:themeColor="text1"/>
          <w:kern w:val="0"/>
          <w:sz w:val="28"/>
          <w:szCs w:val="28"/>
          <w:shd w:val="clear" w:color="auto" w:fill="FFFFFF"/>
        </w:rPr>
      </w:pPr>
      <w:r>
        <w:rPr>
          <w:color w:val="000000" w:themeColor="text1"/>
          <w:kern w:val="0"/>
          <w:sz w:val="28"/>
          <w:szCs w:val="28"/>
          <w:shd w:val="clear" w:color="auto" w:fill="FFFFFF"/>
        </w:rPr>
        <w:t>东营市地处华北坳陷区之济阳坳陷东端，地层自老至新有太古界泰山岩群，古生界</w:t>
      </w:r>
      <w:hyperlink r:id="rId21" w:tgtFrame="https://baike.baidu.com/item/%E4%B8%9C%E8%90%A5/_blank" w:history="1">
        <w:r>
          <w:rPr>
            <w:rStyle w:val="aff2"/>
            <w:color w:val="000000" w:themeColor="text1"/>
            <w:sz w:val="28"/>
            <w:szCs w:val="28"/>
            <w:u w:val="none"/>
            <w:shd w:val="clear" w:color="auto" w:fill="FFFFFF"/>
          </w:rPr>
          <w:t>寒武系</w:t>
        </w:r>
      </w:hyperlink>
      <w:r>
        <w:rPr>
          <w:color w:val="000000" w:themeColor="text1"/>
          <w:kern w:val="0"/>
          <w:sz w:val="28"/>
          <w:szCs w:val="28"/>
          <w:shd w:val="clear" w:color="auto" w:fill="FFFFFF"/>
        </w:rPr>
        <w:t>、奥陶系、</w:t>
      </w:r>
      <w:hyperlink r:id="rId22" w:tgtFrame="https://baike.baidu.com/item/%E4%B8%9C%E8%90%A5/_blank" w:history="1">
        <w:r>
          <w:rPr>
            <w:rStyle w:val="aff2"/>
            <w:color w:val="000000" w:themeColor="text1"/>
            <w:sz w:val="28"/>
            <w:szCs w:val="28"/>
            <w:u w:val="none"/>
            <w:shd w:val="clear" w:color="auto" w:fill="FFFFFF"/>
          </w:rPr>
          <w:t>石炭系</w:t>
        </w:r>
      </w:hyperlink>
      <w:r>
        <w:rPr>
          <w:color w:val="000000" w:themeColor="text1"/>
          <w:kern w:val="0"/>
          <w:sz w:val="28"/>
          <w:szCs w:val="28"/>
          <w:shd w:val="clear" w:color="auto" w:fill="FFFFFF"/>
        </w:rPr>
        <w:t>和</w:t>
      </w:r>
      <w:hyperlink r:id="rId23" w:tgtFrame="https://baike.baidu.com/item/%E4%B8%9C%E8%90%A5/_blank" w:history="1">
        <w:r>
          <w:rPr>
            <w:rStyle w:val="aff2"/>
            <w:color w:val="000000" w:themeColor="text1"/>
            <w:sz w:val="28"/>
            <w:szCs w:val="28"/>
            <w:u w:val="none"/>
            <w:shd w:val="clear" w:color="auto" w:fill="FFFFFF"/>
          </w:rPr>
          <w:t>二叠系</w:t>
        </w:r>
      </w:hyperlink>
      <w:r>
        <w:rPr>
          <w:color w:val="000000" w:themeColor="text1"/>
          <w:kern w:val="0"/>
          <w:sz w:val="28"/>
          <w:szCs w:val="28"/>
          <w:shd w:val="clear" w:color="auto" w:fill="FFFFFF"/>
        </w:rPr>
        <w:t>，中生界侏罗系、</w:t>
      </w:r>
      <w:hyperlink r:id="rId24" w:tgtFrame="https://baike.baidu.com/item/%E4%B8%9C%E8%90%A5/_blank" w:history="1">
        <w:r>
          <w:rPr>
            <w:rStyle w:val="aff2"/>
            <w:color w:val="000000" w:themeColor="text1"/>
            <w:sz w:val="28"/>
            <w:szCs w:val="28"/>
            <w:u w:val="none"/>
            <w:shd w:val="clear" w:color="auto" w:fill="FFFFFF"/>
          </w:rPr>
          <w:t>白垩系</w:t>
        </w:r>
      </w:hyperlink>
      <w:r>
        <w:rPr>
          <w:color w:val="000000" w:themeColor="text1"/>
          <w:kern w:val="0"/>
          <w:sz w:val="28"/>
          <w:szCs w:val="28"/>
          <w:shd w:val="clear" w:color="auto" w:fill="FFFFFF"/>
        </w:rPr>
        <w:t>，新生界第三系、第四系；缺失元古界，古生界上奥陶统、志留系、</w:t>
      </w:r>
      <w:hyperlink r:id="rId25" w:tgtFrame="https://baike.baidu.com/item/%E4%B8%9C%E8%90%A5/_blank" w:history="1">
        <w:r>
          <w:rPr>
            <w:rStyle w:val="aff2"/>
            <w:color w:val="000000" w:themeColor="text1"/>
            <w:sz w:val="28"/>
            <w:szCs w:val="28"/>
            <w:u w:val="none"/>
            <w:shd w:val="clear" w:color="auto" w:fill="FFFFFF"/>
          </w:rPr>
          <w:t>泥盆系</w:t>
        </w:r>
      </w:hyperlink>
      <w:r>
        <w:rPr>
          <w:color w:val="000000" w:themeColor="text1"/>
          <w:kern w:val="0"/>
          <w:sz w:val="28"/>
          <w:szCs w:val="28"/>
          <w:shd w:val="clear" w:color="auto" w:fill="FFFFFF"/>
        </w:rPr>
        <w:t>、下古炭统及中生界三叠系。凹陷和凸起自北而南主要有：埕子口凸起（东端）、车镇凹陷（东部）、义和庄凸起（东部）、沾化凹陷（东部）、陈家庄凸起、东营凹陷（东半部）、广饶凸起（部分）等。</w:t>
      </w:r>
      <w:bookmarkStart w:id="24" w:name="ref_[6]_5460484"/>
    </w:p>
    <w:p w14:paraId="017E3D78" w14:textId="77777777" w:rsidR="002D2AF8" w:rsidRDefault="00000000">
      <w:pPr>
        <w:shd w:val="clear" w:color="auto" w:fill="FFFFFF"/>
        <w:adjustRightInd w:val="0"/>
        <w:snapToGrid w:val="0"/>
        <w:spacing w:line="360" w:lineRule="auto"/>
        <w:ind w:firstLineChars="200" w:firstLine="566"/>
        <w:jc w:val="left"/>
        <w:rPr>
          <w:color w:val="000000" w:themeColor="text1"/>
          <w:sz w:val="28"/>
          <w:szCs w:val="28"/>
        </w:rPr>
      </w:pPr>
      <w:r>
        <w:rPr>
          <w:color w:val="000000" w:themeColor="text1"/>
          <w:kern w:val="0"/>
          <w:sz w:val="28"/>
          <w:szCs w:val="28"/>
          <w:shd w:val="clear" w:color="auto" w:fill="FFFFFF"/>
        </w:rPr>
        <w:t>东营市地势沿黄河走向自西南向东北倾斜。西南部最高高程为</w:t>
      </w:r>
      <w:r>
        <w:rPr>
          <w:color w:val="000000" w:themeColor="text1"/>
          <w:kern w:val="0"/>
          <w:sz w:val="28"/>
          <w:szCs w:val="28"/>
          <w:shd w:val="clear" w:color="auto" w:fill="FFFFFF"/>
        </w:rPr>
        <w:t>28m</w:t>
      </w:r>
      <w:r>
        <w:rPr>
          <w:color w:val="000000" w:themeColor="text1"/>
          <w:kern w:val="0"/>
          <w:sz w:val="28"/>
          <w:szCs w:val="28"/>
          <w:shd w:val="clear" w:color="auto" w:fill="FFFFFF"/>
        </w:rPr>
        <w:t>（大沽高程，下同），东北部最低高程</w:t>
      </w:r>
      <w:r>
        <w:rPr>
          <w:color w:val="000000" w:themeColor="text1"/>
          <w:kern w:val="0"/>
          <w:sz w:val="28"/>
          <w:szCs w:val="28"/>
          <w:shd w:val="clear" w:color="auto" w:fill="FFFFFF"/>
        </w:rPr>
        <w:t>1m</w:t>
      </w:r>
      <w:r>
        <w:rPr>
          <w:color w:val="000000" w:themeColor="text1"/>
          <w:kern w:val="0"/>
          <w:sz w:val="28"/>
          <w:szCs w:val="28"/>
          <w:shd w:val="clear" w:color="auto" w:fill="FFFFFF"/>
        </w:rPr>
        <w:t>，自然比降为</w:t>
      </w:r>
      <w:r>
        <w:rPr>
          <w:color w:val="000000" w:themeColor="text1"/>
          <w:kern w:val="0"/>
          <w:sz w:val="28"/>
          <w:szCs w:val="28"/>
          <w:shd w:val="clear" w:color="auto" w:fill="FFFFFF"/>
        </w:rPr>
        <w:t>1/8000</w:t>
      </w:r>
      <w:r>
        <w:rPr>
          <w:color w:val="000000" w:themeColor="text1"/>
          <w:kern w:val="0"/>
          <w:sz w:val="28"/>
          <w:szCs w:val="28"/>
          <w:shd w:val="clear" w:color="auto" w:fill="FFFFFF"/>
        </w:rPr>
        <w:t>～</w:t>
      </w:r>
      <w:r>
        <w:rPr>
          <w:color w:val="000000" w:themeColor="text1"/>
          <w:kern w:val="0"/>
          <w:sz w:val="28"/>
          <w:szCs w:val="28"/>
          <w:shd w:val="clear" w:color="auto" w:fill="FFFFFF"/>
        </w:rPr>
        <w:t>1/12000</w:t>
      </w:r>
      <w:r>
        <w:rPr>
          <w:color w:val="000000" w:themeColor="text1"/>
          <w:kern w:val="0"/>
          <w:sz w:val="28"/>
          <w:szCs w:val="28"/>
          <w:shd w:val="clear" w:color="auto" w:fill="FFFFFF"/>
        </w:rPr>
        <w:t>；西部最高高程为</w:t>
      </w:r>
      <w:r>
        <w:rPr>
          <w:color w:val="000000" w:themeColor="text1"/>
          <w:kern w:val="0"/>
          <w:sz w:val="28"/>
          <w:szCs w:val="28"/>
          <w:shd w:val="clear" w:color="auto" w:fill="FFFFFF"/>
        </w:rPr>
        <w:t>11m</w:t>
      </w:r>
      <w:r>
        <w:rPr>
          <w:color w:val="000000" w:themeColor="text1"/>
          <w:kern w:val="0"/>
          <w:sz w:val="28"/>
          <w:szCs w:val="28"/>
          <w:shd w:val="clear" w:color="auto" w:fill="FFFFFF"/>
        </w:rPr>
        <w:t>，东部最低高程</w:t>
      </w:r>
      <w:r>
        <w:rPr>
          <w:color w:val="000000" w:themeColor="text1"/>
          <w:kern w:val="0"/>
          <w:sz w:val="28"/>
          <w:szCs w:val="28"/>
          <w:shd w:val="clear" w:color="auto" w:fill="FFFFFF"/>
        </w:rPr>
        <w:t>1m</w:t>
      </w:r>
      <w:r>
        <w:rPr>
          <w:color w:val="000000" w:themeColor="text1"/>
          <w:kern w:val="0"/>
          <w:sz w:val="28"/>
          <w:szCs w:val="28"/>
          <w:shd w:val="clear" w:color="auto" w:fill="FFFFFF"/>
        </w:rPr>
        <w:t>，自然比降为</w:t>
      </w:r>
      <w:r>
        <w:rPr>
          <w:color w:val="000000" w:themeColor="text1"/>
          <w:kern w:val="0"/>
          <w:sz w:val="28"/>
          <w:szCs w:val="28"/>
          <w:shd w:val="clear" w:color="auto" w:fill="FFFFFF"/>
        </w:rPr>
        <w:t>1/7000</w:t>
      </w:r>
      <w:r>
        <w:rPr>
          <w:color w:val="000000" w:themeColor="text1"/>
          <w:kern w:val="0"/>
          <w:sz w:val="28"/>
          <w:szCs w:val="28"/>
          <w:shd w:val="clear" w:color="auto" w:fill="FFFFFF"/>
        </w:rPr>
        <w:t>。黄河穿境而过，背河方向近河高、远河低，背河自然比降为</w:t>
      </w:r>
      <w:r>
        <w:rPr>
          <w:color w:val="000000" w:themeColor="text1"/>
          <w:kern w:val="0"/>
          <w:sz w:val="28"/>
          <w:szCs w:val="28"/>
          <w:shd w:val="clear" w:color="auto" w:fill="FFFFFF"/>
        </w:rPr>
        <w:t>1/7000</w:t>
      </w:r>
      <w:r>
        <w:rPr>
          <w:color w:val="000000" w:themeColor="text1"/>
          <w:kern w:val="0"/>
          <w:sz w:val="28"/>
          <w:szCs w:val="28"/>
          <w:shd w:val="clear" w:color="auto" w:fill="FFFFFF"/>
        </w:rPr>
        <w:t>，河滩地高于背河地</w:t>
      </w:r>
      <w:r>
        <w:rPr>
          <w:color w:val="000000" w:themeColor="text1"/>
          <w:kern w:val="0"/>
          <w:sz w:val="28"/>
          <w:szCs w:val="28"/>
          <w:shd w:val="clear" w:color="auto" w:fill="FFFFFF"/>
        </w:rPr>
        <w:t>2</w:t>
      </w:r>
      <w:r>
        <w:rPr>
          <w:color w:val="000000" w:themeColor="text1"/>
          <w:kern w:val="0"/>
          <w:sz w:val="28"/>
          <w:szCs w:val="28"/>
          <w:shd w:val="clear" w:color="auto" w:fill="FFFFFF"/>
        </w:rPr>
        <w:t>～</w:t>
      </w:r>
      <w:r>
        <w:rPr>
          <w:color w:val="000000" w:themeColor="text1"/>
          <w:kern w:val="0"/>
          <w:sz w:val="28"/>
          <w:szCs w:val="28"/>
          <w:shd w:val="clear" w:color="auto" w:fill="FFFFFF"/>
        </w:rPr>
        <w:t>4m</w:t>
      </w:r>
      <w:r>
        <w:rPr>
          <w:color w:val="000000" w:themeColor="text1"/>
          <w:kern w:val="0"/>
          <w:sz w:val="28"/>
          <w:szCs w:val="28"/>
          <w:shd w:val="clear" w:color="auto" w:fill="FFFFFF"/>
        </w:rPr>
        <w:t>，形成</w:t>
      </w:r>
      <w:r>
        <w:rPr>
          <w:color w:val="000000" w:themeColor="text1"/>
          <w:kern w:val="0"/>
          <w:sz w:val="28"/>
          <w:szCs w:val="28"/>
          <w:shd w:val="clear" w:color="auto" w:fill="FFFFFF"/>
        </w:rPr>
        <w:t>“</w:t>
      </w:r>
      <w:r>
        <w:rPr>
          <w:color w:val="000000" w:themeColor="text1"/>
          <w:kern w:val="0"/>
          <w:sz w:val="28"/>
          <w:szCs w:val="28"/>
          <w:shd w:val="clear" w:color="auto" w:fill="FFFFFF"/>
        </w:rPr>
        <w:t>地上悬河</w:t>
      </w:r>
      <w:r>
        <w:rPr>
          <w:color w:val="000000" w:themeColor="text1"/>
          <w:kern w:val="0"/>
          <w:sz w:val="28"/>
          <w:szCs w:val="28"/>
          <w:shd w:val="clear" w:color="auto" w:fill="FFFFFF"/>
        </w:rPr>
        <w:t>”</w:t>
      </w:r>
      <w:r>
        <w:rPr>
          <w:color w:val="000000" w:themeColor="text1"/>
          <w:kern w:val="0"/>
          <w:sz w:val="28"/>
          <w:szCs w:val="28"/>
          <w:shd w:val="clear" w:color="auto" w:fill="FFFFFF"/>
        </w:rPr>
        <w:t>。东营市微地貌有</w:t>
      </w:r>
      <w:r>
        <w:rPr>
          <w:color w:val="000000" w:themeColor="text1"/>
          <w:kern w:val="0"/>
          <w:sz w:val="28"/>
          <w:szCs w:val="28"/>
          <w:shd w:val="clear" w:color="auto" w:fill="FFFFFF"/>
        </w:rPr>
        <w:t>5</w:t>
      </w:r>
      <w:r>
        <w:rPr>
          <w:color w:val="000000" w:themeColor="text1"/>
          <w:kern w:val="0"/>
          <w:sz w:val="28"/>
          <w:szCs w:val="28"/>
          <w:shd w:val="clear" w:color="auto" w:fill="FFFFFF"/>
        </w:rPr>
        <w:t>种类型：古河滩高地，占东营市总面积的</w:t>
      </w:r>
      <w:r>
        <w:rPr>
          <w:color w:val="000000" w:themeColor="text1"/>
          <w:kern w:val="0"/>
          <w:sz w:val="28"/>
          <w:szCs w:val="28"/>
          <w:shd w:val="clear" w:color="auto" w:fill="FFFFFF"/>
        </w:rPr>
        <w:t>4.15%</w:t>
      </w:r>
      <w:r>
        <w:rPr>
          <w:color w:val="000000" w:themeColor="text1"/>
          <w:kern w:val="0"/>
          <w:sz w:val="28"/>
          <w:szCs w:val="28"/>
          <w:shd w:val="clear" w:color="auto" w:fill="FFFFFF"/>
        </w:rPr>
        <w:t>，主要分布于黄河决口扇面上游；河滩高地，占东营市总面积的</w:t>
      </w:r>
      <w:r>
        <w:rPr>
          <w:color w:val="000000" w:themeColor="text1"/>
          <w:kern w:val="0"/>
          <w:sz w:val="28"/>
          <w:szCs w:val="28"/>
          <w:shd w:val="clear" w:color="auto" w:fill="FFFFFF"/>
        </w:rPr>
        <w:t>3.58%</w:t>
      </w:r>
      <w:r>
        <w:rPr>
          <w:color w:val="000000" w:themeColor="text1"/>
          <w:kern w:val="0"/>
          <w:sz w:val="28"/>
          <w:szCs w:val="28"/>
          <w:shd w:val="clear" w:color="auto" w:fill="FFFFFF"/>
        </w:rPr>
        <w:t>，主要分布于黄河河道至大堤之间；微斜平地，占东营市总面积的</w:t>
      </w:r>
      <w:r>
        <w:rPr>
          <w:color w:val="000000" w:themeColor="text1"/>
          <w:kern w:val="0"/>
          <w:sz w:val="28"/>
          <w:szCs w:val="28"/>
          <w:shd w:val="clear" w:color="auto" w:fill="FFFFFF"/>
        </w:rPr>
        <w:t>54.54%</w:t>
      </w:r>
      <w:r>
        <w:rPr>
          <w:color w:val="000000" w:themeColor="text1"/>
          <w:kern w:val="0"/>
          <w:sz w:val="28"/>
          <w:szCs w:val="28"/>
          <w:shd w:val="clear" w:color="auto" w:fill="FFFFFF"/>
        </w:rPr>
        <w:t>，是岗、洼过渡地带；浅平洼地，占东营市总面积的</w:t>
      </w:r>
      <w:r>
        <w:rPr>
          <w:color w:val="000000" w:themeColor="text1"/>
          <w:kern w:val="0"/>
          <w:sz w:val="28"/>
          <w:szCs w:val="28"/>
          <w:shd w:val="clear" w:color="auto" w:fill="FFFFFF"/>
        </w:rPr>
        <w:t>10.68%</w:t>
      </w:r>
      <w:r>
        <w:rPr>
          <w:color w:val="000000" w:themeColor="text1"/>
          <w:kern w:val="0"/>
          <w:sz w:val="28"/>
          <w:szCs w:val="28"/>
          <w:shd w:val="clear" w:color="auto" w:fill="FFFFFF"/>
        </w:rPr>
        <w:t>，小清河以南主要分布于古河滩高地之间，小清河以北主要分布于微斜平地之中、缓岗之间和黄河故道低洼处；海滩地，占东营市总面积的</w:t>
      </w:r>
      <w:r>
        <w:rPr>
          <w:color w:val="000000" w:themeColor="text1"/>
          <w:kern w:val="0"/>
          <w:sz w:val="28"/>
          <w:szCs w:val="28"/>
          <w:shd w:val="clear" w:color="auto" w:fill="FFFFFF"/>
        </w:rPr>
        <w:t>27.05%</w:t>
      </w:r>
      <w:r>
        <w:rPr>
          <w:color w:val="000000" w:themeColor="text1"/>
          <w:kern w:val="0"/>
          <w:sz w:val="28"/>
          <w:szCs w:val="28"/>
          <w:shd w:val="clear" w:color="auto" w:fill="FFFFFF"/>
        </w:rPr>
        <w:t>，与海岸线平行呈带状分布。</w:t>
      </w:r>
      <w:bookmarkEnd w:id="24"/>
    </w:p>
    <w:p w14:paraId="6308C3B0" w14:textId="77777777" w:rsidR="002D2AF8" w:rsidRDefault="00000000">
      <w:pPr>
        <w:adjustRightInd w:val="0"/>
        <w:snapToGrid w:val="0"/>
        <w:spacing w:line="360" w:lineRule="auto"/>
        <w:ind w:firstLineChars="200" w:firstLine="566"/>
        <w:rPr>
          <w:color w:val="000000" w:themeColor="text1"/>
          <w:sz w:val="28"/>
          <w:szCs w:val="28"/>
        </w:rPr>
      </w:pPr>
      <w:bookmarkStart w:id="25" w:name="sub5460484_3_3"/>
      <w:bookmarkStart w:id="26" w:name="3-3"/>
      <w:bookmarkStart w:id="27" w:name="3_3"/>
      <w:bookmarkStart w:id="28" w:name="气候"/>
      <w:bookmarkEnd w:id="25"/>
      <w:bookmarkEnd w:id="26"/>
      <w:bookmarkEnd w:id="27"/>
      <w:bookmarkEnd w:id="28"/>
      <w:r>
        <w:rPr>
          <w:color w:val="000000" w:themeColor="text1"/>
          <w:sz w:val="28"/>
          <w:szCs w:val="28"/>
          <w:shd w:val="clear" w:color="auto" w:fill="FFFFFF"/>
        </w:rPr>
        <w:t>2.</w:t>
      </w:r>
      <w:r>
        <w:rPr>
          <w:color w:val="000000" w:themeColor="text1"/>
          <w:sz w:val="28"/>
          <w:szCs w:val="28"/>
          <w:shd w:val="clear" w:color="auto" w:fill="FFFFFF"/>
        </w:rPr>
        <w:t>气候</w:t>
      </w:r>
    </w:p>
    <w:p w14:paraId="62481F63" w14:textId="77777777" w:rsidR="002D2AF8" w:rsidRDefault="00000000">
      <w:pPr>
        <w:shd w:val="clear" w:color="auto" w:fill="FFFFFF"/>
        <w:adjustRightInd w:val="0"/>
        <w:snapToGrid w:val="0"/>
        <w:spacing w:line="360" w:lineRule="auto"/>
        <w:ind w:firstLineChars="200" w:firstLine="566"/>
        <w:jc w:val="left"/>
        <w:rPr>
          <w:color w:val="000000" w:themeColor="text1"/>
          <w:kern w:val="0"/>
          <w:sz w:val="28"/>
          <w:szCs w:val="28"/>
          <w:shd w:val="clear" w:color="auto" w:fill="FFFFFF"/>
        </w:rPr>
      </w:pPr>
      <w:r>
        <w:rPr>
          <w:color w:val="000000" w:themeColor="text1"/>
          <w:kern w:val="0"/>
          <w:sz w:val="28"/>
          <w:szCs w:val="28"/>
          <w:shd w:val="clear" w:color="auto" w:fill="FFFFFF"/>
        </w:rPr>
        <w:t>东营市地处中纬度，背陆面海，受亚欧大陆和西太平洋共同影</w:t>
      </w:r>
      <w:r>
        <w:rPr>
          <w:color w:val="000000" w:themeColor="text1"/>
          <w:kern w:val="0"/>
          <w:sz w:val="28"/>
          <w:szCs w:val="28"/>
          <w:shd w:val="clear" w:color="auto" w:fill="FFFFFF"/>
        </w:rPr>
        <w:lastRenderedPageBreak/>
        <w:t>响，属暖温带大陆性季风气候，基本气候特征为冬寒夏热，四季分明。春季，干旱多风，早春冷暖无常，常有倒春寒出现，晚春回暖迅速，常发生春旱；夏季，炎热多雨，温高湿大，有时受台风侵袭；秋季，气温下降，雨水骤减，天高气爽；冬季，天气干冷，寒风频吹，多刮北风、西北风，雨雪稀少。主要气象灾害有霜冻、</w:t>
      </w:r>
      <w:hyperlink r:id="rId26" w:tgtFrame="https://baike.baidu.com/item/%E4%B8%9C%E8%90%A5/_blank" w:history="1">
        <w:r>
          <w:rPr>
            <w:rStyle w:val="aff2"/>
            <w:color w:val="000000" w:themeColor="text1"/>
            <w:sz w:val="28"/>
            <w:szCs w:val="28"/>
            <w:u w:val="none"/>
            <w:shd w:val="clear" w:color="auto" w:fill="FFFFFF"/>
          </w:rPr>
          <w:t>干热风</w:t>
        </w:r>
      </w:hyperlink>
      <w:r>
        <w:rPr>
          <w:color w:val="000000" w:themeColor="text1"/>
          <w:kern w:val="0"/>
          <w:sz w:val="28"/>
          <w:szCs w:val="28"/>
          <w:shd w:val="clear" w:color="auto" w:fill="FFFFFF"/>
        </w:rPr>
        <w:t>、大风、</w:t>
      </w:r>
      <w:hyperlink r:id="rId27" w:tgtFrame="https://baike.baidu.com/item/%E4%B8%9C%E8%90%A5/_blank" w:history="1">
        <w:r>
          <w:rPr>
            <w:rStyle w:val="aff2"/>
            <w:color w:val="000000" w:themeColor="text1"/>
            <w:sz w:val="28"/>
            <w:szCs w:val="28"/>
            <w:u w:val="none"/>
            <w:shd w:val="clear" w:color="auto" w:fill="FFFFFF"/>
          </w:rPr>
          <w:t>冰雹</w:t>
        </w:r>
      </w:hyperlink>
      <w:r>
        <w:rPr>
          <w:color w:val="000000" w:themeColor="text1"/>
          <w:kern w:val="0"/>
          <w:sz w:val="28"/>
          <w:szCs w:val="28"/>
          <w:shd w:val="clear" w:color="auto" w:fill="FFFFFF"/>
        </w:rPr>
        <w:t>、干旱、涝灾、风暴潮灾等。境内南北气候差异不明显。多年平均气温</w:t>
      </w:r>
      <w:r>
        <w:rPr>
          <w:color w:val="000000" w:themeColor="text1"/>
          <w:kern w:val="0"/>
          <w:sz w:val="28"/>
          <w:szCs w:val="28"/>
          <w:shd w:val="clear" w:color="auto" w:fill="FFFFFF"/>
        </w:rPr>
        <w:t>12.8℃</w:t>
      </w:r>
      <w:r>
        <w:rPr>
          <w:color w:val="000000" w:themeColor="text1"/>
          <w:kern w:val="0"/>
          <w:sz w:val="28"/>
          <w:szCs w:val="28"/>
          <w:shd w:val="clear" w:color="auto" w:fill="FFFFFF"/>
        </w:rPr>
        <w:t>，无霜期</w:t>
      </w:r>
      <w:r>
        <w:rPr>
          <w:color w:val="000000" w:themeColor="text1"/>
          <w:kern w:val="0"/>
          <w:sz w:val="28"/>
          <w:szCs w:val="28"/>
          <w:shd w:val="clear" w:color="auto" w:fill="FFFFFF"/>
        </w:rPr>
        <w:t>206</w:t>
      </w:r>
      <w:r>
        <w:rPr>
          <w:color w:val="000000" w:themeColor="text1"/>
          <w:kern w:val="0"/>
          <w:sz w:val="28"/>
          <w:szCs w:val="28"/>
          <w:shd w:val="clear" w:color="auto" w:fill="FFFFFF"/>
        </w:rPr>
        <w:t>天。年平均降水量</w:t>
      </w:r>
      <w:r>
        <w:rPr>
          <w:color w:val="000000" w:themeColor="text1"/>
          <w:kern w:val="0"/>
          <w:sz w:val="28"/>
          <w:szCs w:val="28"/>
          <w:shd w:val="clear" w:color="auto" w:fill="FFFFFF"/>
        </w:rPr>
        <w:t>555.9mm</w:t>
      </w:r>
      <w:r>
        <w:rPr>
          <w:color w:val="000000" w:themeColor="text1"/>
          <w:kern w:val="0"/>
          <w:sz w:val="28"/>
          <w:szCs w:val="28"/>
          <w:shd w:val="clear" w:color="auto" w:fill="FFFFFF"/>
        </w:rPr>
        <w:t>，多集中在夏季，占全年降水量的</w:t>
      </w:r>
      <w:r>
        <w:rPr>
          <w:color w:val="000000" w:themeColor="text1"/>
          <w:kern w:val="0"/>
          <w:sz w:val="28"/>
          <w:szCs w:val="28"/>
          <w:shd w:val="clear" w:color="auto" w:fill="FFFFFF"/>
        </w:rPr>
        <w:t>65%</w:t>
      </w:r>
      <w:r>
        <w:rPr>
          <w:color w:val="000000" w:themeColor="text1"/>
          <w:kern w:val="0"/>
          <w:sz w:val="28"/>
          <w:szCs w:val="28"/>
          <w:shd w:val="clear" w:color="auto" w:fill="FFFFFF"/>
        </w:rPr>
        <w:t>，降水量年际变化大，易形成旱、涝灾害。年平均风速</w:t>
      </w:r>
      <w:r>
        <w:rPr>
          <w:color w:val="000000" w:themeColor="text1"/>
          <w:kern w:val="0"/>
          <w:sz w:val="28"/>
          <w:szCs w:val="28"/>
          <w:shd w:val="clear" w:color="auto" w:fill="FFFFFF"/>
        </w:rPr>
        <w:t>3.7m/s</w:t>
      </w:r>
      <w:r>
        <w:rPr>
          <w:color w:val="000000" w:themeColor="text1"/>
          <w:kern w:val="0"/>
          <w:sz w:val="28"/>
          <w:szCs w:val="28"/>
          <w:shd w:val="clear" w:color="auto" w:fill="FFFFFF"/>
        </w:rPr>
        <w:t>，最小频率风向为</w:t>
      </w:r>
      <w:r>
        <w:rPr>
          <w:color w:val="000000" w:themeColor="text1"/>
          <w:kern w:val="0"/>
          <w:sz w:val="28"/>
          <w:szCs w:val="28"/>
          <w:shd w:val="clear" w:color="auto" w:fill="FFFFFF"/>
        </w:rPr>
        <w:t>NNE</w:t>
      </w:r>
      <w:r>
        <w:rPr>
          <w:color w:val="000000" w:themeColor="text1"/>
          <w:kern w:val="0"/>
          <w:sz w:val="28"/>
          <w:szCs w:val="28"/>
          <w:shd w:val="clear" w:color="auto" w:fill="FFFFFF"/>
        </w:rPr>
        <w:t>。</w:t>
      </w:r>
    </w:p>
    <w:p w14:paraId="03E90637" w14:textId="77777777" w:rsidR="002D2AF8" w:rsidRDefault="00000000">
      <w:pPr>
        <w:adjustRightInd w:val="0"/>
        <w:snapToGrid w:val="0"/>
        <w:spacing w:line="360" w:lineRule="auto"/>
        <w:ind w:firstLineChars="200" w:firstLine="566"/>
        <w:jc w:val="left"/>
        <w:rPr>
          <w:color w:val="000000" w:themeColor="text1"/>
          <w:sz w:val="28"/>
          <w:szCs w:val="28"/>
        </w:rPr>
      </w:pPr>
      <w:r>
        <w:rPr>
          <w:color w:val="000000" w:themeColor="text1"/>
          <w:kern w:val="0"/>
          <w:sz w:val="28"/>
          <w:szCs w:val="28"/>
        </w:rPr>
        <w:t>3.</w:t>
      </w:r>
      <w:r>
        <w:rPr>
          <w:color w:val="000000" w:themeColor="text1"/>
          <w:kern w:val="0"/>
          <w:sz w:val="28"/>
          <w:szCs w:val="28"/>
        </w:rPr>
        <w:t>地震烈度</w:t>
      </w:r>
    </w:p>
    <w:p w14:paraId="1DA01904" w14:textId="77777777" w:rsidR="002D2AF8" w:rsidRDefault="00000000">
      <w:pPr>
        <w:adjustRightInd w:val="0"/>
        <w:snapToGrid w:val="0"/>
        <w:spacing w:line="360" w:lineRule="auto"/>
        <w:ind w:firstLineChars="200" w:firstLine="566"/>
        <w:jc w:val="left"/>
        <w:rPr>
          <w:color w:val="000000" w:themeColor="text1"/>
          <w:sz w:val="28"/>
          <w:szCs w:val="28"/>
        </w:rPr>
      </w:pPr>
      <w:r>
        <w:rPr>
          <w:color w:val="000000" w:themeColor="text1"/>
          <w:kern w:val="0"/>
          <w:sz w:val="28"/>
          <w:szCs w:val="28"/>
        </w:rPr>
        <w:t>地震烈度为</w:t>
      </w:r>
      <w:r>
        <w:rPr>
          <w:color w:val="000000" w:themeColor="text1"/>
          <w:kern w:val="0"/>
          <w:sz w:val="28"/>
          <w:szCs w:val="28"/>
        </w:rPr>
        <w:t>7</w:t>
      </w:r>
      <w:r>
        <w:rPr>
          <w:color w:val="000000" w:themeColor="text1"/>
          <w:kern w:val="0"/>
          <w:sz w:val="28"/>
          <w:szCs w:val="28"/>
        </w:rPr>
        <w:t>度，设计基本地震加度速度值为</w:t>
      </w:r>
      <w:r>
        <w:rPr>
          <w:color w:val="000000" w:themeColor="text1"/>
          <w:kern w:val="0"/>
          <w:sz w:val="28"/>
          <w:szCs w:val="28"/>
        </w:rPr>
        <w:t>0.10g</w:t>
      </w:r>
      <w:r>
        <w:rPr>
          <w:color w:val="000000" w:themeColor="text1"/>
          <w:kern w:val="0"/>
          <w:sz w:val="28"/>
          <w:szCs w:val="28"/>
        </w:rPr>
        <w:t>，所属的设计抗震分组为第三组。</w:t>
      </w:r>
    </w:p>
    <w:p w14:paraId="21EC684D" w14:textId="77777777" w:rsidR="002D2AF8" w:rsidRDefault="00000000">
      <w:pPr>
        <w:pStyle w:val="a4"/>
        <w:adjustRightInd w:val="0"/>
        <w:snapToGrid w:val="0"/>
        <w:spacing w:line="360" w:lineRule="auto"/>
        <w:ind w:firstLineChars="0" w:firstLine="0"/>
        <w:outlineLvl w:val="3"/>
        <w:rPr>
          <w:b/>
          <w:color w:val="000000" w:themeColor="text1"/>
          <w:sz w:val="28"/>
          <w:szCs w:val="28"/>
        </w:rPr>
      </w:pPr>
      <w:r>
        <w:rPr>
          <w:b/>
          <w:color w:val="000000" w:themeColor="text1"/>
          <w:sz w:val="28"/>
          <w:szCs w:val="28"/>
        </w:rPr>
        <w:t>2.3.5.</w:t>
      </w:r>
      <w:r>
        <w:rPr>
          <w:rFonts w:hint="eastAsia"/>
          <w:b/>
          <w:color w:val="000000" w:themeColor="text1"/>
          <w:sz w:val="28"/>
          <w:szCs w:val="28"/>
        </w:rPr>
        <w:t xml:space="preserve">2 </w:t>
      </w:r>
      <w:r>
        <w:rPr>
          <w:b/>
          <w:color w:val="000000" w:themeColor="text1"/>
          <w:sz w:val="28"/>
          <w:szCs w:val="28"/>
        </w:rPr>
        <w:t>作业区域井场情况</w:t>
      </w:r>
    </w:p>
    <w:p w14:paraId="056A0E25" w14:textId="77777777" w:rsidR="002D2AF8" w:rsidRDefault="00000000">
      <w:pPr>
        <w:pStyle w:val="Char3"/>
        <w:widowControl w:val="0"/>
        <w:adjustRightInd w:val="0"/>
        <w:snapToGrid w:val="0"/>
        <w:spacing w:after="0" w:line="360" w:lineRule="auto"/>
        <w:ind w:firstLineChars="200" w:firstLine="566"/>
        <w:jc w:val="both"/>
        <w:rPr>
          <w:color w:val="000000" w:themeColor="text1"/>
          <w:sz w:val="28"/>
          <w:szCs w:val="28"/>
        </w:rPr>
      </w:pPr>
      <w:r>
        <w:rPr>
          <w:color w:val="000000" w:themeColor="text1"/>
          <w:sz w:val="28"/>
          <w:szCs w:val="28"/>
        </w:rPr>
        <w:t>评价过程中，该公司</w:t>
      </w:r>
      <w:r>
        <w:rPr>
          <w:rFonts w:hint="eastAsia"/>
          <w:color w:val="000000" w:themeColor="text1"/>
          <w:sz w:val="28"/>
          <w:szCs w:val="28"/>
        </w:rPr>
        <w:t>堵调测试</w:t>
      </w:r>
      <w:r>
        <w:rPr>
          <w:color w:val="000000" w:themeColor="text1"/>
          <w:sz w:val="28"/>
          <w:szCs w:val="28"/>
        </w:rPr>
        <w:t>队在</w:t>
      </w:r>
      <w:r>
        <w:rPr>
          <w:rFonts w:hint="eastAsia"/>
          <w:color w:val="000000" w:themeColor="text1"/>
          <w:sz w:val="28"/>
          <w:szCs w:val="28"/>
        </w:rPr>
        <w:t>胜利采油厂</w:t>
      </w:r>
      <w:r>
        <w:rPr>
          <w:color w:val="000000" w:themeColor="text1"/>
          <w:sz w:val="28"/>
          <w:szCs w:val="28"/>
        </w:rPr>
        <w:t>采油管理</w:t>
      </w:r>
      <w:r>
        <w:rPr>
          <w:rFonts w:hint="eastAsia"/>
          <w:color w:val="000000" w:themeColor="text1"/>
          <w:sz w:val="28"/>
          <w:szCs w:val="28"/>
        </w:rPr>
        <w:t>三</w:t>
      </w:r>
      <w:r>
        <w:rPr>
          <w:color w:val="000000" w:themeColor="text1"/>
          <w:sz w:val="28"/>
          <w:szCs w:val="28"/>
        </w:rPr>
        <w:t>区</w:t>
      </w:r>
      <w:r>
        <w:rPr>
          <w:rFonts w:hint="eastAsia"/>
          <w:color w:val="000000" w:themeColor="text1"/>
          <w:sz w:val="28"/>
          <w:szCs w:val="28"/>
        </w:rPr>
        <w:t>S2RP7</w:t>
      </w:r>
      <w:r>
        <w:rPr>
          <w:color w:val="000000" w:themeColor="text1"/>
          <w:sz w:val="28"/>
          <w:szCs w:val="28"/>
        </w:rPr>
        <w:t>井</w:t>
      </w:r>
      <w:r>
        <w:rPr>
          <w:rFonts w:hint="eastAsia"/>
          <w:color w:val="000000" w:themeColor="text1"/>
          <w:sz w:val="28"/>
          <w:szCs w:val="28"/>
        </w:rPr>
        <w:t>进行堵水</w:t>
      </w:r>
      <w:r>
        <w:rPr>
          <w:rFonts w:hint="eastAsia"/>
          <w:color w:val="000000" w:themeColor="text1"/>
          <w:sz w:val="28"/>
          <w:szCs w:val="28"/>
        </w:rPr>
        <w:t>/</w:t>
      </w:r>
      <w:r>
        <w:rPr>
          <w:rFonts w:hint="eastAsia"/>
          <w:color w:val="000000" w:themeColor="text1"/>
          <w:sz w:val="28"/>
          <w:szCs w:val="28"/>
        </w:rPr>
        <w:t>调剖</w:t>
      </w:r>
      <w:r>
        <w:rPr>
          <w:color w:val="000000" w:themeColor="text1"/>
          <w:sz w:val="28"/>
          <w:szCs w:val="28"/>
        </w:rPr>
        <w:t>施工。</w:t>
      </w:r>
      <w:r>
        <w:rPr>
          <w:rFonts w:hint="eastAsia"/>
          <w:color w:val="000000" w:themeColor="text1"/>
          <w:sz w:val="28"/>
          <w:szCs w:val="28"/>
        </w:rPr>
        <w:t>入</w:t>
      </w:r>
      <w:r>
        <w:rPr>
          <w:color w:val="000000" w:themeColor="text1"/>
          <w:sz w:val="28"/>
          <w:szCs w:val="28"/>
        </w:rPr>
        <w:t>井道路状况良好，周围为</w:t>
      </w:r>
      <w:r>
        <w:rPr>
          <w:rFonts w:hint="eastAsia"/>
          <w:color w:val="000000" w:themeColor="text1"/>
          <w:sz w:val="28"/>
          <w:szCs w:val="28"/>
        </w:rPr>
        <w:t>其它井场或</w:t>
      </w:r>
      <w:r>
        <w:rPr>
          <w:color w:val="000000" w:themeColor="text1"/>
          <w:sz w:val="28"/>
          <w:szCs w:val="28"/>
        </w:rPr>
        <w:t>荒地。井场四周设有警戒线，外部人员不能随便进入现场。井场内有值班站房</w:t>
      </w:r>
      <w:r>
        <w:rPr>
          <w:rFonts w:hint="eastAsia"/>
          <w:color w:val="000000" w:themeColor="text1"/>
          <w:sz w:val="28"/>
          <w:szCs w:val="28"/>
        </w:rPr>
        <w:t>、配电室，</w:t>
      </w:r>
      <w:r>
        <w:rPr>
          <w:color w:val="000000" w:themeColor="text1"/>
          <w:sz w:val="28"/>
          <w:szCs w:val="28"/>
        </w:rPr>
        <w:t>井场布置能够满足施工需要。井场无污染，井口装置、生产设施配套齐全。井场照片如下：</w:t>
      </w:r>
    </w:p>
    <w:p w14:paraId="50AD4F72" w14:textId="0F3433D4" w:rsidR="002D2AF8" w:rsidRDefault="00000000">
      <w:pPr>
        <w:rPr>
          <w:bCs/>
          <w:color w:val="000000" w:themeColor="text1"/>
          <w:szCs w:val="32"/>
        </w:rPr>
      </w:pPr>
      <w:r>
        <w:rPr>
          <w:bCs/>
          <w:noProof/>
          <w:color w:val="000000" w:themeColor="text1"/>
          <w:szCs w:val="32"/>
        </w:rPr>
        <w:lastRenderedPageBreak/>
        <w:drawing>
          <wp:inline distT="0" distB="0" distL="114300" distR="114300" wp14:anchorId="77C185D5" wp14:editId="56382D25">
            <wp:extent cx="5266690" cy="3905250"/>
            <wp:effectExtent l="0" t="0" r="6350" b="11430"/>
            <wp:docPr id="12" name="图片 12" descr="D:\实华报告\非煤矿山\胜兴堵驱\现场检查和现场核查照片\微信图片_20220901111844.jpg微信图片_202209011118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D:\实华报告\非煤矿山\胜兴堵驱\现场检查和现场核查照片\微信图片_20220901111844.jpg微信图片_20220901111844"/>
                    <pic:cNvPicPr>
                      <a:picLocks noChangeAspect="1"/>
                    </pic:cNvPicPr>
                  </pic:nvPicPr>
                  <pic:blipFill>
                    <a:blip r:embed="rId28"/>
                    <a:srcRect/>
                    <a:stretch>
                      <a:fillRect/>
                    </a:stretch>
                  </pic:blipFill>
                  <pic:spPr>
                    <a:xfrm>
                      <a:off x="0" y="0"/>
                      <a:ext cx="5266690" cy="3905250"/>
                    </a:xfrm>
                    <a:prstGeom prst="rect">
                      <a:avLst/>
                    </a:prstGeom>
                  </pic:spPr>
                </pic:pic>
              </a:graphicData>
            </a:graphic>
          </wp:inline>
        </w:drawing>
      </w:r>
    </w:p>
    <w:p w14:paraId="23CDB67C" w14:textId="77777777" w:rsidR="002D2AF8" w:rsidRDefault="00000000">
      <w:pPr>
        <w:jc w:val="center"/>
        <w:rPr>
          <w:b/>
          <w:color w:val="000000" w:themeColor="text1"/>
          <w:sz w:val="24"/>
        </w:rPr>
      </w:pPr>
      <w:r>
        <w:rPr>
          <w:b/>
          <w:color w:val="000000" w:themeColor="text1"/>
          <w:sz w:val="24"/>
        </w:rPr>
        <w:t>图</w:t>
      </w:r>
      <w:r>
        <w:rPr>
          <w:b/>
          <w:color w:val="000000" w:themeColor="text1"/>
          <w:sz w:val="24"/>
        </w:rPr>
        <w:t xml:space="preserve">2-2 </w:t>
      </w:r>
      <w:r>
        <w:rPr>
          <w:rFonts w:hint="eastAsia"/>
          <w:b/>
          <w:bCs/>
          <w:color w:val="000000" w:themeColor="text1"/>
          <w:sz w:val="24"/>
        </w:rPr>
        <w:t>胜利</w:t>
      </w:r>
      <w:r>
        <w:rPr>
          <w:b/>
          <w:bCs/>
          <w:color w:val="000000" w:themeColor="text1"/>
          <w:sz w:val="24"/>
        </w:rPr>
        <w:t>采油厂</w:t>
      </w:r>
      <w:r>
        <w:rPr>
          <w:b/>
          <w:color w:val="000000" w:themeColor="text1"/>
          <w:sz w:val="24"/>
        </w:rPr>
        <w:t>采油管理</w:t>
      </w:r>
      <w:r>
        <w:rPr>
          <w:rFonts w:hint="eastAsia"/>
          <w:b/>
          <w:color w:val="000000" w:themeColor="text1"/>
          <w:sz w:val="24"/>
        </w:rPr>
        <w:t>三</w:t>
      </w:r>
      <w:r>
        <w:rPr>
          <w:b/>
          <w:color w:val="000000" w:themeColor="text1"/>
          <w:sz w:val="24"/>
        </w:rPr>
        <w:t>区</w:t>
      </w:r>
      <w:r>
        <w:rPr>
          <w:b/>
          <w:color w:val="000000" w:themeColor="text1"/>
          <w:sz w:val="24"/>
        </w:rPr>
        <w:t>S2RP7</w:t>
      </w:r>
      <w:r>
        <w:rPr>
          <w:b/>
          <w:color w:val="000000" w:themeColor="text1"/>
          <w:sz w:val="24"/>
        </w:rPr>
        <w:t>井</w:t>
      </w:r>
    </w:p>
    <w:p w14:paraId="25DE865E" w14:textId="77777777" w:rsidR="002D2AF8" w:rsidRDefault="002D2AF8">
      <w:pPr>
        <w:jc w:val="center"/>
        <w:rPr>
          <w:b/>
          <w:color w:val="000000" w:themeColor="text1"/>
          <w:sz w:val="24"/>
        </w:rPr>
      </w:pPr>
    </w:p>
    <w:p w14:paraId="64D59D63" w14:textId="77777777" w:rsidR="002D2AF8" w:rsidRDefault="002D2AF8">
      <w:pPr>
        <w:adjustRightInd w:val="0"/>
        <w:snapToGrid w:val="0"/>
        <w:spacing w:line="360" w:lineRule="auto"/>
        <w:jc w:val="center"/>
        <w:rPr>
          <w:b/>
          <w:color w:val="000000" w:themeColor="text1"/>
          <w:sz w:val="24"/>
        </w:rPr>
      </w:pPr>
    </w:p>
    <w:p w14:paraId="7203C59D" w14:textId="77777777" w:rsidR="002D2AF8" w:rsidRDefault="002D2AF8">
      <w:pPr>
        <w:jc w:val="center"/>
        <w:rPr>
          <w:b/>
          <w:color w:val="000000" w:themeColor="text1"/>
          <w:sz w:val="24"/>
        </w:rPr>
      </w:pPr>
    </w:p>
    <w:p w14:paraId="15C11265" w14:textId="77777777" w:rsidR="002D2AF8" w:rsidRDefault="002D2AF8">
      <w:pPr>
        <w:adjustRightInd w:val="0"/>
        <w:snapToGrid w:val="0"/>
        <w:spacing w:line="360" w:lineRule="auto"/>
        <w:jc w:val="center"/>
        <w:rPr>
          <w:b/>
          <w:color w:val="000000" w:themeColor="text1"/>
          <w:sz w:val="24"/>
        </w:rPr>
      </w:pPr>
    </w:p>
    <w:p w14:paraId="2AEB77FF"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29" w:name="_Toc19680"/>
      <w:r>
        <w:rPr>
          <w:rFonts w:ascii="Times New Roman" w:hAnsi="Times New Roman"/>
          <w:b w:val="0"/>
          <w:bCs/>
          <w:color w:val="000000" w:themeColor="text1"/>
          <w:szCs w:val="32"/>
        </w:rPr>
        <w:t xml:space="preserve">2.4 </w:t>
      </w:r>
      <w:r>
        <w:rPr>
          <w:rFonts w:ascii="Times New Roman" w:hAnsi="Times New Roman"/>
          <w:b w:val="0"/>
          <w:bCs/>
          <w:color w:val="000000" w:themeColor="text1"/>
          <w:szCs w:val="32"/>
        </w:rPr>
        <w:t>安全生产管理机构的设置和安全生产管理人员的配备</w:t>
      </w:r>
      <w:bookmarkEnd w:id="29"/>
    </w:p>
    <w:p w14:paraId="26673A2B" w14:textId="77777777" w:rsidR="002D2AF8" w:rsidRDefault="00000000">
      <w:pPr>
        <w:adjustRightInd w:val="0"/>
        <w:snapToGrid w:val="0"/>
        <w:spacing w:line="360" w:lineRule="auto"/>
        <w:ind w:firstLineChars="200" w:firstLine="566"/>
        <w:jc w:val="left"/>
        <w:rPr>
          <w:color w:val="000000" w:themeColor="text1"/>
          <w:sz w:val="28"/>
          <w:szCs w:val="28"/>
        </w:rPr>
      </w:pPr>
      <w:bookmarkStart w:id="30" w:name="_Toc24396"/>
      <w:r>
        <w:rPr>
          <w:rFonts w:hint="eastAsia"/>
          <w:color w:val="000000" w:themeColor="text1"/>
          <w:sz w:val="28"/>
          <w:szCs w:val="28"/>
        </w:rPr>
        <w:t>涉及企业机密，不予公开。</w:t>
      </w:r>
    </w:p>
    <w:p w14:paraId="612F56DD"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2.5 </w:t>
      </w:r>
      <w:r>
        <w:rPr>
          <w:rFonts w:ascii="Times New Roman" w:hAnsi="Times New Roman"/>
          <w:b w:val="0"/>
          <w:bCs/>
          <w:color w:val="000000" w:themeColor="text1"/>
          <w:szCs w:val="32"/>
        </w:rPr>
        <w:t>安全生产规章制度及操作规程</w:t>
      </w:r>
      <w:bookmarkEnd w:id="30"/>
    </w:p>
    <w:p w14:paraId="702454EB"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公司自成立以来，建立健全了以安全生产责任制为主要内容的各项安全管理制度，根据本单位施工工艺、设备和岗位特点制定了各岗位安全操作规程，并汇编成册。</w:t>
      </w:r>
    </w:p>
    <w:p w14:paraId="3CDAA625"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2.5.1 </w:t>
      </w:r>
      <w:r>
        <w:rPr>
          <w:rFonts w:eastAsia="黑体"/>
          <w:b w:val="0"/>
          <w:snapToGrid w:val="0"/>
          <w:color w:val="000000" w:themeColor="text1"/>
          <w:kern w:val="0"/>
          <w:sz w:val="28"/>
          <w:szCs w:val="28"/>
        </w:rPr>
        <w:t>安全生产责任制</w:t>
      </w:r>
    </w:p>
    <w:p w14:paraId="2B24AD23"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3912ED6F" w14:textId="77777777" w:rsidR="002D2AF8" w:rsidRDefault="00000000">
      <w:pPr>
        <w:pStyle w:val="18"/>
        <w:adjustRightInd w:val="0"/>
        <w:snapToGrid w:val="0"/>
        <w:spacing w:line="360" w:lineRule="auto"/>
        <w:ind w:firstLine="566"/>
        <w:rPr>
          <w:color w:val="000000" w:themeColor="text1"/>
          <w:sz w:val="28"/>
          <w:szCs w:val="28"/>
        </w:rPr>
      </w:pPr>
      <w:r>
        <w:rPr>
          <w:color w:val="000000" w:themeColor="text1"/>
          <w:sz w:val="28"/>
          <w:szCs w:val="28"/>
        </w:rPr>
        <w:t>该公司已经建立了从</w:t>
      </w:r>
      <w:r>
        <w:rPr>
          <w:rFonts w:hint="eastAsia"/>
          <w:color w:val="000000" w:themeColor="text1"/>
          <w:sz w:val="28"/>
          <w:szCs w:val="28"/>
        </w:rPr>
        <w:t>董事长、</w:t>
      </w:r>
      <w:r>
        <w:rPr>
          <w:color w:val="000000" w:themeColor="text1"/>
          <w:sz w:val="28"/>
          <w:szCs w:val="28"/>
        </w:rPr>
        <w:t>总经理到一般员工的安全生产责任制，符合《中华人民共和国安全生产法》（主席令</w:t>
      </w:r>
      <w:r>
        <w:rPr>
          <w:color w:val="000000" w:themeColor="text1"/>
          <w:sz w:val="28"/>
          <w:szCs w:val="28"/>
        </w:rPr>
        <w:t>[2021]</w:t>
      </w:r>
      <w:r>
        <w:rPr>
          <w:color w:val="000000" w:themeColor="text1"/>
          <w:sz w:val="28"/>
          <w:szCs w:val="28"/>
        </w:rPr>
        <w:t>第</w:t>
      </w:r>
      <w:r>
        <w:rPr>
          <w:color w:val="000000" w:themeColor="text1"/>
          <w:sz w:val="28"/>
          <w:szCs w:val="28"/>
        </w:rPr>
        <w:t>88</w:t>
      </w:r>
      <w:r>
        <w:rPr>
          <w:color w:val="000000" w:themeColor="text1"/>
          <w:sz w:val="28"/>
          <w:szCs w:val="28"/>
        </w:rPr>
        <w:t>号）第二十二条、《山东省安全生产条例》（</w:t>
      </w:r>
      <w:r>
        <w:rPr>
          <w:color w:val="000000" w:themeColor="text1"/>
          <w:sz w:val="28"/>
          <w:szCs w:val="28"/>
        </w:rPr>
        <w:t>2021</w:t>
      </w:r>
      <w:r>
        <w:rPr>
          <w:color w:val="000000" w:themeColor="text1"/>
          <w:sz w:val="28"/>
          <w:szCs w:val="28"/>
        </w:rPr>
        <w:t>年</w:t>
      </w:r>
      <w:r>
        <w:rPr>
          <w:color w:val="000000" w:themeColor="text1"/>
          <w:sz w:val="28"/>
          <w:szCs w:val="28"/>
        </w:rPr>
        <w:t>12</w:t>
      </w:r>
      <w:r>
        <w:rPr>
          <w:color w:val="000000" w:themeColor="text1"/>
          <w:sz w:val="28"/>
          <w:szCs w:val="28"/>
        </w:rPr>
        <w:t>月</w:t>
      </w:r>
      <w:r>
        <w:rPr>
          <w:color w:val="000000" w:themeColor="text1"/>
          <w:sz w:val="28"/>
          <w:szCs w:val="28"/>
        </w:rPr>
        <w:t>3</w:t>
      </w:r>
      <w:r>
        <w:rPr>
          <w:color w:val="000000" w:themeColor="text1"/>
          <w:sz w:val="28"/>
          <w:szCs w:val="28"/>
        </w:rPr>
        <w:t>日山东省第</w:t>
      </w:r>
      <w:r>
        <w:rPr>
          <w:color w:val="000000" w:themeColor="text1"/>
          <w:sz w:val="28"/>
          <w:szCs w:val="28"/>
        </w:rPr>
        <w:lastRenderedPageBreak/>
        <w:t>十三届人民代表大会常务委员会第三十二次会议修订）第十六条、《山东省生产经营单位安全生产主体责任规定》（山东省人民政府令</w:t>
      </w:r>
      <w:r>
        <w:rPr>
          <w:color w:val="000000" w:themeColor="text1"/>
          <w:sz w:val="28"/>
          <w:szCs w:val="28"/>
        </w:rPr>
        <w:t>[2018]</w:t>
      </w:r>
      <w:r>
        <w:rPr>
          <w:color w:val="000000" w:themeColor="text1"/>
          <w:sz w:val="28"/>
          <w:szCs w:val="28"/>
        </w:rPr>
        <w:t>第</w:t>
      </w:r>
      <w:r>
        <w:rPr>
          <w:color w:val="000000" w:themeColor="text1"/>
          <w:sz w:val="28"/>
          <w:szCs w:val="28"/>
        </w:rPr>
        <w:t>311</w:t>
      </w:r>
      <w:r>
        <w:rPr>
          <w:color w:val="000000" w:themeColor="text1"/>
          <w:sz w:val="28"/>
          <w:szCs w:val="28"/>
        </w:rPr>
        <w:t>号）中第六条、《关于印发山东省生产经营单位全员安全生产责任制的通知》《鲁安办发</w:t>
      </w:r>
      <w:r>
        <w:rPr>
          <w:color w:val="000000" w:themeColor="text1"/>
          <w:sz w:val="28"/>
          <w:szCs w:val="28"/>
        </w:rPr>
        <w:t>[2021]50</w:t>
      </w:r>
      <w:r>
        <w:rPr>
          <w:color w:val="000000" w:themeColor="text1"/>
          <w:sz w:val="28"/>
          <w:szCs w:val="28"/>
        </w:rPr>
        <w:t>号》的要求，建议企业根据相关规范定期进行修订、完善。</w:t>
      </w:r>
    </w:p>
    <w:p w14:paraId="262B8D5F"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2.5.2 </w:t>
      </w:r>
      <w:r>
        <w:rPr>
          <w:rFonts w:eastAsia="黑体"/>
          <w:b w:val="0"/>
          <w:snapToGrid w:val="0"/>
          <w:color w:val="000000" w:themeColor="text1"/>
          <w:kern w:val="0"/>
          <w:sz w:val="28"/>
          <w:szCs w:val="28"/>
        </w:rPr>
        <w:t>安全管理制度</w:t>
      </w:r>
    </w:p>
    <w:p w14:paraId="6FDB4B60"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4AE7A839" w14:textId="77777777" w:rsidR="002D2AF8" w:rsidRDefault="00000000">
      <w:pPr>
        <w:pStyle w:val="Default"/>
        <w:snapToGrid w:val="0"/>
        <w:spacing w:line="360" w:lineRule="auto"/>
        <w:ind w:firstLineChars="200" w:firstLine="566"/>
        <w:jc w:val="both"/>
        <w:rPr>
          <w:rFonts w:ascii="Times New Roman" w:eastAsia="宋体" w:hAnsi="Times New Roman" w:cs="Times New Roman"/>
          <w:color w:val="000000" w:themeColor="text1"/>
          <w:sz w:val="28"/>
          <w:szCs w:val="28"/>
        </w:rPr>
      </w:pPr>
      <w:r>
        <w:rPr>
          <w:rFonts w:ascii="Times New Roman" w:eastAsia="宋体" w:hAnsi="Times New Roman" w:cs="Times New Roman" w:hint="eastAsia"/>
          <w:color w:val="000000" w:themeColor="text1"/>
          <w:sz w:val="28"/>
          <w:szCs w:val="28"/>
        </w:rPr>
        <w:t>胜利油田胜兴堵驱新技术开发有限责任公司</w:t>
      </w:r>
      <w:r>
        <w:rPr>
          <w:rFonts w:ascii="Times New Roman" w:eastAsia="宋体" w:hAnsi="Times New Roman" w:cs="Times New Roman"/>
          <w:color w:val="000000" w:themeColor="text1"/>
          <w:sz w:val="28"/>
          <w:szCs w:val="28"/>
        </w:rPr>
        <w:t>目前运行的安全管理制度健全，经相关负责人审核签发，安全管理制度涵盖了《非煤矿矿山企业安全生产许可证实施办法》（原国家安全监管总局令第</w:t>
      </w:r>
      <w:r>
        <w:rPr>
          <w:rFonts w:ascii="Times New Roman" w:eastAsia="宋体" w:hAnsi="Times New Roman" w:cs="Times New Roman"/>
          <w:color w:val="000000" w:themeColor="text1"/>
          <w:sz w:val="28"/>
          <w:szCs w:val="28"/>
        </w:rPr>
        <w:t>20</w:t>
      </w:r>
      <w:r>
        <w:rPr>
          <w:rFonts w:ascii="Times New Roman" w:eastAsia="宋体" w:hAnsi="Times New Roman" w:cs="Times New Roman"/>
          <w:color w:val="000000" w:themeColor="text1"/>
          <w:sz w:val="28"/>
          <w:szCs w:val="28"/>
        </w:rPr>
        <w:t>号，</w:t>
      </w:r>
      <w:r>
        <w:rPr>
          <w:rFonts w:ascii="Times New Roman" w:eastAsia="宋体" w:hAnsi="Times New Roman" w:cs="Times New Roman"/>
          <w:color w:val="000000" w:themeColor="text1"/>
          <w:sz w:val="28"/>
          <w:szCs w:val="28"/>
        </w:rPr>
        <w:t>2015</w:t>
      </w:r>
      <w:r>
        <w:rPr>
          <w:rFonts w:ascii="Times New Roman" w:eastAsia="宋体" w:hAnsi="Times New Roman" w:cs="Times New Roman"/>
          <w:color w:val="000000" w:themeColor="text1"/>
          <w:sz w:val="28"/>
          <w:szCs w:val="28"/>
        </w:rPr>
        <w:t>年安全监管总局令第</w:t>
      </w:r>
      <w:r>
        <w:rPr>
          <w:rFonts w:ascii="Times New Roman" w:eastAsia="宋体" w:hAnsi="Times New Roman" w:cs="Times New Roman"/>
          <w:color w:val="000000" w:themeColor="text1"/>
          <w:sz w:val="28"/>
          <w:szCs w:val="28"/>
        </w:rPr>
        <w:t>78</w:t>
      </w:r>
      <w:r>
        <w:rPr>
          <w:rFonts w:ascii="Times New Roman" w:eastAsia="宋体" w:hAnsi="Times New Roman" w:cs="Times New Roman"/>
          <w:color w:val="000000" w:themeColor="text1"/>
          <w:sz w:val="28"/>
          <w:szCs w:val="28"/>
        </w:rPr>
        <w:t>号修正）第六条、《山东省安全生产条例》（</w:t>
      </w:r>
      <w:r>
        <w:rPr>
          <w:rFonts w:ascii="Times New Roman" w:eastAsia="宋体" w:hAnsi="Times New Roman" w:cs="Times New Roman"/>
          <w:color w:val="000000" w:themeColor="text1"/>
          <w:sz w:val="28"/>
          <w:szCs w:val="28"/>
        </w:rPr>
        <w:t>2021</w:t>
      </w:r>
      <w:r>
        <w:rPr>
          <w:rFonts w:ascii="Times New Roman" w:eastAsia="宋体" w:hAnsi="Times New Roman" w:cs="Times New Roman"/>
          <w:color w:val="000000" w:themeColor="text1"/>
          <w:sz w:val="28"/>
          <w:szCs w:val="28"/>
        </w:rPr>
        <w:t>年</w:t>
      </w:r>
      <w:r>
        <w:rPr>
          <w:rFonts w:ascii="Times New Roman" w:eastAsia="宋体" w:hAnsi="Times New Roman" w:cs="Times New Roman"/>
          <w:color w:val="000000" w:themeColor="text1"/>
          <w:sz w:val="28"/>
          <w:szCs w:val="28"/>
        </w:rPr>
        <w:t>12</w:t>
      </w:r>
      <w:r>
        <w:rPr>
          <w:rFonts w:ascii="Times New Roman" w:eastAsia="宋体" w:hAnsi="Times New Roman" w:cs="Times New Roman"/>
          <w:color w:val="000000" w:themeColor="text1"/>
          <w:sz w:val="28"/>
          <w:szCs w:val="28"/>
        </w:rPr>
        <w:t>月</w:t>
      </w:r>
      <w:r>
        <w:rPr>
          <w:rFonts w:ascii="Times New Roman" w:eastAsia="宋体" w:hAnsi="Times New Roman" w:cs="Times New Roman"/>
          <w:color w:val="000000" w:themeColor="text1"/>
          <w:sz w:val="28"/>
          <w:szCs w:val="28"/>
        </w:rPr>
        <w:t>3</w:t>
      </w:r>
      <w:r>
        <w:rPr>
          <w:rFonts w:ascii="Times New Roman" w:eastAsia="宋体" w:hAnsi="Times New Roman" w:cs="Times New Roman"/>
          <w:color w:val="000000" w:themeColor="text1"/>
          <w:sz w:val="28"/>
          <w:szCs w:val="28"/>
        </w:rPr>
        <w:t>日山东省第十三届人民代表大会常务委员会第三十二次会议修订）第十五条、《山东省生产经营单位安全生产主体责任规定》（山东省人民政府令</w:t>
      </w:r>
      <w:r>
        <w:rPr>
          <w:rFonts w:ascii="Times New Roman" w:eastAsia="宋体" w:hAnsi="Times New Roman" w:cs="Times New Roman"/>
          <w:color w:val="000000" w:themeColor="text1"/>
          <w:sz w:val="28"/>
          <w:szCs w:val="28"/>
        </w:rPr>
        <w:t>[2018]</w:t>
      </w:r>
      <w:r>
        <w:rPr>
          <w:rFonts w:ascii="Times New Roman" w:eastAsia="宋体" w:hAnsi="Times New Roman" w:cs="Times New Roman"/>
          <w:color w:val="000000" w:themeColor="text1"/>
          <w:sz w:val="28"/>
          <w:szCs w:val="28"/>
        </w:rPr>
        <w:t>第</w:t>
      </w:r>
      <w:r>
        <w:rPr>
          <w:rFonts w:ascii="Times New Roman" w:eastAsia="宋体" w:hAnsi="Times New Roman" w:cs="Times New Roman"/>
          <w:color w:val="000000" w:themeColor="text1"/>
          <w:sz w:val="28"/>
          <w:szCs w:val="28"/>
        </w:rPr>
        <w:t>311</w:t>
      </w:r>
      <w:r>
        <w:rPr>
          <w:rFonts w:ascii="Times New Roman" w:eastAsia="宋体" w:hAnsi="Times New Roman" w:cs="Times New Roman"/>
          <w:color w:val="000000" w:themeColor="text1"/>
          <w:sz w:val="28"/>
          <w:szCs w:val="28"/>
        </w:rPr>
        <w:t>号）第七条等要求的各项制度，且运行情况良好，建议企业定期更新完善现有安全管理制度。</w:t>
      </w:r>
    </w:p>
    <w:p w14:paraId="342D6069" w14:textId="77777777" w:rsidR="002D2AF8" w:rsidRDefault="00000000">
      <w:pPr>
        <w:pStyle w:val="Default"/>
        <w:snapToGrid w:val="0"/>
        <w:spacing w:line="360" w:lineRule="auto"/>
        <w:jc w:val="center"/>
        <w:rPr>
          <w:rFonts w:ascii="Times New Roman" w:eastAsia="宋体" w:hAnsi="Times New Roman" w:cs="Times New Roman"/>
          <w:b/>
          <w:bCs/>
          <w:color w:val="000000" w:themeColor="text1"/>
          <w:szCs w:val="28"/>
        </w:rPr>
      </w:pPr>
      <w:r>
        <w:rPr>
          <w:rFonts w:ascii="Times New Roman" w:eastAsia="宋体" w:hAnsi="Times New Roman" w:cs="Times New Roman"/>
          <w:b/>
          <w:bCs/>
          <w:color w:val="000000" w:themeColor="text1"/>
          <w:szCs w:val="28"/>
        </w:rPr>
        <w:t>表</w:t>
      </w:r>
      <w:r>
        <w:rPr>
          <w:rFonts w:ascii="Times New Roman" w:eastAsia="宋体" w:hAnsi="Times New Roman" w:cs="Times New Roman"/>
          <w:b/>
          <w:bCs/>
          <w:color w:val="000000" w:themeColor="text1"/>
          <w:szCs w:val="28"/>
        </w:rPr>
        <w:t>2-</w:t>
      </w:r>
      <w:r>
        <w:rPr>
          <w:rFonts w:ascii="Times New Roman" w:eastAsia="宋体" w:hAnsi="Times New Roman" w:cs="Times New Roman" w:hint="eastAsia"/>
          <w:b/>
          <w:bCs/>
          <w:color w:val="000000" w:themeColor="text1"/>
          <w:szCs w:val="28"/>
        </w:rPr>
        <w:t>4</w:t>
      </w:r>
      <w:r>
        <w:rPr>
          <w:rFonts w:ascii="Times New Roman" w:eastAsia="宋体" w:hAnsi="Times New Roman" w:cs="Times New Roman"/>
          <w:b/>
          <w:bCs/>
          <w:color w:val="000000" w:themeColor="text1"/>
          <w:szCs w:val="28"/>
        </w:rPr>
        <w:t xml:space="preserve"> </w:t>
      </w:r>
      <w:r>
        <w:rPr>
          <w:rFonts w:ascii="Times New Roman" w:eastAsia="宋体" w:hAnsi="Times New Roman" w:cs="Times New Roman"/>
          <w:b/>
          <w:bCs/>
          <w:color w:val="000000" w:themeColor="text1"/>
          <w:szCs w:val="28"/>
        </w:rPr>
        <w:t>制度要求对比一览表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shd w:val="clear" w:color="auto" w:fill="FFFFFF" w:themeFill="background1"/>
        <w:tblLayout w:type="fixed"/>
        <w:tblLook w:val="04A0" w:firstRow="1" w:lastRow="0" w:firstColumn="1" w:lastColumn="0" w:noHBand="0" w:noVBand="1"/>
      </w:tblPr>
      <w:tblGrid>
        <w:gridCol w:w="450"/>
        <w:gridCol w:w="4113"/>
        <w:gridCol w:w="3214"/>
        <w:gridCol w:w="739"/>
      </w:tblGrid>
      <w:tr w:rsidR="002D2AF8" w14:paraId="0991EBC6" w14:textId="77777777">
        <w:trPr>
          <w:cantSplit/>
          <w:trHeight w:val="761"/>
          <w:jc w:val="center"/>
        </w:trPr>
        <w:tc>
          <w:tcPr>
            <w:tcW w:w="264" w:type="pct"/>
            <w:tcBorders>
              <w:tl2br w:val="nil"/>
              <w:tr2bl w:val="nil"/>
            </w:tcBorders>
            <w:shd w:val="clear" w:color="auto" w:fill="FFFFFF" w:themeFill="background1"/>
            <w:noWrap/>
            <w:vAlign w:val="center"/>
          </w:tcPr>
          <w:p w14:paraId="4BD85D7B" w14:textId="77777777" w:rsidR="002D2AF8"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14:paraId="46872082" w14:textId="77777777" w:rsidR="002D2AF8"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《非煤矿矿山企业安全生产许可证实施办法》（原国家安全监管总局令第</w:t>
            </w:r>
            <w:r>
              <w:rPr>
                <w:b/>
                <w:bCs/>
                <w:color w:val="000000" w:themeColor="text1"/>
                <w:kern w:val="0"/>
                <w:szCs w:val="21"/>
              </w:rPr>
              <w:t>20</w:t>
            </w:r>
            <w:r>
              <w:rPr>
                <w:b/>
                <w:bCs/>
                <w:color w:val="000000" w:themeColor="text1"/>
                <w:kern w:val="0"/>
                <w:szCs w:val="21"/>
              </w:rPr>
              <w:t>号，</w:t>
            </w:r>
            <w:r>
              <w:rPr>
                <w:b/>
                <w:bCs/>
                <w:color w:val="000000" w:themeColor="text1"/>
                <w:kern w:val="0"/>
                <w:szCs w:val="21"/>
              </w:rPr>
              <w:t>2015</w:t>
            </w:r>
            <w:r>
              <w:rPr>
                <w:b/>
                <w:bCs/>
                <w:color w:val="000000" w:themeColor="text1"/>
                <w:kern w:val="0"/>
                <w:szCs w:val="21"/>
              </w:rPr>
              <w:t>年安全监管总局令第</w:t>
            </w:r>
            <w:r>
              <w:rPr>
                <w:b/>
                <w:bCs/>
                <w:color w:val="000000" w:themeColor="text1"/>
                <w:kern w:val="0"/>
                <w:szCs w:val="21"/>
              </w:rPr>
              <w:t>78</w:t>
            </w:r>
            <w:r>
              <w:rPr>
                <w:b/>
                <w:bCs/>
                <w:color w:val="000000" w:themeColor="text1"/>
                <w:kern w:val="0"/>
                <w:szCs w:val="21"/>
              </w:rPr>
              <w:t>号修正）</w:t>
            </w:r>
          </w:p>
        </w:tc>
        <w:tc>
          <w:tcPr>
            <w:tcW w:w="1886" w:type="pct"/>
            <w:tcBorders>
              <w:tl2br w:val="nil"/>
              <w:tr2bl w:val="nil"/>
            </w:tcBorders>
            <w:shd w:val="clear" w:color="auto" w:fill="FFFFFF" w:themeFill="background1"/>
            <w:noWrap/>
            <w:vAlign w:val="center"/>
          </w:tcPr>
          <w:p w14:paraId="48F6F97C" w14:textId="77777777" w:rsidR="002D2AF8"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企业制定对应的制度</w:t>
            </w:r>
          </w:p>
        </w:tc>
        <w:tc>
          <w:tcPr>
            <w:tcW w:w="434" w:type="pct"/>
            <w:tcBorders>
              <w:tl2br w:val="nil"/>
              <w:tr2bl w:val="nil"/>
            </w:tcBorders>
            <w:shd w:val="clear" w:color="auto" w:fill="FFFFFF" w:themeFill="background1"/>
            <w:noWrap/>
            <w:vAlign w:val="center"/>
          </w:tcPr>
          <w:p w14:paraId="45CDF738" w14:textId="77777777" w:rsidR="002D2AF8"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备注</w:t>
            </w:r>
          </w:p>
        </w:tc>
      </w:tr>
      <w:tr w:rsidR="002D2AF8" w14:paraId="19EF6144" w14:textId="77777777">
        <w:trPr>
          <w:cantSplit/>
          <w:jc w:val="center"/>
        </w:trPr>
        <w:tc>
          <w:tcPr>
            <w:tcW w:w="264" w:type="pct"/>
            <w:tcBorders>
              <w:tl2br w:val="nil"/>
              <w:tr2bl w:val="nil"/>
            </w:tcBorders>
            <w:shd w:val="clear" w:color="auto" w:fill="FFFFFF" w:themeFill="background1"/>
            <w:noWrap/>
            <w:vAlign w:val="center"/>
          </w:tcPr>
          <w:p w14:paraId="3E0EC8E5"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w:t>
            </w:r>
          </w:p>
        </w:tc>
        <w:tc>
          <w:tcPr>
            <w:tcW w:w="2414" w:type="pct"/>
            <w:tcBorders>
              <w:tl2br w:val="nil"/>
              <w:tr2bl w:val="nil"/>
            </w:tcBorders>
            <w:shd w:val="clear" w:color="auto" w:fill="FFFFFF" w:themeFill="background1"/>
            <w:noWrap/>
            <w:vAlign w:val="center"/>
          </w:tcPr>
          <w:p w14:paraId="583DDB59"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安全生产责任制</w:t>
            </w:r>
          </w:p>
        </w:tc>
        <w:tc>
          <w:tcPr>
            <w:tcW w:w="1886" w:type="pct"/>
            <w:tcBorders>
              <w:tl2br w:val="nil"/>
              <w:tr2bl w:val="nil"/>
            </w:tcBorders>
            <w:shd w:val="clear" w:color="auto" w:fill="FFFFFF" w:themeFill="background1"/>
            <w:noWrap/>
            <w:vAlign w:val="center"/>
          </w:tcPr>
          <w:p w14:paraId="5814BD39"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胜利油田胜兴堵驱新技术开发有限责任公司全员安全生产责任制</w:t>
            </w:r>
          </w:p>
        </w:tc>
        <w:tc>
          <w:tcPr>
            <w:tcW w:w="434" w:type="pct"/>
            <w:tcBorders>
              <w:tl2br w:val="nil"/>
              <w:tr2bl w:val="nil"/>
            </w:tcBorders>
            <w:shd w:val="clear" w:color="auto" w:fill="FFFFFF" w:themeFill="background1"/>
            <w:noWrap/>
            <w:vAlign w:val="center"/>
          </w:tcPr>
          <w:p w14:paraId="2EAC1005"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7D0AE003" w14:textId="77777777">
        <w:trPr>
          <w:cantSplit/>
          <w:jc w:val="center"/>
        </w:trPr>
        <w:tc>
          <w:tcPr>
            <w:tcW w:w="264" w:type="pct"/>
            <w:tcBorders>
              <w:tl2br w:val="nil"/>
              <w:tr2bl w:val="nil"/>
            </w:tcBorders>
            <w:shd w:val="clear" w:color="auto" w:fill="FFFFFF" w:themeFill="background1"/>
            <w:noWrap/>
            <w:vAlign w:val="center"/>
          </w:tcPr>
          <w:p w14:paraId="0F73323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2</w:t>
            </w:r>
          </w:p>
        </w:tc>
        <w:tc>
          <w:tcPr>
            <w:tcW w:w="2414" w:type="pct"/>
            <w:tcBorders>
              <w:tl2br w:val="nil"/>
              <w:tr2bl w:val="nil"/>
            </w:tcBorders>
            <w:shd w:val="clear" w:color="auto" w:fill="FFFFFF" w:themeFill="background1"/>
            <w:noWrap/>
            <w:vAlign w:val="center"/>
          </w:tcPr>
          <w:p w14:paraId="5159360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安全检查制度</w:t>
            </w:r>
          </w:p>
        </w:tc>
        <w:tc>
          <w:tcPr>
            <w:tcW w:w="1886" w:type="pct"/>
            <w:tcBorders>
              <w:tl2br w:val="nil"/>
              <w:tr2bl w:val="nil"/>
            </w:tcBorders>
            <w:shd w:val="clear" w:color="auto" w:fill="FFFFFF" w:themeFill="background1"/>
            <w:noWrap/>
            <w:vAlign w:val="center"/>
          </w:tcPr>
          <w:p w14:paraId="667A752B"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安全检查制度</w:t>
            </w:r>
          </w:p>
        </w:tc>
        <w:tc>
          <w:tcPr>
            <w:tcW w:w="434" w:type="pct"/>
            <w:tcBorders>
              <w:tl2br w:val="nil"/>
              <w:tr2bl w:val="nil"/>
            </w:tcBorders>
            <w:shd w:val="clear" w:color="auto" w:fill="FFFFFF" w:themeFill="background1"/>
            <w:noWrap/>
            <w:vAlign w:val="center"/>
          </w:tcPr>
          <w:p w14:paraId="02EDEF88" w14:textId="77777777" w:rsidR="002D2AF8" w:rsidRDefault="002D2AF8">
            <w:pPr>
              <w:adjustRightInd w:val="0"/>
              <w:snapToGrid w:val="0"/>
              <w:spacing w:beforeLines="20" w:before="65" w:afterLines="20" w:after="65"/>
              <w:jc w:val="center"/>
              <w:rPr>
                <w:b/>
                <w:bCs/>
                <w:color w:val="000000" w:themeColor="text1"/>
                <w:kern w:val="0"/>
                <w:szCs w:val="21"/>
              </w:rPr>
            </w:pPr>
          </w:p>
        </w:tc>
      </w:tr>
      <w:tr w:rsidR="002D2AF8" w14:paraId="62ED564D" w14:textId="77777777">
        <w:trPr>
          <w:cantSplit/>
          <w:jc w:val="center"/>
        </w:trPr>
        <w:tc>
          <w:tcPr>
            <w:tcW w:w="264" w:type="pct"/>
            <w:tcBorders>
              <w:tl2br w:val="nil"/>
              <w:tr2bl w:val="nil"/>
            </w:tcBorders>
            <w:shd w:val="clear" w:color="auto" w:fill="FFFFFF" w:themeFill="background1"/>
            <w:noWrap/>
            <w:vAlign w:val="center"/>
          </w:tcPr>
          <w:p w14:paraId="2540C85B"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3</w:t>
            </w:r>
          </w:p>
        </w:tc>
        <w:tc>
          <w:tcPr>
            <w:tcW w:w="2414" w:type="pct"/>
            <w:tcBorders>
              <w:tl2br w:val="nil"/>
              <w:tr2bl w:val="nil"/>
            </w:tcBorders>
            <w:shd w:val="clear" w:color="auto" w:fill="FFFFFF" w:themeFill="background1"/>
            <w:noWrap/>
            <w:vAlign w:val="center"/>
          </w:tcPr>
          <w:p w14:paraId="41531FCE"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职业危害预防制度</w:t>
            </w:r>
          </w:p>
        </w:tc>
        <w:tc>
          <w:tcPr>
            <w:tcW w:w="1886" w:type="pct"/>
            <w:tcBorders>
              <w:tl2br w:val="nil"/>
              <w:tr2bl w:val="nil"/>
            </w:tcBorders>
            <w:shd w:val="clear" w:color="auto" w:fill="FFFFFF" w:themeFill="background1"/>
            <w:noWrap/>
            <w:vAlign w:val="center"/>
          </w:tcPr>
          <w:p w14:paraId="2CF7E60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职业卫生及职业性健康检查管理制度</w:t>
            </w:r>
          </w:p>
        </w:tc>
        <w:tc>
          <w:tcPr>
            <w:tcW w:w="434" w:type="pct"/>
            <w:tcBorders>
              <w:tl2br w:val="nil"/>
              <w:tr2bl w:val="nil"/>
            </w:tcBorders>
            <w:shd w:val="clear" w:color="auto" w:fill="FFFFFF" w:themeFill="background1"/>
            <w:noWrap/>
            <w:vAlign w:val="center"/>
          </w:tcPr>
          <w:p w14:paraId="3D4032E5"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5FBFFED2" w14:textId="77777777">
        <w:trPr>
          <w:cantSplit/>
          <w:jc w:val="center"/>
        </w:trPr>
        <w:tc>
          <w:tcPr>
            <w:tcW w:w="264" w:type="pct"/>
            <w:tcBorders>
              <w:tl2br w:val="nil"/>
              <w:tr2bl w:val="nil"/>
            </w:tcBorders>
            <w:shd w:val="clear" w:color="auto" w:fill="FFFFFF" w:themeFill="background1"/>
            <w:noWrap/>
            <w:vAlign w:val="center"/>
          </w:tcPr>
          <w:p w14:paraId="4614C36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4</w:t>
            </w:r>
          </w:p>
        </w:tc>
        <w:tc>
          <w:tcPr>
            <w:tcW w:w="2414" w:type="pct"/>
            <w:tcBorders>
              <w:tl2br w:val="nil"/>
              <w:tr2bl w:val="nil"/>
            </w:tcBorders>
            <w:shd w:val="clear" w:color="auto" w:fill="FFFFFF" w:themeFill="background1"/>
            <w:noWrap/>
            <w:vAlign w:val="center"/>
          </w:tcPr>
          <w:p w14:paraId="2598404C"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安全教育培训制度</w:t>
            </w:r>
          </w:p>
        </w:tc>
        <w:tc>
          <w:tcPr>
            <w:tcW w:w="1886" w:type="pct"/>
            <w:tcBorders>
              <w:tl2br w:val="nil"/>
              <w:tr2bl w:val="nil"/>
            </w:tcBorders>
            <w:shd w:val="clear" w:color="auto" w:fill="FFFFFF" w:themeFill="background1"/>
            <w:noWrap/>
            <w:vAlign w:val="center"/>
          </w:tcPr>
          <w:p w14:paraId="5CE7783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安全教育培训制度</w:t>
            </w:r>
          </w:p>
        </w:tc>
        <w:tc>
          <w:tcPr>
            <w:tcW w:w="434" w:type="pct"/>
            <w:tcBorders>
              <w:tl2br w:val="nil"/>
              <w:tr2bl w:val="nil"/>
            </w:tcBorders>
            <w:shd w:val="clear" w:color="auto" w:fill="FFFFFF" w:themeFill="background1"/>
            <w:noWrap/>
            <w:vAlign w:val="center"/>
          </w:tcPr>
          <w:p w14:paraId="36FB3F81"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06DAAC3A" w14:textId="77777777">
        <w:trPr>
          <w:cantSplit/>
          <w:jc w:val="center"/>
        </w:trPr>
        <w:tc>
          <w:tcPr>
            <w:tcW w:w="264" w:type="pct"/>
            <w:tcBorders>
              <w:tl2br w:val="nil"/>
              <w:tr2bl w:val="nil"/>
            </w:tcBorders>
            <w:shd w:val="clear" w:color="auto" w:fill="FFFFFF" w:themeFill="background1"/>
            <w:noWrap/>
            <w:vAlign w:val="center"/>
          </w:tcPr>
          <w:p w14:paraId="639F98A7"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5</w:t>
            </w:r>
          </w:p>
        </w:tc>
        <w:tc>
          <w:tcPr>
            <w:tcW w:w="2414" w:type="pct"/>
            <w:tcBorders>
              <w:tl2br w:val="nil"/>
              <w:tr2bl w:val="nil"/>
            </w:tcBorders>
            <w:shd w:val="clear" w:color="auto" w:fill="FFFFFF" w:themeFill="background1"/>
            <w:noWrap/>
            <w:vAlign w:val="center"/>
          </w:tcPr>
          <w:p w14:paraId="7CB01AC0"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生产安全事故管理制度</w:t>
            </w:r>
          </w:p>
        </w:tc>
        <w:tc>
          <w:tcPr>
            <w:tcW w:w="1886" w:type="pct"/>
            <w:tcBorders>
              <w:tl2br w:val="nil"/>
              <w:tr2bl w:val="nil"/>
            </w:tcBorders>
            <w:shd w:val="clear" w:color="auto" w:fill="FFFFFF" w:themeFill="background1"/>
            <w:noWrap/>
            <w:vAlign w:val="center"/>
          </w:tcPr>
          <w:p w14:paraId="0AFF410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生产安全事故报告、调查及处理管理制度</w:t>
            </w:r>
          </w:p>
        </w:tc>
        <w:tc>
          <w:tcPr>
            <w:tcW w:w="434" w:type="pct"/>
            <w:tcBorders>
              <w:tl2br w:val="nil"/>
              <w:tr2bl w:val="nil"/>
            </w:tcBorders>
            <w:shd w:val="clear" w:color="auto" w:fill="FFFFFF" w:themeFill="background1"/>
            <w:noWrap/>
            <w:vAlign w:val="center"/>
          </w:tcPr>
          <w:p w14:paraId="7D6E2DA9"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18CE7ADC" w14:textId="77777777">
        <w:trPr>
          <w:cantSplit/>
          <w:jc w:val="center"/>
        </w:trPr>
        <w:tc>
          <w:tcPr>
            <w:tcW w:w="264" w:type="pct"/>
            <w:tcBorders>
              <w:tl2br w:val="nil"/>
              <w:tr2bl w:val="nil"/>
            </w:tcBorders>
            <w:shd w:val="clear" w:color="auto" w:fill="FFFFFF" w:themeFill="background1"/>
            <w:noWrap/>
            <w:vAlign w:val="center"/>
          </w:tcPr>
          <w:p w14:paraId="0E0DDC0E"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6</w:t>
            </w:r>
          </w:p>
        </w:tc>
        <w:tc>
          <w:tcPr>
            <w:tcW w:w="2414" w:type="pct"/>
            <w:tcBorders>
              <w:tl2br w:val="nil"/>
              <w:tr2bl w:val="nil"/>
            </w:tcBorders>
            <w:shd w:val="clear" w:color="auto" w:fill="FFFFFF" w:themeFill="background1"/>
            <w:noWrap/>
            <w:vAlign w:val="center"/>
          </w:tcPr>
          <w:p w14:paraId="44BFB44A"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重大危险源监控和重大隐患整改制度</w:t>
            </w:r>
          </w:p>
        </w:tc>
        <w:tc>
          <w:tcPr>
            <w:tcW w:w="1886" w:type="pct"/>
            <w:tcBorders>
              <w:tl2br w:val="nil"/>
              <w:tr2bl w:val="nil"/>
            </w:tcBorders>
            <w:shd w:val="clear" w:color="auto" w:fill="FFFFFF" w:themeFill="background1"/>
            <w:noWrap/>
            <w:vAlign w:val="center"/>
          </w:tcPr>
          <w:p w14:paraId="0974655C" w14:textId="77777777" w:rsidR="002D2AF8" w:rsidRDefault="00000000">
            <w:pPr>
              <w:pStyle w:val="Default"/>
              <w:jc w:val="center"/>
              <w:rPr>
                <w:rFonts w:ascii="Times New Roman" w:eastAsia="宋体" w:hAnsi="Times New Roman" w:cs="Times New Roman"/>
                <w:color w:val="000000" w:themeColor="text1"/>
                <w:sz w:val="21"/>
                <w:szCs w:val="21"/>
              </w:rPr>
            </w:pPr>
            <w:r>
              <w:rPr>
                <w:rFonts w:ascii="Times New Roman" w:eastAsia="宋体" w:hAnsi="Times New Roman" w:cs="Times New Roman"/>
                <w:color w:val="000000" w:themeColor="text1"/>
                <w:sz w:val="21"/>
                <w:szCs w:val="21"/>
              </w:rPr>
              <w:t>事故隐患整改制度</w:t>
            </w:r>
          </w:p>
        </w:tc>
        <w:tc>
          <w:tcPr>
            <w:tcW w:w="434" w:type="pct"/>
            <w:tcBorders>
              <w:tl2br w:val="nil"/>
              <w:tr2bl w:val="nil"/>
            </w:tcBorders>
            <w:shd w:val="clear" w:color="auto" w:fill="FFFFFF" w:themeFill="background1"/>
            <w:noWrap/>
            <w:vAlign w:val="center"/>
          </w:tcPr>
          <w:p w14:paraId="5161322B"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1BB82C83" w14:textId="77777777">
        <w:trPr>
          <w:cantSplit/>
          <w:jc w:val="center"/>
        </w:trPr>
        <w:tc>
          <w:tcPr>
            <w:tcW w:w="264" w:type="pct"/>
            <w:tcBorders>
              <w:tl2br w:val="nil"/>
              <w:tr2bl w:val="nil"/>
            </w:tcBorders>
            <w:shd w:val="clear" w:color="auto" w:fill="FFFFFF" w:themeFill="background1"/>
            <w:noWrap/>
            <w:vAlign w:val="center"/>
          </w:tcPr>
          <w:p w14:paraId="444BF83A"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7</w:t>
            </w:r>
          </w:p>
        </w:tc>
        <w:tc>
          <w:tcPr>
            <w:tcW w:w="2414" w:type="pct"/>
            <w:tcBorders>
              <w:tl2br w:val="nil"/>
              <w:tr2bl w:val="nil"/>
            </w:tcBorders>
            <w:shd w:val="clear" w:color="auto" w:fill="FFFFFF" w:themeFill="background1"/>
            <w:noWrap/>
            <w:vAlign w:val="center"/>
          </w:tcPr>
          <w:p w14:paraId="317EACA7"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设备安全管理制度</w:t>
            </w:r>
          </w:p>
        </w:tc>
        <w:tc>
          <w:tcPr>
            <w:tcW w:w="1886" w:type="pct"/>
            <w:tcBorders>
              <w:tl2br w:val="nil"/>
              <w:tr2bl w:val="nil"/>
            </w:tcBorders>
            <w:shd w:val="clear" w:color="auto" w:fill="FFFFFF" w:themeFill="background1"/>
            <w:noWrap/>
            <w:vAlign w:val="center"/>
          </w:tcPr>
          <w:p w14:paraId="63B2458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设备、设施安全管理制度</w:t>
            </w:r>
          </w:p>
        </w:tc>
        <w:tc>
          <w:tcPr>
            <w:tcW w:w="434" w:type="pct"/>
            <w:tcBorders>
              <w:tl2br w:val="nil"/>
              <w:tr2bl w:val="nil"/>
            </w:tcBorders>
            <w:shd w:val="clear" w:color="auto" w:fill="FFFFFF" w:themeFill="background1"/>
            <w:noWrap/>
            <w:vAlign w:val="center"/>
          </w:tcPr>
          <w:p w14:paraId="4921409A"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215182AE" w14:textId="77777777">
        <w:trPr>
          <w:cantSplit/>
          <w:jc w:val="center"/>
        </w:trPr>
        <w:tc>
          <w:tcPr>
            <w:tcW w:w="264" w:type="pct"/>
            <w:tcBorders>
              <w:tl2br w:val="nil"/>
              <w:tr2bl w:val="nil"/>
            </w:tcBorders>
            <w:shd w:val="clear" w:color="auto" w:fill="FFFFFF" w:themeFill="background1"/>
            <w:noWrap/>
            <w:vAlign w:val="center"/>
          </w:tcPr>
          <w:p w14:paraId="03906BE5"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lastRenderedPageBreak/>
              <w:t>8</w:t>
            </w:r>
          </w:p>
        </w:tc>
        <w:tc>
          <w:tcPr>
            <w:tcW w:w="2414" w:type="pct"/>
            <w:tcBorders>
              <w:tl2br w:val="nil"/>
              <w:tr2bl w:val="nil"/>
            </w:tcBorders>
            <w:shd w:val="clear" w:color="auto" w:fill="FFFFFF" w:themeFill="background1"/>
            <w:noWrap/>
            <w:vAlign w:val="center"/>
          </w:tcPr>
          <w:p w14:paraId="5687DC8C"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安全生产档案管理制度</w:t>
            </w:r>
          </w:p>
        </w:tc>
        <w:tc>
          <w:tcPr>
            <w:tcW w:w="1886" w:type="pct"/>
            <w:tcBorders>
              <w:tl2br w:val="nil"/>
              <w:tr2bl w:val="nil"/>
            </w:tcBorders>
            <w:shd w:val="clear" w:color="auto" w:fill="FFFFFF" w:themeFill="background1"/>
            <w:noWrap/>
            <w:vAlign w:val="center"/>
          </w:tcPr>
          <w:p w14:paraId="3524D51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安全生产档案管理制度</w:t>
            </w:r>
          </w:p>
        </w:tc>
        <w:tc>
          <w:tcPr>
            <w:tcW w:w="434" w:type="pct"/>
            <w:tcBorders>
              <w:tl2br w:val="nil"/>
              <w:tr2bl w:val="nil"/>
            </w:tcBorders>
            <w:shd w:val="clear" w:color="auto" w:fill="FFFFFF" w:themeFill="background1"/>
            <w:noWrap/>
            <w:vAlign w:val="center"/>
          </w:tcPr>
          <w:p w14:paraId="610F4185"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5292F42C" w14:textId="77777777">
        <w:trPr>
          <w:cantSplit/>
          <w:jc w:val="center"/>
        </w:trPr>
        <w:tc>
          <w:tcPr>
            <w:tcW w:w="264" w:type="pct"/>
            <w:tcBorders>
              <w:tl2br w:val="nil"/>
              <w:tr2bl w:val="nil"/>
            </w:tcBorders>
            <w:shd w:val="clear" w:color="auto" w:fill="FFFFFF" w:themeFill="background1"/>
            <w:noWrap/>
            <w:vAlign w:val="center"/>
          </w:tcPr>
          <w:p w14:paraId="4F0F0E40" w14:textId="77777777" w:rsidR="002D2AF8"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14:paraId="0FA27A34" w14:textId="77777777" w:rsidR="002D2AF8"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《非煤矿矿山企业安全生产许可证实施办法》（原国家安全监管总局令第</w:t>
            </w:r>
            <w:r>
              <w:rPr>
                <w:b/>
                <w:bCs/>
                <w:color w:val="000000" w:themeColor="text1"/>
                <w:kern w:val="0"/>
                <w:szCs w:val="21"/>
              </w:rPr>
              <w:t>20</w:t>
            </w:r>
            <w:r>
              <w:rPr>
                <w:b/>
                <w:bCs/>
                <w:color w:val="000000" w:themeColor="text1"/>
                <w:kern w:val="0"/>
                <w:szCs w:val="21"/>
              </w:rPr>
              <w:t>号，</w:t>
            </w:r>
            <w:r>
              <w:rPr>
                <w:b/>
                <w:bCs/>
                <w:color w:val="000000" w:themeColor="text1"/>
                <w:kern w:val="0"/>
                <w:szCs w:val="21"/>
              </w:rPr>
              <w:t>2015</w:t>
            </w:r>
            <w:r>
              <w:rPr>
                <w:b/>
                <w:bCs/>
                <w:color w:val="000000" w:themeColor="text1"/>
                <w:kern w:val="0"/>
                <w:szCs w:val="21"/>
              </w:rPr>
              <w:t>年安全监管总局令第</w:t>
            </w:r>
            <w:r>
              <w:rPr>
                <w:b/>
                <w:bCs/>
                <w:color w:val="000000" w:themeColor="text1"/>
                <w:kern w:val="0"/>
                <w:szCs w:val="21"/>
              </w:rPr>
              <w:t>78</w:t>
            </w:r>
            <w:r>
              <w:rPr>
                <w:b/>
                <w:bCs/>
                <w:color w:val="000000" w:themeColor="text1"/>
                <w:kern w:val="0"/>
                <w:szCs w:val="21"/>
              </w:rPr>
              <w:t>号修正）</w:t>
            </w:r>
          </w:p>
        </w:tc>
        <w:tc>
          <w:tcPr>
            <w:tcW w:w="1886" w:type="pct"/>
            <w:tcBorders>
              <w:tl2br w:val="nil"/>
              <w:tr2bl w:val="nil"/>
            </w:tcBorders>
            <w:shd w:val="clear" w:color="auto" w:fill="FFFFFF" w:themeFill="background1"/>
            <w:noWrap/>
            <w:vAlign w:val="center"/>
          </w:tcPr>
          <w:p w14:paraId="6736E545" w14:textId="77777777" w:rsidR="002D2AF8"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企业制定对应的制度</w:t>
            </w:r>
          </w:p>
        </w:tc>
        <w:tc>
          <w:tcPr>
            <w:tcW w:w="434" w:type="pct"/>
            <w:tcBorders>
              <w:tl2br w:val="nil"/>
              <w:tr2bl w:val="nil"/>
            </w:tcBorders>
            <w:shd w:val="clear" w:color="auto" w:fill="FFFFFF" w:themeFill="background1"/>
            <w:noWrap/>
            <w:vAlign w:val="center"/>
          </w:tcPr>
          <w:p w14:paraId="400673BD" w14:textId="77777777" w:rsidR="002D2AF8" w:rsidRDefault="00000000">
            <w:pPr>
              <w:adjustRightInd w:val="0"/>
              <w:snapToGrid w:val="0"/>
              <w:spacing w:beforeLines="20" w:before="65" w:afterLines="20" w:after="65"/>
              <w:jc w:val="center"/>
              <w:rPr>
                <w:b/>
                <w:bCs/>
                <w:color w:val="000000" w:themeColor="text1"/>
                <w:kern w:val="0"/>
                <w:szCs w:val="21"/>
              </w:rPr>
            </w:pPr>
            <w:r>
              <w:rPr>
                <w:b/>
                <w:bCs/>
                <w:color w:val="000000" w:themeColor="text1"/>
                <w:kern w:val="0"/>
                <w:szCs w:val="21"/>
              </w:rPr>
              <w:t>备注</w:t>
            </w:r>
          </w:p>
        </w:tc>
      </w:tr>
      <w:tr w:rsidR="002D2AF8" w14:paraId="46D1BCAA" w14:textId="77777777">
        <w:trPr>
          <w:cantSplit/>
          <w:jc w:val="center"/>
        </w:trPr>
        <w:tc>
          <w:tcPr>
            <w:tcW w:w="264" w:type="pct"/>
            <w:tcBorders>
              <w:tl2br w:val="nil"/>
              <w:tr2bl w:val="nil"/>
            </w:tcBorders>
            <w:shd w:val="clear" w:color="auto" w:fill="FFFFFF" w:themeFill="background1"/>
            <w:noWrap/>
            <w:vAlign w:val="center"/>
          </w:tcPr>
          <w:p w14:paraId="6AAE260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9</w:t>
            </w:r>
          </w:p>
        </w:tc>
        <w:tc>
          <w:tcPr>
            <w:tcW w:w="2414" w:type="pct"/>
            <w:tcBorders>
              <w:tl2br w:val="nil"/>
              <w:tr2bl w:val="nil"/>
            </w:tcBorders>
            <w:shd w:val="clear" w:color="auto" w:fill="FFFFFF" w:themeFill="background1"/>
            <w:noWrap/>
            <w:vAlign w:val="center"/>
          </w:tcPr>
          <w:p w14:paraId="35F4F56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安全生产奖惩制度</w:t>
            </w:r>
          </w:p>
        </w:tc>
        <w:tc>
          <w:tcPr>
            <w:tcW w:w="1886" w:type="pct"/>
            <w:tcBorders>
              <w:tl2br w:val="nil"/>
              <w:tr2bl w:val="nil"/>
            </w:tcBorders>
            <w:shd w:val="clear" w:color="auto" w:fill="FFFFFF" w:themeFill="background1"/>
            <w:noWrap/>
            <w:vAlign w:val="center"/>
          </w:tcPr>
          <w:p w14:paraId="1176CEEE"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安全生产奖惩制度</w:t>
            </w:r>
          </w:p>
        </w:tc>
        <w:tc>
          <w:tcPr>
            <w:tcW w:w="434" w:type="pct"/>
            <w:tcBorders>
              <w:tl2br w:val="nil"/>
              <w:tr2bl w:val="nil"/>
            </w:tcBorders>
            <w:shd w:val="clear" w:color="auto" w:fill="FFFFFF" w:themeFill="background1"/>
            <w:noWrap/>
            <w:vAlign w:val="center"/>
          </w:tcPr>
          <w:p w14:paraId="15ED2C86"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1B203549" w14:textId="77777777">
        <w:trPr>
          <w:cantSplit/>
          <w:trHeight w:val="986"/>
          <w:jc w:val="center"/>
        </w:trPr>
        <w:tc>
          <w:tcPr>
            <w:tcW w:w="264" w:type="pct"/>
            <w:tcBorders>
              <w:tl2br w:val="nil"/>
              <w:tr2bl w:val="nil"/>
            </w:tcBorders>
            <w:shd w:val="clear" w:color="auto" w:fill="FFFFFF" w:themeFill="background1"/>
            <w:noWrap/>
            <w:vAlign w:val="center"/>
          </w:tcPr>
          <w:p w14:paraId="773F9122"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14:paraId="5CAFBB36"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《山东省安全生产条例》（</w:t>
            </w:r>
            <w:r>
              <w:rPr>
                <w:b/>
                <w:bCs/>
                <w:color w:val="000000" w:themeColor="text1"/>
                <w:kern w:val="0"/>
                <w:szCs w:val="21"/>
              </w:rPr>
              <w:t>2021</w:t>
            </w:r>
            <w:r>
              <w:rPr>
                <w:b/>
                <w:bCs/>
                <w:color w:val="000000" w:themeColor="text1"/>
                <w:kern w:val="0"/>
                <w:szCs w:val="21"/>
              </w:rPr>
              <w:t>年</w:t>
            </w:r>
            <w:r>
              <w:rPr>
                <w:b/>
                <w:bCs/>
                <w:color w:val="000000" w:themeColor="text1"/>
                <w:kern w:val="0"/>
                <w:szCs w:val="21"/>
              </w:rPr>
              <w:t>12</w:t>
            </w:r>
            <w:r>
              <w:rPr>
                <w:b/>
                <w:bCs/>
                <w:color w:val="000000" w:themeColor="text1"/>
                <w:kern w:val="0"/>
                <w:szCs w:val="21"/>
              </w:rPr>
              <w:t>月</w:t>
            </w:r>
            <w:r>
              <w:rPr>
                <w:b/>
                <w:bCs/>
                <w:color w:val="000000" w:themeColor="text1"/>
                <w:kern w:val="0"/>
                <w:szCs w:val="21"/>
              </w:rPr>
              <w:t>3</w:t>
            </w:r>
            <w:r>
              <w:rPr>
                <w:b/>
                <w:bCs/>
                <w:color w:val="000000" w:themeColor="text1"/>
                <w:kern w:val="0"/>
                <w:szCs w:val="21"/>
              </w:rPr>
              <w:t>日山东省第十三届人民代表大会常务委员会第三十二次会议修订）</w:t>
            </w:r>
          </w:p>
        </w:tc>
        <w:tc>
          <w:tcPr>
            <w:tcW w:w="1886" w:type="pct"/>
            <w:tcBorders>
              <w:tl2br w:val="nil"/>
              <w:tr2bl w:val="nil"/>
            </w:tcBorders>
            <w:shd w:val="clear" w:color="auto" w:fill="FFFFFF" w:themeFill="background1"/>
            <w:noWrap/>
            <w:vAlign w:val="center"/>
          </w:tcPr>
          <w:p w14:paraId="5CADFC2E"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企业制定对应的制度</w:t>
            </w:r>
          </w:p>
        </w:tc>
        <w:tc>
          <w:tcPr>
            <w:tcW w:w="434" w:type="pct"/>
            <w:tcBorders>
              <w:tl2br w:val="nil"/>
              <w:tr2bl w:val="nil"/>
            </w:tcBorders>
            <w:shd w:val="clear" w:color="auto" w:fill="FFFFFF" w:themeFill="background1"/>
            <w:noWrap/>
            <w:vAlign w:val="center"/>
          </w:tcPr>
          <w:p w14:paraId="19B04A54"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备注</w:t>
            </w:r>
          </w:p>
        </w:tc>
      </w:tr>
      <w:tr w:rsidR="002D2AF8" w14:paraId="109F9F8E" w14:textId="77777777">
        <w:trPr>
          <w:cantSplit/>
          <w:jc w:val="center"/>
        </w:trPr>
        <w:tc>
          <w:tcPr>
            <w:tcW w:w="264" w:type="pct"/>
            <w:tcBorders>
              <w:tl2br w:val="nil"/>
              <w:tr2bl w:val="nil"/>
            </w:tcBorders>
            <w:shd w:val="clear" w:color="auto" w:fill="FFFFFF" w:themeFill="background1"/>
            <w:noWrap/>
            <w:vAlign w:val="center"/>
          </w:tcPr>
          <w:p w14:paraId="3DA8F0E9"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w:t>
            </w:r>
          </w:p>
        </w:tc>
        <w:tc>
          <w:tcPr>
            <w:tcW w:w="2414" w:type="pct"/>
            <w:tcBorders>
              <w:tl2br w:val="nil"/>
              <w:tr2bl w:val="nil"/>
            </w:tcBorders>
            <w:shd w:val="clear" w:color="auto" w:fill="FFFFFF" w:themeFill="background1"/>
            <w:noWrap/>
            <w:vAlign w:val="center"/>
          </w:tcPr>
          <w:p w14:paraId="152EE7C0"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安全生产会议</w:t>
            </w:r>
          </w:p>
        </w:tc>
        <w:tc>
          <w:tcPr>
            <w:tcW w:w="1886" w:type="pct"/>
            <w:tcBorders>
              <w:tl2br w:val="nil"/>
              <w:tr2bl w:val="nil"/>
            </w:tcBorders>
            <w:shd w:val="clear" w:color="auto" w:fill="FFFFFF" w:themeFill="background1"/>
            <w:noWrap/>
            <w:vAlign w:val="center"/>
          </w:tcPr>
          <w:p w14:paraId="437D60B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安全生产会议制度</w:t>
            </w:r>
          </w:p>
        </w:tc>
        <w:tc>
          <w:tcPr>
            <w:tcW w:w="434" w:type="pct"/>
            <w:tcBorders>
              <w:tl2br w:val="nil"/>
              <w:tr2bl w:val="nil"/>
            </w:tcBorders>
            <w:shd w:val="clear" w:color="auto" w:fill="FFFFFF" w:themeFill="background1"/>
            <w:noWrap/>
            <w:vAlign w:val="center"/>
          </w:tcPr>
          <w:p w14:paraId="3BF3BCD2"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34468CEE" w14:textId="77777777">
        <w:trPr>
          <w:cantSplit/>
          <w:jc w:val="center"/>
        </w:trPr>
        <w:tc>
          <w:tcPr>
            <w:tcW w:w="264" w:type="pct"/>
            <w:tcBorders>
              <w:tl2br w:val="nil"/>
              <w:tr2bl w:val="nil"/>
            </w:tcBorders>
            <w:shd w:val="clear" w:color="auto" w:fill="FFFFFF" w:themeFill="background1"/>
            <w:noWrap/>
            <w:vAlign w:val="center"/>
          </w:tcPr>
          <w:p w14:paraId="56B8C73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2</w:t>
            </w:r>
          </w:p>
        </w:tc>
        <w:tc>
          <w:tcPr>
            <w:tcW w:w="2414" w:type="pct"/>
            <w:tcBorders>
              <w:tl2br w:val="nil"/>
              <w:tr2bl w:val="nil"/>
            </w:tcBorders>
            <w:shd w:val="clear" w:color="auto" w:fill="FFFFFF" w:themeFill="background1"/>
            <w:noWrap/>
            <w:vAlign w:val="center"/>
          </w:tcPr>
          <w:p w14:paraId="09BEEDB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安全生产资金投入</w:t>
            </w:r>
          </w:p>
        </w:tc>
        <w:tc>
          <w:tcPr>
            <w:tcW w:w="1886" w:type="pct"/>
            <w:tcBorders>
              <w:tl2br w:val="nil"/>
              <w:tr2bl w:val="nil"/>
            </w:tcBorders>
            <w:shd w:val="clear" w:color="auto" w:fill="FFFFFF" w:themeFill="background1"/>
            <w:noWrap/>
            <w:vAlign w:val="center"/>
          </w:tcPr>
          <w:p w14:paraId="7CB20E18"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安全生产费用提取和使用管理制度</w:t>
            </w:r>
          </w:p>
        </w:tc>
        <w:tc>
          <w:tcPr>
            <w:tcW w:w="434" w:type="pct"/>
            <w:tcBorders>
              <w:tl2br w:val="nil"/>
              <w:tr2bl w:val="nil"/>
            </w:tcBorders>
            <w:shd w:val="clear" w:color="auto" w:fill="FFFFFF" w:themeFill="background1"/>
            <w:noWrap/>
            <w:vAlign w:val="center"/>
          </w:tcPr>
          <w:p w14:paraId="55D3AAA6"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25689A4E" w14:textId="77777777">
        <w:trPr>
          <w:cantSplit/>
          <w:trHeight w:val="233"/>
          <w:jc w:val="center"/>
        </w:trPr>
        <w:tc>
          <w:tcPr>
            <w:tcW w:w="264" w:type="pct"/>
            <w:vMerge w:val="restart"/>
            <w:tcBorders>
              <w:tl2br w:val="nil"/>
              <w:tr2bl w:val="nil"/>
            </w:tcBorders>
            <w:shd w:val="clear" w:color="auto" w:fill="FFFFFF" w:themeFill="background1"/>
            <w:noWrap/>
            <w:vAlign w:val="center"/>
          </w:tcPr>
          <w:p w14:paraId="11994C2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3</w:t>
            </w:r>
          </w:p>
        </w:tc>
        <w:tc>
          <w:tcPr>
            <w:tcW w:w="2414" w:type="pct"/>
            <w:vMerge w:val="restart"/>
            <w:tcBorders>
              <w:tl2br w:val="nil"/>
              <w:tr2bl w:val="nil"/>
            </w:tcBorders>
            <w:shd w:val="clear" w:color="auto" w:fill="FFFFFF" w:themeFill="background1"/>
            <w:noWrap/>
            <w:vAlign w:val="center"/>
          </w:tcPr>
          <w:p w14:paraId="410AFE6F"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安全生产教育培训和特种作业人员管理</w:t>
            </w:r>
          </w:p>
        </w:tc>
        <w:tc>
          <w:tcPr>
            <w:tcW w:w="1886" w:type="pct"/>
            <w:tcBorders>
              <w:tl2br w:val="nil"/>
              <w:tr2bl w:val="nil"/>
            </w:tcBorders>
            <w:shd w:val="clear" w:color="auto" w:fill="FFFFFF" w:themeFill="background1"/>
            <w:noWrap/>
            <w:vAlign w:val="center"/>
          </w:tcPr>
          <w:p w14:paraId="5DCFBDBE"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安全教育培训制度</w:t>
            </w:r>
          </w:p>
        </w:tc>
        <w:tc>
          <w:tcPr>
            <w:tcW w:w="434" w:type="pct"/>
            <w:tcBorders>
              <w:tl2br w:val="nil"/>
              <w:tr2bl w:val="nil"/>
            </w:tcBorders>
            <w:shd w:val="clear" w:color="auto" w:fill="FFFFFF" w:themeFill="background1"/>
            <w:noWrap/>
            <w:vAlign w:val="center"/>
          </w:tcPr>
          <w:p w14:paraId="05AEFE90"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2B493664" w14:textId="77777777">
        <w:trPr>
          <w:cantSplit/>
          <w:trHeight w:val="173"/>
          <w:jc w:val="center"/>
        </w:trPr>
        <w:tc>
          <w:tcPr>
            <w:tcW w:w="264" w:type="pct"/>
            <w:vMerge/>
            <w:tcBorders>
              <w:tl2br w:val="nil"/>
              <w:tr2bl w:val="nil"/>
            </w:tcBorders>
            <w:shd w:val="clear" w:color="auto" w:fill="FFFFFF" w:themeFill="background1"/>
            <w:noWrap/>
            <w:vAlign w:val="center"/>
          </w:tcPr>
          <w:p w14:paraId="38F45A75" w14:textId="77777777" w:rsidR="002D2AF8" w:rsidRDefault="002D2AF8">
            <w:pPr>
              <w:adjustRightInd w:val="0"/>
              <w:snapToGrid w:val="0"/>
              <w:spacing w:beforeLines="20" w:before="65" w:afterLines="20" w:after="65"/>
              <w:jc w:val="center"/>
              <w:rPr>
                <w:color w:val="000000" w:themeColor="text1"/>
                <w:kern w:val="0"/>
                <w:szCs w:val="21"/>
              </w:rPr>
            </w:pPr>
          </w:p>
        </w:tc>
        <w:tc>
          <w:tcPr>
            <w:tcW w:w="2414" w:type="pct"/>
            <w:vMerge/>
            <w:tcBorders>
              <w:tl2br w:val="nil"/>
              <w:tr2bl w:val="nil"/>
            </w:tcBorders>
            <w:shd w:val="clear" w:color="auto" w:fill="FFFFFF" w:themeFill="background1"/>
            <w:noWrap/>
            <w:vAlign w:val="center"/>
          </w:tcPr>
          <w:p w14:paraId="113F1638" w14:textId="77777777" w:rsidR="002D2AF8" w:rsidRDefault="002D2AF8">
            <w:pPr>
              <w:adjustRightInd w:val="0"/>
              <w:snapToGrid w:val="0"/>
              <w:spacing w:beforeLines="20" w:before="65" w:afterLines="20" w:after="65"/>
              <w:jc w:val="center"/>
              <w:rPr>
                <w:color w:val="000000" w:themeColor="text1"/>
                <w:kern w:val="0"/>
                <w:szCs w:val="21"/>
              </w:rPr>
            </w:pPr>
          </w:p>
        </w:tc>
        <w:tc>
          <w:tcPr>
            <w:tcW w:w="1886" w:type="pct"/>
            <w:tcBorders>
              <w:tl2br w:val="nil"/>
              <w:tr2bl w:val="nil"/>
            </w:tcBorders>
            <w:shd w:val="clear" w:color="auto" w:fill="FFFFFF" w:themeFill="background1"/>
            <w:noWrap/>
            <w:vAlign w:val="center"/>
          </w:tcPr>
          <w:p w14:paraId="3C442268"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特种作业人员安全管理制度</w:t>
            </w:r>
          </w:p>
        </w:tc>
        <w:tc>
          <w:tcPr>
            <w:tcW w:w="434" w:type="pct"/>
            <w:tcBorders>
              <w:tl2br w:val="nil"/>
              <w:tr2bl w:val="nil"/>
            </w:tcBorders>
            <w:shd w:val="clear" w:color="auto" w:fill="FFFFFF" w:themeFill="background1"/>
            <w:noWrap/>
            <w:vAlign w:val="center"/>
          </w:tcPr>
          <w:p w14:paraId="1CE8D53D"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1B8B40B7" w14:textId="77777777">
        <w:trPr>
          <w:cantSplit/>
          <w:jc w:val="center"/>
        </w:trPr>
        <w:tc>
          <w:tcPr>
            <w:tcW w:w="264" w:type="pct"/>
            <w:tcBorders>
              <w:tl2br w:val="nil"/>
              <w:tr2bl w:val="nil"/>
            </w:tcBorders>
            <w:shd w:val="clear" w:color="auto" w:fill="FFFFFF" w:themeFill="background1"/>
            <w:noWrap/>
            <w:vAlign w:val="center"/>
          </w:tcPr>
          <w:p w14:paraId="32B85AC5"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4</w:t>
            </w:r>
          </w:p>
        </w:tc>
        <w:tc>
          <w:tcPr>
            <w:tcW w:w="2414" w:type="pct"/>
            <w:tcBorders>
              <w:tl2br w:val="nil"/>
              <w:tr2bl w:val="nil"/>
            </w:tcBorders>
            <w:shd w:val="clear" w:color="auto" w:fill="FFFFFF" w:themeFill="background1"/>
            <w:noWrap/>
            <w:vAlign w:val="center"/>
          </w:tcPr>
          <w:p w14:paraId="657EF322"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劳动防护用品管理</w:t>
            </w:r>
          </w:p>
        </w:tc>
        <w:tc>
          <w:tcPr>
            <w:tcW w:w="1886" w:type="pct"/>
            <w:tcBorders>
              <w:tl2br w:val="nil"/>
              <w:tr2bl w:val="nil"/>
            </w:tcBorders>
            <w:shd w:val="clear" w:color="auto" w:fill="FFFFFF" w:themeFill="background1"/>
            <w:noWrap/>
            <w:vAlign w:val="center"/>
          </w:tcPr>
          <w:p w14:paraId="524248B3"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劳保防护用品管理制度</w:t>
            </w:r>
          </w:p>
        </w:tc>
        <w:tc>
          <w:tcPr>
            <w:tcW w:w="434" w:type="pct"/>
            <w:tcBorders>
              <w:tl2br w:val="nil"/>
              <w:tr2bl w:val="nil"/>
            </w:tcBorders>
            <w:shd w:val="clear" w:color="auto" w:fill="FFFFFF" w:themeFill="background1"/>
            <w:noWrap/>
            <w:vAlign w:val="center"/>
          </w:tcPr>
          <w:p w14:paraId="53EBE3B4"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2C31D083" w14:textId="77777777">
        <w:trPr>
          <w:cantSplit/>
          <w:trHeight w:val="193"/>
          <w:jc w:val="center"/>
        </w:trPr>
        <w:tc>
          <w:tcPr>
            <w:tcW w:w="264" w:type="pct"/>
            <w:vMerge w:val="restart"/>
            <w:tcBorders>
              <w:tl2br w:val="nil"/>
              <w:tr2bl w:val="nil"/>
            </w:tcBorders>
            <w:shd w:val="clear" w:color="auto" w:fill="FFFFFF" w:themeFill="background1"/>
            <w:noWrap/>
            <w:vAlign w:val="center"/>
          </w:tcPr>
          <w:p w14:paraId="483E7B88"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5</w:t>
            </w:r>
          </w:p>
        </w:tc>
        <w:tc>
          <w:tcPr>
            <w:tcW w:w="2414" w:type="pct"/>
            <w:vMerge w:val="restart"/>
            <w:tcBorders>
              <w:tl2br w:val="nil"/>
              <w:tr2bl w:val="nil"/>
            </w:tcBorders>
            <w:shd w:val="clear" w:color="auto" w:fill="FFFFFF" w:themeFill="background1"/>
            <w:noWrap/>
            <w:vAlign w:val="center"/>
          </w:tcPr>
          <w:p w14:paraId="2015DC1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安全设施和设备管理</w:t>
            </w:r>
          </w:p>
        </w:tc>
        <w:tc>
          <w:tcPr>
            <w:tcW w:w="1886" w:type="pct"/>
            <w:tcBorders>
              <w:tl2br w:val="nil"/>
              <w:tr2bl w:val="nil"/>
            </w:tcBorders>
            <w:shd w:val="clear" w:color="auto" w:fill="FFFFFF" w:themeFill="background1"/>
            <w:noWrap/>
            <w:vAlign w:val="center"/>
          </w:tcPr>
          <w:p w14:paraId="01A8FD01"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设备、设施安全管理制度</w:t>
            </w:r>
          </w:p>
        </w:tc>
        <w:tc>
          <w:tcPr>
            <w:tcW w:w="434" w:type="pct"/>
            <w:vMerge w:val="restart"/>
            <w:tcBorders>
              <w:tl2br w:val="nil"/>
              <w:tr2bl w:val="nil"/>
            </w:tcBorders>
            <w:shd w:val="clear" w:color="auto" w:fill="FFFFFF" w:themeFill="background1"/>
            <w:noWrap/>
            <w:vAlign w:val="center"/>
          </w:tcPr>
          <w:p w14:paraId="4AFECE01"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23ED2D96" w14:textId="77777777">
        <w:trPr>
          <w:cantSplit/>
          <w:trHeight w:val="193"/>
          <w:jc w:val="center"/>
        </w:trPr>
        <w:tc>
          <w:tcPr>
            <w:tcW w:w="264" w:type="pct"/>
            <w:vMerge/>
            <w:tcBorders>
              <w:tl2br w:val="nil"/>
              <w:tr2bl w:val="nil"/>
            </w:tcBorders>
            <w:shd w:val="clear" w:color="auto" w:fill="FFFFFF" w:themeFill="background1"/>
            <w:noWrap/>
            <w:vAlign w:val="center"/>
          </w:tcPr>
          <w:p w14:paraId="0E18EFDC" w14:textId="77777777" w:rsidR="002D2AF8" w:rsidRDefault="002D2AF8">
            <w:pPr>
              <w:adjustRightInd w:val="0"/>
              <w:snapToGrid w:val="0"/>
              <w:spacing w:beforeLines="20" w:before="65" w:afterLines="20" w:after="65"/>
              <w:jc w:val="center"/>
              <w:rPr>
                <w:color w:val="000000" w:themeColor="text1"/>
                <w:kern w:val="0"/>
                <w:szCs w:val="21"/>
              </w:rPr>
            </w:pPr>
          </w:p>
        </w:tc>
        <w:tc>
          <w:tcPr>
            <w:tcW w:w="2414" w:type="pct"/>
            <w:vMerge/>
            <w:tcBorders>
              <w:tl2br w:val="nil"/>
              <w:tr2bl w:val="nil"/>
            </w:tcBorders>
            <w:shd w:val="clear" w:color="auto" w:fill="FFFFFF" w:themeFill="background1"/>
            <w:noWrap/>
            <w:vAlign w:val="center"/>
          </w:tcPr>
          <w:p w14:paraId="6DB67C39" w14:textId="77777777" w:rsidR="002D2AF8" w:rsidRDefault="002D2AF8">
            <w:pPr>
              <w:adjustRightInd w:val="0"/>
              <w:snapToGrid w:val="0"/>
              <w:spacing w:beforeLines="20" w:before="65" w:afterLines="20" w:after="65"/>
              <w:jc w:val="center"/>
              <w:rPr>
                <w:color w:val="000000" w:themeColor="text1"/>
                <w:kern w:val="0"/>
                <w:szCs w:val="21"/>
              </w:rPr>
            </w:pPr>
          </w:p>
        </w:tc>
        <w:tc>
          <w:tcPr>
            <w:tcW w:w="1886" w:type="pct"/>
            <w:tcBorders>
              <w:tl2br w:val="nil"/>
              <w:tr2bl w:val="nil"/>
            </w:tcBorders>
            <w:shd w:val="clear" w:color="auto" w:fill="FFFFFF" w:themeFill="background1"/>
            <w:noWrap/>
            <w:vAlign w:val="center"/>
          </w:tcPr>
          <w:p w14:paraId="0CC8847B" w14:textId="77777777" w:rsidR="002D2AF8" w:rsidRDefault="00000000">
            <w:pPr>
              <w:adjustRightInd w:val="0"/>
              <w:snapToGrid w:val="0"/>
              <w:spacing w:beforeLines="20" w:before="65" w:afterLines="20" w:after="65"/>
              <w:jc w:val="center"/>
              <w:rPr>
                <w:color w:val="000000" w:themeColor="text1"/>
                <w:kern w:val="0"/>
                <w:szCs w:val="21"/>
              </w:rPr>
            </w:pPr>
            <w:r>
              <w:rPr>
                <w:rFonts w:hint="eastAsia"/>
                <w:color w:val="000000" w:themeColor="text1"/>
                <w:kern w:val="0"/>
                <w:szCs w:val="21"/>
              </w:rPr>
              <w:t>安全设施管理制度</w:t>
            </w:r>
          </w:p>
        </w:tc>
        <w:tc>
          <w:tcPr>
            <w:tcW w:w="434" w:type="pct"/>
            <w:vMerge/>
            <w:tcBorders>
              <w:tl2br w:val="nil"/>
              <w:tr2bl w:val="nil"/>
            </w:tcBorders>
            <w:shd w:val="clear" w:color="auto" w:fill="FFFFFF" w:themeFill="background1"/>
            <w:noWrap/>
            <w:vAlign w:val="center"/>
          </w:tcPr>
          <w:p w14:paraId="038F1A36"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6C7B0A96" w14:textId="77777777">
        <w:trPr>
          <w:cantSplit/>
          <w:trHeight w:val="193"/>
          <w:jc w:val="center"/>
        </w:trPr>
        <w:tc>
          <w:tcPr>
            <w:tcW w:w="264" w:type="pct"/>
            <w:vMerge/>
            <w:tcBorders>
              <w:tl2br w:val="nil"/>
              <w:tr2bl w:val="nil"/>
            </w:tcBorders>
            <w:shd w:val="clear" w:color="auto" w:fill="FFFFFF" w:themeFill="background1"/>
            <w:noWrap/>
            <w:vAlign w:val="center"/>
          </w:tcPr>
          <w:p w14:paraId="5CFA8E29" w14:textId="77777777" w:rsidR="002D2AF8" w:rsidRDefault="002D2AF8">
            <w:pPr>
              <w:adjustRightInd w:val="0"/>
              <w:snapToGrid w:val="0"/>
              <w:spacing w:beforeLines="20" w:before="65" w:afterLines="20" w:after="65"/>
              <w:jc w:val="center"/>
              <w:rPr>
                <w:color w:val="000000" w:themeColor="text1"/>
                <w:szCs w:val="21"/>
              </w:rPr>
            </w:pPr>
          </w:p>
        </w:tc>
        <w:tc>
          <w:tcPr>
            <w:tcW w:w="2414" w:type="pct"/>
            <w:vMerge/>
            <w:tcBorders>
              <w:tl2br w:val="nil"/>
              <w:tr2bl w:val="nil"/>
            </w:tcBorders>
            <w:shd w:val="clear" w:color="auto" w:fill="FFFFFF" w:themeFill="background1"/>
            <w:noWrap/>
            <w:vAlign w:val="center"/>
          </w:tcPr>
          <w:p w14:paraId="132C9D5A" w14:textId="77777777" w:rsidR="002D2AF8" w:rsidRDefault="002D2AF8">
            <w:pPr>
              <w:adjustRightInd w:val="0"/>
              <w:snapToGrid w:val="0"/>
              <w:spacing w:beforeLines="20" w:before="65" w:afterLines="20" w:after="65"/>
              <w:jc w:val="center"/>
              <w:rPr>
                <w:color w:val="000000" w:themeColor="text1"/>
                <w:szCs w:val="21"/>
              </w:rPr>
            </w:pPr>
          </w:p>
        </w:tc>
        <w:tc>
          <w:tcPr>
            <w:tcW w:w="1886" w:type="pct"/>
            <w:tcBorders>
              <w:tl2br w:val="nil"/>
              <w:tr2bl w:val="nil"/>
            </w:tcBorders>
            <w:shd w:val="clear" w:color="auto" w:fill="FFFFFF" w:themeFill="background1"/>
            <w:noWrap/>
            <w:vAlign w:val="center"/>
          </w:tcPr>
          <w:p w14:paraId="319D5319"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设备、设施报废管理制度</w:t>
            </w:r>
          </w:p>
        </w:tc>
        <w:tc>
          <w:tcPr>
            <w:tcW w:w="434" w:type="pct"/>
            <w:vMerge/>
            <w:tcBorders>
              <w:tl2br w:val="nil"/>
              <w:tr2bl w:val="nil"/>
            </w:tcBorders>
            <w:shd w:val="clear" w:color="auto" w:fill="FFFFFF" w:themeFill="background1"/>
            <w:noWrap/>
            <w:vAlign w:val="center"/>
          </w:tcPr>
          <w:p w14:paraId="7B89B1E8"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0F9750FC" w14:textId="77777777">
        <w:trPr>
          <w:cantSplit/>
          <w:jc w:val="center"/>
        </w:trPr>
        <w:tc>
          <w:tcPr>
            <w:tcW w:w="264" w:type="pct"/>
            <w:tcBorders>
              <w:tl2br w:val="nil"/>
              <w:tr2bl w:val="nil"/>
            </w:tcBorders>
            <w:shd w:val="clear" w:color="auto" w:fill="FFFFFF" w:themeFill="background1"/>
            <w:noWrap/>
            <w:vAlign w:val="center"/>
          </w:tcPr>
          <w:p w14:paraId="47521FB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6</w:t>
            </w:r>
          </w:p>
        </w:tc>
        <w:tc>
          <w:tcPr>
            <w:tcW w:w="2414" w:type="pct"/>
            <w:tcBorders>
              <w:tl2br w:val="nil"/>
              <w:tr2bl w:val="nil"/>
            </w:tcBorders>
            <w:shd w:val="clear" w:color="auto" w:fill="FFFFFF" w:themeFill="background1"/>
            <w:noWrap/>
            <w:vAlign w:val="center"/>
          </w:tcPr>
          <w:p w14:paraId="3496A53D" w14:textId="77777777" w:rsidR="002D2AF8" w:rsidRDefault="00000000">
            <w:pPr>
              <w:adjustRightInd w:val="0"/>
              <w:snapToGrid w:val="0"/>
              <w:jc w:val="center"/>
              <w:rPr>
                <w:color w:val="000000" w:themeColor="text1"/>
                <w:kern w:val="0"/>
                <w:szCs w:val="21"/>
              </w:rPr>
            </w:pPr>
            <w:r>
              <w:rPr>
                <w:color w:val="000000" w:themeColor="text1"/>
                <w:kern w:val="0"/>
                <w:szCs w:val="21"/>
              </w:rPr>
              <w:t>职业病防治管理</w:t>
            </w:r>
          </w:p>
        </w:tc>
        <w:tc>
          <w:tcPr>
            <w:tcW w:w="1886" w:type="pct"/>
            <w:tcBorders>
              <w:tl2br w:val="nil"/>
              <w:tr2bl w:val="nil"/>
            </w:tcBorders>
            <w:shd w:val="clear" w:color="auto" w:fill="FFFFFF" w:themeFill="background1"/>
            <w:noWrap/>
            <w:vAlign w:val="center"/>
          </w:tcPr>
          <w:p w14:paraId="124DEA22"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职业卫生及职业性健康检查管理制度</w:t>
            </w:r>
          </w:p>
        </w:tc>
        <w:tc>
          <w:tcPr>
            <w:tcW w:w="434" w:type="pct"/>
            <w:tcBorders>
              <w:tl2br w:val="nil"/>
              <w:tr2bl w:val="nil"/>
            </w:tcBorders>
            <w:shd w:val="clear" w:color="auto" w:fill="FFFFFF" w:themeFill="background1"/>
            <w:noWrap/>
            <w:vAlign w:val="center"/>
          </w:tcPr>
          <w:p w14:paraId="521BCD14"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581AE067" w14:textId="77777777">
        <w:trPr>
          <w:cantSplit/>
          <w:jc w:val="center"/>
        </w:trPr>
        <w:tc>
          <w:tcPr>
            <w:tcW w:w="264" w:type="pct"/>
            <w:tcBorders>
              <w:tl2br w:val="nil"/>
              <w:tr2bl w:val="nil"/>
            </w:tcBorders>
            <w:shd w:val="clear" w:color="auto" w:fill="FFFFFF" w:themeFill="background1"/>
            <w:noWrap/>
            <w:vAlign w:val="center"/>
          </w:tcPr>
          <w:p w14:paraId="3B0A896C"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7</w:t>
            </w:r>
          </w:p>
        </w:tc>
        <w:tc>
          <w:tcPr>
            <w:tcW w:w="2414" w:type="pct"/>
            <w:tcBorders>
              <w:tl2br w:val="nil"/>
              <w:tr2bl w:val="nil"/>
            </w:tcBorders>
            <w:shd w:val="clear" w:color="auto" w:fill="FFFFFF" w:themeFill="background1"/>
            <w:noWrap/>
            <w:vAlign w:val="center"/>
          </w:tcPr>
          <w:p w14:paraId="1E46BEB7"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安全生产检查</w:t>
            </w:r>
          </w:p>
        </w:tc>
        <w:tc>
          <w:tcPr>
            <w:tcW w:w="1886" w:type="pct"/>
            <w:tcBorders>
              <w:tl2br w:val="nil"/>
              <w:tr2bl w:val="nil"/>
            </w:tcBorders>
            <w:shd w:val="clear" w:color="auto" w:fill="FFFFFF" w:themeFill="background1"/>
            <w:noWrap/>
            <w:vAlign w:val="center"/>
          </w:tcPr>
          <w:p w14:paraId="1B0F3B17"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安全检查制度</w:t>
            </w:r>
          </w:p>
        </w:tc>
        <w:tc>
          <w:tcPr>
            <w:tcW w:w="434" w:type="pct"/>
            <w:tcBorders>
              <w:tl2br w:val="nil"/>
              <w:tr2bl w:val="nil"/>
            </w:tcBorders>
            <w:shd w:val="clear" w:color="auto" w:fill="FFFFFF" w:themeFill="background1"/>
            <w:noWrap/>
            <w:vAlign w:val="center"/>
          </w:tcPr>
          <w:p w14:paraId="325A9535"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25A961D2" w14:textId="77777777">
        <w:trPr>
          <w:cantSplit/>
          <w:trHeight w:val="419"/>
          <w:jc w:val="center"/>
        </w:trPr>
        <w:tc>
          <w:tcPr>
            <w:tcW w:w="264" w:type="pct"/>
            <w:tcBorders>
              <w:tl2br w:val="nil"/>
              <w:tr2bl w:val="nil"/>
            </w:tcBorders>
            <w:shd w:val="clear" w:color="auto" w:fill="FFFFFF" w:themeFill="background1"/>
            <w:noWrap/>
            <w:vAlign w:val="center"/>
          </w:tcPr>
          <w:p w14:paraId="1A1FBA9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8</w:t>
            </w:r>
          </w:p>
        </w:tc>
        <w:tc>
          <w:tcPr>
            <w:tcW w:w="2414" w:type="pct"/>
            <w:tcBorders>
              <w:tl2br w:val="nil"/>
              <w:tr2bl w:val="nil"/>
            </w:tcBorders>
            <w:shd w:val="clear" w:color="auto" w:fill="FFFFFF" w:themeFill="background1"/>
            <w:noWrap/>
            <w:vAlign w:val="center"/>
          </w:tcPr>
          <w:p w14:paraId="4E451CC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危险作业管理</w:t>
            </w:r>
          </w:p>
        </w:tc>
        <w:tc>
          <w:tcPr>
            <w:tcW w:w="1886" w:type="pct"/>
            <w:tcBorders>
              <w:tl2br w:val="nil"/>
              <w:tr2bl w:val="nil"/>
            </w:tcBorders>
            <w:shd w:val="clear" w:color="auto" w:fill="FFFFFF" w:themeFill="background1"/>
            <w:noWrap/>
            <w:vAlign w:val="center"/>
          </w:tcPr>
          <w:p w14:paraId="4C6DB870"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特种作业审批制度</w:t>
            </w:r>
          </w:p>
        </w:tc>
        <w:tc>
          <w:tcPr>
            <w:tcW w:w="434" w:type="pct"/>
            <w:tcBorders>
              <w:tl2br w:val="nil"/>
              <w:tr2bl w:val="nil"/>
            </w:tcBorders>
            <w:shd w:val="clear" w:color="auto" w:fill="FFFFFF" w:themeFill="background1"/>
            <w:noWrap/>
            <w:vAlign w:val="center"/>
          </w:tcPr>
          <w:p w14:paraId="284978BB"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00BEABBA" w14:textId="77777777">
        <w:trPr>
          <w:cantSplit/>
          <w:trHeight w:val="298"/>
          <w:jc w:val="center"/>
        </w:trPr>
        <w:tc>
          <w:tcPr>
            <w:tcW w:w="264" w:type="pct"/>
            <w:tcBorders>
              <w:tl2br w:val="nil"/>
              <w:tr2bl w:val="nil"/>
            </w:tcBorders>
            <w:shd w:val="clear" w:color="auto" w:fill="FFFFFF" w:themeFill="background1"/>
            <w:noWrap/>
            <w:vAlign w:val="center"/>
          </w:tcPr>
          <w:p w14:paraId="6E1A7E7E"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9</w:t>
            </w:r>
          </w:p>
        </w:tc>
        <w:tc>
          <w:tcPr>
            <w:tcW w:w="2414" w:type="pct"/>
            <w:tcBorders>
              <w:tl2br w:val="nil"/>
              <w:tr2bl w:val="nil"/>
            </w:tcBorders>
            <w:shd w:val="clear" w:color="auto" w:fill="FFFFFF" w:themeFill="background1"/>
            <w:noWrap/>
            <w:vAlign w:val="center"/>
          </w:tcPr>
          <w:p w14:paraId="09739360"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事故隐患排查治理</w:t>
            </w:r>
          </w:p>
        </w:tc>
        <w:tc>
          <w:tcPr>
            <w:tcW w:w="1886" w:type="pct"/>
            <w:tcBorders>
              <w:tl2br w:val="nil"/>
              <w:tr2bl w:val="nil"/>
            </w:tcBorders>
            <w:shd w:val="clear" w:color="auto" w:fill="FFFFFF" w:themeFill="background1"/>
            <w:noWrap/>
            <w:vAlign w:val="center"/>
          </w:tcPr>
          <w:p w14:paraId="31E9770F" w14:textId="77777777" w:rsidR="002D2AF8" w:rsidRDefault="00000000">
            <w:pPr>
              <w:pStyle w:val="Default"/>
              <w:jc w:val="center"/>
              <w:rPr>
                <w:rFonts w:ascii="Times New Roman" w:eastAsiaTheme="minorEastAsia" w:hAnsi="Times New Roman" w:cs="Times New Roman"/>
                <w:color w:val="000000" w:themeColor="text1"/>
                <w:sz w:val="21"/>
                <w:szCs w:val="21"/>
              </w:rPr>
            </w:pPr>
            <w:r>
              <w:rPr>
                <w:rFonts w:ascii="Times New Roman" w:eastAsiaTheme="minorEastAsia" w:hAnsi="Times New Roman" w:cs="Times New Roman"/>
                <w:color w:val="000000" w:themeColor="text1"/>
                <w:sz w:val="21"/>
                <w:szCs w:val="21"/>
              </w:rPr>
              <w:t>隐患排查治理管理制度</w:t>
            </w:r>
          </w:p>
        </w:tc>
        <w:tc>
          <w:tcPr>
            <w:tcW w:w="434" w:type="pct"/>
            <w:tcBorders>
              <w:tl2br w:val="nil"/>
              <w:tr2bl w:val="nil"/>
            </w:tcBorders>
            <w:shd w:val="clear" w:color="auto" w:fill="FFFFFF" w:themeFill="background1"/>
            <w:noWrap/>
            <w:vAlign w:val="center"/>
          </w:tcPr>
          <w:p w14:paraId="6489423B"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14DB6C67" w14:textId="77777777">
        <w:trPr>
          <w:cantSplit/>
          <w:jc w:val="center"/>
        </w:trPr>
        <w:tc>
          <w:tcPr>
            <w:tcW w:w="264" w:type="pct"/>
            <w:tcBorders>
              <w:tl2br w:val="nil"/>
              <w:tr2bl w:val="nil"/>
            </w:tcBorders>
            <w:shd w:val="clear" w:color="auto" w:fill="FFFFFF" w:themeFill="background1"/>
            <w:noWrap/>
            <w:vAlign w:val="center"/>
          </w:tcPr>
          <w:p w14:paraId="2DCEAD5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10</w:t>
            </w:r>
          </w:p>
        </w:tc>
        <w:tc>
          <w:tcPr>
            <w:tcW w:w="2414" w:type="pct"/>
            <w:tcBorders>
              <w:tl2br w:val="nil"/>
              <w:tr2bl w:val="nil"/>
            </w:tcBorders>
            <w:shd w:val="clear" w:color="auto" w:fill="FFFFFF" w:themeFill="background1"/>
            <w:noWrap/>
            <w:vAlign w:val="center"/>
          </w:tcPr>
          <w:p w14:paraId="6CDC302D"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重大危险源监控管理</w:t>
            </w:r>
          </w:p>
        </w:tc>
        <w:tc>
          <w:tcPr>
            <w:tcW w:w="1886" w:type="pct"/>
            <w:tcBorders>
              <w:tl2br w:val="nil"/>
              <w:tr2bl w:val="nil"/>
            </w:tcBorders>
            <w:shd w:val="clear" w:color="auto" w:fill="FFFFFF" w:themeFill="background1"/>
            <w:noWrap/>
            <w:vAlign w:val="center"/>
          </w:tcPr>
          <w:p w14:paraId="563130AF"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不涉及</w:t>
            </w:r>
          </w:p>
        </w:tc>
        <w:tc>
          <w:tcPr>
            <w:tcW w:w="434" w:type="pct"/>
            <w:tcBorders>
              <w:tl2br w:val="nil"/>
              <w:tr2bl w:val="nil"/>
            </w:tcBorders>
            <w:shd w:val="clear" w:color="auto" w:fill="FFFFFF" w:themeFill="background1"/>
            <w:noWrap/>
            <w:vAlign w:val="center"/>
          </w:tcPr>
          <w:p w14:paraId="3825953F"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4D9FA25B" w14:textId="77777777">
        <w:trPr>
          <w:cantSplit/>
          <w:jc w:val="center"/>
        </w:trPr>
        <w:tc>
          <w:tcPr>
            <w:tcW w:w="264" w:type="pct"/>
            <w:tcBorders>
              <w:tl2br w:val="nil"/>
              <w:tr2bl w:val="nil"/>
            </w:tcBorders>
            <w:shd w:val="clear" w:color="auto" w:fill="FFFFFF" w:themeFill="background1"/>
            <w:noWrap/>
            <w:vAlign w:val="center"/>
          </w:tcPr>
          <w:p w14:paraId="40DA6F1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11</w:t>
            </w:r>
          </w:p>
        </w:tc>
        <w:tc>
          <w:tcPr>
            <w:tcW w:w="2414" w:type="pct"/>
            <w:tcBorders>
              <w:tl2br w:val="nil"/>
              <w:tr2bl w:val="nil"/>
            </w:tcBorders>
            <w:shd w:val="clear" w:color="auto" w:fill="FFFFFF" w:themeFill="background1"/>
            <w:noWrap/>
            <w:vAlign w:val="center"/>
          </w:tcPr>
          <w:p w14:paraId="16E42CEF"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安全生产奖惩</w:t>
            </w:r>
          </w:p>
        </w:tc>
        <w:tc>
          <w:tcPr>
            <w:tcW w:w="1886" w:type="pct"/>
            <w:tcBorders>
              <w:tl2br w:val="nil"/>
              <w:tr2bl w:val="nil"/>
            </w:tcBorders>
            <w:shd w:val="clear" w:color="auto" w:fill="FFFFFF" w:themeFill="background1"/>
            <w:noWrap/>
            <w:vAlign w:val="center"/>
          </w:tcPr>
          <w:p w14:paraId="4A9C780F"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安全生产奖惩制度</w:t>
            </w:r>
          </w:p>
        </w:tc>
        <w:tc>
          <w:tcPr>
            <w:tcW w:w="434" w:type="pct"/>
            <w:tcBorders>
              <w:tl2br w:val="nil"/>
              <w:tr2bl w:val="nil"/>
            </w:tcBorders>
            <w:shd w:val="clear" w:color="auto" w:fill="FFFFFF" w:themeFill="background1"/>
            <w:noWrap/>
            <w:vAlign w:val="center"/>
          </w:tcPr>
          <w:p w14:paraId="6FB6A9DE"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07EA2FD9" w14:textId="77777777">
        <w:trPr>
          <w:cantSplit/>
          <w:jc w:val="center"/>
        </w:trPr>
        <w:tc>
          <w:tcPr>
            <w:tcW w:w="264" w:type="pct"/>
            <w:tcBorders>
              <w:tl2br w:val="nil"/>
              <w:tr2bl w:val="nil"/>
            </w:tcBorders>
            <w:shd w:val="clear" w:color="auto" w:fill="FFFFFF" w:themeFill="background1"/>
            <w:noWrap/>
            <w:vAlign w:val="center"/>
          </w:tcPr>
          <w:p w14:paraId="00246EE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12</w:t>
            </w:r>
          </w:p>
        </w:tc>
        <w:tc>
          <w:tcPr>
            <w:tcW w:w="2414" w:type="pct"/>
            <w:tcBorders>
              <w:tl2br w:val="nil"/>
              <w:tr2bl w:val="nil"/>
            </w:tcBorders>
            <w:shd w:val="clear" w:color="auto" w:fill="FFFFFF" w:themeFill="background1"/>
            <w:noWrap/>
            <w:vAlign w:val="center"/>
          </w:tcPr>
          <w:p w14:paraId="10BE5DD8"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事故报告</w:t>
            </w:r>
          </w:p>
        </w:tc>
        <w:tc>
          <w:tcPr>
            <w:tcW w:w="1886" w:type="pct"/>
            <w:tcBorders>
              <w:tl2br w:val="nil"/>
              <w:tr2bl w:val="nil"/>
            </w:tcBorders>
            <w:shd w:val="clear" w:color="auto" w:fill="FFFFFF" w:themeFill="background1"/>
            <w:noWrap/>
            <w:vAlign w:val="center"/>
          </w:tcPr>
          <w:p w14:paraId="7222F278"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生产安全事故报告、调查及处理管理制度</w:t>
            </w:r>
          </w:p>
        </w:tc>
        <w:tc>
          <w:tcPr>
            <w:tcW w:w="434" w:type="pct"/>
            <w:tcBorders>
              <w:tl2br w:val="nil"/>
              <w:tr2bl w:val="nil"/>
            </w:tcBorders>
            <w:shd w:val="clear" w:color="auto" w:fill="FFFFFF" w:themeFill="background1"/>
            <w:noWrap/>
            <w:vAlign w:val="center"/>
          </w:tcPr>
          <w:p w14:paraId="41BCED58"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0FE1AC5E" w14:textId="77777777">
        <w:trPr>
          <w:cantSplit/>
          <w:jc w:val="center"/>
        </w:trPr>
        <w:tc>
          <w:tcPr>
            <w:tcW w:w="264" w:type="pct"/>
            <w:tcBorders>
              <w:tl2br w:val="nil"/>
              <w:tr2bl w:val="nil"/>
            </w:tcBorders>
            <w:shd w:val="clear" w:color="auto" w:fill="FFFFFF" w:themeFill="background1"/>
            <w:noWrap/>
            <w:vAlign w:val="center"/>
          </w:tcPr>
          <w:p w14:paraId="3E3A5A5E"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13</w:t>
            </w:r>
          </w:p>
        </w:tc>
        <w:tc>
          <w:tcPr>
            <w:tcW w:w="2414" w:type="pct"/>
            <w:tcBorders>
              <w:tl2br w:val="nil"/>
              <w:tr2bl w:val="nil"/>
            </w:tcBorders>
            <w:shd w:val="clear" w:color="auto" w:fill="FFFFFF" w:themeFill="background1"/>
            <w:noWrap/>
            <w:vAlign w:val="center"/>
          </w:tcPr>
          <w:p w14:paraId="5FA9AD60"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应急救援</w:t>
            </w:r>
          </w:p>
        </w:tc>
        <w:tc>
          <w:tcPr>
            <w:tcW w:w="1886" w:type="pct"/>
            <w:tcBorders>
              <w:tl2br w:val="nil"/>
              <w:tr2bl w:val="nil"/>
            </w:tcBorders>
            <w:shd w:val="clear" w:color="auto" w:fill="FFFFFF" w:themeFill="background1"/>
            <w:noWrap/>
            <w:vAlign w:val="center"/>
          </w:tcPr>
          <w:p w14:paraId="0B6D24EE"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应急救援管理制度</w:t>
            </w:r>
          </w:p>
        </w:tc>
        <w:tc>
          <w:tcPr>
            <w:tcW w:w="434" w:type="pct"/>
            <w:tcBorders>
              <w:tl2br w:val="nil"/>
              <w:tr2bl w:val="nil"/>
            </w:tcBorders>
            <w:shd w:val="clear" w:color="auto" w:fill="FFFFFF" w:themeFill="background1"/>
            <w:noWrap/>
            <w:vAlign w:val="center"/>
          </w:tcPr>
          <w:p w14:paraId="752E64E5"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23848DCF" w14:textId="77777777">
        <w:trPr>
          <w:jc w:val="center"/>
        </w:trPr>
        <w:tc>
          <w:tcPr>
            <w:tcW w:w="264" w:type="pct"/>
            <w:tcBorders>
              <w:tl2br w:val="nil"/>
              <w:tr2bl w:val="nil"/>
            </w:tcBorders>
            <w:shd w:val="clear" w:color="auto" w:fill="FFFFFF" w:themeFill="background1"/>
            <w:noWrap/>
            <w:vAlign w:val="center"/>
          </w:tcPr>
          <w:p w14:paraId="5F9E3956"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14:paraId="540A7201"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《山东省生产经营单位安全生产主体责任规定》（山东省人民政府令</w:t>
            </w:r>
            <w:r>
              <w:rPr>
                <w:b/>
                <w:bCs/>
                <w:color w:val="000000" w:themeColor="text1"/>
                <w:kern w:val="0"/>
                <w:szCs w:val="21"/>
              </w:rPr>
              <w:t>[2018]</w:t>
            </w:r>
            <w:r>
              <w:rPr>
                <w:b/>
                <w:bCs/>
                <w:color w:val="000000" w:themeColor="text1"/>
                <w:kern w:val="0"/>
                <w:szCs w:val="21"/>
              </w:rPr>
              <w:t>第</w:t>
            </w:r>
            <w:r>
              <w:rPr>
                <w:b/>
                <w:bCs/>
                <w:color w:val="000000" w:themeColor="text1"/>
                <w:kern w:val="0"/>
                <w:szCs w:val="21"/>
              </w:rPr>
              <w:t>311</w:t>
            </w:r>
            <w:r>
              <w:rPr>
                <w:b/>
                <w:bCs/>
                <w:color w:val="000000" w:themeColor="text1"/>
                <w:kern w:val="0"/>
                <w:szCs w:val="21"/>
              </w:rPr>
              <w:t>号）</w:t>
            </w:r>
          </w:p>
        </w:tc>
        <w:tc>
          <w:tcPr>
            <w:tcW w:w="1886" w:type="pct"/>
            <w:tcBorders>
              <w:tl2br w:val="nil"/>
              <w:tr2bl w:val="nil"/>
            </w:tcBorders>
            <w:shd w:val="clear" w:color="auto" w:fill="FFFFFF" w:themeFill="background1"/>
            <w:noWrap/>
            <w:vAlign w:val="center"/>
          </w:tcPr>
          <w:p w14:paraId="2FC4816E"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企业制定对应的制度</w:t>
            </w:r>
          </w:p>
        </w:tc>
        <w:tc>
          <w:tcPr>
            <w:tcW w:w="434" w:type="pct"/>
            <w:tcBorders>
              <w:tl2br w:val="nil"/>
              <w:tr2bl w:val="nil"/>
            </w:tcBorders>
            <w:shd w:val="clear" w:color="auto" w:fill="FFFFFF" w:themeFill="background1"/>
            <w:noWrap/>
            <w:vAlign w:val="center"/>
          </w:tcPr>
          <w:p w14:paraId="20A63679"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备注</w:t>
            </w:r>
          </w:p>
        </w:tc>
      </w:tr>
      <w:tr w:rsidR="002D2AF8" w14:paraId="34CE55D6" w14:textId="77777777">
        <w:trPr>
          <w:cantSplit/>
          <w:jc w:val="center"/>
        </w:trPr>
        <w:tc>
          <w:tcPr>
            <w:tcW w:w="264" w:type="pct"/>
            <w:tcBorders>
              <w:tl2br w:val="nil"/>
              <w:tr2bl w:val="nil"/>
            </w:tcBorders>
            <w:shd w:val="clear" w:color="auto" w:fill="FFFFFF" w:themeFill="background1"/>
            <w:noWrap/>
            <w:vAlign w:val="center"/>
          </w:tcPr>
          <w:p w14:paraId="2F410D7A"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w:t>
            </w:r>
          </w:p>
        </w:tc>
        <w:tc>
          <w:tcPr>
            <w:tcW w:w="2414" w:type="pct"/>
            <w:tcBorders>
              <w:tl2br w:val="nil"/>
              <w:tr2bl w:val="nil"/>
            </w:tcBorders>
            <w:shd w:val="clear" w:color="auto" w:fill="FFFFFF" w:themeFill="background1"/>
            <w:noWrap/>
            <w:vAlign w:val="center"/>
          </w:tcPr>
          <w:p w14:paraId="6DAEBB8A"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安全生产资金投入</w:t>
            </w:r>
          </w:p>
        </w:tc>
        <w:tc>
          <w:tcPr>
            <w:tcW w:w="1886" w:type="pct"/>
            <w:tcBorders>
              <w:tl2br w:val="nil"/>
              <w:tr2bl w:val="nil"/>
            </w:tcBorders>
            <w:shd w:val="clear" w:color="auto" w:fill="FFFFFF" w:themeFill="background1"/>
            <w:noWrap/>
            <w:vAlign w:val="center"/>
          </w:tcPr>
          <w:p w14:paraId="635D7C2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安全生产费用提取和使用管理制度</w:t>
            </w:r>
          </w:p>
        </w:tc>
        <w:tc>
          <w:tcPr>
            <w:tcW w:w="434" w:type="pct"/>
            <w:tcBorders>
              <w:tl2br w:val="nil"/>
              <w:tr2bl w:val="nil"/>
            </w:tcBorders>
            <w:shd w:val="clear" w:color="auto" w:fill="FFFFFF" w:themeFill="background1"/>
            <w:noWrap/>
            <w:vAlign w:val="center"/>
          </w:tcPr>
          <w:p w14:paraId="14705735"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710B6286" w14:textId="77777777">
        <w:trPr>
          <w:cantSplit/>
          <w:jc w:val="center"/>
        </w:trPr>
        <w:tc>
          <w:tcPr>
            <w:tcW w:w="264" w:type="pct"/>
            <w:tcBorders>
              <w:tl2br w:val="nil"/>
              <w:tr2bl w:val="nil"/>
            </w:tcBorders>
            <w:shd w:val="clear" w:color="auto" w:fill="FFFFFF" w:themeFill="background1"/>
            <w:noWrap/>
            <w:vAlign w:val="center"/>
          </w:tcPr>
          <w:p w14:paraId="6ABFB474"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2</w:t>
            </w:r>
          </w:p>
        </w:tc>
        <w:tc>
          <w:tcPr>
            <w:tcW w:w="2414" w:type="pct"/>
            <w:tcBorders>
              <w:tl2br w:val="nil"/>
              <w:tr2bl w:val="nil"/>
            </w:tcBorders>
            <w:shd w:val="clear" w:color="auto" w:fill="FFFFFF" w:themeFill="background1"/>
            <w:noWrap/>
            <w:vAlign w:val="center"/>
          </w:tcPr>
          <w:p w14:paraId="577AAB7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劳动防护用品管理</w:t>
            </w:r>
          </w:p>
        </w:tc>
        <w:tc>
          <w:tcPr>
            <w:tcW w:w="1886" w:type="pct"/>
            <w:tcBorders>
              <w:tl2br w:val="nil"/>
              <w:tr2bl w:val="nil"/>
            </w:tcBorders>
            <w:shd w:val="clear" w:color="auto" w:fill="FFFFFF" w:themeFill="background1"/>
            <w:noWrap/>
            <w:vAlign w:val="center"/>
          </w:tcPr>
          <w:p w14:paraId="180FFE12"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劳保防护用品管理制度</w:t>
            </w:r>
          </w:p>
        </w:tc>
        <w:tc>
          <w:tcPr>
            <w:tcW w:w="434" w:type="pct"/>
            <w:tcBorders>
              <w:tl2br w:val="nil"/>
              <w:tr2bl w:val="nil"/>
            </w:tcBorders>
            <w:shd w:val="clear" w:color="auto" w:fill="FFFFFF" w:themeFill="background1"/>
            <w:noWrap/>
            <w:vAlign w:val="center"/>
          </w:tcPr>
          <w:p w14:paraId="3892C138"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7BED8058" w14:textId="77777777">
        <w:trPr>
          <w:cantSplit/>
          <w:trHeight w:val="193"/>
          <w:jc w:val="center"/>
        </w:trPr>
        <w:tc>
          <w:tcPr>
            <w:tcW w:w="264" w:type="pct"/>
            <w:vMerge w:val="restart"/>
            <w:tcBorders>
              <w:tl2br w:val="nil"/>
              <w:tr2bl w:val="nil"/>
            </w:tcBorders>
            <w:shd w:val="clear" w:color="auto" w:fill="FFFFFF" w:themeFill="background1"/>
            <w:noWrap/>
            <w:vAlign w:val="center"/>
          </w:tcPr>
          <w:p w14:paraId="5CCF9F12"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3</w:t>
            </w:r>
          </w:p>
        </w:tc>
        <w:tc>
          <w:tcPr>
            <w:tcW w:w="2414" w:type="pct"/>
            <w:vMerge w:val="restart"/>
            <w:tcBorders>
              <w:tl2br w:val="nil"/>
              <w:tr2bl w:val="nil"/>
            </w:tcBorders>
            <w:shd w:val="clear" w:color="auto" w:fill="FFFFFF" w:themeFill="background1"/>
            <w:noWrap/>
            <w:vAlign w:val="center"/>
          </w:tcPr>
          <w:p w14:paraId="24166110"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安全设施和设备管理</w:t>
            </w:r>
          </w:p>
        </w:tc>
        <w:tc>
          <w:tcPr>
            <w:tcW w:w="1886" w:type="pct"/>
            <w:tcBorders>
              <w:tl2br w:val="nil"/>
              <w:tr2bl w:val="nil"/>
            </w:tcBorders>
            <w:shd w:val="clear" w:color="auto" w:fill="FFFFFF" w:themeFill="background1"/>
            <w:noWrap/>
            <w:vAlign w:val="center"/>
          </w:tcPr>
          <w:p w14:paraId="09966F65"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设备、设施安全管理制度</w:t>
            </w:r>
          </w:p>
        </w:tc>
        <w:tc>
          <w:tcPr>
            <w:tcW w:w="434" w:type="pct"/>
            <w:vMerge w:val="restart"/>
            <w:tcBorders>
              <w:tl2br w:val="nil"/>
              <w:tr2bl w:val="nil"/>
            </w:tcBorders>
            <w:shd w:val="clear" w:color="auto" w:fill="FFFFFF" w:themeFill="background1"/>
            <w:noWrap/>
            <w:vAlign w:val="center"/>
          </w:tcPr>
          <w:p w14:paraId="6B3C1B3A"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43BB70A9" w14:textId="77777777">
        <w:trPr>
          <w:cantSplit/>
          <w:trHeight w:val="193"/>
          <w:jc w:val="center"/>
        </w:trPr>
        <w:tc>
          <w:tcPr>
            <w:tcW w:w="264" w:type="pct"/>
            <w:vMerge/>
            <w:tcBorders>
              <w:tl2br w:val="nil"/>
              <w:tr2bl w:val="nil"/>
            </w:tcBorders>
            <w:shd w:val="clear" w:color="auto" w:fill="FFFFFF" w:themeFill="background1"/>
            <w:noWrap/>
            <w:vAlign w:val="center"/>
          </w:tcPr>
          <w:p w14:paraId="6161AEF8" w14:textId="77777777" w:rsidR="002D2AF8" w:rsidRDefault="002D2AF8">
            <w:pPr>
              <w:adjustRightInd w:val="0"/>
              <w:snapToGrid w:val="0"/>
              <w:spacing w:beforeLines="20" w:before="65" w:afterLines="20" w:after="65"/>
              <w:jc w:val="center"/>
              <w:rPr>
                <w:color w:val="000000" w:themeColor="text1"/>
                <w:kern w:val="0"/>
                <w:szCs w:val="21"/>
              </w:rPr>
            </w:pPr>
          </w:p>
        </w:tc>
        <w:tc>
          <w:tcPr>
            <w:tcW w:w="2414" w:type="pct"/>
            <w:vMerge/>
            <w:tcBorders>
              <w:tl2br w:val="nil"/>
              <w:tr2bl w:val="nil"/>
            </w:tcBorders>
            <w:shd w:val="clear" w:color="auto" w:fill="FFFFFF" w:themeFill="background1"/>
            <w:noWrap/>
            <w:vAlign w:val="center"/>
          </w:tcPr>
          <w:p w14:paraId="7B825BCC" w14:textId="77777777" w:rsidR="002D2AF8" w:rsidRDefault="002D2AF8">
            <w:pPr>
              <w:adjustRightInd w:val="0"/>
              <w:snapToGrid w:val="0"/>
              <w:spacing w:beforeLines="20" w:before="65" w:afterLines="20" w:after="65"/>
              <w:jc w:val="center"/>
              <w:rPr>
                <w:color w:val="000000" w:themeColor="text1"/>
                <w:kern w:val="0"/>
                <w:szCs w:val="21"/>
              </w:rPr>
            </w:pPr>
          </w:p>
        </w:tc>
        <w:tc>
          <w:tcPr>
            <w:tcW w:w="1886" w:type="pct"/>
            <w:tcBorders>
              <w:tl2br w:val="nil"/>
              <w:tr2bl w:val="nil"/>
            </w:tcBorders>
            <w:shd w:val="clear" w:color="auto" w:fill="FFFFFF" w:themeFill="background1"/>
            <w:noWrap/>
            <w:vAlign w:val="center"/>
          </w:tcPr>
          <w:p w14:paraId="53089D0A" w14:textId="77777777" w:rsidR="002D2AF8" w:rsidRDefault="00000000">
            <w:pPr>
              <w:adjustRightInd w:val="0"/>
              <w:snapToGrid w:val="0"/>
              <w:spacing w:beforeLines="20" w:before="65" w:afterLines="20" w:after="65"/>
              <w:jc w:val="center"/>
              <w:rPr>
                <w:color w:val="000000" w:themeColor="text1"/>
                <w:kern w:val="0"/>
                <w:szCs w:val="21"/>
              </w:rPr>
            </w:pPr>
            <w:r>
              <w:rPr>
                <w:rFonts w:hint="eastAsia"/>
                <w:color w:val="000000" w:themeColor="text1"/>
                <w:kern w:val="0"/>
                <w:szCs w:val="21"/>
              </w:rPr>
              <w:t>安全设施管理制度</w:t>
            </w:r>
          </w:p>
        </w:tc>
        <w:tc>
          <w:tcPr>
            <w:tcW w:w="434" w:type="pct"/>
            <w:vMerge/>
            <w:tcBorders>
              <w:tl2br w:val="nil"/>
              <w:tr2bl w:val="nil"/>
            </w:tcBorders>
            <w:shd w:val="clear" w:color="auto" w:fill="FFFFFF" w:themeFill="background1"/>
            <w:noWrap/>
            <w:vAlign w:val="center"/>
          </w:tcPr>
          <w:p w14:paraId="0C7D7342"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0B1918D0" w14:textId="77777777">
        <w:trPr>
          <w:cantSplit/>
          <w:trHeight w:val="193"/>
          <w:jc w:val="center"/>
        </w:trPr>
        <w:tc>
          <w:tcPr>
            <w:tcW w:w="264" w:type="pct"/>
            <w:vMerge/>
            <w:tcBorders>
              <w:tl2br w:val="nil"/>
              <w:tr2bl w:val="nil"/>
            </w:tcBorders>
            <w:shd w:val="clear" w:color="auto" w:fill="FFFFFF" w:themeFill="background1"/>
            <w:noWrap/>
            <w:vAlign w:val="center"/>
          </w:tcPr>
          <w:p w14:paraId="08DDDA64" w14:textId="77777777" w:rsidR="002D2AF8" w:rsidRDefault="002D2AF8">
            <w:pPr>
              <w:adjustRightInd w:val="0"/>
              <w:snapToGrid w:val="0"/>
              <w:spacing w:beforeLines="20" w:before="65" w:afterLines="20" w:after="65"/>
              <w:jc w:val="center"/>
              <w:rPr>
                <w:color w:val="000000" w:themeColor="text1"/>
                <w:szCs w:val="21"/>
              </w:rPr>
            </w:pPr>
          </w:p>
        </w:tc>
        <w:tc>
          <w:tcPr>
            <w:tcW w:w="2414" w:type="pct"/>
            <w:vMerge/>
            <w:tcBorders>
              <w:tl2br w:val="nil"/>
              <w:tr2bl w:val="nil"/>
            </w:tcBorders>
            <w:shd w:val="clear" w:color="auto" w:fill="FFFFFF" w:themeFill="background1"/>
            <w:noWrap/>
            <w:vAlign w:val="center"/>
          </w:tcPr>
          <w:p w14:paraId="420FDD62" w14:textId="77777777" w:rsidR="002D2AF8" w:rsidRDefault="002D2AF8">
            <w:pPr>
              <w:adjustRightInd w:val="0"/>
              <w:snapToGrid w:val="0"/>
              <w:spacing w:beforeLines="20" w:before="65" w:afterLines="20" w:after="65"/>
              <w:jc w:val="center"/>
              <w:rPr>
                <w:color w:val="000000" w:themeColor="text1"/>
                <w:szCs w:val="21"/>
              </w:rPr>
            </w:pPr>
          </w:p>
        </w:tc>
        <w:tc>
          <w:tcPr>
            <w:tcW w:w="1886" w:type="pct"/>
            <w:tcBorders>
              <w:tl2br w:val="nil"/>
              <w:tr2bl w:val="nil"/>
            </w:tcBorders>
            <w:shd w:val="clear" w:color="auto" w:fill="FFFFFF" w:themeFill="background1"/>
            <w:noWrap/>
            <w:vAlign w:val="center"/>
          </w:tcPr>
          <w:p w14:paraId="75ACD523"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设备、设施报废管理制度</w:t>
            </w:r>
          </w:p>
        </w:tc>
        <w:tc>
          <w:tcPr>
            <w:tcW w:w="434" w:type="pct"/>
            <w:vMerge/>
            <w:tcBorders>
              <w:tl2br w:val="nil"/>
              <w:tr2bl w:val="nil"/>
            </w:tcBorders>
            <w:shd w:val="clear" w:color="auto" w:fill="FFFFFF" w:themeFill="background1"/>
            <w:noWrap/>
            <w:vAlign w:val="center"/>
          </w:tcPr>
          <w:p w14:paraId="02798612" w14:textId="77777777" w:rsidR="002D2AF8" w:rsidRDefault="002D2AF8">
            <w:pPr>
              <w:adjustRightInd w:val="0"/>
              <w:snapToGrid w:val="0"/>
              <w:spacing w:beforeLines="20" w:before="65" w:afterLines="20" w:after="65"/>
              <w:jc w:val="center"/>
              <w:rPr>
                <w:color w:val="000000" w:themeColor="text1"/>
                <w:szCs w:val="21"/>
              </w:rPr>
            </w:pPr>
          </w:p>
        </w:tc>
      </w:tr>
      <w:tr w:rsidR="002D2AF8" w14:paraId="414F633C" w14:textId="77777777">
        <w:trPr>
          <w:cantSplit/>
          <w:jc w:val="center"/>
        </w:trPr>
        <w:tc>
          <w:tcPr>
            <w:tcW w:w="264" w:type="pct"/>
            <w:tcBorders>
              <w:tl2br w:val="nil"/>
              <w:tr2bl w:val="nil"/>
            </w:tcBorders>
            <w:shd w:val="clear" w:color="auto" w:fill="FFFFFF" w:themeFill="background1"/>
            <w:noWrap/>
            <w:vAlign w:val="center"/>
          </w:tcPr>
          <w:p w14:paraId="5CD9A6D9"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lastRenderedPageBreak/>
              <w:t>4</w:t>
            </w:r>
          </w:p>
        </w:tc>
        <w:tc>
          <w:tcPr>
            <w:tcW w:w="2414" w:type="pct"/>
            <w:tcBorders>
              <w:tl2br w:val="nil"/>
              <w:tr2bl w:val="nil"/>
            </w:tcBorders>
            <w:shd w:val="clear" w:color="auto" w:fill="FFFFFF" w:themeFill="background1"/>
            <w:noWrap/>
            <w:vAlign w:val="center"/>
          </w:tcPr>
          <w:p w14:paraId="24E2C803"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安全生产教育和培训</w:t>
            </w:r>
          </w:p>
        </w:tc>
        <w:tc>
          <w:tcPr>
            <w:tcW w:w="1886" w:type="pct"/>
            <w:tcBorders>
              <w:tl2br w:val="nil"/>
              <w:tr2bl w:val="nil"/>
            </w:tcBorders>
            <w:shd w:val="clear" w:color="auto" w:fill="FFFFFF" w:themeFill="background1"/>
            <w:noWrap/>
            <w:vAlign w:val="center"/>
          </w:tcPr>
          <w:p w14:paraId="2B1FE8F1"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安全教育培训制度</w:t>
            </w:r>
          </w:p>
        </w:tc>
        <w:tc>
          <w:tcPr>
            <w:tcW w:w="434" w:type="pct"/>
            <w:tcBorders>
              <w:tl2br w:val="nil"/>
              <w:tr2bl w:val="nil"/>
            </w:tcBorders>
            <w:shd w:val="clear" w:color="auto" w:fill="FFFFFF" w:themeFill="background1"/>
            <w:noWrap/>
            <w:vAlign w:val="center"/>
          </w:tcPr>
          <w:p w14:paraId="023834D4"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5FDFB16D" w14:textId="77777777">
        <w:trPr>
          <w:cantSplit/>
          <w:jc w:val="center"/>
        </w:trPr>
        <w:tc>
          <w:tcPr>
            <w:tcW w:w="264" w:type="pct"/>
            <w:tcBorders>
              <w:tl2br w:val="nil"/>
              <w:tr2bl w:val="nil"/>
            </w:tcBorders>
            <w:shd w:val="clear" w:color="auto" w:fill="FFFFFF" w:themeFill="background1"/>
            <w:noWrap/>
            <w:vAlign w:val="center"/>
          </w:tcPr>
          <w:p w14:paraId="1D9ED3D0"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5</w:t>
            </w:r>
          </w:p>
        </w:tc>
        <w:tc>
          <w:tcPr>
            <w:tcW w:w="2414" w:type="pct"/>
            <w:tcBorders>
              <w:tl2br w:val="nil"/>
              <w:tr2bl w:val="nil"/>
            </w:tcBorders>
            <w:shd w:val="clear" w:color="auto" w:fill="FFFFFF" w:themeFill="background1"/>
            <w:noWrap/>
            <w:vAlign w:val="center"/>
          </w:tcPr>
          <w:p w14:paraId="713082F7"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安全生产检查</w:t>
            </w:r>
          </w:p>
        </w:tc>
        <w:tc>
          <w:tcPr>
            <w:tcW w:w="1886" w:type="pct"/>
            <w:tcBorders>
              <w:tl2br w:val="nil"/>
              <w:tr2bl w:val="nil"/>
            </w:tcBorders>
            <w:shd w:val="clear" w:color="auto" w:fill="FFFFFF" w:themeFill="background1"/>
            <w:noWrap/>
            <w:vAlign w:val="center"/>
          </w:tcPr>
          <w:p w14:paraId="6D1D249B"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安全检查制度</w:t>
            </w:r>
          </w:p>
        </w:tc>
        <w:tc>
          <w:tcPr>
            <w:tcW w:w="434" w:type="pct"/>
            <w:tcBorders>
              <w:tl2br w:val="nil"/>
              <w:tr2bl w:val="nil"/>
            </w:tcBorders>
            <w:shd w:val="clear" w:color="auto" w:fill="FFFFFF" w:themeFill="background1"/>
            <w:noWrap/>
            <w:vAlign w:val="center"/>
          </w:tcPr>
          <w:p w14:paraId="12123749"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3ABBB610" w14:textId="77777777">
        <w:trPr>
          <w:cantSplit/>
          <w:jc w:val="center"/>
        </w:trPr>
        <w:tc>
          <w:tcPr>
            <w:tcW w:w="264" w:type="pct"/>
            <w:tcBorders>
              <w:tl2br w:val="nil"/>
              <w:tr2bl w:val="nil"/>
            </w:tcBorders>
            <w:shd w:val="clear" w:color="auto" w:fill="FFFFFF" w:themeFill="background1"/>
            <w:noWrap/>
            <w:vAlign w:val="center"/>
          </w:tcPr>
          <w:p w14:paraId="23A68E7F"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6</w:t>
            </w:r>
          </w:p>
        </w:tc>
        <w:tc>
          <w:tcPr>
            <w:tcW w:w="2414" w:type="pct"/>
            <w:tcBorders>
              <w:tl2br w:val="nil"/>
              <w:tr2bl w:val="nil"/>
            </w:tcBorders>
            <w:shd w:val="clear" w:color="auto" w:fill="FFFFFF" w:themeFill="background1"/>
            <w:noWrap/>
            <w:vAlign w:val="center"/>
          </w:tcPr>
          <w:p w14:paraId="47B5673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风险分级管控</w:t>
            </w:r>
          </w:p>
        </w:tc>
        <w:tc>
          <w:tcPr>
            <w:tcW w:w="1886" w:type="pct"/>
            <w:tcBorders>
              <w:tl2br w:val="nil"/>
              <w:tr2bl w:val="nil"/>
            </w:tcBorders>
            <w:shd w:val="clear" w:color="auto" w:fill="FFFFFF" w:themeFill="background1"/>
            <w:noWrap/>
            <w:vAlign w:val="center"/>
          </w:tcPr>
          <w:p w14:paraId="1544A077"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风险分级管控管理制度</w:t>
            </w:r>
          </w:p>
        </w:tc>
        <w:tc>
          <w:tcPr>
            <w:tcW w:w="434" w:type="pct"/>
            <w:tcBorders>
              <w:tl2br w:val="nil"/>
              <w:tr2bl w:val="nil"/>
            </w:tcBorders>
            <w:shd w:val="clear" w:color="auto" w:fill="FFFFFF" w:themeFill="background1"/>
            <w:noWrap/>
            <w:vAlign w:val="center"/>
          </w:tcPr>
          <w:p w14:paraId="04CCAAA9"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4F0715F0" w14:textId="77777777">
        <w:trPr>
          <w:cantSplit/>
          <w:jc w:val="center"/>
        </w:trPr>
        <w:tc>
          <w:tcPr>
            <w:tcW w:w="264" w:type="pct"/>
            <w:tcBorders>
              <w:tl2br w:val="nil"/>
              <w:tr2bl w:val="nil"/>
            </w:tcBorders>
            <w:shd w:val="clear" w:color="auto" w:fill="FFFFFF" w:themeFill="background1"/>
            <w:noWrap/>
            <w:vAlign w:val="center"/>
          </w:tcPr>
          <w:p w14:paraId="4E446525"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序号</w:t>
            </w:r>
          </w:p>
        </w:tc>
        <w:tc>
          <w:tcPr>
            <w:tcW w:w="2414" w:type="pct"/>
            <w:tcBorders>
              <w:tl2br w:val="nil"/>
              <w:tr2bl w:val="nil"/>
            </w:tcBorders>
            <w:shd w:val="clear" w:color="auto" w:fill="FFFFFF" w:themeFill="background1"/>
            <w:noWrap/>
            <w:vAlign w:val="center"/>
          </w:tcPr>
          <w:p w14:paraId="30E91469"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《山东省生产经营单位安全生产主体责任规定》（山东省人民政府令</w:t>
            </w:r>
            <w:r>
              <w:rPr>
                <w:b/>
                <w:bCs/>
                <w:color w:val="000000" w:themeColor="text1"/>
                <w:kern w:val="0"/>
                <w:szCs w:val="21"/>
              </w:rPr>
              <w:t>[2018]</w:t>
            </w:r>
            <w:r>
              <w:rPr>
                <w:b/>
                <w:bCs/>
                <w:color w:val="000000" w:themeColor="text1"/>
                <w:kern w:val="0"/>
                <w:szCs w:val="21"/>
              </w:rPr>
              <w:t>第</w:t>
            </w:r>
            <w:r>
              <w:rPr>
                <w:b/>
                <w:bCs/>
                <w:color w:val="000000" w:themeColor="text1"/>
                <w:kern w:val="0"/>
                <w:szCs w:val="21"/>
              </w:rPr>
              <w:t>311</w:t>
            </w:r>
            <w:r>
              <w:rPr>
                <w:b/>
                <w:bCs/>
                <w:color w:val="000000" w:themeColor="text1"/>
                <w:kern w:val="0"/>
                <w:szCs w:val="21"/>
              </w:rPr>
              <w:t>号）</w:t>
            </w:r>
          </w:p>
        </w:tc>
        <w:tc>
          <w:tcPr>
            <w:tcW w:w="1886" w:type="pct"/>
            <w:tcBorders>
              <w:tl2br w:val="nil"/>
              <w:tr2bl w:val="nil"/>
            </w:tcBorders>
            <w:shd w:val="clear" w:color="auto" w:fill="FFFFFF" w:themeFill="background1"/>
            <w:noWrap/>
            <w:vAlign w:val="center"/>
          </w:tcPr>
          <w:p w14:paraId="78C0BD0F"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企业制定对应的制度</w:t>
            </w:r>
          </w:p>
        </w:tc>
        <w:tc>
          <w:tcPr>
            <w:tcW w:w="434" w:type="pct"/>
            <w:tcBorders>
              <w:tl2br w:val="nil"/>
              <w:tr2bl w:val="nil"/>
            </w:tcBorders>
            <w:shd w:val="clear" w:color="auto" w:fill="FFFFFF" w:themeFill="background1"/>
            <w:noWrap/>
            <w:vAlign w:val="center"/>
          </w:tcPr>
          <w:p w14:paraId="1521DC24" w14:textId="77777777" w:rsidR="002D2AF8" w:rsidRDefault="00000000">
            <w:pPr>
              <w:adjustRightInd w:val="0"/>
              <w:snapToGrid w:val="0"/>
              <w:spacing w:beforeLines="20" w:before="65" w:afterLines="20" w:after="65"/>
              <w:jc w:val="center"/>
              <w:rPr>
                <w:color w:val="000000" w:themeColor="text1"/>
                <w:kern w:val="0"/>
                <w:szCs w:val="21"/>
              </w:rPr>
            </w:pPr>
            <w:r>
              <w:rPr>
                <w:b/>
                <w:bCs/>
                <w:color w:val="000000" w:themeColor="text1"/>
                <w:kern w:val="0"/>
                <w:szCs w:val="21"/>
              </w:rPr>
              <w:t>备注</w:t>
            </w:r>
          </w:p>
        </w:tc>
      </w:tr>
      <w:tr w:rsidR="002D2AF8" w14:paraId="716416C2" w14:textId="77777777">
        <w:trPr>
          <w:cantSplit/>
          <w:trHeight w:val="233"/>
          <w:jc w:val="center"/>
        </w:trPr>
        <w:tc>
          <w:tcPr>
            <w:tcW w:w="264" w:type="pct"/>
            <w:vMerge w:val="restart"/>
            <w:tcBorders>
              <w:tl2br w:val="nil"/>
              <w:tr2bl w:val="nil"/>
            </w:tcBorders>
            <w:shd w:val="clear" w:color="auto" w:fill="FFFFFF" w:themeFill="background1"/>
            <w:noWrap/>
            <w:vAlign w:val="center"/>
          </w:tcPr>
          <w:p w14:paraId="5DE16F4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7</w:t>
            </w:r>
          </w:p>
        </w:tc>
        <w:tc>
          <w:tcPr>
            <w:tcW w:w="2414" w:type="pct"/>
            <w:vMerge w:val="restart"/>
            <w:tcBorders>
              <w:tl2br w:val="nil"/>
              <w:tr2bl w:val="nil"/>
            </w:tcBorders>
            <w:shd w:val="clear" w:color="auto" w:fill="FFFFFF" w:themeFill="background1"/>
            <w:noWrap/>
            <w:vAlign w:val="center"/>
          </w:tcPr>
          <w:p w14:paraId="2C75ED00"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领导现场带班</w:t>
            </w:r>
          </w:p>
        </w:tc>
        <w:tc>
          <w:tcPr>
            <w:tcW w:w="1886" w:type="pct"/>
            <w:tcBorders>
              <w:tl2br w:val="nil"/>
              <w:tr2bl w:val="nil"/>
            </w:tcBorders>
            <w:shd w:val="clear" w:color="auto" w:fill="FFFFFF" w:themeFill="background1"/>
            <w:noWrap/>
            <w:vAlign w:val="center"/>
          </w:tcPr>
          <w:p w14:paraId="4311F16A"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领导干部带班制度</w:t>
            </w:r>
          </w:p>
        </w:tc>
        <w:tc>
          <w:tcPr>
            <w:tcW w:w="434" w:type="pct"/>
            <w:vMerge w:val="restart"/>
            <w:tcBorders>
              <w:tl2br w:val="nil"/>
              <w:tr2bl w:val="nil"/>
            </w:tcBorders>
            <w:shd w:val="clear" w:color="auto" w:fill="FFFFFF" w:themeFill="background1"/>
            <w:noWrap/>
            <w:vAlign w:val="center"/>
          </w:tcPr>
          <w:p w14:paraId="2267563D"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2FFBECB5" w14:textId="77777777">
        <w:trPr>
          <w:cantSplit/>
          <w:trHeight w:val="233"/>
          <w:jc w:val="center"/>
        </w:trPr>
        <w:tc>
          <w:tcPr>
            <w:tcW w:w="264" w:type="pct"/>
            <w:vMerge/>
            <w:tcBorders>
              <w:tl2br w:val="nil"/>
              <w:tr2bl w:val="nil"/>
            </w:tcBorders>
            <w:shd w:val="clear" w:color="auto" w:fill="FFFFFF" w:themeFill="background1"/>
            <w:noWrap/>
            <w:vAlign w:val="center"/>
          </w:tcPr>
          <w:p w14:paraId="27C9FDF3" w14:textId="77777777" w:rsidR="002D2AF8" w:rsidRDefault="002D2AF8">
            <w:pPr>
              <w:adjustRightInd w:val="0"/>
              <w:snapToGrid w:val="0"/>
              <w:spacing w:beforeLines="20" w:before="65" w:afterLines="20" w:after="65"/>
              <w:jc w:val="center"/>
              <w:rPr>
                <w:color w:val="000000" w:themeColor="text1"/>
              </w:rPr>
            </w:pPr>
          </w:p>
        </w:tc>
        <w:tc>
          <w:tcPr>
            <w:tcW w:w="2414" w:type="pct"/>
            <w:vMerge/>
            <w:tcBorders>
              <w:tl2br w:val="nil"/>
              <w:tr2bl w:val="nil"/>
            </w:tcBorders>
            <w:shd w:val="clear" w:color="auto" w:fill="FFFFFF" w:themeFill="background1"/>
            <w:noWrap/>
            <w:vAlign w:val="center"/>
          </w:tcPr>
          <w:p w14:paraId="0B20154B" w14:textId="77777777" w:rsidR="002D2AF8" w:rsidRDefault="002D2AF8">
            <w:pPr>
              <w:adjustRightInd w:val="0"/>
              <w:snapToGrid w:val="0"/>
              <w:spacing w:beforeLines="20" w:before="65" w:afterLines="20" w:after="65"/>
              <w:jc w:val="center"/>
              <w:rPr>
                <w:color w:val="000000" w:themeColor="text1"/>
              </w:rPr>
            </w:pPr>
          </w:p>
        </w:tc>
        <w:tc>
          <w:tcPr>
            <w:tcW w:w="1886" w:type="pct"/>
            <w:tcBorders>
              <w:tl2br w:val="nil"/>
              <w:tr2bl w:val="nil"/>
            </w:tcBorders>
            <w:shd w:val="clear" w:color="auto" w:fill="FFFFFF" w:themeFill="background1"/>
            <w:noWrap/>
            <w:vAlign w:val="center"/>
          </w:tcPr>
          <w:p w14:paraId="68DD92B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二十四小时应急值班管理制度</w:t>
            </w:r>
          </w:p>
        </w:tc>
        <w:tc>
          <w:tcPr>
            <w:tcW w:w="434" w:type="pct"/>
            <w:vMerge/>
            <w:tcBorders>
              <w:tl2br w:val="nil"/>
              <w:tr2bl w:val="nil"/>
            </w:tcBorders>
            <w:shd w:val="clear" w:color="auto" w:fill="FFFFFF" w:themeFill="background1"/>
            <w:noWrap/>
            <w:vAlign w:val="center"/>
          </w:tcPr>
          <w:p w14:paraId="17519633" w14:textId="77777777" w:rsidR="002D2AF8" w:rsidRDefault="002D2AF8">
            <w:pPr>
              <w:adjustRightInd w:val="0"/>
              <w:snapToGrid w:val="0"/>
              <w:spacing w:beforeLines="20" w:before="65" w:afterLines="20" w:after="65"/>
              <w:jc w:val="center"/>
              <w:rPr>
                <w:color w:val="000000" w:themeColor="text1"/>
                <w:szCs w:val="21"/>
              </w:rPr>
            </w:pPr>
          </w:p>
        </w:tc>
      </w:tr>
      <w:tr w:rsidR="002D2AF8" w14:paraId="21610096" w14:textId="77777777">
        <w:trPr>
          <w:cantSplit/>
          <w:trHeight w:val="439"/>
          <w:jc w:val="center"/>
        </w:trPr>
        <w:tc>
          <w:tcPr>
            <w:tcW w:w="264" w:type="pct"/>
            <w:tcBorders>
              <w:tl2br w:val="nil"/>
              <w:tr2bl w:val="nil"/>
            </w:tcBorders>
            <w:shd w:val="clear" w:color="auto" w:fill="FFFFFF" w:themeFill="background1"/>
            <w:noWrap/>
            <w:vAlign w:val="center"/>
          </w:tcPr>
          <w:p w14:paraId="6EB4AED9"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8</w:t>
            </w:r>
          </w:p>
        </w:tc>
        <w:tc>
          <w:tcPr>
            <w:tcW w:w="2414" w:type="pct"/>
            <w:tcBorders>
              <w:tl2br w:val="nil"/>
              <w:tr2bl w:val="nil"/>
            </w:tcBorders>
            <w:shd w:val="clear" w:color="auto" w:fill="FFFFFF" w:themeFill="background1"/>
            <w:noWrap/>
            <w:vAlign w:val="center"/>
          </w:tcPr>
          <w:p w14:paraId="24A4A588"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隐患排查治理</w:t>
            </w:r>
          </w:p>
        </w:tc>
        <w:tc>
          <w:tcPr>
            <w:tcW w:w="1886" w:type="pct"/>
            <w:tcBorders>
              <w:tl2br w:val="nil"/>
              <w:tr2bl w:val="nil"/>
            </w:tcBorders>
            <w:shd w:val="clear" w:color="auto" w:fill="FFFFFF" w:themeFill="background1"/>
            <w:noWrap/>
            <w:vAlign w:val="center"/>
          </w:tcPr>
          <w:p w14:paraId="5B6F1F0E"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隐患排查治理管理制度</w:t>
            </w:r>
          </w:p>
        </w:tc>
        <w:tc>
          <w:tcPr>
            <w:tcW w:w="434" w:type="pct"/>
            <w:tcBorders>
              <w:tl2br w:val="nil"/>
              <w:tr2bl w:val="nil"/>
            </w:tcBorders>
            <w:shd w:val="clear" w:color="auto" w:fill="FFFFFF" w:themeFill="background1"/>
            <w:noWrap/>
            <w:vAlign w:val="center"/>
          </w:tcPr>
          <w:p w14:paraId="51075552"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446F741C" w14:textId="77777777">
        <w:trPr>
          <w:cantSplit/>
          <w:jc w:val="center"/>
        </w:trPr>
        <w:tc>
          <w:tcPr>
            <w:tcW w:w="264" w:type="pct"/>
            <w:tcBorders>
              <w:tl2br w:val="nil"/>
              <w:tr2bl w:val="nil"/>
            </w:tcBorders>
            <w:shd w:val="clear" w:color="auto" w:fill="FFFFFF" w:themeFill="background1"/>
            <w:noWrap/>
            <w:vAlign w:val="center"/>
          </w:tcPr>
          <w:p w14:paraId="21602D25"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9</w:t>
            </w:r>
          </w:p>
        </w:tc>
        <w:tc>
          <w:tcPr>
            <w:tcW w:w="2414" w:type="pct"/>
            <w:tcBorders>
              <w:tl2br w:val="nil"/>
              <w:tr2bl w:val="nil"/>
            </w:tcBorders>
            <w:shd w:val="clear" w:color="auto" w:fill="FFFFFF" w:themeFill="background1"/>
            <w:noWrap/>
            <w:vAlign w:val="center"/>
          </w:tcPr>
          <w:p w14:paraId="01B0B63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危险作业管理</w:t>
            </w:r>
          </w:p>
        </w:tc>
        <w:tc>
          <w:tcPr>
            <w:tcW w:w="1886" w:type="pct"/>
            <w:tcBorders>
              <w:tl2br w:val="nil"/>
              <w:tr2bl w:val="nil"/>
            </w:tcBorders>
            <w:shd w:val="clear" w:color="auto" w:fill="FFFFFF" w:themeFill="background1"/>
            <w:noWrap/>
            <w:vAlign w:val="center"/>
          </w:tcPr>
          <w:p w14:paraId="734A2FCB"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kern w:val="0"/>
                <w:szCs w:val="21"/>
              </w:rPr>
              <w:t>特种作业审批制度</w:t>
            </w:r>
          </w:p>
        </w:tc>
        <w:tc>
          <w:tcPr>
            <w:tcW w:w="434" w:type="pct"/>
            <w:tcBorders>
              <w:tl2br w:val="nil"/>
              <w:tr2bl w:val="nil"/>
            </w:tcBorders>
            <w:shd w:val="clear" w:color="auto" w:fill="FFFFFF" w:themeFill="background1"/>
            <w:noWrap/>
            <w:vAlign w:val="center"/>
          </w:tcPr>
          <w:p w14:paraId="00186F38"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64EB9B01" w14:textId="77777777">
        <w:trPr>
          <w:cantSplit/>
          <w:jc w:val="center"/>
        </w:trPr>
        <w:tc>
          <w:tcPr>
            <w:tcW w:w="264" w:type="pct"/>
            <w:tcBorders>
              <w:tl2br w:val="nil"/>
              <w:tr2bl w:val="nil"/>
            </w:tcBorders>
            <w:shd w:val="clear" w:color="auto" w:fill="FFFFFF" w:themeFill="background1"/>
            <w:noWrap/>
            <w:vAlign w:val="center"/>
          </w:tcPr>
          <w:p w14:paraId="02C63BEE"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10</w:t>
            </w:r>
          </w:p>
        </w:tc>
        <w:tc>
          <w:tcPr>
            <w:tcW w:w="2414" w:type="pct"/>
            <w:tcBorders>
              <w:tl2br w:val="nil"/>
              <w:tr2bl w:val="nil"/>
            </w:tcBorders>
            <w:shd w:val="clear" w:color="auto" w:fill="FFFFFF" w:themeFill="background1"/>
            <w:noWrap/>
            <w:vAlign w:val="center"/>
          </w:tcPr>
          <w:p w14:paraId="09F5CDD7"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安全生产奖惩</w:t>
            </w:r>
          </w:p>
        </w:tc>
        <w:tc>
          <w:tcPr>
            <w:tcW w:w="1886" w:type="pct"/>
            <w:tcBorders>
              <w:tl2br w:val="nil"/>
              <w:tr2bl w:val="nil"/>
            </w:tcBorders>
            <w:shd w:val="clear" w:color="auto" w:fill="FFFFFF" w:themeFill="background1"/>
            <w:noWrap/>
            <w:vAlign w:val="center"/>
          </w:tcPr>
          <w:p w14:paraId="35E66350" w14:textId="77777777" w:rsidR="002D2AF8" w:rsidRDefault="00000000">
            <w:pPr>
              <w:adjustRightInd w:val="0"/>
              <w:snapToGrid w:val="0"/>
              <w:spacing w:beforeLines="20" w:before="65" w:afterLines="20" w:after="65"/>
              <w:jc w:val="center"/>
              <w:rPr>
                <w:color w:val="000000" w:themeColor="text1"/>
                <w:kern w:val="0"/>
                <w:szCs w:val="21"/>
                <w:highlight w:val="yellow"/>
              </w:rPr>
            </w:pPr>
            <w:r>
              <w:rPr>
                <w:color w:val="000000" w:themeColor="text1"/>
                <w:szCs w:val="21"/>
              </w:rPr>
              <w:t>安全生产奖惩制度</w:t>
            </w:r>
          </w:p>
        </w:tc>
        <w:tc>
          <w:tcPr>
            <w:tcW w:w="434" w:type="pct"/>
            <w:tcBorders>
              <w:tl2br w:val="nil"/>
              <w:tr2bl w:val="nil"/>
            </w:tcBorders>
            <w:shd w:val="clear" w:color="auto" w:fill="FFFFFF" w:themeFill="background1"/>
            <w:noWrap/>
            <w:vAlign w:val="center"/>
          </w:tcPr>
          <w:p w14:paraId="627CB2FE"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59AF6B52" w14:textId="77777777">
        <w:trPr>
          <w:cantSplit/>
          <w:jc w:val="center"/>
        </w:trPr>
        <w:tc>
          <w:tcPr>
            <w:tcW w:w="264" w:type="pct"/>
            <w:tcBorders>
              <w:tl2br w:val="nil"/>
              <w:tr2bl w:val="nil"/>
            </w:tcBorders>
            <w:shd w:val="clear" w:color="auto" w:fill="FFFFFF" w:themeFill="background1"/>
            <w:noWrap/>
            <w:vAlign w:val="center"/>
          </w:tcPr>
          <w:p w14:paraId="3DA6624F"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11</w:t>
            </w:r>
          </w:p>
        </w:tc>
        <w:tc>
          <w:tcPr>
            <w:tcW w:w="2414" w:type="pct"/>
            <w:tcBorders>
              <w:tl2br w:val="nil"/>
              <w:tr2bl w:val="nil"/>
            </w:tcBorders>
            <w:shd w:val="clear" w:color="auto" w:fill="FFFFFF" w:themeFill="background1"/>
            <w:noWrap/>
            <w:vAlign w:val="center"/>
          </w:tcPr>
          <w:p w14:paraId="33164E9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应急预案管理</w:t>
            </w:r>
          </w:p>
        </w:tc>
        <w:tc>
          <w:tcPr>
            <w:tcW w:w="1886" w:type="pct"/>
            <w:tcBorders>
              <w:tl2br w:val="nil"/>
              <w:tr2bl w:val="nil"/>
            </w:tcBorders>
            <w:shd w:val="clear" w:color="auto" w:fill="FFFFFF" w:themeFill="background1"/>
            <w:noWrap/>
            <w:vAlign w:val="center"/>
          </w:tcPr>
          <w:p w14:paraId="79D19AD1"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szCs w:val="21"/>
              </w:rPr>
              <w:t>应急预案管理制度</w:t>
            </w:r>
          </w:p>
        </w:tc>
        <w:tc>
          <w:tcPr>
            <w:tcW w:w="434" w:type="pct"/>
            <w:tcBorders>
              <w:tl2br w:val="nil"/>
              <w:tr2bl w:val="nil"/>
            </w:tcBorders>
            <w:shd w:val="clear" w:color="auto" w:fill="FFFFFF" w:themeFill="background1"/>
            <w:noWrap/>
            <w:vAlign w:val="center"/>
          </w:tcPr>
          <w:p w14:paraId="792D4B51"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70908871" w14:textId="77777777">
        <w:trPr>
          <w:cantSplit/>
          <w:trHeight w:val="360"/>
          <w:jc w:val="center"/>
        </w:trPr>
        <w:tc>
          <w:tcPr>
            <w:tcW w:w="264" w:type="pct"/>
            <w:vMerge w:val="restart"/>
            <w:tcBorders>
              <w:tl2br w:val="nil"/>
              <w:tr2bl w:val="nil"/>
            </w:tcBorders>
            <w:shd w:val="clear" w:color="auto" w:fill="FFFFFF" w:themeFill="background1"/>
            <w:noWrap/>
            <w:vAlign w:val="center"/>
          </w:tcPr>
          <w:p w14:paraId="39B4FD3C"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12</w:t>
            </w:r>
          </w:p>
        </w:tc>
        <w:tc>
          <w:tcPr>
            <w:tcW w:w="2414" w:type="pct"/>
            <w:vMerge w:val="restart"/>
            <w:tcBorders>
              <w:tl2br w:val="nil"/>
              <w:tr2bl w:val="nil"/>
            </w:tcBorders>
            <w:shd w:val="clear" w:color="auto" w:fill="FFFFFF" w:themeFill="background1"/>
            <w:noWrap/>
            <w:vAlign w:val="center"/>
          </w:tcPr>
          <w:p w14:paraId="6F63B578"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事故报告和事故应急救援</w:t>
            </w:r>
          </w:p>
        </w:tc>
        <w:tc>
          <w:tcPr>
            <w:tcW w:w="1886" w:type="pct"/>
            <w:tcBorders>
              <w:tl2br w:val="nil"/>
              <w:tr2bl w:val="nil"/>
            </w:tcBorders>
            <w:shd w:val="clear" w:color="auto" w:fill="FFFFFF" w:themeFill="background1"/>
            <w:noWrap/>
            <w:vAlign w:val="center"/>
          </w:tcPr>
          <w:p w14:paraId="5F35B228" w14:textId="77777777" w:rsidR="002D2AF8" w:rsidRDefault="00000000">
            <w:pPr>
              <w:adjustRightInd w:val="0"/>
              <w:snapToGrid w:val="0"/>
              <w:spacing w:beforeLines="20" w:before="65" w:afterLines="20" w:after="65"/>
              <w:jc w:val="center"/>
              <w:rPr>
                <w:color w:val="000000" w:themeColor="text1"/>
                <w:kern w:val="0"/>
                <w:szCs w:val="21"/>
              </w:rPr>
            </w:pPr>
            <w:r>
              <w:rPr>
                <w:rFonts w:hint="eastAsia"/>
                <w:color w:val="000000" w:themeColor="text1"/>
              </w:rPr>
              <w:t>生产安全事故报告、调查及处理管理制度</w:t>
            </w:r>
          </w:p>
        </w:tc>
        <w:tc>
          <w:tcPr>
            <w:tcW w:w="434" w:type="pct"/>
            <w:vMerge w:val="restart"/>
            <w:tcBorders>
              <w:tl2br w:val="nil"/>
              <w:tr2bl w:val="nil"/>
            </w:tcBorders>
            <w:shd w:val="clear" w:color="auto" w:fill="FFFFFF" w:themeFill="background1"/>
            <w:noWrap/>
            <w:vAlign w:val="center"/>
          </w:tcPr>
          <w:p w14:paraId="2A008239" w14:textId="77777777" w:rsidR="002D2AF8" w:rsidRDefault="002D2AF8">
            <w:pPr>
              <w:adjustRightInd w:val="0"/>
              <w:snapToGrid w:val="0"/>
              <w:spacing w:beforeLines="20" w:before="65" w:afterLines="20" w:after="65"/>
              <w:jc w:val="center"/>
              <w:rPr>
                <w:color w:val="000000" w:themeColor="text1"/>
                <w:kern w:val="0"/>
                <w:szCs w:val="21"/>
              </w:rPr>
            </w:pPr>
          </w:p>
        </w:tc>
      </w:tr>
      <w:tr w:rsidR="002D2AF8" w14:paraId="1A940D41" w14:textId="77777777">
        <w:trPr>
          <w:cantSplit/>
          <w:trHeight w:val="360"/>
          <w:jc w:val="center"/>
        </w:trPr>
        <w:tc>
          <w:tcPr>
            <w:tcW w:w="264" w:type="pct"/>
            <w:vMerge/>
            <w:tcBorders>
              <w:tl2br w:val="nil"/>
              <w:tr2bl w:val="nil"/>
            </w:tcBorders>
            <w:shd w:val="clear" w:color="auto" w:fill="FFFFFF" w:themeFill="background1"/>
            <w:noWrap/>
            <w:vAlign w:val="center"/>
          </w:tcPr>
          <w:p w14:paraId="73CF38AE" w14:textId="77777777" w:rsidR="002D2AF8" w:rsidRDefault="002D2AF8">
            <w:pPr>
              <w:adjustRightInd w:val="0"/>
              <w:snapToGrid w:val="0"/>
              <w:spacing w:beforeLines="20" w:before="65" w:afterLines="20" w:after="65"/>
              <w:jc w:val="center"/>
              <w:rPr>
                <w:color w:val="000000" w:themeColor="text1"/>
                <w:szCs w:val="21"/>
              </w:rPr>
            </w:pPr>
          </w:p>
        </w:tc>
        <w:tc>
          <w:tcPr>
            <w:tcW w:w="2414" w:type="pct"/>
            <w:vMerge/>
            <w:tcBorders>
              <w:tl2br w:val="nil"/>
              <w:tr2bl w:val="nil"/>
            </w:tcBorders>
            <w:shd w:val="clear" w:color="auto" w:fill="FFFFFF" w:themeFill="background1"/>
            <w:noWrap/>
            <w:vAlign w:val="center"/>
          </w:tcPr>
          <w:p w14:paraId="6FBE5F1F" w14:textId="77777777" w:rsidR="002D2AF8" w:rsidRDefault="002D2AF8">
            <w:pPr>
              <w:adjustRightInd w:val="0"/>
              <w:snapToGrid w:val="0"/>
              <w:spacing w:beforeLines="20" w:before="65" w:afterLines="20" w:after="65"/>
              <w:jc w:val="center"/>
              <w:rPr>
                <w:color w:val="000000" w:themeColor="text1"/>
                <w:szCs w:val="21"/>
              </w:rPr>
            </w:pPr>
          </w:p>
        </w:tc>
        <w:tc>
          <w:tcPr>
            <w:tcW w:w="1886" w:type="pct"/>
            <w:tcBorders>
              <w:tl2br w:val="nil"/>
              <w:tr2bl w:val="nil"/>
            </w:tcBorders>
            <w:shd w:val="clear" w:color="auto" w:fill="FFFFFF" w:themeFill="background1"/>
            <w:noWrap/>
            <w:vAlign w:val="center"/>
          </w:tcPr>
          <w:p w14:paraId="75542876" w14:textId="77777777" w:rsidR="002D2AF8" w:rsidRDefault="00000000">
            <w:pPr>
              <w:adjustRightInd w:val="0"/>
              <w:snapToGrid w:val="0"/>
              <w:spacing w:beforeLines="20" w:before="65" w:afterLines="20" w:after="65"/>
              <w:jc w:val="center"/>
              <w:rPr>
                <w:color w:val="000000" w:themeColor="text1"/>
                <w:kern w:val="0"/>
                <w:szCs w:val="21"/>
              </w:rPr>
            </w:pPr>
            <w:r>
              <w:rPr>
                <w:color w:val="000000" w:themeColor="text1"/>
                <w:kern w:val="0"/>
                <w:szCs w:val="21"/>
              </w:rPr>
              <w:t>应急救援管理制度</w:t>
            </w:r>
          </w:p>
        </w:tc>
        <w:tc>
          <w:tcPr>
            <w:tcW w:w="434" w:type="pct"/>
            <w:vMerge/>
            <w:tcBorders>
              <w:tl2br w:val="nil"/>
              <w:tr2bl w:val="nil"/>
            </w:tcBorders>
            <w:shd w:val="clear" w:color="auto" w:fill="FFFFFF" w:themeFill="background1"/>
            <w:noWrap/>
            <w:vAlign w:val="center"/>
          </w:tcPr>
          <w:p w14:paraId="38A12EFA" w14:textId="77777777" w:rsidR="002D2AF8" w:rsidRDefault="002D2AF8">
            <w:pPr>
              <w:adjustRightInd w:val="0"/>
              <w:snapToGrid w:val="0"/>
              <w:spacing w:beforeLines="20" w:before="65" w:afterLines="20" w:after="65"/>
              <w:jc w:val="center"/>
              <w:rPr>
                <w:color w:val="000000" w:themeColor="text1"/>
                <w:kern w:val="0"/>
                <w:szCs w:val="21"/>
                <w:highlight w:val="yellow"/>
              </w:rPr>
            </w:pPr>
          </w:p>
        </w:tc>
      </w:tr>
    </w:tbl>
    <w:p w14:paraId="3CCD47B0" w14:textId="77777777" w:rsidR="002D2AF8"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2.5.3 </w:t>
      </w:r>
      <w:r>
        <w:rPr>
          <w:rFonts w:eastAsia="黑体"/>
          <w:b w:val="0"/>
          <w:snapToGrid w:val="0"/>
          <w:color w:val="000000" w:themeColor="text1"/>
          <w:kern w:val="0"/>
          <w:sz w:val="28"/>
          <w:szCs w:val="28"/>
        </w:rPr>
        <w:t>操作规程</w:t>
      </w:r>
    </w:p>
    <w:p w14:paraId="2A43F2F2"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0BCBF6BF" w14:textId="77777777" w:rsidR="002D2AF8" w:rsidRDefault="00000000">
      <w:pPr>
        <w:tabs>
          <w:tab w:val="left" w:pos="0"/>
        </w:tabs>
        <w:adjustRightInd w:val="0"/>
        <w:snapToGrid w:val="0"/>
        <w:spacing w:line="360" w:lineRule="auto"/>
        <w:ind w:firstLineChars="200" w:firstLine="566"/>
        <w:rPr>
          <w:color w:val="000000" w:themeColor="text1"/>
          <w:sz w:val="28"/>
          <w:szCs w:val="28"/>
        </w:rPr>
      </w:pPr>
      <w:r>
        <w:rPr>
          <w:color w:val="000000" w:themeColor="text1"/>
          <w:sz w:val="28"/>
          <w:szCs w:val="28"/>
        </w:rPr>
        <w:t>企业制定了适合本公司的安全操作规程，符合《山东省生产经营单位安全生产主体责任规定》（山东省人民政府令</w:t>
      </w:r>
      <w:r>
        <w:rPr>
          <w:color w:val="000000" w:themeColor="text1"/>
          <w:sz w:val="28"/>
          <w:szCs w:val="28"/>
        </w:rPr>
        <w:t>[2018]</w:t>
      </w:r>
      <w:r>
        <w:rPr>
          <w:color w:val="000000" w:themeColor="text1"/>
          <w:sz w:val="28"/>
          <w:szCs w:val="28"/>
        </w:rPr>
        <w:t>第</w:t>
      </w:r>
      <w:r>
        <w:rPr>
          <w:color w:val="000000" w:themeColor="text1"/>
          <w:sz w:val="28"/>
          <w:szCs w:val="28"/>
        </w:rPr>
        <w:t>311</w:t>
      </w:r>
      <w:r>
        <w:rPr>
          <w:color w:val="000000" w:themeColor="text1"/>
          <w:sz w:val="28"/>
          <w:szCs w:val="28"/>
        </w:rPr>
        <w:t>号）中第七条的要求，且现已执行。建议企业应根据企业的实际情况对其不断修订、完善。</w:t>
      </w:r>
    </w:p>
    <w:p w14:paraId="2AC5C625"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1" w:name="_Toc16234"/>
      <w:r>
        <w:rPr>
          <w:rFonts w:ascii="Times New Roman" w:hAnsi="Times New Roman"/>
          <w:b w:val="0"/>
          <w:bCs/>
          <w:color w:val="000000" w:themeColor="text1"/>
          <w:szCs w:val="32"/>
        </w:rPr>
        <w:t xml:space="preserve">2.6 </w:t>
      </w:r>
      <w:r>
        <w:rPr>
          <w:rFonts w:ascii="Times New Roman" w:hAnsi="Times New Roman"/>
          <w:b w:val="0"/>
          <w:bCs/>
          <w:color w:val="000000" w:themeColor="text1"/>
          <w:szCs w:val="32"/>
        </w:rPr>
        <w:t>安全投入情况</w:t>
      </w:r>
      <w:bookmarkEnd w:id="31"/>
    </w:p>
    <w:p w14:paraId="004F3B3C"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7AA00C57"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2" w:name="_Toc11517"/>
      <w:r>
        <w:rPr>
          <w:rFonts w:ascii="Times New Roman" w:hAnsi="Times New Roman"/>
          <w:b w:val="0"/>
          <w:bCs/>
          <w:color w:val="000000" w:themeColor="text1"/>
          <w:szCs w:val="32"/>
        </w:rPr>
        <w:t xml:space="preserve">2.7 </w:t>
      </w:r>
      <w:r>
        <w:rPr>
          <w:rFonts w:ascii="Times New Roman" w:hAnsi="Times New Roman"/>
          <w:b w:val="0"/>
          <w:bCs/>
          <w:color w:val="000000" w:themeColor="text1"/>
          <w:szCs w:val="32"/>
        </w:rPr>
        <w:t>安全教育培训及人员持证情况</w:t>
      </w:r>
      <w:bookmarkEnd w:id="32"/>
    </w:p>
    <w:p w14:paraId="69065180"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在安全教育培训方面，</w:t>
      </w:r>
      <w:r>
        <w:rPr>
          <w:rFonts w:hint="eastAsia"/>
          <w:color w:val="000000" w:themeColor="text1"/>
          <w:sz w:val="28"/>
        </w:rPr>
        <w:t>胜兴堵驱公司</w:t>
      </w:r>
      <w:r>
        <w:rPr>
          <w:color w:val="000000" w:themeColor="text1"/>
          <w:sz w:val="28"/>
        </w:rPr>
        <w:t>始终严格执行安全教育培训制度，本着</w:t>
      </w:r>
      <w:r>
        <w:rPr>
          <w:color w:val="000000" w:themeColor="text1"/>
          <w:sz w:val="28"/>
        </w:rPr>
        <w:t>“</w:t>
      </w:r>
      <w:r>
        <w:rPr>
          <w:color w:val="000000" w:themeColor="text1"/>
          <w:sz w:val="28"/>
        </w:rPr>
        <w:t>培训指导于生产，培训服务于生产</w:t>
      </w:r>
      <w:r>
        <w:rPr>
          <w:color w:val="000000" w:themeColor="text1"/>
          <w:sz w:val="28"/>
        </w:rPr>
        <w:t>”</w:t>
      </w:r>
      <w:r>
        <w:rPr>
          <w:color w:val="000000" w:themeColor="text1"/>
          <w:sz w:val="28"/>
        </w:rPr>
        <w:t>的指导思想，坚持</w:t>
      </w:r>
      <w:r>
        <w:rPr>
          <w:color w:val="000000" w:themeColor="text1"/>
          <w:sz w:val="28"/>
        </w:rPr>
        <w:t>“</w:t>
      </w:r>
      <w:r>
        <w:rPr>
          <w:color w:val="000000" w:themeColor="text1"/>
          <w:sz w:val="28"/>
        </w:rPr>
        <w:t>立足实际、突出重点、讲求实效</w:t>
      </w:r>
      <w:r>
        <w:rPr>
          <w:color w:val="000000" w:themeColor="text1"/>
          <w:sz w:val="28"/>
        </w:rPr>
        <w:t>”</w:t>
      </w:r>
      <w:r>
        <w:rPr>
          <w:color w:val="000000" w:themeColor="text1"/>
          <w:sz w:val="28"/>
        </w:rPr>
        <w:t>的工作原则，积极采取各种措施，分层次、分专业有效的开展一系列安全教育培训工作。</w:t>
      </w:r>
    </w:p>
    <w:p w14:paraId="3271994E" w14:textId="77777777" w:rsidR="002D2AF8"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胜兴堵驱公司</w:t>
      </w:r>
      <w:r>
        <w:rPr>
          <w:color w:val="000000" w:themeColor="text1"/>
          <w:sz w:val="28"/>
        </w:rPr>
        <w:t>针对不同人员分别制定</w:t>
      </w:r>
      <w:r>
        <w:rPr>
          <w:color w:val="000000" w:themeColor="text1"/>
          <w:sz w:val="28"/>
        </w:rPr>
        <w:t>2022</w:t>
      </w:r>
      <w:r>
        <w:rPr>
          <w:color w:val="000000" w:themeColor="text1"/>
          <w:sz w:val="28"/>
        </w:rPr>
        <w:t>年安全教育培训计划，</w:t>
      </w:r>
      <w:r>
        <w:rPr>
          <w:color w:val="000000" w:themeColor="text1"/>
          <w:sz w:val="28"/>
        </w:rPr>
        <w:lastRenderedPageBreak/>
        <w:t>并根据计划组织安全教育培训，新上岗的从业人员安全培训时间不少于</w:t>
      </w:r>
      <w:r>
        <w:rPr>
          <w:color w:val="000000" w:themeColor="text1"/>
          <w:sz w:val="28"/>
        </w:rPr>
        <w:t>72</w:t>
      </w:r>
      <w:r>
        <w:rPr>
          <w:color w:val="000000" w:themeColor="text1"/>
          <w:sz w:val="28"/>
        </w:rPr>
        <w:t>学时，转岗人员安全培训时间不少于</w:t>
      </w:r>
      <w:r>
        <w:rPr>
          <w:color w:val="000000" w:themeColor="text1"/>
          <w:sz w:val="28"/>
        </w:rPr>
        <w:t>48</w:t>
      </w:r>
      <w:r>
        <w:rPr>
          <w:color w:val="000000" w:themeColor="text1"/>
          <w:sz w:val="28"/>
        </w:rPr>
        <w:t>学时，</w:t>
      </w:r>
      <w:r>
        <w:rPr>
          <w:rFonts w:hint="eastAsia"/>
          <w:color w:val="000000" w:themeColor="text1"/>
          <w:sz w:val="28"/>
        </w:rPr>
        <w:t>员工</w:t>
      </w:r>
      <w:r>
        <w:rPr>
          <w:color w:val="000000" w:themeColor="text1"/>
          <w:sz w:val="28"/>
        </w:rPr>
        <w:t>每年再培训的时间不少于</w:t>
      </w:r>
      <w:r>
        <w:rPr>
          <w:color w:val="000000" w:themeColor="text1"/>
          <w:sz w:val="28"/>
        </w:rPr>
        <w:t>20</w:t>
      </w:r>
      <w:r>
        <w:rPr>
          <w:color w:val="000000" w:themeColor="text1"/>
          <w:sz w:val="28"/>
        </w:rPr>
        <w:t>学时，符合《生产经营单位安全培训规定》（国家安全监督管理总局令</w:t>
      </w:r>
      <w:r>
        <w:rPr>
          <w:color w:val="000000" w:themeColor="text1"/>
          <w:sz w:val="28"/>
        </w:rPr>
        <w:t>[2006]</w:t>
      </w:r>
      <w:r>
        <w:rPr>
          <w:color w:val="000000" w:themeColor="text1"/>
          <w:sz w:val="28"/>
        </w:rPr>
        <w:t>第</w:t>
      </w:r>
      <w:r>
        <w:rPr>
          <w:color w:val="000000" w:themeColor="text1"/>
          <w:sz w:val="28"/>
        </w:rPr>
        <w:t>3</w:t>
      </w:r>
      <w:r>
        <w:rPr>
          <w:color w:val="000000" w:themeColor="text1"/>
          <w:sz w:val="28"/>
        </w:rPr>
        <w:t>号，</w:t>
      </w:r>
      <w:r>
        <w:rPr>
          <w:color w:val="000000" w:themeColor="text1"/>
          <w:sz w:val="28"/>
        </w:rPr>
        <w:t>2015</w:t>
      </w:r>
      <w:r>
        <w:rPr>
          <w:color w:val="000000" w:themeColor="text1"/>
          <w:sz w:val="28"/>
        </w:rPr>
        <w:t>修订版）第十三条规定，相关教育培训材料详见报告附件</w:t>
      </w:r>
      <w:r>
        <w:rPr>
          <w:color w:val="000000" w:themeColor="text1"/>
          <w:sz w:val="28"/>
        </w:rPr>
        <w:t>2</w:t>
      </w:r>
      <w:r>
        <w:rPr>
          <w:rFonts w:hint="eastAsia"/>
          <w:color w:val="000000" w:themeColor="text1"/>
          <w:sz w:val="28"/>
        </w:rPr>
        <w:t>0</w:t>
      </w:r>
      <w:r>
        <w:rPr>
          <w:color w:val="000000" w:themeColor="text1"/>
          <w:sz w:val="28"/>
        </w:rPr>
        <w:t>。</w:t>
      </w:r>
    </w:p>
    <w:p w14:paraId="4B131E33"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2.7.1 </w:t>
      </w:r>
      <w:r>
        <w:rPr>
          <w:rFonts w:eastAsia="黑体"/>
          <w:b w:val="0"/>
          <w:snapToGrid w:val="0"/>
          <w:color w:val="000000" w:themeColor="text1"/>
          <w:kern w:val="0"/>
          <w:sz w:val="28"/>
          <w:szCs w:val="28"/>
        </w:rPr>
        <w:t>主要负责人和安全管理人员安全生产知识和管理能力及培训持证情况</w:t>
      </w:r>
    </w:p>
    <w:p w14:paraId="377A74B4"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6FDBDFA0" w14:textId="77777777" w:rsidR="002D2AF8"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综上，公司主要负责人和安全管理人员安全生产知识和管理能力，培训持证情况符合相关要求。</w:t>
      </w:r>
    </w:p>
    <w:p w14:paraId="611EECD7"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2.7.2 </w:t>
      </w:r>
      <w:r>
        <w:rPr>
          <w:rFonts w:eastAsia="黑体"/>
          <w:b w:val="0"/>
          <w:snapToGrid w:val="0"/>
          <w:color w:val="000000" w:themeColor="text1"/>
          <w:kern w:val="0"/>
          <w:sz w:val="28"/>
          <w:szCs w:val="28"/>
        </w:rPr>
        <w:t>特种作业人员教育培训及持证情况</w:t>
      </w:r>
    </w:p>
    <w:p w14:paraId="7A70EDB6"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595C57C0"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该企业涉及</w:t>
      </w:r>
      <w:r>
        <w:rPr>
          <w:rFonts w:hint="eastAsia"/>
          <w:color w:val="000000" w:themeColor="text1"/>
          <w:sz w:val="28"/>
          <w:szCs w:val="28"/>
        </w:rPr>
        <w:t>的</w:t>
      </w:r>
      <w:r>
        <w:rPr>
          <w:color w:val="000000" w:themeColor="text1"/>
          <w:sz w:val="28"/>
          <w:szCs w:val="28"/>
        </w:rPr>
        <w:t>特种作业人员</w:t>
      </w:r>
      <w:r>
        <w:rPr>
          <w:rFonts w:hint="eastAsia"/>
          <w:color w:val="000000" w:themeColor="text1"/>
          <w:sz w:val="28"/>
          <w:szCs w:val="28"/>
        </w:rPr>
        <w:t>和特种设备操作人员</w:t>
      </w:r>
      <w:r>
        <w:rPr>
          <w:color w:val="000000" w:themeColor="text1"/>
          <w:sz w:val="28"/>
          <w:szCs w:val="28"/>
        </w:rPr>
        <w:t>均取得特种作业证书，所有人员的特种作业证书均在复审有效期内，具有较高的安全知识、专业技术、职业卫生防护和应急救援知识。</w:t>
      </w:r>
    </w:p>
    <w:p w14:paraId="469F4BAC"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2.7.3 </w:t>
      </w:r>
      <w:r>
        <w:rPr>
          <w:rFonts w:eastAsia="黑体"/>
          <w:b w:val="0"/>
          <w:snapToGrid w:val="0"/>
          <w:color w:val="000000" w:themeColor="text1"/>
          <w:kern w:val="0"/>
          <w:sz w:val="28"/>
          <w:szCs w:val="28"/>
        </w:rPr>
        <w:t>其他从业人员教育培训及持证情况</w:t>
      </w:r>
    </w:p>
    <w:p w14:paraId="6826E70A" w14:textId="77777777" w:rsidR="002D2AF8"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胜利油田胜兴堵驱新技术开发有限责任公司</w:t>
      </w:r>
      <w:r>
        <w:rPr>
          <w:color w:val="000000" w:themeColor="text1"/>
          <w:sz w:val="28"/>
        </w:rPr>
        <w:t>按照《生产经营单位安全培训规定》（原国家安监总局令第</w:t>
      </w:r>
      <w:r>
        <w:rPr>
          <w:color w:val="000000" w:themeColor="text1"/>
          <w:sz w:val="28"/>
        </w:rPr>
        <w:t>3</w:t>
      </w:r>
      <w:r>
        <w:rPr>
          <w:color w:val="000000" w:themeColor="text1"/>
          <w:sz w:val="28"/>
        </w:rPr>
        <w:t>号，</w:t>
      </w:r>
      <w:r>
        <w:rPr>
          <w:color w:val="000000" w:themeColor="text1"/>
          <w:sz w:val="28"/>
        </w:rPr>
        <w:t>2015</w:t>
      </w:r>
      <w:r>
        <w:rPr>
          <w:color w:val="000000" w:themeColor="text1"/>
          <w:sz w:val="28"/>
        </w:rPr>
        <w:t>年修订）第十三条：</w:t>
      </w:r>
      <w:r>
        <w:rPr>
          <w:color w:val="000000" w:themeColor="text1"/>
          <w:sz w:val="28"/>
        </w:rPr>
        <w:t>“</w:t>
      </w:r>
      <w:r>
        <w:rPr>
          <w:color w:val="000000" w:themeColor="text1"/>
          <w:sz w:val="28"/>
        </w:rPr>
        <w:t>煤矿、非煤矿山、危险化学品、烟花爆竹、金属冶炼等生产经营单位新上岗的从业人员安全培训时间不得少于</w:t>
      </w:r>
      <w:r>
        <w:rPr>
          <w:color w:val="000000" w:themeColor="text1"/>
          <w:sz w:val="28"/>
        </w:rPr>
        <w:t>72</w:t>
      </w:r>
      <w:r>
        <w:rPr>
          <w:color w:val="000000" w:themeColor="text1"/>
          <w:sz w:val="28"/>
        </w:rPr>
        <w:t>学时，每年再培训的时间不得少于</w:t>
      </w:r>
      <w:r>
        <w:rPr>
          <w:color w:val="000000" w:themeColor="text1"/>
          <w:sz w:val="28"/>
        </w:rPr>
        <w:t>20</w:t>
      </w:r>
      <w:r>
        <w:rPr>
          <w:color w:val="000000" w:themeColor="text1"/>
          <w:sz w:val="28"/>
        </w:rPr>
        <w:t>学时</w:t>
      </w:r>
      <w:r>
        <w:rPr>
          <w:color w:val="000000" w:themeColor="text1"/>
          <w:sz w:val="28"/>
        </w:rPr>
        <w:t>”</w:t>
      </w:r>
      <w:r>
        <w:rPr>
          <w:color w:val="000000" w:themeColor="text1"/>
          <w:sz w:val="28"/>
        </w:rPr>
        <w:t>的要求，安全教育培训记录详见报告附件</w:t>
      </w:r>
      <w:r>
        <w:rPr>
          <w:color w:val="000000" w:themeColor="text1"/>
          <w:sz w:val="28"/>
        </w:rPr>
        <w:t>2</w:t>
      </w:r>
      <w:r>
        <w:rPr>
          <w:rFonts w:hint="eastAsia"/>
          <w:color w:val="000000" w:themeColor="text1"/>
          <w:sz w:val="28"/>
        </w:rPr>
        <w:t>0</w:t>
      </w:r>
      <w:r>
        <w:rPr>
          <w:color w:val="000000" w:themeColor="text1"/>
          <w:sz w:val="28"/>
        </w:rPr>
        <w:t>。</w:t>
      </w:r>
    </w:p>
    <w:p w14:paraId="377A5781"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根据山东省、东营市全员安全生产</w:t>
      </w:r>
      <w:r>
        <w:rPr>
          <w:color w:val="000000" w:themeColor="text1"/>
          <w:sz w:val="28"/>
        </w:rPr>
        <w:t>“</w:t>
      </w:r>
      <w:r>
        <w:rPr>
          <w:color w:val="000000" w:themeColor="text1"/>
          <w:sz w:val="28"/>
        </w:rPr>
        <w:t>大学习、大培训、大考试</w:t>
      </w:r>
      <w:r>
        <w:rPr>
          <w:color w:val="000000" w:themeColor="text1"/>
          <w:sz w:val="28"/>
        </w:rPr>
        <w:t>”</w:t>
      </w:r>
      <w:r>
        <w:rPr>
          <w:color w:val="000000" w:themeColor="text1"/>
          <w:sz w:val="28"/>
        </w:rPr>
        <w:t>专项行动要求，</w:t>
      </w:r>
      <w:r>
        <w:rPr>
          <w:rFonts w:hint="eastAsia"/>
          <w:color w:val="000000" w:themeColor="text1"/>
          <w:sz w:val="28"/>
        </w:rPr>
        <w:t>胜兴堵驱公司</w:t>
      </w:r>
      <w:r>
        <w:rPr>
          <w:color w:val="000000" w:themeColor="text1"/>
          <w:sz w:val="28"/>
        </w:rPr>
        <w:t>深入推进工作开展，筑牢安全防线，切实提高全体干部职工对安全生产法律、法规、规章、标准、应知</w:t>
      </w:r>
      <w:r>
        <w:rPr>
          <w:color w:val="000000" w:themeColor="text1"/>
          <w:sz w:val="28"/>
        </w:rPr>
        <w:lastRenderedPageBreak/>
        <w:t>应会知识的掌握程度，并将</w:t>
      </w:r>
      <w:r>
        <w:rPr>
          <w:color w:val="000000" w:themeColor="text1"/>
          <w:sz w:val="28"/>
        </w:rPr>
        <w:t>“</w:t>
      </w:r>
      <w:r>
        <w:rPr>
          <w:color w:val="000000" w:themeColor="text1"/>
          <w:sz w:val="28"/>
        </w:rPr>
        <w:t>大学习、大培训、大考试</w:t>
      </w:r>
      <w:r>
        <w:rPr>
          <w:color w:val="000000" w:themeColor="text1"/>
          <w:sz w:val="28"/>
        </w:rPr>
        <w:t>”</w:t>
      </w:r>
      <w:r>
        <w:rPr>
          <w:color w:val="000000" w:themeColor="text1"/>
          <w:sz w:val="28"/>
        </w:rPr>
        <w:t>专项行动培训列入</w:t>
      </w:r>
      <w:r>
        <w:rPr>
          <w:color w:val="000000" w:themeColor="text1"/>
          <w:sz w:val="28"/>
        </w:rPr>
        <w:t>2022</w:t>
      </w:r>
      <w:r>
        <w:rPr>
          <w:color w:val="000000" w:themeColor="text1"/>
          <w:sz w:val="28"/>
        </w:rPr>
        <w:t>年安全教育培训计划，详见报告附件</w:t>
      </w:r>
      <w:r>
        <w:rPr>
          <w:color w:val="000000" w:themeColor="text1"/>
          <w:sz w:val="28"/>
        </w:rPr>
        <w:t>2</w:t>
      </w:r>
      <w:r>
        <w:rPr>
          <w:rFonts w:hint="eastAsia"/>
          <w:color w:val="000000" w:themeColor="text1"/>
          <w:sz w:val="28"/>
        </w:rPr>
        <w:t>0</w:t>
      </w:r>
      <w:r>
        <w:rPr>
          <w:color w:val="000000" w:themeColor="text1"/>
          <w:sz w:val="28"/>
        </w:rPr>
        <w:t>。</w:t>
      </w:r>
    </w:p>
    <w:p w14:paraId="6B7BC6C7" w14:textId="77777777" w:rsidR="002D2AF8"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胜利油田胜兴堵驱新技术开发有限责任公司</w:t>
      </w:r>
      <w:r>
        <w:rPr>
          <w:color w:val="000000" w:themeColor="text1"/>
          <w:sz w:val="28"/>
        </w:rPr>
        <w:t>生产及安全管理人员，一线作业人员均持有硫化氢防护培训合格证、井控培训合格证和健康安全环境管理培训证书，具体持证情况见下表，证书复印件见附件</w:t>
      </w:r>
      <w:r>
        <w:rPr>
          <w:rFonts w:hint="eastAsia"/>
          <w:color w:val="000000" w:themeColor="text1"/>
          <w:sz w:val="28"/>
        </w:rPr>
        <w:t>7</w:t>
      </w:r>
      <w:r>
        <w:rPr>
          <w:color w:val="000000" w:themeColor="text1"/>
          <w:sz w:val="28"/>
        </w:rPr>
        <w:t>。</w:t>
      </w:r>
    </w:p>
    <w:p w14:paraId="0685B51C"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涉及企业机密，不予公开。</w:t>
      </w:r>
    </w:p>
    <w:p w14:paraId="5281AD8A"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3" w:name="_Toc5172"/>
      <w:r>
        <w:rPr>
          <w:rFonts w:ascii="Times New Roman" w:hAnsi="Times New Roman"/>
          <w:b w:val="0"/>
          <w:bCs/>
          <w:color w:val="000000" w:themeColor="text1"/>
          <w:szCs w:val="32"/>
        </w:rPr>
        <w:t xml:space="preserve">2.8 </w:t>
      </w:r>
      <w:r>
        <w:rPr>
          <w:rFonts w:ascii="Times New Roman" w:hAnsi="Times New Roman"/>
          <w:b w:val="0"/>
          <w:bCs/>
          <w:color w:val="000000" w:themeColor="text1"/>
          <w:szCs w:val="32"/>
        </w:rPr>
        <w:t>人员保险</w:t>
      </w:r>
      <w:bookmarkEnd w:id="33"/>
    </w:p>
    <w:p w14:paraId="53EB7414"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0AD10128"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4" w:name="_Toc430"/>
      <w:r>
        <w:rPr>
          <w:rFonts w:ascii="Times New Roman" w:hAnsi="Times New Roman"/>
          <w:b w:val="0"/>
          <w:bCs/>
          <w:color w:val="000000" w:themeColor="text1"/>
          <w:szCs w:val="32"/>
        </w:rPr>
        <w:t xml:space="preserve">2.9 </w:t>
      </w:r>
      <w:r>
        <w:rPr>
          <w:rFonts w:ascii="Times New Roman" w:hAnsi="Times New Roman"/>
          <w:b w:val="0"/>
          <w:bCs/>
          <w:color w:val="000000" w:themeColor="text1"/>
          <w:szCs w:val="32"/>
        </w:rPr>
        <w:t>职业危害防护及劳保用品发放</w:t>
      </w:r>
      <w:bookmarkEnd w:id="34"/>
    </w:p>
    <w:p w14:paraId="0F25FF80" w14:textId="77777777" w:rsidR="002D2AF8" w:rsidRDefault="00000000">
      <w:pPr>
        <w:adjustRightInd w:val="0"/>
        <w:snapToGrid w:val="0"/>
        <w:spacing w:line="360" w:lineRule="auto"/>
        <w:ind w:firstLineChars="200" w:firstLine="566"/>
        <w:jc w:val="left"/>
        <w:rPr>
          <w:color w:val="000000" w:themeColor="text1"/>
          <w:sz w:val="28"/>
        </w:rPr>
      </w:pPr>
      <w:r>
        <w:rPr>
          <w:color w:val="000000" w:themeColor="text1"/>
          <w:sz w:val="28"/>
        </w:rPr>
        <w:t>公司施工作业人员定期进行健康体检，建有员工健康档案。在劳保用品发放方面，按照有关规定的要求，根据岗位特点，按规定向生产工人发放防静电工作服、安全帽、工作鞋、劳保手套等劳保用品，任何人进入施工作业现场必须佩戴安全帽，操作人员必须按规定佩戴好劳保用品方可进行施工。</w:t>
      </w:r>
    </w:p>
    <w:p w14:paraId="3FC78C2B"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65593013" w14:textId="77777777" w:rsidR="002D2AF8" w:rsidRDefault="00000000">
      <w:pPr>
        <w:adjustRightInd w:val="0"/>
        <w:snapToGrid w:val="0"/>
        <w:spacing w:beforeLines="50" w:before="162" w:line="360" w:lineRule="auto"/>
        <w:ind w:firstLineChars="200" w:firstLine="566"/>
        <w:rPr>
          <w:bCs/>
          <w:color w:val="000000" w:themeColor="text1"/>
          <w:szCs w:val="32"/>
        </w:rPr>
      </w:pPr>
      <w:r>
        <w:rPr>
          <w:color w:val="000000" w:themeColor="text1"/>
          <w:sz w:val="28"/>
          <w:szCs w:val="28"/>
        </w:rPr>
        <w:t>综上，从业人员个体防护装备（即劳动防护用品）的配备符合《个体防护装备配备规范第</w:t>
      </w:r>
      <w:r>
        <w:rPr>
          <w:color w:val="000000" w:themeColor="text1"/>
          <w:sz w:val="28"/>
          <w:szCs w:val="28"/>
        </w:rPr>
        <w:t>2</w:t>
      </w:r>
      <w:r>
        <w:rPr>
          <w:color w:val="000000" w:themeColor="text1"/>
          <w:sz w:val="28"/>
          <w:szCs w:val="28"/>
        </w:rPr>
        <w:t>部分：石油、化工、天然气》（</w:t>
      </w:r>
      <w:r>
        <w:rPr>
          <w:color w:val="000000" w:themeColor="text1"/>
          <w:sz w:val="28"/>
          <w:szCs w:val="28"/>
        </w:rPr>
        <w:t>GB39800.2-2020</w:t>
      </w:r>
      <w:r>
        <w:rPr>
          <w:color w:val="000000" w:themeColor="text1"/>
          <w:sz w:val="28"/>
          <w:szCs w:val="28"/>
        </w:rPr>
        <w:t>）、《石油天然气作业场所劳动防护用品配备规范》（</w:t>
      </w:r>
      <w:r>
        <w:rPr>
          <w:color w:val="000000" w:themeColor="text1"/>
          <w:sz w:val="28"/>
          <w:szCs w:val="28"/>
        </w:rPr>
        <w:t>SY/T6524-2017</w:t>
      </w:r>
      <w:r>
        <w:rPr>
          <w:color w:val="000000" w:themeColor="text1"/>
          <w:sz w:val="28"/>
          <w:szCs w:val="28"/>
        </w:rPr>
        <w:t>）、《山东省劳动防护用品配备标准》（</w:t>
      </w:r>
      <w:r>
        <w:rPr>
          <w:color w:val="000000" w:themeColor="text1"/>
          <w:sz w:val="28"/>
          <w:szCs w:val="28"/>
        </w:rPr>
        <w:t>DB37/T1922-2011</w:t>
      </w:r>
      <w:r>
        <w:rPr>
          <w:color w:val="000000" w:themeColor="text1"/>
          <w:sz w:val="28"/>
          <w:szCs w:val="28"/>
        </w:rPr>
        <w:t>）的要求，可以满足日常劳保需要。</w:t>
      </w:r>
    </w:p>
    <w:p w14:paraId="29963CAB"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5" w:name="_Toc30480"/>
      <w:r>
        <w:rPr>
          <w:rFonts w:ascii="Times New Roman" w:hAnsi="Times New Roman"/>
          <w:b w:val="0"/>
          <w:bCs/>
          <w:color w:val="000000" w:themeColor="text1"/>
          <w:szCs w:val="32"/>
        </w:rPr>
        <w:t xml:space="preserve">2.10 </w:t>
      </w:r>
      <w:r>
        <w:rPr>
          <w:rFonts w:ascii="Times New Roman" w:hAnsi="Times New Roman"/>
          <w:b w:val="0"/>
          <w:bCs/>
          <w:color w:val="000000" w:themeColor="text1"/>
          <w:szCs w:val="32"/>
        </w:rPr>
        <w:t>设备设施检测、检验情况</w:t>
      </w:r>
      <w:bookmarkEnd w:id="35"/>
    </w:p>
    <w:p w14:paraId="03A237F4"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2.10.1 </w:t>
      </w:r>
      <w:r>
        <w:rPr>
          <w:rFonts w:eastAsia="黑体"/>
          <w:b w:val="0"/>
          <w:snapToGrid w:val="0"/>
          <w:color w:val="000000" w:themeColor="text1"/>
          <w:kern w:val="0"/>
          <w:sz w:val="28"/>
          <w:szCs w:val="28"/>
        </w:rPr>
        <w:t>设备、设施检测、检验情况</w:t>
      </w:r>
    </w:p>
    <w:p w14:paraId="0149383A"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70FEBF77" w14:textId="77777777" w:rsidR="002D2AF8" w:rsidRDefault="00000000">
      <w:pPr>
        <w:adjustRightInd w:val="0"/>
        <w:snapToGrid w:val="0"/>
        <w:spacing w:beforeLines="50" w:before="162" w:line="360" w:lineRule="auto"/>
        <w:ind w:firstLineChars="200" w:firstLine="566"/>
        <w:rPr>
          <w:snapToGrid w:val="0"/>
          <w:color w:val="000000" w:themeColor="text1"/>
          <w:kern w:val="0"/>
          <w:sz w:val="28"/>
          <w:szCs w:val="28"/>
        </w:rPr>
      </w:pPr>
      <w:r>
        <w:rPr>
          <w:rFonts w:hint="eastAsia"/>
          <w:snapToGrid w:val="0"/>
          <w:color w:val="000000" w:themeColor="text1"/>
          <w:kern w:val="0"/>
          <w:sz w:val="28"/>
          <w:szCs w:val="28"/>
        </w:rPr>
        <w:lastRenderedPageBreak/>
        <w:t>胜兴堵驱公司的</w:t>
      </w:r>
      <w:r>
        <w:rPr>
          <w:color w:val="000000" w:themeColor="text1"/>
          <w:sz w:val="28"/>
          <w:szCs w:val="28"/>
        </w:rPr>
        <w:t>高压管汇、压力表、安全阀</w:t>
      </w:r>
      <w:r>
        <w:rPr>
          <w:rFonts w:hint="eastAsia"/>
          <w:color w:val="000000" w:themeColor="text1"/>
          <w:sz w:val="28"/>
          <w:szCs w:val="28"/>
        </w:rPr>
        <w:t>、</w:t>
      </w:r>
      <w:r>
        <w:rPr>
          <w:rFonts w:hint="eastAsia"/>
          <w:snapToGrid w:val="0"/>
          <w:color w:val="000000" w:themeColor="text1"/>
          <w:kern w:val="0"/>
          <w:sz w:val="28"/>
          <w:szCs w:val="28"/>
        </w:rPr>
        <w:t>测试作业用防喷装置</w:t>
      </w:r>
      <w:r>
        <w:rPr>
          <w:snapToGrid w:val="0"/>
          <w:color w:val="000000" w:themeColor="text1"/>
          <w:kern w:val="0"/>
          <w:sz w:val="28"/>
          <w:szCs w:val="28"/>
        </w:rPr>
        <w:t>均按时检验检测，在检验有限期内。</w:t>
      </w:r>
      <w:r>
        <w:rPr>
          <w:rFonts w:hint="eastAsia"/>
          <w:snapToGrid w:val="0"/>
          <w:color w:val="000000" w:themeColor="text1"/>
          <w:kern w:val="0"/>
          <w:sz w:val="28"/>
          <w:szCs w:val="28"/>
        </w:rPr>
        <w:t>详见附件</w:t>
      </w:r>
      <w:r>
        <w:rPr>
          <w:rFonts w:hint="eastAsia"/>
          <w:snapToGrid w:val="0"/>
          <w:color w:val="000000" w:themeColor="text1"/>
          <w:kern w:val="0"/>
          <w:sz w:val="28"/>
          <w:szCs w:val="28"/>
        </w:rPr>
        <w:t>14</w:t>
      </w:r>
      <w:r>
        <w:rPr>
          <w:rFonts w:hint="eastAsia"/>
          <w:snapToGrid w:val="0"/>
          <w:color w:val="000000" w:themeColor="text1"/>
          <w:kern w:val="0"/>
          <w:sz w:val="28"/>
          <w:szCs w:val="28"/>
        </w:rPr>
        <w:t>。</w:t>
      </w:r>
    </w:p>
    <w:p w14:paraId="7804337C"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2.10.</w:t>
      </w:r>
      <w:r>
        <w:rPr>
          <w:rFonts w:eastAsia="黑体" w:hint="eastAsia"/>
          <w:b w:val="0"/>
          <w:snapToGrid w:val="0"/>
          <w:color w:val="000000" w:themeColor="text1"/>
          <w:kern w:val="0"/>
          <w:sz w:val="28"/>
          <w:szCs w:val="28"/>
        </w:rPr>
        <w:t>2</w:t>
      </w:r>
      <w:r>
        <w:rPr>
          <w:rFonts w:eastAsia="黑体"/>
          <w:b w:val="0"/>
          <w:snapToGrid w:val="0"/>
          <w:color w:val="000000" w:themeColor="text1"/>
          <w:kern w:val="0"/>
          <w:sz w:val="28"/>
          <w:szCs w:val="28"/>
        </w:rPr>
        <w:t xml:space="preserve"> </w:t>
      </w:r>
      <w:r>
        <w:rPr>
          <w:rFonts w:eastAsia="黑体"/>
          <w:b w:val="0"/>
          <w:snapToGrid w:val="0"/>
          <w:color w:val="000000" w:themeColor="text1"/>
          <w:kern w:val="0"/>
          <w:sz w:val="28"/>
          <w:szCs w:val="28"/>
        </w:rPr>
        <w:t>空呼、气体报警仪检测、检验情况</w:t>
      </w:r>
    </w:p>
    <w:p w14:paraId="54382025"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08360E47" w14:textId="77777777" w:rsidR="002D2AF8"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2.10.</w:t>
      </w:r>
      <w:r>
        <w:rPr>
          <w:rFonts w:eastAsia="黑体" w:hint="eastAsia"/>
          <w:b w:val="0"/>
          <w:snapToGrid w:val="0"/>
          <w:color w:val="000000" w:themeColor="text1"/>
          <w:kern w:val="0"/>
          <w:sz w:val="28"/>
          <w:szCs w:val="28"/>
        </w:rPr>
        <w:t>3</w:t>
      </w:r>
      <w:r>
        <w:rPr>
          <w:rFonts w:eastAsia="黑体"/>
          <w:b w:val="0"/>
          <w:snapToGrid w:val="0"/>
          <w:color w:val="000000" w:themeColor="text1"/>
          <w:kern w:val="0"/>
          <w:sz w:val="28"/>
          <w:szCs w:val="28"/>
        </w:rPr>
        <w:t xml:space="preserve"> </w:t>
      </w:r>
      <w:r>
        <w:rPr>
          <w:rFonts w:eastAsia="黑体"/>
          <w:b w:val="0"/>
          <w:snapToGrid w:val="0"/>
          <w:color w:val="000000" w:themeColor="text1"/>
          <w:kern w:val="0"/>
          <w:sz w:val="28"/>
          <w:szCs w:val="28"/>
        </w:rPr>
        <w:t>绝缘手套检测、检验情况</w:t>
      </w:r>
    </w:p>
    <w:p w14:paraId="1CCE5D50" w14:textId="77777777" w:rsidR="002D2AF8" w:rsidRDefault="00000000">
      <w:pPr>
        <w:adjustRightInd w:val="0"/>
        <w:snapToGrid w:val="0"/>
        <w:spacing w:line="360" w:lineRule="auto"/>
        <w:ind w:firstLineChars="200" w:firstLine="566"/>
        <w:jc w:val="left"/>
        <w:rPr>
          <w:color w:val="000000" w:themeColor="text1"/>
          <w:sz w:val="28"/>
          <w:szCs w:val="28"/>
        </w:rPr>
      </w:pPr>
      <w:bookmarkStart w:id="36" w:name="_Toc10219"/>
      <w:r>
        <w:rPr>
          <w:rFonts w:hint="eastAsia"/>
          <w:color w:val="000000" w:themeColor="text1"/>
          <w:sz w:val="28"/>
          <w:szCs w:val="28"/>
        </w:rPr>
        <w:t>涉及企业机密，不予公开。</w:t>
      </w:r>
    </w:p>
    <w:p w14:paraId="33DE7D49"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r>
        <w:rPr>
          <w:rFonts w:ascii="Times New Roman" w:hAnsi="Times New Roman"/>
          <w:b w:val="0"/>
          <w:bCs/>
          <w:color w:val="000000" w:themeColor="text1"/>
          <w:szCs w:val="32"/>
        </w:rPr>
        <w:t xml:space="preserve">2.11 </w:t>
      </w:r>
      <w:r>
        <w:rPr>
          <w:rFonts w:ascii="Times New Roman" w:hAnsi="Times New Roman"/>
          <w:b w:val="0"/>
          <w:bCs/>
          <w:color w:val="000000" w:themeColor="text1"/>
          <w:szCs w:val="32"/>
        </w:rPr>
        <w:t>事故应急救援预案及演练</w:t>
      </w:r>
      <w:bookmarkEnd w:id="36"/>
    </w:p>
    <w:p w14:paraId="79792E56"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2.11.1 </w:t>
      </w:r>
      <w:r>
        <w:rPr>
          <w:rFonts w:eastAsia="黑体"/>
          <w:b w:val="0"/>
          <w:snapToGrid w:val="0"/>
          <w:color w:val="000000" w:themeColor="text1"/>
          <w:kern w:val="0"/>
          <w:sz w:val="28"/>
          <w:szCs w:val="28"/>
        </w:rPr>
        <w:t>事故应急救援预案的编制情况</w:t>
      </w:r>
    </w:p>
    <w:p w14:paraId="38F38AC2"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szCs w:val="36"/>
        </w:rPr>
        <w:t>为最大程度的预防和控制各类重大安全和环境事故的发生，最大限度的减少各类事故所造成的危害、损失以及社会影响和环境影响，</w:t>
      </w:r>
      <w:r>
        <w:rPr>
          <w:rFonts w:hint="eastAsia"/>
          <w:color w:val="000000" w:themeColor="text1"/>
          <w:sz w:val="28"/>
          <w:szCs w:val="36"/>
        </w:rPr>
        <w:t>胜利油田胜兴堵驱新技术开发有限责任公司</w:t>
      </w:r>
      <w:r>
        <w:rPr>
          <w:color w:val="000000" w:themeColor="text1"/>
          <w:sz w:val="28"/>
          <w:szCs w:val="36"/>
        </w:rPr>
        <w:t>编制了《</w:t>
      </w:r>
      <w:r>
        <w:rPr>
          <w:rFonts w:hint="eastAsia"/>
          <w:color w:val="000000" w:themeColor="text1"/>
          <w:sz w:val="28"/>
          <w:szCs w:val="36"/>
        </w:rPr>
        <w:t>胜利油田胜兴堵驱新技术开发有限责任公司</w:t>
      </w:r>
      <w:r>
        <w:rPr>
          <w:color w:val="000000" w:themeColor="text1"/>
          <w:sz w:val="28"/>
          <w:szCs w:val="36"/>
        </w:rPr>
        <w:t>生产安全事故应急预案》，公司应急预案已于</w:t>
      </w:r>
      <w:r>
        <w:rPr>
          <w:color w:val="000000" w:themeColor="text1"/>
          <w:sz w:val="28"/>
          <w:szCs w:val="28"/>
        </w:rPr>
        <w:t>2022</w:t>
      </w:r>
      <w:r>
        <w:rPr>
          <w:color w:val="000000" w:themeColor="text1"/>
          <w:sz w:val="28"/>
          <w:szCs w:val="28"/>
        </w:rPr>
        <w:t>年</w:t>
      </w:r>
      <w:r>
        <w:rPr>
          <w:color w:val="000000" w:themeColor="text1"/>
          <w:sz w:val="28"/>
          <w:szCs w:val="28"/>
        </w:rPr>
        <w:t>4</w:t>
      </w:r>
      <w:r>
        <w:rPr>
          <w:color w:val="000000" w:themeColor="text1"/>
          <w:sz w:val="28"/>
          <w:szCs w:val="28"/>
        </w:rPr>
        <w:t>月</w:t>
      </w:r>
      <w:r>
        <w:rPr>
          <w:rFonts w:hint="eastAsia"/>
          <w:color w:val="000000" w:themeColor="text1"/>
          <w:sz w:val="28"/>
          <w:szCs w:val="28"/>
        </w:rPr>
        <w:t>15</w:t>
      </w:r>
      <w:r>
        <w:rPr>
          <w:color w:val="000000" w:themeColor="text1"/>
          <w:sz w:val="28"/>
          <w:szCs w:val="28"/>
        </w:rPr>
        <w:t>日在</w:t>
      </w:r>
      <w:r>
        <w:rPr>
          <w:rFonts w:hint="eastAsia"/>
          <w:color w:val="000000" w:themeColor="text1"/>
          <w:sz w:val="28"/>
          <w:szCs w:val="28"/>
        </w:rPr>
        <w:t>东营市垦利区应急管理局</w:t>
      </w:r>
      <w:r>
        <w:rPr>
          <w:color w:val="000000" w:themeColor="text1"/>
          <w:sz w:val="28"/>
          <w:szCs w:val="28"/>
        </w:rPr>
        <w:t>备案（备案编号：</w:t>
      </w:r>
      <w:r>
        <w:rPr>
          <w:rFonts w:hint="eastAsia"/>
          <w:color w:val="000000" w:themeColor="text1"/>
          <w:sz w:val="28"/>
          <w:szCs w:val="28"/>
        </w:rPr>
        <w:t>GM</w:t>
      </w:r>
      <w:r>
        <w:rPr>
          <w:color w:val="000000" w:themeColor="text1"/>
          <w:sz w:val="28"/>
          <w:szCs w:val="28"/>
        </w:rPr>
        <w:t>37050</w:t>
      </w:r>
      <w:r>
        <w:rPr>
          <w:rFonts w:hint="eastAsia"/>
          <w:color w:val="000000" w:themeColor="text1"/>
          <w:sz w:val="28"/>
          <w:szCs w:val="28"/>
        </w:rPr>
        <w:t>3</w:t>
      </w:r>
      <w:r>
        <w:rPr>
          <w:color w:val="000000" w:themeColor="text1"/>
          <w:sz w:val="28"/>
          <w:szCs w:val="28"/>
        </w:rPr>
        <w:t>-2022-0</w:t>
      </w:r>
      <w:r>
        <w:rPr>
          <w:rFonts w:hint="eastAsia"/>
          <w:color w:val="000000" w:themeColor="text1"/>
          <w:sz w:val="28"/>
          <w:szCs w:val="28"/>
        </w:rPr>
        <w:t>7</w:t>
      </w:r>
      <w:r>
        <w:rPr>
          <w:color w:val="000000" w:themeColor="text1"/>
          <w:sz w:val="28"/>
          <w:szCs w:val="28"/>
        </w:rPr>
        <w:t>），</w:t>
      </w:r>
      <w:r>
        <w:rPr>
          <w:color w:val="000000" w:themeColor="text1"/>
          <w:sz w:val="28"/>
        </w:rPr>
        <w:t>详见附件</w:t>
      </w:r>
      <w:r>
        <w:rPr>
          <w:color w:val="000000" w:themeColor="text1"/>
          <w:sz w:val="28"/>
        </w:rPr>
        <w:t>1</w:t>
      </w:r>
      <w:r>
        <w:rPr>
          <w:rFonts w:hint="eastAsia"/>
          <w:color w:val="000000" w:themeColor="text1"/>
          <w:sz w:val="28"/>
        </w:rPr>
        <w:t>0</w:t>
      </w:r>
      <w:r>
        <w:rPr>
          <w:color w:val="000000" w:themeColor="text1"/>
          <w:sz w:val="28"/>
        </w:rPr>
        <w:t>。该应急预案包括综合应急预案、现场处置方案。现场处置方案包括：</w:t>
      </w:r>
      <w:r>
        <w:rPr>
          <w:color w:val="000000" w:themeColor="text1"/>
          <w:sz w:val="28"/>
        </w:rPr>
        <w:fldChar w:fldCharType="begin"/>
      </w:r>
      <w:r>
        <w:rPr>
          <w:color w:val="000000" w:themeColor="text1"/>
          <w:sz w:val="28"/>
        </w:rPr>
        <w:instrText xml:space="preserve"> HYPERLINK \l "_Toc100671569" </w:instrText>
      </w:r>
      <w:r>
        <w:rPr>
          <w:color w:val="000000" w:themeColor="text1"/>
          <w:sz w:val="28"/>
        </w:rPr>
      </w:r>
      <w:r>
        <w:rPr>
          <w:color w:val="000000" w:themeColor="text1"/>
          <w:sz w:val="28"/>
        </w:rPr>
        <w:fldChar w:fldCharType="separate"/>
      </w:r>
      <w:r>
        <w:rPr>
          <w:color w:val="000000" w:themeColor="text1"/>
          <w:sz w:val="28"/>
        </w:rPr>
        <w:t>现场施工堵剂刺漏现场处置方案</w:t>
      </w:r>
      <w:r>
        <w:rPr>
          <w:rFonts w:hint="eastAsia"/>
          <w:color w:val="000000" w:themeColor="text1"/>
          <w:sz w:val="28"/>
        </w:rPr>
        <w:t>、</w:t>
      </w:r>
      <w:r>
        <w:rPr>
          <w:color w:val="000000" w:themeColor="text1"/>
          <w:sz w:val="28"/>
        </w:rPr>
        <w:fldChar w:fldCharType="end"/>
      </w:r>
      <w:hyperlink w:anchor="_Toc100671570" w:history="1">
        <w:r>
          <w:rPr>
            <w:color w:val="000000" w:themeColor="text1"/>
            <w:sz w:val="28"/>
          </w:rPr>
          <w:t>人身意外伤害事故现场处置方案</w:t>
        </w:r>
      </w:hyperlink>
      <w:r>
        <w:rPr>
          <w:rFonts w:hint="eastAsia"/>
          <w:color w:val="000000" w:themeColor="text1"/>
          <w:sz w:val="28"/>
        </w:rPr>
        <w:t>、</w:t>
      </w:r>
      <w:hyperlink w:anchor="_Toc100671571" w:history="1">
        <w:r>
          <w:rPr>
            <w:color w:val="000000" w:themeColor="text1"/>
            <w:sz w:val="28"/>
          </w:rPr>
          <w:t>火灾事故现场处置方案</w:t>
        </w:r>
      </w:hyperlink>
      <w:r>
        <w:rPr>
          <w:rFonts w:hint="eastAsia"/>
          <w:color w:val="000000" w:themeColor="text1"/>
          <w:sz w:val="28"/>
        </w:rPr>
        <w:t>、</w:t>
      </w:r>
      <w:hyperlink w:anchor="_Toc100671572" w:history="1">
        <w:r>
          <w:rPr>
            <w:color w:val="000000" w:themeColor="text1"/>
            <w:sz w:val="28"/>
          </w:rPr>
          <w:t>受限空间事故现场处置方案</w:t>
        </w:r>
      </w:hyperlink>
      <w:r>
        <w:rPr>
          <w:color w:val="000000" w:themeColor="text1"/>
          <w:sz w:val="28"/>
        </w:rPr>
        <w:t>。</w:t>
      </w:r>
    </w:p>
    <w:p w14:paraId="721F1582"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2.11.2 </w:t>
      </w:r>
      <w:r>
        <w:rPr>
          <w:rFonts w:eastAsia="黑体"/>
          <w:b w:val="0"/>
          <w:snapToGrid w:val="0"/>
          <w:color w:val="000000" w:themeColor="text1"/>
          <w:kern w:val="0"/>
          <w:sz w:val="28"/>
          <w:szCs w:val="28"/>
        </w:rPr>
        <w:t>事故应急救援组织的建立和人员的配备情况</w:t>
      </w:r>
    </w:p>
    <w:p w14:paraId="2D88FEAF"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成立了由总经理任总指挥，</w:t>
      </w:r>
      <w:r>
        <w:rPr>
          <w:color w:val="000000" w:themeColor="text1"/>
          <w:sz w:val="28"/>
          <w:szCs w:val="28"/>
          <w:lang w:val="zh-CN"/>
        </w:rPr>
        <w:t>主管生产、技术的副经理</w:t>
      </w:r>
      <w:r>
        <w:rPr>
          <w:color w:val="000000" w:themeColor="text1"/>
          <w:sz w:val="28"/>
          <w:szCs w:val="28"/>
        </w:rPr>
        <w:t>为副总指挥的应急领导机构，成员包括各职能部门负责人，确保发生重大事故时，以应急领导机构为核心，负责公司应急求援工作的组织和指挥。事故应急救援预案规定了演练计划，能满足该生产设施应急救援要求。</w:t>
      </w:r>
    </w:p>
    <w:p w14:paraId="7B9F4D1F"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2.11.3 </w:t>
      </w:r>
      <w:r>
        <w:rPr>
          <w:rFonts w:eastAsia="黑体"/>
          <w:b w:val="0"/>
          <w:snapToGrid w:val="0"/>
          <w:color w:val="000000" w:themeColor="text1"/>
          <w:kern w:val="0"/>
          <w:sz w:val="28"/>
          <w:szCs w:val="28"/>
        </w:rPr>
        <w:t>事故应急救援预案的演练情况</w:t>
      </w:r>
    </w:p>
    <w:p w14:paraId="295E9E64"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2DEF2D2F" w14:textId="77777777" w:rsidR="002D2AF8"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rPr>
        <w:lastRenderedPageBreak/>
        <w:t>依据《山东省生产安全事故应急办法》（省政府</w:t>
      </w:r>
      <w:r>
        <w:rPr>
          <w:color w:val="000000" w:themeColor="text1"/>
          <w:sz w:val="28"/>
        </w:rPr>
        <w:t>341</w:t>
      </w:r>
      <w:r>
        <w:rPr>
          <w:color w:val="000000" w:themeColor="text1"/>
          <w:sz w:val="28"/>
        </w:rPr>
        <w:t>号令）第十三条：高危和人员密集单位应当每半年至少组织</w:t>
      </w:r>
      <w:r>
        <w:rPr>
          <w:color w:val="000000" w:themeColor="text1"/>
          <w:sz w:val="28"/>
        </w:rPr>
        <w:t>1</w:t>
      </w:r>
      <w:r>
        <w:rPr>
          <w:color w:val="000000" w:themeColor="text1"/>
          <w:sz w:val="28"/>
        </w:rPr>
        <w:t>次综合或者专项应急预案演练，每</w:t>
      </w:r>
      <w:r>
        <w:rPr>
          <w:color w:val="000000" w:themeColor="text1"/>
          <w:sz w:val="28"/>
        </w:rPr>
        <w:t>2</w:t>
      </w:r>
      <w:r>
        <w:rPr>
          <w:color w:val="000000" w:themeColor="text1"/>
          <w:sz w:val="28"/>
        </w:rPr>
        <w:t>年对所有专项应急预案至少组织</w:t>
      </w:r>
      <w:r>
        <w:rPr>
          <w:color w:val="000000" w:themeColor="text1"/>
          <w:sz w:val="28"/>
        </w:rPr>
        <w:t>1</w:t>
      </w:r>
      <w:r>
        <w:rPr>
          <w:color w:val="000000" w:themeColor="text1"/>
          <w:sz w:val="28"/>
        </w:rPr>
        <w:t>次演练，每半年对所有现场处置方案至少组织</w:t>
      </w:r>
      <w:r>
        <w:rPr>
          <w:color w:val="000000" w:themeColor="text1"/>
          <w:sz w:val="28"/>
        </w:rPr>
        <w:t>1</w:t>
      </w:r>
      <w:r>
        <w:rPr>
          <w:color w:val="000000" w:themeColor="text1"/>
          <w:sz w:val="28"/>
        </w:rPr>
        <w:t>次演练，</w:t>
      </w:r>
      <w:r>
        <w:rPr>
          <w:rFonts w:hint="eastAsia"/>
          <w:color w:val="000000" w:themeColor="text1"/>
          <w:sz w:val="28"/>
        </w:rPr>
        <w:t>胜兴堵驱公司</w:t>
      </w:r>
      <w:r>
        <w:rPr>
          <w:color w:val="000000" w:themeColor="text1"/>
          <w:sz w:val="28"/>
        </w:rPr>
        <w:t>定期制定应急演练计划，定期组织应急演练并对演练效果进行评估，并根据演练效果及时对应急救援预案进行修订。经现场检查，企业应急演练频次符合要求。</w:t>
      </w:r>
    </w:p>
    <w:p w14:paraId="4BA52928"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2.11.4 </w:t>
      </w:r>
      <w:r>
        <w:rPr>
          <w:rFonts w:eastAsia="黑体"/>
          <w:b w:val="0"/>
          <w:snapToGrid w:val="0"/>
          <w:color w:val="000000" w:themeColor="text1"/>
          <w:kern w:val="0"/>
          <w:sz w:val="28"/>
          <w:szCs w:val="28"/>
        </w:rPr>
        <w:t>事故应急救援器材、设备的配备情况</w:t>
      </w:r>
    </w:p>
    <w:p w14:paraId="1A28CF81"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2AAD57E3" w14:textId="77777777" w:rsidR="002D2AF8" w:rsidRDefault="00000000">
      <w:pPr>
        <w:adjustRightInd w:val="0"/>
        <w:snapToGrid w:val="0"/>
        <w:spacing w:beforeLines="50" w:before="162" w:line="360" w:lineRule="auto"/>
        <w:ind w:firstLineChars="200" w:firstLine="566"/>
        <w:rPr>
          <w:rFonts w:eastAsia="黑体"/>
          <w:bCs/>
          <w:color w:val="000000" w:themeColor="text1"/>
          <w:sz w:val="32"/>
          <w:szCs w:val="32"/>
        </w:rPr>
      </w:pPr>
      <w:r>
        <w:rPr>
          <w:color w:val="000000" w:themeColor="text1"/>
          <w:sz w:val="28"/>
          <w:szCs w:val="28"/>
        </w:rPr>
        <w:t>公司应急器材的配备能够满足事故应急救援的要求，并定期组织相关人员对国内外同类企业的安全事故进行学习，总结经验，不断提高企业人员技术及应急能力。</w:t>
      </w:r>
    </w:p>
    <w:p w14:paraId="57117901"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37" w:name="_Toc30646"/>
      <w:r>
        <w:rPr>
          <w:rFonts w:ascii="Times New Roman" w:hAnsi="Times New Roman"/>
          <w:b w:val="0"/>
          <w:bCs/>
          <w:color w:val="000000" w:themeColor="text1"/>
          <w:szCs w:val="32"/>
        </w:rPr>
        <w:t xml:space="preserve">2.12 </w:t>
      </w:r>
      <w:r>
        <w:rPr>
          <w:rFonts w:ascii="Times New Roman" w:hAnsi="Times New Roman"/>
          <w:b w:val="0"/>
          <w:bCs/>
          <w:color w:val="000000" w:themeColor="text1"/>
          <w:szCs w:val="32"/>
        </w:rPr>
        <w:t>承包商管理和井控管理</w:t>
      </w:r>
      <w:bookmarkEnd w:id="37"/>
    </w:p>
    <w:p w14:paraId="545BF786" w14:textId="77777777" w:rsidR="002D2AF8" w:rsidRDefault="00000000">
      <w:pPr>
        <w:pStyle w:val="a4"/>
        <w:adjustRightInd w:val="0"/>
        <w:snapToGrid w:val="0"/>
        <w:spacing w:line="360" w:lineRule="auto"/>
        <w:ind w:firstLine="566"/>
        <w:rPr>
          <w:color w:val="000000" w:themeColor="text1"/>
          <w:sz w:val="28"/>
          <w:szCs w:val="28"/>
        </w:rPr>
      </w:pPr>
      <w:r>
        <w:rPr>
          <w:rFonts w:hint="eastAsia"/>
          <w:color w:val="000000" w:themeColor="text1"/>
          <w:sz w:val="28"/>
          <w:szCs w:val="28"/>
        </w:rPr>
        <w:t>胜兴堵驱公司</w:t>
      </w:r>
      <w:r>
        <w:rPr>
          <w:color w:val="000000" w:themeColor="text1"/>
          <w:sz w:val="28"/>
          <w:szCs w:val="28"/>
        </w:rPr>
        <w:t>2022</w:t>
      </w:r>
      <w:r>
        <w:rPr>
          <w:color w:val="000000" w:themeColor="text1"/>
          <w:sz w:val="28"/>
          <w:szCs w:val="28"/>
        </w:rPr>
        <w:t>年目前在用承包商共计</w:t>
      </w:r>
      <w:r>
        <w:rPr>
          <w:color w:val="000000" w:themeColor="text1"/>
          <w:sz w:val="28"/>
          <w:szCs w:val="28"/>
        </w:rPr>
        <w:t>1</w:t>
      </w:r>
      <w:r>
        <w:rPr>
          <w:color w:val="000000" w:themeColor="text1"/>
          <w:sz w:val="28"/>
          <w:szCs w:val="28"/>
        </w:rPr>
        <w:t>家，</w:t>
      </w:r>
      <w:r>
        <w:rPr>
          <w:rFonts w:hint="eastAsia"/>
          <w:color w:val="000000" w:themeColor="text1"/>
          <w:sz w:val="28"/>
          <w:szCs w:val="28"/>
        </w:rPr>
        <w:t>为垦利区航森机械中心，</w:t>
      </w:r>
      <w:r>
        <w:rPr>
          <w:color w:val="000000" w:themeColor="text1"/>
          <w:sz w:val="28"/>
          <w:szCs w:val="28"/>
        </w:rPr>
        <w:t>为</w:t>
      </w:r>
      <w:r>
        <w:rPr>
          <w:rFonts w:hint="eastAsia"/>
          <w:color w:val="000000" w:themeColor="text1"/>
          <w:sz w:val="28"/>
          <w:szCs w:val="28"/>
        </w:rPr>
        <w:t>吊装</w:t>
      </w:r>
      <w:r>
        <w:rPr>
          <w:color w:val="000000" w:themeColor="text1"/>
          <w:sz w:val="28"/>
          <w:szCs w:val="28"/>
        </w:rPr>
        <w:t>搬家类承包商，提供吊车、</w:t>
      </w:r>
      <w:r>
        <w:rPr>
          <w:rFonts w:hint="eastAsia"/>
          <w:color w:val="000000" w:themeColor="text1"/>
          <w:sz w:val="28"/>
          <w:szCs w:val="28"/>
        </w:rPr>
        <w:t>运输</w:t>
      </w:r>
      <w:r>
        <w:rPr>
          <w:color w:val="000000" w:themeColor="text1"/>
          <w:sz w:val="28"/>
          <w:szCs w:val="28"/>
        </w:rPr>
        <w:t>车</w:t>
      </w:r>
      <w:r>
        <w:rPr>
          <w:rFonts w:hint="eastAsia"/>
          <w:color w:val="000000" w:themeColor="text1"/>
          <w:sz w:val="28"/>
          <w:szCs w:val="28"/>
        </w:rPr>
        <w:t>辆</w:t>
      </w:r>
      <w:r>
        <w:rPr>
          <w:color w:val="000000" w:themeColor="text1"/>
          <w:sz w:val="28"/>
          <w:szCs w:val="28"/>
        </w:rPr>
        <w:t>等搬家的服务。</w:t>
      </w:r>
      <w:r>
        <w:rPr>
          <w:rFonts w:hint="eastAsia"/>
          <w:color w:val="000000" w:themeColor="text1"/>
          <w:sz w:val="28"/>
          <w:szCs w:val="28"/>
        </w:rPr>
        <w:t>胜兴堵驱公司</w:t>
      </w:r>
      <w:r>
        <w:rPr>
          <w:color w:val="000000" w:themeColor="text1"/>
          <w:sz w:val="28"/>
          <w:szCs w:val="28"/>
        </w:rPr>
        <w:t>建立有承包商管理制度，定期组织承包商进行培训学习，并考核，对承包商的资质和设备进行审核检查。承包商资质、协议、培训及检查等内容详见报告附件</w:t>
      </w:r>
      <w:r>
        <w:rPr>
          <w:rFonts w:hint="eastAsia"/>
          <w:color w:val="000000" w:themeColor="text1"/>
          <w:sz w:val="28"/>
          <w:szCs w:val="28"/>
        </w:rPr>
        <w:t>22</w:t>
      </w:r>
      <w:r>
        <w:rPr>
          <w:color w:val="000000" w:themeColor="text1"/>
          <w:sz w:val="28"/>
          <w:szCs w:val="28"/>
        </w:rPr>
        <w:t>。</w:t>
      </w:r>
    </w:p>
    <w:p w14:paraId="6733B98D" w14:textId="77777777" w:rsidR="002D2AF8" w:rsidRDefault="00000000">
      <w:pPr>
        <w:pStyle w:val="a4"/>
        <w:adjustRightInd w:val="0"/>
        <w:snapToGrid w:val="0"/>
        <w:spacing w:line="360" w:lineRule="auto"/>
        <w:ind w:firstLine="566"/>
        <w:rPr>
          <w:color w:val="000000" w:themeColor="text1"/>
          <w:sz w:val="28"/>
          <w:szCs w:val="28"/>
        </w:rPr>
      </w:pPr>
      <w:r>
        <w:rPr>
          <w:rFonts w:hint="eastAsia"/>
          <w:color w:val="000000" w:themeColor="text1"/>
          <w:sz w:val="28"/>
          <w:szCs w:val="28"/>
        </w:rPr>
        <w:t>胜兴堵驱公司建立了</w:t>
      </w:r>
      <w:r>
        <w:rPr>
          <w:color w:val="000000" w:themeColor="text1"/>
          <w:sz w:val="28"/>
          <w:szCs w:val="28"/>
        </w:rPr>
        <w:t>《</w:t>
      </w:r>
      <w:r>
        <w:rPr>
          <w:rFonts w:hint="eastAsia"/>
          <w:color w:val="000000" w:themeColor="text1"/>
          <w:sz w:val="28"/>
          <w:szCs w:val="28"/>
        </w:rPr>
        <w:t>井控</w:t>
      </w:r>
      <w:r>
        <w:rPr>
          <w:color w:val="000000" w:themeColor="text1"/>
          <w:sz w:val="28"/>
          <w:szCs w:val="28"/>
        </w:rPr>
        <w:t>管理制度》</w:t>
      </w:r>
      <w:r>
        <w:rPr>
          <w:rFonts w:hint="eastAsia"/>
          <w:color w:val="000000" w:themeColor="text1"/>
          <w:sz w:val="28"/>
          <w:szCs w:val="28"/>
        </w:rPr>
        <w:t>，生产管理部是井控管理的主管部门，负有井控工作责任。定期召开井控工作例会，认真总结、部署井控工作，并及时研究解决井控管理和监督方面存在的问题。其中，公司每月组织</w:t>
      </w:r>
      <w:r>
        <w:rPr>
          <w:rFonts w:hint="eastAsia"/>
          <w:color w:val="000000" w:themeColor="text1"/>
          <w:sz w:val="28"/>
          <w:szCs w:val="28"/>
        </w:rPr>
        <w:t>1</w:t>
      </w:r>
      <w:r>
        <w:rPr>
          <w:rFonts w:hint="eastAsia"/>
          <w:color w:val="000000" w:themeColor="text1"/>
          <w:sz w:val="28"/>
          <w:szCs w:val="28"/>
        </w:rPr>
        <w:t>次井控工作例会，班组级每周组织</w:t>
      </w:r>
      <w:r>
        <w:rPr>
          <w:rFonts w:hint="eastAsia"/>
          <w:color w:val="000000" w:themeColor="text1"/>
          <w:sz w:val="28"/>
          <w:szCs w:val="28"/>
        </w:rPr>
        <w:t>1</w:t>
      </w:r>
      <w:r>
        <w:rPr>
          <w:rFonts w:hint="eastAsia"/>
          <w:color w:val="000000" w:themeColor="text1"/>
          <w:sz w:val="28"/>
          <w:szCs w:val="28"/>
        </w:rPr>
        <w:t>次井控工作例会。并且公司每季度组织一次检查，生产管理部每月组织一次检查</w:t>
      </w:r>
      <w:r>
        <w:rPr>
          <w:color w:val="000000" w:themeColor="text1"/>
          <w:sz w:val="28"/>
          <w:szCs w:val="28"/>
        </w:rPr>
        <w:t>。</w:t>
      </w:r>
    </w:p>
    <w:p w14:paraId="46624950" w14:textId="77777777" w:rsidR="002D2AF8" w:rsidRDefault="00000000">
      <w:pPr>
        <w:pStyle w:val="a4"/>
        <w:adjustRightInd w:val="0"/>
        <w:snapToGrid w:val="0"/>
        <w:spacing w:line="360" w:lineRule="auto"/>
        <w:ind w:firstLineChars="0" w:firstLine="0"/>
        <w:outlineLvl w:val="1"/>
        <w:rPr>
          <w:rFonts w:eastAsia="黑体"/>
          <w:bCs/>
          <w:color w:val="000000" w:themeColor="text1"/>
          <w:sz w:val="32"/>
          <w:szCs w:val="32"/>
        </w:rPr>
      </w:pPr>
      <w:bookmarkStart w:id="38" w:name="_Toc16639"/>
      <w:r>
        <w:rPr>
          <w:rFonts w:eastAsia="黑体"/>
          <w:bCs/>
          <w:color w:val="000000" w:themeColor="text1"/>
          <w:sz w:val="32"/>
          <w:szCs w:val="32"/>
        </w:rPr>
        <w:t xml:space="preserve">2.13 </w:t>
      </w:r>
      <w:r>
        <w:rPr>
          <w:rFonts w:eastAsia="黑体"/>
          <w:bCs/>
          <w:color w:val="000000" w:themeColor="text1"/>
          <w:sz w:val="32"/>
          <w:szCs w:val="32"/>
        </w:rPr>
        <w:t>危险作业</w:t>
      </w:r>
      <w:r>
        <w:rPr>
          <w:rFonts w:eastAsia="黑体" w:hint="eastAsia"/>
          <w:bCs/>
          <w:color w:val="000000" w:themeColor="text1"/>
          <w:sz w:val="32"/>
          <w:szCs w:val="32"/>
        </w:rPr>
        <w:t>、交叉作业</w:t>
      </w:r>
      <w:r>
        <w:rPr>
          <w:rFonts w:eastAsia="黑体"/>
          <w:bCs/>
          <w:color w:val="000000" w:themeColor="text1"/>
          <w:sz w:val="32"/>
          <w:szCs w:val="32"/>
        </w:rPr>
        <w:t>安全管理</w:t>
      </w:r>
      <w:bookmarkEnd w:id="38"/>
    </w:p>
    <w:p w14:paraId="43A35BE7" w14:textId="77777777" w:rsidR="002D2AF8" w:rsidRDefault="00000000">
      <w:pPr>
        <w:pStyle w:val="a4"/>
        <w:adjustRightInd w:val="0"/>
        <w:snapToGrid w:val="0"/>
        <w:spacing w:line="360" w:lineRule="auto"/>
        <w:ind w:firstLine="566"/>
        <w:rPr>
          <w:color w:val="000000" w:themeColor="text1"/>
          <w:sz w:val="28"/>
          <w:szCs w:val="28"/>
        </w:rPr>
      </w:pPr>
      <w:r>
        <w:rPr>
          <w:rFonts w:hint="eastAsia"/>
          <w:color w:val="000000" w:themeColor="text1"/>
          <w:sz w:val="28"/>
          <w:szCs w:val="28"/>
        </w:rPr>
        <w:lastRenderedPageBreak/>
        <w:t>胜兴堵驱公司井下作业施工时，</w:t>
      </w:r>
      <w:r>
        <w:rPr>
          <w:color w:val="000000" w:themeColor="text1"/>
          <w:sz w:val="28"/>
          <w:szCs w:val="28"/>
        </w:rPr>
        <w:t>涉及危险作业项目包含临时用电作业、吊装作业</w:t>
      </w:r>
      <w:r>
        <w:rPr>
          <w:rFonts w:hint="eastAsia"/>
          <w:color w:val="000000" w:themeColor="text1"/>
          <w:sz w:val="28"/>
          <w:szCs w:val="28"/>
        </w:rPr>
        <w:t>，以及配液罐检维修时的受限空间作业</w:t>
      </w:r>
      <w:r>
        <w:rPr>
          <w:color w:val="000000" w:themeColor="text1"/>
          <w:sz w:val="28"/>
          <w:szCs w:val="28"/>
        </w:rPr>
        <w:t>。其中，临时用电作业为甲方供电部门进行接电，并开具临时</w:t>
      </w:r>
      <w:r>
        <w:rPr>
          <w:rFonts w:hint="eastAsia"/>
          <w:color w:val="000000" w:themeColor="text1"/>
          <w:sz w:val="28"/>
          <w:szCs w:val="28"/>
        </w:rPr>
        <w:t>用电</w:t>
      </w:r>
      <w:r>
        <w:rPr>
          <w:color w:val="000000" w:themeColor="text1"/>
          <w:sz w:val="28"/>
          <w:szCs w:val="28"/>
        </w:rPr>
        <w:t>作业票。吊装作业为承包商进行现场设备设施吊装作业，</w:t>
      </w:r>
      <w:r>
        <w:rPr>
          <w:rFonts w:hint="eastAsia"/>
          <w:color w:val="000000" w:themeColor="text1"/>
          <w:sz w:val="28"/>
          <w:szCs w:val="28"/>
        </w:rPr>
        <w:t>胜兴堵驱公司人员负责</w:t>
      </w:r>
      <w:r>
        <w:rPr>
          <w:color w:val="000000" w:themeColor="text1"/>
          <w:sz w:val="28"/>
          <w:szCs w:val="28"/>
        </w:rPr>
        <w:t>吊装指挥。在</w:t>
      </w:r>
      <w:r>
        <w:rPr>
          <w:rFonts w:hint="eastAsia"/>
          <w:color w:val="000000" w:themeColor="text1"/>
          <w:sz w:val="28"/>
          <w:szCs w:val="28"/>
        </w:rPr>
        <w:t>施工</w:t>
      </w:r>
      <w:r>
        <w:rPr>
          <w:color w:val="000000" w:themeColor="text1"/>
          <w:sz w:val="28"/>
          <w:szCs w:val="28"/>
        </w:rPr>
        <w:t>现场进行吊装作业，由</w:t>
      </w:r>
      <w:r>
        <w:rPr>
          <w:rFonts w:hint="eastAsia"/>
          <w:color w:val="000000" w:themeColor="text1"/>
          <w:sz w:val="28"/>
          <w:szCs w:val="28"/>
        </w:rPr>
        <w:t>甲方</w:t>
      </w:r>
      <w:r>
        <w:rPr>
          <w:color w:val="000000" w:themeColor="text1"/>
          <w:sz w:val="28"/>
          <w:szCs w:val="28"/>
        </w:rPr>
        <w:t>开具作业票。</w:t>
      </w:r>
      <w:r>
        <w:rPr>
          <w:rFonts w:hint="eastAsia"/>
          <w:color w:val="000000" w:themeColor="text1"/>
          <w:sz w:val="28"/>
          <w:szCs w:val="28"/>
        </w:rPr>
        <w:t>胜兴堵驱公司将配液罐检维修作为危险作业管理，由生产管理部开具危险作业票后，本公司检维修人员才能进行作业。</w:t>
      </w:r>
    </w:p>
    <w:p w14:paraId="6D097E96" w14:textId="77777777" w:rsidR="002D2AF8" w:rsidRDefault="00000000">
      <w:pPr>
        <w:pStyle w:val="a4"/>
        <w:adjustRightInd w:val="0"/>
        <w:snapToGrid w:val="0"/>
        <w:spacing w:line="360" w:lineRule="auto"/>
        <w:ind w:firstLine="566"/>
        <w:rPr>
          <w:color w:val="000000" w:themeColor="text1"/>
          <w:sz w:val="28"/>
          <w:szCs w:val="28"/>
        </w:rPr>
      </w:pPr>
      <w:r>
        <w:rPr>
          <w:rFonts w:hint="eastAsia"/>
          <w:color w:val="000000" w:themeColor="text1"/>
          <w:sz w:val="28"/>
          <w:szCs w:val="28"/>
        </w:rPr>
        <w:t>堵水</w:t>
      </w:r>
      <w:r>
        <w:rPr>
          <w:rFonts w:hint="eastAsia"/>
          <w:color w:val="000000" w:themeColor="text1"/>
          <w:sz w:val="28"/>
          <w:szCs w:val="28"/>
        </w:rPr>
        <w:t>/</w:t>
      </w:r>
      <w:r>
        <w:rPr>
          <w:rFonts w:hint="eastAsia"/>
          <w:color w:val="000000" w:themeColor="text1"/>
          <w:sz w:val="28"/>
          <w:szCs w:val="28"/>
        </w:rPr>
        <w:t>调剖施工和测试作业均在注水井井口进行</w:t>
      </w:r>
      <w:r>
        <w:rPr>
          <w:color w:val="000000" w:themeColor="text1"/>
          <w:sz w:val="28"/>
          <w:szCs w:val="28"/>
        </w:rPr>
        <w:t>，不涉及交叉施工过程。</w:t>
      </w:r>
    </w:p>
    <w:p w14:paraId="204A403F" w14:textId="77777777" w:rsidR="002D2AF8" w:rsidRDefault="00000000">
      <w:pPr>
        <w:adjustRightInd w:val="0"/>
        <w:snapToGrid w:val="0"/>
        <w:spacing w:line="360" w:lineRule="auto"/>
        <w:outlineLvl w:val="1"/>
        <w:rPr>
          <w:rFonts w:eastAsia="黑体"/>
          <w:color w:val="000000" w:themeColor="text1"/>
          <w:sz w:val="32"/>
          <w:szCs w:val="32"/>
        </w:rPr>
      </w:pPr>
      <w:bookmarkStart w:id="39" w:name="_Toc14071"/>
      <w:r>
        <w:rPr>
          <w:rFonts w:eastAsia="黑体"/>
          <w:color w:val="000000" w:themeColor="text1"/>
          <w:sz w:val="32"/>
          <w:szCs w:val="32"/>
        </w:rPr>
        <w:t xml:space="preserve">2.14 </w:t>
      </w:r>
      <w:r>
        <w:rPr>
          <w:rFonts w:eastAsia="黑体"/>
          <w:color w:val="000000" w:themeColor="text1"/>
          <w:sz w:val="32"/>
          <w:szCs w:val="32"/>
        </w:rPr>
        <w:t>变更安全管理</w:t>
      </w:r>
      <w:bookmarkEnd w:id="39"/>
    </w:p>
    <w:p w14:paraId="5B8F7F2F"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胜兴堵驱公司</w:t>
      </w:r>
      <w:r>
        <w:rPr>
          <w:color w:val="000000" w:themeColor="text1"/>
          <w:sz w:val="28"/>
          <w:szCs w:val="28"/>
        </w:rPr>
        <w:t>制定了《变更管理制度》，该制度规定了生产过程中工艺技术、设备设施、管理、人员的变更类型，明确了变更申请、变更实施、变更关闭等变更程序。本次评价期间，发现企业未根据《变更管理制度》针对生产过程中的相关变更履行变更程序，建议企业在以后的安全生产管理过程中严格执行《变更管理制度》，并保存相关变更记录和资料。</w:t>
      </w:r>
    </w:p>
    <w:p w14:paraId="2B0F2729" w14:textId="77777777" w:rsidR="002D2AF8" w:rsidRDefault="00000000">
      <w:pPr>
        <w:pStyle w:val="2"/>
        <w:adjustRightInd w:val="0"/>
        <w:snapToGrid w:val="0"/>
        <w:spacing w:line="360" w:lineRule="auto"/>
        <w:ind w:firstLine="566"/>
        <w:rPr>
          <w:color w:val="000000" w:themeColor="text1"/>
        </w:rPr>
      </w:pPr>
      <w:r>
        <w:rPr>
          <w:rFonts w:hint="eastAsia"/>
          <w:color w:val="000000" w:themeColor="text1"/>
        </w:rPr>
        <w:t>胜兴堵驱公司的施工工艺变更由甲方相应部门进行变更，并通知胜兴堵驱公司。</w:t>
      </w:r>
    </w:p>
    <w:p w14:paraId="7F5E17BF" w14:textId="77777777" w:rsidR="002D2AF8" w:rsidRDefault="00000000">
      <w:pPr>
        <w:adjustRightInd w:val="0"/>
        <w:snapToGrid w:val="0"/>
        <w:spacing w:line="360" w:lineRule="auto"/>
        <w:outlineLvl w:val="1"/>
        <w:rPr>
          <w:rFonts w:eastAsia="黑体"/>
          <w:color w:val="000000" w:themeColor="text1"/>
          <w:sz w:val="32"/>
          <w:szCs w:val="32"/>
        </w:rPr>
      </w:pPr>
      <w:bookmarkStart w:id="40" w:name="_Toc15496"/>
      <w:r>
        <w:rPr>
          <w:rFonts w:eastAsia="黑体"/>
          <w:color w:val="000000" w:themeColor="text1"/>
          <w:sz w:val="32"/>
          <w:szCs w:val="32"/>
        </w:rPr>
        <w:t xml:space="preserve">2.15 </w:t>
      </w:r>
      <w:r>
        <w:rPr>
          <w:rFonts w:eastAsia="黑体"/>
          <w:color w:val="000000" w:themeColor="text1"/>
          <w:sz w:val="32"/>
          <w:szCs w:val="32"/>
        </w:rPr>
        <w:t>生产安全事故管理</w:t>
      </w:r>
      <w:bookmarkEnd w:id="40"/>
    </w:p>
    <w:p w14:paraId="57C20201" w14:textId="77777777" w:rsidR="002D2AF8" w:rsidRDefault="00000000">
      <w:pPr>
        <w:adjustRightInd w:val="0"/>
        <w:snapToGrid w:val="0"/>
        <w:spacing w:line="360" w:lineRule="auto"/>
        <w:ind w:firstLineChars="200" w:firstLine="566"/>
        <w:rPr>
          <w:color w:val="000000" w:themeColor="text1"/>
          <w:sz w:val="24"/>
        </w:rPr>
      </w:pPr>
      <w:r>
        <w:rPr>
          <w:rFonts w:hint="eastAsia"/>
          <w:color w:val="000000" w:themeColor="text1"/>
          <w:sz w:val="28"/>
          <w:szCs w:val="28"/>
        </w:rPr>
        <w:t>胜兴堵驱公司</w:t>
      </w:r>
      <w:r>
        <w:rPr>
          <w:color w:val="000000" w:themeColor="text1"/>
          <w:sz w:val="28"/>
          <w:szCs w:val="28"/>
        </w:rPr>
        <w:t>制定了《生产安全事故报告、调查及处理管理制度》，该制度明确了事故等级，规定了事故报告、事故调查、事故处理的要求，凡事故发生后必须按</w:t>
      </w:r>
      <w:r>
        <w:rPr>
          <w:color w:val="000000" w:themeColor="text1"/>
          <w:sz w:val="28"/>
          <w:szCs w:val="28"/>
        </w:rPr>
        <w:t>“</w:t>
      </w:r>
      <w:r>
        <w:rPr>
          <w:color w:val="000000" w:themeColor="text1"/>
          <w:sz w:val="28"/>
          <w:szCs w:val="28"/>
        </w:rPr>
        <w:t>四不放过</w:t>
      </w:r>
      <w:r>
        <w:rPr>
          <w:color w:val="000000" w:themeColor="text1"/>
          <w:sz w:val="28"/>
          <w:szCs w:val="28"/>
        </w:rPr>
        <w:t>”</w:t>
      </w:r>
      <w:r>
        <w:rPr>
          <w:color w:val="000000" w:themeColor="text1"/>
          <w:sz w:val="28"/>
          <w:szCs w:val="28"/>
        </w:rPr>
        <w:t>的原则进行处理，同时拟定预防措施，杜绝类似事故发生。经查询东营市人民政府政府信息公开目录《东营市</w:t>
      </w:r>
      <w:r>
        <w:rPr>
          <w:color w:val="000000" w:themeColor="text1"/>
          <w:sz w:val="28"/>
          <w:szCs w:val="28"/>
        </w:rPr>
        <w:t>2022</w:t>
      </w:r>
      <w:r>
        <w:rPr>
          <w:color w:val="000000" w:themeColor="text1"/>
          <w:sz w:val="28"/>
          <w:szCs w:val="28"/>
        </w:rPr>
        <w:t>年安全生产事故调查情况》、《东营市</w:t>
      </w:r>
      <w:r>
        <w:rPr>
          <w:color w:val="000000" w:themeColor="text1"/>
          <w:sz w:val="28"/>
          <w:szCs w:val="28"/>
        </w:rPr>
        <w:t>2021</w:t>
      </w:r>
      <w:r>
        <w:rPr>
          <w:color w:val="000000" w:themeColor="text1"/>
          <w:sz w:val="28"/>
          <w:szCs w:val="28"/>
        </w:rPr>
        <w:t>年安全生产事故调查情况》及</w:t>
      </w:r>
      <w:r>
        <w:rPr>
          <w:rFonts w:hint="eastAsia"/>
          <w:color w:val="000000" w:themeColor="text1"/>
          <w:sz w:val="28"/>
          <w:szCs w:val="28"/>
        </w:rPr>
        <w:t>垦利</w:t>
      </w:r>
      <w:r>
        <w:rPr>
          <w:color w:val="000000" w:themeColor="text1"/>
          <w:sz w:val="28"/>
          <w:szCs w:val="28"/>
        </w:rPr>
        <w:t>区政务公开信息</w:t>
      </w:r>
      <w:r>
        <w:rPr>
          <w:color w:val="000000" w:themeColor="text1"/>
          <w:sz w:val="28"/>
          <w:szCs w:val="28"/>
        </w:rPr>
        <w:t>-</w:t>
      </w:r>
      <w:r>
        <w:rPr>
          <w:color w:val="000000" w:themeColor="text1"/>
          <w:sz w:val="28"/>
          <w:szCs w:val="28"/>
        </w:rPr>
        <w:t>安全生产事</w:t>
      </w:r>
      <w:r>
        <w:rPr>
          <w:color w:val="000000" w:themeColor="text1"/>
          <w:sz w:val="28"/>
          <w:szCs w:val="28"/>
        </w:rPr>
        <w:lastRenderedPageBreak/>
        <w:t>故调查报告，均未查询到</w:t>
      </w:r>
      <w:r>
        <w:rPr>
          <w:color w:val="000000" w:themeColor="text1"/>
          <w:sz w:val="28"/>
          <w:szCs w:val="28"/>
        </w:rPr>
        <w:t>2021</w:t>
      </w:r>
      <w:r>
        <w:rPr>
          <w:color w:val="000000" w:themeColor="text1"/>
          <w:sz w:val="28"/>
          <w:szCs w:val="28"/>
        </w:rPr>
        <w:t>及</w:t>
      </w:r>
      <w:r>
        <w:rPr>
          <w:color w:val="000000" w:themeColor="text1"/>
          <w:sz w:val="28"/>
          <w:szCs w:val="28"/>
        </w:rPr>
        <w:t>2022</w:t>
      </w:r>
      <w:r>
        <w:rPr>
          <w:color w:val="000000" w:themeColor="text1"/>
          <w:sz w:val="28"/>
          <w:szCs w:val="28"/>
        </w:rPr>
        <w:t>年该企业生产安全事故信息。</w:t>
      </w:r>
    </w:p>
    <w:p w14:paraId="48D3D7E0" w14:textId="77777777" w:rsidR="002D2AF8" w:rsidRDefault="00000000">
      <w:pPr>
        <w:adjustRightInd w:val="0"/>
        <w:snapToGrid w:val="0"/>
        <w:spacing w:line="360" w:lineRule="auto"/>
        <w:outlineLvl w:val="1"/>
        <w:rPr>
          <w:rFonts w:eastAsia="黑体"/>
          <w:bCs/>
          <w:color w:val="000000" w:themeColor="text1"/>
          <w:sz w:val="32"/>
          <w:szCs w:val="32"/>
        </w:rPr>
      </w:pPr>
      <w:bookmarkStart w:id="41" w:name="_Toc7833"/>
      <w:r>
        <w:rPr>
          <w:rFonts w:eastAsia="黑体"/>
          <w:bCs/>
          <w:color w:val="000000" w:themeColor="text1"/>
          <w:sz w:val="32"/>
          <w:szCs w:val="32"/>
        </w:rPr>
        <w:t xml:space="preserve">2.16 </w:t>
      </w:r>
      <w:r>
        <w:rPr>
          <w:rFonts w:eastAsia="黑体"/>
          <w:bCs/>
          <w:color w:val="000000" w:themeColor="text1"/>
          <w:sz w:val="32"/>
          <w:szCs w:val="32"/>
        </w:rPr>
        <w:t>安全生产标准化及双重预防体系的建设、运行情况</w:t>
      </w:r>
      <w:bookmarkEnd w:id="41"/>
    </w:p>
    <w:p w14:paraId="020D7B5B"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2.1</w:t>
      </w:r>
      <w:r>
        <w:rPr>
          <w:rFonts w:eastAsia="黑体" w:hint="eastAsia"/>
          <w:b w:val="0"/>
          <w:snapToGrid w:val="0"/>
          <w:color w:val="000000" w:themeColor="text1"/>
          <w:kern w:val="0"/>
          <w:sz w:val="28"/>
          <w:szCs w:val="28"/>
        </w:rPr>
        <w:t>6</w:t>
      </w:r>
      <w:r>
        <w:rPr>
          <w:rFonts w:eastAsia="黑体"/>
          <w:b w:val="0"/>
          <w:snapToGrid w:val="0"/>
          <w:color w:val="000000" w:themeColor="text1"/>
          <w:kern w:val="0"/>
          <w:sz w:val="28"/>
          <w:szCs w:val="28"/>
        </w:rPr>
        <w:t xml:space="preserve">.1 </w:t>
      </w:r>
      <w:r>
        <w:rPr>
          <w:rFonts w:eastAsia="黑体" w:hint="eastAsia"/>
          <w:b w:val="0"/>
          <w:snapToGrid w:val="0"/>
          <w:color w:val="000000" w:themeColor="text1"/>
          <w:kern w:val="0"/>
          <w:sz w:val="28"/>
          <w:szCs w:val="28"/>
        </w:rPr>
        <w:t>安全生产标准化建设、运行</w:t>
      </w:r>
      <w:r>
        <w:rPr>
          <w:rFonts w:eastAsia="黑体"/>
          <w:b w:val="0"/>
          <w:snapToGrid w:val="0"/>
          <w:color w:val="000000" w:themeColor="text1"/>
          <w:kern w:val="0"/>
          <w:sz w:val="28"/>
          <w:szCs w:val="28"/>
        </w:rPr>
        <w:t>情况</w:t>
      </w:r>
    </w:p>
    <w:p w14:paraId="5A41F067" w14:textId="77777777" w:rsidR="002D2AF8" w:rsidRDefault="00000000">
      <w:pPr>
        <w:adjustRightInd w:val="0"/>
        <w:snapToGrid w:val="0"/>
        <w:spacing w:line="360" w:lineRule="auto"/>
        <w:ind w:firstLineChars="200" w:firstLine="566"/>
        <w:rPr>
          <w:color w:val="000000" w:themeColor="text1"/>
        </w:rPr>
      </w:pPr>
      <w:r>
        <w:rPr>
          <w:rFonts w:eastAsiaTheme="minorEastAsia" w:hint="eastAsia"/>
          <w:bCs/>
          <w:color w:val="000000" w:themeColor="text1"/>
          <w:sz w:val="28"/>
          <w:szCs w:val="28"/>
        </w:rPr>
        <w:t>胜利油田胜兴堵驱新技术开发有限责任公司</w:t>
      </w:r>
      <w:r>
        <w:rPr>
          <w:rFonts w:eastAsiaTheme="minorEastAsia"/>
          <w:bCs/>
          <w:color w:val="000000" w:themeColor="text1"/>
          <w:sz w:val="28"/>
          <w:szCs w:val="28"/>
        </w:rPr>
        <w:t>于</w:t>
      </w:r>
      <w:r>
        <w:rPr>
          <w:rFonts w:eastAsiaTheme="minorEastAsia"/>
          <w:bCs/>
          <w:color w:val="000000" w:themeColor="text1"/>
          <w:sz w:val="28"/>
          <w:szCs w:val="28"/>
        </w:rPr>
        <w:t>2016</w:t>
      </w:r>
      <w:r>
        <w:rPr>
          <w:rFonts w:eastAsiaTheme="minorEastAsia"/>
          <w:bCs/>
          <w:color w:val="000000" w:themeColor="text1"/>
          <w:sz w:val="28"/>
          <w:szCs w:val="28"/>
        </w:rPr>
        <w:t>年开始按照国家、山东省、东营市有关文件精神要求，开始进行安全生产标准化建设，于</w:t>
      </w:r>
      <w:r>
        <w:rPr>
          <w:rFonts w:eastAsiaTheme="minorEastAsia"/>
          <w:bCs/>
          <w:color w:val="000000" w:themeColor="text1"/>
          <w:sz w:val="28"/>
          <w:szCs w:val="28"/>
        </w:rPr>
        <w:t>2016</w:t>
      </w:r>
      <w:r>
        <w:rPr>
          <w:rFonts w:eastAsiaTheme="minorEastAsia"/>
          <w:bCs/>
          <w:color w:val="000000" w:themeColor="text1"/>
          <w:sz w:val="28"/>
          <w:szCs w:val="28"/>
        </w:rPr>
        <w:t>年</w:t>
      </w:r>
      <w:r>
        <w:rPr>
          <w:rFonts w:eastAsiaTheme="minorEastAsia" w:hint="eastAsia"/>
          <w:bCs/>
          <w:color w:val="000000" w:themeColor="text1"/>
          <w:sz w:val="28"/>
          <w:szCs w:val="28"/>
        </w:rPr>
        <w:t>9</w:t>
      </w:r>
      <w:r>
        <w:rPr>
          <w:rFonts w:eastAsiaTheme="minorEastAsia"/>
          <w:bCs/>
          <w:color w:val="000000" w:themeColor="text1"/>
          <w:sz w:val="28"/>
          <w:szCs w:val="28"/>
        </w:rPr>
        <w:t>月取得了由东营市安全生产监督管理局颁发的非煤矿山安全生产标准化三级企业证书，</w:t>
      </w:r>
      <w:r>
        <w:rPr>
          <w:rFonts w:eastAsiaTheme="minorEastAsia"/>
          <w:bCs/>
          <w:color w:val="000000" w:themeColor="text1"/>
          <w:sz w:val="28"/>
          <w:szCs w:val="28"/>
        </w:rPr>
        <w:t>2019</w:t>
      </w:r>
      <w:r>
        <w:rPr>
          <w:rFonts w:eastAsiaTheme="minorEastAsia"/>
          <w:bCs/>
          <w:color w:val="000000" w:themeColor="text1"/>
          <w:sz w:val="28"/>
          <w:szCs w:val="28"/>
        </w:rPr>
        <w:t>年</w:t>
      </w:r>
      <w:r>
        <w:rPr>
          <w:rFonts w:eastAsiaTheme="minorEastAsia" w:hint="eastAsia"/>
          <w:bCs/>
          <w:color w:val="000000" w:themeColor="text1"/>
          <w:sz w:val="28"/>
          <w:szCs w:val="28"/>
        </w:rPr>
        <w:t>6</w:t>
      </w:r>
      <w:r>
        <w:rPr>
          <w:rFonts w:eastAsiaTheme="minorEastAsia"/>
          <w:bCs/>
          <w:color w:val="000000" w:themeColor="text1"/>
          <w:sz w:val="28"/>
          <w:szCs w:val="28"/>
        </w:rPr>
        <w:t>月</w:t>
      </w:r>
      <w:r>
        <w:rPr>
          <w:rFonts w:eastAsiaTheme="minorEastAsia" w:hint="eastAsia"/>
          <w:bCs/>
          <w:color w:val="000000" w:themeColor="text1"/>
          <w:sz w:val="28"/>
          <w:szCs w:val="28"/>
        </w:rPr>
        <w:t>26</w:t>
      </w:r>
      <w:r>
        <w:rPr>
          <w:rFonts w:eastAsiaTheme="minorEastAsia" w:hint="eastAsia"/>
          <w:bCs/>
          <w:color w:val="000000" w:themeColor="text1"/>
          <w:sz w:val="28"/>
          <w:szCs w:val="28"/>
        </w:rPr>
        <w:t>日完成了标准化复审工作</w:t>
      </w:r>
      <w:r>
        <w:rPr>
          <w:rFonts w:eastAsiaTheme="minorEastAsia"/>
          <w:bCs/>
          <w:color w:val="000000" w:themeColor="text1"/>
          <w:sz w:val="28"/>
          <w:szCs w:val="28"/>
        </w:rPr>
        <w:t>，</w:t>
      </w:r>
      <w:r>
        <w:rPr>
          <w:rFonts w:eastAsiaTheme="minorEastAsia" w:hint="eastAsia"/>
          <w:bCs/>
          <w:color w:val="000000" w:themeColor="text1"/>
          <w:sz w:val="28"/>
          <w:szCs w:val="28"/>
        </w:rPr>
        <w:t>东营市应急管理局颁发了安全生产标准化三级企业（井下作业）证书，</w:t>
      </w:r>
      <w:r>
        <w:rPr>
          <w:rFonts w:eastAsiaTheme="minorEastAsia"/>
          <w:bCs/>
          <w:color w:val="000000" w:themeColor="text1"/>
          <w:sz w:val="28"/>
          <w:szCs w:val="28"/>
        </w:rPr>
        <w:t>证书编号</w:t>
      </w:r>
      <w:r>
        <w:rPr>
          <w:rFonts w:eastAsiaTheme="minorEastAsia"/>
          <w:bCs/>
          <w:color w:val="000000" w:themeColor="text1"/>
          <w:sz w:val="28"/>
          <w:szCs w:val="28"/>
        </w:rPr>
        <w:t>∶</w:t>
      </w:r>
      <w:r>
        <w:rPr>
          <w:rFonts w:eastAsiaTheme="minorEastAsia"/>
          <w:bCs/>
          <w:color w:val="000000" w:themeColor="text1"/>
          <w:sz w:val="28"/>
          <w:szCs w:val="28"/>
        </w:rPr>
        <w:t>（东）</w:t>
      </w:r>
      <w:r>
        <w:rPr>
          <w:rFonts w:eastAsiaTheme="minorEastAsia"/>
          <w:bCs/>
          <w:color w:val="000000" w:themeColor="text1"/>
          <w:sz w:val="28"/>
          <w:szCs w:val="28"/>
        </w:rPr>
        <w:t>AQBFMKSⅢ201900033</w:t>
      </w:r>
      <w:r>
        <w:rPr>
          <w:rFonts w:eastAsiaTheme="minorEastAsia" w:hint="eastAsia"/>
          <w:bCs/>
          <w:color w:val="000000" w:themeColor="text1"/>
          <w:sz w:val="28"/>
          <w:szCs w:val="28"/>
        </w:rPr>
        <w:t>，</w:t>
      </w:r>
      <w:r>
        <w:rPr>
          <w:rFonts w:eastAsiaTheme="minorEastAsia"/>
          <w:bCs/>
          <w:color w:val="000000" w:themeColor="text1"/>
          <w:sz w:val="28"/>
          <w:szCs w:val="28"/>
        </w:rPr>
        <w:t>有效期至</w:t>
      </w:r>
      <w:r>
        <w:rPr>
          <w:rFonts w:eastAsiaTheme="minorEastAsia"/>
          <w:bCs/>
          <w:color w:val="000000" w:themeColor="text1"/>
          <w:sz w:val="28"/>
          <w:szCs w:val="28"/>
        </w:rPr>
        <w:t>2022</w:t>
      </w:r>
      <w:r>
        <w:rPr>
          <w:rFonts w:eastAsiaTheme="minorEastAsia"/>
          <w:bCs/>
          <w:color w:val="000000" w:themeColor="text1"/>
          <w:sz w:val="28"/>
          <w:szCs w:val="28"/>
        </w:rPr>
        <w:t>年</w:t>
      </w:r>
      <w:r>
        <w:rPr>
          <w:rFonts w:eastAsiaTheme="minorEastAsia" w:hint="eastAsia"/>
          <w:bCs/>
          <w:color w:val="000000" w:themeColor="text1"/>
          <w:sz w:val="28"/>
          <w:szCs w:val="28"/>
        </w:rPr>
        <w:t>6</w:t>
      </w:r>
      <w:r>
        <w:rPr>
          <w:rFonts w:eastAsiaTheme="minorEastAsia"/>
          <w:bCs/>
          <w:color w:val="000000" w:themeColor="text1"/>
          <w:sz w:val="28"/>
          <w:szCs w:val="28"/>
        </w:rPr>
        <w:t>月。</w:t>
      </w:r>
    </w:p>
    <w:p w14:paraId="2EB08EEA"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2.1</w:t>
      </w:r>
      <w:r>
        <w:rPr>
          <w:rFonts w:eastAsia="黑体" w:hint="eastAsia"/>
          <w:b w:val="0"/>
          <w:snapToGrid w:val="0"/>
          <w:color w:val="000000" w:themeColor="text1"/>
          <w:kern w:val="0"/>
          <w:sz w:val="28"/>
          <w:szCs w:val="28"/>
        </w:rPr>
        <w:t>6</w:t>
      </w:r>
      <w:r>
        <w:rPr>
          <w:rFonts w:eastAsia="黑体"/>
          <w:b w:val="0"/>
          <w:snapToGrid w:val="0"/>
          <w:color w:val="000000" w:themeColor="text1"/>
          <w:kern w:val="0"/>
          <w:sz w:val="28"/>
          <w:szCs w:val="28"/>
        </w:rPr>
        <w:t>.</w:t>
      </w:r>
      <w:r>
        <w:rPr>
          <w:rFonts w:eastAsia="黑体" w:hint="eastAsia"/>
          <w:b w:val="0"/>
          <w:snapToGrid w:val="0"/>
          <w:color w:val="000000" w:themeColor="text1"/>
          <w:kern w:val="0"/>
          <w:sz w:val="28"/>
          <w:szCs w:val="28"/>
        </w:rPr>
        <w:t>2</w:t>
      </w:r>
      <w:r>
        <w:rPr>
          <w:rFonts w:eastAsia="黑体"/>
          <w:b w:val="0"/>
          <w:snapToGrid w:val="0"/>
          <w:color w:val="000000" w:themeColor="text1"/>
          <w:kern w:val="0"/>
          <w:sz w:val="28"/>
          <w:szCs w:val="28"/>
        </w:rPr>
        <w:t xml:space="preserve"> </w:t>
      </w:r>
      <w:r>
        <w:rPr>
          <w:rFonts w:eastAsia="黑体" w:hint="eastAsia"/>
          <w:b w:val="0"/>
          <w:snapToGrid w:val="0"/>
          <w:color w:val="000000" w:themeColor="text1"/>
          <w:kern w:val="0"/>
          <w:sz w:val="28"/>
          <w:szCs w:val="28"/>
        </w:rPr>
        <w:t>双重预防体系建设、运行</w:t>
      </w:r>
      <w:r>
        <w:rPr>
          <w:rFonts w:eastAsia="黑体"/>
          <w:b w:val="0"/>
          <w:snapToGrid w:val="0"/>
          <w:color w:val="000000" w:themeColor="text1"/>
          <w:kern w:val="0"/>
          <w:sz w:val="28"/>
          <w:szCs w:val="28"/>
        </w:rPr>
        <w:t>情况</w:t>
      </w:r>
    </w:p>
    <w:p w14:paraId="46677C47"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2019</w:t>
      </w:r>
      <w:r>
        <w:rPr>
          <w:color w:val="000000" w:themeColor="text1"/>
          <w:sz w:val="28"/>
          <w:szCs w:val="36"/>
        </w:rPr>
        <w:t>年</w:t>
      </w:r>
      <w:r>
        <w:rPr>
          <w:color w:val="000000" w:themeColor="text1"/>
          <w:sz w:val="28"/>
          <w:szCs w:val="36"/>
        </w:rPr>
        <w:t>4</w:t>
      </w:r>
      <w:r>
        <w:rPr>
          <w:color w:val="000000" w:themeColor="text1"/>
          <w:sz w:val="28"/>
          <w:szCs w:val="36"/>
        </w:rPr>
        <w:t>月，为进一步贯彻落实省政府办公厅《关于建立完善风险管控和隐患排查治理双重预防机制的通知》等文件精神，强化安全发展理念，创新安全管理模式，加强安全生产工作，有效减少和预防安全事故的发生，胜兴堵驱公司开始着手建设风险分级管控和隐患排查治理双重预防体系。</w:t>
      </w:r>
    </w:p>
    <w:p w14:paraId="0B177E65"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1</w:t>
      </w:r>
      <w:r>
        <w:rPr>
          <w:rFonts w:hint="eastAsia"/>
          <w:color w:val="000000" w:themeColor="text1"/>
          <w:sz w:val="28"/>
          <w:szCs w:val="36"/>
        </w:rPr>
        <w:t>.</w:t>
      </w:r>
      <w:r>
        <w:rPr>
          <w:color w:val="000000" w:themeColor="text1"/>
          <w:sz w:val="28"/>
          <w:szCs w:val="36"/>
        </w:rPr>
        <w:t>基础管理建设阶段</w:t>
      </w:r>
    </w:p>
    <w:p w14:paraId="1F58B0ED"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2019</w:t>
      </w:r>
      <w:r>
        <w:rPr>
          <w:color w:val="000000" w:themeColor="text1"/>
          <w:sz w:val="28"/>
          <w:szCs w:val="36"/>
        </w:rPr>
        <w:t>年</w:t>
      </w:r>
      <w:r>
        <w:rPr>
          <w:color w:val="000000" w:themeColor="text1"/>
          <w:sz w:val="28"/>
          <w:szCs w:val="36"/>
        </w:rPr>
        <w:t>4</w:t>
      </w:r>
      <w:r>
        <w:rPr>
          <w:color w:val="000000" w:themeColor="text1"/>
          <w:sz w:val="28"/>
          <w:szCs w:val="36"/>
        </w:rPr>
        <w:t>月初，胜兴堵驱公司建立双重预防体系建设组织机构，编制体系建设实施方案、考核奖惩制度等体系文件，制定全员培训计划并进行分层次、分阶段培训。</w:t>
      </w:r>
    </w:p>
    <w:p w14:paraId="28882B79"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w:t>
      </w:r>
      <w:r>
        <w:rPr>
          <w:rFonts w:hint="eastAsia"/>
          <w:color w:val="000000" w:themeColor="text1"/>
          <w:sz w:val="28"/>
          <w:szCs w:val="36"/>
        </w:rPr>
        <w:t>.</w:t>
      </w:r>
      <w:r>
        <w:rPr>
          <w:color w:val="000000" w:themeColor="text1"/>
          <w:sz w:val="28"/>
          <w:szCs w:val="36"/>
        </w:rPr>
        <w:t>风险分级管控体系建设阶段</w:t>
      </w:r>
    </w:p>
    <w:p w14:paraId="0AF87D5A"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2019</w:t>
      </w:r>
      <w:r>
        <w:rPr>
          <w:color w:val="000000" w:themeColor="text1"/>
          <w:sz w:val="28"/>
          <w:szCs w:val="36"/>
        </w:rPr>
        <w:t>年</w:t>
      </w:r>
      <w:r>
        <w:rPr>
          <w:color w:val="000000" w:themeColor="text1"/>
          <w:sz w:val="28"/>
          <w:szCs w:val="36"/>
        </w:rPr>
        <w:t>4</w:t>
      </w:r>
      <w:r>
        <w:rPr>
          <w:color w:val="000000" w:themeColor="text1"/>
          <w:sz w:val="28"/>
          <w:szCs w:val="36"/>
        </w:rPr>
        <w:t>月底至</w:t>
      </w:r>
      <w:r>
        <w:rPr>
          <w:color w:val="000000" w:themeColor="text1"/>
          <w:sz w:val="28"/>
          <w:szCs w:val="36"/>
        </w:rPr>
        <w:t>5</w:t>
      </w:r>
      <w:r>
        <w:rPr>
          <w:color w:val="000000" w:themeColor="text1"/>
          <w:sz w:val="28"/>
          <w:szCs w:val="36"/>
        </w:rPr>
        <w:t>月初，组织各单位进行风险分级管控体系建设，全方位进行风险点排查、确定，风险辨识分析、评价，编制工作危害分析（</w:t>
      </w:r>
      <w:r>
        <w:rPr>
          <w:color w:val="000000" w:themeColor="text1"/>
          <w:sz w:val="28"/>
          <w:szCs w:val="36"/>
        </w:rPr>
        <w:t>JHA</w:t>
      </w:r>
      <w:r>
        <w:rPr>
          <w:color w:val="000000" w:themeColor="text1"/>
          <w:sz w:val="28"/>
          <w:szCs w:val="36"/>
        </w:rPr>
        <w:t>）</w:t>
      </w:r>
      <w:r>
        <w:rPr>
          <w:color w:val="000000" w:themeColor="text1"/>
          <w:sz w:val="28"/>
          <w:szCs w:val="36"/>
        </w:rPr>
        <w:t>+</w:t>
      </w:r>
      <w:r>
        <w:rPr>
          <w:color w:val="000000" w:themeColor="text1"/>
          <w:sz w:val="28"/>
          <w:szCs w:val="36"/>
        </w:rPr>
        <w:t>评价记录和安全检查表分析（</w:t>
      </w:r>
      <w:r>
        <w:rPr>
          <w:color w:val="000000" w:themeColor="text1"/>
          <w:sz w:val="28"/>
          <w:szCs w:val="36"/>
        </w:rPr>
        <w:t>SCL</w:t>
      </w:r>
      <w:r>
        <w:rPr>
          <w:color w:val="000000" w:themeColor="text1"/>
          <w:sz w:val="28"/>
          <w:szCs w:val="36"/>
        </w:rPr>
        <w:t>）</w:t>
      </w:r>
      <w:r>
        <w:rPr>
          <w:color w:val="000000" w:themeColor="text1"/>
          <w:sz w:val="28"/>
          <w:szCs w:val="36"/>
        </w:rPr>
        <w:t>+</w:t>
      </w:r>
      <w:r>
        <w:rPr>
          <w:color w:val="000000" w:themeColor="text1"/>
          <w:sz w:val="28"/>
          <w:szCs w:val="36"/>
        </w:rPr>
        <w:t>评价记录。形成作业活动风险分级管控清单和设备设施风险分级管控清单。进</w:t>
      </w:r>
      <w:r>
        <w:rPr>
          <w:color w:val="000000" w:themeColor="text1"/>
          <w:sz w:val="28"/>
          <w:szCs w:val="36"/>
        </w:rPr>
        <w:lastRenderedPageBreak/>
        <w:t>行风险统计，编制风险点统计表和危险源统计表。</w:t>
      </w:r>
    </w:p>
    <w:p w14:paraId="79EDA89A"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3</w:t>
      </w:r>
      <w:r>
        <w:rPr>
          <w:rFonts w:hint="eastAsia"/>
          <w:color w:val="000000" w:themeColor="text1"/>
          <w:sz w:val="28"/>
          <w:szCs w:val="36"/>
        </w:rPr>
        <w:t>.</w:t>
      </w:r>
      <w:r>
        <w:rPr>
          <w:color w:val="000000" w:themeColor="text1"/>
          <w:sz w:val="28"/>
          <w:szCs w:val="36"/>
        </w:rPr>
        <w:t>评审阶段</w:t>
      </w:r>
    </w:p>
    <w:p w14:paraId="2D6A2404"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2019</w:t>
      </w:r>
      <w:r>
        <w:rPr>
          <w:color w:val="000000" w:themeColor="text1"/>
          <w:sz w:val="28"/>
          <w:szCs w:val="36"/>
        </w:rPr>
        <w:t>年</w:t>
      </w:r>
      <w:r>
        <w:rPr>
          <w:color w:val="000000" w:themeColor="text1"/>
          <w:sz w:val="28"/>
          <w:szCs w:val="36"/>
        </w:rPr>
        <w:t>5</w:t>
      </w:r>
      <w:r>
        <w:rPr>
          <w:color w:val="000000" w:themeColor="text1"/>
          <w:sz w:val="28"/>
          <w:szCs w:val="36"/>
        </w:rPr>
        <w:t>月，对双重预防体系制度、清单、分析评价记录、管控清单及管控措施进行审核，评审出的问题进行修订、整改。</w:t>
      </w:r>
    </w:p>
    <w:p w14:paraId="5BF481E5"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4</w:t>
      </w:r>
      <w:r>
        <w:rPr>
          <w:rFonts w:hint="eastAsia"/>
          <w:color w:val="000000" w:themeColor="text1"/>
          <w:sz w:val="28"/>
          <w:szCs w:val="36"/>
        </w:rPr>
        <w:t>.</w:t>
      </w:r>
      <w:r>
        <w:rPr>
          <w:color w:val="000000" w:themeColor="text1"/>
          <w:sz w:val="28"/>
          <w:szCs w:val="36"/>
        </w:rPr>
        <w:t>风险公示阶段</w:t>
      </w:r>
    </w:p>
    <w:p w14:paraId="4E28233B"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2019</w:t>
      </w:r>
      <w:r>
        <w:rPr>
          <w:color w:val="000000" w:themeColor="text1"/>
          <w:sz w:val="28"/>
          <w:szCs w:val="36"/>
        </w:rPr>
        <w:t>年</w:t>
      </w:r>
      <w:r>
        <w:rPr>
          <w:color w:val="000000" w:themeColor="text1"/>
          <w:sz w:val="28"/>
          <w:szCs w:val="36"/>
        </w:rPr>
        <w:t>5</w:t>
      </w:r>
      <w:r>
        <w:rPr>
          <w:color w:val="000000" w:themeColor="text1"/>
          <w:sz w:val="28"/>
          <w:szCs w:val="36"/>
        </w:rPr>
        <w:t>月，通过培训让每名员工都了解风险点的基本情况及防范、应急措施。对存在</w:t>
      </w:r>
      <w:r>
        <w:rPr>
          <w:color w:val="000000" w:themeColor="text1"/>
          <w:sz w:val="28"/>
          <w:szCs w:val="36"/>
        </w:rPr>
        <w:t>3</w:t>
      </w:r>
      <w:r>
        <w:rPr>
          <w:color w:val="000000" w:themeColor="text1"/>
          <w:sz w:val="28"/>
          <w:szCs w:val="36"/>
        </w:rPr>
        <w:t>级（含）以上安全生产风险的岗位设置告知卡，标明本岗位主要危险危害因素、后果、事故预防及应急措施、报告电话等内容。对可能导致事故的岗位，配置现场应急器材和撤离通道等。</w:t>
      </w:r>
    </w:p>
    <w:p w14:paraId="74DC5DA1"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5</w:t>
      </w:r>
      <w:r>
        <w:rPr>
          <w:rFonts w:hint="eastAsia"/>
          <w:color w:val="000000" w:themeColor="text1"/>
          <w:sz w:val="28"/>
          <w:szCs w:val="36"/>
        </w:rPr>
        <w:t>.</w:t>
      </w:r>
      <w:r>
        <w:rPr>
          <w:color w:val="000000" w:themeColor="text1"/>
          <w:sz w:val="28"/>
          <w:szCs w:val="36"/>
        </w:rPr>
        <w:t>隐患排查治理体系建设阶段</w:t>
      </w:r>
    </w:p>
    <w:p w14:paraId="4500E977"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2019</w:t>
      </w:r>
      <w:r>
        <w:rPr>
          <w:color w:val="000000" w:themeColor="text1"/>
          <w:sz w:val="28"/>
          <w:szCs w:val="36"/>
        </w:rPr>
        <w:t>年</w:t>
      </w:r>
      <w:r>
        <w:rPr>
          <w:color w:val="000000" w:themeColor="text1"/>
          <w:sz w:val="28"/>
          <w:szCs w:val="36"/>
        </w:rPr>
        <w:t>5</w:t>
      </w:r>
      <w:r>
        <w:rPr>
          <w:color w:val="000000" w:themeColor="text1"/>
          <w:sz w:val="28"/>
          <w:szCs w:val="36"/>
        </w:rPr>
        <w:t>月，针对各个风险点制订隐患排查治理制度、标准和清单，明确各部门、各岗位、各设备设施排查范围和要求，建立起全员参与、全岗位覆盖、全过程衔接的闭环管理隐患排查治理机制，实现隐患自查自改自报常态化。</w:t>
      </w:r>
    </w:p>
    <w:p w14:paraId="4F095D5C"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6</w:t>
      </w:r>
      <w:r>
        <w:rPr>
          <w:rFonts w:hint="eastAsia"/>
          <w:color w:val="000000" w:themeColor="text1"/>
          <w:sz w:val="28"/>
          <w:szCs w:val="36"/>
        </w:rPr>
        <w:t>.</w:t>
      </w:r>
      <w:r>
        <w:rPr>
          <w:color w:val="000000" w:themeColor="text1"/>
          <w:sz w:val="28"/>
          <w:szCs w:val="36"/>
        </w:rPr>
        <w:t>风险分级管控体系和隐患排查治理体系完善改进阶段</w:t>
      </w:r>
    </w:p>
    <w:p w14:paraId="354F782D"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2019</w:t>
      </w:r>
      <w:r>
        <w:rPr>
          <w:color w:val="000000" w:themeColor="text1"/>
          <w:sz w:val="28"/>
          <w:szCs w:val="36"/>
        </w:rPr>
        <w:t>年</w:t>
      </w:r>
      <w:r>
        <w:rPr>
          <w:color w:val="000000" w:themeColor="text1"/>
          <w:sz w:val="28"/>
          <w:szCs w:val="36"/>
        </w:rPr>
        <w:t>6</w:t>
      </w:r>
      <w:r>
        <w:rPr>
          <w:color w:val="000000" w:themeColor="text1"/>
          <w:sz w:val="28"/>
          <w:szCs w:val="36"/>
        </w:rPr>
        <w:t>月，根据风险分级管控体系和隐患排查治理体系评审结果，各部门对体系建设资料重新进行分析和审定，进行完善改进。</w:t>
      </w:r>
    </w:p>
    <w:p w14:paraId="44C22373"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7</w:t>
      </w:r>
      <w:r>
        <w:rPr>
          <w:rFonts w:hint="eastAsia"/>
          <w:color w:val="000000" w:themeColor="text1"/>
          <w:sz w:val="28"/>
          <w:szCs w:val="36"/>
        </w:rPr>
        <w:t>.</w:t>
      </w:r>
      <w:r>
        <w:rPr>
          <w:color w:val="000000" w:themeColor="text1"/>
          <w:sz w:val="28"/>
          <w:szCs w:val="36"/>
        </w:rPr>
        <w:t>验收评估阶段</w:t>
      </w:r>
    </w:p>
    <w:p w14:paraId="66D6C918"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2019</w:t>
      </w:r>
      <w:r>
        <w:rPr>
          <w:color w:val="000000" w:themeColor="text1"/>
          <w:sz w:val="28"/>
          <w:szCs w:val="36"/>
        </w:rPr>
        <w:t>年</w:t>
      </w:r>
      <w:r>
        <w:rPr>
          <w:color w:val="000000" w:themeColor="text1"/>
          <w:sz w:val="28"/>
          <w:szCs w:val="36"/>
        </w:rPr>
        <w:t>6</w:t>
      </w:r>
      <w:r>
        <w:rPr>
          <w:color w:val="000000" w:themeColor="text1"/>
          <w:sz w:val="28"/>
          <w:szCs w:val="36"/>
        </w:rPr>
        <w:t>月</w:t>
      </w:r>
      <w:r>
        <w:rPr>
          <w:color w:val="000000" w:themeColor="text1"/>
          <w:sz w:val="28"/>
          <w:szCs w:val="36"/>
        </w:rPr>
        <w:t>25</w:t>
      </w:r>
      <w:r>
        <w:rPr>
          <w:color w:val="000000" w:themeColor="text1"/>
          <w:sz w:val="28"/>
          <w:szCs w:val="36"/>
        </w:rPr>
        <w:t>日，从组织机构、体系文件、体系清单、培训资料、隐患台账、监督考核、现场公告等方面，胜兴堵驱公司全面完成了双重预防体系建设工作。聘请专业机构经过专家评估小组的检查，从资料到现场，胜兴堵驱公司得到评估小组认可，顺利通过验收。</w:t>
      </w:r>
    </w:p>
    <w:p w14:paraId="58ED8126"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8</w:t>
      </w:r>
      <w:r>
        <w:rPr>
          <w:rFonts w:hint="eastAsia"/>
          <w:color w:val="000000" w:themeColor="text1"/>
          <w:sz w:val="28"/>
          <w:szCs w:val="36"/>
        </w:rPr>
        <w:t>.</w:t>
      </w:r>
      <w:r>
        <w:rPr>
          <w:color w:val="000000" w:themeColor="text1"/>
          <w:sz w:val="28"/>
          <w:szCs w:val="36"/>
        </w:rPr>
        <w:t>正常运行阶段</w:t>
      </w:r>
    </w:p>
    <w:p w14:paraId="2A806A12"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lastRenderedPageBreak/>
        <w:t>2019</w:t>
      </w:r>
      <w:r>
        <w:rPr>
          <w:color w:val="000000" w:themeColor="text1"/>
          <w:sz w:val="28"/>
          <w:szCs w:val="36"/>
        </w:rPr>
        <w:t>年</w:t>
      </w:r>
      <w:r>
        <w:rPr>
          <w:color w:val="000000" w:themeColor="text1"/>
          <w:sz w:val="28"/>
          <w:szCs w:val="36"/>
        </w:rPr>
        <w:t>7</w:t>
      </w:r>
      <w:r>
        <w:rPr>
          <w:color w:val="000000" w:themeColor="text1"/>
          <w:sz w:val="28"/>
          <w:szCs w:val="36"/>
        </w:rPr>
        <w:t>月，胜兴堵驱公司全面推进、深化</w:t>
      </w:r>
      <w:r>
        <w:rPr>
          <w:rFonts w:hint="eastAsia"/>
          <w:color w:val="000000" w:themeColor="text1"/>
          <w:sz w:val="28"/>
          <w:szCs w:val="36"/>
        </w:rPr>
        <w:t>双重预防体系</w:t>
      </w:r>
      <w:r>
        <w:rPr>
          <w:color w:val="000000" w:themeColor="text1"/>
          <w:sz w:val="28"/>
          <w:szCs w:val="36"/>
        </w:rPr>
        <w:t>建设工作，形成较为完善的法规制度和标准体系，风险分级管控与隐患排查治理的机制、措施更加精准、有效，公司本质安全水平显著提高，事故防范和安全管理能力明显提升，</w:t>
      </w:r>
      <w:r>
        <w:rPr>
          <w:rFonts w:hint="eastAsia"/>
          <w:color w:val="000000" w:themeColor="text1"/>
          <w:sz w:val="28"/>
          <w:szCs w:val="36"/>
        </w:rPr>
        <w:t>双重预防体系</w:t>
      </w:r>
      <w:r>
        <w:rPr>
          <w:color w:val="000000" w:themeColor="text1"/>
          <w:sz w:val="28"/>
          <w:szCs w:val="36"/>
        </w:rPr>
        <w:t>建设任务完成。</w:t>
      </w:r>
    </w:p>
    <w:p w14:paraId="1B71F129" w14:textId="77777777" w:rsidR="002D2AF8" w:rsidRDefault="00000000">
      <w:pPr>
        <w:adjustRightInd w:val="0"/>
        <w:snapToGrid w:val="0"/>
        <w:spacing w:line="360" w:lineRule="auto"/>
        <w:ind w:firstLineChars="200" w:firstLine="566"/>
        <w:rPr>
          <w:color w:val="000000" w:themeColor="text1"/>
          <w:sz w:val="28"/>
          <w:szCs w:val="36"/>
        </w:rPr>
      </w:pPr>
      <w:r>
        <w:rPr>
          <w:color w:val="000000" w:themeColor="text1"/>
          <w:sz w:val="28"/>
          <w:szCs w:val="36"/>
        </w:rPr>
        <w:t>9</w:t>
      </w:r>
      <w:r>
        <w:rPr>
          <w:rFonts w:hint="eastAsia"/>
          <w:color w:val="000000" w:themeColor="text1"/>
          <w:sz w:val="28"/>
          <w:szCs w:val="36"/>
        </w:rPr>
        <w:t>.</w:t>
      </w:r>
      <w:r>
        <w:rPr>
          <w:color w:val="000000" w:themeColor="text1"/>
          <w:sz w:val="28"/>
          <w:szCs w:val="36"/>
        </w:rPr>
        <w:t>持续更新</w:t>
      </w:r>
    </w:p>
    <w:p w14:paraId="7D3D635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36"/>
        </w:rPr>
        <w:t>胜兴堵驱公司每年对风险分级管控和隐患排查治理双重预防体系进行一次系统性评审或更新，以确保其持续适宜性、充分性和有效性。评审包括体系改进的可能性和对体系进行修改的需求。适时开展危险源辨识和风险评价，隐患排查项目清单及时更新。保存评审记录，并对评审结果进行公示和公布。</w:t>
      </w:r>
    </w:p>
    <w:p w14:paraId="371922AD" w14:textId="77777777" w:rsidR="002D2AF8" w:rsidRDefault="00000000">
      <w:pPr>
        <w:jc w:val="left"/>
        <w:rPr>
          <w:color w:val="000000" w:themeColor="text1"/>
          <w:sz w:val="28"/>
          <w:szCs w:val="28"/>
        </w:rPr>
      </w:pPr>
      <w:r>
        <w:rPr>
          <w:color w:val="000000" w:themeColor="text1"/>
          <w:sz w:val="28"/>
          <w:szCs w:val="28"/>
        </w:rPr>
        <w:br w:type="page"/>
      </w:r>
    </w:p>
    <w:p w14:paraId="5A541C7D" w14:textId="77777777" w:rsidR="002D2AF8" w:rsidRDefault="00000000">
      <w:pPr>
        <w:adjustRightInd w:val="0"/>
        <w:snapToGrid w:val="0"/>
        <w:spacing w:line="360" w:lineRule="auto"/>
        <w:jc w:val="center"/>
        <w:outlineLvl w:val="0"/>
        <w:rPr>
          <w:rFonts w:eastAsia="楷体_GB2312"/>
          <w:b/>
          <w:color w:val="000000" w:themeColor="text1"/>
          <w:sz w:val="36"/>
          <w:szCs w:val="36"/>
        </w:rPr>
      </w:pPr>
      <w:bookmarkStart w:id="42" w:name="_Toc447782514"/>
      <w:bookmarkStart w:id="43" w:name="_Toc25732"/>
      <w:r>
        <w:rPr>
          <w:rFonts w:eastAsia="楷体_GB2312"/>
          <w:b/>
          <w:color w:val="000000" w:themeColor="text1"/>
          <w:sz w:val="36"/>
          <w:szCs w:val="36"/>
        </w:rPr>
        <w:lastRenderedPageBreak/>
        <w:t xml:space="preserve">3 </w:t>
      </w:r>
      <w:r>
        <w:rPr>
          <w:rFonts w:eastAsia="楷体_GB2312"/>
          <w:b/>
          <w:color w:val="000000" w:themeColor="text1"/>
          <w:sz w:val="36"/>
          <w:szCs w:val="36"/>
        </w:rPr>
        <w:t>主要危险、有害因素分析</w:t>
      </w:r>
      <w:bookmarkEnd w:id="42"/>
      <w:bookmarkEnd w:id="43"/>
    </w:p>
    <w:p w14:paraId="67D5D8D9"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44" w:name="_Toc447782515"/>
      <w:bookmarkStart w:id="45" w:name="_Toc16669"/>
      <w:bookmarkStart w:id="46" w:name="_Toc291144364"/>
      <w:bookmarkStart w:id="47" w:name="_Toc248650008"/>
      <w:bookmarkStart w:id="48" w:name="_Toc276394620"/>
      <w:r>
        <w:rPr>
          <w:rFonts w:ascii="Times New Roman" w:hAnsi="Times New Roman"/>
          <w:b w:val="0"/>
          <w:bCs/>
          <w:color w:val="000000" w:themeColor="text1"/>
          <w:szCs w:val="32"/>
        </w:rPr>
        <w:t xml:space="preserve">3.1 </w:t>
      </w:r>
      <w:r>
        <w:rPr>
          <w:rFonts w:ascii="Times New Roman" w:hAnsi="Times New Roman"/>
          <w:b w:val="0"/>
          <w:bCs/>
          <w:color w:val="000000" w:themeColor="text1"/>
          <w:szCs w:val="32"/>
        </w:rPr>
        <w:t>主要危险有害物质分析</w:t>
      </w:r>
      <w:bookmarkEnd w:id="44"/>
      <w:bookmarkEnd w:id="45"/>
      <w:bookmarkEnd w:id="46"/>
      <w:bookmarkEnd w:id="47"/>
      <w:bookmarkEnd w:id="48"/>
    </w:p>
    <w:p w14:paraId="11ECFD30"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调剖等项目，作业过程中涉及的主要危险、有害物质有原油、天然气、硫化氢、</w:t>
      </w:r>
      <w:r>
        <w:rPr>
          <w:rFonts w:hint="eastAsia"/>
          <w:color w:val="000000" w:themeColor="text1"/>
          <w:sz w:val="28"/>
          <w:szCs w:val="28"/>
        </w:rPr>
        <w:t>高压水、</w:t>
      </w:r>
      <w:r>
        <w:rPr>
          <w:color w:val="000000" w:themeColor="text1"/>
          <w:sz w:val="28"/>
          <w:szCs w:val="28"/>
        </w:rPr>
        <w:t>化学助剂等。化学助剂主要用于堵水</w:t>
      </w:r>
      <w:r>
        <w:rPr>
          <w:color w:val="000000" w:themeColor="text1"/>
          <w:sz w:val="28"/>
          <w:szCs w:val="28"/>
        </w:rPr>
        <w:t>/</w:t>
      </w:r>
      <w:r>
        <w:rPr>
          <w:color w:val="000000" w:themeColor="text1"/>
          <w:sz w:val="28"/>
          <w:szCs w:val="28"/>
        </w:rPr>
        <w:t>调剖，</w:t>
      </w:r>
      <w:r>
        <w:rPr>
          <w:rFonts w:hint="eastAsia"/>
          <w:color w:val="000000" w:themeColor="text1"/>
          <w:sz w:val="28"/>
          <w:szCs w:val="28"/>
        </w:rPr>
        <w:t>主要为高分子聚丙烯酰胺粉剂。化学助剂</w:t>
      </w:r>
      <w:r>
        <w:rPr>
          <w:color w:val="000000" w:themeColor="text1"/>
          <w:sz w:val="28"/>
          <w:szCs w:val="28"/>
        </w:rPr>
        <w:t>由甲方提供。</w:t>
      </w:r>
    </w:p>
    <w:p w14:paraId="4BB9D3AF"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szCs w:val="28"/>
        </w:rPr>
        <w:t>主要危险、有害物质的危险、危害特性如下：</w:t>
      </w:r>
    </w:p>
    <w:p w14:paraId="32FAB1B9"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3.1.1 </w:t>
      </w:r>
      <w:r>
        <w:rPr>
          <w:rFonts w:eastAsia="黑体"/>
          <w:bCs/>
          <w:snapToGrid w:val="0"/>
          <w:color w:val="000000" w:themeColor="text1"/>
          <w:kern w:val="0"/>
          <w:sz w:val="28"/>
          <w:szCs w:val="28"/>
        </w:rPr>
        <w:t>原油</w:t>
      </w:r>
    </w:p>
    <w:p w14:paraId="5680D52E"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原油是由各种烃类组成的一种复杂混合物，含有少量硫、氮、氧有机物及微量金属。外观是一种流动和半流动的粘稠液体，颜色大部分是暗色的（从褐色至深黑色），具有一定的火灾危险性。</w:t>
      </w:r>
    </w:p>
    <w:p w14:paraId="277F30C9"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原油的主要危险有害特性见下表。</w:t>
      </w:r>
    </w:p>
    <w:p w14:paraId="557F5826" w14:textId="77777777" w:rsidR="002D2AF8"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3-1 </w:t>
      </w:r>
      <w:r>
        <w:rPr>
          <w:b/>
          <w:bCs/>
          <w:color w:val="000000" w:themeColor="text1"/>
          <w:sz w:val="24"/>
        </w:rPr>
        <w:t>原油主要危险有害特性一览表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426"/>
        <w:gridCol w:w="707"/>
        <w:gridCol w:w="709"/>
        <w:gridCol w:w="569"/>
        <w:gridCol w:w="566"/>
        <w:gridCol w:w="1273"/>
        <w:gridCol w:w="477"/>
      </w:tblGrid>
      <w:tr w:rsidR="002D2AF8" w14:paraId="1FBACBC0" w14:textId="77777777">
        <w:trPr>
          <w:cantSplit/>
          <w:trHeight w:val="397"/>
          <w:jc w:val="center"/>
        </w:trPr>
        <w:tc>
          <w:tcPr>
            <w:tcW w:w="602" w:type="dxa"/>
            <w:vMerge w:val="restart"/>
            <w:vAlign w:val="center"/>
          </w:tcPr>
          <w:p w14:paraId="11658E70"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标识</w:t>
            </w:r>
          </w:p>
        </w:tc>
        <w:tc>
          <w:tcPr>
            <w:tcW w:w="1773" w:type="dxa"/>
            <w:vAlign w:val="center"/>
          </w:tcPr>
          <w:p w14:paraId="00160FF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中文名</w:t>
            </w:r>
          </w:p>
        </w:tc>
        <w:tc>
          <w:tcPr>
            <w:tcW w:w="1420" w:type="dxa"/>
            <w:vAlign w:val="center"/>
          </w:tcPr>
          <w:p w14:paraId="69704AA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原油</w:t>
            </w:r>
          </w:p>
        </w:tc>
        <w:tc>
          <w:tcPr>
            <w:tcW w:w="1842" w:type="dxa"/>
            <w:gridSpan w:val="3"/>
            <w:vAlign w:val="center"/>
          </w:tcPr>
          <w:p w14:paraId="13EDD30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CAS</w:t>
            </w:r>
          </w:p>
        </w:tc>
        <w:tc>
          <w:tcPr>
            <w:tcW w:w="2885" w:type="dxa"/>
            <w:gridSpan w:val="4"/>
            <w:vAlign w:val="center"/>
          </w:tcPr>
          <w:p w14:paraId="25C55E2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8002-05-9</w:t>
            </w:r>
          </w:p>
        </w:tc>
      </w:tr>
      <w:tr w:rsidR="002D2AF8" w14:paraId="0278E0C9" w14:textId="77777777">
        <w:trPr>
          <w:cantSplit/>
          <w:trHeight w:val="397"/>
          <w:jc w:val="center"/>
        </w:trPr>
        <w:tc>
          <w:tcPr>
            <w:tcW w:w="602" w:type="dxa"/>
            <w:vMerge/>
            <w:vAlign w:val="center"/>
          </w:tcPr>
          <w:p w14:paraId="5C2751B3"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B762EC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分子式</w:t>
            </w:r>
          </w:p>
        </w:tc>
        <w:tc>
          <w:tcPr>
            <w:tcW w:w="1420" w:type="dxa"/>
            <w:vAlign w:val="center"/>
          </w:tcPr>
          <w:p w14:paraId="2FED273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3"/>
            <w:vAlign w:val="center"/>
          </w:tcPr>
          <w:p w14:paraId="380729C0"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危险货物编号</w:t>
            </w:r>
          </w:p>
        </w:tc>
        <w:tc>
          <w:tcPr>
            <w:tcW w:w="2885" w:type="dxa"/>
            <w:gridSpan w:val="4"/>
            <w:vAlign w:val="center"/>
          </w:tcPr>
          <w:p w14:paraId="05D9756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32003</w:t>
            </w:r>
          </w:p>
        </w:tc>
      </w:tr>
      <w:tr w:rsidR="002D2AF8" w14:paraId="5E48B5A6" w14:textId="77777777">
        <w:trPr>
          <w:cantSplit/>
          <w:trHeight w:val="397"/>
          <w:jc w:val="center"/>
        </w:trPr>
        <w:tc>
          <w:tcPr>
            <w:tcW w:w="602" w:type="dxa"/>
            <w:vMerge/>
            <w:vAlign w:val="center"/>
          </w:tcPr>
          <w:p w14:paraId="72542AA0"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1F4316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分子量</w:t>
            </w:r>
          </w:p>
        </w:tc>
        <w:tc>
          <w:tcPr>
            <w:tcW w:w="1420" w:type="dxa"/>
            <w:vAlign w:val="center"/>
          </w:tcPr>
          <w:p w14:paraId="30179E1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3"/>
            <w:vAlign w:val="center"/>
          </w:tcPr>
          <w:p w14:paraId="1518031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UN</w:t>
            </w:r>
            <w:r>
              <w:rPr>
                <w:color w:val="000000" w:themeColor="text1"/>
                <w:szCs w:val="21"/>
              </w:rPr>
              <w:t>编号</w:t>
            </w:r>
          </w:p>
        </w:tc>
        <w:tc>
          <w:tcPr>
            <w:tcW w:w="2885" w:type="dxa"/>
            <w:gridSpan w:val="4"/>
            <w:vAlign w:val="center"/>
          </w:tcPr>
          <w:p w14:paraId="553B481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1267</w:t>
            </w:r>
          </w:p>
        </w:tc>
      </w:tr>
      <w:tr w:rsidR="002D2AF8" w14:paraId="1F90E62A" w14:textId="77777777">
        <w:trPr>
          <w:cantSplit/>
          <w:trHeight w:val="397"/>
          <w:jc w:val="center"/>
        </w:trPr>
        <w:tc>
          <w:tcPr>
            <w:tcW w:w="602" w:type="dxa"/>
            <w:vMerge w:val="restart"/>
            <w:vAlign w:val="center"/>
          </w:tcPr>
          <w:p w14:paraId="266D9CB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理化性质</w:t>
            </w:r>
          </w:p>
        </w:tc>
        <w:tc>
          <w:tcPr>
            <w:tcW w:w="1773" w:type="dxa"/>
            <w:vAlign w:val="center"/>
          </w:tcPr>
          <w:p w14:paraId="5621D22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外观性状</w:t>
            </w:r>
          </w:p>
        </w:tc>
        <w:tc>
          <w:tcPr>
            <w:tcW w:w="6147" w:type="dxa"/>
            <w:gridSpan w:val="8"/>
            <w:vAlign w:val="center"/>
          </w:tcPr>
          <w:p w14:paraId="6A88DCF0"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红色、红棕色或黑色有绿色荧光的稠厚性油状液体。</w:t>
            </w:r>
          </w:p>
        </w:tc>
      </w:tr>
      <w:tr w:rsidR="002D2AF8" w14:paraId="24DA4FFE" w14:textId="77777777">
        <w:trPr>
          <w:cantSplit/>
          <w:trHeight w:val="397"/>
          <w:jc w:val="center"/>
        </w:trPr>
        <w:tc>
          <w:tcPr>
            <w:tcW w:w="602" w:type="dxa"/>
            <w:vMerge/>
            <w:vAlign w:val="center"/>
          </w:tcPr>
          <w:p w14:paraId="14DAA03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241385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主要用途</w:t>
            </w:r>
          </w:p>
        </w:tc>
        <w:tc>
          <w:tcPr>
            <w:tcW w:w="6147" w:type="dxa"/>
            <w:gridSpan w:val="8"/>
            <w:vAlign w:val="center"/>
          </w:tcPr>
          <w:p w14:paraId="3B1B640E"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可分离出多种有机原料，如汽油，苯、煤油、沥青等。</w:t>
            </w:r>
          </w:p>
        </w:tc>
      </w:tr>
      <w:tr w:rsidR="002D2AF8" w14:paraId="37375CD6" w14:textId="77777777">
        <w:trPr>
          <w:cantSplit/>
          <w:trHeight w:val="397"/>
          <w:jc w:val="center"/>
        </w:trPr>
        <w:tc>
          <w:tcPr>
            <w:tcW w:w="602" w:type="dxa"/>
            <w:vMerge/>
            <w:vAlign w:val="center"/>
          </w:tcPr>
          <w:p w14:paraId="663B941E"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6AE42B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溶解性</w:t>
            </w:r>
          </w:p>
        </w:tc>
        <w:tc>
          <w:tcPr>
            <w:tcW w:w="6147" w:type="dxa"/>
            <w:gridSpan w:val="8"/>
            <w:vAlign w:val="center"/>
          </w:tcPr>
          <w:p w14:paraId="3642AEC4"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不溶于水，溶于多数有机溶剂。</w:t>
            </w:r>
          </w:p>
        </w:tc>
      </w:tr>
      <w:tr w:rsidR="002D2AF8" w14:paraId="3C33A6F0" w14:textId="77777777">
        <w:trPr>
          <w:cantSplit/>
          <w:trHeight w:val="397"/>
          <w:jc w:val="center"/>
        </w:trPr>
        <w:tc>
          <w:tcPr>
            <w:tcW w:w="602" w:type="dxa"/>
            <w:vMerge/>
            <w:vAlign w:val="center"/>
          </w:tcPr>
          <w:p w14:paraId="61F14A1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00B4581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14:paraId="21A3DD8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6</w:t>
            </w:r>
          </w:p>
        </w:tc>
        <w:tc>
          <w:tcPr>
            <w:tcW w:w="1842" w:type="dxa"/>
            <w:gridSpan w:val="3"/>
            <w:vAlign w:val="center"/>
          </w:tcPr>
          <w:p w14:paraId="2676F50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5" w:type="dxa"/>
            <w:gridSpan w:val="4"/>
            <w:vAlign w:val="center"/>
          </w:tcPr>
          <w:p w14:paraId="3CA25F6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2D2AF8" w14:paraId="10E61C06" w14:textId="77777777">
        <w:trPr>
          <w:cantSplit/>
          <w:trHeight w:val="397"/>
          <w:jc w:val="center"/>
        </w:trPr>
        <w:tc>
          <w:tcPr>
            <w:tcW w:w="602" w:type="dxa"/>
            <w:vMerge/>
            <w:vAlign w:val="center"/>
          </w:tcPr>
          <w:p w14:paraId="2498082D"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77E68A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14:paraId="4781EBB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自常温至</w:t>
            </w:r>
            <w:r>
              <w:rPr>
                <w:color w:val="000000" w:themeColor="text1"/>
                <w:szCs w:val="21"/>
              </w:rPr>
              <w:t>500℃</w:t>
            </w:r>
            <w:r>
              <w:rPr>
                <w:color w:val="000000" w:themeColor="text1"/>
                <w:szCs w:val="21"/>
              </w:rPr>
              <w:t>以上</w:t>
            </w:r>
          </w:p>
        </w:tc>
        <w:tc>
          <w:tcPr>
            <w:tcW w:w="1842" w:type="dxa"/>
            <w:gridSpan w:val="3"/>
            <w:vAlign w:val="center"/>
          </w:tcPr>
          <w:p w14:paraId="5E3CC0E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5" w:type="dxa"/>
            <w:gridSpan w:val="4"/>
            <w:vAlign w:val="center"/>
          </w:tcPr>
          <w:p w14:paraId="5BC0DCD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2D2AF8" w14:paraId="4C700ECF" w14:textId="77777777">
        <w:trPr>
          <w:cantSplit/>
          <w:trHeight w:val="397"/>
          <w:jc w:val="center"/>
        </w:trPr>
        <w:tc>
          <w:tcPr>
            <w:tcW w:w="602" w:type="dxa"/>
            <w:vMerge/>
            <w:vAlign w:val="center"/>
          </w:tcPr>
          <w:p w14:paraId="66CDD0D1"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00D0DC70"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14:paraId="67A5677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0.78</w:t>
            </w:r>
            <w:r>
              <w:rPr>
                <w:color w:val="000000" w:themeColor="text1"/>
                <w:szCs w:val="21"/>
              </w:rPr>
              <w:t>～</w:t>
            </w:r>
            <w:r>
              <w:rPr>
                <w:color w:val="000000" w:themeColor="text1"/>
                <w:szCs w:val="21"/>
              </w:rPr>
              <w:t>0.97</w:t>
            </w:r>
          </w:p>
        </w:tc>
        <w:tc>
          <w:tcPr>
            <w:tcW w:w="1842" w:type="dxa"/>
            <w:gridSpan w:val="3"/>
            <w:vAlign w:val="center"/>
          </w:tcPr>
          <w:p w14:paraId="4F80061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5" w:type="dxa"/>
            <w:gridSpan w:val="4"/>
            <w:vAlign w:val="center"/>
          </w:tcPr>
          <w:p w14:paraId="7D76AA4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2D2AF8" w14:paraId="4B1E4693" w14:textId="77777777">
        <w:trPr>
          <w:cantSplit/>
          <w:trHeight w:val="397"/>
          <w:jc w:val="center"/>
        </w:trPr>
        <w:tc>
          <w:tcPr>
            <w:tcW w:w="602" w:type="dxa"/>
            <w:vMerge/>
            <w:vAlign w:val="center"/>
          </w:tcPr>
          <w:p w14:paraId="01F4F5F1"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D8BD0C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相对密度（空气</w:t>
            </w:r>
            <w:r>
              <w:rPr>
                <w:color w:val="000000" w:themeColor="text1"/>
                <w:szCs w:val="21"/>
              </w:rPr>
              <w:t>=1</w:t>
            </w:r>
            <w:r>
              <w:rPr>
                <w:color w:val="000000" w:themeColor="text1"/>
                <w:szCs w:val="21"/>
              </w:rPr>
              <w:t>）</w:t>
            </w:r>
          </w:p>
        </w:tc>
        <w:tc>
          <w:tcPr>
            <w:tcW w:w="1420" w:type="dxa"/>
            <w:vAlign w:val="center"/>
          </w:tcPr>
          <w:p w14:paraId="67D44A6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3"/>
            <w:vAlign w:val="center"/>
          </w:tcPr>
          <w:p w14:paraId="5637AE3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5" w:type="dxa"/>
            <w:gridSpan w:val="4"/>
            <w:vAlign w:val="center"/>
          </w:tcPr>
          <w:p w14:paraId="3123F29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2D2AF8" w14:paraId="157FBF8A" w14:textId="77777777">
        <w:trPr>
          <w:cantSplit/>
          <w:trHeight w:val="397"/>
          <w:jc w:val="center"/>
        </w:trPr>
        <w:tc>
          <w:tcPr>
            <w:tcW w:w="602" w:type="dxa"/>
            <w:vMerge w:val="restart"/>
            <w:vAlign w:val="center"/>
          </w:tcPr>
          <w:p w14:paraId="6386465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燃烧爆炸危</w:t>
            </w:r>
            <w:r>
              <w:rPr>
                <w:color w:val="000000" w:themeColor="text1"/>
                <w:szCs w:val="21"/>
              </w:rPr>
              <w:lastRenderedPageBreak/>
              <w:t>险性</w:t>
            </w:r>
          </w:p>
        </w:tc>
        <w:tc>
          <w:tcPr>
            <w:tcW w:w="1773" w:type="dxa"/>
            <w:vAlign w:val="center"/>
          </w:tcPr>
          <w:p w14:paraId="3144BE9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燃烧性：</w:t>
            </w:r>
          </w:p>
        </w:tc>
        <w:tc>
          <w:tcPr>
            <w:tcW w:w="1420" w:type="dxa"/>
            <w:vAlign w:val="center"/>
          </w:tcPr>
          <w:p w14:paraId="3550519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可燃</w:t>
            </w:r>
          </w:p>
        </w:tc>
        <w:tc>
          <w:tcPr>
            <w:tcW w:w="1842" w:type="dxa"/>
            <w:gridSpan w:val="3"/>
            <w:vMerge w:val="restart"/>
            <w:vAlign w:val="center"/>
          </w:tcPr>
          <w:p w14:paraId="6555EFA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危险特性</w:t>
            </w:r>
          </w:p>
        </w:tc>
        <w:tc>
          <w:tcPr>
            <w:tcW w:w="2885" w:type="dxa"/>
            <w:gridSpan w:val="4"/>
            <w:vMerge w:val="restart"/>
            <w:vAlign w:val="center"/>
          </w:tcPr>
          <w:p w14:paraId="2CD8D568"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其蒸气与空气形成爆炸性混合物，遇明火、高热能引起燃烧爆炸。与氧化剂能发生强烈反应，若遇高热，容器内压增大，有开裂和爆炸的危险。</w:t>
            </w:r>
          </w:p>
        </w:tc>
      </w:tr>
      <w:tr w:rsidR="002D2AF8" w14:paraId="16EF74B6" w14:textId="77777777">
        <w:trPr>
          <w:cantSplit/>
          <w:trHeight w:val="397"/>
          <w:jc w:val="center"/>
        </w:trPr>
        <w:tc>
          <w:tcPr>
            <w:tcW w:w="602" w:type="dxa"/>
            <w:vMerge/>
            <w:vAlign w:val="center"/>
          </w:tcPr>
          <w:p w14:paraId="60E3D2EB"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F1F6DA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建规火险分级</w:t>
            </w:r>
          </w:p>
        </w:tc>
        <w:tc>
          <w:tcPr>
            <w:tcW w:w="1420" w:type="dxa"/>
            <w:vAlign w:val="center"/>
          </w:tcPr>
          <w:p w14:paraId="13BE187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3"/>
            <w:vMerge/>
            <w:vAlign w:val="center"/>
          </w:tcPr>
          <w:p w14:paraId="7EBDC95F" w14:textId="77777777" w:rsidR="002D2AF8" w:rsidRDefault="002D2AF8">
            <w:pPr>
              <w:adjustRightInd w:val="0"/>
              <w:snapToGrid w:val="0"/>
              <w:spacing w:beforeLines="20" w:before="65" w:afterLines="20" w:after="65"/>
              <w:jc w:val="center"/>
              <w:rPr>
                <w:color w:val="000000" w:themeColor="text1"/>
                <w:szCs w:val="21"/>
              </w:rPr>
            </w:pPr>
          </w:p>
        </w:tc>
        <w:tc>
          <w:tcPr>
            <w:tcW w:w="2885" w:type="dxa"/>
            <w:gridSpan w:val="4"/>
            <w:vMerge/>
            <w:vAlign w:val="center"/>
          </w:tcPr>
          <w:p w14:paraId="51E34589" w14:textId="77777777" w:rsidR="002D2AF8" w:rsidRDefault="002D2AF8">
            <w:pPr>
              <w:adjustRightInd w:val="0"/>
              <w:snapToGrid w:val="0"/>
              <w:spacing w:beforeLines="20" w:before="65" w:afterLines="20" w:after="65"/>
              <w:jc w:val="center"/>
              <w:rPr>
                <w:color w:val="000000" w:themeColor="text1"/>
                <w:szCs w:val="21"/>
              </w:rPr>
            </w:pPr>
          </w:p>
        </w:tc>
      </w:tr>
      <w:tr w:rsidR="002D2AF8" w14:paraId="4AF14E02" w14:textId="77777777">
        <w:trPr>
          <w:cantSplit/>
          <w:trHeight w:val="397"/>
          <w:jc w:val="center"/>
        </w:trPr>
        <w:tc>
          <w:tcPr>
            <w:tcW w:w="602" w:type="dxa"/>
            <w:vMerge/>
            <w:vAlign w:val="center"/>
          </w:tcPr>
          <w:p w14:paraId="7B5D18B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D8A4A4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14:paraId="7D511E6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20</w:t>
            </w:r>
            <w:r>
              <w:rPr>
                <w:color w:val="000000" w:themeColor="text1"/>
                <w:szCs w:val="21"/>
              </w:rPr>
              <w:t>～</w:t>
            </w:r>
            <w:r>
              <w:rPr>
                <w:color w:val="000000" w:themeColor="text1"/>
                <w:szCs w:val="21"/>
              </w:rPr>
              <w:t>100</w:t>
            </w:r>
          </w:p>
        </w:tc>
        <w:tc>
          <w:tcPr>
            <w:tcW w:w="1842" w:type="dxa"/>
            <w:gridSpan w:val="3"/>
            <w:vMerge/>
            <w:vAlign w:val="center"/>
          </w:tcPr>
          <w:p w14:paraId="2C081243" w14:textId="77777777" w:rsidR="002D2AF8" w:rsidRDefault="002D2AF8">
            <w:pPr>
              <w:adjustRightInd w:val="0"/>
              <w:snapToGrid w:val="0"/>
              <w:spacing w:beforeLines="20" w:before="65" w:afterLines="20" w:after="65"/>
              <w:jc w:val="center"/>
              <w:rPr>
                <w:color w:val="000000" w:themeColor="text1"/>
                <w:szCs w:val="21"/>
              </w:rPr>
            </w:pPr>
          </w:p>
        </w:tc>
        <w:tc>
          <w:tcPr>
            <w:tcW w:w="2885" w:type="dxa"/>
            <w:gridSpan w:val="4"/>
            <w:vMerge/>
            <w:vAlign w:val="center"/>
          </w:tcPr>
          <w:p w14:paraId="4CB15AB2" w14:textId="77777777" w:rsidR="002D2AF8" w:rsidRDefault="002D2AF8">
            <w:pPr>
              <w:adjustRightInd w:val="0"/>
              <w:snapToGrid w:val="0"/>
              <w:spacing w:beforeLines="20" w:before="65" w:afterLines="20" w:after="65"/>
              <w:jc w:val="center"/>
              <w:rPr>
                <w:color w:val="000000" w:themeColor="text1"/>
                <w:szCs w:val="21"/>
              </w:rPr>
            </w:pPr>
          </w:p>
        </w:tc>
      </w:tr>
      <w:tr w:rsidR="002D2AF8" w14:paraId="1E92C92D" w14:textId="77777777">
        <w:trPr>
          <w:cantSplit/>
          <w:trHeight w:val="397"/>
          <w:jc w:val="center"/>
        </w:trPr>
        <w:tc>
          <w:tcPr>
            <w:tcW w:w="602" w:type="dxa"/>
            <w:vMerge/>
            <w:vAlign w:val="center"/>
          </w:tcPr>
          <w:p w14:paraId="264A796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220DDC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14:paraId="11E9085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350</w:t>
            </w:r>
          </w:p>
        </w:tc>
        <w:tc>
          <w:tcPr>
            <w:tcW w:w="1842" w:type="dxa"/>
            <w:gridSpan w:val="3"/>
            <w:vMerge/>
            <w:vAlign w:val="center"/>
          </w:tcPr>
          <w:p w14:paraId="33F0C9EB" w14:textId="77777777" w:rsidR="002D2AF8" w:rsidRDefault="002D2AF8">
            <w:pPr>
              <w:adjustRightInd w:val="0"/>
              <w:snapToGrid w:val="0"/>
              <w:spacing w:beforeLines="20" w:before="65" w:afterLines="20" w:after="65"/>
              <w:jc w:val="center"/>
              <w:rPr>
                <w:color w:val="000000" w:themeColor="text1"/>
                <w:szCs w:val="21"/>
              </w:rPr>
            </w:pPr>
          </w:p>
        </w:tc>
        <w:tc>
          <w:tcPr>
            <w:tcW w:w="2885" w:type="dxa"/>
            <w:gridSpan w:val="4"/>
            <w:vMerge/>
            <w:vAlign w:val="center"/>
          </w:tcPr>
          <w:p w14:paraId="377F0294" w14:textId="77777777" w:rsidR="002D2AF8" w:rsidRDefault="002D2AF8">
            <w:pPr>
              <w:adjustRightInd w:val="0"/>
              <w:snapToGrid w:val="0"/>
              <w:spacing w:beforeLines="20" w:before="65" w:afterLines="20" w:after="65"/>
              <w:jc w:val="center"/>
              <w:rPr>
                <w:color w:val="000000" w:themeColor="text1"/>
                <w:szCs w:val="21"/>
              </w:rPr>
            </w:pPr>
          </w:p>
        </w:tc>
      </w:tr>
      <w:tr w:rsidR="002D2AF8" w14:paraId="42FC1AFD" w14:textId="77777777">
        <w:trPr>
          <w:cantSplit/>
          <w:trHeight w:val="397"/>
          <w:jc w:val="center"/>
        </w:trPr>
        <w:tc>
          <w:tcPr>
            <w:tcW w:w="602" w:type="dxa"/>
            <w:vMerge/>
            <w:vAlign w:val="center"/>
          </w:tcPr>
          <w:p w14:paraId="003C7BE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B6AC58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14:paraId="3A28C01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1.1</w:t>
            </w:r>
          </w:p>
        </w:tc>
        <w:tc>
          <w:tcPr>
            <w:tcW w:w="1842" w:type="dxa"/>
            <w:gridSpan w:val="3"/>
            <w:vMerge/>
            <w:vAlign w:val="center"/>
          </w:tcPr>
          <w:p w14:paraId="485EC1E5" w14:textId="77777777" w:rsidR="002D2AF8" w:rsidRDefault="002D2AF8">
            <w:pPr>
              <w:adjustRightInd w:val="0"/>
              <w:snapToGrid w:val="0"/>
              <w:spacing w:beforeLines="20" w:before="65" w:afterLines="20" w:after="65"/>
              <w:jc w:val="center"/>
              <w:rPr>
                <w:color w:val="000000" w:themeColor="text1"/>
                <w:szCs w:val="21"/>
              </w:rPr>
            </w:pPr>
          </w:p>
        </w:tc>
        <w:tc>
          <w:tcPr>
            <w:tcW w:w="2885" w:type="dxa"/>
            <w:gridSpan w:val="4"/>
            <w:vMerge/>
            <w:vAlign w:val="center"/>
          </w:tcPr>
          <w:p w14:paraId="76415238" w14:textId="77777777" w:rsidR="002D2AF8" w:rsidRDefault="002D2AF8">
            <w:pPr>
              <w:adjustRightInd w:val="0"/>
              <w:snapToGrid w:val="0"/>
              <w:spacing w:beforeLines="20" w:before="65" w:afterLines="20" w:after="65"/>
              <w:jc w:val="center"/>
              <w:rPr>
                <w:color w:val="000000" w:themeColor="text1"/>
                <w:szCs w:val="21"/>
              </w:rPr>
            </w:pPr>
          </w:p>
        </w:tc>
      </w:tr>
      <w:tr w:rsidR="002D2AF8" w14:paraId="6FA5F16A" w14:textId="77777777">
        <w:trPr>
          <w:cantSplit/>
          <w:trHeight w:val="397"/>
          <w:jc w:val="center"/>
        </w:trPr>
        <w:tc>
          <w:tcPr>
            <w:tcW w:w="602" w:type="dxa"/>
            <w:vMerge/>
            <w:vAlign w:val="center"/>
          </w:tcPr>
          <w:p w14:paraId="5CA4446F"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4E23F1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14:paraId="169A933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8.7</w:t>
            </w:r>
          </w:p>
        </w:tc>
        <w:tc>
          <w:tcPr>
            <w:tcW w:w="1842" w:type="dxa"/>
            <w:gridSpan w:val="3"/>
            <w:vAlign w:val="center"/>
          </w:tcPr>
          <w:p w14:paraId="430DB01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燃烧（分解）产物</w:t>
            </w:r>
          </w:p>
        </w:tc>
        <w:tc>
          <w:tcPr>
            <w:tcW w:w="2885" w:type="dxa"/>
            <w:gridSpan w:val="4"/>
            <w:vAlign w:val="center"/>
          </w:tcPr>
          <w:p w14:paraId="7F2954C4"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一氧化碳、二氧化碳。</w:t>
            </w:r>
          </w:p>
        </w:tc>
      </w:tr>
      <w:tr w:rsidR="002D2AF8" w14:paraId="60687777" w14:textId="77777777">
        <w:trPr>
          <w:cantSplit/>
          <w:trHeight w:val="397"/>
          <w:jc w:val="center"/>
        </w:trPr>
        <w:tc>
          <w:tcPr>
            <w:tcW w:w="602" w:type="dxa"/>
            <w:vMerge/>
            <w:vAlign w:val="center"/>
          </w:tcPr>
          <w:p w14:paraId="4C2B666B"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804FAE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稳定性</w:t>
            </w:r>
          </w:p>
        </w:tc>
        <w:tc>
          <w:tcPr>
            <w:tcW w:w="1420" w:type="dxa"/>
            <w:vAlign w:val="center"/>
          </w:tcPr>
          <w:p w14:paraId="321A363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稳定</w:t>
            </w:r>
          </w:p>
        </w:tc>
        <w:tc>
          <w:tcPr>
            <w:tcW w:w="1133" w:type="dxa"/>
            <w:gridSpan w:val="2"/>
            <w:vAlign w:val="center"/>
          </w:tcPr>
          <w:p w14:paraId="329E2AE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灭火方法</w:t>
            </w:r>
          </w:p>
        </w:tc>
        <w:tc>
          <w:tcPr>
            <w:tcW w:w="3594" w:type="dxa"/>
            <w:gridSpan w:val="5"/>
            <w:vAlign w:val="center"/>
          </w:tcPr>
          <w:p w14:paraId="78E0BABA"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泡沫、干粉、二氧化碳，砂土。</w:t>
            </w:r>
          </w:p>
        </w:tc>
      </w:tr>
      <w:tr w:rsidR="002D2AF8" w14:paraId="28E4533B" w14:textId="77777777">
        <w:trPr>
          <w:cantSplit/>
          <w:trHeight w:val="397"/>
          <w:jc w:val="center"/>
        </w:trPr>
        <w:tc>
          <w:tcPr>
            <w:tcW w:w="602" w:type="dxa"/>
            <w:vMerge/>
            <w:vAlign w:val="center"/>
          </w:tcPr>
          <w:p w14:paraId="22BC00DA"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1795EE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聚合危害</w:t>
            </w:r>
          </w:p>
        </w:tc>
        <w:tc>
          <w:tcPr>
            <w:tcW w:w="1420" w:type="dxa"/>
            <w:vAlign w:val="center"/>
          </w:tcPr>
          <w:p w14:paraId="483A5DC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不能出现</w:t>
            </w:r>
          </w:p>
        </w:tc>
        <w:tc>
          <w:tcPr>
            <w:tcW w:w="2411" w:type="dxa"/>
            <w:gridSpan w:val="4"/>
            <w:vAlign w:val="center"/>
          </w:tcPr>
          <w:p w14:paraId="022C1B9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禁忌物</w:t>
            </w:r>
          </w:p>
        </w:tc>
        <w:tc>
          <w:tcPr>
            <w:tcW w:w="2316" w:type="dxa"/>
            <w:gridSpan w:val="3"/>
            <w:vAlign w:val="center"/>
          </w:tcPr>
          <w:p w14:paraId="712B659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强氧化剂。</w:t>
            </w:r>
          </w:p>
        </w:tc>
      </w:tr>
      <w:tr w:rsidR="002D2AF8" w14:paraId="2702CE2A" w14:textId="77777777">
        <w:trPr>
          <w:cantSplit/>
          <w:trHeight w:val="397"/>
          <w:jc w:val="center"/>
        </w:trPr>
        <w:tc>
          <w:tcPr>
            <w:tcW w:w="602" w:type="dxa"/>
            <w:vMerge w:val="restart"/>
            <w:vAlign w:val="center"/>
          </w:tcPr>
          <w:p w14:paraId="5A59CA0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包装与储运</w:t>
            </w:r>
          </w:p>
        </w:tc>
        <w:tc>
          <w:tcPr>
            <w:tcW w:w="1773" w:type="dxa"/>
            <w:vAlign w:val="center"/>
          </w:tcPr>
          <w:p w14:paraId="41A89FA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危险性类别</w:t>
            </w:r>
          </w:p>
        </w:tc>
        <w:tc>
          <w:tcPr>
            <w:tcW w:w="1846" w:type="dxa"/>
            <w:gridSpan w:val="2"/>
            <w:vAlign w:val="center"/>
          </w:tcPr>
          <w:p w14:paraId="7D02729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该产品属于易燃液体，类别</w:t>
            </w:r>
            <w:r>
              <w:rPr>
                <w:color w:val="000000" w:themeColor="text1"/>
                <w:szCs w:val="21"/>
              </w:rPr>
              <w:t>3</w:t>
            </w:r>
          </w:p>
        </w:tc>
        <w:tc>
          <w:tcPr>
            <w:tcW w:w="1985" w:type="dxa"/>
            <w:gridSpan w:val="3"/>
            <w:vAlign w:val="center"/>
          </w:tcPr>
          <w:p w14:paraId="61F39E7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危险货物包装标志</w:t>
            </w:r>
          </w:p>
        </w:tc>
        <w:tc>
          <w:tcPr>
            <w:tcW w:w="566" w:type="dxa"/>
            <w:vAlign w:val="center"/>
          </w:tcPr>
          <w:p w14:paraId="5A1231E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7</w:t>
            </w:r>
          </w:p>
        </w:tc>
        <w:tc>
          <w:tcPr>
            <w:tcW w:w="1273" w:type="dxa"/>
            <w:vAlign w:val="center"/>
          </w:tcPr>
          <w:p w14:paraId="0710AD5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包装类别</w:t>
            </w:r>
          </w:p>
        </w:tc>
        <w:tc>
          <w:tcPr>
            <w:tcW w:w="477" w:type="dxa"/>
            <w:vAlign w:val="center"/>
          </w:tcPr>
          <w:p w14:paraId="25D63D8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Ⅰ</w:t>
            </w:r>
          </w:p>
        </w:tc>
      </w:tr>
      <w:tr w:rsidR="002D2AF8" w14:paraId="0A596709" w14:textId="77777777">
        <w:trPr>
          <w:cantSplit/>
          <w:trHeight w:val="2175"/>
          <w:jc w:val="center"/>
        </w:trPr>
        <w:tc>
          <w:tcPr>
            <w:tcW w:w="602" w:type="dxa"/>
            <w:vMerge/>
            <w:vAlign w:val="center"/>
          </w:tcPr>
          <w:p w14:paraId="31ABF999"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D934258"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储运注意事项：</w:t>
            </w:r>
          </w:p>
        </w:tc>
        <w:tc>
          <w:tcPr>
            <w:tcW w:w="6147" w:type="dxa"/>
            <w:gridSpan w:val="8"/>
            <w:vAlign w:val="center"/>
          </w:tcPr>
          <w:p w14:paraId="0564E2B2"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储存于阴凉、通风仓间内。远寓火种、热源。仓温不宜超过</w:t>
            </w:r>
            <w:r>
              <w:rPr>
                <w:color w:val="000000" w:themeColor="text1"/>
                <w:szCs w:val="21"/>
              </w:rPr>
              <w:t>30℃</w:t>
            </w:r>
            <w:r>
              <w:rPr>
                <w:color w:val="000000" w:themeColor="text1"/>
                <w:szCs w:val="21"/>
              </w:rPr>
              <w:t>。保持容器密封。应与氧化剂、酸类分开存放。储存间内的照明、通风等设施应采用防爆型，开关设在仓外。配备相应品种和数量的消防器材。罐储时要有防火防爆技术措施。禁止使用易产生火花的机械设备和工具。灌装时应注意流速（不超过</w:t>
            </w:r>
            <w:r>
              <w:rPr>
                <w:color w:val="000000" w:themeColor="text1"/>
                <w:szCs w:val="21"/>
              </w:rPr>
              <w:t>3m/s</w:t>
            </w:r>
            <w:r>
              <w:rPr>
                <w:color w:val="000000" w:themeColor="text1"/>
                <w:szCs w:val="21"/>
              </w:rPr>
              <w:t>），且有接地装置，防止静电积聚。搬运时要轻装轻卸，防止包装及容器损坏。</w:t>
            </w:r>
          </w:p>
        </w:tc>
      </w:tr>
      <w:tr w:rsidR="002D2AF8" w14:paraId="2FCEFB00" w14:textId="77777777">
        <w:trPr>
          <w:cantSplit/>
          <w:trHeight w:val="397"/>
          <w:jc w:val="center"/>
        </w:trPr>
        <w:tc>
          <w:tcPr>
            <w:tcW w:w="602" w:type="dxa"/>
            <w:vMerge w:val="restart"/>
            <w:vAlign w:val="center"/>
          </w:tcPr>
          <w:p w14:paraId="22D289B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毒性与健康危害性</w:t>
            </w:r>
          </w:p>
        </w:tc>
        <w:tc>
          <w:tcPr>
            <w:tcW w:w="1773" w:type="dxa"/>
            <w:vAlign w:val="center"/>
          </w:tcPr>
          <w:p w14:paraId="01FA8D0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接触限值</w:t>
            </w:r>
          </w:p>
        </w:tc>
        <w:tc>
          <w:tcPr>
            <w:tcW w:w="6147" w:type="dxa"/>
            <w:gridSpan w:val="8"/>
            <w:vAlign w:val="center"/>
          </w:tcPr>
          <w:p w14:paraId="0400DA9A"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2D2AF8" w14:paraId="2F3D8031" w14:textId="77777777">
        <w:trPr>
          <w:cantSplit/>
          <w:trHeight w:val="397"/>
          <w:jc w:val="center"/>
        </w:trPr>
        <w:tc>
          <w:tcPr>
            <w:tcW w:w="602" w:type="dxa"/>
            <w:vMerge/>
            <w:vAlign w:val="center"/>
          </w:tcPr>
          <w:p w14:paraId="327FEA2F"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047EAB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毒性</w:t>
            </w:r>
          </w:p>
        </w:tc>
        <w:tc>
          <w:tcPr>
            <w:tcW w:w="6147" w:type="dxa"/>
            <w:gridSpan w:val="8"/>
            <w:vAlign w:val="center"/>
          </w:tcPr>
          <w:p w14:paraId="12039A27"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LD</w:t>
            </w:r>
            <w:r>
              <w:rPr>
                <w:color w:val="000000" w:themeColor="text1"/>
                <w:szCs w:val="21"/>
                <w:vertAlign w:val="subscript"/>
              </w:rPr>
              <w:t>50</w:t>
            </w:r>
            <w:r>
              <w:rPr>
                <w:color w:val="000000" w:themeColor="text1"/>
                <w:szCs w:val="21"/>
              </w:rPr>
              <w:t>：</w:t>
            </w:r>
            <w:r>
              <w:rPr>
                <w:color w:val="000000" w:themeColor="text1"/>
                <w:szCs w:val="21"/>
              </w:rPr>
              <w:t>500</w:t>
            </w:r>
            <w:r>
              <w:rPr>
                <w:color w:val="000000" w:themeColor="text1"/>
                <w:szCs w:val="21"/>
              </w:rPr>
              <w:t>～</w:t>
            </w:r>
            <w:r>
              <w:rPr>
                <w:color w:val="000000" w:themeColor="text1"/>
                <w:szCs w:val="21"/>
              </w:rPr>
              <w:t>5000mg/kg</w:t>
            </w:r>
            <w:r>
              <w:rPr>
                <w:color w:val="000000" w:themeColor="text1"/>
                <w:szCs w:val="21"/>
              </w:rPr>
              <w:t>（哺乳动物吸入）</w:t>
            </w:r>
          </w:p>
        </w:tc>
      </w:tr>
      <w:tr w:rsidR="002D2AF8" w14:paraId="4F91E01A" w14:textId="77777777">
        <w:trPr>
          <w:cantSplit/>
          <w:trHeight w:val="397"/>
          <w:jc w:val="center"/>
        </w:trPr>
        <w:tc>
          <w:tcPr>
            <w:tcW w:w="602" w:type="dxa"/>
            <w:vMerge/>
            <w:vAlign w:val="center"/>
          </w:tcPr>
          <w:p w14:paraId="656BB037"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F5414B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健康危害</w:t>
            </w:r>
          </w:p>
        </w:tc>
        <w:tc>
          <w:tcPr>
            <w:tcW w:w="6147" w:type="dxa"/>
            <w:gridSpan w:val="8"/>
            <w:vAlign w:val="center"/>
          </w:tcPr>
          <w:p w14:paraId="07AB3EB8"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原油蒸气可引起眼及上呼吸道刺激症状，如浓度过高，几分钟即可引起呼吸困难、紫绀等缺氧症状。</w:t>
            </w:r>
          </w:p>
        </w:tc>
      </w:tr>
      <w:tr w:rsidR="002D2AF8" w14:paraId="78AF350E" w14:textId="77777777">
        <w:trPr>
          <w:cantSplit/>
          <w:trHeight w:val="397"/>
          <w:jc w:val="center"/>
        </w:trPr>
        <w:tc>
          <w:tcPr>
            <w:tcW w:w="602" w:type="dxa"/>
            <w:vMerge/>
            <w:vAlign w:val="center"/>
          </w:tcPr>
          <w:p w14:paraId="2A4F1552"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6F1B66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侵入途径</w:t>
            </w:r>
          </w:p>
        </w:tc>
        <w:tc>
          <w:tcPr>
            <w:tcW w:w="6147" w:type="dxa"/>
            <w:gridSpan w:val="8"/>
            <w:vAlign w:val="center"/>
          </w:tcPr>
          <w:p w14:paraId="71EEFEBB"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吸入、食入</w:t>
            </w:r>
          </w:p>
        </w:tc>
      </w:tr>
      <w:tr w:rsidR="002D2AF8" w14:paraId="05060897" w14:textId="77777777">
        <w:trPr>
          <w:cantSplit/>
          <w:trHeight w:val="397"/>
          <w:jc w:val="center"/>
        </w:trPr>
        <w:tc>
          <w:tcPr>
            <w:tcW w:w="602" w:type="dxa"/>
            <w:vMerge w:val="restart"/>
            <w:vAlign w:val="center"/>
          </w:tcPr>
          <w:p w14:paraId="7493544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急救</w:t>
            </w:r>
          </w:p>
        </w:tc>
        <w:tc>
          <w:tcPr>
            <w:tcW w:w="1773" w:type="dxa"/>
            <w:vAlign w:val="center"/>
          </w:tcPr>
          <w:p w14:paraId="5315A4F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皮肤接触</w:t>
            </w:r>
          </w:p>
        </w:tc>
        <w:tc>
          <w:tcPr>
            <w:tcW w:w="6147" w:type="dxa"/>
            <w:gridSpan w:val="8"/>
            <w:vAlign w:val="center"/>
          </w:tcPr>
          <w:p w14:paraId="0066DBAC"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脱去污染的衣着，用肥皂水及清水彻底冲洗。</w:t>
            </w:r>
          </w:p>
        </w:tc>
      </w:tr>
      <w:tr w:rsidR="002D2AF8" w14:paraId="509BDDC9" w14:textId="77777777">
        <w:trPr>
          <w:cantSplit/>
          <w:trHeight w:val="397"/>
          <w:jc w:val="center"/>
        </w:trPr>
        <w:tc>
          <w:tcPr>
            <w:tcW w:w="602" w:type="dxa"/>
            <w:vMerge/>
            <w:vAlign w:val="center"/>
          </w:tcPr>
          <w:p w14:paraId="538437B0"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25930F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眼睛接触</w:t>
            </w:r>
          </w:p>
        </w:tc>
        <w:tc>
          <w:tcPr>
            <w:tcW w:w="6147" w:type="dxa"/>
            <w:gridSpan w:val="8"/>
            <w:vAlign w:val="center"/>
          </w:tcPr>
          <w:p w14:paraId="02B7649F"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立即提起眼睑，用流动清水冲洗。</w:t>
            </w:r>
          </w:p>
        </w:tc>
      </w:tr>
      <w:tr w:rsidR="002D2AF8" w14:paraId="02B56D7B" w14:textId="77777777">
        <w:trPr>
          <w:cantSplit/>
          <w:trHeight w:val="397"/>
          <w:jc w:val="center"/>
        </w:trPr>
        <w:tc>
          <w:tcPr>
            <w:tcW w:w="602" w:type="dxa"/>
            <w:vMerge/>
            <w:vAlign w:val="center"/>
          </w:tcPr>
          <w:p w14:paraId="06984071"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9ECE00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吸入</w:t>
            </w:r>
          </w:p>
        </w:tc>
        <w:tc>
          <w:tcPr>
            <w:tcW w:w="6147" w:type="dxa"/>
            <w:gridSpan w:val="8"/>
            <w:vAlign w:val="center"/>
          </w:tcPr>
          <w:p w14:paraId="2F5C4AFC"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迅速脱离现场至空气新鲜处。注意保暖，呼吸困难时给输氧。呼吸停止时，立即进行人工呼吸。就医。</w:t>
            </w:r>
          </w:p>
        </w:tc>
      </w:tr>
      <w:tr w:rsidR="002D2AF8" w14:paraId="15EB2EC5" w14:textId="77777777">
        <w:trPr>
          <w:cantSplit/>
          <w:trHeight w:val="397"/>
          <w:jc w:val="center"/>
        </w:trPr>
        <w:tc>
          <w:tcPr>
            <w:tcW w:w="602" w:type="dxa"/>
            <w:vMerge/>
            <w:vAlign w:val="center"/>
          </w:tcPr>
          <w:p w14:paraId="0535C98D"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B81CCB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食入</w:t>
            </w:r>
          </w:p>
        </w:tc>
        <w:tc>
          <w:tcPr>
            <w:tcW w:w="6147" w:type="dxa"/>
            <w:gridSpan w:val="8"/>
            <w:vAlign w:val="center"/>
          </w:tcPr>
          <w:p w14:paraId="3D984711"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误服者给充分漱口、饮水，就医。</w:t>
            </w:r>
          </w:p>
        </w:tc>
      </w:tr>
      <w:tr w:rsidR="002D2AF8" w14:paraId="61B991C3" w14:textId="77777777">
        <w:trPr>
          <w:cantSplit/>
          <w:trHeight w:val="397"/>
          <w:jc w:val="center"/>
        </w:trPr>
        <w:tc>
          <w:tcPr>
            <w:tcW w:w="602" w:type="dxa"/>
            <w:vMerge w:val="restart"/>
            <w:vAlign w:val="center"/>
          </w:tcPr>
          <w:p w14:paraId="7A6DFC00"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防护措施</w:t>
            </w:r>
          </w:p>
        </w:tc>
        <w:tc>
          <w:tcPr>
            <w:tcW w:w="1773" w:type="dxa"/>
            <w:vAlign w:val="center"/>
          </w:tcPr>
          <w:p w14:paraId="6869944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工程控制</w:t>
            </w:r>
          </w:p>
        </w:tc>
        <w:tc>
          <w:tcPr>
            <w:tcW w:w="6147" w:type="dxa"/>
            <w:gridSpan w:val="8"/>
            <w:vAlign w:val="center"/>
          </w:tcPr>
          <w:p w14:paraId="356AEAAC"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生产过程密闭，全面通风。</w:t>
            </w:r>
          </w:p>
        </w:tc>
      </w:tr>
      <w:tr w:rsidR="002D2AF8" w14:paraId="1C374CEA" w14:textId="77777777">
        <w:trPr>
          <w:cantSplit/>
          <w:trHeight w:val="397"/>
          <w:jc w:val="center"/>
        </w:trPr>
        <w:tc>
          <w:tcPr>
            <w:tcW w:w="602" w:type="dxa"/>
            <w:vMerge/>
            <w:vAlign w:val="center"/>
          </w:tcPr>
          <w:p w14:paraId="2719D86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58FDD3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呼吸系统防护</w:t>
            </w:r>
          </w:p>
        </w:tc>
        <w:tc>
          <w:tcPr>
            <w:tcW w:w="6147" w:type="dxa"/>
            <w:gridSpan w:val="8"/>
            <w:vAlign w:val="center"/>
          </w:tcPr>
          <w:p w14:paraId="1B26026A"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高浓度环境中，应该佩带防毒口罩。必要时建议佩带自给式呼吸器。</w:t>
            </w:r>
          </w:p>
        </w:tc>
      </w:tr>
      <w:tr w:rsidR="002D2AF8" w14:paraId="7868814D" w14:textId="77777777">
        <w:trPr>
          <w:cantSplit/>
          <w:trHeight w:val="397"/>
          <w:jc w:val="center"/>
        </w:trPr>
        <w:tc>
          <w:tcPr>
            <w:tcW w:w="602" w:type="dxa"/>
            <w:vMerge/>
            <w:vAlign w:val="center"/>
          </w:tcPr>
          <w:p w14:paraId="108E6D86"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430C703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眼睛防护</w:t>
            </w:r>
          </w:p>
        </w:tc>
        <w:tc>
          <w:tcPr>
            <w:tcW w:w="6147" w:type="dxa"/>
            <w:gridSpan w:val="8"/>
            <w:vAlign w:val="center"/>
          </w:tcPr>
          <w:p w14:paraId="4F39D335"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戴安全防护眼镜。</w:t>
            </w:r>
          </w:p>
        </w:tc>
      </w:tr>
      <w:tr w:rsidR="002D2AF8" w14:paraId="32524E17" w14:textId="77777777">
        <w:trPr>
          <w:cantSplit/>
          <w:trHeight w:val="397"/>
          <w:jc w:val="center"/>
        </w:trPr>
        <w:tc>
          <w:tcPr>
            <w:tcW w:w="602" w:type="dxa"/>
            <w:vMerge/>
            <w:vAlign w:val="center"/>
          </w:tcPr>
          <w:p w14:paraId="5C355A23"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05CFD19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防护服</w:t>
            </w:r>
          </w:p>
        </w:tc>
        <w:tc>
          <w:tcPr>
            <w:tcW w:w="6147" w:type="dxa"/>
            <w:gridSpan w:val="8"/>
            <w:vAlign w:val="center"/>
          </w:tcPr>
          <w:p w14:paraId="10A8AF1B"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穿相应的防护服。</w:t>
            </w:r>
          </w:p>
        </w:tc>
      </w:tr>
      <w:tr w:rsidR="002D2AF8" w14:paraId="2715BEA2" w14:textId="77777777">
        <w:trPr>
          <w:cantSplit/>
          <w:trHeight w:val="397"/>
          <w:jc w:val="center"/>
        </w:trPr>
        <w:tc>
          <w:tcPr>
            <w:tcW w:w="602" w:type="dxa"/>
            <w:vMerge/>
            <w:vAlign w:val="center"/>
          </w:tcPr>
          <w:p w14:paraId="1A8A9370"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146E350"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手防护</w:t>
            </w:r>
          </w:p>
        </w:tc>
        <w:tc>
          <w:tcPr>
            <w:tcW w:w="6147" w:type="dxa"/>
            <w:gridSpan w:val="8"/>
            <w:vAlign w:val="center"/>
          </w:tcPr>
          <w:p w14:paraId="278B53AC"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戴防护手套。</w:t>
            </w:r>
          </w:p>
        </w:tc>
      </w:tr>
      <w:tr w:rsidR="002D2AF8" w14:paraId="274CD7A8" w14:textId="77777777">
        <w:trPr>
          <w:cantSplit/>
          <w:trHeight w:val="565"/>
          <w:jc w:val="center"/>
        </w:trPr>
        <w:tc>
          <w:tcPr>
            <w:tcW w:w="602" w:type="dxa"/>
            <w:vMerge/>
            <w:vAlign w:val="center"/>
          </w:tcPr>
          <w:p w14:paraId="083F1BD4"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81B58B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其它</w:t>
            </w:r>
          </w:p>
        </w:tc>
        <w:tc>
          <w:tcPr>
            <w:tcW w:w="6147" w:type="dxa"/>
            <w:gridSpan w:val="8"/>
            <w:vAlign w:val="center"/>
          </w:tcPr>
          <w:p w14:paraId="4C27A0B3"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工作现场严禁吸烟。工作后，淋浴更衣。注意个人清洁卫生。</w:t>
            </w:r>
          </w:p>
        </w:tc>
      </w:tr>
      <w:tr w:rsidR="002D2AF8" w14:paraId="38A1C923" w14:textId="77777777">
        <w:trPr>
          <w:cantSplit/>
          <w:trHeight w:val="1801"/>
          <w:jc w:val="center"/>
        </w:trPr>
        <w:tc>
          <w:tcPr>
            <w:tcW w:w="602" w:type="dxa"/>
            <w:vAlign w:val="center"/>
          </w:tcPr>
          <w:p w14:paraId="49FA1FB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泄漏处置</w:t>
            </w:r>
          </w:p>
        </w:tc>
        <w:tc>
          <w:tcPr>
            <w:tcW w:w="7920" w:type="dxa"/>
            <w:gridSpan w:val="9"/>
            <w:vAlign w:val="center"/>
          </w:tcPr>
          <w:p w14:paraId="1B9EDD70"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疏散泄漏污染区人员至安全区，禁止无关人员进入污染区，切断火源。建议应急处理人员戴自给式呼吸器，穿一般消防防护服。在确保安全情况下堵漏。喷水雾会减少蒸发，但不能降低泄漏物在受限制空间内的易燃性。用沙土、蛭石或其它惰性材料吸收，然后收集运至空旷的地方掩埋；蒸发、或焚烧。如大量泄漏，利用围堤收容，然后收集、转移、回收或无害处理后废弃。</w:t>
            </w:r>
          </w:p>
        </w:tc>
      </w:tr>
    </w:tbl>
    <w:p w14:paraId="31AE0714" w14:textId="77777777" w:rsidR="002D2AF8" w:rsidRDefault="00000000">
      <w:pPr>
        <w:adjustRightInd w:val="0"/>
        <w:snapToGrid w:val="0"/>
        <w:spacing w:beforeLines="50" w:before="162"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lastRenderedPageBreak/>
        <w:t xml:space="preserve">3.1.2 </w:t>
      </w:r>
      <w:r>
        <w:rPr>
          <w:rFonts w:eastAsia="黑体"/>
          <w:bCs/>
          <w:snapToGrid w:val="0"/>
          <w:color w:val="000000" w:themeColor="text1"/>
          <w:kern w:val="0"/>
          <w:sz w:val="28"/>
          <w:szCs w:val="28"/>
        </w:rPr>
        <w:t>天然气</w:t>
      </w:r>
    </w:p>
    <w:p w14:paraId="7C52490D"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天然气的成分主要为低分子量的烷烃（如甲烷、乙烷）组成的混合物，不含硫化氢，其他成分含量低。根据《石油天然气工程设计防火规范》（</w:t>
      </w:r>
      <w:r>
        <w:rPr>
          <w:color w:val="000000" w:themeColor="text1"/>
          <w:sz w:val="28"/>
          <w:szCs w:val="28"/>
        </w:rPr>
        <w:t>GB50183-2004</w:t>
      </w:r>
      <w:r>
        <w:rPr>
          <w:color w:val="000000" w:themeColor="text1"/>
          <w:sz w:val="28"/>
          <w:szCs w:val="28"/>
        </w:rPr>
        <w:t>），一般天然气的火灾危险性类别为甲</w:t>
      </w:r>
      <w:r>
        <w:rPr>
          <w:color w:val="000000" w:themeColor="text1"/>
          <w:sz w:val="28"/>
          <w:szCs w:val="28"/>
          <w:vertAlign w:val="subscript"/>
        </w:rPr>
        <w:t>B</w:t>
      </w:r>
      <w:r>
        <w:rPr>
          <w:color w:val="000000" w:themeColor="text1"/>
          <w:sz w:val="28"/>
          <w:szCs w:val="28"/>
        </w:rPr>
        <w:t>类，属易燃、易爆性物质。其爆炸极限范围较宽，一旦泄漏，很容易与空气形成爆炸性气体混合物，遇火源极易发生燃爆。</w:t>
      </w:r>
    </w:p>
    <w:p w14:paraId="7BC9802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的主要成分均属无毒、低毒或微毒，主要侵入途径是呼吸道、皮肤和眼睛。高浓度吸入会造成不同程度的伤害，皮肤、眼睛接触会引起刺激症状。有的低浓度长时间接触可引起神经衰弱症状。空气中浓度增加会使氧气含量降低，达到一定浓度时，会导致缺氧窒息。</w:t>
      </w:r>
    </w:p>
    <w:p w14:paraId="7C46C29D"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天然气中甲烷含量可达</w:t>
      </w:r>
      <w:r>
        <w:rPr>
          <w:color w:val="000000" w:themeColor="text1"/>
          <w:sz w:val="28"/>
          <w:szCs w:val="28"/>
        </w:rPr>
        <w:t>80%</w:t>
      </w:r>
      <w:r>
        <w:rPr>
          <w:color w:val="000000" w:themeColor="text1"/>
          <w:sz w:val="28"/>
          <w:szCs w:val="28"/>
        </w:rPr>
        <w:t>以上，甲烷的主要危险有害特性见下表。</w:t>
      </w:r>
    </w:p>
    <w:p w14:paraId="41A50EE0" w14:textId="77777777" w:rsidR="002D2AF8"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3-2 </w:t>
      </w:r>
      <w:r>
        <w:rPr>
          <w:b/>
          <w:bCs/>
          <w:color w:val="000000" w:themeColor="text1"/>
          <w:sz w:val="24"/>
        </w:rPr>
        <w:t>甲烷主要危险有害特性一览表</w:t>
      </w:r>
    </w:p>
    <w:tbl>
      <w:tblPr>
        <w:tblW w:w="85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1133"/>
        <w:gridCol w:w="709"/>
        <w:gridCol w:w="284"/>
        <w:gridCol w:w="567"/>
        <w:gridCol w:w="1134"/>
        <w:gridCol w:w="901"/>
      </w:tblGrid>
      <w:tr w:rsidR="002D2AF8" w14:paraId="2FC99639" w14:textId="77777777">
        <w:trPr>
          <w:cantSplit/>
          <w:trHeight w:val="397"/>
          <w:jc w:val="center"/>
        </w:trPr>
        <w:tc>
          <w:tcPr>
            <w:tcW w:w="602" w:type="dxa"/>
            <w:vMerge w:val="restart"/>
            <w:vAlign w:val="center"/>
          </w:tcPr>
          <w:p w14:paraId="74387B5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标识</w:t>
            </w:r>
          </w:p>
        </w:tc>
        <w:tc>
          <w:tcPr>
            <w:tcW w:w="1773" w:type="dxa"/>
            <w:vAlign w:val="center"/>
          </w:tcPr>
          <w:p w14:paraId="35E1B6B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中文名</w:t>
            </w:r>
          </w:p>
        </w:tc>
        <w:tc>
          <w:tcPr>
            <w:tcW w:w="1420" w:type="dxa"/>
            <w:vAlign w:val="center"/>
          </w:tcPr>
          <w:p w14:paraId="2F2C589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甲烷</w:t>
            </w:r>
          </w:p>
        </w:tc>
        <w:tc>
          <w:tcPr>
            <w:tcW w:w="1842" w:type="dxa"/>
            <w:gridSpan w:val="2"/>
            <w:vAlign w:val="center"/>
          </w:tcPr>
          <w:p w14:paraId="534F49D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CAS</w:t>
            </w:r>
          </w:p>
        </w:tc>
        <w:tc>
          <w:tcPr>
            <w:tcW w:w="2886" w:type="dxa"/>
            <w:gridSpan w:val="4"/>
            <w:vAlign w:val="center"/>
          </w:tcPr>
          <w:p w14:paraId="23D14ED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74-82-8</w:t>
            </w:r>
          </w:p>
        </w:tc>
      </w:tr>
      <w:tr w:rsidR="002D2AF8" w14:paraId="6BE4DE8D" w14:textId="77777777">
        <w:trPr>
          <w:cantSplit/>
          <w:trHeight w:val="397"/>
          <w:jc w:val="center"/>
        </w:trPr>
        <w:tc>
          <w:tcPr>
            <w:tcW w:w="602" w:type="dxa"/>
            <w:vMerge/>
            <w:vAlign w:val="center"/>
          </w:tcPr>
          <w:p w14:paraId="6394CA91"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E2C0FE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分子式</w:t>
            </w:r>
          </w:p>
        </w:tc>
        <w:tc>
          <w:tcPr>
            <w:tcW w:w="1420" w:type="dxa"/>
            <w:vAlign w:val="center"/>
          </w:tcPr>
          <w:p w14:paraId="5B6B6BC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CH</w:t>
            </w:r>
            <w:r>
              <w:rPr>
                <w:color w:val="000000" w:themeColor="text1"/>
                <w:szCs w:val="21"/>
                <w:vertAlign w:val="subscript"/>
              </w:rPr>
              <w:t>4</w:t>
            </w:r>
          </w:p>
        </w:tc>
        <w:tc>
          <w:tcPr>
            <w:tcW w:w="1842" w:type="dxa"/>
            <w:gridSpan w:val="2"/>
            <w:vAlign w:val="center"/>
          </w:tcPr>
          <w:p w14:paraId="4312C77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危险货物编号</w:t>
            </w:r>
          </w:p>
        </w:tc>
        <w:tc>
          <w:tcPr>
            <w:tcW w:w="2886" w:type="dxa"/>
            <w:gridSpan w:val="4"/>
            <w:vAlign w:val="center"/>
          </w:tcPr>
          <w:p w14:paraId="427A60E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21007</w:t>
            </w:r>
          </w:p>
        </w:tc>
      </w:tr>
      <w:tr w:rsidR="002D2AF8" w14:paraId="61AD474C" w14:textId="77777777">
        <w:trPr>
          <w:cantSplit/>
          <w:trHeight w:val="397"/>
          <w:jc w:val="center"/>
        </w:trPr>
        <w:tc>
          <w:tcPr>
            <w:tcW w:w="602" w:type="dxa"/>
            <w:vMerge/>
            <w:vAlign w:val="center"/>
          </w:tcPr>
          <w:p w14:paraId="463AB67E"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577CF9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分子量</w:t>
            </w:r>
          </w:p>
        </w:tc>
        <w:tc>
          <w:tcPr>
            <w:tcW w:w="1420" w:type="dxa"/>
            <w:vAlign w:val="center"/>
          </w:tcPr>
          <w:p w14:paraId="7062FF0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16.04</w:t>
            </w:r>
          </w:p>
        </w:tc>
        <w:tc>
          <w:tcPr>
            <w:tcW w:w="1842" w:type="dxa"/>
            <w:gridSpan w:val="2"/>
            <w:vAlign w:val="center"/>
          </w:tcPr>
          <w:p w14:paraId="20DEE4C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UN</w:t>
            </w:r>
            <w:r>
              <w:rPr>
                <w:color w:val="000000" w:themeColor="text1"/>
                <w:szCs w:val="21"/>
              </w:rPr>
              <w:t>编号</w:t>
            </w:r>
          </w:p>
        </w:tc>
        <w:tc>
          <w:tcPr>
            <w:tcW w:w="2886" w:type="dxa"/>
            <w:gridSpan w:val="4"/>
            <w:vAlign w:val="center"/>
          </w:tcPr>
          <w:p w14:paraId="21FC289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1971</w:t>
            </w:r>
          </w:p>
        </w:tc>
      </w:tr>
      <w:tr w:rsidR="002D2AF8" w14:paraId="0062122A" w14:textId="77777777">
        <w:trPr>
          <w:cantSplit/>
          <w:trHeight w:val="397"/>
          <w:jc w:val="center"/>
        </w:trPr>
        <w:tc>
          <w:tcPr>
            <w:tcW w:w="602" w:type="dxa"/>
            <w:vMerge w:val="restart"/>
            <w:vAlign w:val="center"/>
          </w:tcPr>
          <w:p w14:paraId="4F951BC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理化性质</w:t>
            </w:r>
          </w:p>
        </w:tc>
        <w:tc>
          <w:tcPr>
            <w:tcW w:w="1773" w:type="dxa"/>
            <w:vAlign w:val="center"/>
          </w:tcPr>
          <w:p w14:paraId="2657941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外观性状</w:t>
            </w:r>
          </w:p>
        </w:tc>
        <w:tc>
          <w:tcPr>
            <w:tcW w:w="6148" w:type="dxa"/>
            <w:gridSpan w:val="7"/>
            <w:vAlign w:val="center"/>
          </w:tcPr>
          <w:p w14:paraId="08D8CDF6"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无色无臭气体。</w:t>
            </w:r>
          </w:p>
        </w:tc>
      </w:tr>
      <w:tr w:rsidR="002D2AF8" w14:paraId="2B39892C" w14:textId="77777777">
        <w:trPr>
          <w:cantSplit/>
          <w:trHeight w:val="397"/>
          <w:jc w:val="center"/>
        </w:trPr>
        <w:tc>
          <w:tcPr>
            <w:tcW w:w="602" w:type="dxa"/>
            <w:vMerge/>
            <w:vAlign w:val="center"/>
          </w:tcPr>
          <w:p w14:paraId="4D5F86C9"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4C2A95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主要用途</w:t>
            </w:r>
          </w:p>
        </w:tc>
        <w:tc>
          <w:tcPr>
            <w:tcW w:w="6148" w:type="dxa"/>
            <w:gridSpan w:val="7"/>
            <w:vAlign w:val="center"/>
          </w:tcPr>
          <w:p w14:paraId="1AE701B7"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用作燃料和用于炭黑、氢、乙炔、甲醛等的制造。</w:t>
            </w:r>
          </w:p>
        </w:tc>
      </w:tr>
      <w:tr w:rsidR="002D2AF8" w14:paraId="551306F0" w14:textId="77777777">
        <w:trPr>
          <w:cantSplit/>
          <w:trHeight w:val="397"/>
          <w:jc w:val="center"/>
        </w:trPr>
        <w:tc>
          <w:tcPr>
            <w:tcW w:w="602" w:type="dxa"/>
            <w:vMerge/>
            <w:vAlign w:val="center"/>
          </w:tcPr>
          <w:p w14:paraId="59501F9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1D8F66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溶解性</w:t>
            </w:r>
          </w:p>
        </w:tc>
        <w:tc>
          <w:tcPr>
            <w:tcW w:w="6148" w:type="dxa"/>
            <w:gridSpan w:val="7"/>
            <w:vAlign w:val="center"/>
          </w:tcPr>
          <w:p w14:paraId="2B722570"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微溶于水，溶于乙醇、乙醚。</w:t>
            </w:r>
          </w:p>
        </w:tc>
      </w:tr>
      <w:tr w:rsidR="002D2AF8" w14:paraId="6E12867A" w14:textId="77777777">
        <w:trPr>
          <w:cantSplit/>
          <w:trHeight w:val="397"/>
          <w:jc w:val="center"/>
        </w:trPr>
        <w:tc>
          <w:tcPr>
            <w:tcW w:w="602" w:type="dxa"/>
            <w:vMerge/>
            <w:vAlign w:val="center"/>
          </w:tcPr>
          <w:p w14:paraId="55FE0971"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0DBD0F3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14:paraId="28FE732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-182.5</w:t>
            </w:r>
          </w:p>
        </w:tc>
        <w:tc>
          <w:tcPr>
            <w:tcW w:w="1842" w:type="dxa"/>
            <w:gridSpan w:val="2"/>
            <w:vAlign w:val="center"/>
          </w:tcPr>
          <w:p w14:paraId="44953AE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6" w:type="dxa"/>
            <w:gridSpan w:val="4"/>
            <w:vAlign w:val="center"/>
          </w:tcPr>
          <w:p w14:paraId="2C0244B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889.5</w:t>
            </w:r>
          </w:p>
        </w:tc>
      </w:tr>
      <w:tr w:rsidR="002D2AF8" w14:paraId="7059AB76" w14:textId="77777777">
        <w:trPr>
          <w:cantSplit/>
          <w:trHeight w:val="397"/>
          <w:jc w:val="center"/>
        </w:trPr>
        <w:tc>
          <w:tcPr>
            <w:tcW w:w="602" w:type="dxa"/>
            <w:vMerge/>
            <w:vAlign w:val="center"/>
          </w:tcPr>
          <w:p w14:paraId="57BDF566"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D7C264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14:paraId="0ED5D5B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-161.5</w:t>
            </w:r>
          </w:p>
        </w:tc>
        <w:tc>
          <w:tcPr>
            <w:tcW w:w="1842" w:type="dxa"/>
            <w:gridSpan w:val="2"/>
            <w:vAlign w:val="center"/>
          </w:tcPr>
          <w:p w14:paraId="3C75092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6" w:type="dxa"/>
            <w:gridSpan w:val="4"/>
            <w:vAlign w:val="center"/>
          </w:tcPr>
          <w:p w14:paraId="70EDDD8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53.32/-168.8℃</w:t>
            </w:r>
          </w:p>
        </w:tc>
      </w:tr>
      <w:tr w:rsidR="002D2AF8" w14:paraId="6F97712A" w14:textId="77777777">
        <w:trPr>
          <w:cantSplit/>
          <w:trHeight w:val="397"/>
          <w:jc w:val="center"/>
        </w:trPr>
        <w:tc>
          <w:tcPr>
            <w:tcW w:w="602" w:type="dxa"/>
            <w:vMerge/>
            <w:vAlign w:val="center"/>
          </w:tcPr>
          <w:p w14:paraId="3B13B917"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EB07E7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14:paraId="53F1B17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0.42/-164℃</w:t>
            </w:r>
          </w:p>
        </w:tc>
        <w:tc>
          <w:tcPr>
            <w:tcW w:w="1842" w:type="dxa"/>
            <w:gridSpan w:val="2"/>
            <w:vAlign w:val="center"/>
          </w:tcPr>
          <w:p w14:paraId="7A33033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6" w:type="dxa"/>
            <w:gridSpan w:val="4"/>
            <w:vAlign w:val="center"/>
          </w:tcPr>
          <w:p w14:paraId="120F4A0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-82.6</w:t>
            </w:r>
          </w:p>
        </w:tc>
      </w:tr>
      <w:tr w:rsidR="002D2AF8" w14:paraId="00C01EC5" w14:textId="77777777">
        <w:trPr>
          <w:cantSplit/>
          <w:trHeight w:val="612"/>
          <w:jc w:val="center"/>
        </w:trPr>
        <w:tc>
          <w:tcPr>
            <w:tcW w:w="602" w:type="dxa"/>
            <w:vMerge/>
            <w:vAlign w:val="center"/>
          </w:tcPr>
          <w:p w14:paraId="1FDD3FD0"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05E5C33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相对密度</w:t>
            </w:r>
          </w:p>
          <w:p w14:paraId="5A7FC93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（空气</w:t>
            </w:r>
            <w:r>
              <w:rPr>
                <w:color w:val="000000" w:themeColor="text1"/>
                <w:szCs w:val="21"/>
              </w:rPr>
              <w:t>=1</w:t>
            </w:r>
            <w:r>
              <w:rPr>
                <w:color w:val="000000" w:themeColor="text1"/>
                <w:szCs w:val="21"/>
              </w:rPr>
              <w:t>）</w:t>
            </w:r>
          </w:p>
        </w:tc>
        <w:tc>
          <w:tcPr>
            <w:tcW w:w="1420" w:type="dxa"/>
            <w:vAlign w:val="center"/>
          </w:tcPr>
          <w:p w14:paraId="7357E6F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0.55</w:t>
            </w:r>
          </w:p>
        </w:tc>
        <w:tc>
          <w:tcPr>
            <w:tcW w:w="1842" w:type="dxa"/>
            <w:gridSpan w:val="2"/>
            <w:vAlign w:val="center"/>
          </w:tcPr>
          <w:p w14:paraId="0E44D90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6" w:type="dxa"/>
            <w:gridSpan w:val="4"/>
            <w:vAlign w:val="center"/>
          </w:tcPr>
          <w:p w14:paraId="024734C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4.59</w:t>
            </w:r>
          </w:p>
        </w:tc>
      </w:tr>
      <w:tr w:rsidR="002D2AF8" w14:paraId="51010CA2" w14:textId="77777777">
        <w:trPr>
          <w:cantSplit/>
          <w:trHeight w:val="397"/>
          <w:jc w:val="center"/>
        </w:trPr>
        <w:tc>
          <w:tcPr>
            <w:tcW w:w="602" w:type="dxa"/>
            <w:vMerge w:val="restart"/>
            <w:vAlign w:val="center"/>
          </w:tcPr>
          <w:p w14:paraId="65691DB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燃烧爆炸危</w:t>
            </w:r>
            <w:r>
              <w:rPr>
                <w:color w:val="000000" w:themeColor="text1"/>
                <w:szCs w:val="21"/>
              </w:rPr>
              <w:lastRenderedPageBreak/>
              <w:t>险性</w:t>
            </w:r>
          </w:p>
        </w:tc>
        <w:tc>
          <w:tcPr>
            <w:tcW w:w="1773" w:type="dxa"/>
            <w:vAlign w:val="center"/>
          </w:tcPr>
          <w:p w14:paraId="0CA513F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燃烧性：</w:t>
            </w:r>
          </w:p>
        </w:tc>
        <w:tc>
          <w:tcPr>
            <w:tcW w:w="1420" w:type="dxa"/>
            <w:vAlign w:val="center"/>
          </w:tcPr>
          <w:p w14:paraId="33FCD84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易燃</w:t>
            </w:r>
          </w:p>
        </w:tc>
        <w:tc>
          <w:tcPr>
            <w:tcW w:w="1842" w:type="dxa"/>
            <w:gridSpan w:val="2"/>
            <w:vMerge w:val="restart"/>
            <w:vAlign w:val="center"/>
          </w:tcPr>
          <w:p w14:paraId="06030AC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危险特性</w:t>
            </w:r>
          </w:p>
        </w:tc>
        <w:tc>
          <w:tcPr>
            <w:tcW w:w="2886" w:type="dxa"/>
            <w:gridSpan w:val="4"/>
            <w:vMerge w:val="restart"/>
            <w:vAlign w:val="center"/>
          </w:tcPr>
          <w:p w14:paraId="3DC1DB26"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与空气混合能形成爆炸性混合物，遇明火、高热能引起燃烧爆炸。与氟、氯等能发生剧烈的化学反应。若遇高热，容器内压增大，有开裂和爆炸的</w:t>
            </w:r>
            <w:r>
              <w:rPr>
                <w:color w:val="000000" w:themeColor="text1"/>
                <w:szCs w:val="21"/>
              </w:rPr>
              <w:lastRenderedPageBreak/>
              <w:t>危险。</w:t>
            </w:r>
          </w:p>
        </w:tc>
      </w:tr>
      <w:tr w:rsidR="002D2AF8" w14:paraId="6625558C" w14:textId="77777777">
        <w:trPr>
          <w:cantSplit/>
          <w:trHeight w:val="397"/>
          <w:jc w:val="center"/>
        </w:trPr>
        <w:tc>
          <w:tcPr>
            <w:tcW w:w="602" w:type="dxa"/>
            <w:vMerge/>
            <w:vAlign w:val="center"/>
          </w:tcPr>
          <w:p w14:paraId="304E75C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4D09EFD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建规火险分级</w:t>
            </w:r>
          </w:p>
        </w:tc>
        <w:tc>
          <w:tcPr>
            <w:tcW w:w="1420" w:type="dxa"/>
            <w:vAlign w:val="center"/>
          </w:tcPr>
          <w:p w14:paraId="114412E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甲</w:t>
            </w:r>
          </w:p>
        </w:tc>
        <w:tc>
          <w:tcPr>
            <w:tcW w:w="1842" w:type="dxa"/>
            <w:gridSpan w:val="2"/>
            <w:vMerge/>
            <w:vAlign w:val="center"/>
          </w:tcPr>
          <w:p w14:paraId="7B962066" w14:textId="77777777" w:rsidR="002D2AF8" w:rsidRDefault="002D2AF8">
            <w:pPr>
              <w:adjustRightInd w:val="0"/>
              <w:snapToGrid w:val="0"/>
              <w:spacing w:beforeLines="20" w:before="65" w:afterLines="20" w:after="65"/>
              <w:jc w:val="center"/>
              <w:rPr>
                <w:color w:val="000000" w:themeColor="text1"/>
                <w:szCs w:val="21"/>
              </w:rPr>
            </w:pPr>
          </w:p>
        </w:tc>
        <w:tc>
          <w:tcPr>
            <w:tcW w:w="2886" w:type="dxa"/>
            <w:gridSpan w:val="4"/>
            <w:vMerge/>
            <w:vAlign w:val="center"/>
          </w:tcPr>
          <w:p w14:paraId="4965EC41" w14:textId="77777777" w:rsidR="002D2AF8" w:rsidRDefault="002D2AF8">
            <w:pPr>
              <w:adjustRightInd w:val="0"/>
              <w:snapToGrid w:val="0"/>
              <w:spacing w:beforeLines="20" w:before="65" w:afterLines="20" w:after="65"/>
              <w:jc w:val="center"/>
              <w:rPr>
                <w:color w:val="000000" w:themeColor="text1"/>
                <w:szCs w:val="21"/>
              </w:rPr>
            </w:pPr>
          </w:p>
        </w:tc>
      </w:tr>
      <w:tr w:rsidR="002D2AF8" w14:paraId="3ACF72E6" w14:textId="77777777">
        <w:trPr>
          <w:cantSplit/>
          <w:trHeight w:val="397"/>
          <w:jc w:val="center"/>
        </w:trPr>
        <w:tc>
          <w:tcPr>
            <w:tcW w:w="602" w:type="dxa"/>
            <w:vMerge/>
            <w:vAlign w:val="center"/>
          </w:tcPr>
          <w:p w14:paraId="414FD731"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EFF4BE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14:paraId="130F428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-188</w:t>
            </w:r>
          </w:p>
        </w:tc>
        <w:tc>
          <w:tcPr>
            <w:tcW w:w="1842" w:type="dxa"/>
            <w:gridSpan w:val="2"/>
            <w:vMerge/>
            <w:vAlign w:val="center"/>
          </w:tcPr>
          <w:p w14:paraId="4B78AABC" w14:textId="77777777" w:rsidR="002D2AF8" w:rsidRDefault="002D2AF8">
            <w:pPr>
              <w:adjustRightInd w:val="0"/>
              <w:snapToGrid w:val="0"/>
              <w:spacing w:beforeLines="20" w:before="65" w:afterLines="20" w:after="65"/>
              <w:jc w:val="center"/>
              <w:rPr>
                <w:color w:val="000000" w:themeColor="text1"/>
                <w:szCs w:val="21"/>
              </w:rPr>
            </w:pPr>
          </w:p>
        </w:tc>
        <w:tc>
          <w:tcPr>
            <w:tcW w:w="2886" w:type="dxa"/>
            <w:gridSpan w:val="4"/>
            <w:vMerge/>
            <w:vAlign w:val="center"/>
          </w:tcPr>
          <w:p w14:paraId="6F3AB8C6" w14:textId="77777777" w:rsidR="002D2AF8" w:rsidRDefault="002D2AF8">
            <w:pPr>
              <w:adjustRightInd w:val="0"/>
              <w:snapToGrid w:val="0"/>
              <w:spacing w:beforeLines="20" w:before="65" w:afterLines="20" w:after="65"/>
              <w:jc w:val="center"/>
              <w:rPr>
                <w:color w:val="000000" w:themeColor="text1"/>
                <w:szCs w:val="21"/>
              </w:rPr>
            </w:pPr>
          </w:p>
        </w:tc>
      </w:tr>
      <w:tr w:rsidR="002D2AF8" w14:paraId="76DE2F05" w14:textId="77777777">
        <w:trPr>
          <w:cantSplit/>
          <w:trHeight w:val="397"/>
          <w:jc w:val="center"/>
        </w:trPr>
        <w:tc>
          <w:tcPr>
            <w:tcW w:w="602" w:type="dxa"/>
            <w:vMerge/>
            <w:vAlign w:val="center"/>
          </w:tcPr>
          <w:p w14:paraId="4377BBD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36E229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14:paraId="1331BB8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538</w:t>
            </w:r>
          </w:p>
        </w:tc>
        <w:tc>
          <w:tcPr>
            <w:tcW w:w="1842" w:type="dxa"/>
            <w:gridSpan w:val="2"/>
            <w:vMerge/>
            <w:vAlign w:val="center"/>
          </w:tcPr>
          <w:p w14:paraId="75F3ADC9" w14:textId="77777777" w:rsidR="002D2AF8" w:rsidRDefault="002D2AF8">
            <w:pPr>
              <w:adjustRightInd w:val="0"/>
              <w:snapToGrid w:val="0"/>
              <w:spacing w:beforeLines="20" w:before="65" w:afterLines="20" w:after="65"/>
              <w:jc w:val="center"/>
              <w:rPr>
                <w:color w:val="000000" w:themeColor="text1"/>
                <w:szCs w:val="21"/>
              </w:rPr>
            </w:pPr>
          </w:p>
        </w:tc>
        <w:tc>
          <w:tcPr>
            <w:tcW w:w="2886" w:type="dxa"/>
            <w:gridSpan w:val="4"/>
            <w:vMerge/>
            <w:vAlign w:val="center"/>
          </w:tcPr>
          <w:p w14:paraId="205EFB5F" w14:textId="77777777" w:rsidR="002D2AF8" w:rsidRDefault="002D2AF8">
            <w:pPr>
              <w:adjustRightInd w:val="0"/>
              <w:snapToGrid w:val="0"/>
              <w:spacing w:beforeLines="20" w:before="65" w:afterLines="20" w:after="65"/>
              <w:jc w:val="center"/>
              <w:rPr>
                <w:color w:val="000000" w:themeColor="text1"/>
                <w:szCs w:val="21"/>
              </w:rPr>
            </w:pPr>
          </w:p>
        </w:tc>
      </w:tr>
      <w:tr w:rsidR="002D2AF8" w14:paraId="597B4001" w14:textId="77777777">
        <w:trPr>
          <w:cantSplit/>
          <w:trHeight w:val="397"/>
          <w:jc w:val="center"/>
        </w:trPr>
        <w:tc>
          <w:tcPr>
            <w:tcW w:w="602" w:type="dxa"/>
            <w:vMerge/>
            <w:vAlign w:val="center"/>
          </w:tcPr>
          <w:p w14:paraId="44BEC5E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5BB2F1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14:paraId="590B89E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5.3</w:t>
            </w:r>
          </w:p>
        </w:tc>
        <w:tc>
          <w:tcPr>
            <w:tcW w:w="1842" w:type="dxa"/>
            <w:gridSpan w:val="2"/>
            <w:vMerge/>
            <w:vAlign w:val="center"/>
          </w:tcPr>
          <w:p w14:paraId="2AB76F37" w14:textId="77777777" w:rsidR="002D2AF8" w:rsidRDefault="002D2AF8">
            <w:pPr>
              <w:adjustRightInd w:val="0"/>
              <w:snapToGrid w:val="0"/>
              <w:spacing w:beforeLines="20" w:before="65" w:afterLines="20" w:after="65"/>
              <w:jc w:val="center"/>
              <w:rPr>
                <w:color w:val="000000" w:themeColor="text1"/>
                <w:szCs w:val="21"/>
              </w:rPr>
            </w:pPr>
          </w:p>
        </w:tc>
        <w:tc>
          <w:tcPr>
            <w:tcW w:w="2886" w:type="dxa"/>
            <w:gridSpan w:val="4"/>
            <w:vMerge/>
            <w:vAlign w:val="center"/>
          </w:tcPr>
          <w:p w14:paraId="5A325F34" w14:textId="77777777" w:rsidR="002D2AF8" w:rsidRDefault="002D2AF8">
            <w:pPr>
              <w:adjustRightInd w:val="0"/>
              <w:snapToGrid w:val="0"/>
              <w:spacing w:beforeLines="20" w:before="65" w:afterLines="20" w:after="65"/>
              <w:jc w:val="center"/>
              <w:rPr>
                <w:color w:val="000000" w:themeColor="text1"/>
                <w:szCs w:val="21"/>
              </w:rPr>
            </w:pPr>
          </w:p>
        </w:tc>
      </w:tr>
      <w:tr w:rsidR="002D2AF8" w14:paraId="678EEB7F" w14:textId="77777777">
        <w:trPr>
          <w:cantSplit/>
          <w:trHeight w:val="397"/>
          <w:jc w:val="center"/>
        </w:trPr>
        <w:tc>
          <w:tcPr>
            <w:tcW w:w="602" w:type="dxa"/>
            <w:vMerge/>
            <w:vAlign w:val="center"/>
          </w:tcPr>
          <w:p w14:paraId="685358B4"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07ED24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14:paraId="7C559BF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15</w:t>
            </w:r>
          </w:p>
        </w:tc>
        <w:tc>
          <w:tcPr>
            <w:tcW w:w="1842" w:type="dxa"/>
            <w:gridSpan w:val="2"/>
            <w:vAlign w:val="center"/>
          </w:tcPr>
          <w:p w14:paraId="7B4C8EE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燃烧（分解）产物</w:t>
            </w:r>
          </w:p>
        </w:tc>
        <w:tc>
          <w:tcPr>
            <w:tcW w:w="2886" w:type="dxa"/>
            <w:gridSpan w:val="4"/>
            <w:vAlign w:val="center"/>
          </w:tcPr>
          <w:p w14:paraId="4313BEE3"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一氧化碳、二氧化碳。</w:t>
            </w:r>
          </w:p>
        </w:tc>
      </w:tr>
      <w:tr w:rsidR="002D2AF8" w14:paraId="51E112E5" w14:textId="77777777">
        <w:trPr>
          <w:cantSplit/>
          <w:trHeight w:val="397"/>
          <w:jc w:val="center"/>
        </w:trPr>
        <w:tc>
          <w:tcPr>
            <w:tcW w:w="602" w:type="dxa"/>
            <w:vMerge/>
            <w:vAlign w:val="center"/>
          </w:tcPr>
          <w:p w14:paraId="70ED4997"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A2D199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稳定性</w:t>
            </w:r>
          </w:p>
        </w:tc>
        <w:tc>
          <w:tcPr>
            <w:tcW w:w="1420" w:type="dxa"/>
            <w:vAlign w:val="center"/>
          </w:tcPr>
          <w:p w14:paraId="0F3CB4A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稳定</w:t>
            </w:r>
          </w:p>
        </w:tc>
        <w:tc>
          <w:tcPr>
            <w:tcW w:w="1133" w:type="dxa"/>
            <w:vAlign w:val="center"/>
          </w:tcPr>
          <w:p w14:paraId="26EBB7A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灭火方法</w:t>
            </w:r>
          </w:p>
        </w:tc>
        <w:tc>
          <w:tcPr>
            <w:tcW w:w="3595" w:type="dxa"/>
            <w:gridSpan w:val="5"/>
            <w:vAlign w:val="center"/>
          </w:tcPr>
          <w:p w14:paraId="3BF21A20"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切断气源。若不能立即切断气源，则不允许熄灭正在燃烧的气体。喷水冷却容器，可能的话将容器从火场移至空旷处。雾状水、泡沫、二氧化碳。</w:t>
            </w:r>
          </w:p>
        </w:tc>
      </w:tr>
      <w:tr w:rsidR="002D2AF8" w14:paraId="3EC5F930" w14:textId="77777777">
        <w:trPr>
          <w:cantSplit/>
          <w:trHeight w:val="397"/>
          <w:jc w:val="center"/>
        </w:trPr>
        <w:tc>
          <w:tcPr>
            <w:tcW w:w="602" w:type="dxa"/>
            <w:vMerge/>
            <w:vAlign w:val="center"/>
          </w:tcPr>
          <w:p w14:paraId="429EA9CB"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BE498F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聚合危害</w:t>
            </w:r>
          </w:p>
        </w:tc>
        <w:tc>
          <w:tcPr>
            <w:tcW w:w="1420" w:type="dxa"/>
            <w:vAlign w:val="center"/>
          </w:tcPr>
          <w:p w14:paraId="6BCD8C8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不能出现</w:t>
            </w:r>
          </w:p>
        </w:tc>
        <w:tc>
          <w:tcPr>
            <w:tcW w:w="2126" w:type="dxa"/>
            <w:gridSpan w:val="3"/>
            <w:vAlign w:val="center"/>
          </w:tcPr>
          <w:p w14:paraId="4796065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禁忌物</w:t>
            </w:r>
          </w:p>
        </w:tc>
        <w:tc>
          <w:tcPr>
            <w:tcW w:w="2602" w:type="dxa"/>
            <w:gridSpan w:val="3"/>
            <w:vAlign w:val="center"/>
          </w:tcPr>
          <w:p w14:paraId="617E210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强氧化剂、氟、氯。</w:t>
            </w:r>
          </w:p>
        </w:tc>
      </w:tr>
      <w:tr w:rsidR="002D2AF8" w14:paraId="039D4CA3" w14:textId="77777777">
        <w:trPr>
          <w:cantSplit/>
          <w:trHeight w:val="397"/>
          <w:jc w:val="center"/>
        </w:trPr>
        <w:tc>
          <w:tcPr>
            <w:tcW w:w="602" w:type="dxa"/>
            <w:vMerge w:val="restart"/>
            <w:vAlign w:val="center"/>
          </w:tcPr>
          <w:p w14:paraId="4BF572A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包装与储运</w:t>
            </w:r>
          </w:p>
        </w:tc>
        <w:tc>
          <w:tcPr>
            <w:tcW w:w="1773" w:type="dxa"/>
            <w:vAlign w:val="center"/>
          </w:tcPr>
          <w:p w14:paraId="223BCD0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危险性类别</w:t>
            </w:r>
          </w:p>
        </w:tc>
        <w:tc>
          <w:tcPr>
            <w:tcW w:w="1420" w:type="dxa"/>
            <w:vAlign w:val="center"/>
          </w:tcPr>
          <w:p w14:paraId="6B34678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该产品属于易燃气体，类别</w:t>
            </w:r>
            <w:r>
              <w:rPr>
                <w:color w:val="000000" w:themeColor="text1"/>
                <w:szCs w:val="21"/>
              </w:rPr>
              <w:t>1</w:t>
            </w:r>
          </w:p>
        </w:tc>
        <w:tc>
          <w:tcPr>
            <w:tcW w:w="2126" w:type="dxa"/>
            <w:gridSpan w:val="3"/>
            <w:vAlign w:val="center"/>
          </w:tcPr>
          <w:p w14:paraId="5474301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危险货物包装标志</w:t>
            </w:r>
          </w:p>
        </w:tc>
        <w:tc>
          <w:tcPr>
            <w:tcW w:w="567" w:type="dxa"/>
            <w:vAlign w:val="center"/>
          </w:tcPr>
          <w:p w14:paraId="08657CA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4</w:t>
            </w:r>
          </w:p>
        </w:tc>
        <w:tc>
          <w:tcPr>
            <w:tcW w:w="1134" w:type="dxa"/>
            <w:vAlign w:val="center"/>
          </w:tcPr>
          <w:p w14:paraId="386C098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包装类别</w:t>
            </w:r>
          </w:p>
        </w:tc>
        <w:tc>
          <w:tcPr>
            <w:tcW w:w="901" w:type="dxa"/>
            <w:vAlign w:val="center"/>
          </w:tcPr>
          <w:p w14:paraId="23B576D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2D2AF8" w14:paraId="666F3CB7" w14:textId="77777777">
        <w:trPr>
          <w:cantSplit/>
          <w:trHeight w:val="397"/>
          <w:jc w:val="center"/>
        </w:trPr>
        <w:tc>
          <w:tcPr>
            <w:tcW w:w="602" w:type="dxa"/>
            <w:vMerge/>
            <w:vAlign w:val="center"/>
          </w:tcPr>
          <w:p w14:paraId="4491A89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2FE46A2"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储运注意事项：</w:t>
            </w:r>
          </w:p>
        </w:tc>
        <w:tc>
          <w:tcPr>
            <w:tcW w:w="6148" w:type="dxa"/>
            <w:gridSpan w:val="7"/>
            <w:vAlign w:val="center"/>
          </w:tcPr>
          <w:p w14:paraId="0FE88627"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易燃压缩气体。储存于阴凉、通风仓间内。仓温不宜超过</w:t>
            </w:r>
            <w:r>
              <w:rPr>
                <w:color w:val="000000" w:themeColor="text1"/>
                <w:szCs w:val="21"/>
              </w:rPr>
              <w:t>30℃</w:t>
            </w:r>
            <w:r>
              <w:rPr>
                <w:color w:val="000000" w:themeColor="text1"/>
                <w:szCs w:val="21"/>
              </w:rPr>
              <w:t>。远离火种、热源。防止阳光直射。应与氧气、压缩空气、卤素（氟、氯、溴）等分开存放。切忌混储混运。储存间内的照明、通风等设施应采用防爆型，开关设在仓外。配备相应品种和数量的消防器材。罐储时要有防火防爆技术措施。露天贮罐夏季要有降温措施。禁止使用易产生火花的机械设备和工具。验收时要注意品名，注意验瓶日期，先进仓的先发用。搬运时轻装轻卸，防止钢瓶及附件破损。</w:t>
            </w:r>
          </w:p>
        </w:tc>
      </w:tr>
      <w:tr w:rsidR="002D2AF8" w14:paraId="0C3035ED" w14:textId="77777777">
        <w:trPr>
          <w:cantSplit/>
          <w:trHeight w:val="397"/>
          <w:jc w:val="center"/>
        </w:trPr>
        <w:tc>
          <w:tcPr>
            <w:tcW w:w="602" w:type="dxa"/>
            <w:vMerge w:val="restart"/>
            <w:vAlign w:val="center"/>
          </w:tcPr>
          <w:p w14:paraId="54791B4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毒性与健康危害性</w:t>
            </w:r>
          </w:p>
        </w:tc>
        <w:tc>
          <w:tcPr>
            <w:tcW w:w="1773" w:type="dxa"/>
            <w:vAlign w:val="center"/>
          </w:tcPr>
          <w:p w14:paraId="451995F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接触限值</w:t>
            </w:r>
          </w:p>
        </w:tc>
        <w:tc>
          <w:tcPr>
            <w:tcW w:w="6148" w:type="dxa"/>
            <w:gridSpan w:val="7"/>
            <w:vAlign w:val="center"/>
          </w:tcPr>
          <w:p w14:paraId="019A1C24"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苏联</w:t>
            </w:r>
            <w:r>
              <w:rPr>
                <w:color w:val="000000" w:themeColor="text1"/>
                <w:szCs w:val="21"/>
              </w:rPr>
              <w:t>MAC</w:t>
            </w:r>
            <w:r>
              <w:rPr>
                <w:color w:val="000000" w:themeColor="text1"/>
                <w:szCs w:val="21"/>
              </w:rPr>
              <w:t>：</w:t>
            </w:r>
            <w:r>
              <w:rPr>
                <w:color w:val="000000" w:themeColor="text1"/>
                <w:szCs w:val="21"/>
              </w:rPr>
              <w:t>300mg/m</w:t>
            </w:r>
            <w:r>
              <w:rPr>
                <w:color w:val="000000" w:themeColor="text1"/>
                <w:szCs w:val="21"/>
                <w:vertAlign w:val="superscript"/>
              </w:rPr>
              <w:t>3</w:t>
            </w:r>
          </w:p>
          <w:p w14:paraId="10363F89"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美国</w:t>
            </w:r>
            <w:r>
              <w:rPr>
                <w:color w:val="000000" w:themeColor="text1"/>
                <w:szCs w:val="21"/>
              </w:rPr>
              <w:t>TWA</w:t>
            </w:r>
            <w:r>
              <w:rPr>
                <w:color w:val="000000" w:themeColor="text1"/>
                <w:szCs w:val="21"/>
              </w:rPr>
              <w:t>：</w:t>
            </w:r>
            <w:r>
              <w:rPr>
                <w:color w:val="000000" w:themeColor="text1"/>
                <w:szCs w:val="21"/>
              </w:rPr>
              <w:t>ACGIH</w:t>
            </w:r>
            <w:r>
              <w:rPr>
                <w:color w:val="000000" w:themeColor="text1"/>
                <w:szCs w:val="21"/>
              </w:rPr>
              <w:t>窒息性气体</w:t>
            </w:r>
          </w:p>
        </w:tc>
      </w:tr>
      <w:tr w:rsidR="002D2AF8" w14:paraId="27F448D3" w14:textId="77777777">
        <w:trPr>
          <w:cantSplit/>
          <w:trHeight w:val="397"/>
          <w:jc w:val="center"/>
        </w:trPr>
        <w:tc>
          <w:tcPr>
            <w:tcW w:w="602" w:type="dxa"/>
            <w:vMerge/>
            <w:vAlign w:val="center"/>
          </w:tcPr>
          <w:p w14:paraId="30918B32"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A95C0E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毒性</w:t>
            </w:r>
          </w:p>
        </w:tc>
        <w:tc>
          <w:tcPr>
            <w:tcW w:w="6148" w:type="dxa"/>
            <w:gridSpan w:val="7"/>
            <w:vAlign w:val="center"/>
          </w:tcPr>
          <w:p w14:paraId="3E17891F"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2D2AF8" w14:paraId="27FB5E3F" w14:textId="77777777">
        <w:trPr>
          <w:cantSplit/>
          <w:trHeight w:val="397"/>
          <w:jc w:val="center"/>
        </w:trPr>
        <w:tc>
          <w:tcPr>
            <w:tcW w:w="602" w:type="dxa"/>
            <w:vMerge/>
            <w:vAlign w:val="center"/>
          </w:tcPr>
          <w:p w14:paraId="619A82F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F9F466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健康危害</w:t>
            </w:r>
          </w:p>
        </w:tc>
        <w:tc>
          <w:tcPr>
            <w:tcW w:w="6148" w:type="dxa"/>
            <w:gridSpan w:val="7"/>
            <w:vAlign w:val="center"/>
          </w:tcPr>
          <w:p w14:paraId="1C5C9CE2"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空气中甲烷浓度过高，能使人窒息。当空气中甲烷达</w:t>
            </w:r>
            <w:r>
              <w:rPr>
                <w:color w:val="000000" w:themeColor="text1"/>
                <w:szCs w:val="21"/>
              </w:rPr>
              <w:t>25</w:t>
            </w:r>
            <w:r>
              <w:rPr>
                <w:color w:val="000000" w:themeColor="text1"/>
                <w:szCs w:val="21"/>
              </w:rPr>
              <w:t>～</w:t>
            </w:r>
            <w:r>
              <w:rPr>
                <w:color w:val="000000" w:themeColor="text1"/>
                <w:szCs w:val="21"/>
              </w:rPr>
              <w:t>30</w:t>
            </w:r>
            <w:r>
              <w:rPr>
                <w:color w:val="000000" w:themeColor="text1"/>
                <w:szCs w:val="21"/>
              </w:rPr>
              <w:t>％时，可引起头痛、头晕、乏力、注意力不集中、呼吸和心跳加速、精细动作障碍等，甚至因缺氧而窒息、昏迷。</w:t>
            </w:r>
          </w:p>
        </w:tc>
      </w:tr>
      <w:tr w:rsidR="002D2AF8" w14:paraId="00A9CD48" w14:textId="77777777">
        <w:trPr>
          <w:cantSplit/>
          <w:trHeight w:val="397"/>
          <w:jc w:val="center"/>
        </w:trPr>
        <w:tc>
          <w:tcPr>
            <w:tcW w:w="602" w:type="dxa"/>
            <w:vMerge/>
            <w:vAlign w:val="center"/>
          </w:tcPr>
          <w:p w14:paraId="715B700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BE6826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侵入途径</w:t>
            </w:r>
          </w:p>
        </w:tc>
        <w:tc>
          <w:tcPr>
            <w:tcW w:w="6148" w:type="dxa"/>
            <w:gridSpan w:val="7"/>
            <w:vAlign w:val="center"/>
          </w:tcPr>
          <w:p w14:paraId="3525A7F9"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吸入</w:t>
            </w:r>
          </w:p>
        </w:tc>
      </w:tr>
      <w:tr w:rsidR="002D2AF8" w14:paraId="2BCC3D73" w14:textId="77777777">
        <w:trPr>
          <w:cantSplit/>
          <w:trHeight w:val="397"/>
          <w:jc w:val="center"/>
        </w:trPr>
        <w:tc>
          <w:tcPr>
            <w:tcW w:w="602" w:type="dxa"/>
            <w:vMerge w:val="restart"/>
            <w:vAlign w:val="center"/>
          </w:tcPr>
          <w:p w14:paraId="0D35041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急救</w:t>
            </w:r>
          </w:p>
        </w:tc>
        <w:tc>
          <w:tcPr>
            <w:tcW w:w="1773" w:type="dxa"/>
            <w:vAlign w:val="center"/>
          </w:tcPr>
          <w:p w14:paraId="45EBDF3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皮肤接触</w:t>
            </w:r>
          </w:p>
        </w:tc>
        <w:tc>
          <w:tcPr>
            <w:tcW w:w="6148" w:type="dxa"/>
            <w:gridSpan w:val="7"/>
            <w:vAlign w:val="center"/>
          </w:tcPr>
          <w:p w14:paraId="04E04BE5"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若有冻伤，就医治疗。</w:t>
            </w:r>
          </w:p>
        </w:tc>
      </w:tr>
      <w:tr w:rsidR="002D2AF8" w14:paraId="3E0B86AD" w14:textId="77777777">
        <w:trPr>
          <w:cantSplit/>
          <w:trHeight w:val="397"/>
          <w:jc w:val="center"/>
        </w:trPr>
        <w:tc>
          <w:tcPr>
            <w:tcW w:w="602" w:type="dxa"/>
            <w:vMerge/>
            <w:vAlign w:val="center"/>
          </w:tcPr>
          <w:p w14:paraId="555E3387"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9EB983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眼睛接触</w:t>
            </w:r>
          </w:p>
        </w:tc>
        <w:tc>
          <w:tcPr>
            <w:tcW w:w="6148" w:type="dxa"/>
            <w:gridSpan w:val="7"/>
            <w:vAlign w:val="center"/>
          </w:tcPr>
          <w:p w14:paraId="7E3B251B"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2D2AF8" w14:paraId="27EE19D3" w14:textId="77777777">
        <w:trPr>
          <w:cantSplit/>
          <w:trHeight w:val="397"/>
          <w:jc w:val="center"/>
        </w:trPr>
        <w:tc>
          <w:tcPr>
            <w:tcW w:w="602" w:type="dxa"/>
            <w:vMerge/>
            <w:vAlign w:val="center"/>
          </w:tcPr>
          <w:p w14:paraId="5B3A7D14"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DDD471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吸入</w:t>
            </w:r>
          </w:p>
        </w:tc>
        <w:tc>
          <w:tcPr>
            <w:tcW w:w="6148" w:type="dxa"/>
            <w:gridSpan w:val="7"/>
            <w:vAlign w:val="center"/>
          </w:tcPr>
          <w:p w14:paraId="5CFE6ED0"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迅速脱离现场至空气新鲜处。注意保暖，呼吸困难时给输氧。呼吸及心跳停止者立即进行人工呼吸和心脏按压术。就医。</w:t>
            </w:r>
          </w:p>
        </w:tc>
      </w:tr>
      <w:tr w:rsidR="002D2AF8" w14:paraId="453D6E78" w14:textId="77777777">
        <w:trPr>
          <w:cantSplit/>
          <w:trHeight w:val="397"/>
          <w:jc w:val="center"/>
        </w:trPr>
        <w:tc>
          <w:tcPr>
            <w:tcW w:w="602" w:type="dxa"/>
            <w:vMerge/>
            <w:vAlign w:val="center"/>
          </w:tcPr>
          <w:p w14:paraId="74617B95"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ACEEB5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食入</w:t>
            </w:r>
          </w:p>
        </w:tc>
        <w:tc>
          <w:tcPr>
            <w:tcW w:w="6148" w:type="dxa"/>
            <w:gridSpan w:val="7"/>
            <w:vAlign w:val="center"/>
          </w:tcPr>
          <w:p w14:paraId="4F27CF02"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2D2AF8" w14:paraId="225E7D07" w14:textId="77777777">
        <w:trPr>
          <w:cantSplit/>
          <w:trHeight w:val="397"/>
          <w:jc w:val="center"/>
        </w:trPr>
        <w:tc>
          <w:tcPr>
            <w:tcW w:w="602" w:type="dxa"/>
            <w:vMerge w:val="restart"/>
            <w:vAlign w:val="center"/>
          </w:tcPr>
          <w:p w14:paraId="60C3DD4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防护措施</w:t>
            </w:r>
          </w:p>
        </w:tc>
        <w:tc>
          <w:tcPr>
            <w:tcW w:w="1773" w:type="dxa"/>
            <w:vAlign w:val="center"/>
          </w:tcPr>
          <w:p w14:paraId="550C543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工程控制</w:t>
            </w:r>
          </w:p>
        </w:tc>
        <w:tc>
          <w:tcPr>
            <w:tcW w:w="6148" w:type="dxa"/>
            <w:gridSpan w:val="7"/>
            <w:vAlign w:val="center"/>
          </w:tcPr>
          <w:p w14:paraId="5507AC01"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生产过程密闭，全面通风。</w:t>
            </w:r>
          </w:p>
        </w:tc>
      </w:tr>
      <w:tr w:rsidR="002D2AF8" w14:paraId="7CD9E248" w14:textId="77777777">
        <w:trPr>
          <w:cantSplit/>
          <w:trHeight w:val="397"/>
          <w:jc w:val="center"/>
        </w:trPr>
        <w:tc>
          <w:tcPr>
            <w:tcW w:w="602" w:type="dxa"/>
            <w:vMerge/>
            <w:vAlign w:val="center"/>
          </w:tcPr>
          <w:p w14:paraId="1DEF4724"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F89027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呼吸系统防护</w:t>
            </w:r>
          </w:p>
        </w:tc>
        <w:tc>
          <w:tcPr>
            <w:tcW w:w="6148" w:type="dxa"/>
            <w:gridSpan w:val="7"/>
            <w:vAlign w:val="center"/>
          </w:tcPr>
          <w:p w14:paraId="4631BAD9"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高浓度环境中，佩带供气式呼吸器。</w:t>
            </w:r>
          </w:p>
        </w:tc>
      </w:tr>
      <w:tr w:rsidR="002D2AF8" w14:paraId="2D824C35" w14:textId="77777777">
        <w:trPr>
          <w:cantSplit/>
          <w:trHeight w:val="397"/>
          <w:jc w:val="center"/>
        </w:trPr>
        <w:tc>
          <w:tcPr>
            <w:tcW w:w="602" w:type="dxa"/>
            <w:vMerge/>
            <w:vAlign w:val="center"/>
          </w:tcPr>
          <w:p w14:paraId="4DCAE0F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B26150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眼睛防护</w:t>
            </w:r>
          </w:p>
        </w:tc>
        <w:tc>
          <w:tcPr>
            <w:tcW w:w="6148" w:type="dxa"/>
            <w:gridSpan w:val="7"/>
            <w:vAlign w:val="center"/>
          </w:tcPr>
          <w:p w14:paraId="7F02E7C4"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一般不需特殊防护，高浓度接触时可戴安全防护眼镜。</w:t>
            </w:r>
          </w:p>
        </w:tc>
      </w:tr>
      <w:tr w:rsidR="002D2AF8" w14:paraId="17092668" w14:textId="77777777">
        <w:trPr>
          <w:cantSplit/>
          <w:trHeight w:val="397"/>
          <w:jc w:val="center"/>
        </w:trPr>
        <w:tc>
          <w:tcPr>
            <w:tcW w:w="602" w:type="dxa"/>
            <w:vMerge/>
            <w:vAlign w:val="center"/>
          </w:tcPr>
          <w:p w14:paraId="7AB2466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4448DC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防护服</w:t>
            </w:r>
          </w:p>
        </w:tc>
        <w:tc>
          <w:tcPr>
            <w:tcW w:w="6148" w:type="dxa"/>
            <w:gridSpan w:val="7"/>
            <w:vAlign w:val="center"/>
          </w:tcPr>
          <w:p w14:paraId="74FFDE89"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穿工作服。</w:t>
            </w:r>
          </w:p>
        </w:tc>
      </w:tr>
      <w:tr w:rsidR="002D2AF8" w14:paraId="1D15AE1F" w14:textId="77777777">
        <w:trPr>
          <w:cantSplit/>
          <w:trHeight w:val="397"/>
          <w:jc w:val="center"/>
        </w:trPr>
        <w:tc>
          <w:tcPr>
            <w:tcW w:w="602" w:type="dxa"/>
            <w:vMerge/>
            <w:vAlign w:val="center"/>
          </w:tcPr>
          <w:p w14:paraId="55132857"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AFF732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手防护</w:t>
            </w:r>
          </w:p>
        </w:tc>
        <w:tc>
          <w:tcPr>
            <w:tcW w:w="6148" w:type="dxa"/>
            <w:gridSpan w:val="7"/>
            <w:vAlign w:val="center"/>
          </w:tcPr>
          <w:p w14:paraId="14F1D8C5"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一般不需特殊防护，高浓度接触时可戴防护手套。</w:t>
            </w:r>
          </w:p>
        </w:tc>
      </w:tr>
      <w:tr w:rsidR="002D2AF8" w14:paraId="45A4764A" w14:textId="77777777">
        <w:trPr>
          <w:cantSplit/>
          <w:trHeight w:val="397"/>
          <w:jc w:val="center"/>
        </w:trPr>
        <w:tc>
          <w:tcPr>
            <w:tcW w:w="602" w:type="dxa"/>
            <w:vMerge/>
            <w:vAlign w:val="center"/>
          </w:tcPr>
          <w:p w14:paraId="63C5A9B6"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10C8BC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其它</w:t>
            </w:r>
          </w:p>
        </w:tc>
        <w:tc>
          <w:tcPr>
            <w:tcW w:w="6148" w:type="dxa"/>
            <w:gridSpan w:val="7"/>
            <w:vAlign w:val="center"/>
          </w:tcPr>
          <w:p w14:paraId="495B10E8"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工作现场严禁吸烟。避免长期反复接触。进入罐或其它高浓度区作业，须有人监护。</w:t>
            </w:r>
          </w:p>
        </w:tc>
      </w:tr>
      <w:tr w:rsidR="002D2AF8" w14:paraId="4776C04F" w14:textId="77777777">
        <w:trPr>
          <w:cantSplit/>
          <w:trHeight w:val="1429"/>
          <w:jc w:val="center"/>
        </w:trPr>
        <w:tc>
          <w:tcPr>
            <w:tcW w:w="602" w:type="dxa"/>
            <w:vAlign w:val="center"/>
          </w:tcPr>
          <w:p w14:paraId="515ABED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泄漏处置</w:t>
            </w:r>
          </w:p>
        </w:tc>
        <w:tc>
          <w:tcPr>
            <w:tcW w:w="7921" w:type="dxa"/>
            <w:gridSpan w:val="8"/>
            <w:vAlign w:val="center"/>
          </w:tcPr>
          <w:p w14:paraId="2157FC4C"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迅速撤离泄漏污染区人员至上风处，并隔离直至气体散尽，切断火源。建议应急处理人员戴自给式呼吸器，穿一般消防防护服。切断气源，喷雾状水稀释、溶解，抽排（室内）或强力通风（室外）。如有可能，将漏出气用排风机送至空旷地方或装设适当喷头烧掉。也可以将漏气的容器移至空旷处，注意通风。漏气容器不能再用，且要经过技术处理以清除可能剩下的气体。</w:t>
            </w:r>
          </w:p>
        </w:tc>
      </w:tr>
    </w:tbl>
    <w:p w14:paraId="31BC623A" w14:textId="77777777" w:rsidR="002D2AF8" w:rsidRDefault="00000000">
      <w:pPr>
        <w:adjustRightInd w:val="0"/>
        <w:snapToGrid w:val="0"/>
        <w:spacing w:beforeLines="50" w:before="162"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3.1.3 </w:t>
      </w:r>
      <w:r>
        <w:rPr>
          <w:rFonts w:eastAsia="黑体"/>
          <w:bCs/>
          <w:snapToGrid w:val="0"/>
          <w:color w:val="000000" w:themeColor="text1"/>
          <w:kern w:val="0"/>
          <w:sz w:val="28"/>
          <w:szCs w:val="28"/>
        </w:rPr>
        <w:t>硫化氢</w:t>
      </w:r>
    </w:p>
    <w:p w14:paraId="23112882"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硫化氢（</w:t>
      </w:r>
      <w:r>
        <w:rPr>
          <w:color w:val="000000" w:themeColor="text1"/>
          <w:sz w:val="28"/>
          <w:szCs w:val="28"/>
        </w:rPr>
        <w:t>H</w:t>
      </w:r>
      <w:r>
        <w:rPr>
          <w:color w:val="000000" w:themeColor="text1"/>
          <w:sz w:val="28"/>
          <w:szCs w:val="28"/>
          <w:vertAlign w:val="subscript"/>
        </w:rPr>
        <w:t>2</w:t>
      </w:r>
      <w:r>
        <w:rPr>
          <w:color w:val="000000" w:themeColor="text1"/>
          <w:sz w:val="28"/>
          <w:szCs w:val="28"/>
        </w:rPr>
        <w:t>S</w:t>
      </w:r>
      <w:r>
        <w:rPr>
          <w:color w:val="000000" w:themeColor="text1"/>
          <w:sz w:val="28"/>
          <w:szCs w:val="28"/>
        </w:rPr>
        <w:t>）是硫的氢化物中最简单的一种。常温时硫化氢是一种无色有臭鸡蛋气味的剧毒气体，应在通风处进行使用必须采取防护措施。</w:t>
      </w:r>
    </w:p>
    <w:p w14:paraId="644BCA1B" w14:textId="77777777" w:rsidR="002D2AF8" w:rsidRDefault="00000000">
      <w:pPr>
        <w:adjustRightInd w:val="0"/>
        <w:snapToGrid w:val="0"/>
        <w:spacing w:line="360" w:lineRule="auto"/>
        <w:ind w:firstLineChars="200" w:firstLine="488"/>
        <w:jc w:val="center"/>
        <w:rPr>
          <w:b/>
          <w:bCs/>
          <w:color w:val="000000" w:themeColor="text1"/>
          <w:sz w:val="24"/>
        </w:rPr>
      </w:pPr>
      <w:r>
        <w:rPr>
          <w:b/>
          <w:bCs/>
          <w:color w:val="000000" w:themeColor="text1"/>
          <w:sz w:val="24"/>
        </w:rPr>
        <w:t>表</w:t>
      </w:r>
      <w:r>
        <w:rPr>
          <w:b/>
          <w:bCs/>
          <w:color w:val="000000" w:themeColor="text1"/>
          <w:sz w:val="24"/>
        </w:rPr>
        <w:t xml:space="preserve">3-3 </w:t>
      </w:r>
      <w:r>
        <w:rPr>
          <w:b/>
          <w:bCs/>
          <w:color w:val="000000" w:themeColor="text1"/>
          <w:sz w:val="24"/>
        </w:rPr>
        <w:t>硫化氢主要危险有害特性一览表</w:t>
      </w:r>
    </w:p>
    <w:tbl>
      <w:tblPr>
        <w:tblW w:w="8523"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602"/>
        <w:gridCol w:w="1773"/>
        <w:gridCol w:w="1420"/>
        <w:gridCol w:w="1133"/>
        <w:gridCol w:w="709"/>
        <w:gridCol w:w="142"/>
        <w:gridCol w:w="851"/>
        <w:gridCol w:w="1134"/>
        <w:gridCol w:w="759"/>
      </w:tblGrid>
      <w:tr w:rsidR="002D2AF8" w14:paraId="5D2C87D4" w14:textId="77777777">
        <w:trPr>
          <w:trHeight w:val="397"/>
          <w:jc w:val="center"/>
        </w:trPr>
        <w:tc>
          <w:tcPr>
            <w:tcW w:w="602" w:type="dxa"/>
            <w:vMerge w:val="restart"/>
            <w:vAlign w:val="center"/>
          </w:tcPr>
          <w:p w14:paraId="4A95679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标识</w:t>
            </w:r>
          </w:p>
        </w:tc>
        <w:tc>
          <w:tcPr>
            <w:tcW w:w="1773" w:type="dxa"/>
            <w:vAlign w:val="center"/>
          </w:tcPr>
          <w:p w14:paraId="60B305E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中文名</w:t>
            </w:r>
          </w:p>
        </w:tc>
        <w:tc>
          <w:tcPr>
            <w:tcW w:w="1420" w:type="dxa"/>
            <w:vAlign w:val="center"/>
          </w:tcPr>
          <w:p w14:paraId="4EF591A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硫化氢</w:t>
            </w:r>
          </w:p>
        </w:tc>
        <w:tc>
          <w:tcPr>
            <w:tcW w:w="1842" w:type="dxa"/>
            <w:gridSpan w:val="2"/>
            <w:vAlign w:val="center"/>
          </w:tcPr>
          <w:p w14:paraId="3DE0C83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CAS</w:t>
            </w:r>
          </w:p>
        </w:tc>
        <w:tc>
          <w:tcPr>
            <w:tcW w:w="2886" w:type="dxa"/>
            <w:gridSpan w:val="4"/>
            <w:vAlign w:val="center"/>
          </w:tcPr>
          <w:p w14:paraId="736DFA6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7783-06-4</w:t>
            </w:r>
          </w:p>
        </w:tc>
      </w:tr>
      <w:tr w:rsidR="002D2AF8" w14:paraId="0504F181" w14:textId="77777777">
        <w:trPr>
          <w:trHeight w:val="397"/>
          <w:jc w:val="center"/>
        </w:trPr>
        <w:tc>
          <w:tcPr>
            <w:tcW w:w="602" w:type="dxa"/>
            <w:vMerge/>
            <w:vAlign w:val="center"/>
          </w:tcPr>
          <w:p w14:paraId="1063A942"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5A61094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分子式</w:t>
            </w:r>
          </w:p>
        </w:tc>
        <w:tc>
          <w:tcPr>
            <w:tcW w:w="1420" w:type="dxa"/>
            <w:vAlign w:val="center"/>
          </w:tcPr>
          <w:p w14:paraId="57AD49B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H</w:t>
            </w:r>
            <w:r>
              <w:rPr>
                <w:color w:val="000000" w:themeColor="text1"/>
                <w:szCs w:val="21"/>
                <w:vertAlign w:val="subscript"/>
              </w:rPr>
              <w:t>2</w:t>
            </w:r>
            <w:r>
              <w:rPr>
                <w:color w:val="000000" w:themeColor="text1"/>
                <w:szCs w:val="21"/>
              </w:rPr>
              <w:t>S</w:t>
            </w:r>
          </w:p>
        </w:tc>
        <w:tc>
          <w:tcPr>
            <w:tcW w:w="1842" w:type="dxa"/>
            <w:gridSpan w:val="2"/>
            <w:vAlign w:val="center"/>
          </w:tcPr>
          <w:p w14:paraId="2DF1234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危险货物编号</w:t>
            </w:r>
          </w:p>
        </w:tc>
        <w:tc>
          <w:tcPr>
            <w:tcW w:w="2886" w:type="dxa"/>
            <w:gridSpan w:val="4"/>
            <w:vAlign w:val="center"/>
          </w:tcPr>
          <w:p w14:paraId="16E25C8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21006</w:t>
            </w:r>
          </w:p>
        </w:tc>
      </w:tr>
      <w:tr w:rsidR="002D2AF8" w14:paraId="7E396676" w14:textId="77777777">
        <w:trPr>
          <w:trHeight w:val="397"/>
          <w:jc w:val="center"/>
        </w:trPr>
        <w:tc>
          <w:tcPr>
            <w:tcW w:w="602" w:type="dxa"/>
            <w:vMerge/>
            <w:vAlign w:val="center"/>
          </w:tcPr>
          <w:p w14:paraId="29B18D66"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B8A49F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分子量</w:t>
            </w:r>
          </w:p>
        </w:tc>
        <w:tc>
          <w:tcPr>
            <w:tcW w:w="1420" w:type="dxa"/>
            <w:vAlign w:val="center"/>
          </w:tcPr>
          <w:p w14:paraId="234530C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34.08</w:t>
            </w:r>
          </w:p>
        </w:tc>
        <w:tc>
          <w:tcPr>
            <w:tcW w:w="1842" w:type="dxa"/>
            <w:gridSpan w:val="2"/>
            <w:vAlign w:val="center"/>
          </w:tcPr>
          <w:p w14:paraId="306CE8C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UN</w:t>
            </w:r>
            <w:r>
              <w:rPr>
                <w:color w:val="000000" w:themeColor="text1"/>
                <w:szCs w:val="21"/>
              </w:rPr>
              <w:t>编号</w:t>
            </w:r>
          </w:p>
        </w:tc>
        <w:tc>
          <w:tcPr>
            <w:tcW w:w="2886" w:type="dxa"/>
            <w:gridSpan w:val="4"/>
            <w:vAlign w:val="center"/>
          </w:tcPr>
          <w:p w14:paraId="5D2C0E9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1053</w:t>
            </w:r>
          </w:p>
        </w:tc>
      </w:tr>
      <w:tr w:rsidR="002D2AF8" w14:paraId="5AC38786" w14:textId="77777777">
        <w:trPr>
          <w:trHeight w:val="397"/>
          <w:jc w:val="center"/>
        </w:trPr>
        <w:tc>
          <w:tcPr>
            <w:tcW w:w="602" w:type="dxa"/>
            <w:vMerge w:val="restart"/>
            <w:vAlign w:val="center"/>
          </w:tcPr>
          <w:p w14:paraId="7B1CBD5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理化性质</w:t>
            </w:r>
          </w:p>
        </w:tc>
        <w:tc>
          <w:tcPr>
            <w:tcW w:w="1773" w:type="dxa"/>
            <w:vAlign w:val="center"/>
          </w:tcPr>
          <w:p w14:paraId="1899ACC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外观性状</w:t>
            </w:r>
          </w:p>
        </w:tc>
        <w:tc>
          <w:tcPr>
            <w:tcW w:w="6148" w:type="dxa"/>
            <w:gridSpan w:val="7"/>
            <w:vAlign w:val="center"/>
          </w:tcPr>
          <w:p w14:paraId="5A85D183"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无色、有恶臭的气体。</w:t>
            </w:r>
          </w:p>
        </w:tc>
      </w:tr>
      <w:tr w:rsidR="002D2AF8" w14:paraId="2C5DF4A3" w14:textId="77777777">
        <w:trPr>
          <w:trHeight w:val="397"/>
          <w:jc w:val="center"/>
        </w:trPr>
        <w:tc>
          <w:tcPr>
            <w:tcW w:w="602" w:type="dxa"/>
            <w:vMerge/>
            <w:vAlign w:val="center"/>
          </w:tcPr>
          <w:p w14:paraId="1A32FFF7"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19269D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主要用途</w:t>
            </w:r>
          </w:p>
        </w:tc>
        <w:tc>
          <w:tcPr>
            <w:tcW w:w="6148" w:type="dxa"/>
            <w:gridSpan w:val="7"/>
            <w:vAlign w:val="center"/>
          </w:tcPr>
          <w:p w14:paraId="58F439E5"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用于化学分析如鉴定金属离子。</w:t>
            </w:r>
          </w:p>
        </w:tc>
      </w:tr>
      <w:tr w:rsidR="002D2AF8" w14:paraId="01E2C7B5" w14:textId="77777777">
        <w:trPr>
          <w:trHeight w:val="397"/>
          <w:jc w:val="center"/>
        </w:trPr>
        <w:tc>
          <w:tcPr>
            <w:tcW w:w="602" w:type="dxa"/>
            <w:vMerge/>
            <w:vAlign w:val="center"/>
          </w:tcPr>
          <w:p w14:paraId="2B7EE104"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D8B1B1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溶解性</w:t>
            </w:r>
          </w:p>
        </w:tc>
        <w:tc>
          <w:tcPr>
            <w:tcW w:w="6148" w:type="dxa"/>
            <w:gridSpan w:val="7"/>
            <w:vAlign w:val="center"/>
          </w:tcPr>
          <w:p w14:paraId="1C9B0385"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溶于水、乙醇。</w:t>
            </w:r>
          </w:p>
        </w:tc>
      </w:tr>
      <w:tr w:rsidR="002D2AF8" w14:paraId="7B84E141" w14:textId="77777777">
        <w:trPr>
          <w:trHeight w:val="397"/>
          <w:jc w:val="center"/>
        </w:trPr>
        <w:tc>
          <w:tcPr>
            <w:tcW w:w="602" w:type="dxa"/>
            <w:vMerge/>
            <w:vAlign w:val="center"/>
          </w:tcPr>
          <w:p w14:paraId="74141BAE"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4276D38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熔点（</w:t>
            </w:r>
            <w:r>
              <w:rPr>
                <w:color w:val="000000" w:themeColor="text1"/>
                <w:szCs w:val="21"/>
              </w:rPr>
              <w:t>℃</w:t>
            </w:r>
            <w:r>
              <w:rPr>
                <w:color w:val="000000" w:themeColor="text1"/>
                <w:szCs w:val="21"/>
              </w:rPr>
              <w:t>）</w:t>
            </w:r>
          </w:p>
        </w:tc>
        <w:tc>
          <w:tcPr>
            <w:tcW w:w="1420" w:type="dxa"/>
            <w:vAlign w:val="center"/>
          </w:tcPr>
          <w:p w14:paraId="639CDEF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-85.5</w:t>
            </w:r>
          </w:p>
        </w:tc>
        <w:tc>
          <w:tcPr>
            <w:tcW w:w="1842" w:type="dxa"/>
            <w:gridSpan w:val="2"/>
            <w:vAlign w:val="center"/>
          </w:tcPr>
          <w:p w14:paraId="14239C0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燃烧热（</w:t>
            </w:r>
            <w:r>
              <w:rPr>
                <w:color w:val="000000" w:themeColor="text1"/>
                <w:szCs w:val="21"/>
              </w:rPr>
              <w:t>kJ/mol</w:t>
            </w:r>
            <w:r>
              <w:rPr>
                <w:color w:val="000000" w:themeColor="text1"/>
                <w:szCs w:val="21"/>
              </w:rPr>
              <w:t>）</w:t>
            </w:r>
          </w:p>
        </w:tc>
        <w:tc>
          <w:tcPr>
            <w:tcW w:w="2886" w:type="dxa"/>
            <w:gridSpan w:val="4"/>
            <w:vAlign w:val="center"/>
          </w:tcPr>
          <w:p w14:paraId="352585A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r>
      <w:tr w:rsidR="002D2AF8" w14:paraId="5F696FE2" w14:textId="77777777">
        <w:trPr>
          <w:trHeight w:val="397"/>
          <w:jc w:val="center"/>
        </w:trPr>
        <w:tc>
          <w:tcPr>
            <w:tcW w:w="602" w:type="dxa"/>
            <w:vMerge/>
            <w:vAlign w:val="center"/>
          </w:tcPr>
          <w:p w14:paraId="33C2846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485E651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沸点（</w:t>
            </w:r>
            <w:r>
              <w:rPr>
                <w:color w:val="000000" w:themeColor="text1"/>
                <w:szCs w:val="21"/>
              </w:rPr>
              <w:t>℃</w:t>
            </w:r>
            <w:r>
              <w:rPr>
                <w:color w:val="000000" w:themeColor="text1"/>
                <w:szCs w:val="21"/>
              </w:rPr>
              <w:t>）</w:t>
            </w:r>
          </w:p>
        </w:tc>
        <w:tc>
          <w:tcPr>
            <w:tcW w:w="1420" w:type="dxa"/>
            <w:vAlign w:val="center"/>
          </w:tcPr>
          <w:p w14:paraId="685A19D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-60.4</w:t>
            </w:r>
          </w:p>
        </w:tc>
        <w:tc>
          <w:tcPr>
            <w:tcW w:w="1842" w:type="dxa"/>
            <w:gridSpan w:val="2"/>
            <w:vAlign w:val="center"/>
          </w:tcPr>
          <w:p w14:paraId="639E6D8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饱和蒸气压（</w:t>
            </w:r>
            <w:r>
              <w:rPr>
                <w:color w:val="000000" w:themeColor="text1"/>
                <w:szCs w:val="21"/>
              </w:rPr>
              <w:t>kPa</w:t>
            </w:r>
            <w:r>
              <w:rPr>
                <w:color w:val="000000" w:themeColor="text1"/>
                <w:szCs w:val="21"/>
              </w:rPr>
              <w:t>）</w:t>
            </w:r>
          </w:p>
        </w:tc>
        <w:tc>
          <w:tcPr>
            <w:tcW w:w="2886" w:type="dxa"/>
            <w:gridSpan w:val="4"/>
            <w:vAlign w:val="center"/>
          </w:tcPr>
          <w:p w14:paraId="4FDCA9C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2026.5</w:t>
            </w:r>
            <w:r>
              <w:rPr>
                <w:color w:val="000000" w:themeColor="text1"/>
                <w:szCs w:val="21"/>
              </w:rPr>
              <w:t>（</w:t>
            </w:r>
            <w:r>
              <w:rPr>
                <w:color w:val="000000" w:themeColor="text1"/>
                <w:szCs w:val="21"/>
              </w:rPr>
              <w:t>25.5℃</w:t>
            </w:r>
            <w:r>
              <w:rPr>
                <w:color w:val="000000" w:themeColor="text1"/>
                <w:szCs w:val="21"/>
              </w:rPr>
              <w:t>）</w:t>
            </w:r>
          </w:p>
        </w:tc>
      </w:tr>
      <w:tr w:rsidR="002D2AF8" w14:paraId="085A9491" w14:textId="77777777">
        <w:trPr>
          <w:trHeight w:val="397"/>
          <w:jc w:val="center"/>
        </w:trPr>
        <w:tc>
          <w:tcPr>
            <w:tcW w:w="602" w:type="dxa"/>
            <w:vMerge/>
            <w:vAlign w:val="center"/>
          </w:tcPr>
          <w:p w14:paraId="6AF62D55"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0135F5D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相对密度（水</w:t>
            </w:r>
            <w:r>
              <w:rPr>
                <w:color w:val="000000" w:themeColor="text1"/>
                <w:szCs w:val="21"/>
              </w:rPr>
              <w:t>=1</w:t>
            </w:r>
            <w:r>
              <w:rPr>
                <w:color w:val="000000" w:themeColor="text1"/>
                <w:szCs w:val="21"/>
              </w:rPr>
              <w:t>）</w:t>
            </w:r>
          </w:p>
        </w:tc>
        <w:tc>
          <w:tcPr>
            <w:tcW w:w="1420" w:type="dxa"/>
            <w:vAlign w:val="center"/>
          </w:tcPr>
          <w:p w14:paraId="0E25ECF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842" w:type="dxa"/>
            <w:gridSpan w:val="2"/>
            <w:vAlign w:val="center"/>
          </w:tcPr>
          <w:p w14:paraId="6001673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临界温度（</w:t>
            </w:r>
            <w:r>
              <w:rPr>
                <w:color w:val="000000" w:themeColor="text1"/>
                <w:szCs w:val="21"/>
              </w:rPr>
              <w:t>℃</w:t>
            </w:r>
            <w:r>
              <w:rPr>
                <w:color w:val="000000" w:themeColor="text1"/>
                <w:szCs w:val="21"/>
              </w:rPr>
              <w:t>）</w:t>
            </w:r>
          </w:p>
        </w:tc>
        <w:tc>
          <w:tcPr>
            <w:tcW w:w="2886" w:type="dxa"/>
            <w:gridSpan w:val="4"/>
            <w:vAlign w:val="center"/>
          </w:tcPr>
          <w:p w14:paraId="30E2D03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100.4</w:t>
            </w:r>
          </w:p>
        </w:tc>
      </w:tr>
      <w:tr w:rsidR="002D2AF8" w14:paraId="36B97699" w14:textId="77777777">
        <w:trPr>
          <w:trHeight w:val="527"/>
          <w:jc w:val="center"/>
        </w:trPr>
        <w:tc>
          <w:tcPr>
            <w:tcW w:w="602" w:type="dxa"/>
            <w:vMerge/>
            <w:vAlign w:val="center"/>
          </w:tcPr>
          <w:p w14:paraId="16023633"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DE60CD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相对密度</w:t>
            </w:r>
          </w:p>
          <w:p w14:paraId="2D880E98"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（空气</w:t>
            </w:r>
            <w:r>
              <w:rPr>
                <w:color w:val="000000" w:themeColor="text1"/>
                <w:szCs w:val="21"/>
              </w:rPr>
              <w:t>=1</w:t>
            </w:r>
            <w:r>
              <w:rPr>
                <w:color w:val="000000" w:themeColor="text1"/>
                <w:szCs w:val="21"/>
              </w:rPr>
              <w:t>）</w:t>
            </w:r>
          </w:p>
        </w:tc>
        <w:tc>
          <w:tcPr>
            <w:tcW w:w="1420" w:type="dxa"/>
            <w:vAlign w:val="center"/>
          </w:tcPr>
          <w:p w14:paraId="57A4996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1.19</w:t>
            </w:r>
          </w:p>
        </w:tc>
        <w:tc>
          <w:tcPr>
            <w:tcW w:w="1842" w:type="dxa"/>
            <w:gridSpan w:val="2"/>
            <w:vAlign w:val="center"/>
          </w:tcPr>
          <w:p w14:paraId="609D3F5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临界压力（</w:t>
            </w:r>
            <w:r>
              <w:rPr>
                <w:color w:val="000000" w:themeColor="text1"/>
                <w:szCs w:val="21"/>
              </w:rPr>
              <w:t>MPa</w:t>
            </w:r>
            <w:r>
              <w:rPr>
                <w:color w:val="000000" w:themeColor="text1"/>
                <w:szCs w:val="21"/>
              </w:rPr>
              <w:t>）</w:t>
            </w:r>
          </w:p>
        </w:tc>
        <w:tc>
          <w:tcPr>
            <w:tcW w:w="2886" w:type="dxa"/>
            <w:gridSpan w:val="4"/>
            <w:vAlign w:val="center"/>
          </w:tcPr>
          <w:p w14:paraId="0B938DF4"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9.01</w:t>
            </w:r>
          </w:p>
        </w:tc>
      </w:tr>
      <w:tr w:rsidR="002D2AF8" w14:paraId="4E2152BD" w14:textId="77777777">
        <w:trPr>
          <w:trHeight w:val="397"/>
          <w:jc w:val="center"/>
        </w:trPr>
        <w:tc>
          <w:tcPr>
            <w:tcW w:w="602" w:type="dxa"/>
            <w:vMerge w:val="restart"/>
            <w:vAlign w:val="center"/>
          </w:tcPr>
          <w:p w14:paraId="0407A4D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燃烧爆炸危险性</w:t>
            </w:r>
          </w:p>
        </w:tc>
        <w:tc>
          <w:tcPr>
            <w:tcW w:w="1773" w:type="dxa"/>
            <w:vAlign w:val="center"/>
          </w:tcPr>
          <w:p w14:paraId="344AF2F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燃烧性：</w:t>
            </w:r>
          </w:p>
        </w:tc>
        <w:tc>
          <w:tcPr>
            <w:tcW w:w="1420" w:type="dxa"/>
            <w:vAlign w:val="center"/>
          </w:tcPr>
          <w:p w14:paraId="3A56DB8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易燃</w:t>
            </w:r>
          </w:p>
        </w:tc>
        <w:tc>
          <w:tcPr>
            <w:tcW w:w="1842" w:type="dxa"/>
            <w:gridSpan w:val="2"/>
            <w:vMerge w:val="restart"/>
            <w:vAlign w:val="center"/>
          </w:tcPr>
          <w:p w14:paraId="3131551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危险特性</w:t>
            </w:r>
          </w:p>
        </w:tc>
        <w:tc>
          <w:tcPr>
            <w:tcW w:w="2886" w:type="dxa"/>
            <w:gridSpan w:val="4"/>
            <w:vMerge w:val="restart"/>
            <w:vAlign w:val="center"/>
          </w:tcPr>
          <w:p w14:paraId="4C9A14EB"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易燃，与空气混合能形成爆炸性混合物，遇明火、高热能引起燃烧爆炸。与浓硝酸、发烟硝酸或其它强氧化剂剧烈反应，发生爆炸。气体比空气重，能在较低处扩散到相当远的地方，遇火源会着火回燃。</w:t>
            </w:r>
          </w:p>
        </w:tc>
      </w:tr>
      <w:tr w:rsidR="002D2AF8" w14:paraId="51B1756C" w14:textId="77777777">
        <w:trPr>
          <w:trHeight w:val="397"/>
          <w:jc w:val="center"/>
        </w:trPr>
        <w:tc>
          <w:tcPr>
            <w:tcW w:w="602" w:type="dxa"/>
            <w:vMerge/>
            <w:vAlign w:val="center"/>
          </w:tcPr>
          <w:p w14:paraId="6F6FEE8E"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41FABE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建规火险分级</w:t>
            </w:r>
          </w:p>
        </w:tc>
        <w:tc>
          <w:tcPr>
            <w:tcW w:w="1420" w:type="dxa"/>
            <w:vAlign w:val="center"/>
          </w:tcPr>
          <w:p w14:paraId="3E11BEF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甲</w:t>
            </w:r>
          </w:p>
        </w:tc>
        <w:tc>
          <w:tcPr>
            <w:tcW w:w="1842" w:type="dxa"/>
            <w:gridSpan w:val="2"/>
            <w:vMerge/>
            <w:vAlign w:val="center"/>
          </w:tcPr>
          <w:p w14:paraId="49D7D69B" w14:textId="77777777" w:rsidR="002D2AF8" w:rsidRDefault="002D2AF8">
            <w:pPr>
              <w:adjustRightInd w:val="0"/>
              <w:snapToGrid w:val="0"/>
              <w:spacing w:beforeLines="20" w:before="65" w:afterLines="20" w:after="65"/>
              <w:jc w:val="center"/>
              <w:rPr>
                <w:color w:val="000000" w:themeColor="text1"/>
                <w:szCs w:val="21"/>
              </w:rPr>
            </w:pPr>
          </w:p>
        </w:tc>
        <w:tc>
          <w:tcPr>
            <w:tcW w:w="2886" w:type="dxa"/>
            <w:gridSpan w:val="4"/>
            <w:vMerge/>
            <w:vAlign w:val="center"/>
          </w:tcPr>
          <w:p w14:paraId="7850E015" w14:textId="77777777" w:rsidR="002D2AF8" w:rsidRDefault="002D2AF8">
            <w:pPr>
              <w:adjustRightInd w:val="0"/>
              <w:snapToGrid w:val="0"/>
              <w:spacing w:beforeLines="20" w:before="65" w:afterLines="20" w:after="65"/>
              <w:jc w:val="center"/>
              <w:rPr>
                <w:color w:val="000000" w:themeColor="text1"/>
                <w:szCs w:val="21"/>
              </w:rPr>
            </w:pPr>
          </w:p>
        </w:tc>
      </w:tr>
      <w:tr w:rsidR="002D2AF8" w14:paraId="5BCEC838" w14:textId="77777777">
        <w:trPr>
          <w:trHeight w:val="397"/>
          <w:jc w:val="center"/>
        </w:trPr>
        <w:tc>
          <w:tcPr>
            <w:tcW w:w="602" w:type="dxa"/>
            <w:vMerge/>
            <w:vAlign w:val="center"/>
          </w:tcPr>
          <w:p w14:paraId="1FF28A60"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6B34C0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闪点（</w:t>
            </w:r>
            <w:r>
              <w:rPr>
                <w:color w:val="000000" w:themeColor="text1"/>
                <w:szCs w:val="21"/>
              </w:rPr>
              <w:t>℃</w:t>
            </w:r>
            <w:r>
              <w:rPr>
                <w:color w:val="000000" w:themeColor="text1"/>
                <w:szCs w:val="21"/>
              </w:rPr>
              <w:t>）</w:t>
            </w:r>
          </w:p>
        </w:tc>
        <w:tc>
          <w:tcPr>
            <w:tcW w:w="1420" w:type="dxa"/>
            <w:vAlign w:val="center"/>
          </w:tcPr>
          <w:p w14:paraId="1779A45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无意义</w:t>
            </w:r>
          </w:p>
        </w:tc>
        <w:tc>
          <w:tcPr>
            <w:tcW w:w="1842" w:type="dxa"/>
            <w:gridSpan w:val="2"/>
            <w:vMerge/>
            <w:vAlign w:val="center"/>
          </w:tcPr>
          <w:p w14:paraId="30A306C9" w14:textId="77777777" w:rsidR="002D2AF8" w:rsidRDefault="002D2AF8">
            <w:pPr>
              <w:adjustRightInd w:val="0"/>
              <w:snapToGrid w:val="0"/>
              <w:spacing w:beforeLines="20" w:before="65" w:afterLines="20" w:after="65"/>
              <w:jc w:val="center"/>
              <w:rPr>
                <w:color w:val="000000" w:themeColor="text1"/>
                <w:szCs w:val="21"/>
              </w:rPr>
            </w:pPr>
          </w:p>
        </w:tc>
        <w:tc>
          <w:tcPr>
            <w:tcW w:w="2886" w:type="dxa"/>
            <w:gridSpan w:val="4"/>
            <w:vMerge/>
            <w:vAlign w:val="center"/>
          </w:tcPr>
          <w:p w14:paraId="79480AAF" w14:textId="77777777" w:rsidR="002D2AF8" w:rsidRDefault="002D2AF8">
            <w:pPr>
              <w:adjustRightInd w:val="0"/>
              <w:snapToGrid w:val="0"/>
              <w:spacing w:beforeLines="20" w:before="65" w:afterLines="20" w:after="65"/>
              <w:jc w:val="center"/>
              <w:rPr>
                <w:color w:val="000000" w:themeColor="text1"/>
                <w:szCs w:val="21"/>
              </w:rPr>
            </w:pPr>
          </w:p>
        </w:tc>
      </w:tr>
      <w:tr w:rsidR="002D2AF8" w14:paraId="0C9FCC2F" w14:textId="77777777">
        <w:trPr>
          <w:trHeight w:val="397"/>
          <w:jc w:val="center"/>
        </w:trPr>
        <w:tc>
          <w:tcPr>
            <w:tcW w:w="602" w:type="dxa"/>
            <w:vMerge/>
            <w:vAlign w:val="center"/>
          </w:tcPr>
          <w:p w14:paraId="26E3F4DF"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235D16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引燃温度（</w:t>
            </w:r>
            <w:r>
              <w:rPr>
                <w:color w:val="000000" w:themeColor="text1"/>
                <w:szCs w:val="21"/>
              </w:rPr>
              <w:t>℃</w:t>
            </w:r>
            <w:r>
              <w:rPr>
                <w:color w:val="000000" w:themeColor="text1"/>
                <w:szCs w:val="21"/>
              </w:rPr>
              <w:t>）</w:t>
            </w:r>
          </w:p>
        </w:tc>
        <w:tc>
          <w:tcPr>
            <w:tcW w:w="1420" w:type="dxa"/>
            <w:vAlign w:val="center"/>
          </w:tcPr>
          <w:p w14:paraId="35AF0D5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260</w:t>
            </w:r>
          </w:p>
        </w:tc>
        <w:tc>
          <w:tcPr>
            <w:tcW w:w="1842" w:type="dxa"/>
            <w:gridSpan w:val="2"/>
            <w:vMerge/>
            <w:vAlign w:val="center"/>
          </w:tcPr>
          <w:p w14:paraId="179FDA43" w14:textId="77777777" w:rsidR="002D2AF8" w:rsidRDefault="002D2AF8">
            <w:pPr>
              <w:adjustRightInd w:val="0"/>
              <w:snapToGrid w:val="0"/>
              <w:spacing w:beforeLines="20" w:before="65" w:afterLines="20" w:after="65"/>
              <w:jc w:val="center"/>
              <w:rPr>
                <w:color w:val="000000" w:themeColor="text1"/>
                <w:szCs w:val="21"/>
              </w:rPr>
            </w:pPr>
          </w:p>
        </w:tc>
        <w:tc>
          <w:tcPr>
            <w:tcW w:w="2886" w:type="dxa"/>
            <w:gridSpan w:val="4"/>
            <w:vMerge/>
            <w:vAlign w:val="center"/>
          </w:tcPr>
          <w:p w14:paraId="6A850864" w14:textId="77777777" w:rsidR="002D2AF8" w:rsidRDefault="002D2AF8">
            <w:pPr>
              <w:adjustRightInd w:val="0"/>
              <w:snapToGrid w:val="0"/>
              <w:spacing w:beforeLines="20" w:before="65" w:afterLines="20" w:after="65"/>
              <w:jc w:val="center"/>
              <w:rPr>
                <w:color w:val="000000" w:themeColor="text1"/>
                <w:szCs w:val="21"/>
              </w:rPr>
            </w:pPr>
          </w:p>
        </w:tc>
      </w:tr>
      <w:tr w:rsidR="002D2AF8" w14:paraId="18B5515F" w14:textId="77777777">
        <w:trPr>
          <w:trHeight w:val="397"/>
          <w:jc w:val="center"/>
        </w:trPr>
        <w:tc>
          <w:tcPr>
            <w:tcW w:w="602" w:type="dxa"/>
            <w:vMerge/>
            <w:vAlign w:val="center"/>
          </w:tcPr>
          <w:p w14:paraId="6968D11B"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52AF530"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爆炸下限（</w:t>
            </w:r>
            <w:r>
              <w:rPr>
                <w:color w:val="000000" w:themeColor="text1"/>
                <w:szCs w:val="21"/>
              </w:rPr>
              <w:t>V/%</w:t>
            </w:r>
            <w:r>
              <w:rPr>
                <w:color w:val="000000" w:themeColor="text1"/>
                <w:szCs w:val="21"/>
              </w:rPr>
              <w:t>）</w:t>
            </w:r>
          </w:p>
        </w:tc>
        <w:tc>
          <w:tcPr>
            <w:tcW w:w="1420" w:type="dxa"/>
            <w:vAlign w:val="center"/>
          </w:tcPr>
          <w:p w14:paraId="0C0D205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4.0</w:t>
            </w:r>
          </w:p>
        </w:tc>
        <w:tc>
          <w:tcPr>
            <w:tcW w:w="1842" w:type="dxa"/>
            <w:gridSpan w:val="2"/>
            <w:vMerge/>
            <w:vAlign w:val="center"/>
          </w:tcPr>
          <w:p w14:paraId="6E9F2EE1" w14:textId="77777777" w:rsidR="002D2AF8" w:rsidRDefault="002D2AF8">
            <w:pPr>
              <w:adjustRightInd w:val="0"/>
              <w:snapToGrid w:val="0"/>
              <w:spacing w:beforeLines="20" w:before="65" w:afterLines="20" w:after="65"/>
              <w:jc w:val="center"/>
              <w:rPr>
                <w:color w:val="000000" w:themeColor="text1"/>
                <w:szCs w:val="21"/>
              </w:rPr>
            </w:pPr>
          </w:p>
        </w:tc>
        <w:tc>
          <w:tcPr>
            <w:tcW w:w="2886" w:type="dxa"/>
            <w:gridSpan w:val="4"/>
            <w:vMerge/>
            <w:vAlign w:val="center"/>
          </w:tcPr>
          <w:p w14:paraId="6BD65630" w14:textId="77777777" w:rsidR="002D2AF8" w:rsidRDefault="002D2AF8">
            <w:pPr>
              <w:adjustRightInd w:val="0"/>
              <w:snapToGrid w:val="0"/>
              <w:spacing w:beforeLines="20" w:before="65" w:afterLines="20" w:after="65"/>
              <w:jc w:val="center"/>
              <w:rPr>
                <w:color w:val="000000" w:themeColor="text1"/>
                <w:szCs w:val="21"/>
              </w:rPr>
            </w:pPr>
          </w:p>
        </w:tc>
      </w:tr>
      <w:tr w:rsidR="002D2AF8" w14:paraId="42B993EA" w14:textId="77777777">
        <w:trPr>
          <w:trHeight w:val="397"/>
          <w:jc w:val="center"/>
        </w:trPr>
        <w:tc>
          <w:tcPr>
            <w:tcW w:w="602" w:type="dxa"/>
            <w:vMerge/>
            <w:vAlign w:val="center"/>
          </w:tcPr>
          <w:p w14:paraId="7EFF6C92"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7F50CA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爆炸上限（</w:t>
            </w:r>
            <w:r>
              <w:rPr>
                <w:color w:val="000000" w:themeColor="text1"/>
                <w:szCs w:val="21"/>
              </w:rPr>
              <w:t>V/%</w:t>
            </w:r>
            <w:r>
              <w:rPr>
                <w:color w:val="000000" w:themeColor="text1"/>
                <w:szCs w:val="21"/>
              </w:rPr>
              <w:t>）</w:t>
            </w:r>
          </w:p>
        </w:tc>
        <w:tc>
          <w:tcPr>
            <w:tcW w:w="1420" w:type="dxa"/>
            <w:vAlign w:val="center"/>
          </w:tcPr>
          <w:p w14:paraId="7EF461E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46.0</w:t>
            </w:r>
          </w:p>
        </w:tc>
        <w:tc>
          <w:tcPr>
            <w:tcW w:w="1842" w:type="dxa"/>
            <w:gridSpan w:val="2"/>
            <w:vAlign w:val="center"/>
          </w:tcPr>
          <w:p w14:paraId="005D9E7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燃烧（分解）产物</w:t>
            </w:r>
          </w:p>
        </w:tc>
        <w:tc>
          <w:tcPr>
            <w:tcW w:w="2886" w:type="dxa"/>
            <w:gridSpan w:val="4"/>
            <w:vAlign w:val="center"/>
          </w:tcPr>
          <w:p w14:paraId="2294D4EF"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氧化硫。</w:t>
            </w:r>
          </w:p>
        </w:tc>
      </w:tr>
      <w:tr w:rsidR="002D2AF8" w14:paraId="6CF36DBD" w14:textId="77777777">
        <w:trPr>
          <w:trHeight w:val="397"/>
          <w:jc w:val="center"/>
        </w:trPr>
        <w:tc>
          <w:tcPr>
            <w:tcW w:w="602" w:type="dxa"/>
            <w:vMerge/>
            <w:vAlign w:val="center"/>
          </w:tcPr>
          <w:p w14:paraId="646C5DF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C5E6E8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稳定性</w:t>
            </w:r>
          </w:p>
        </w:tc>
        <w:tc>
          <w:tcPr>
            <w:tcW w:w="1420" w:type="dxa"/>
            <w:vAlign w:val="center"/>
          </w:tcPr>
          <w:p w14:paraId="3DC4078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稳定</w:t>
            </w:r>
          </w:p>
        </w:tc>
        <w:tc>
          <w:tcPr>
            <w:tcW w:w="1133" w:type="dxa"/>
            <w:vAlign w:val="center"/>
          </w:tcPr>
          <w:p w14:paraId="24621DB0"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灭火方法</w:t>
            </w:r>
          </w:p>
        </w:tc>
        <w:tc>
          <w:tcPr>
            <w:tcW w:w="3595" w:type="dxa"/>
            <w:gridSpan w:val="5"/>
            <w:vAlign w:val="center"/>
          </w:tcPr>
          <w:p w14:paraId="6319B9A2"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消防人员必须穿全身防火防毒服，在上风向灭火。切断气源。若不能切断气源，则不允许熄灭泄漏处的火焰。喷水冷却容器，可能的话将容器从火场移至空旷处。灭火剂：雾状水、抗溶性泡沫、干粉。</w:t>
            </w:r>
          </w:p>
        </w:tc>
      </w:tr>
      <w:tr w:rsidR="002D2AF8" w14:paraId="71D0FF7A" w14:textId="77777777">
        <w:trPr>
          <w:trHeight w:val="397"/>
          <w:jc w:val="center"/>
        </w:trPr>
        <w:tc>
          <w:tcPr>
            <w:tcW w:w="602" w:type="dxa"/>
            <w:vMerge/>
            <w:vAlign w:val="center"/>
          </w:tcPr>
          <w:p w14:paraId="51C5EF75"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18048D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聚合危害</w:t>
            </w:r>
          </w:p>
        </w:tc>
        <w:tc>
          <w:tcPr>
            <w:tcW w:w="1420" w:type="dxa"/>
            <w:vAlign w:val="center"/>
          </w:tcPr>
          <w:p w14:paraId="2176A10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不能出现</w:t>
            </w:r>
          </w:p>
        </w:tc>
        <w:tc>
          <w:tcPr>
            <w:tcW w:w="1984" w:type="dxa"/>
            <w:gridSpan w:val="3"/>
            <w:vAlign w:val="center"/>
          </w:tcPr>
          <w:p w14:paraId="5F0BF28A"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禁忌物</w:t>
            </w:r>
          </w:p>
        </w:tc>
        <w:tc>
          <w:tcPr>
            <w:tcW w:w="2744" w:type="dxa"/>
            <w:gridSpan w:val="3"/>
            <w:vAlign w:val="center"/>
          </w:tcPr>
          <w:p w14:paraId="68647B0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强氧化剂、碱类。</w:t>
            </w:r>
          </w:p>
        </w:tc>
      </w:tr>
      <w:tr w:rsidR="002D2AF8" w14:paraId="5454DC67" w14:textId="77777777">
        <w:trPr>
          <w:trHeight w:val="397"/>
          <w:jc w:val="center"/>
        </w:trPr>
        <w:tc>
          <w:tcPr>
            <w:tcW w:w="602" w:type="dxa"/>
            <w:vMerge w:val="restart"/>
            <w:vAlign w:val="center"/>
          </w:tcPr>
          <w:p w14:paraId="79E5EB2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包装与储运</w:t>
            </w:r>
          </w:p>
        </w:tc>
        <w:tc>
          <w:tcPr>
            <w:tcW w:w="1773" w:type="dxa"/>
            <w:vAlign w:val="center"/>
          </w:tcPr>
          <w:p w14:paraId="047AE62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危险性类别</w:t>
            </w:r>
          </w:p>
        </w:tc>
        <w:tc>
          <w:tcPr>
            <w:tcW w:w="1420" w:type="dxa"/>
            <w:vAlign w:val="center"/>
          </w:tcPr>
          <w:p w14:paraId="79DC157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该产品属于易燃</w:t>
            </w:r>
            <w:r>
              <w:rPr>
                <w:rFonts w:hint="eastAsia"/>
                <w:color w:val="000000" w:themeColor="text1"/>
                <w:szCs w:val="21"/>
              </w:rPr>
              <w:t>气</w:t>
            </w:r>
            <w:r>
              <w:rPr>
                <w:color w:val="000000" w:themeColor="text1"/>
                <w:szCs w:val="21"/>
              </w:rPr>
              <w:t>体，类别</w:t>
            </w:r>
            <w:r>
              <w:rPr>
                <w:rFonts w:hint="eastAsia"/>
                <w:color w:val="000000" w:themeColor="text1"/>
                <w:szCs w:val="21"/>
              </w:rPr>
              <w:t>1</w:t>
            </w:r>
          </w:p>
        </w:tc>
        <w:tc>
          <w:tcPr>
            <w:tcW w:w="1984" w:type="dxa"/>
            <w:gridSpan w:val="3"/>
            <w:vAlign w:val="center"/>
          </w:tcPr>
          <w:p w14:paraId="0B2FA7D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危险货物包装标志</w:t>
            </w:r>
          </w:p>
        </w:tc>
        <w:tc>
          <w:tcPr>
            <w:tcW w:w="851" w:type="dxa"/>
            <w:vAlign w:val="center"/>
          </w:tcPr>
          <w:p w14:paraId="3E4756B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无资料</w:t>
            </w:r>
          </w:p>
        </w:tc>
        <w:tc>
          <w:tcPr>
            <w:tcW w:w="1134" w:type="dxa"/>
            <w:vAlign w:val="center"/>
          </w:tcPr>
          <w:p w14:paraId="51D5D83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包装类别</w:t>
            </w:r>
          </w:p>
        </w:tc>
        <w:tc>
          <w:tcPr>
            <w:tcW w:w="759" w:type="dxa"/>
            <w:vAlign w:val="center"/>
          </w:tcPr>
          <w:p w14:paraId="13D45887" w14:textId="77777777" w:rsidR="002D2AF8" w:rsidRDefault="00000000">
            <w:pPr>
              <w:adjustRightInd w:val="0"/>
              <w:snapToGrid w:val="0"/>
              <w:spacing w:beforeLines="20" w:before="65" w:afterLines="20" w:after="65"/>
              <w:jc w:val="center"/>
              <w:rPr>
                <w:color w:val="000000" w:themeColor="text1"/>
                <w:szCs w:val="21"/>
              </w:rPr>
            </w:pPr>
            <w:r>
              <w:rPr>
                <w:rFonts w:hint="eastAsia"/>
                <w:color w:val="000000" w:themeColor="text1"/>
                <w:szCs w:val="21"/>
              </w:rPr>
              <w:t>0</w:t>
            </w:r>
            <w:r>
              <w:rPr>
                <w:color w:val="000000" w:themeColor="text1"/>
                <w:szCs w:val="21"/>
              </w:rPr>
              <w:t>52</w:t>
            </w:r>
          </w:p>
        </w:tc>
      </w:tr>
      <w:tr w:rsidR="002D2AF8" w14:paraId="0EB7C1C4" w14:textId="77777777">
        <w:trPr>
          <w:trHeight w:val="397"/>
          <w:jc w:val="center"/>
        </w:trPr>
        <w:tc>
          <w:tcPr>
            <w:tcW w:w="602" w:type="dxa"/>
            <w:vMerge/>
            <w:vAlign w:val="center"/>
          </w:tcPr>
          <w:p w14:paraId="56983F72"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9C6E510"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储运注意事项：</w:t>
            </w:r>
          </w:p>
        </w:tc>
        <w:tc>
          <w:tcPr>
            <w:tcW w:w="6148" w:type="dxa"/>
            <w:gridSpan w:val="7"/>
            <w:vAlign w:val="center"/>
          </w:tcPr>
          <w:p w14:paraId="4E4E58D3"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储存注意事项：</w:t>
            </w:r>
            <w:r>
              <w:rPr>
                <w:color w:val="000000" w:themeColor="text1"/>
                <w:szCs w:val="21"/>
              </w:rPr>
              <w:tab/>
            </w:r>
            <w:r>
              <w:rPr>
                <w:color w:val="000000" w:themeColor="text1"/>
                <w:szCs w:val="21"/>
              </w:rPr>
              <w:t>储存于阴凉、通风的库房。远离火种、热源。库温不宜超过</w:t>
            </w:r>
            <w:r>
              <w:rPr>
                <w:color w:val="000000" w:themeColor="text1"/>
                <w:szCs w:val="21"/>
              </w:rPr>
              <w:t>30℃</w:t>
            </w:r>
            <w:r>
              <w:rPr>
                <w:color w:val="000000" w:themeColor="text1"/>
                <w:szCs w:val="21"/>
              </w:rPr>
              <w:t>。保持容器密封。应与氧化剂、碱类分开存放，切忌混储。采用防爆型照明、通风设施。禁止使用易产生火花的机械设备和工具。储区应备有泄漏应急处理设备。</w:t>
            </w:r>
          </w:p>
          <w:p w14:paraId="2EB27178"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运输注意事项：铁路运输时应严格按照铁道部《危险货物运输规则》中的危险货物配装表进行配装。采用刚瓶运输时必须戴好钢瓶上的安全帽。钢瓶一般平放，并应将瓶口朝同一方向，不可交叉；高度不得超过车辆的防护栏板，并用三角木垫卡牢，防止滚动。运输时运输车辆应配备相应品种和数量的消防器材。装运该物品的车辆排气管必须配备阻火装置，禁止使用易产生火花的机械设备和工具装卸。严禁与氧化剂、碱类、食用化学品等混装混运。夏季应早晚运输，防止日光曝晒。中途停留时应远离火种、热源。公路运输时要按规定路线行驶，禁止在居民区和人口稠密区停留。铁路运输时要禁止溜放。</w:t>
            </w:r>
          </w:p>
        </w:tc>
      </w:tr>
      <w:tr w:rsidR="002D2AF8" w14:paraId="36ECDF63" w14:textId="77777777">
        <w:trPr>
          <w:trHeight w:val="397"/>
          <w:jc w:val="center"/>
        </w:trPr>
        <w:tc>
          <w:tcPr>
            <w:tcW w:w="602" w:type="dxa"/>
            <w:vMerge w:val="restart"/>
            <w:vAlign w:val="center"/>
          </w:tcPr>
          <w:p w14:paraId="3A91466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毒性与健康危害性</w:t>
            </w:r>
          </w:p>
        </w:tc>
        <w:tc>
          <w:tcPr>
            <w:tcW w:w="1773" w:type="dxa"/>
            <w:vAlign w:val="center"/>
          </w:tcPr>
          <w:p w14:paraId="7245F0B2"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接触限值</w:t>
            </w:r>
          </w:p>
        </w:tc>
        <w:tc>
          <w:tcPr>
            <w:tcW w:w="6148" w:type="dxa"/>
            <w:gridSpan w:val="7"/>
            <w:vAlign w:val="center"/>
          </w:tcPr>
          <w:p w14:paraId="002FC75E"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中国</w:t>
            </w:r>
            <w:r>
              <w:rPr>
                <w:color w:val="000000" w:themeColor="text1"/>
                <w:szCs w:val="21"/>
              </w:rPr>
              <w:t>MAC</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10</w:t>
            </w:r>
          </w:p>
          <w:p w14:paraId="44000770"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中国</w:t>
            </w:r>
            <w:r>
              <w:rPr>
                <w:color w:val="000000" w:themeColor="text1"/>
                <w:szCs w:val="21"/>
              </w:rPr>
              <w:t>TLV</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15</w:t>
            </w:r>
            <w:r>
              <w:rPr>
                <w:color w:val="000000" w:themeColor="text1"/>
                <w:szCs w:val="21"/>
              </w:rPr>
              <w:t>（</w:t>
            </w:r>
            <w:r>
              <w:rPr>
                <w:color w:val="000000" w:themeColor="text1"/>
                <w:szCs w:val="21"/>
              </w:rPr>
              <w:t>10ppm</w:t>
            </w:r>
            <w:r>
              <w:rPr>
                <w:color w:val="000000" w:themeColor="text1"/>
                <w:szCs w:val="21"/>
              </w:rPr>
              <w:t>）</w:t>
            </w:r>
          </w:p>
          <w:p w14:paraId="502A268F"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前苏联</w:t>
            </w:r>
            <w:r>
              <w:rPr>
                <w:color w:val="000000" w:themeColor="text1"/>
                <w:szCs w:val="21"/>
              </w:rPr>
              <w:t>MAC</w:t>
            </w:r>
            <w:r>
              <w:rPr>
                <w:color w:val="000000" w:themeColor="text1"/>
                <w:szCs w:val="21"/>
              </w:rPr>
              <w:t>（</w:t>
            </w:r>
            <w:r>
              <w:rPr>
                <w:color w:val="000000" w:themeColor="text1"/>
                <w:szCs w:val="21"/>
              </w:rPr>
              <w:t>mg/m</w:t>
            </w:r>
            <w:r>
              <w:rPr>
                <w:color w:val="000000" w:themeColor="text1"/>
                <w:szCs w:val="21"/>
                <w:vertAlign w:val="superscript"/>
              </w:rPr>
              <w:t>3</w:t>
            </w:r>
            <w:r>
              <w:rPr>
                <w:color w:val="000000" w:themeColor="text1"/>
                <w:szCs w:val="21"/>
              </w:rPr>
              <w:t>）：</w:t>
            </w:r>
            <w:r>
              <w:rPr>
                <w:color w:val="000000" w:themeColor="text1"/>
                <w:szCs w:val="21"/>
              </w:rPr>
              <w:t>10</w:t>
            </w:r>
          </w:p>
          <w:p w14:paraId="7C162020"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TLVTN</w:t>
            </w:r>
            <w:r>
              <w:rPr>
                <w:color w:val="000000" w:themeColor="text1"/>
                <w:szCs w:val="21"/>
              </w:rPr>
              <w:t>：</w:t>
            </w:r>
            <w:r>
              <w:rPr>
                <w:color w:val="000000" w:themeColor="text1"/>
                <w:szCs w:val="21"/>
              </w:rPr>
              <w:t>OSHA 20ppm</w:t>
            </w:r>
            <w:r>
              <w:rPr>
                <w:color w:val="000000" w:themeColor="text1"/>
                <w:szCs w:val="21"/>
              </w:rPr>
              <w:t>，</w:t>
            </w:r>
            <w:r>
              <w:rPr>
                <w:color w:val="000000" w:themeColor="text1"/>
                <w:szCs w:val="21"/>
              </w:rPr>
              <w:t>28mg/m</w:t>
            </w:r>
            <w:r>
              <w:rPr>
                <w:color w:val="000000" w:themeColor="text1"/>
                <w:szCs w:val="21"/>
                <w:vertAlign w:val="superscript"/>
              </w:rPr>
              <w:t>3</w:t>
            </w:r>
            <w:r>
              <w:rPr>
                <w:color w:val="000000" w:themeColor="text1"/>
                <w:szCs w:val="21"/>
              </w:rPr>
              <w:t>[</w:t>
            </w:r>
            <w:r>
              <w:rPr>
                <w:color w:val="000000" w:themeColor="text1"/>
                <w:szCs w:val="21"/>
              </w:rPr>
              <w:t>上限值</w:t>
            </w:r>
            <w:r>
              <w:rPr>
                <w:color w:val="000000" w:themeColor="text1"/>
                <w:szCs w:val="21"/>
              </w:rPr>
              <w:t>]</w:t>
            </w:r>
            <w:r>
              <w:rPr>
                <w:color w:val="000000" w:themeColor="text1"/>
                <w:szCs w:val="21"/>
              </w:rPr>
              <w:t>；</w:t>
            </w:r>
            <w:r>
              <w:rPr>
                <w:color w:val="000000" w:themeColor="text1"/>
                <w:szCs w:val="21"/>
              </w:rPr>
              <w:t>ACGIH 10ppm</w:t>
            </w:r>
            <w:r>
              <w:rPr>
                <w:color w:val="000000" w:themeColor="text1"/>
                <w:szCs w:val="21"/>
              </w:rPr>
              <w:t>，</w:t>
            </w:r>
            <w:r>
              <w:rPr>
                <w:color w:val="000000" w:themeColor="text1"/>
                <w:szCs w:val="21"/>
              </w:rPr>
              <w:t>14mg/m</w:t>
            </w:r>
            <w:r>
              <w:rPr>
                <w:color w:val="000000" w:themeColor="text1"/>
                <w:szCs w:val="21"/>
                <w:vertAlign w:val="superscript"/>
              </w:rPr>
              <w:t>3</w:t>
            </w:r>
          </w:p>
          <w:p w14:paraId="77DB6634"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TLVWN</w:t>
            </w:r>
            <w:r>
              <w:rPr>
                <w:color w:val="000000" w:themeColor="text1"/>
                <w:szCs w:val="21"/>
              </w:rPr>
              <w:t>：</w:t>
            </w:r>
            <w:r>
              <w:rPr>
                <w:color w:val="000000" w:themeColor="text1"/>
                <w:szCs w:val="21"/>
              </w:rPr>
              <w:t>ACGIH 15ppm</w:t>
            </w:r>
            <w:r>
              <w:rPr>
                <w:color w:val="000000" w:themeColor="text1"/>
                <w:szCs w:val="21"/>
              </w:rPr>
              <w:t>，</w:t>
            </w:r>
            <w:r>
              <w:rPr>
                <w:color w:val="000000" w:themeColor="text1"/>
                <w:szCs w:val="21"/>
              </w:rPr>
              <w:t>21mg/m</w:t>
            </w:r>
            <w:r>
              <w:rPr>
                <w:color w:val="000000" w:themeColor="text1"/>
                <w:szCs w:val="21"/>
                <w:vertAlign w:val="superscript"/>
              </w:rPr>
              <w:t>3</w:t>
            </w:r>
          </w:p>
        </w:tc>
      </w:tr>
      <w:tr w:rsidR="002D2AF8" w14:paraId="621D2E90" w14:textId="77777777">
        <w:trPr>
          <w:trHeight w:val="397"/>
          <w:jc w:val="center"/>
        </w:trPr>
        <w:tc>
          <w:tcPr>
            <w:tcW w:w="602" w:type="dxa"/>
            <w:vMerge/>
            <w:vAlign w:val="center"/>
          </w:tcPr>
          <w:p w14:paraId="3842B49A"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217576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毒性</w:t>
            </w:r>
          </w:p>
        </w:tc>
        <w:tc>
          <w:tcPr>
            <w:tcW w:w="6148" w:type="dxa"/>
            <w:gridSpan w:val="7"/>
            <w:vAlign w:val="center"/>
          </w:tcPr>
          <w:p w14:paraId="0480F3FF"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LC50</w:t>
            </w:r>
            <w:r>
              <w:rPr>
                <w:color w:val="000000" w:themeColor="text1"/>
                <w:szCs w:val="21"/>
              </w:rPr>
              <w:t>：</w:t>
            </w:r>
            <w:r>
              <w:rPr>
                <w:color w:val="000000" w:themeColor="text1"/>
                <w:szCs w:val="21"/>
              </w:rPr>
              <w:t>618 mg/m</w:t>
            </w:r>
            <w:r>
              <w:rPr>
                <w:color w:val="000000" w:themeColor="text1"/>
                <w:szCs w:val="21"/>
                <w:vertAlign w:val="superscript"/>
              </w:rPr>
              <w:t>3</w:t>
            </w:r>
            <w:r>
              <w:rPr>
                <w:color w:val="000000" w:themeColor="text1"/>
                <w:szCs w:val="21"/>
              </w:rPr>
              <w:t>（大鼠吸入）</w:t>
            </w:r>
          </w:p>
        </w:tc>
      </w:tr>
      <w:tr w:rsidR="002D2AF8" w14:paraId="01AF77FB" w14:textId="77777777">
        <w:trPr>
          <w:trHeight w:val="397"/>
          <w:jc w:val="center"/>
        </w:trPr>
        <w:tc>
          <w:tcPr>
            <w:tcW w:w="602" w:type="dxa"/>
            <w:vMerge/>
            <w:vAlign w:val="center"/>
          </w:tcPr>
          <w:p w14:paraId="14903B9B"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7C4B755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健康危害</w:t>
            </w:r>
          </w:p>
        </w:tc>
        <w:tc>
          <w:tcPr>
            <w:tcW w:w="6148" w:type="dxa"/>
            <w:gridSpan w:val="7"/>
            <w:vAlign w:val="center"/>
          </w:tcPr>
          <w:p w14:paraId="75E23245"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本品是强烈的神经毒物，对粘膜有强烈刺激作用。</w:t>
            </w:r>
            <w:r>
              <w:rPr>
                <w:color w:val="000000" w:themeColor="text1"/>
                <w:szCs w:val="21"/>
              </w:rPr>
              <w:t xml:space="preserve"> </w:t>
            </w:r>
            <w:r>
              <w:rPr>
                <w:color w:val="000000" w:themeColor="text1"/>
                <w:szCs w:val="21"/>
              </w:rPr>
              <w:t>急性中毒：短期内吸入高浓度硫化氢后出现流泪、眼痛、眼内异物感、畏光、视物模糊、流涕、咽喉部灼热感、咳嗽、胸闷、头痛、头晕、乏力、意识模糊等。部分患者可有心肌损害。重者可出现脑水肿、肺水肿。极高浓度（</w:t>
            </w:r>
            <w:r>
              <w:rPr>
                <w:color w:val="000000" w:themeColor="text1"/>
                <w:szCs w:val="21"/>
              </w:rPr>
              <w:t xml:space="preserve">1000mg/m3 </w:t>
            </w:r>
            <w:r>
              <w:rPr>
                <w:color w:val="000000" w:themeColor="text1"/>
                <w:szCs w:val="21"/>
              </w:rPr>
              <w:t>以上）时可在数秒钟内突然昏迷，呼吸和心跳骤停，发生闪电型死亡。高浓度接触眼结膜发生水肿和角膜溃疡。</w:t>
            </w:r>
            <w:r>
              <w:rPr>
                <w:color w:val="000000" w:themeColor="text1"/>
                <w:szCs w:val="21"/>
              </w:rPr>
              <w:t xml:space="preserve"> </w:t>
            </w:r>
            <w:r>
              <w:rPr>
                <w:color w:val="000000" w:themeColor="text1"/>
                <w:szCs w:val="21"/>
              </w:rPr>
              <w:t>长期低浓度接触，引起神经衰弱综合征和植物神经功能紊乱。</w:t>
            </w:r>
          </w:p>
        </w:tc>
      </w:tr>
      <w:tr w:rsidR="002D2AF8" w14:paraId="319611C6" w14:textId="77777777">
        <w:trPr>
          <w:trHeight w:val="397"/>
          <w:jc w:val="center"/>
        </w:trPr>
        <w:tc>
          <w:tcPr>
            <w:tcW w:w="602" w:type="dxa"/>
            <w:vMerge/>
            <w:vAlign w:val="center"/>
          </w:tcPr>
          <w:p w14:paraId="439A95DA"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1C73927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侵入途径</w:t>
            </w:r>
          </w:p>
        </w:tc>
        <w:tc>
          <w:tcPr>
            <w:tcW w:w="6148" w:type="dxa"/>
            <w:gridSpan w:val="7"/>
            <w:vAlign w:val="center"/>
          </w:tcPr>
          <w:p w14:paraId="18C751B3"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接触、吸入</w:t>
            </w:r>
          </w:p>
        </w:tc>
      </w:tr>
      <w:tr w:rsidR="002D2AF8" w14:paraId="2F2CE317" w14:textId="77777777">
        <w:trPr>
          <w:trHeight w:val="397"/>
          <w:jc w:val="center"/>
        </w:trPr>
        <w:tc>
          <w:tcPr>
            <w:tcW w:w="602" w:type="dxa"/>
            <w:vMerge w:val="restart"/>
            <w:vAlign w:val="center"/>
          </w:tcPr>
          <w:p w14:paraId="6534B949"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急救</w:t>
            </w:r>
          </w:p>
        </w:tc>
        <w:tc>
          <w:tcPr>
            <w:tcW w:w="1773" w:type="dxa"/>
            <w:vAlign w:val="center"/>
          </w:tcPr>
          <w:p w14:paraId="32B515FD"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皮肤接触</w:t>
            </w:r>
          </w:p>
        </w:tc>
        <w:tc>
          <w:tcPr>
            <w:tcW w:w="6148" w:type="dxa"/>
            <w:gridSpan w:val="7"/>
            <w:vAlign w:val="center"/>
          </w:tcPr>
          <w:p w14:paraId="68195709"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2D2AF8" w14:paraId="5C4166E0" w14:textId="77777777">
        <w:trPr>
          <w:trHeight w:val="397"/>
          <w:jc w:val="center"/>
        </w:trPr>
        <w:tc>
          <w:tcPr>
            <w:tcW w:w="602" w:type="dxa"/>
            <w:vMerge/>
            <w:vAlign w:val="center"/>
          </w:tcPr>
          <w:p w14:paraId="6810B5A1"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6414DE3E"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眼睛接触</w:t>
            </w:r>
          </w:p>
        </w:tc>
        <w:tc>
          <w:tcPr>
            <w:tcW w:w="6148" w:type="dxa"/>
            <w:gridSpan w:val="7"/>
            <w:vAlign w:val="center"/>
          </w:tcPr>
          <w:p w14:paraId="0F9EDAED"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立即提起眼睑，用大量流动清水或生理盐水彻底冲洗至少</w:t>
            </w:r>
            <w:r>
              <w:rPr>
                <w:color w:val="000000" w:themeColor="text1"/>
                <w:szCs w:val="21"/>
              </w:rPr>
              <w:t>15</w:t>
            </w:r>
            <w:r>
              <w:rPr>
                <w:color w:val="000000" w:themeColor="text1"/>
                <w:szCs w:val="21"/>
              </w:rPr>
              <w:t>分钟。就医。</w:t>
            </w:r>
          </w:p>
        </w:tc>
      </w:tr>
      <w:tr w:rsidR="002D2AF8" w14:paraId="18775B6E" w14:textId="77777777">
        <w:trPr>
          <w:trHeight w:val="397"/>
          <w:jc w:val="center"/>
        </w:trPr>
        <w:tc>
          <w:tcPr>
            <w:tcW w:w="602" w:type="dxa"/>
            <w:vMerge/>
            <w:vAlign w:val="center"/>
          </w:tcPr>
          <w:p w14:paraId="541482BB"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31E8143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吸入</w:t>
            </w:r>
          </w:p>
        </w:tc>
        <w:tc>
          <w:tcPr>
            <w:tcW w:w="6148" w:type="dxa"/>
            <w:gridSpan w:val="7"/>
            <w:vAlign w:val="center"/>
          </w:tcPr>
          <w:p w14:paraId="2F5CDC2C"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迅速脱离现场至空气新鲜处。保持呼吸道通畅。如呼吸困难，给输氧。如呼吸停止，立即进行人工呼吸。就医。</w:t>
            </w:r>
          </w:p>
        </w:tc>
      </w:tr>
      <w:tr w:rsidR="002D2AF8" w14:paraId="384CE128" w14:textId="77777777">
        <w:trPr>
          <w:trHeight w:val="397"/>
          <w:jc w:val="center"/>
        </w:trPr>
        <w:tc>
          <w:tcPr>
            <w:tcW w:w="602" w:type="dxa"/>
            <w:vMerge/>
            <w:vAlign w:val="center"/>
          </w:tcPr>
          <w:p w14:paraId="35FB3D77"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0271C20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食入</w:t>
            </w:r>
          </w:p>
        </w:tc>
        <w:tc>
          <w:tcPr>
            <w:tcW w:w="6148" w:type="dxa"/>
            <w:gridSpan w:val="7"/>
            <w:vAlign w:val="center"/>
          </w:tcPr>
          <w:p w14:paraId="612DE23B"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无资料</w:t>
            </w:r>
          </w:p>
        </w:tc>
      </w:tr>
      <w:tr w:rsidR="002D2AF8" w14:paraId="1C8942D8" w14:textId="77777777">
        <w:trPr>
          <w:trHeight w:val="397"/>
          <w:jc w:val="center"/>
        </w:trPr>
        <w:tc>
          <w:tcPr>
            <w:tcW w:w="602" w:type="dxa"/>
            <w:vMerge w:val="restart"/>
            <w:vAlign w:val="center"/>
          </w:tcPr>
          <w:p w14:paraId="78667F57"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防护措施</w:t>
            </w:r>
          </w:p>
        </w:tc>
        <w:tc>
          <w:tcPr>
            <w:tcW w:w="1773" w:type="dxa"/>
            <w:vAlign w:val="center"/>
          </w:tcPr>
          <w:p w14:paraId="0F30153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工程控制</w:t>
            </w:r>
          </w:p>
        </w:tc>
        <w:tc>
          <w:tcPr>
            <w:tcW w:w="6148" w:type="dxa"/>
            <w:gridSpan w:val="7"/>
            <w:vAlign w:val="center"/>
          </w:tcPr>
          <w:p w14:paraId="42AA5B9C"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严加密闭，提供充分的局部排风和全面通风。提供安全淋浴和洗眼设备。</w:t>
            </w:r>
          </w:p>
        </w:tc>
      </w:tr>
      <w:tr w:rsidR="002D2AF8" w14:paraId="14F227CF" w14:textId="77777777">
        <w:trPr>
          <w:trHeight w:val="397"/>
          <w:jc w:val="center"/>
        </w:trPr>
        <w:tc>
          <w:tcPr>
            <w:tcW w:w="602" w:type="dxa"/>
            <w:vMerge/>
            <w:vAlign w:val="center"/>
          </w:tcPr>
          <w:p w14:paraId="58D623C5"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A272B7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呼吸系统防护</w:t>
            </w:r>
          </w:p>
        </w:tc>
        <w:tc>
          <w:tcPr>
            <w:tcW w:w="6148" w:type="dxa"/>
            <w:gridSpan w:val="7"/>
            <w:vAlign w:val="center"/>
          </w:tcPr>
          <w:p w14:paraId="3BBB211D"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空气中浓度超标时，佩戴过滤式防毒面具（半面罩）。紧急事态抢救或撤离时，建议佩戴氧气呼吸器或空气呼吸器。</w:t>
            </w:r>
          </w:p>
        </w:tc>
      </w:tr>
      <w:tr w:rsidR="002D2AF8" w14:paraId="29A7A3CE" w14:textId="77777777">
        <w:trPr>
          <w:trHeight w:val="397"/>
          <w:jc w:val="center"/>
        </w:trPr>
        <w:tc>
          <w:tcPr>
            <w:tcW w:w="602" w:type="dxa"/>
            <w:vMerge/>
            <w:vAlign w:val="center"/>
          </w:tcPr>
          <w:p w14:paraId="28EDF49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4BCDD84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眼睛防护</w:t>
            </w:r>
          </w:p>
        </w:tc>
        <w:tc>
          <w:tcPr>
            <w:tcW w:w="6148" w:type="dxa"/>
            <w:gridSpan w:val="7"/>
            <w:vAlign w:val="center"/>
          </w:tcPr>
          <w:p w14:paraId="32EF83FF"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戴化学安全防护眼镜。</w:t>
            </w:r>
          </w:p>
        </w:tc>
      </w:tr>
      <w:tr w:rsidR="002D2AF8" w14:paraId="6E0CE637" w14:textId="77777777">
        <w:trPr>
          <w:trHeight w:val="397"/>
          <w:jc w:val="center"/>
        </w:trPr>
        <w:tc>
          <w:tcPr>
            <w:tcW w:w="602" w:type="dxa"/>
            <w:vMerge/>
            <w:vAlign w:val="center"/>
          </w:tcPr>
          <w:p w14:paraId="1F43EB55"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0BA7D90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防护服</w:t>
            </w:r>
          </w:p>
        </w:tc>
        <w:tc>
          <w:tcPr>
            <w:tcW w:w="6148" w:type="dxa"/>
            <w:gridSpan w:val="7"/>
            <w:vAlign w:val="center"/>
          </w:tcPr>
          <w:p w14:paraId="413D770C"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穿防静电工作服。</w:t>
            </w:r>
          </w:p>
        </w:tc>
      </w:tr>
      <w:tr w:rsidR="002D2AF8" w14:paraId="59B555D1" w14:textId="77777777">
        <w:trPr>
          <w:trHeight w:val="397"/>
          <w:jc w:val="center"/>
        </w:trPr>
        <w:tc>
          <w:tcPr>
            <w:tcW w:w="602" w:type="dxa"/>
            <w:vMerge/>
            <w:vAlign w:val="center"/>
          </w:tcPr>
          <w:p w14:paraId="7FE8CA88"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20AEBBA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手防护</w:t>
            </w:r>
          </w:p>
        </w:tc>
        <w:tc>
          <w:tcPr>
            <w:tcW w:w="6148" w:type="dxa"/>
            <w:gridSpan w:val="7"/>
            <w:vAlign w:val="center"/>
          </w:tcPr>
          <w:p w14:paraId="6A625720"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戴防化学品手套。</w:t>
            </w:r>
          </w:p>
        </w:tc>
      </w:tr>
      <w:tr w:rsidR="002D2AF8" w14:paraId="1DAD9504" w14:textId="77777777">
        <w:trPr>
          <w:trHeight w:val="397"/>
          <w:jc w:val="center"/>
        </w:trPr>
        <w:tc>
          <w:tcPr>
            <w:tcW w:w="602" w:type="dxa"/>
            <w:vMerge/>
            <w:vAlign w:val="center"/>
          </w:tcPr>
          <w:p w14:paraId="1CAA220C" w14:textId="77777777" w:rsidR="002D2AF8" w:rsidRDefault="002D2AF8">
            <w:pPr>
              <w:adjustRightInd w:val="0"/>
              <w:snapToGrid w:val="0"/>
              <w:spacing w:beforeLines="20" w:before="65" w:afterLines="20" w:after="65"/>
              <w:jc w:val="center"/>
              <w:rPr>
                <w:color w:val="000000" w:themeColor="text1"/>
                <w:szCs w:val="21"/>
              </w:rPr>
            </w:pPr>
          </w:p>
        </w:tc>
        <w:tc>
          <w:tcPr>
            <w:tcW w:w="1773" w:type="dxa"/>
            <w:vAlign w:val="center"/>
          </w:tcPr>
          <w:p w14:paraId="45E8E825"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其它</w:t>
            </w:r>
          </w:p>
        </w:tc>
        <w:tc>
          <w:tcPr>
            <w:tcW w:w="6148" w:type="dxa"/>
            <w:gridSpan w:val="7"/>
            <w:vAlign w:val="center"/>
          </w:tcPr>
          <w:p w14:paraId="131EBFB7"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工作现场禁止吸烟、进食和饮水。工作完毕，淋浴更衣。及时换洗工作服。作业人员应学会自救互救。进入罐、限制性空间或其它高浓度区作业，须有人监护。</w:t>
            </w:r>
          </w:p>
        </w:tc>
      </w:tr>
      <w:tr w:rsidR="002D2AF8" w14:paraId="7FA6B340" w14:textId="77777777">
        <w:trPr>
          <w:trHeight w:val="397"/>
          <w:jc w:val="center"/>
        </w:trPr>
        <w:tc>
          <w:tcPr>
            <w:tcW w:w="602" w:type="dxa"/>
            <w:vAlign w:val="center"/>
          </w:tcPr>
          <w:p w14:paraId="273A838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泄漏处置</w:t>
            </w:r>
          </w:p>
        </w:tc>
        <w:tc>
          <w:tcPr>
            <w:tcW w:w="7921" w:type="dxa"/>
            <w:gridSpan w:val="8"/>
            <w:vAlign w:val="center"/>
          </w:tcPr>
          <w:p w14:paraId="0AD3EFE4" w14:textId="77777777" w:rsidR="002D2AF8" w:rsidRDefault="00000000">
            <w:pPr>
              <w:adjustRightInd w:val="0"/>
              <w:snapToGrid w:val="0"/>
              <w:spacing w:beforeLines="20" w:before="65" w:afterLines="20" w:after="65"/>
              <w:jc w:val="left"/>
              <w:rPr>
                <w:color w:val="000000" w:themeColor="text1"/>
                <w:szCs w:val="21"/>
              </w:rPr>
            </w:pPr>
            <w:r>
              <w:rPr>
                <w:color w:val="000000" w:themeColor="text1"/>
                <w:szCs w:val="21"/>
              </w:rPr>
              <w:t>迅速撤离泄漏污染区人员至上风处，并立即进行隔离，小泄漏时隔离</w:t>
            </w:r>
            <w:r>
              <w:rPr>
                <w:color w:val="000000" w:themeColor="text1"/>
                <w:szCs w:val="21"/>
              </w:rPr>
              <w:t>150m</w:t>
            </w:r>
            <w:r>
              <w:rPr>
                <w:color w:val="000000" w:themeColor="text1"/>
                <w:szCs w:val="21"/>
              </w:rPr>
              <w:t>，大泄漏时隔离</w:t>
            </w:r>
            <w:r>
              <w:rPr>
                <w:color w:val="000000" w:themeColor="text1"/>
                <w:szCs w:val="21"/>
              </w:rPr>
              <w:t>300m</w:t>
            </w:r>
            <w:r>
              <w:rPr>
                <w:color w:val="000000" w:themeColor="text1"/>
                <w:szCs w:val="21"/>
              </w:rPr>
              <w:t>，严格限制出入。切断火源。建议应急处理人员戴自给正压式呼吸器，穿防静电工作服。从上风处进入现场。尽可能切断泄漏源。合理通风，加速扩散。喷雾状水稀释、溶解。构筑围堤或挖坑收容产生的大量废水。如有可能，将残余气或漏出气用排风机送至水洗塔或与塔相连的通风橱内。或使其通过三氯化铁水溶液，管路装止回装置以防溶液吸回。漏气容器要妥善处理，修复、检验后再用。</w:t>
            </w:r>
          </w:p>
        </w:tc>
      </w:tr>
    </w:tbl>
    <w:p w14:paraId="39378BA5" w14:textId="77777777" w:rsidR="002D2AF8" w:rsidRDefault="00000000">
      <w:pPr>
        <w:adjustRightInd w:val="0"/>
        <w:snapToGrid w:val="0"/>
        <w:spacing w:beforeLines="50" w:before="162" w:line="360" w:lineRule="auto"/>
        <w:outlineLvl w:val="2"/>
        <w:rPr>
          <w:rFonts w:eastAsia="黑体"/>
          <w:color w:val="000000" w:themeColor="text1"/>
          <w:sz w:val="28"/>
          <w:szCs w:val="28"/>
        </w:rPr>
      </w:pPr>
      <w:r>
        <w:rPr>
          <w:rFonts w:eastAsia="黑体"/>
          <w:bCs/>
          <w:snapToGrid w:val="0"/>
          <w:color w:val="000000" w:themeColor="text1"/>
          <w:kern w:val="0"/>
          <w:sz w:val="28"/>
          <w:szCs w:val="28"/>
        </w:rPr>
        <w:t xml:space="preserve">3.1.4 </w:t>
      </w:r>
      <w:r>
        <w:rPr>
          <w:rFonts w:eastAsia="黑体"/>
          <w:bCs/>
          <w:snapToGrid w:val="0"/>
          <w:color w:val="000000" w:themeColor="text1"/>
          <w:kern w:val="0"/>
          <w:sz w:val="28"/>
          <w:szCs w:val="28"/>
        </w:rPr>
        <w:t>化学助剂</w:t>
      </w:r>
    </w:p>
    <w:p w14:paraId="22F51A46"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kern w:val="0"/>
          <w:sz w:val="28"/>
          <w:szCs w:val="28"/>
        </w:rPr>
        <w:t>该公司主要采用化学堵水方式，采用的化学堵剂</w:t>
      </w:r>
      <w:r>
        <w:rPr>
          <w:rFonts w:hint="eastAsia"/>
          <w:color w:val="000000" w:themeColor="text1"/>
          <w:kern w:val="0"/>
          <w:sz w:val="28"/>
          <w:szCs w:val="28"/>
        </w:rPr>
        <w:t>为</w:t>
      </w:r>
      <w:r>
        <w:rPr>
          <w:color w:val="000000" w:themeColor="text1"/>
          <w:sz w:val="28"/>
          <w:szCs w:val="28"/>
        </w:rPr>
        <w:t>高分子聚丙烯酰胺粉剂。</w:t>
      </w:r>
    </w:p>
    <w:p w14:paraId="2FFDC766"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本品</w:t>
      </w:r>
      <w:r>
        <w:rPr>
          <w:color w:val="000000" w:themeColor="text1"/>
          <w:sz w:val="28"/>
          <w:szCs w:val="28"/>
        </w:rPr>
        <w:t>可燃。其粉体与空气混合能形成爆炸性混合物，遇明火高热有引起燃烧爆炸的危险。燃烧产生有毒的一氧化碳和氮氧化物气体。对眼、呼吸道和皮肤有刺激性</w:t>
      </w:r>
      <w:r>
        <w:rPr>
          <w:rFonts w:hint="eastAsia"/>
          <w:color w:val="000000" w:themeColor="text1"/>
          <w:sz w:val="28"/>
          <w:szCs w:val="28"/>
        </w:rPr>
        <w:t>，食入对消化道有刺激性。</w:t>
      </w:r>
    </w:p>
    <w:p w14:paraId="35D750F9"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根据《危险化学品目录（</w:t>
      </w:r>
      <w:r>
        <w:rPr>
          <w:color w:val="000000" w:themeColor="text1"/>
          <w:sz w:val="28"/>
          <w:szCs w:val="28"/>
        </w:rPr>
        <w:t>2015</w:t>
      </w:r>
      <w:r>
        <w:rPr>
          <w:color w:val="000000" w:themeColor="text1"/>
          <w:sz w:val="28"/>
          <w:szCs w:val="28"/>
        </w:rPr>
        <w:t>版）》（安全监管总局、工业和信息化部、公安部、环境保护部、交通运输部、农业部、国家卫生计生委、质检总局、铁路局、民航局公告</w:t>
      </w:r>
      <w:r>
        <w:rPr>
          <w:color w:val="000000" w:themeColor="text1"/>
          <w:sz w:val="28"/>
          <w:szCs w:val="28"/>
        </w:rPr>
        <w:t>[2015]</w:t>
      </w:r>
      <w:r>
        <w:rPr>
          <w:color w:val="000000" w:themeColor="text1"/>
          <w:sz w:val="28"/>
          <w:szCs w:val="28"/>
        </w:rPr>
        <w:t>第</w:t>
      </w:r>
      <w:r>
        <w:rPr>
          <w:color w:val="000000" w:themeColor="text1"/>
          <w:sz w:val="28"/>
          <w:szCs w:val="28"/>
        </w:rPr>
        <w:t>5</w:t>
      </w:r>
      <w:r>
        <w:rPr>
          <w:color w:val="000000" w:themeColor="text1"/>
          <w:sz w:val="28"/>
          <w:szCs w:val="28"/>
        </w:rPr>
        <w:t>号）及《危险货物品名表》（</w:t>
      </w:r>
      <w:r>
        <w:rPr>
          <w:color w:val="000000" w:themeColor="text1"/>
          <w:sz w:val="28"/>
          <w:szCs w:val="28"/>
        </w:rPr>
        <w:t>GB12268-2012</w:t>
      </w:r>
      <w:r>
        <w:rPr>
          <w:color w:val="000000" w:themeColor="text1"/>
          <w:sz w:val="28"/>
          <w:szCs w:val="28"/>
        </w:rPr>
        <w:t>）辨识，高分子聚丙烯酰胺粉剂不属于危险化学品。</w:t>
      </w:r>
    </w:p>
    <w:p w14:paraId="204A2DC9" w14:textId="77777777" w:rsidR="002D2AF8" w:rsidRDefault="00000000">
      <w:pPr>
        <w:adjustRightInd w:val="0"/>
        <w:snapToGrid w:val="0"/>
        <w:spacing w:line="360" w:lineRule="auto"/>
        <w:outlineLvl w:val="2"/>
        <w:rPr>
          <w:rFonts w:eastAsia="黑体"/>
          <w:color w:val="000000" w:themeColor="text1"/>
          <w:sz w:val="28"/>
          <w:szCs w:val="28"/>
        </w:rPr>
      </w:pPr>
      <w:bookmarkStart w:id="49" w:name="_Toc447782516"/>
      <w:bookmarkStart w:id="50" w:name="_Toc397326901"/>
      <w:bookmarkStart w:id="51" w:name="_Toc366438843"/>
      <w:r>
        <w:rPr>
          <w:rFonts w:eastAsia="黑体"/>
          <w:bCs/>
          <w:snapToGrid w:val="0"/>
          <w:color w:val="000000" w:themeColor="text1"/>
          <w:kern w:val="0"/>
          <w:sz w:val="28"/>
          <w:szCs w:val="28"/>
        </w:rPr>
        <w:t>3.1.</w:t>
      </w:r>
      <w:r>
        <w:rPr>
          <w:rFonts w:eastAsia="黑体" w:hint="eastAsia"/>
          <w:bCs/>
          <w:snapToGrid w:val="0"/>
          <w:color w:val="000000" w:themeColor="text1"/>
          <w:kern w:val="0"/>
          <w:sz w:val="28"/>
          <w:szCs w:val="28"/>
        </w:rPr>
        <w:t>5</w:t>
      </w:r>
      <w:r>
        <w:rPr>
          <w:rFonts w:eastAsia="黑体"/>
          <w:bCs/>
          <w:snapToGrid w:val="0"/>
          <w:color w:val="000000" w:themeColor="text1"/>
          <w:kern w:val="0"/>
          <w:sz w:val="28"/>
          <w:szCs w:val="28"/>
        </w:rPr>
        <w:t xml:space="preserve"> </w:t>
      </w:r>
      <w:r>
        <w:rPr>
          <w:rFonts w:eastAsia="黑体" w:hint="eastAsia"/>
          <w:bCs/>
          <w:snapToGrid w:val="0"/>
          <w:color w:val="000000" w:themeColor="text1"/>
          <w:kern w:val="0"/>
          <w:sz w:val="28"/>
          <w:szCs w:val="28"/>
        </w:rPr>
        <w:t>高压水</w:t>
      </w:r>
    </w:p>
    <w:p w14:paraId="58CB3CE1"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堵水</w:t>
      </w:r>
      <w:r>
        <w:rPr>
          <w:rFonts w:hint="eastAsia"/>
          <w:color w:val="000000" w:themeColor="text1"/>
          <w:sz w:val="28"/>
          <w:szCs w:val="28"/>
        </w:rPr>
        <w:t>/</w:t>
      </w:r>
      <w:r>
        <w:rPr>
          <w:rFonts w:hint="eastAsia"/>
          <w:color w:val="000000" w:themeColor="text1"/>
          <w:sz w:val="28"/>
          <w:szCs w:val="28"/>
        </w:rPr>
        <w:t>调剖作业压力最高可达</w:t>
      </w:r>
      <w:r>
        <w:rPr>
          <w:rFonts w:hint="eastAsia"/>
          <w:color w:val="000000" w:themeColor="text1"/>
          <w:sz w:val="28"/>
          <w:szCs w:val="28"/>
        </w:rPr>
        <w:t>13</w:t>
      </w:r>
      <w:r>
        <w:rPr>
          <w:rFonts w:cs="Arial"/>
          <w:color w:val="000000" w:themeColor="text1"/>
          <w:sz w:val="28"/>
          <w:szCs w:val="28"/>
        </w:rPr>
        <w:t>MPa</w:t>
      </w:r>
      <w:r>
        <w:rPr>
          <w:rFonts w:cs="Arial" w:hint="eastAsia"/>
          <w:color w:val="000000" w:themeColor="text1"/>
          <w:sz w:val="28"/>
          <w:szCs w:val="28"/>
        </w:rPr>
        <w:t>，若</w:t>
      </w:r>
      <w:r>
        <w:rPr>
          <w:rFonts w:hint="eastAsia"/>
          <w:color w:val="000000" w:themeColor="text1"/>
          <w:sz w:val="28"/>
          <w:szCs w:val="28"/>
        </w:rPr>
        <w:t>高压水在管道破裂时，直接喷射到人体上将造成很大的伤害。形成射流时，高压水射流会给人体带来很大伤害，甚至可能贯穿人体。地上高压管汇由于断裂，造成高压反冲，容易引起区域内的物体打击事故。</w:t>
      </w:r>
    </w:p>
    <w:p w14:paraId="07EB5ACF" w14:textId="77777777" w:rsidR="002D2AF8" w:rsidRDefault="00000000">
      <w:pPr>
        <w:pStyle w:val="20"/>
        <w:keepNext w:val="0"/>
        <w:keepLines w:val="0"/>
        <w:adjustRightInd w:val="0"/>
        <w:snapToGrid w:val="0"/>
        <w:spacing w:before="0" w:after="0" w:line="360" w:lineRule="auto"/>
        <w:rPr>
          <w:rFonts w:ascii="Times New Roman" w:hAnsi="Times New Roman"/>
          <w:color w:val="000000" w:themeColor="text1"/>
        </w:rPr>
      </w:pPr>
      <w:bookmarkStart w:id="52" w:name="_Toc2103"/>
      <w:r>
        <w:rPr>
          <w:rFonts w:ascii="Times New Roman" w:hAnsi="Times New Roman"/>
          <w:b w:val="0"/>
          <w:bCs/>
          <w:color w:val="000000" w:themeColor="text1"/>
          <w:szCs w:val="32"/>
        </w:rPr>
        <w:t xml:space="preserve">3.2 </w:t>
      </w:r>
      <w:r>
        <w:rPr>
          <w:rFonts w:ascii="Times New Roman" w:hAnsi="Times New Roman"/>
          <w:b w:val="0"/>
          <w:bCs/>
          <w:color w:val="000000" w:themeColor="text1"/>
          <w:szCs w:val="32"/>
        </w:rPr>
        <w:t>主要作业流程危险性分析</w:t>
      </w:r>
      <w:bookmarkEnd w:id="49"/>
      <w:bookmarkEnd w:id="50"/>
      <w:bookmarkEnd w:id="51"/>
      <w:bookmarkEnd w:id="52"/>
    </w:p>
    <w:p w14:paraId="6B076D38"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rFonts w:hint="eastAsia"/>
          <w:bCs/>
          <w:snapToGrid w:val="0"/>
          <w:color w:val="000000" w:themeColor="text1"/>
          <w:kern w:val="0"/>
          <w:sz w:val="28"/>
          <w:szCs w:val="28"/>
        </w:rPr>
        <w:t>胜利油田胜兴堵驱新技术开发有限责任公司</w:t>
      </w:r>
      <w:r>
        <w:rPr>
          <w:bCs/>
          <w:snapToGrid w:val="0"/>
          <w:color w:val="000000" w:themeColor="text1"/>
          <w:kern w:val="0"/>
          <w:sz w:val="28"/>
          <w:szCs w:val="28"/>
        </w:rPr>
        <w:t>井下作业</w:t>
      </w:r>
      <w:r>
        <w:rPr>
          <w:color w:val="000000" w:themeColor="text1"/>
          <w:sz w:val="28"/>
          <w:szCs w:val="28"/>
        </w:rPr>
        <w:t>-</w:t>
      </w:r>
      <w:r>
        <w:rPr>
          <w:color w:val="000000" w:themeColor="text1"/>
          <w:sz w:val="28"/>
          <w:szCs w:val="28"/>
        </w:rPr>
        <w:t>测试、堵</w:t>
      </w:r>
      <w:r>
        <w:rPr>
          <w:color w:val="000000" w:themeColor="text1"/>
          <w:sz w:val="28"/>
          <w:szCs w:val="28"/>
        </w:rPr>
        <w:lastRenderedPageBreak/>
        <w:t>水</w:t>
      </w:r>
      <w:r>
        <w:rPr>
          <w:color w:val="000000" w:themeColor="text1"/>
          <w:sz w:val="28"/>
          <w:szCs w:val="28"/>
        </w:rPr>
        <w:t>/</w:t>
      </w:r>
      <w:r>
        <w:rPr>
          <w:color w:val="000000" w:themeColor="text1"/>
          <w:sz w:val="28"/>
          <w:szCs w:val="28"/>
        </w:rPr>
        <w:t>调剖等</w:t>
      </w:r>
      <w:r>
        <w:rPr>
          <w:bCs/>
          <w:snapToGrid w:val="0"/>
          <w:color w:val="000000" w:themeColor="text1"/>
          <w:kern w:val="0"/>
          <w:sz w:val="28"/>
          <w:szCs w:val="28"/>
        </w:rPr>
        <w:t>项目所用设备设施主要为</w:t>
      </w:r>
      <w:r>
        <w:rPr>
          <w:rFonts w:hint="eastAsia"/>
          <w:bCs/>
          <w:snapToGrid w:val="0"/>
          <w:color w:val="000000" w:themeColor="text1"/>
          <w:kern w:val="0"/>
          <w:sz w:val="28"/>
          <w:szCs w:val="28"/>
        </w:rPr>
        <w:t>测试车</w:t>
      </w:r>
      <w:r>
        <w:rPr>
          <w:bCs/>
          <w:snapToGrid w:val="0"/>
          <w:color w:val="000000" w:themeColor="text1"/>
          <w:kern w:val="0"/>
          <w:sz w:val="28"/>
          <w:szCs w:val="28"/>
        </w:rPr>
        <w:t>、</w:t>
      </w:r>
      <w:r>
        <w:rPr>
          <w:rFonts w:hint="eastAsia"/>
          <w:bCs/>
          <w:snapToGrid w:val="0"/>
          <w:color w:val="000000" w:themeColor="text1"/>
          <w:kern w:val="0"/>
          <w:sz w:val="28"/>
          <w:szCs w:val="28"/>
        </w:rPr>
        <w:t>配液罐</w:t>
      </w:r>
      <w:r>
        <w:rPr>
          <w:bCs/>
          <w:snapToGrid w:val="0"/>
          <w:color w:val="000000" w:themeColor="text1"/>
          <w:kern w:val="0"/>
          <w:sz w:val="28"/>
          <w:szCs w:val="28"/>
        </w:rPr>
        <w:t>、</w:t>
      </w:r>
      <w:r>
        <w:rPr>
          <w:rFonts w:hint="eastAsia"/>
          <w:bCs/>
          <w:snapToGrid w:val="0"/>
          <w:color w:val="000000" w:themeColor="text1"/>
          <w:kern w:val="0"/>
          <w:sz w:val="28"/>
          <w:szCs w:val="28"/>
        </w:rPr>
        <w:t>清水罐、</w:t>
      </w:r>
      <w:r>
        <w:rPr>
          <w:bCs/>
          <w:snapToGrid w:val="0"/>
          <w:color w:val="000000" w:themeColor="text1"/>
          <w:kern w:val="0"/>
          <w:sz w:val="28"/>
          <w:szCs w:val="28"/>
        </w:rPr>
        <w:t>机泵等，涉及设备设施吊装作业、搬迁作业、安装和拆卸</w:t>
      </w:r>
      <w:r>
        <w:rPr>
          <w:rFonts w:hint="eastAsia"/>
          <w:bCs/>
          <w:snapToGrid w:val="0"/>
          <w:color w:val="000000" w:themeColor="text1"/>
          <w:kern w:val="0"/>
          <w:sz w:val="28"/>
          <w:szCs w:val="28"/>
        </w:rPr>
        <w:t>、测试、</w:t>
      </w:r>
      <w:r>
        <w:rPr>
          <w:bCs/>
          <w:snapToGrid w:val="0"/>
          <w:color w:val="000000" w:themeColor="text1"/>
          <w:kern w:val="0"/>
          <w:sz w:val="28"/>
          <w:szCs w:val="28"/>
        </w:rPr>
        <w:t>堵水</w:t>
      </w:r>
      <w:r>
        <w:rPr>
          <w:bCs/>
          <w:snapToGrid w:val="0"/>
          <w:color w:val="000000" w:themeColor="text1"/>
          <w:kern w:val="0"/>
          <w:sz w:val="28"/>
          <w:szCs w:val="28"/>
        </w:rPr>
        <w:t>/</w:t>
      </w:r>
      <w:r>
        <w:rPr>
          <w:bCs/>
          <w:snapToGrid w:val="0"/>
          <w:color w:val="000000" w:themeColor="text1"/>
          <w:kern w:val="0"/>
          <w:sz w:val="28"/>
          <w:szCs w:val="28"/>
        </w:rPr>
        <w:t>调剖作业</w:t>
      </w:r>
      <w:r>
        <w:rPr>
          <w:rFonts w:hint="eastAsia"/>
          <w:bCs/>
          <w:snapToGrid w:val="0"/>
          <w:color w:val="000000" w:themeColor="text1"/>
          <w:kern w:val="0"/>
          <w:sz w:val="28"/>
          <w:szCs w:val="28"/>
        </w:rPr>
        <w:t>、施工前试压</w:t>
      </w:r>
      <w:r>
        <w:rPr>
          <w:bCs/>
          <w:snapToGrid w:val="0"/>
          <w:color w:val="000000" w:themeColor="text1"/>
          <w:kern w:val="0"/>
          <w:sz w:val="28"/>
          <w:szCs w:val="28"/>
        </w:rPr>
        <w:t>、临时用电作业等工艺过程。</w:t>
      </w:r>
    </w:p>
    <w:p w14:paraId="16F5FC20"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3.2.1 </w:t>
      </w:r>
      <w:r>
        <w:rPr>
          <w:rFonts w:eastAsia="黑体"/>
          <w:bCs/>
          <w:snapToGrid w:val="0"/>
          <w:color w:val="000000" w:themeColor="text1"/>
          <w:kern w:val="0"/>
          <w:sz w:val="28"/>
          <w:szCs w:val="28"/>
        </w:rPr>
        <w:t>吊装作业危险性分析</w:t>
      </w:r>
    </w:p>
    <w:p w14:paraId="75D617FC" w14:textId="77777777" w:rsidR="002D2AF8" w:rsidRDefault="00000000">
      <w:pPr>
        <w:adjustRightInd w:val="0"/>
        <w:snapToGrid w:val="0"/>
        <w:spacing w:line="360" w:lineRule="auto"/>
        <w:ind w:firstLineChars="200" w:firstLine="566"/>
        <w:rPr>
          <w:color w:val="000000" w:themeColor="text1"/>
          <w:kern w:val="0"/>
          <w:sz w:val="28"/>
          <w:szCs w:val="28"/>
        </w:rPr>
      </w:pPr>
      <w:r>
        <w:rPr>
          <w:color w:val="000000" w:themeColor="text1"/>
          <w:sz w:val="28"/>
          <w:szCs w:val="28"/>
        </w:rPr>
        <w:t>承包商对板房、设备设施搬移前，需要对板房、设备设施进行吊运，在吊运过程中，因违章作业、起重设备的安全装置及保护措施失灵、吊车吊钩、钢丝绳、吊索具超载断裂，吊运时钢丝绳从吊钩中脱出，吊货物捆扎不牢固或作业时吊物下有人等情况，易发生起重伤害事故。</w:t>
      </w:r>
    </w:p>
    <w:p w14:paraId="31631FE0"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3.2.2 </w:t>
      </w:r>
      <w:r>
        <w:rPr>
          <w:rFonts w:eastAsia="黑体"/>
          <w:bCs/>
          <w:snapToGrid w:val="0"/>
          <w:color w:val="000000" w:themeColor="text1"/>
          <w:kern w:val="0"/>
          <w:sz w:val="28"/>
          <w:szCs w:val="28"/>
        </w:rPr>
        <w:t>设备搬移</w:t>
      </w:r>
      <w:r>
        <w:rPr>
          <w:rFonts w:eastAsia="黑体" w:hint="eastAsia"/>
          <w:bCs/>
          <w:snapToGrid w:val="0"/>
          <w:color w:val="000000" w:themeColor="text1"/>
          <w:kern w:val="0"/>
          <w:sz w:val="28"/>
          <w:szCs w:val="28"/>
        </w:rPr>
        <w:t>及管线安装、拆卸</w:t>
      </w:r>
      <w:r>
        <w:rPr>
          <w:rFonts w:eastAsia="黑体"/>
          <w:bCs/>
          <w:snapToGrid w:val="0"/>
          <w:color w:val="000000" w:themeColor="text1"/>
          <w:kern w:val="0"/>
          <w:sz w:val="28"/>
          <w:szCs w:val="28"/>
        </w:rPr>
        <w:t>过程</w:t>
      </w:r>
    </w:p>
    <w:p w14:paraId="42CA9BA2" w14:textId="77777777" w:rsidR="002D2AF8" w:rsidRDefault="00000000">
      <w:pPr>
        <w:pStyle w:val="li"/>
        <w:adjustRightInd w:val="0"/>
        <w:snapToGrid w:val="0"/>
        <w:spacing w:line="360" w:lineRule="auto"/>
        <w:ind w:firstLine="566"/>
        <w:jc w:val="both"/>
        <w:rPr>
          <w:color w:val="000000" w:themeColor="text1"/>
          <w:kern w:val="0"/>
        </w:rPr>
      </w:pPr>
      <w:r>
        <w:rPr>
          <w:color w:val="000000" w:themeColor="text1"/>
          <w:kern w:val="0"/>
        </w:rPr>
        <w:t>车辆运输过程中，驾驶员可因道路路况不熟，精力不集中，操作失误等原因，造成道路交通事故。到井场后，受场地限制、车辆故障、驾驶员操作失误、现场作业人员误入视线盲区等，可造成人员伤害或设备损坏等车辆伤害事故。</w:t>
      </w:r>
    </w:p>
    <w:p w14:paraId="71C165B9" w14:textId="77777777" w:rsidR="002D2AF8" w:rsidRDefault="00000000">
      <w:pPr>
        <w:pStyle w:val="li"/>
        <w:adjustRightInd w:val="0"/>
        <w:snapToGrid w:val="0"/>
        <w:spacing w:line="360" w:lineRule="auto"/>
        <w:ind w:firstLine="566"/>
        <w:jc w:val="both"/>
        <w:rPr>
          <w:color w:val="000000" w:themeColor="text1"/>
          <w:kern w:val="0"/>
        </w:rPr>
      </w:pPr>
      <w:r>
        <w:rPr>
          <w:color w:val="000000" w:themeColor="text1"/>
          <w:kern w:val="0"/>
        </w:rPr>
        <w:t>作业前或施工完毕后，安装和拆卸设备及管线时，可因用力过猛，配合不当，造成人员伤害，人员抬管线时，可能因为手滑、绊倒等原因，发生管线砸伤人员的事故。</w:t>
      </w:r>
    </w:p>
    <w:p w14:paraId="23685C2D" w14:textId="77777777" w:rsidR="002D2AF8"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kern w:val="0"/>
          <w:sz w:val="28"/>
          <w:szCs w:val="28"/>
        </w:rPr>
        <w:t>3.2.</w:t>
      </w:r>
      <w:r>
        <w:rPr>
          <w:rFonts w:eastAsia="黑体" w:hint="eastAsia"/>
          <w:color w:val="000000" w:themeColor="text1"/>
          <w:kern w:val="0"/>
          <w:sz w:val="28"/>
          <w:szCs w:val="28"/>
        </w:rPr>
        <w:t>3</w:t>
      </w:r>
      <w:r>
        <w:rPr>
          <w:rFonts w:eastAsia="黑体"/>
          <w:color w:val="000000" w:themeColor="text1"/>
          <w:kern w:val="0"/>
          <w:sz w:val="28"/>
          <w:szCs w:val="28"/>
        </w:rPr>
        <w:t xml:space="preserve"> </w:t>
      </w:r>
      <w:r>
        <w:rPr>
          <w:rFonts w:eastAsia="黑体"/>
          <w:color w:val="000000" w:themeColor="text1"/>
          <w:kern w:val="0"/>
          <w:sz w:val="28"/>
          <w:szCs w:val="28"/>
        </w:rPr>
        <w:t>堵水</w:t>
      </w:r>
      <w:r>
        <w:rPr>
          <w:rFonts w:eastAsia="黑体"/>
          <w:color w:val="000000" w:themeColor="text1"/>
          <w:kern w:val="0"/>
          <w:sz w:val="28"/>
          <w:szCs w:val="28"/>
        </w:rPr>
        <w:t>/</w:t>
      </w:r>
      <w:r>
        <w:rPr>
          <w:rFonts w:eastAsia="黑体"/>
          <w:color w:val="000000" w:themeColor="text1"/>
          <w:kern w:val="0"/>
          <w:sz w:val="28"/>
          <w:szCs w:val="28"/>
        </w:rPr>
        <w:t>调剖作业过程中危险性分析</w:t>
      </w:r>
      <w:r>
        <w:rPr>
          <w:rFonts w:eastAsia="黑体"/>
          <w:color w:val="000000" w:themeColor="text1"/>
          <w:kern w:val="0"/>
          <w:sz w:val="28"/>
          <w:szCs w:val="28"/>
        </w:rPr>
        <w:t xml:space="preserve"> </w:t>
      </w:r>
    </w:p>
    <w:p w14:paraId="75A4E876" w14:textId="77777777" w:rsidR="002D2AF8" w:rsidRDefault="00000000">
      <w:pPr>
        <w:pStyle w:val="aff4"/>
        <w:spacing w:line="360" w:lineRule="auto"/>
        <w:ind w:firstLineChars="200" w:firstLine="566"/>
        <w:rPr>
          <w:color w:val="000000" w:themeColor="text1"/>
        </w:rPr>
      </w:pPr>
      <w:r>
        <w:rPr>
          <w:color w:val="000000" w:themeColor="text1"/>
        </w:rPr>
        <w:t>堵水</w:t>
      </w:r>
      <w:r>
        <w:rPr>
          <w:color w:val="000000" w:themeColor="text1"/>
        </w:rPr>
        <w:t>/</w:t>
      </w:r>
      <w:r>
        <w:rPr>
          <w:color w:val="000000" w:themeColor="text1"/>
        </w:rPr>
        <w:t>调剖作业流程中的危险性主要是注入系统的高压力、高噪声等，主要危险、有害因素有超压爆裂、物体打击、触电、机械伤害等。</w:t>
      </w:r>
    </w:p>
    <w:p w14:paraId="5276E6F6" w14:textId="77777777" w:rsidR="002D2AF8" w:rsidRDefault="00000000">
      <w:pPr>
        <w:pStyle w:val="aff4"/>
        <w:spacing w:line="360" w:lineRule="auto"/>
        <w:ind w:firstLineChars="200" w:firstLine="566"/>
        <w:rPr>
          <w:color w:val="000000" w:themeColor="text1"/>
        </w:rPr>
      </w:pPr>
      <w:r>
        <w:rPr>
          <w:color w:val="000000" w:themeColor="text1"/>
        </w:rPr>
        <w:t>1.</w:t>
      </w:r>
      <w:r>
        <w:rPr>
          <w:color w:val="000000" w:themeColor="text1"/>
        </w:rPr>
        <w:t>超压爆裂</w:t>
      </w:r>
    </w:p>
    <w:p w14:paraId="36873B04" w14:textId="77777777" w:rsidR="002D2AF8" w:rsidRDefault="00000000">
      <w:pPr>
        <w:pStyle w:val="aff4"/>
        <w:spacing w:line="360" w:lineRule="auto"/>
        <w:ind w:firstLineChars="200" w:firstLine="566"/>
        <w:rPr>
          <w:color w:val="000000" w:themeColor="text1"/>
        </w:rPr>
      </w:pPr>
      <w:r>
        <w:rPr>
          <w:color w:val="000000" w:themeColor="text1"/>
        </w:rPr>
        <w:t>堵水</w:t>
      </w:r>
      <w:r>
        <w:rPr>
          <w:color w:val="000000" w:themeColor="text1"/>
        </w:rPr>
        <w:t>/</w:t>
      </w:r>
      <w:r>
        <w:rPr>
          <w:color w:val="000000" w:themeColor="text1"/>
        </w:rPr>
        <w:t>调剖作业注入系统压力较高，当设备、管道存在缺陷、误操作造成憋压、带压（压力未放空）检维修等，压力超出设备、管道承压极限，导致超压爆裂。</w:t>
      </w:r>
    </w:p>
    <w:p w14:paraId="7CEFE583" w14:textId="77777777" w:rsidR="002D2AF8" w:rsidRDefault="00000000">
      <w:pPr>
        <w:pStyle w:val="aff4"/>
        <w:spacing w:line="360" w:lineRule="auto"/>
        <w:ind w:firstLineChars="200" w:firstLine="566"/>
        <w:rPr>
          <w:color w:val="000000" w:themeColor="text1"/>
        </w:rPr>
      </w:pPr>
      <w:r>
        <w:rPr>
          <w:color w:val="000000" w:themeColor="text1"/>
        </w:rPr>
        <w:lastRenderedPageBreak/>
        <w:t>2.</w:t>
      </w:r>
      <w:r>
        <w:rPr>
          <w:color w:val="000000" w:themeColor="text1"/>
        </w:rPr>
        <w:t>物体打击</w:t>
      </w:r>
    </w:p>
    <w:p w14:paraId="1A44C35C" w14:textId="77777777" w:rsidR="002D2AF8" w:rsidRDefault="00000000">
      <w:pPr>
        <w:pStyle w:val="aff4"/>
        <w:spacing w:line="360" w:lineRule="auto"/>
        <w:ind w:firstLineChars="200" w:firstLine="566"/>
        <w:rPr>
          <w:color w:val="000000" w:themeColor="text1"/>
        </w:rPr>
      </w:pPr>
      <w:r>
        <w:rPr>
          <w:color w:val="000000" w:themeColor="text1"/>
        </w:rPr>
        <w:t>操作人员在操作高压注入设施上的阀门时，若操作人员违章作业，不遵守操作规程，阀门丝杠、手轮等部件飞出可能发生物体打击事故。进行检维修设备或更换安全附件时</w:t>
      </w:r>
      <w:r>
        <w:rPr>
          <w:rFonts w:hint="eastAsia"/>
          <w:color w:val="000000" w:themeColor="text1"/>
        </w:rPr>
        <w:t>，</w:t>
      </w:r>
      <w:r>
        <w:rPr>
          <w:color w:val="000000" w:themeColor="text1"/>
        </w:rPr>
        <w:t>未泄压情况下更换压力表，压力表飞出可能导致物体打击事故。</w:t>
      </w:r>
    </w:p>
    <w:p w14:paraId="5B076222" w14:textId="77777777" w:rsidR="002D2AF8" w:rsidRDefault="00000000">
      <w:pPr>
        <w:pStyle w:val="aff4"/>
        <w:spacing w:line="360" w:lineRule="auto"/>
        <w:ind w:firstLineChars="200" w:firstLine="566"/>
        <w:rPr>
          <w:color w:val="000000" w:themeColor="text1"/>
        </w:rPr>
      </w:pPr>
      <w:r>
        <w:rPr>
          <w:color w:val="000000" w:themeColor="text1"/>
        </w:rPr>
        <w:t>高压管汇刺漏可能击伤人体，发生高压刺漏的原因主要有：若注入管线、阀组质量不合格，承压不够，可能发生管线破裂造成刺漏，注入管线受到内外腐蚀，管线长期运行可能产生腐蚀穿孔，导致刺漏。</w:t>
      </w:r>
    </w:p>
    <w:p w14:paraId="454C97A8" w14:textId="77777777" w:rsidR="002D2AF8" w:rsidRDefault="00000000">
      <w:pPr>
        <w:pStyle w:val="aff4"/>
        <w:spacing w:line="360" w:lineRule="auto"/>
        <w:ind w:firstLineChars="200" w:firstLine="566"/>
        <w:rPr>
          <w:color w:val="000000" w:themeColor="text1"/>
        </w:rPr>
      </w:pPr>
      <w:r>
        <w:rPr>
          <w:color w:val="000000" w:themeColor="text1"/>
        </w:rPr>
        <w:t>高压管线丝扣连接不规范，未拧紧，管线阀门、法兰等连接部位的密封件因老化、磨损，或者由于紧固件松动，而产生密封不良或失效等。</w:t>
      </w:r>
    </w:p>
    <w:p w14:paraId="2662D1B0" w14:textId="77777777" w:rsidR="002D2AF8" w:rsidRDefault="00000000">
      <w:pPr>
        <w:pStyle w:val="aff4"/>
        <w:spacing w:line="360" w:lineRule="auto"/>
        <w:ind w:firstLineChars="200" w:firstLine="566"/>
        <w:rPr>
          <w:color w:val="000000" w:themeColor="text1"/>
        </w:rPr>
      </w:pPr>
      <w:r>
        <w:rPr>
          <w:color w:val="000000" w:themeColor="text1"/>
        </w:rPr>
        <w:t>堵水</w:t>
      </w:r>
      <w:r>
        <w:rPr>
          <w:color w:val="000000" w:themeColor="text1"/>
        </w:rPr>
        <w:t>/</w:t>
      </w:r>
      <w:r>
        <w:rPr>
          <w:color w:val="000000" w:themeColor="text1"/>
        </w:rPr>
        <w:t>调剖时，井口承受高压，井口设施可能由于质量问题或腐蚀等发生刺漏造成人员伤亡。</w:t>
      </w:r>
    </w:p>
    <w:p w14:paraId="3813159E" w14:textId="77777777" w:rsidR="002D2AF8" w:rsidRDefault="00000000">
      <w:pPr>
        <w:pStyle w:val="aff4"/>
        <w:spacing w:line="360" w:lineRule="auto"/>
        <w:ind w:firstLineChars="200" w:firstLine="566"/>
        <w:rPr>
          <w:color w:val="000000" w:themeColor="text1"/>
        </w:rPr>
      </w:pPr>
      <w:r>
        <w:rPr>
          <w:color w:val="000000" w:themeColor="text1"/>
        </w:rPr>
        <w:t>3.</w:t>
      </w:r>
      <w:r>
        <w:rPr>
          <w:color w:val="000000" w:themeColor="text1"/>
        </w:rPr>
        <w:t>其它危害</w:t>
      </w:r>
    </w:p>
    <w:p w14:paraId="4F312F94" w14:textId="77777777" w:rsidR="002D2AF8" w:rsidRDefault="00000000">
      <w:pPr>
        <w:pStyle w:val="aff4"/>
        <w:spacing w:line="360" w:lineRule="auto"/>
        <w:ind w:firstLineChars="200" w:firstLine="566"/>
        <w:rPr>
          <w:color w:val="000000" w:themeColor="text1"/>
        </w:rPr>
      </w:pPr>
      <w:r>
        <w:rPr>
          <w:color w:val="000000" w:themeColor="text1"/>
        </w:rPr>
        <w:t>电机、泵类设备产生的噪声，对人员健康有一定影响。操作人员若长期在高噪声、振动环境下工作，不仅会损伤他们的听觉，还会使工作人员的情绪烦躁，降低工作效率，有时甚至会导致误动作而引起事故的发生。</w:t>
      </w:r>
    </w:p>
    <w:p w14:paraId="2CFB3129"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3.2.4 </w:t>
      </w:r>
      <w:r>
        <w:rPr>
          <w:rFonts w:eastAsia="黑体" w:hint="eastAsia"/>
          <w:bCs/>
          <w:snapToGrid w:val="0"/>
          <w:color w:val="000000" w:themeColor="text1"/>
          <w:kern w:val="0"/>
          <w:sz w:val="28"/>
          <w:szCs w:val="28"/>
        </w:rPr>
        <w:t>施工前</w:t>
      </w:r>
      <w:r>
        <w:rPr>
          <w:rFonts w:eastAsia="黑体"/>
          <w:bCs/>
          <w:snapToGrid w:val="0"/>
          <w:color w:val="000000" w:themeColor="text1"/>
          <w:kern w:val="0"/>
          <w:sz w:val="28"/>
          <w:szCs w:val="28"/>
        </w:rPr>
        <w:t>试压过程危险性分析</w:t>
      </w:r>
    </w:p>
    <w:p w14:paraId="3B99B70E"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设备设施安装完毕后，需要进行试压，</w:t>
      </w:r>
      <w:r>
        <w:rPr>
          <w:color w:val="000000" w:themeColor="text1"/>
          <w:sz w:val="28"/>
          <w:szCs w:val="28"/>
        </w:rPr>
        <w:t>试压过程中主要危险因素分析：</w:t>
      </w:r>
    </w:p>
    <w:p w14:paraId="131060AA" w14:textId="77777777" w:rsidR="002D2AF8" w:rsidRDefault="00000000">
      <w:pPr>
        <w:numPr>
          <w:ilvl w:val="0"/>
          <w:numId w:val="11"/>
        </w:numPr>
        <w:adjustRightInd w:val="0"/>
        <w:snapToGrid w:val="0"/>
        <w:spacing w:line="360" w:lineRule="auto"/>
        <w:ind w:firstLineChars="200" w:firstLine="566"/>
        <w:rPr>
          <w:color w:val="000000" w:themeColor="text1"/>
          <w:sz w:val="28"/>
          <w:szCs w:val="28"/>
        </w:rPr>
      </w:pPr>
      <w:r>
        <w:rPr>
          <w:color w:val="000000" w:themeColor="text1"/>
          <w:sz w:val="28"/>
          <w:szCs w:val="28"/>
        </w:rPr>
        <w:t>高压管汇等设备设施未定期检测或使用不合格管汇，管线破损，可造成人员伤亡事故。</w:t>
      </w:r>
    </w:p>
    <w:p w14:paraId="765925A8" w14:textId="77777777" w:rsidR="002D2AF8" w:rsidRDefault="00000000">
      <w:pPr>
        <w:numPr>
          <w:ilvl w:val="0"/>
          <w:numId w:val="11"/>
        </w:numPr>
        <w:adjustRightInd w:val="0"/>
        <w:snapToGrid w:val="0"/>
        <w:spacing w:line="360" w:lineRule="auto"/>
        <w:ind w:firstLineChars="200" w:firstLine="566"/>
        <w:rPr>
          <w:color w:val="000000" w:themeColor="text1"/>
          <w:sz w:val="28"/>
          <w:szCs w:val="28"/>
        </w:rPr>
      </w:pPr>
      <w:r>
        <w:rPr>
          <w:color w:val="000000" w:themeColor="text1"/>
          <w:sz w:val="28"/>
          <w:szCs w:val="28"/>
        </w:rPr>
        <w:t>部件、连接件规格不符合、连接管线固定不牢固造成隐患；</w:t>
      </w:r>
      <w:r>
        <w:rPr>
          <w:color w:val="000000" w:themeColor="text1"/>
          <w:sz w:val="28"/>
          <w:szCs w:val="28"/>
        </w:rPr>
        <w:lastRenderedPageBreak/>
        <w:t>压力刺漏，造成设备损坏、人员伤亡。</w:t>
      </w:r>
    </w:p>
    <w:p w14:paraId="55069E4F" w14:textId="77777777" w:rsidR="002D2AF8" w:rsidRDefault="00000000">
      <w:pPr>
        <w:numPr>
          <w:ilvl w:val="0"/>
          <w:numId w:val="11"/>
        </w:numPr>
        <w:adjustRightInd w:val="0"/>
        <w:snapToGrid w:val="0"/>
        <w:spacing w:line="360" w:lineRule="auto"/>
        <w:ind w:firstLineChars="200" w:firstLine="566"/>
        <w:rPr>
          <w:color w:val="000000" w:themeColor="text1"/>
          <w:sz w:val="28"/>
          <w:szCs w:val="28"/>
        </w:rPr>
      </w:pPr>
      <w:r>
        <w:rPr>
          <w:color w:val="000000" w:themeColor="text1"/>
          <w:sz w:val="28"/>
          <w:szCs w:val="28"/>
        </w:rPr>
        <w:t>未正确开关闸门或者闸门开关不到位；阀门开关不灵活、流程标识不清，人员操作失误，造成事故的发生。</w:t>
      </w:r>
    </w:p>
    <w:p w14:paraId="79F41556" w14:textId="77777777" w:rsidR="002D2AF8" w:rsidRDefault="00000000">
      <w:pPr>
        <w:numPr>
          <w:ilvl w:val="0"/>
          <w:numId w:val="11"/>
        </w:numPr>
        <w:adjustRightInd w:val="0"/>
        <w:snapToGrid w:val="0"/>
        <w:spacing w:line="360" w:lineRule="auto"/>
        <w:ind w:firstLineChars="200" w:firstLine="566"/>
        <w:rPr>
          <w:color w:val="000000" w:themeColor="text1"/>
          <w:sz w:val="28"/>
          <w:szCs w:val="28"/>
        </w:rPr>
      </w:pPr>
      <w:r>
        <w:rPr>
          <w:color w:val="000000" w:themeColor="text1"/>
          <w:sz w:val="28"/>
          <w:szCs w:val="28"/>
        </w:rPr>
        <w:t>压力数值显示不准确或失灵导致设备损坏，人员伤害。</w:t>
      </w:r>
    </w:p>
    <w:p w14:paraId="23E37FE0" w14:textId="77777777" w:rsidR="002D2AF8" w:rsidRDefault="00000000">
      <w:pPr>
        <w:numPr>
          <w:ilvl w:val="0"/>
          <w:numId w:val="11"/>
        </w:numPr>
        <w:adjustRightInd w:val="0"/>
        <w:snapToGrid w:val="0"/>
        <w:spacing w:line="360" w:lineRule="auto"/>
        <w:ind w:firstLineChars="200" w:firstLine="566"/>
        <w:rPr>
          <w:color w:val="000000" w:themeColor="text1"/>
          <w:sz w:val="28"/>
          <w:szCs w:val="28"/>
        </w:rPr>
      </w:pPr>
      <w:r>
        <w:rPr>
          <w:color w:val="000000" w:themeColor="text1"/>
          <w:sz w:val="28"/>
          <w:szCs w:val="28"/>
        </w:rPr>
        <w:t>管汇出口无标识、隔离区域不到位造成无关人员误入高压危险区域，造成伤害。</w:t>
      </w:r>
    </w:p>
    <w:p w14:paraId="69AD831F" w14:textId="77777777" w:rsidR="002D2AF8" w:rsidRDefault="00000000">
      <w:pPr>
        <w:numPr>
          <w:ilvl w:val="0"/>
          <w:numId w:val="11"/>
        </w:numPr>
        <w:adjustRightInd w:val="0"/>
        <w:snapToGrid w:val="0"/>
        <w:spacing w:line="360" w:lineRule="auto"/>
        <w:ind w:firstLineChars="200" w:firstLine="566"/>
        <w:rPr>
          <w:color w:val="000000" w:themeColor="text1"/>
          <w:sz w:val="28"/>
          <w:szCs w:val="28"/>
        </w:rPr>
      </w:pPr>
      <w:r>
        <w:rPr>
          <w:color w:val="000000" w:themeColor="text1"/>
          <w:sz w:val="28"/>
          <w:szCs w:val="28"/>
        </w:rPr>
        <w:t>试压压力过大，造成设备损害和人身伤害。</w:t>
      </w:r>
    </w:p>
    <w:p w14:paraId="408C38CB" w14:textId="77777777" w:rsidR="002D2AF8" w:rsidRDefault="00000000">
      <w:pPr>
        <w:numPr>
          <w:ilvl w:val="0"/>
          <w:numId w:val="11"/>
        </w:numPr>
        <w:adjustRightInd w:val="0"/>
        <w:snapToGrid w:val="0"/>
        <w:spacing w:line="360" w:lineRule="auto"/>
        <w:ind w:firstLineChars="200" w:firstLine="566"/>
        <w:rPr>
          <w:color w:val="000000" w:themeColor="text1"/>
          <w:sz w:val="28"/>
          <w:szCs w:val="28"/>
        </w:rPr>
      </w:pPr>
      <w:r>
        <w:rPr>
          <w:color w:val="000000" w:themeColor="text1"/>
          <w:sz w:val="28"/>
          <w:szCs w:val="28"/>
        </w:rPr>
        <w:t>试压结束，恢复流程、拆卸试压装置，未等压力完全释放，就进行闸门复位工作，造成设备损害和人身伤害。</w:t>
      </w:r>
    </w:p>
    <w:p w14:paraId="5E6B993D" w14:textId="77777777" w:rsidR="002D2AF8" w:rsidRDefault="00000000">
      <w:pPr>
        <w:pStyle w:val="li"/>
        <w:adjustRightInd w:val="0"/>
        <w:snapToGrid w:val="0"/>
        <w:spacing w:line="360" w:lineRule="auto"/>
        <w:ind w:firstLineChars="0" w:firstLine="0"/>
        <w:jc w:val="both"/>
        <w:outlineLvl w:val="2"/>
        <w:rPr>
          <w:rFonts w:eastAsia="黑体"/>
          <w:color w:val="000000" w:themeColor="text1"/>
          <w:kern w:val="0"/>
        </w:rPr>
      </w:pPr>
      <w:r>
        <w:rPr>
          <w:rFonts w:eastAsia="黑体"/>
          <w:color w:val="000000" w:themeColor="text1"/>
          <w:kern w:val="0"/>
        </w:rPr>
        <w:t xml:space="preserve">3.2.5 </w:t>
      </w:r>
      <w:r>
        <w:rPr>
          <w:rFonts w:eastAsia="黑体"/>
          <w:color w:val="000000" w:themeColor="text1"/>
          <w:kern w:val="0"/>
        </w:rPr>
        <w:t>临时用电作业危险性分析</w:t>
      </w:r>
    </w:p>
    <w:p w14:paraId="60E29CAA" w14:textId="77777777" w:rsidR="002D2AF8" w:rsidRDefault="00000000">
      <w:pPr>
        <w:pStyle w:val="li"/>
        <w:adjustRightInd w:val="0"/>
        <w:snapToGrid w:val="0"/>
        <w:spacing w:line="360" w:lineRule="auto"/>
        <w:ind w:firstLine="566"/>
        <w:jc w:val="both"/>
        <w:rPr>
          <w:color w:val="000000" w:themeColor="text1"/>
          <w:kern w:val="0"/>
        </w:rPr>
      </w:pPr>
      <w:r>
        <w:rPr>
          <w:color w:val="000000" w:themeColor="text1"/>
          <w:kern w:val="0"/>
        </w:rPr>
        <w:t>1.</w:t>
      </w:r>
      <w:r>
        <w:rPr>
          <w:color w:val="000000" w:themeColor="text1"/>
          <w:kern w:val="0"/>
        </w:rPr>
        <w:t>施工现场需要临时用电，若电气设备安装、使用不合理，缺少保护装置，操作人员违章操作等原因，极易造成触电事故。</w:t>
      </w:r>
    </w:p>
    <w:p w14:paraId="70A107FC" w14:textId="77777777" w:rsidR="002D2AF8" w:rsidRDefault="00000000">
      <w:pPr>
        <w:pStyle w:val="li"/>
        <w:adjustRightInd w:val="0"/>
        <w:snapToGrid w:val="0"/>
        <w:spacing w:line="360" w:lineRule="auto"/>
        <w:ind w:firstLine="566"/>
        <w:jc w:val="both"/>
        <w:rPr>
          <w:color w:val="000000" w:themeColor="text1"/>
          <w:kern w:val="0"/>
        </w:rPr>
      </w:pPr>
      <w:r>
        <w:rPr>
          <w:color w:val="000000" w:themeColor="text1"/>
          <w:kern w:val="0"/>
        </w:rPr>
        <w:t>2.</w:t>
      </w:r>
      <w:r>
        <w:rPr>
          <w:color w:val="000000" w:themeColor="text1"/>
          <w:kern w:val="0"/>
        </w:rPr>
        <w:t>跨越安全围栏或超越安全警戒线，工作人员误碰带电设备，以及在带电设备附近使用钢卷尺等进行测量或携带金属超高物体在带电设备下行走可能造成触电事故。</w:t>
      </w:r>
    </w:p>
    <w:p w14:paraId="6CBC53C4" w14:textId="77777777" w:rsidR="002D2AF8" w:rsidRDefault="00000000">
      <w:pPr>
        <w:pStyle w:val="li"/>
        <w:adjustRightInd w:val="0"/>
        <w:snapToGrid w:val="0"/>
        <w:spacing w:line="360" w:lineRule="auto"/>
        <w:ind w:firstLine="566"/>
        <w:jc w:val="both"/>
        <w:rPr>
          <w:color w:val="000000" w:themeColor="text1"/>
          <w:kern w:val="0"/>
        </w:rPr>
      </w:pPr>
      <w:r>
        <w:rPr>
          <w:color w:val="000000" w:themeColor="text1"/>
          <w:kern w:val="0"/>
        </w:rPr>
        <w:t>3.</w:t>
      </w:r>
      <w:r>
        <w:rPr>
          <w:color w:val="000000" w:themeColor="text1"/>
          <w:kern w:val="0"/>
        </w:rPr>
        <w:t>施工现场混乱，造成电气设备安全设施不健全或损坏漏电，绝缘保护层破损或保护接地失效等，如未能及时发现并整改，可能造成触电或电气火灾事故。</w:t>
      </w:r>
    </w:p>
    <w:p w14:paraId="0FE684E9" w14:textId="77777777" w:rsidR="002D2AF8" w:rsidRDefault="00000000">
      <w:pPr>
        <w:pStyle w:val="li"/>
        <w:adjustRightInd w:val="0"/>
        <w:snapToGrid w:val="0"/>
        <w:spacing w:line="360" w:lineRule="auto"/>
        <w:ind w:firstLine="566"/>
        <w:jc w:val="both"/>
        <w:rPr>
          <w:color w:val="000000" w:themeColor="text1"/>
          <w:kern w:val="0"/>
        </w:rPr>
      </w:pPr>
      <w:r>
        <w:rPr>
          <w:color w:val="000000" w:themeColor="text1"/>
          <w:kern w:val="0"/>
        </w:rPr>
        <w:t>4.</w:t>
      </w:r>
      <w:r>
        <w:rPr>
          <w:color w:val="000000" w:themeColor="text1"/>
          <w:kern w:val="0"/>
        </w:rPr>
        <w:t>电线裸露、乱拉、乱扯电线、湿手触动电器开关设备、绝缘胶鞋破损透水或用湿物去接触电器设备，有引发触电事故的可能性。</w:t>
      </w:r>
    </w:p>
    <w:p w14:paraId="1985981E" w14:textId="77777777" w:rsidR="002D2AF8" w:rsidRDefault="00000000">
      <w:pPr>
        <w:pStyle w:val="li"/>
        <w:adjustRightInd w:val="0"/>
        <w:snapToGrid w:val="0"/>
        <w:spacing w:line="360" w:lineRule="auto"/>
        <w:ind w:firstLine="566"/>
        <w:jc w:val="both"/>
        <w:rPr>
          <w:color w:val="000000" w:themeColor="text1"/>
          <w:kern w:val="0"/>
        </w:rPr>
      </w:pPr>
      <w:r>
        <w:rPr>
          <w:color w:val="000000" w:themeColor="text1"/>
          <w:kern w:val="0"/>
        </w:rPr>
        <w:t>5.</w:t>
      </w:r>
      <w:r>
        <w:rPr>
          <w:color w:val="000000" w:themeColor="text1"/>
          <w:kern w:val="0"/>
        </w:rPr>
        <w:t>在带电设备附近进行作业，不符合安全距离或无监护措施，缺少安全标志或标志不明显等可能引发触电事故的发生。</w:t>
      </w:r>
    </w:p>
    <w:p w14:paraId="35297697" w14:textId="77777777" w:rsidR="002D2AF8" w:rsidRDefault="00000000">
      <w:pPr>
        <w:pStyle w:val="li"/>
        <w:adjustRightInd w:val="0"/>
        <w:snapToGrid w:val="0"/>
        <w:spacing w:line="360" w:lineRule="auto"/>
        <w:ind w:firstLineChars="0" w:firstLine="0"/>
        <w:jc w:val="both"/>
        <w:outlineLvl w:val="2"/>
        <w:rPr>
          <w:rFonts w:eastAsia="黑体"/>
          <w:color w:val="000000" w:themeColor="text1"/>
          <w:kern w:val="0"/>
        </w:rPr>
      </w:pPr>
      <w:r>
        <w:rPr>
          <w:rFonts w:eastAsia="黑体"/>
          <w:color w:val="000000" w:themeColor="text1"/>
          <w:kern w:val="0"/>
        </w:rPr>
        <w:t>3.2.</w:t>
      </w:r>
      <w:r>
        <w:rPr>
          <w:rFonts w:eastAsia="黑体" w:hint="eastAsia"/>
          <w:color w:val="000000" w:themeColor="text1"/>
          <w:kern w:val="0"/>
        </w:rPr>
        <w:t>6</w:t>
      </w:r>
      <w:r>
        <w:rPr>
          <w:rFonts w:eastAsia="黑体"/>
          <w:color w:val="000000" w:themeColor="text1"/>
          <w:kern w:val="0"/>
        </w:rPr>
        <w:t xml:space="preserve"> </w:t>
      </w:r>
      <w:r>
        <w:rPr>
          <w:rFonts w:eastAsia="黑体" w:hint="eastAsia"/>
          <w:color w:val="000000" w:themeColor="text1"/>
          <w:kern w:val="0"/>
        </w:rPr>
        <w:t>检维修、加料过程</w:t>
      </w:r>
      <w:r>
        <w:rPr>
          <w:rFonts w:eastAsia="黑体"/>
          <w:color w:val="000000" w:themeColor="text1"/>
          <w:kern w:val="0"/>
        </w:rPr>
        <w:t>危险性分析</w:t>
      </w:r>
    </w:p>
    <w:p w14:paraId="12B74178" w14:textId="77777777" w:rsidR="002D2AF8" w:rsidRDefault="00000000">
      <w:pPr>
        <w:pStyle w:val="li"/>
        <w:adjustRightInd w:val="0"/>
        <w:snapToGrid w:val="0"/>
        <w:spacing w:line="360" w:lineRule="auto"/>
        <w:ind w:firstLine="566"/>
        <w:jc w:val="both"/>
        <w:rPr>
          <w:color w:val="000000" w:themeColor="text1"/>
          <w:kern w:val="0"/>
        </w:rPr>
      </w:pPr>
      <w:r>
        <w:rPr>
          <w:rFonts w:hint="eastAsia"/>
          <w:color w:val="000000" w:themeColor="text1"/>
          <w:kern w:val="0"/>
        </w:rPr>
        <w:t>配液罐等涉及受限空间检维修作业时，如冲洗、吹扫不彻底，通风不畅，可导致检维修人员中毒和窒息。</w:t>
      </w:r>
    </w:p>
    <w:p w14:paraId="1B575E6E" w14:textId="77777777" w:rsidR="002D2AF8" w:rsidRDefault="00000000">
      <w:pPr>
        <w:pStyle w:val="li"/>
        <w:adjustRightInd w:val="0"/>
        <w:snapToGrid w:val="0"/>
        <w:spacing w:line="360" w:lineRule="auto"/>
        <w:ind w:firstLine="566"/>
        <w:jc w:val="both"/>
        <w:rPr>
          <w:color w:val="000000" w:themeColor="text1"/>
          <w:kern w:val="0"/>
        </w:rPr>
      </w:pPr>
      <w:r>
        <w:rPr>
          <w:rFonts w:hint="eastAsia"/>
          <w:color w:val="000000" w:themeColor="text1"/>
          <w:kern w:val="0"/>
        </w:rPr>
        <w:lastRenderedPageBreak/>
        <w:t>聚丙烯酰胺粉料在加料过程中，是用水力抽成的负压将粉料吸入配液罐内，此过程中，作业人员佩戴防尘口罩，对人员产生粉尘危害的可能性较小。但吸入粉料过程中，易产生大量静电，若无导除静电设施，可导致静电积聚，遇井场泄漏的可燃气体，可发生火灾爆炸事故。</w:t>
      </w:r>
    </w:p>
    <w:p w14:paraId="01CE6088" w14:textId="77777777" w:rsidR="002D2AF8" w:rsidRDefault="00000000">
      <w:pPr>
        <w:pStyle w:val="20"/>
        <w:keepNext w:val="0"/>
        <w:keepLines w:val="0"/>
        <w:adjustRightInd w:val="0"/>
        <w:snapToGrid w:val="0"/>
        <w:spacing w:before="0" w:after="0" w:line="360" w:lineRule="auto"/>
        <w:rPr>
          <w:rFonts w:ascii="Times New Roman" w:hAnsi="Times New Roman"/>
          <w:color w:val="000000" w:themeColor="text1"/>
        </w:rPr>
      </w:pPr>
      <w:bookmarkStart w:id="53" w:name="_Toc9322"/>
      <w:r>
        <w:rPr>
          <w:rFonts w:ascii="Times New Roman" w:hAnsi="Times New Roman"/>
          <w:b w:val="0"/>
          <w:bCs/>
          <w:color w:val="000000" w:themeColor="text1"/>
          <w:szCs w:val="32"/>
        </w:rPr>
        <w:t xml:space="preserve">3.3 </w:t>
      </w:r>
      <w:r>
        <w:rPr>
          <w:rFonts w:ascii="Times New Roman" w:hAnsi="Times New Roman"/>
          <w:b w:val="0"/>
          <w:bCs/>
          <w:color w:val="000000" w:themeColor="text1"/>
          <w:szCs w:val="32"/>
        </w:rPr>
        <w:t>主要设备设施危险性分析</w:t>
      </w:r>
      <w:bookmarkEnd w:id="53"/>
    </w:p>
    <w:p w14:paraId="6559E838" w14:textId="77777777" w:rsidR="002D2AF8" w:rsidRDefault="00000000">
      <w:pPr>
        <w:pStyle w:val="aff4"/>
        <w:spacing w:line="360" w:lineRule="auto"/>
        <w:ind w:firstLineChars="200" w:firstLine="566"/>
        <w:rPr>
          <w:color w:val="000000" w:themeColor="text1"/>
        </w:rPr>
      </w:pPr>
      <w:r>
        <w:rPr>
          <w:rFonts w:hint="eastAsia"/>
          <w:color w:val="000000" w:themeColor="text1"/>
        </w:rPr>
        <w:t>1</w:t>
      </w:r>
      <w:r>
        <w:rPr>
          <w:color w:val="000000" w:themeColor="text1"/>
        </w:rPr>
        <w:t>.</w:t>
      </w:r>
      <w:r>
        <w:rPr>
          <w:color w:val="000000" w:themeColor="text1"/>
        </w:rPr>
        <w:t>高压管汇</w:t>
      </w:r>
    </w:p>
    <w:p w14:paraId="452E89A2" w14:textId="77777777" w:rsidR="002D2AF8" w:rsidRDefault="00000000">
      <w:pPr>
        <w:pStyle w:val="li"/>
        <w:adjustRightInd w:val="0"/>
        <w:snapToGrid w:val="0"/>
        <w:spacing w:line="360" w:lineRule="auto"/>
        <w:ind w:firstLine="566"/>
        <w:jc w:val="both"/>
        <w:rPr>
          <w:bCs/>
          <w:color w:val="000000" w:themeColor="text1"/>
        </w:rPr>
      </w:pPr>
      <w:r>
        <w:rPr>
          <w:bCs/>
          <w:color w:val="000000" w:themeColor="text1"/>
        </w:rPr>
        <w:t>输送水等介质的高压管道、弯头，若因材料缺陷、冲蚀变薄等原因致使管道、弯头承压能力下降，可发生高压管汇爆裂事故。</w:t>
      </w:r>
    </w:p>
    <w:p w14:paraId="2562DBCD" w14:textId="77777777" w:rsidR="002D2AF8" w:rsidRDefault="00000000">
      <w:pPr>
        <w:pStyle w:val="aff4"/>
        <w:spacing w:line="360" w:lineRule="auto"/>
        <w:ind w:firstLineChars="200" w:firstLine="566"/>
        <w:rPr>
          <w:color w:val="000000" w:themeColor="text1"/>
        </w:rPr>
      </w:pPr>
      <w:r>
        <w:rPr>
          <w:rFonts w:hint="eastAsia"/>
          <w:color w:val="000000" w:themeColor="text1"/>
        </w:rPr>
        <w:t>2</w:t>
      </w:r>
      <w:r>
        <w:rPr>
          <w:color w:val="000000" w:themeColor="text1"/>
        </w:rPr>
        <w:t>.</w:t>
      </w:r>
      <w:r>
        <w:rPr>
          <w:color w:val="000000" w:themeColor="text1"/>
        </w:rPr>
        <w:t>机泵类</w:t>
      </w:r>
    </w:p>
    <w:p w14:paraId="5C971A0B"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本项目涉及的机泵类等机械运转设备，若其外露的运转部件无防护罩或防护罩缺损，维修、检查时违章操作，未断电或监护不力导致设备意外启动等，人触及运转部件有可能造成绞手、卷入等机械伤害事故；或正常运转过程中，人员未按规定将长发束起或未按规定穿戴工作服装等，触及运转部件有可能造成卷入等机械伤害事故。</w:t>
      </w:r>
    </w:p>
    <w:p w14:paraId="2BCEF848"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机泵类是现场施工的主要噪声源，对操作人员存在噪声危害。噪声危害主要是引起听觉功能敏感度下降，甚至耳聋，或引起神经衰弱、心血管病及消化系统等疾病的高发。另外，噪声干扰信息交流，使操作人员误操作发生率上升，影响安全生产。泵类运转时是噪声源，人员长期在此环境内工作，存在噪声的危害。</w:t>
      </w:r>
    </w:p>
    <w:p w14:paraId="3E17A54B" w14:textId="77777777" w:rsidR="002D2AF8" w:rsidRDefault="00000000">
      <w:pPr>
        <w:pStyle w:val="aff4"/>
        <w:spacing w:line="360" w:lineRule="auto"/>
        <w:ind w:firstLineChars="200" w:firstLine="566"/>
        <w:rPr>
          <w:color w:val="000000" w:themeColor="text1"/>
        </w:rPr>
      </w:pPr>
      <w:r>
        <w:rPr>
          <w:rFonts w:hint="eastAsia"/>
          <w:color w:val="000000" w:themeColor="text1"/>
        </w:rPr>
        <w:t>3</w:t>
      </w:r>
      <w:r>
        <w:rPr>
          <w:color w:val="000000" w:themeColor="text1"/>
        </w:rPr>
        <w:t>.</w:t>
      </w:r>
      <w:r>
        <w:rPr>
          <w:color w:val="000000" w:themeColor="text1"/>
        </w:rPr>
        <w:t>电气设备</w:t>
      </w:r>
    </w:p>
    <w:p w14:paraId="2C2CFE7F" w14:textId="77777777" w:rsidR="002D2AF8" w:rsidRDefault="00000000">
      <w:pPr>
        <w:pStyle w:val="aff4"/>
        <w:spacing w:line="360" w:lineRule="auto"/>
        <w:ind w:firstLineChars="200" w:firstLine="566"/>
        <w:rPr>
          <w:color w:val="000000" w:themeColor="text1"/>
        </w:rPr>
      </w:pPr>
      <w:r>
        <w:rPr>
          <w:color w:val="000000" w:themeColor="text1"/>
        </w:rPr>
        <w:t>电气设备若无接地保护或接地不良、绝缘破坏漏电，以及输配电线路绝缘破坏漏电，电气作业监护不力或违章操作等，人体触及带电体，有发生触电的危险。</w:t>
      </w:r>
    </w:p>
    <w:p w14:paraId="552C1637" w14:textId="77777777" w:rsidR="002D2AF8" w:rsidRDefault="00000000">
      <w:pPr>
        <w:pStyle w:val="aff4"/>
        <w:spacing w:line="360" w:lineRule="auto"/>
        <w:ind w:firstLineChars="200" w:firstLine="566"/>
        <w:rPr>
          <w:color w:val="000000" w:themeColor="text1"/>
        </w:rPr>
      </w:pPr>
      <w:r>
        <w:rPr>
          <w:color w:val="000000" w:themeColor="text1"/>
        </w:rPr>
        <w:lastRenderedPageBreak/>
        <w:t>电动机过负荷运行，电动机接线处各接线点接触不良或松动时，电动机的引线不牢，熔断器过大及其配电装置不符等；均有可能引起电器火灾或触电事故。</w:t>
      </w:r>
    </w:p>
    <w:p w14:paraId="175D3225" w14:textId="77777777" w:rsidR="002D2AF8" w:rsidRDefault="00000000">
      <w:pPr>
        <w:pStyle w:val="aff4"/>
        <w:spacing w:line="360" w:lineRule="auto"/>
        <w:ind w:firstLineChars="200" w:firstLine="566"/>
        <w:rPr>
          <w:color w:val="000000" w:themeColor="text1"/>
        </w:rPr>
      </w:pPr>
      <w:r>
        <w:rPr>
          <w:color w:val="000000" w:themeColor="text1"/>
        </w:rPr>
        <w:t>在爆炸危险区域内，电气设备选型不当，防爆等级不够，可引起火灾、爆炸事故发生。</w:t>
      </w:r>
    </w:p>
    <w:p w14:paraId="6D597A13"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54" w:name="_Toc447782517"/>
      <w:bookmarkStart w:id="55" w:name="_Toc281310741"/>
      <w:bookmarkStart w:id="56" w:name="_Toc216105912"/>
      <w:bookmarkStart w:id="57" w:name="_Toc8889"/>
      <w:r>
        <w:rPr>
          <w:rFonts w:ascii="Times New Roman" w:hAnsi="Times New Roman"/>
          <w:b w:val="0"/>
          <w:bCs/>
          <w:color w:val="000000" w:themeColor="text1"/>
          <w:szCs w:val="32"/>
        </w:rPr>
        <w:t xml:space="preserve">3.4 </w:t>
      </w:r>
      <w:r>
        <w:rPr>
          <w:rFonts w:ascii="Times New Roman" w:hAnsi="Times New Roman"/>
          <w:b w:val="0"/>
          <w:bCs/>
          <w:color w:val="000000" w:themeColor="text1"/>
          <w:szCs w:val="32"/>
        </w:rPr>
        <w:t>主要危险因素分析</w:t>
      </w:r>
      <w:bookmarkEnd w:id="54"/>
      <w:bookmarkEnd w:id="55"/>
      <w:bookmarkEnd w:id="56"/>
      <w:bookmarkEnd w:id="57"/>
    </w:p>
    <w:p w14:paraId="1CAD136E" w14:textId="77777777" w:rsidR="002D2AF8" w:rsidRDefault="00000000">
      <w:pPr>
        <w:tabs>
          <w:tab w:val="left" w:pos="0"/>
          <w:tab w:val="left" w:pos="1080"/>
        </w:tabs>
        <w:adjustRightInd w:val="0"/>
        <w:snapToGrid w:val="0"/>
        <w:spacing w:line="360" w:lineRule="auto"/>
        <w:ind w:firstLineChars="200" w:firstLine="566"/>
        <w:rPr>
          <w:color w:val="000000" w:themeColor="text1"/>
          <w:sz w:val="28"/>
          <w:szCs w:val="28"/>
        </w:rPr>
      </w:pP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调剖等受井下状况影响非常大。并且井下作业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调剖等涉及野外临时用电，有时可能突发井喷等事故，是多种风险性并存的作业。根据</w:t>
      </w:r>
      <w:r>
        <w:rPr>
          <w:rFonts w:hint="eastAsia"/>
          <w:color w:val="000000" w:themeColor="text1"/>
          <w:sz w:val="28"/>
          <w:szCs w:val="28"/>
        </w:rPr>
        <w:t>胜兴堵驱公司</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调剖等的特点，主要危险、有害因素有：火灾爆炸、井喷及井喷失控、中毒和窒息、物体打击、机械伤害、触电、车辆伤害、高处坠落、起重伤害等。</w:t>
      </w:r>
    </w:p>
    <w:p w14:paraId="36CF256C"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3.4.1 </w:t>
      </w:r>
      <w:r>
        <w:rPr>
          <w:rFonts w:eastAsia="黑体"/>
          <w:bCs/>
          <w:snapToGrid w:val="0"/>
          <w:color w:val="000000" w:themeColor="text1"/>
          <w:kern w:val="0"/>
          <w:sz w:val="28"/>
          <w:szCs w:val="28"/>
        </w:rPr>
        <w:t>火灾爆炸</w:t>
      </w:r>
    </w:p>
    <w:p w14:paraId="43DB7E7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石油、天然气等具有较低的闪点、燃点和自燃点，具有比煤炭、木材等物质易燃烧的特性。因此，作业施工现场属防火、防爆的重点区域，必须严加控制。在作业中形成火灾的原因总的来说可以分为人为的失火、自然现象造成的失火、设备故障引起的失火、摩擦过热失火和过热物质引起的失火等几类。主要原因有：</w:t>
      </w:r>
    </w:p>
    <w:p w14:paraId="569094F1"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在作业过程中发生井喷及由于设备本身存在缺陷或违章操作等导致油气</w:t>
      </w:r>
      <w:r>
        <w:rPr>
          <w:rFonts w:hint="eastAsia"/>
          <w:color w:val="000000" w:themeColor="text1"/>
          <w:sz w:val="28"/>
          <w:szCs w:val="28"/>
        </w:rPr>
        <w:t>泄漏</w:t>
      </w:r>
      <w:r>
        <w:rPr>
          <w:color w:val="000000" w:themeColor="text1"/>
          <w:sz w:val="28"/>
          <w:szCs w:val="28"/>
        </w:rPr>
        <w:t>、聚集，遇点火源可能引起火灾、爆炸；</w:t>
      </w:r>
    </w:p>
    <w:p w14:paraId="03AED45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仪器短路、过载、接触不良、散热不良，照明器具安置或使用不当等，易发生电气火灾；</w:t>
      </w:r>
    </w:p>
    <w:p w14:paraId="6514F1E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rFonts w:hint="eastAsia"/>
          <w:color w:val="000000" w:themeColor="text1"/>
          <w:sz w:val="28"/>
          <w:szCs w:val="28"/>
        </w:rPr>
        <w:t>检维修时，</w:t>
      </w:r>
      <w:r>
        <w:rPr>
          <w:color w:val="000000" w:themeColor="text1"/>
          <w:sz w:val="28"/>
          <w:szCs w:val="28"/>
        </w:rPr>
        <w:t>用火作业完工后对残余火源未进行彻底处理遇可燃物可能引起火灾。</w:t>
      </w:r>
    </w:p>
    <w:p w14:paraId="6F923FF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其中作业施工中易燃、易爆介质的来源主要有以下几方面：</w:t>
      </w:r>
    </w:p>
    <w:p w14:paraId="58AD5813"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1.</w:t>
      </w:r>
      <w:r>
        <w:rPr>
          <w:color w:val="000000" w:themeColor="text1"/>
          <w:sz w:val="28"/>
          <w:szCs w:val="28"/>
        </w:rPr>
        <w:t>地层中碳氢化合物的溢出；</w:t>
      </w:r>
    </w:p>
    <w:p w14:paraId="0D18AD4B"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井场使用的各类油料及石油助剂，如机油等易燃、易爆品；</w:t>
      </w:r>
    </w:p>
    <w:p w14:paraId="06BCC84D"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设备更换的废机油、清洗用废油等；</w:t>
      </w:r>
    </w:p>
    <w:p w14:paraId="135CF257"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发生</w:t>
      </w:r>
      <w:r>
        <w:rPr>
          <w:color w:val="000000" w:themeColor="text1"/>
          <w:sz w:val="28"/>
          <w:szCs w:val="28"/>
        </w:rPr>
        <w:t>“</w:t>
      </w:r>
      <w:r>
        <w:rPr>
          <w:color w:val="000000" w:themeColor="text1"/>
          <w:sz w:val="28"/>
          <w:szCs w:val="28"/>
        </w:rPr>
        <w:t>井喷</w:t>
      </w:r>
      <w:r>
        <w:rPr>
          <w:color w:val="000000" w:themeColor="text1"/>
          <w:sz w:val="28"/>
          <w:szCs w:val="28"/>
        </w:rPr>
        <w:t>”</w:t>
      </w:r>
      <w:r>
        <w:rPr>
          <w:color w:val="000000" w:themeColor="text1"/>
          <w:sz w:val="28"/>
          <w:szCs w:val="28"/>
        </w:rPr>
        <w:t>事故时，井场布满的石油；</w:t>
      </w:r>
    </w:p>
    <w:p w14:paraId="6FC9A834"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井场周围的干燥植物，如庄稼、荒草等；</w:t>
      </w:r>
    </w:p>
    <w:p w14:paraId="2646C05D"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6.</w:t>
      </w:r>
      <w:r>
        <w:rPr>
          <w:color w:val="000000" w:themeColor="text1"/>
          <w:sz w:val="28"/>
          <w:szCs w:val="28"/>
        </w:rPr>
        <w:t>施工营房内的可燃物，如棉被、衣物、塑料及其他可燃纤维材料；</w:t>
      </w:r>
    </w:p>
    <w:p w14:paraId="034E71CD"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7.</w:t>
      </w:r>
      <w:r>
        <w:rPr>
          <w:color w:val="000000" w:themeColor="text1"/>
          <w:sz w:val="28"/>
          <w:szCs w:val="28"/>
        </w:rPr>
        <w:t>其他易燃、易爆介质。</w:t>
      </w:r>
    </w:p>
    <w:p w14:paraId="737079EB"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可能引发火灾爆炸的另一类危险因素是点火源。在作业施工现场可能出现的点火源主要有：吸烟明火、施工机械和施工车辆的排气管火花、电焊火花或其他燃烧设备的燃烧火焰、电气火花或电气运行高温、静电打火、机械火花、雷电以及在井场周围进行烧荒等明火。</w:t>
      </w:r>
    </w:p>
    <w:p w14:paraId="3D023245"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作业现场若消防设施摆放位置不规范、使用不当或保管不善，一旦发生火险，来不及扑灭，就会使火灾蔓延。</w:t>
      </w:r>
      <w:r>
        <w:rPr>
          <w:rFonts w:hint="eastAsia"/>
          <w:color w:val="000000" w:themeColor="text1"/>
          <w:sz w:val="28"/>
          <w:szCs w:val="28"/>
        </w:rPr>
        <w:t>堵调测试</w:t>
      </w:r>
      <w:r>
        <w:rPr>
          <w:color w:val="000000" w:themeColor="text1"/>
          <w:sz w:val="28"/>
          <w:szCs w:val="28"/>
        </w:rPr>
        <w:t>队的工作性质是作业地点经常变动，频繁的搬迁作业对消防器材的完好性带来很大程度的影响。若不及时检查和更换，一旦发生火灾，就很难及时扑救，后果严重。</w:t>
      </w:r>
    </w:p>
    <w:p w14:paraId="184F6240"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另外，部分职工消防意识淡薄，也是发生火灾的原因之一。作业人员未进行安全防火知识教育培训上岗，未执行安全生产管理制度，违章作业，也可能导致火灾爆炸事故的发生。</w:t>
      </w:r>
    </w:p>
    <w:p w14:paraId="3878FB48"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3.4.2 </w:t>
      </w:r>
      <w:r>
        <w:rPr>
          <w:rFonts w:eastAsia="黑体"/>
          <w:bCs/>
          <w:snapToGrid w:val="0"/>
          <w:color w:val="000000" w:themeColor="text1"/>
          <w:kern w:val="0"/>
          <w:sz w:val="28"/>
          <w:szCs w:val="28"/>
        </w:rPr>
        <w:t>井喷及井喷失控</w:t>
      </w:r>
    </w:p>
    <w:p w14:paraId="144CBE51"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井喷是指当井底压力远小于地层压力时，井内流体大量喷出，在地面形成较大喷势的现象称之为井喷。</w:t>
      </w:r>
    </w:p>
    <w:p w14:paraId="5F2DF600"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井喷失控是指井喷发生后，无法用常规方法控制井口而出现井</w:t>
      </w:r>
      <w:r>
        <w:rPr>
          <w:color w:val="000000" w:themeColor="text1"/>
          <w:sz w:val="28"/>
          <w:szCs w:val="28"/>
        </w:rPr>
        <w:lastRenderedPageBreak/>
        <w:t>口敞喷的现象称之为井喷失控。</w:t>
      </w:r>
    </w:p>
    <w:p w14:paraId="01435045"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过程中，井喷失控泛指井喷后井口装置和井控管汇失去了对油气井的有效控制，甚至着火。油井失控和气井失控各有其特点和复杂性，气井或含气油井处理更为困难。由于天然气具有密度小、可压缩、膨胀、易溶性，在钻井液中易滑脱上升，易爆炸燃烧，难以封闭等物理化学特性，因而稍有疏忽，气井和含气油井比油井更易井喷和失控着火。其危害性可概括以下七个方面：</w:t>
      </w:r>
    </w:p>
    <w:p w14:paraId="0E6B1A9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打乱全局的正常工作程序，影响全局生产；</w:t>
      </w:r>
    </w:p>
    <w:p w14:paraId="3DE8F80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极易引起火灾（如井场、苇地及</w:t>
      </w:r>
      <w:r>
        <w:rPr>
          <w:rFonts w:hint="eastAsia"/>
          <w:color w:val="000000" w:themeColor="text1"/>
          <w:sz w:val="28"/>
          <w:szCs w:val="28"/>
        </w:rPr>
        <w:t>树</w:t>
      </w:r>
      <w:r>
        <w:rPr>
          <w:color w:val="000000" w:themeColor="text1"/>
          <w:sz w:val="28"/>
          <w:szCs w:val="28"/>
        </w:rPr>
        <w:t>林）；</w:t>
      </w:r>
    </w:p>
    <w:p w14:paraId="2D807867"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3</w:t>
      </w:r>
      <w:r>
        <w:rPr>
          <w:color w:val="000000" w:themeColor="text1"/>
          <w:sz w:val="28"/>
          <w:szCs w:val="28"/>
        </w:rPr>
        <w:t>.</w:t>
      </w:r>
      <w:r>
        <w:rPr>
          <w:color w:val="000000" w:themeColor="text1"/>
          <w:sz w:val="28"/>
          <w:szCs w:val="28"/>
        </w:rPr>
        <w:t>影响井场周围居民的正常生活，甚至生命安全；</w:t>
      </w:r>
    </w:p>
    <w:p w14:paraId="3497E4A1"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4</w:t>
      </w:r>
      <w:r>
        <w:rPr>
          <w:color w:val="000000" w:themeColor="text1"/>
          <w:sz w:val="28"/>
          <w:szCs w:val="28"/>
        </w:rPr>
        <w:t>.</w:t>
      </w:r>
      <w:r>
        <w:rPr>
          <w:color w:val="000000" w:themeColor="text1"/>
          <w:sz w:val="28"/>
          <w:szCs w:val="28"/>
        </w:rPr>
        <w:t>污染环境，影响农田、水里和渔牧业生产以及交通、通讯的正常运行等；</w:t>
      </w:r>
    </w:p>
    <w:p w14:paraId="422ACCD4"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5</w:t>
      </w:r>
      <w:r>
        <w:rPr>
          <w:color w:val="000000" w:themeColor="text1"/>
          <w:sz w:val="28"/>
          <w:szCs w:val="28"/>
        </w:rPr>
        <w:t>.</w:t>
      </w:r>
      <w:r>
        <w:rPr>
          <w:color w:val="000000" w:themeColor="text1"/>
          <w:sz w:val="28"/>
          <w:szCs w:val="28"/>
        </w:rPr>
        <w:t>伤害油气层，毁坏地下油气资源；</w:t>
      </w:r>
    </w:p>
    <w:p w14:paraId="7F00C0C5"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6</w:t>
      </w:r>
      <w:r>
        <w:rPr>
          <w:color w:val="000000" w:themeColor="text1"/>
          <w:sz w:val="28"/>
          <w:szCs w:val="28"/>
        </w:rPr>
        <w:t>.</w:t>
      </w:r>
      <w:r>
        <w:rPr>
          <w:color w:val="000000" w:themeColor="text1"/>
          <w:sz w:val="28"/>
          <w:szCs w:val="28"/>
        </w:rPr>
        <w:t>造成人力及物力上的巨大损失，严重时造成机毁人亡和油气井报废。</w:t>
      </w:r>
    </w:p>
    <w:p w14:paraId="5AF04B03"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3.4.3 </w:t>
      </w:r>
      <w:r>
        <w:rPr>
          <w:rFonts w:eastAsia="黑体"/>
          <w:bCs/>
          <w:snapToGrid w:val="0"/>
          <w:color w:val="000000" w:themeColor="text1"/>
          <w:kern w:val="0"/>
          <w:sz w:val="28"/>
          <w:szCs w:val="28"/>
        </w:rPr>
        <w:t>中毒和窒息</w:t>
      </w:r>
    </w:p>
    <w:p w14:paraId="4F7A9F42" w14:textId="77777777" w:rsidR="002D2AF8" w:rsidRDefault="00000000">
      <w:pPr>
        <w:adjustRightInd w:val="0"/>
        <w:snapToGrid w:val="0"/>
        <w:spacing w:line="360" w:lineRule="auto"/>
        <w:ind w:firstLine="570"/>
        <w:rPr>
          <w:color w:val="000000" w:themeColor="text1"/>
          <w:sz w:val="28"/>
          <w:szCs w:val="28"/>
        </w:rPr>
      </w:pPr>
      <w:r>
        <w:rPr>
          <w:bCs/>
          <w:color w:val="000000" w:themeColor="text1"/>
          <w:sz w:val="28"/>
        </w:rPr>
        <w:t>由于井场周围地面大面积冒气，天然气在大气中达到一定浓度，会造成人员中毒。作业时，可能发生井喷事故，井喷时可能出现原油、天然气、硫化氢等有毒物质，若防护不当，可能致使操作人员中毒。天然气的主要成分是甲烷、乙烷，是无色、无臭、低毒气体，人员短时间内吸入高浓度的天然气，可引起急性中毒事故。</w:t>
      </w:r>
    </w:p>
    <w:p w14:paraId="2E3C99C5" w14:textId="77777777" w:rsidR="002D2AF8" w:rsidRDefault="00000000">
      <w:pPr>
        <w:adjustRightInd w:val="0"/>
        <w:snapToGrid w:val="0"/>
        <w:spacing w:line="360" w:lineRule="auto"/>
        <w:ind w:firstLineChars="200" w:firstLine="566"/>
        <w:rPr>
          <w:color w:val="000000" w:themeColor="text1"/>
          <w:sz w:val="28"/>
          <w:szCs w:val="28"/>
        </w:rPr>
      </w:pPr>
      <w:r>
        <w:rPr>
          <w:bCs/>
          <w:color w:val="000000" w:themeColor="text1"/>
          <w:sz w:val="28"/>
        </w:rPr>
        <w:t>含硫气体对人体具有一定的毒性，当油气井内含有大量的硫化氢气体时，作业人员在此类油气井进行</w:t>
      </w:r>
      <w:r>
        <w:rPr>
          <w:color w:val="000000" w:themeColor="text1"/>
          <w:sz w:val="28"/>
          <w:szCs w:val="28"/>
        </w:rPr>
        <w:t>井下作业（</w:t>
      </w:r>
      <w:r>
        <w:rPr>
          <w:rFonts w:hint="eastAsia"/>
          <w:color w:val="000000" w:themeColor="text1"/>
          <w:sz w:val="28"/>
          <w:szCs w:val="28"/>
        </w:rPr>
        <w:t>测试</w:t>
      </w:r>
      <w:r>
        <w:rPr>
          <w:color w:val="000000" w:themeColor="text1"/>
          <w:sz w:val="28"/>
          <w:szCs w:val="28"/>
        </w:rPr>
        <w:t>、堵水</w:t>
      </w:r>
      <w:r>
        <w:rPr>
          <w:color w:val="000000" w:themeColor="text1"/>
          <w:sz w:val="28"/>
          <w:szCs w:val="28"/>
        </w:rPr>
        <w:t>/</w:t>
      </w:r>
      <w:r>
        <w:rPr>
          <w:color w:val="000000" w:themeColor="text1"/>
          <w:sz w:val="28"/>
          <w:szCs w:val="28"/>
        </w:rPr>
        <w:t>调剖）</w:t>
      </w:r>
      <w:r>
        <w:rPr>
          <w:bCs/>
          <w:color w:val="000000" w:themeColor="text1"/>
          <w:sz w:val="28"/>
        </w:rPr>
        <w:t>时，如果因井下情况不明或其他意外原因发生大量硫化氢气体泄漏，作业人员没有可靠的防护措施，可能导致作业人员中毒。</w:t>
      </w:r>
    </w:p>
    <w:p w14:paraId="65E3D88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不同浓度的硫化氢对人体的危害见下表</w:t>
      </w:r>
      <w:r>
        <w:rPr>
          <w:color w:val="000000" w:themeColor="text1"/>
          <w:sz w:val="28"/>
          <w:szCs w:val="28"/>
        </w:rPr>
        <w:t>3-</w:t>
      </w:r>
      <w:r>
        <w:rPr>
          <w:rFonts w:hint="eastAsia"/>
          <w:color w:val="000000" w:themeColor="text1"/>
          <w:sz w:val="28"/>
          <w:szCs w:val="28"/>
        </w:rPr>
        <w:t>4</w:t>
      </w:r>
      <w:r>
        <w:rPr>
          <w:color w:val="000000" w:themeColor="text1"/>
          <w:sz w:val="28"/>
          <w:szCs w:val="28"/>
        </w:rPr>
        <w:t>。</w:t>
      </w:r>
    </w:p>
    <w:p w14:paraId="70F6BB8F" w14:textId="77777777" w:rsidR="002D2AF8" w:rsidRDefault="00000000">
      <w:pPr>
        <w:adjustRightInd w:val="0"/>
        <w:snapToGrid w:val="0"/>
        <w:spacing w:line="360" w:lineRule="auto"/>
        <w:jc w:val="center"/>
        <w:rPr>
          <w:b/>
          <w:bCs/>
          <w:color w:val="000000" w:themeColor="text1"/>
          <w:sz w:val="24"/>
        </w:rPr>
      </w:pPr>
      <w:r>
        <w:rPr>
          <w:b/>
          <w:bCs/>
          <w:color w:val="000000" w:themeColor="text1"/>
          <w:sz w:val="24"/>
        </w:rPr>
        <w:t>表</w:t>
      </w:r>
      <w:r>
        <w:rPr>
          <w:b/>
          <w:bCs/>
          <w:color w:val="000000" w:themeColor="text1"/>
          <w:sz w:val="24"/>
        </w:rPr>
        <w:t>3-</w:t>
      </w:r>
      <w:r>
        <w:rPr>
          <w:rFonts w:hint="eastAsia"/>
          <w:b/>
          <w:bCs/>
          <w:color w:val="000000" w:themeColor="text1"/>
          <w:sz w:val="24"/>
        </w:rPr>
        <w:t>4</w:t>
      </w:r>
      <w:r>
        <w:rPr>
          <w:b/>
          <w:bCs/>
          <w:color w:val="000000" w:themeColor="text1"/>
          <w:sz w:val="24"/>
        </w:rPr>
        <w:t xml:space="preserve">  </w:t>
      </w:r>
      <w:r>
        <w:rPr>
          <w:b/>
          <w:bCs/>
          <w:color w:val="000000" w:themeColor="text1"/>
          <w:sz w:val="24"/>
        </w:rPr>
        <w:t>硫化氢对人体的危害</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003"/>
        <w:gridCol w:w="1783"/>
        <w:gridCol w:w="2321"/>
        <w:gridCol w:w="2415"/>
      </w:tblGrid>
      <w:tr w:rsidR="002D2AF8" w14:paraId="4A2F8FF2" w14:textId="77777777">
        <w:trPr>
          <w:cantSplit/>
          <w:trHeight w:val="397"/>
          <w:jc w:val="center"/>
        </w:trPr>
        <w:tc>
          <w:tcPr>
            <w:tcW w:w="2003" w:type="dxa"/>
            <w:vAlign w:val="center"/>
          </w:tcPr>
          <w:p w14:paraId="44865B34" w14:textId="77777777" w:rsidR="002D2AF8" w:rsidRDefault="00000000">
            <w:pPr>
              <w:adjustRightInd w:val="0"/>
              <w:snapToGrid w:val="0"/>
              <w:jc w:val="center"/>
              <w:rPr>
                <w:b/>
                <w:color w:val="000000" w:themeColor="text1"/>
                <w:szCs w:val="21"/>
              </w:rPr>
            </w:pPr>
            <w:r>
              <w:rPr>
                <w:b/>
                <w:color w:val="000000" w:themeColor="text1"/>
                <w:szCs w:val="21"/>
              </w:rPr>
              <w:t>空气中浓度</w:t>
            </w:r>
          </w:p>
          <w:p w14:paraId="7165B646" w14:textId="77777777" w:rsidR="002D2AF8" w:rsidRDefault="00000000">
            <w:pPr>
              <w:adjustRightInd w:val="0"/>
              <w:snapToGrid w:val="0"/>
              <w:jc w:val="center"/>
              <w:rPr>
                <w:b/>
                <w:color w:val="000000" w:themeColor="text1"/>
                <w:szCs w:val="21"/>
              </w:rPr>
            </w:pP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1783" w:type="dxa"/>
            <w:vAlign w:val="center"/>
          </w:tcPr>
          <w:p w14:paraId="660E9A35" w14:textId="77777777" w:rsidR="002D2AF8" w:rsidRDefault="00000000">
            <w:pPr>
              <w:adjustRightInd w:val="0"/>
              <w:snapToGrid w:val="0"/>
              <w:jc w:val="center"/>
              <w:rPr>
                <w:b/>
                <w:color w:val="000000" w:themeColor="text1"/>
                <w:szCs w:val="21"/>
              </w:rPr>
            </w:pPr>
            <w:r>
              <w:rPr>
                <w:b/>
                <w:color w:val="000000" w:themeColor="text1"/>
                <w:szCs w:val="21"/>
              </w:rPr>
              <w:t>生理影响及危害</w:t>
            </w:r>
          </w:p>
        </w:tc>
        <w:tc>
          <w:tcPr>
            <w:tcW w:w="2321" w:type="dxa"/>
            <w:vAlign w:val="center"/>
          </w:tcPr>
          <w:p w14:paraId="593EC9FB" w14:textId="77777777" w:rsidR="002D2AF8" w:rsidRDefault="00000000">
            <w:pPr>
              <w:adjustRightInd w:val="0"/>
              <w:snapToGrid w:val="0"/>
              <w:jc w:val="center"/>
              <w:rPr>
                <w:b/>
                <w:color w:val="000000" w:themeColor="text1"/>
                <w:szCs w:val="21"/>
              </w:rPr>
            </w:pPr>
            <w:r>
              <w:rPr>
                <w:b/>
                <w:color w:val="000000" w:themeColor="text1"/>
                <w:szCs w:val="21"/>
              </w:rPr>
              <w:t>空气中浓度</w:t>
            </w:r>
          </w:p>
          <w:p w14:paraId="58D77D25" w14:textId="77777777" w:rsidR="002D2AF8" w:rsidRDefault="00000000">
            <w:pPr>
              <w:adjustRightInd w:val="0"/>
              <w:snapToGrid w:val="0"/>
              <w:jc w:val="center"/>
              <w:rPr>
                <w:b/>
                <w:color w:val="000000" w:themeColor="text1"/>
                <w:szCs w:val="21"/>
              </w:rPr>
            </w:pP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2415" w:type="dxa"/>
            <w:vAlign w:val="center"/>
          </w:tcPr>
          <w:p w14:paraId="5DE8E1E9" w14:textId="77777777" w:rsidR="002D2AF8" w:rsidRDefault="00000000">
            <w:pPr>
              <w:adjustRightInd w:val="0"/>
              <w:snapToGrid w:val="0"/>
              <w:jc w:val="center"/>
              <w:rPr>
                <w:b/>
                <w:color w:val="000000" w:themeColor="text1"/>
                <w:szCs w:val="21"/>
              </w:rPr>
            </w:pPr>
            <w:r>
              <w:rPr>
                <w:b/>
                <w:color w:val="000000" w:themeColor="text1"/>
                <w:szCs w:val="21"/>
              </w:rPr>
              <w:t>生理影响及危害</w:t>
            </w:r>
          </w:p>
        </w:tc>
      </w:tr>
      <w:tr w:rsidR="002D2AF8" w14:paraId="01CE55C0" w14:textId="77777777">
        <w:trPr>
          <w:cantSplit/>
          <w:trHeight w:val="397"/>
          <w:jc w:val="center"/>
        </w:trPr>
        <w:tc>
          <w:tcPr>
            <w:tcW w:w="2003" w:type="dxa"/>
            <w:vAlign w:val="center"/>
          </w:tcPr>
          <w:p w14:paraId="1DB20AC3" w14:textId="77777777" w:rsidR="002D2AF8" w:rsidRDefault="00000000">
            <w:pPr>
              <w:adjustRightInd w:val="0"/>
              <w:snapToGrid w:val="0"/>
              <w:jc w:val="center"/>
              <w:rPr>
                <w:color w:val="000000" w:themeColor="text1"/>
                <w:szCs w:val="21"/>
              </w:rPr>
            </w:pPr>
            <w:r>
              <w:rPr>
                <w:color w:val="000000" w:themeColor="text1"/>
                <w:szCs w:val="21"/>
              </w:rPr>
              <w:t>0.04</w:t>
            </w:r>
            <w:r>
              <w:rPr>
                <w:color w:val="000000" w:themeColor="text1"/>
                <w:szCs w:val="21"/>
              </w:rPr>
              <w:t>（</w:t>
            </w:r>
            <w:r>
              <w:rPr>
                <w:color w:val="000000" w:themeColor="text1"/>
                <w:szCs w:val="21"/>
              </w:rPr>
              <w:t>0.02</w:t>
            </w:r>
            <w:r>
              <w:rPr>
                <w:color w:val="000000" w:themeColor="text1"/>
                <w:szCs w:val="21"/>
              </w:rPr>
              <w:t>）</w:t>
            </w:r>
          </w:p>
        </w:tc>
        <w:tc>
          <w:tcPr>
            <w:tcW w:w="1783" w:type="dxa"/>
            <w:vAlign w:val="center"/>
          </w:tcPr>
          <w:p w14:paraId="52539821" w14:textId="77777777" w:rsidR="002D2AF8" w:rsidRDefault="00000000">
            <w:pPr>
              <w:adjustRightInd w:val="0"/>
              <w:snapToGrid w:val="0"/>
              <w:jc w:val="center"/>
              <w:rPr>
                <w:color w:val="000000" w:themeColor="text1"/>
                <w:szCs w:val="21"/>
              </w:rPr>
            </w:pPr>
            <w:r>
              <w:rPr>
                <w:color w:val="000000" w:themeColor="text1"/>
                <w:szCs w:val="21"/>
              </w:rPr>
              <w:t>感到臭味</w:t>
            </w:r>
          </w:p>
        </w:tc>
        <w:tc>
          <w:tcPr>
            <w:tcW w:w="2321" w:type="dxa"/>
            <w:vAlign w:val="center"/>
          </w:tcPr>
          <w:p w14:paraId="6C001A27" w14:textId="77777777" w:rsidR="002D2AF8" w:rsidRDefault="00000000">
            <w:pPr>
              <w:adjustRightInd w:val="0"/>
              <w:snapToGrid w:val="0"/>
              <w:jc w:val="center"/>
              <w:rPr>
                <w:color w:val="000000" w:themeColor="text1"/>
                <w:szCs w:val="21"/>
              </w:rPr>
            </w:pPr>
            <w:r>
              <w:rPr>
                <w:color w:val="000000" w:themeColor="text1"/>
                <w:szCs w:val="21"/>
              </w:rPr>
              <w:t>300</w:t>
            </w:r>
            <w:r>
              <w:rPr>
                <w:color w:val="000000" w:themeColor="text1"/>
                <w:szCs w:val="21"/>
              </w:rPr>
              <w:t>（</w:t>
            </w:r>
            <w:r>
              <w:rPr>
                <w:color w:val="000000" w:themeColor="text1"/>
                <w:szCs w:val="21"/>
              </w:rPr>
              <w:t>200</w:t>
            </w:r>
            <w:r>
              <w:rPr>
                <w:color w:val="000000" w:themeColor="text1"/>
                <w:szCs w:val="21"/>
              </w:rPr>
              <w:t>）</w:t>
            </w:r>
          </w:p>
        </w:tc>
        <w:tc>
          <w:tcPr>
            <w:tcW w:w="2415" w:type="dxa"/>
            <w:vAlign w:val="center"/>
          </w:tcPr>
          <w:p w14:paraId="5AF84726" w14:textId="77777777" w:rsidR="002D2AF8" w:rsidRDefault="00000000">
            <w:pPr>
              <w:adjustRightInd w:val="0"/>
              <w:snapToGrid w:val="0"/>
              <w:jc w:val="center"/>
              <w:rPr>
                <w:color w:val="000000" w:themeColor="text1"/>
                <w:sz w:val="18"/>
                <w:szCs w:val="18"/>
              </w:rPr>
            </w:pPr>
            <w:r>
              <w:rPr>
                <w:color w:val="000000" w:themeColor="text1"/>
                <w:sz w:val="18"/>
                <w:szCs w:val="18"/>
              </w:rPr>
              <w:t>暴露时间长则有中毒症状</w:t>
            </w:r>
          </w:p>
        </w:tc>
      </w:tr>
      <w:tr w:rsidR="002D2AF8" w14:paraId="33CF3151" w14:textId="77777777">
        <w:trPr>
          <w:cantSplit/>
          <w:trHeight w:val="397"/>
          <w:jc w:val="center"/>
        </w:trPr>
        <w:tc>
          <w:tcPr>
            <w:tcW w:w="2003" w:type="dxa"/>
            <w:vAlign w:val="center"/>
          </w:tcPr>
          <w:p w14:paraId="63BC4B2A" w14:textId="77777777" w:rsidR="002D2AF8" w:rsidRDefault="00000000">
            <w:pPr>
              <w:adjustRightInd w:val="0"/>
              <w:snapToGrid w:val="0"/>
              <w:jc w:val="center"/>
              <w:rPr>
                <w:color w:val="000000" w:themeColor="text1"/>
                <w:szCs w:val="21"/>
              </w:rPr>
            </w:pPr>
            <w:r>
              <w:rPr>
                <w:color w:val="000000" w:themeColor="text1"/>
                <w:szCs w:val="21"/>
              </w:rPr>
              <w:t>0.5</w:t>
            </w:r>
            <w:r>
              <w:rPr>
                <w:color w:val="000000" w:themeColor="text1"/>
                <w:szCs w:val="21"/>
              </w:rPr>
              <w:t>（</w:t>
            </w:r>
            <w:r>
              <w:rPr>
                <w:color w:val="000000" w:themeColor="text1"/>
                <w:szCs w:val="21"/>
              </w:rPr>
              <w:t>0.33</w:t>
            </w:r>
            <w:r>
              <w:rPr>
                <w:color w:val="000000" w:themeColor="text1"/>
                <w:szCs w:val="21"/>
              </w:rPr>
              <w:t>）</w:t>
            </w:r>
          </w:p>
        </w:tc>
        <w:tc>
          <w:tcPr>
            <w:tcW w:w="1783" w:type="dxa"/>
            <w:vAlign w:val="center"/>
          </w:tcPr>
          <w:p w14:paraId="499C6EBD" w14:textId="77777777" w:rsidR="002D2AF8" w:rsidRDefault="00000000">
            <w:pPr>
              <w:adjustRightInd w:val="0"/>
              <w:snapToGrid w:val="0"/>
              <w:jc w:val="center"/>
              <w:rPr>
                <w:color w:val="000000" w:themeColor="text1"/>
                <w:szCs w:val="21"/>
              </w:rPr>
            </w:pPr>
            <w:r>
              <w:rPr>
                <w:color w:val="000000" w:themeColor="text1"/>
                <w:szCs w:val="21"/>
              </w:rPr>
              <w:t>感到明显臭味</w:t>
            </w:r>
          </w:p>
        </w:tc>
        <w:tc>
          <w:tcPr>
            <w:tcW w:w="2321" w:type="dxa"/>
            <w:vAlign w:val="center"/>
          </w:tcPr>
          <w:p w14:paraId="11512965" w14:textId="77777777" w:rsidR="002D2AF8" w:rsidRDefault="00000000">
            <w:pPr>
              <w:adjustRightInd w:val="0"/>
              <w:snapToGrid w:val="0"/>
              <w:jc w:val="center"/>
              <w:rPr>
                <w:color w:val="000000" w:themeColor="text1"/>
                <w:szCs w:val="21"/>
              </w:rPr>
            </w:pPr>
            <w:r>
              <w:rPr>
                <w:color w:val="000000" w:themeColor="text1"/>
                <w:szCs w:val="21"/>
              </w:rPr>
              <w:t>300</w:t>
            </w:r>
            <w:r>
              <w:rPr>
                <w:color w:val="000000" w:themeColor="text1"/>
                <w:szCs w:val="21"/>
              </w:rPr>
              <w:t>～</w:t>
            </w:r>
            <w:r>
              <w:rPr>
                <w:color w:val="000000" w:themeColor="text1"/>
                <w:szCs w:val="21"/>
              </w:rPr>
              <w:t>450</w:t>
            </w:r>
            <w:r>
              <w:rPr>
                <w:color w:val="000000" w:themeColor="text1"/>
                <w:szCs w:val="21"/>
              </w:rPr>
              <w:t>（</w:t>
            </w:r>
            <w:r>
              <w:rPr>
                <w:color w:val="000000" w:themeColor="text1"/>
                <w:szCs w:val="21"/>
              </w:rPr>
              <w:t>200</w:t>
            </w:r>
            <w:r>
              <w:rPr>
                <w:color w:val="000000" w:themeColor="text1"/>
                <w:szCs w:val="21"/>
              </w:rPr>
              <w:t>～</w:t>
            </w:r>
            <w:r>
              <w:rPr>
                <w:color w:val="000000" w:themeColor="text1"/>
                <w:szCs w:val="21"/>
              </w:rPr>
              <w:t>500</w:t>
            </w:r>
            <w:r>
              <w:rPr>
                <w:color w:val="000000" w:themeColor="text1"/>
                <w:szCs w:val="21"/>
              </w:rPr>
              <w:t>）</w:t>
            </w:r>
          </w:p>
        </w:tc>
        <w:tc>
          <w:tcPr>
            <w:tcW w:w="2415" w:type="dxa"/>
            <w:vAlign w:val="center"/>
          </w:tcPr>
          <w:p w14:paraId="71ADCE45" w14:textId="77777777" w:rsidR="002D2AF8" w:rsidRDefault="00000000">
            <w:pPr>
              <w:adjustRightInd w:val="0"/>
              <w:snapToGrid w:val="0"/>
              <w:jc w:val="center"/>
              <w:rPr>
                <w:color w:val="000000" w:themeColor="text1"/>
                <w:szCs w:val="21"/>
              </w:rPr>
            </w:pPr>
            <w:r>
              <w:rPr>
                <w:color w:val="000000" w:themeColor="text1"/>
                <w:szCs w:val="21"/>
              </w:rPr>
              <w:t>暴露</w:t>
            </w:r>
            <w:r>
              <w:rPr>
                <w:color w:val="000000" w:themeColor="text1"/>
                <w:szCs w:val="21"/>
              </w:rPr>
              <w:t>1h</w:t>
            </w:r>
            <w:r>
              <w:rPr>
                <w:color w:val="000000" w:themeColor="text1"/>
                <w:szCs w:val="21"/>
              </w:rPr>
              <w:t>引起亚急性中毒</w:t>
            </w:r>
          </w:p>
        </w:tc>
      </w:tr>
      <w:tr w:rsidR="002D2AF8" w14:paraId="0F807E34" w14:textId="77777777">
        <w:trPr>
          <w:cantSplit/>
          <w:trHeight w:val="397"/>
          <w:jc w:val="center"/>
        </w:trPr>
        <w:tc>
          <w:tcPr>
            <w:tcW w:w="2003" w:type="dxa"/>
            <w:vAlign w:val="center"/>
          </w:tcPr>
          <w:p w14:paraId="2EA3BAD5" w14:textId="77777777" w:rsidR="002D2AF8" w:rsidRDefault="00000000">
            <w:pPr>
              <w:adjustRightInd w:val="0"/>
              <w:snapToGrid w:val="0"/>
              <w:jc w:val="center"/>
              <w:rPr>
                <w:color w:val="000000" w:themeColor="text1"/>
                <w:szCs w:val="21"/>
              </w:rPr>
            </w:pPr>
            <w:r>
              <w:rPr>
                <w:color w:val="000000" w:themeColor="text1"/>
                <w:szCs w:val="21"/>
              </w:rPr>
              <w:t>5.0</w:t>
            </w:r>
            <w:r>
              <w:rPr>
                <w:color w:val="000000" w:themeColor="text1"/>
                <w:szCs w:val="21"/>
              </w:rPr>
              <w:t>（</w:t>
            </w:r>
            <w:r>
              <w:rPr>
                <w:color w:val="000000" w:themeColor="text1"/>
                <w:szCs w:val="21"/>
              </w:rPr>
              <w:t>3.3</w:t>
            </w:r>
            <w:r>
              <w:rPr>
                <w:color w:val="000000" w:themeColor="text1"/>
                <w:szCs w:val="21"/>
              </w:rPr>
              <w:t>）</w:t>
            </w:r>
          </w:p>
        </w:tc>
        <w:tc>
          <w:tcPr>
            <w:tcW w:w="1783" w:type="dxa"/>
            <w:vAlign w:val="center"/>
          </w:tcPr>
          <w:p w14:paraId="5A433F04" w14:textId="77777777" w:rsidR="002D2AF8" w:rsidRDefault="00000000">
            <w:pPr>
              <w:adjustRightInd w:val="0"/>
              <w:snapToGrid w:val="0"/>
              <w:jc w:val="center"/>
              <w:rPr>
                <w:color w:val="000000" w:themeColor="text1"/>
                <w:szCs w:val="21"/>
              </w:rPr>
            </w:pPr>
            <w:r>
              <w:rPr>
                <w:color w:val="000000" w:themeColor="text1"/>
                <w:szCs w:val="21"/>
              </w:rPr>
              <w:t>有强烈臭味</w:t>
            </w:r>
          </w:p>
        </w:tc>
        <w:tc>
          <w:tcPr>
            <w:tcW w:w="2321" w:type="dxa"/>
            <w:vAlign w:val="center"/>
          </w:tcPr>
          <w:p w14:paraId="60D55AC9" w14:textId="77777777" w:rsidR="002D2AF8" w:rsidRDefault="00000000">
            <w:pPr>
              <w:adjustRightInd w:val="0"/>
              <w:snapToGrid w:val="0"/>
              <w:jc w:val="center"/>
              <w:rPr>
                <w:color w:val="000000" w:themeColor="text1"/>
                <w:szCs w:val="21"/>
              </w:rPr>
            </w:pPr>
            <w:r>
              <w:rPr>
                <w:color w:val="000000" w:themeColor="text1"/>
                <w:szCs w:val="21"/>
              </w:rPr>
              <w:t>375</w:t>
            </w:r>
            <w:r>
              <w:rPr>
                <w:color w:val="000000" w:themeColor="text1"/>
                <w:szCs w:val="21"/>
              </w:rPr>
              <w:t>～</w:t>
            </w:r>
            <w:r>
              <w:rPr>
                <w:color w:val="000000" w:themeColor="text1"/>
                <w:szCs w:val="21"/>
              </w:rPr>
              <w:t>525</w:t>
            </w:r>
            <w:r>
              <w:rPr>
                <w:color w:val="000000" w:themeColor="text1"/>
                <w:szCs w:val="21"/>
              </w:rPr>
              <w:t>（</w:t>
            </w:r>
            <w:r>
              <w:rPr>
                <w:color w:val="000000" w:themeColor="text1"/>
                <w:szCs w:val="21"/>
              </w:rPr>
              <w:t>250</w:t>
            </w:r>
            <w:r>
              <w:rPr>
                <w:color w:val="000000" w:themeColor="text1"/>
                <w:szCs w:val="21"/>
              </w:rPr>
              <w:t>～</w:t>
            </w:r>
            <w:r>
              <w:rPr>
                <w:color w:val="000000" w:themeColor="text1"/>
                <w:szCs w:val="21"/>
              </w:rPr>
              <w:t>350</w:t>
            </w:r>
            <w:r>
              <w:rPr>
                <w:color w:val="000000" w:themeColor="text1"/>
                <w:szCs w:val="21"/>
              </w:rPr>
              <w:t>）</w:t>
            </w:r>
          </w:p>
        </w:tc>
        <w:tc>
          <w:tcPr>
            <w:tcW w:w="2415" w:type="dxa"/>
            <w:vAlign w:val="center"/>
          </w:tcPr>
          <w:p w14:paraId="7408C528" w14:textId="77777777" w:rsidR="002D2AF8" w:rsidRDefault="00000000">
            <w:pPr>
              <w:adjustRightInd w:val="0"/>
              <w:snapToGrid w:val="0"/>
              <w:jc w:val="center"/>
              <w:rPr>
                <w:color w:val="000000" w:themeColor="text1"/>
                <w:szCs w:val="21"/>
              </w:rPr>
            </w:pPr>
            <w:r>
              <w:rPr>
                <w:color w:val="000000" w:themeColor="text1"/>
                <w:szCs w:val="21"/>
              </w:rPr>
              <w:t>4h</w:t>
            </w:r>
            <w:r>
              <w:rPr>
                <w:color w:val="000000" w:themeColor="text1"/>
                <w:szCs w:val="21"/>
              </w:rPr>
              <w:t>～</w:t>
            </w:r>
            <w:r>
              <w:rPr>
                <w:color w:val="000000" w:themeColor="text1"/>
                <w:szCs w:val="21"/>
              </w:rPr>
              <w:t>8h</w:t>
            </w:r>
            <w:r>
              <w:rPr>
                <w:color w:val="000000" w:themeColor="text1"/>
                <w:szCs w:val="21"/>
              </w:rPr>
              <w:t>内有生命危险</w:t>
            </w:r>
          </w:p>
        </w:tc>
      </w:tr>
      <w:tr w:rsidR="002D2AF8" w14:paraId="67DEC550" w14:textId="77777777">
        <w:trPr>
          <w:cantSplit/>
          <w:trHeight w:val="397"/>
          <w:jc w:val="center"/>
        </w:trPr>
        <w:tc>
          <w:tcPr>
            <w:tcW w:w="2003" w:type="dxa"/>
            <w:vAlign w:val="center"/>
          </w:tcPr>
          <w:p w14:paraId="4F764F4E" w14:textId="77777777" w:rsidR="002D2AF8" w:rsidRDefault="00000000">
            <w:pPr>
              <w:adjustRightInd w:val="0"/>
              <w:snapToGrid w:val="0"/>
              <w:jc w:val="center"/>
              <w:rPr>
                <w:color w:val="000000" w:themeColor="text1"/>
                <w:szCs w:val="21"/>
              </w:rPr>
            </w:pPr>
            <w:r>
              <w:rPr>
                <w:color w:val="000000" w:themeColor="text1"/>
                <w:szCs w:val="21"/>
              </w:rPr>
              <w:t>7.5</w:t>
            </w:r>
            <w:r>
              <w:rPr>
                <w:color w:val="000000" w:themeColor="text1"/>
                <w:szCs w:val="21"/>
              </w:rPr>
              <w:t>（</w:t>
            </w:r>
            <w:r>
              <w:rPr>
                <w:color w:val="000000" w:themeColor="text1"/>
                <w:szCs w:val="21"/>
              </w:rPr>
              <w:t>5</w:t>
            </w:r>
            <w:r>
              <w:rPr>
                <w:color w:val="000000" w:themeColor="text1"/>
                <w:szCs w:val="21"/>
              </w:rPr>
              <w:t>）</w:t>
            </w:r>
          </w:p>
        </w:tc>
        <w:tc>
          <w:tcPr>
            <w:tcW w:w="1783" w:type="dxa"/>
            <w:vAlign w:val="center"/>
          </w:tcPr>
          <w:p w14:paraId="08CD48F1" w14:textId="77777777" w:rsidR="002D2AF8" w:rsidRDefault="00000000">
            <w:pPr>
              <w:adjustRightInd w:val="0"/>
              <w:snapToGrid w:val="0"/>
              <w:jc w:val="center"/>
              <w:rPr>
                <w:color w:val="000000" w:themeColor="text1"/>
                <w:szCs w:val="21"/>
              </w:rPr>
            </w:pPr>
            <w:r>
              <w:rPr>
                <w:color w:val="000000" w:themeColor="text1"/>
                <w:szCs w:val="21"/>
              </w:rPr>
              <w:t>有不快感</w:t>
            </w:r>
          </w:p>
        </w:tc>
        <w:tc>
          <w:tcPr>
            <w:tcW w:w="2321" w:type="dxa"/>
            <w:vAlign w:val="center"/>
          </w:tcPr>
          <w:p w14:paraId="467404B7" w14:textId="77777777" w:rsidR="002D2AF8" w:rsidRDefault="00000000">
            <w:pPr>
              <w:adjustRightInd w:val="0"/>
              <w:snapToGrid w:val="0"/>
              <w:jc w:val="center"/>
              <w:rPr>
                <w:color w:val="000000" w:themeColor="text1"/>
                <w:szCs w:val="21"/>
              </w:rPr>
            </w:pPr>
            <w:r>
              <w:rPr>
                <w:color w:val="000000" w:themeColor="text1"/>
                <w:szCs w:val="21"/>
              </w:rPr>
              <w:t>525</w:t>
            </w:r>
            <w:r>
              <w:rPr>
                <w:color w:val="000000" w:themeColor="text1"/>
                <w:szCs w:val="21"/>
              </w:rPr>
              <w:t>～</w:t>
            </w:r>
            <w:r>
              <w:rPr>
                <w:color w:val="000000" w:themeColor="text1"/>
                <w:szCs w:val="21"/>
              </w:rPr>
              <w:t>600</w:t>
            </w:r>
            <w:r>
              <w:rPr>
                <w:color w:val="000000" w:themeColor="text1"/>
                <w:szCs w:val="21"/>
              </w:rPr>
              <w:t>（</w:t>
            </w:r>
            <w:r>
              <w:rPr>
                <w:color w:val="000000" w:themeColor="text1"/>
                <w:szCs w:val="21"/>
              </w:rPr>
              <w:t>350</w:t>
            </w:r>
            <w:r>
              <w:rPr>
                <w:color w:val="000000" w:themeColor="text1"/>
                <w:szCs w:val="21"/>
              </w:rPr>
              <w:t>～</w:t>
            </w:r>
            <w:r>
              <w:rPr>
                <w:color w:val="000000" w:themeColor="text1"/>
                <w:szCs w:val="21"/>
              </w:rPr>
              <w:t>400</w:t>
            </w:r>
            <w:r>
              <w:rPr>
                <w:color w:val="000000" w:themeColor="text1"/>
                <w:szCs w:val="21"/>
              </w:rPr>
              <w:t>）</w:t>
            </w:r>
          </w:p>
        </w:tc>
        <w:tc>
          <w:tcPr>
            <w:tcW w:w="2415" w:type="dxa"/>
            <w:vAlign w:val="center"/>
          </w:tcPr>
          <w:p w14:paraId="6BE5BF0A" w14:textId="77777777" w:rsidR="002D2AF8" w:rsidRDefault="00000000">
            <w:pPr>
              <w:adjustRightInd w:val="0"/>
              <w:snapToGrid w:val="0"/>
              <w:jc w:val="center"/>
              <w:rPr>
                <w:color w:val="000000" w:themeColor="text1"/>
                <w:szCs w:val="21"/>
              </w:rPr>
            </w:pPr>
            <w:r>
              <w:rPr>
                <w:color w:val="000000" w:themeColor="text1"/>
                <w:szCs w:val="21"/>
              </w:rPr>
              <w:t>1h</w:t>
            </w:r>
            <w:r>
              <w:rPr>
                <w:color w:val="000000" w:themeColor="text1"/>
                <w:szCs w:val="21"/>
              </w:rPr>
              <w:t>～</w:t>
            </w:r>
            <w:r>
              <w:rPr>
                <w:color w:val="000000" w:themeColor="text1"/>
                <w:szCs w:val="21"/>
              </w:rPr>
              <w:t>4h</w:t>
            </w:r>
            <w:r>
              <w:rPr>
                <w:color w:val="000000" w:themeColor="text1"/>
                <w:szCs w:val="21"/>
              </w:rPr>
              <w:t>内有生命危险</w:t>
            </w:r>
          </w:p>
        </w:tc>
      </w:tr>
      <w:tr w:rsidR="002D2AF8" w14:paraId="51FAFB5A" w14:textId="77777777">
        <w:trPr>
          <w:cantSplit/>
          <w:trHeight w:val="397"/>
          <w:jc w:val="center"/>
        </w:trPr>
        <w:tc>
          <w:tcPr>
            <w:tcW w:w="2003" w:type="dxa"/>
            <w:vAlign w:val="center"/>
          </w:tcPr>
          <w:p w14:paraId="68447071" w14:textId="77777777" w:rsidR="002D2AF8" w:rsidRDefault="00000000">
            <w:pPr>
              <w:adjustRightInd w:val="0"/>
              <w:snapToGrid w:val="0"/>
              <w:jc w:val="center"/>
              <w:rPr>
                <w:color w:val="000000" w:themeColor="text1"/>
                <w:szCs w:val="21"/>
              </w:rPr>
            </w:pPr>
            <w:r>
              <w:rPr>
                <w:color w:val="000000" w:themeColor="text1"/>
                <w:szCs w:val="21"/>
              </w:rPr>
              <w:t>15</w:t>
            </w:r>
            <w:r>
              <w:rPr>
                <w:color w:val="000000" w:themeColor="text1"/>
                <w:szCs w:val="21"/>
              </w:rPr>
              <w:t>（</w:t>
            </w:r>
            <w:r>
              <w:rPr>
                <w:color w:val="000000" w:themeColor="text1"/>
                <w:szCs w:val="21"/>
              </w:rPr>
              <w:t>10</w:t>
            </w:r>
            <w:r>
              <w:rPr>
                <w:color w:val="000000" w:themeColor="text1"/>
                <w:szCs w:val="21"/>
              </w:rPr>
              <w:t>）</w:t>
            </w:r>
          </w:p>
        </w:tc>
        <w:tc>
          <w:tcPr>
            <w:tcW w:w="1783" w:type="dxa"/>
            <w:vAlign w:val="center"/>
          </w:tcPr>
          <w:p w14:paraId="249A8BD9" w14:textId="77777777" w:rsidR="002D2AF8" w:rsidRDefault="00000000">
            <w:pPr>
              <w:adjustRightInd w:val="0"/>
              <w:snapToGrid w:val="0"/>
              <w:jc w:val="center"/>
              <w:rPr>
                <w:color w:val="000000" w:themeColor="text1"/>
                <w:szCs w:val="21"/>
              </w:rPr>
            </w:pPr>
            <w:r>
              <w:rPr>
                <w:color w:val="000000" w:themeColor="text1"/>
                <w:szCs w:val="21"/>
              </w:rPr>
              <w:t>刺激眼膜</w:t>
            </w:r>
          </w:p>
        </w:tc>
        <w:tc>
          <w:tcPr>
            <w:tcW w:w="2321" w:type="dxa"/>
            <w:vAlign w:val="center"/>
          </w:tcPr>
          <w:p w14:paraId="57F3D3C8" w14:textId="77777777" w:rsidR="002D2AF8" w:rsidRDefault="00000000">
            <w:pPr>
              <w:adjustRightInd w:val="0"/>
              <w:snapToGrid w:val="0"/>
              <w:jc w:val="center"/>
              <w:rPr>
                <w:color w:val="000000" w:themeColor="text1"/>
                <w:szCs w:val="21"/>
              </w:rPr>
            </w:pPr>
            <w:r>
              <w:rPr>
                <w:color w:val="000000" w:themeColor="text1"/>
                <w:szCs w:val="21"/>
              </w:rPr>
              <w:t>900</w:t>
            </w:r>
            <w:r>
              <w:rPr>
                <w:color w:val="000000" w:themeColor="text1"/>
                <w:szCs w:val="21"/>
              </w:rPr>
              <w:t>（</w:t>
            </w:r>
            <w:r>
              <w:rPr>
                <w:color w:val="000000" w:themeColor="text1"/>
                <w:szCs w:val="21"/>
              </w:rPr>
              <w:t>600</w:t>
            </w:r>
            <w:r>
              <w:rPr>
                <w:color w:val="000000" w:themeColor="text1"/>
                <w:szCs w:val="21"/>
              </w:rPr>
              <w:t>）</w:t>
            </w:r>
          </w:p>
        </w:tc>
        <w:tc>
          <w:tcPr>
            <w:tcW w:w="2415" w:type="dxa"/>
            <w:vAlign w:val="center"/>
          </w:tcPr>
          <w:p w14:paraId="4010723A" w14:textId="77777777" w:rsidR="002D2AF8" w:rsidRDefault="00000000">
            <w:pPr>
              <w:adjustRightInd w:val="0"/>
              <w:snapToGrid w:val="0"/>
              <w:jc w:val="center"/>
              <w:rPr>
                <w:color w:val="000000" w:themeColor="text1"/>
                <w:szCs w:val="21"/>
              </w:rPr>
            </w:pPr>
            <w:r>
              <w:rPr>
                <w:color w:val="000000" w:themeColor="text1"/>
                <w:szCs w:val="21"/>
              </w:rPr>
              <w:t>暴露</w:t>
            </w:r>
            <w:r>
              <w:rPr>
                <w:color w:val="000000" w:themeColor="text1"/>
                <w:szCs w:val="21"/>
              </w:rPr>
              <w:t>30min</w:t>
            </w:r>
            <w:r>
              <w:rPr>
                <w:color w:val="000000" w:themeColor="text1"/>
                <w:szCs w:val="21"/>
              </w:rPr>
              <w:t>会引起致命性中毒</w:t>
            </w:r>
          </w:p>
        </w:tc>
      </w:tr>
      <w:tr w:rsidR="002D2AF8" w14:paraId="004446AB" w14:textId="77777777">
        <w:trPr>
          <w:cantSplit/>
          <w:trHeight w:val="397"/>
          <w:jc w:val="center"/>
        </w:trPr>
        <w:tc>
          <w:tcPr>
            <w:tcW w:w="2003" w:type="dxa"/>
            <w:vAlign w:val="center"/>
          </w:tcPr>
          <w:p w14:paraId="24899532" w14:textId="77777777" w:rsidR="002D2AF8" w:rsidRDefault="00000000">
            <w:pPr>
              <w:adjustRightInd w:val="0"/>
              <w:snapToGrid w:val="0"/>
              <w:jc w:val="center"/>
              <w:rPr>
                <w:color w:val="000000" w:themeColor="text1"/>
                <w:szCs w:val="21"/>
              </w:rPr>
            </w:pPr>
            <w:r>
              <w:rPr>
                <w:color w:val="000000" w:themeColor="text1"/>
                <w:szCs w:val="21"/>
              </w:rPr>
              <w:t>35</w:t>
            </w:r>
            <w:r>
              <w:rPr>
                <w:color w:val="000000" w:themeColor="text1"/>
                <w:szCs w:val="21"/>
              </w:rPr>
              <w:t>～</w:t>
            </w:r>
            <w:r>
              <w:rPr>
                <w:color w:val="000000" w:themeColor="text1"/>
                <w:szCs w:val="21"/>
              </w:rPr>
              <w:t>45</w:t>
            </w:r>
            <w:r>
              <w:rPr>
                <w:color w:val="000000" w:themeColor="text1"/>
                <w:szCs w:val="21"/>
              </w:rPr>
              <w:t>（</w:t>
            </w:r>
            <w:r>
              <w:rPr>
                <w:color w:val="000000" w:themeColor="text1"/>
                <w:szCs w:val="21"/>
              </w:rPr>
              <w:t>23.3</w:t>
            </w:r>
            <w:r>
              <w:rPr>
                <w:color w:val="000000" w:themeColor="text1"/>
                <w:szCs w:val="21"/>
              </w:rPr>
              <w:t>～</w:t>
            </w:r>
            <w:r>
              <w:rPr>
                <w:color w:val="000000" w:themeColor="text1"/>
                <w:szCs w:val="21"/>
              </w:rPr>
              <w:t>30</w:t>
            </w:r>
            <w:r>
              <w:rPr>
                <w:color w:val="000000" w:themeColor="text1"/>
                <w:szCs w:val="21"/>
              </w:rPr>
              <w:t>）</w:t>
            </w:r>
          </w:p>
        </w:tc>
        <w:tc>
          <w:tcPr>
            <w:tcW w:w="1783" w:type="dxa"/>
            <w:vAlign w:val="center"/>
          </w:tcPr>
          <w:p w14:paraId="4D2D6F69" w14:textId="77777777" w:rsidR="002D2AF8" w:rsidRDefault="00000000">
            <w:pPr>
              <w:adjustRightInd w:val="0"/>
              <w:snapToGrid w:val="0"/>
              <w:jc w:val="center"/>
              <w:rPr>
                <w:color w:val="000000" w:themeColor="text1"/>
                <w:szCs w:val="21"/>
              </w:rPr>
            </w:pPr>
            <w:r>
              <w:rPr>
                <w:color w:val="000000" w:themeColor="text1"/>
                <w:szCs w:val="21"/>
              </w:rPr>
              <w:t>强烈刺激粘膜</w:t>
            </w:r>
          </w:p>
        </w:tc>
        <w:tc>
          <w:tcPr>
            <w:tcW w:w="2321" w:type="dxa"/>
            <w:vAlign w:val="center"/>
          </w:tcPr>
          <w:p w14:paraId="6317FD96" w14:textId="77777777" w:rsidR="002D2AF8" w:rsidRDefault="00000000">
            <w:pPr>
              <w:adjustRightInd w:val="0"/>
              <w:snapToGrid w:val="0"/>
              <w:jc w:val="center"/>
              <w:rPr>
                <w:color w:val="000000" w:themeColor="text1"/>
                <w:szCs w:val="21"/>
              </w:rPr>
            </w:pPr>
            <w:r>
              <w:rPr>
                <w:color w:val="000000" w:themeColor="text1"/>
                <w:szCs w:val="21"/>
              </w:rPr>
              <w:t>1500</w:t>
            </w:r>
            <w:r>
              <w:rPr>
                <w:color w:val="000000" w:themeColor="text1"/>
                <w:szCs w:val="21"/>
              </w:rPr>
              <w:t>（</w:t>
            </w:r>
            <w:r>
              <w:rPr>
                <w:color w:val="000000" w:themeColor="text1"/>
                <w:szCs w:val="21"/>
              </w:rPr>
              <w:t>1000</w:t>
            </w:r>
            <w:r>
              <w:rPr>
                <w:color w:val="000000" w:themeColor="text1"/>
                <w:szCs w:val="21"/>
              </w:rPr>
              <w:t>）</w:t>
            </w:r>
          </w:p>
        </w:tc>
        <w:tc>
          <w:tcPr>
            <w:tcW w:w="2415" w:type="dxa"/>
            <w:vAlign w:val="center"/>
          </w:tcPr>
          <w:p w14:paraId="2A6859A8" w14:textId="77777777" w:rsidR="002D2AF8" w:rsidRDefault="00000000">
            <w:pPr>
              <w:adjustRightInd w:val="0"/>
              <w:snapToGrid w:val="0"/>
              <w:jc w:val="center"/>
              <w:rPr>
                <w:color w:val="000000" w:themeColor="text1"/>
                <w:szCs w:val="21"/>
              </w:rPr>
            </w:pPr>
            <w:r>
              <w:rPr>
                <w:color w:val="000000" w:themeColor="text1"/>
                <w:szCs w:val="21"/>
              </w:rPr>
              <w:t>引起呼吸道麻痹，有生命危险</w:t>
            </w:r>
          </w:p>
        </w:tc>
      </w:tr>
      <w:tr w:rsidR="002D2AF8" w14:paraId="0C7251F2" w14:textId="77777777">
        <w:trPr>
          <w:cantSplit/>
          <w:trHeight w:val="397"/>
          <w:jc w:val="center"/>
        </w:trPr>
        <w:tc>
          <w:tcPr>
            <w:tcW w:w="2003" w:type="dxa"/>
            <w:vAlign w:val="center"/>
          </w:tcPr>
          <w:p w14:paraId="5657D048" w14:textId="77777777" w:rsidR="002D2AF8" w:rsidRDefault="00000000">
            <w:pPr>
              <w:adjustRightInd w:val="0"/>
              <w:snapToGrid w:val="0"/>
              <w:jc w:val="center"/>
              <w:rPr>
                <w:color w:val="000000" w:themeColor="text1"/>
                <w:szCs w:val="21"/>
              </w:rPr>
            </w:pPr>
            <w:r>
              <w:rPr>
                <w:color w:val="000000" w:themeColor="text1"/>
                <w:szCs w:val="21"/>
              </w:rPr>
              <w:t>150</w:t>
            </w:r>
            <w:r>
              <w:rPr>
                <w:color w:val="000000" w:themeColor="text1"/>
                <w:szCs w:val="21"/>
              </w:rPr>
              <w:t>～</w:t>
            </w:r>
            <w:r>
              <w:rPr>
                <w:color w:val="000000" w:themeColor="text1"/>
                <w:szCs w:val="21"/>
              </w:rPr>
              <w:t>300</w:t>
            </w:r>
            <w:r>
              <w:rPr>
                <w:color w:val="000000" w:themeColor="text1"/>
                <w:szCs w:val="21"/>
              </w:rPr>
              <w:t>（</w:t>
            </w:r>
            <w:r>
              <w:rPr>
                <w:color w:val="000000" w:themeColor="text1"/>
                <w:szCs w:val="21"/>
              </w:rPr>
              <w:t>100</w:t>
            </w:r>
            <w:r>
              <w:rPr>
                <w:color w:val="000000" w:themeColor="text1"/>
                <w:szCs w:val="21"/>
              </w:rPr>
              <w:t>～</w:t>
            </w:r>
            <w:r>
              <w:rPr>
                <w:color w:val="000000" w:themeColor="text1"/>
                <w:szCs w:val="21"/>
              </w:rPr>
              <w:t>200</w:t>
            </w:r>
            <w:r>
              <w:rPr>
                <w:color w:val="000000" w:themeColor="text1"/>
                <w:szCs w:val="21"/>
              </w:rPr>
              <w:t>）</w:t>
            </w:r>
          </w:p>
        </w:tc>
        <w:tc>
          <w:tcPr>
            <w:tcW w:w="1783" w:type="dxa"/>
            <w:vAlign w:val="center"/>
          </w:tcPr>
          <w:p w14:paraId="01DE42E9" w14:textId="77777777" w:rsidR="002D2AF8" w:rsidRDefault="00000000">
            <w:pPr>
              <w:adjustRightInd w:val="0"/>
              <w:snapToGrid w:val="0"/>
              <w:jc w:val="center"/>
              <w:rPr>
                <w:color w:val="000000" w:themeColor="text1"/>
                <w:szCs w:val="21"/>
              </w:rPr>
            </w:pPr>
            <w:r>
              <w:rPr>
                <w:color w:val="000000" w:themeColor="text1"/>
                <w:szCs w:val="21"/>
              </w:rPr>
              <w:t>嗅觉在</w:t>
            </w:r>
            <w:r>
              <w:rPr>
                <w:color w:val="000000" w:themeColor="text1"/>
                <w:szCs w:val="21"/>
              </w:rPr>
              <w:t>15min</w:t>
            </w:r>
            <w:r>
              <w:rPr>
                <w:color w:val="000000" w:themeColor="text1"/>
                <w:szCs w:val="21"/>
              </w:rPr>
              <w:t>内麻痹</w:t>
            </w:r>
          </w:p>
        </w:tc>
        <w:tc>
          <w:tcPr>
            <w:tcW w:w="2321" w:type="dxa"/>
            <w:vMerge w:val="restart"/>
            <w:vAlign w:val="center"/>
          </w:tcPr>
          <w:p w14:paraId="46B9A3F5" w14:textId="77777777" w:rsidR="002D2AF8" w:rsidRDefault="00000000">
            <w:pPr>
              <w:adjustRightInd w:val="0"/>
              <w:snapToGrid w:val="0"/>
              <w:jc w:val="center"/>
              <w:rPr>
                <w:color w:val="000000" w:themeColor="text1"/>
                <w:szCs w:val="21"/>
              </w:rPr>
            </w:pPr>
            <w:r>
              <w:rPr>
                <w:color w:val="000000" w:themeColor="text1"/>
                <w:szCs w:val="21"/>
              </w:rPr>
              <w:t>1500</w:t>
            </w:r>
            <w:r>
              <w:rPr>
                <w:color w:val="000000" w:themeColor="text1"/>
                <w:szCs w:val="21"/>
              </w:rPr>
              <w:t>～</w:t>
            </w:r>
            <w:r>
              <w:rPr>
                <w:color w:val="000000" w:themeColor="text1"/>
                <w:szCs w:val="21"/>
              </w:rPr>
              <w:t>2250</w:t>
            </w:r>
            <w:r>
              <w:rPr>
                <w:color w:val="000000" w:themeColor="text1"/>
                <w:szCs w:val="21"/>
              </w:rPr>
              <w:t>（</w:t>
            </w:r>
            <w:r>
              <w:rPr>
                <w:color w:val="000000" w:themeColor="text1"/>
                <w:szCs w:val="21"/>
              </w:rPr>
              <w:t>1000</w:t>
            </w:r>
            <w:r>
              <w:rPr>
                <w:color w:val="000000" w:themeColor="text1"/>
                <w:szCs w:val="21"/>
              </w:rPr>
              <w:t>～</w:t>
            </w:r>
            <w:r>
              <w:rPr>
                <w:color w:val="000000" w:themeColor="text1"/>
                <w:szCs w:val="21"/>
              </w:rPr>
              <w:t>1500</w:t>
            </w:r>
            <w:r>
              <w:rPr>
                <w:color w:val="000000" w:themeColor="text1"/>
                <w:szCs w:val="21"/>
              </w:rPr>
              <w:t>）</w:t>
            </w:r>
          </w:p>
        </w:tc>
        <w:tc>
          <w:tcPr>
            <w:tcW w:w="2415" w:type="dxa"/>
            <w:vMerge w:val="restart"/>
            <w:vAlign w:val="center"/>
          </w:tcPr>
          <w:p w14:paraId="5AD3DA80" w14:textId="77777777" w:rsidR="002D2AF8" w:rsidRDefault="00000000">
            <w:pPr>
              <w:adjustRightInd w:val="0"/>
              <w:snapToGrid w:val="0"/>
              <w:jc w:val="center"/>
              <w:rPr>
                <w:color w:val="000000" w:themeColor="text1"/>
                <w:szCs w:val="21"/>
              </w:rPr>
            </w:pPr>
            <w:r>
              <w:rPr>
                <w:color w:val="000000" w:themeColor="text1"/>
                <w:szCs w:val="21"/>
              </w:rPr>
              <w:t>在数分钟内死亡</w:t>
            </w:r>
          </w:p>
        </w:tc>
      </w:tr>
      <w:tr w:rsidR="002D2AF8" w14:paraId="19EA2F14" w14:textId="77777777">
        <w:trPr>
          <w:cantSplit/>
          <w:trHeight w:val="397"/>
          <w:jc w:val="center"/>
        </w:trPr>
        <w:tc>
          <w:tcPr>
            <w:tcW w:w="2003" w:type="dxa"/>
            <w:vAlign w:val="center"/>
          </w:tcPr>
          <w:p w14:paraId="18BE648B" w14:textId="77777777" w:rsidR="002D2AF8" w:rsidRDefault="00000000">
            <w:pPr>
              <w:adjustRightInd w:val="0"/>
              <w:snapToGrid w:val="0"/>
              <w:jc w:val="center"/>
              <w:rPr>
                <w:color w:val="000000" w:themeColor="text1"/>
                <w:szCs w:val="21"/>
              </w:rPr>
            </w:pPr>
            <w:r>
              <w:rPr>
                <w:color w:val="000000" w:themeColor="text1"/>
                <w:szCs w:val="21"/>
              </w:rPr>
              <w:t>75</w:t>
            </w:r>
            <w:r>
              <w:rPr>
                <w:color w:val="000000" w:themeColor="text1"/>
                <w:szCs w:val="21"/>
              </w:rPr>
              <w:t>～</w:t>
            </w:r>
            <w:r>
              <w:rPr>
                <w:color w:val="000000" w:themeColor="text1"/>
                <w:szCs w:val="21"/>
              </w:rPr>
              <w:t>150</w:t>
            </w:r>
            <w:r>
              <w:rPr>
                <w:color w:val="000000" w:themeColor="text1"/>
                <w:szCs w:val="21"/>
              </w:rPr>
              <w:t>（</w:t>
            </w:r>
            <w:r>
              <w:rPr>
                <w:color w:val="000000" w:themeColor="text1"/>
                <w:szCs w:val="21"/>
              </w:rPr>
              <w:t>50</w:t>
            </w:r>
            <w:r>
              <w:rPr>
                <w:color w:val="000000" w:themeColor="text1"/>
                <w:szCs w:val="21"/>
              </w:rPr>
              <w:t>～</w:t>
            </w:r>
            <w:r>
              <w:rPr>
                <w:color w:val="000000" w:themeColor="text1"/>
                <w:szCs w:val="21"/>
              </w:rPr>
              <w:t>100</w:t>
            </w:r>
            <w:r>
              <w:rPr>
                <w:color w:val="000000" w:themeColor="text1"/>
                <w:szCs w:val="21"/>
              </w:rPr>
              <w:t>）</w:t>
            </w:r>
          </w:p>
        </w:tc>
        <w:tc>
          <w:tcPr>
            <w:tcW w:w="1783" w:type="dxa"/>
            <w:vAlign w:val="center"/>
          </w:tcPr>
          <w:p w14:paraId="5B23E1BD" w14:textId="77777777" w:rsidR="002D2AF8" w:rsidRDefault="00000000">
            <w:pPr>
              <w:adjustRightInd w:val="0"/>
              <w:snapToGrid w:val="0"/>
              <w:jc w:val="center"/>
              <w:rPr>
                <w:color w:val="000000" w:themeColor="text1"/>
                <w:sz w:val="18"/>
                <w:szCs w:val="18"/>
              </w:rPr>
            </w:pPr>
            <w:r>
              <w:rPr>
                <w:color w:val="000000" w:themeColor="text1"/>
                <w:szCs w:val="21"/>
              </w:rPr>
              <w:t>刺激呼吸道</w:t>
            </w:r>
          </w:p>
        </w:tc>
        <w:tc>
          <w:tcPr>
            <w:tcW w:w="2321" w:type="dxa"/>
            <w:vMerge/>
            <w:vAlign w:val="center"/>
          </w:tcPr>
          <w:p w14:paraId="0A98072D" w14:textId="77777777" w:rsidR="002D2AF8" w:rsidRDefault="002D2AF8">
            <w:pPr>
              <w:adjustRightInd w:val="0"/>
              <w:snapToGrid w:val="0"/>
              <w:jc w:val="center"/>
              <w:rPr>
                <w:color w:val="000000" w:themeColor="text1"/>
                <w:szCs w:val="21"/>
              </w:rPr>
            </w:pPr>
          </w:p>
        </w:tc>
        <w:tc>
          <w:tcPr>
            <w:tcW w:w="2415" w:type="dxa"/>
            <w:vMerge/>
            <w:vAlign w:val="center"/>
          </w:tcPr>
          <w:p w14:paraId="0557F1F6" w14:textId="77777777" w:rsidR="002D2AF8" w:rsidRDefault="002D2AF8">
            <w:pPr>
              <w:adjustRightInd w:val="0"/>
              <w:snapToGrid w:val="0"/>
              <w:jc w:val="center"/>
              <w:rPr>
                <w:color w:val="000000" w:themeColor="text1"/>
                <w:szCs w:val="21"/>
              </w:rPr>
            </w:pPr>
          </w:p>
        </w:tc>
      </w:tr>
    </w:tbl>
    <w:p w14:paraId="481CDB65" w14:textId="77777777" w:rsidR="002D2AF8"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含有硫化氢的井发生井喷或放喷时，通常要点火。硫化氢燃烧后产生二氧化硫也属有毒气体。二氧化硫为无色、具有刺激性气味、比空气比重大的气体，具有窒息作用，人吸入后在鼻和喉粘膜上形成亚硫酸。吸入一定浓度的二氧化硫会引起人身伤害甚至死亡。不同浓度的二氧化硫对人体的危害见下表</w:t>
      </w:r>
      <w:r>
        <w:rPr>
          <w:color w:val="000000" w:themeColor="text1"/>
          <w:sz w:val="28"/>
          <w:szCs w:val="28"/>
        </w:rPr>
        <w:t>3-</w:t>
      </w:r>
      <w:r>
        <w:rPr>
          <w:rFonts w:hint="eastAsia"/>
          <w:color w:val="000000" w:themeColor="text1"/>
          <w:sz w:val="28"/>
          <w:szCs w:val="28"/>
        </w:rPr>
        <w:t>5</w:t>
      </w:r>
      <w:r>
        <w:rPr>
          <w:color w:val="000000" w:themeColor="text1"/>
          <w:sz w:val="28"/>
          <w:szCs w:val="28"/>
        </w:rPr>
        <w:t>。</w:t>
      </w:r>
    </w:p>
    <w:p w14:paraId="16199653" w14:textId="77777777" w:rsidR="002D2AF8" w:rsidRDefault="00000000">
      <w:pPr>
        <w:adjustRightInd w:val="0"/>
        <w:snapToGrid w:val="0"/>
        <w:spacing w:line="360" w:lineRule="auto"/>
        <w:jc w:val="center"/>
        <w:rPr>
          <w:b/>
          <w:bCs/>
          <w:color w:val="000000" w:themeColor="text1"/>
          <w:sz w:val="24"/>
        </w:rPr>
      </w:pPr>
      <w:r>
        <w:rPr>
          <w:b/>
          <w:bCs/>
          <w:color w:val="000000" w:themeColor="text1"/>
          <w:sz w:val="24"/>
        </w:rPr>
        <w:t>表</w:t>
      </w:r>
      <w:r>
        <w:rPr>
          <w:b/>
          <w:bCs/>
          <w:color w:val="000000" w:themeColor="text1"/>
          <w:sz w:val="24"/>
        </w:rPr>
        <w:t>3-</w:t>
      </w:r>
      <w:r>
        <w:rPr>
          <w:rFonts w:hint="eastAsia"/>
          <w:b/>
          <w:bCs/>
          <w:color w:val="000000" w:themeColor="text1"/>
          <w:sz w:val="24"/>
        </w:rPr>
        <w:t>5</w:t>
      </w:r>
      <w:r>
        <w:rPr>
          <w:b/>
          <w:bCs/>
          <w:color w:val="000000" w:themeColor="text1"/>
          <w:sz w:val="24"/>
        </w:rPr>
        <w:t xml:space="preserve">  </w:t>
      </w:r>
      <w:r>
        <w:rPr>
          <w:b/>
          <w:bCs/>
          <w:color w:val="000000" w:themeColor="text1"/>
          <w:sz w:val="24"/>
        </w:rPr>
        <w:t>二氧化硫对人体的危害</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2396"/>
        <w:gridCol w:w="6126"/>
      </w:tblGrid>
      <w:tr w:rsidR="002D2AF8" w14:paraId="75B45287" w14:textId="77777777">
        <w:trPr>
          <w:cantSplit/>
          <w:trHeight w:val="397"/>
          <w:jc w:val="center"/>
        </w:trPr>
        <w:tc>
          <w:tcPr>
            <w:tcW w:w="2396" w:type="dxa"/>
            <w:vAlign w:val="center"/>
          </w:tcPr>
          <w:p w14:paraId="6EA89F74" w14:textId="77777777" w:rsidR="002D2AF8" w:rsidRDefault="00000000">
            <w:pPr>
              <w:adjustRightInd w:val="0"/>
              <w:snapToGrid w:val="0"/>
              <w:jc w:val="center"/>
              <w:rPr>
                <w:b/>
                <w:color w:val="000000" w:themeColor="text1"/>
                <w:szCs w:val="21"/>
              </w:rPr>
            </w:pPr>
            <w:r>
              <w:rPr>
                <w:b/>
                <w:color w:val="000000" w:themeColor="text1"/>
                <w:szCs w:val="21"/>
              </w:rPr>
              <w:t>空气中浓度</w:t>
            </w:r>
            <w:r>
              <w:rPr>
                <w:b/>
                <w:color w:val="000000" w:themeColor="text1"/>
                <w:szCs w:val="21"/>
              </w:rPr>
              <w:t>mg/m</w:t>
            </w:r>
            <w:r>
              <w:rPr>
                <w:b/>
                <w:color w:val="000000" w:themeColor="text1"/>
                <w:szCs w:val="21"/>
                <w:vertAlign w:val="superscript"/>
              </w:rPr>
              <w:t>3</w:t>
            </w:r>
            <w:r>
              <w:rPr>
                <w:b/>
                <w:color w:val="000000" w:themeColor="text1"/>
                <w:szCs w:val="21"/>
              </w:rPr>
              <w:t>（</w:t>
            </w:r>
            <w:r>
              <w:rPr>
                <w:b/>
                <w:color w:val="000000" w:themeColor="text1"/>
                <w:szCs w:val="21"/>
              </w:rPr>
              <w:t>ppm</w:t>
            </w:r>
            <w:r>
              <w:rPr>
                <w:b/>
                <w:color w:val="000000" w:themeColor="text1"/>
                <w:szCs w:val="21"/>
              </w:rPr>
              <w:t>）</w:t>
            </w:r>
          </w:p>
        </w:tc>
        <w:tc>
          <w:tcPr>
            <w:tcW w:w="6126" w:type="dxa"/>
            <w:vAlign w:val="center"/>
          </w:tcPr>
          <w:p w14:paraId="55FA12E9" w14:textId="77777777" w:rsidR="002D2AF8" w:rsidRDefault="00000000">
            <w:pPr>
              <w:adjustRightInd w:val="0"/>
              <w:snapToGrid w:val="0"/>
              <w:jc w:val="center"/>
              <w:rPr>
                <w:b/>
                <w:color w:val="000000" w:themeColor="text1"/>
                <w:szCs w:val="21"/>
              </w:rPr>
            </w:pPr>
            <w:r>
              <w:rPr>
                <w:b/>
                <w:color w:val="000000" w:themeColor="text1"/>
                <w:szCs w:val="21"/>
              </w:rPr>
              <w:t>生理影响及危害</w:t>
            </w:r>
          </w:p>
        </w:tc>
      </w:tr>
      <w:tr w:rsidR="002D2AF8" w14:paraId="32508EF9" w14:textId="77777777">
        <w:trPr>
          <w:cantSplit/>
          <w:trHeight w:val="397"/>
          <w:jc w:val="center"/>
        </w:trPr>
        <w:tc>
          <w:tcPr>
            <w:tcW w:w="2396" w:type="dxa"/>
            <w:vAlign w:val="center"/>
          </w:tcPr>
          <w:p w14:paraId="21CEF5BD" w14:textId="77777777" w:rsidR="002D2AF8" w:rsidRDefault="00000000">
            <w:pPr>
              <w:adjustRightInd w:val="0"/>
              <w:snapToGrid w:val="0"/>
              <w:jc w:val="center"/>
              <w:rPr>
                <w:color w:val="000000" w:themeColor="text1"/>
                <w:szCs w:val="21"/>
              </w:rPr>
            </w:pPr>
            <w:r>
              <w:rPr>
                <w:color w:val="000000" w:themeColor="text1"/>
                <w:szCs w:val="21"/>
              </w:rPr>
              <w:t>2.71</w:t>
            </w:r>
            <w:r>
              <w:rPr>
                <w:color w:val="000000" w:themeColor="text1"/>
                <w:szCs w:val="21"/>
              </w:rPr>
              <w:t>（</w:t>
            </w:r>
            <w:r>
              <w:rPr>
                <w:color w:val="000000" w:themeColor="text1"/>
                <w:szCs w:val="21"/>
              </w:rPr>
              <w:t>1</w:t>
            </w:r>
            <w:r>
              <w:rPr>
                <w:color w:val="000000" w:themeColor="text1"/>
                <w:szCs w:val="21"/>
              </w:rPr>
              <w:t>）</w:t>
            </w:r>
          </w:p>
        </w:tc>
        <w:tc>
          <w:tcPr>
            <w:tcW w:w="6126" w:type="dxa"/>
            <w:vAlign w:val="center"/>
          </w:tcPr>
          <w:p w14:paraId="1BB60E55" w14:textId="77777777" w:rsidR="002D2AF8" w:rsidRDefault="00000000">
            <w:pPr>
              <w:adjustRightInd w:val="0"/>
              <w:snapToGrid w:val="0"/>
              <w:jc w:val="left"/>
              <w:rPr>
                <w:color w:val="000000" w:themeColor="text1"/>
                <w:szCs w:val="21"/>
              </w:rPr>
            </w:pPr>
            <w:r>
              <w:rPr>
                <w:color w:val="000000" w:themeColor="text1"/>
                <w:szCs w:val="21"/>
              </w:rPr>
              <w:t>具有刺激性气味，可能引起呼吸改变</w:t>
            </w:r>
          </w:p>
        </w:tc>
      </w:tr>
      <w:tr w:rsidR="002D2AF8" w14:paraId="36FFFAB2" w14:textId="77777777">
        <w:trPr>
          <w:cantSplit/>
          <w:trHeight w:val="397"/>
          <w:jc w:val="center"/>
        </w:trPr>
        <w:tc>
          <w:tcPr>
            <w:tcW w:w="2396" w:type="dxa"/>
            <w:vAlign w:val="center"/>
          </w:tcPr>
          <w:p w14:paraId="5789B3DB" w14:textId="77777777" w:rsidR="002D2AF8" w:rsidRDefault="00000000">
            <w:pPr>
              <w:adjustRightInd w:val="0"/>
              <w:snapToGrid w:val="0"/>
              <w:jc w:val="center"/>
              <w:rPr>
                <w:color w:val="000000" w:themeColor="text1"/>
                <w:szCs w:val="21"/>
              </w:rPr>
            </w:pPr>
            <w:r>
              <w:rPr>
                <w:color w:val="000000" w:themeColor="text1"/>
                <w:szCs w:val="21"/>
              </w:rPr>
              <w:t>5.42</w:t>
            </w:r>
            <w:r>
              <w:rPr>
                <w:color w:val="000000" w:themeColor="text1"/>
                <w:szCs w:val="21"/>
              </w:rPr>
              <w:t>（</w:t>
            </w:r>
            <w:r>
              <w:rPr>
                <w:color w:val="000000" w:themeColor="text1"/>
                <w:szCs w:val="21"/>
              </w:rPr>
              <w:t>2</w:t>
            </w:r>
            <w:r>
              <w:rPr>
                <w:color w:val="000000" w:themeColor="text1"/>
                <w:szCs w:val="21"/>
              </w:rPr>
              <w:t>）</w:t>
            </w:r>
          </w:p>
        </w:tc>
        <w:tc>
          <w:tcPr>
            <w:tcW w:w="6126" w:type="dxa"/>
            <w:vAlign w:val="center"/>
          </w:tcPr>
          <w:p w14:paraId="58C5CAC0" w14:textId="77777777" w:rsidR="002D2AF8" w:rsidRDefault="00000000">
            <w:pPr>
              <w:adjustRightInd w:val="0"/>
              <w:snapToGrid w:val="0"/>
              <w:jc w:val="left"/>
              <w:rPr>
                <w:color w:val="000000" w:themeColor="text1"/>
                <w:szCs w:val="21"/>
              </w:rPr>
            </w:pPr>
            <w:r>
              <w:rPr>
                <w:color w:val="000000" w:themeColor="text1"/>
                <w:szCs w:val="21"/>
              </w:rPr>
              <w:t>美国政府工业卫生专家联合会（</w:t>
            </w:r>
            <w:r>
              <w:rPr>
                <w:color w:val="000000" w:themeColor="text1"/>
                <w:szCs w:val="21"/>
              </w:rPr>
              <w:t>ACGIH</w:t>
            </w:r>
            <w:r>
              <w:rPr>
                <w:color w:val="000000" w:themeColor="text1"/>
                <w:szCs w:val="21"/>
              </w:rPr>
              <w:t>）推荐的阈限值</w:t>
            </w:r>
          </w:p>
        </w:tc>
      </w:tr>
      <w:tr w:rsidR="002D2AF8" w14:paraId="1E7368E6" w14:textId="77777777">
        <w:trPr>
          <w:cantSplit/>
          <w:trHeight w:val="397"/>
          <w:jc w:val="center"/>
        </w:trPr>
        <w:tc>
          <w:tcPr>
            <w:tcW w:w="2396" w:type="dxa"/>
            <w:vAlign w:val="center"/>
          </w:tcPr>
          <w:p w14:paraId="15415B6E" w14:textId="77777777" w:rsidR="002D2AF8" w:rsidRDefault="00000000">
            <w:pPr>
              <w:adjustRightInd w:val="0"/>
              <w:snapToGrid w:val="0"/>
              <w:jc w:val="center"/>
              <w:rPr>
                <w:color w:val="000000" w:themeColor="text1"/>
                <w:szCs w:val="21"/>
              </w:rPr>
            </w:pPr>
            <w:r>
              <w:rPr>
                <w:color w:val="000000" w:themeColor="text1"/>
                <w:szCs w:val="21"/>
              </w:rPr>
              <w:t>13.50</w:t>
            </w:r>
            <w:r>
              <w:rPr>
                <w:color w:val="000000" w:themeColor="text1"/>
                <w:szCs w:val="21"/>
              </w:rPr>
              <w:t>（</w:t>
            </w:r>
            <w:r>
              <w:rPr>
                <w:color w:val="000000" w:themeColor="text1"/>
                <w:szCs w:val="21"/>
              </w:rPr>
              <w:t>5</w:t>
            </w:r>
            <w:r>
              <w:rPr>
                <w:color w:val="000000" w:themeColor="text1"/>
                <w:szCs w:val="21"/>
              </w:rPr>
              <w:t>）</w:t>
            </w:r>
          </w:p>
        </w:tc>
        <w:tc>
          <w:tcPr>
            <w:tcW w:w="6126" w:type="dxa"/>
            <w:vAlign w:val="center"/>
          </w:tcPr>
          <w:p w14:paraId="075D397F" w14:textId="77777777" w:rsidR="002D2AF8" w:rsidRDefault="00000000">
            <w:pPr>
              <w:adjustRightInd w:val="0"/>
              <w:snapToGrid w:val="0"/>
              <w:jc w:val="left"/>
              <w:rPr>
                <w:color w:val="000000" w:themeColor="text1"/>
                <w:szCs w:val="21"/>
              </w:rPr>
            </w:pPr>
            <w:r>
              <w:rPr>
                <w:color w:val="000000" w:themeColor="text1"/>
                <w:szCs w:val="21"/>
              </w:rPr>
              <w:t>灼伤眼睛，刺激呼吸，对嗓子有较小的刺激。</w:t>
            </w:r>
          </w:p>
        </w:tc>
      </w:tr>
      <w:tr w:rsidR="002D2AF8" w14:paraId="781BD1C7" w14:textId="77777777">
        <w:trPr>
          <w:cantSplit/>
          <w:trHeight w:val="397"/>
          <w:jc w:val="center"/>
        </w:trPr>
        <w:tc>
          <w:tcPr>
            <w:tcW w:w="2396" w:type="dxa"/>
            <w:vAlign w:val="center"/>
          </w:tcPr>
          <w:p w14:paraId="4C8BF607" w14:textId="77777777" w:rsidR="002D2AF8" w:rsidRDefault="00000000">
            <w:pPr>
              <w:adjustRightInd w:val="0"/>
              <w:snapToGrid w:val="0"/>
              <w:jc w:val="center"/>
              <w:rPr>
                <w:color w:val="000000" w:themeColor="text1"/>
                <w:szCs w:val="21"/>
              </w:rPr>
            </w:pPr>
            <w:r>
              <w:rPr>
                <w:color w:val="000000" w:themeColor="text1"/>
                <w:szCs w:val="21"/>
              </w:rPr>
              <w:t>32.49</w:t>
            </w:r>
            <w:r>
              <w:rPr>
                <w:color w:val="000000" w:themeColor="text1"/>
                <w:szCs w:val="21"/>
              </w:rPr>
              <w:t>（</w:t>
            </w:r>
            <w:r>
              <w:rPr>
                <w:color w:val="000000" w:themeColor="text1"/>
                <w:szCs w:val="21"/>
              </w:rPr>
              <w:t>12</w:t>
            </w:r>
            <w:r>
              <w:rPr>
                <w:color w:val="000000" w:themeColor="text1"/>
                <w:szCs w:val="21"/>
              </w:rPr>
              <w:t>）</w:t>
            </w:r>
          </w:p>
        </w:tc>
        <w:tc>
          <w:tcPr>
            <w:tcW w:w="6126" w:type="dxa"/>
            <w:vAlign w:val="center"/>
          </w:tcPr>
          <w:p w14:paraId="306A4668" w14:textId="77777777" w:rsidR="002D2AF8" w:rsidRDefault="00000000">
            <w:pPr>
              <w:adjustRightInd w:val="0"/>
              <w:snapToGrid w:val="0"/>
              <w:jc w:val="left"/>
              <w:rPr>
                <w:color w:val="000000" w:themeColor="text1"/>
                <w:szCs w:val="21"/>
              </w:rPr>
            </w:pPr>
            <w:r>
              <w:rPr>
                <w:color w:val="000000" w:themeColor="text1"/>
                <w:szCs w:val="21"/>
              </w:rPr>
              <w:t>刺激嗓子咳嗽，胸腔收缩，流眼泪和恶心</w:t>
            </w:r>
          </w:p>
        </w:tc>
      </w:tr>
      <w:tr w:rsidR="002D2AF8" w14:paraId="08D047AC" w14:textId="77777777">
        <w:trPr>
          <w:cantSplit/>
          <w:trHeight w:val="397"/>
          <w:jc w:val="center"/>
        </w:trPr>
        <w:tc>
          <w:tcPr>
            <w:tcW w:w="2396" w:type="dxa"/>
            <w:vAlign w:val="center"/>
          </w:tcPr>
          <w:p w14:paraId="5E4BC2DE" w14:textId="77777777" w:rsidR="002D2AF8" w:rsidRDefault="00000000">
            <w:pPr>
              <w:adjustRightInd w:val="0"/>
              <w:snapToGrid w:val="0"/>
              <w:jc w:val="center"/>
              <w:rPr>
                <w:color w:val="000000" w:themeColor="text1"/>
                <w:szCs w:val="21"/>
              </w:rPr>
            </w:pPr>
            <w:r>
              <w:rPr>
                <w:color w:val="000000" w:themeColor="text1"/>
                <w:szCs w:val="21"/>
              </w:rPr>
              <w:t>271</w:t>
            </w:r>
            <w:r>
              <w:rPr>
                <w:color w:val="000000" w:themeColor="text1"/>
                <w:szCs w:val="21"/>
              </w:rPr>
              <w:t>（</w:t>
            </w:r>
            <w:r>
              <w:rPr>
                <w:color w:val="000000" w:themeColor="text1"/>
                <w:szCs w:val="21"/>
              </w:rPr>
              <w:t>100</w:t>
            </w:r>
            <w:r>
              <w:rPr>
                <w:color w:val="000000" w:themeColor="text1"/>
                <w:szCs w:val="21"/>
              </w:rPr>
              <w:t>）</w:t>
            </w:r>
          </w:p>
        </w:tc>
        <w:tc>
          <w:tcPr>
            <w:tcW w:w="6126" w:type="dxa"/>
            <w:vAlign w:val="center"/>
          </w:tcPr>
          <w:p w14:paraId="1B7F96FE" w14:textId="77777777" w:rsidR="002D2AF8" w:rsidRDefault="00000000">
            <w:pPr>
              <w:adjustRightInd w:val="0"/>
              <w:snapToGrid w:val="0"/>
              <w:jc w:val="left"/>
              <w:rPr>
                <w:color w:val="000000" w:themeColor="text1"/>
                <w:szCs w:val="21"/>
              </w:rPr>
            </w:pPr>
            <w:r>
              <w:rPr>
                <w:color w:val="000000" w:themeColor="text1"/>
                <w:szCs w:val="21"/>
              </w:rPr>
              <w:t>立即对生命和健康产生危险的浓度</w:t>
            </w:r>
          </w:p>
        </w:tc>
      </w:tr>
      <w:tr w:rsidR="002D2AF8" w14:paraId="6B69445E" w14:textId="77777777">
        <w:trPr>
          <w:cantSplit/>
          <w:trHeight w:val="397"/>
          <w:jc w:val="center"/>
        </w:trPr>
        <w:tc>
          <w:tcPr>
            <w:tcW w:w="2396" w:type="dxa"/>
            <w:vAlign w:val="center"/>
          </w:tcPr>
          <w:p w14:paraId="395A4A35" w14:textId="77777777" w:rsidR="002D2AF8" w:rsidRDefault="00000000">
            <w:pPr>
              <w:adjustRightInd w:val="0"/>
              <w:snapToGrid w:val="0"/>
              <w:jc w:val="center"/>
              <w:rPr>
                <w:color w:val="000000" w:themeColor="text1"/>
                <w:szCs w:val="21"/>
              </w:rPr>
            </w:pPr>
            <w:r>
              <w:rPr>
                <w:color w:val="000000" w:themeColor="text1"/>
                <w:szCs w:val="21"/>
              </w:rPr>
              <w:t>406.35</w:t>
            </w:r>
            <w:r>
              <w:rPr>
                <w:color w:val="000000" w:themeColor="text1"/>
                <w:szCs w:val="21"/>
              </w:rPr>
              <w:t>（</w:t>
            </w:r>
            <w:r>
              <w:rPr>
                <w:color w:val="000000" w:themeColor="text1"/>
                <w:szCs w:val="21"/>
              </w:rPr>
              <w:t>150</w:t>
            </w:r>
            <w:r>
              <w:rPr>
                <w:color w:val="000000" w:themeColor="text1"/>
                <w:szCs w:val="21"/>
              </w:rPr>
              <w:t>）</w:t>
            </w:r>
          </w:p>
        </w:tc>
        <w:tc>
          <w:tcPr>
            <w:tcW w:w="6126" w:type="dxa"/>
            <w:vAlign w:val="center"/>
          </w:tcPr>
          <w:p w14:paraId="57DD99FC" w14:textId="77777777" w:rsidR="002D2AF8" w:rsidRDefault="00000000">
            <w:pPr>
              <w:adjustRightInd w:val="0"/>
              <w:snapToGrid w:val="0"/>
              <w:jc w:val="left"/>
              <w:rPr>
                <w:color w:val="000000" w:themeColor="text1"/>
                <w:szCs w:val="21"/>
              </w:rPr>
            </w:pPr>
            <w:r>
              <w:rPr>
                <w:color w:val="000000" w:themeColor="text1"/>
                <w:szCs w:val="21"/>
              </w:rPr>
              <w:t>产生强烈的刺激，只能忍受几分钟</w:t>
            </w:r>
          </w:p>
        </w:tc>
      </w:tr>
      <w:tr w:rsidR="002D2AF8" w14:paraId="61C27FF0" w14:textId="77777777">
        <w:trPr>
          <w:cantSplit/>
          <w:trHeight w:val="397"/>
          <w:jc w:val="center"/>
        </w:trPr>
        <w:tc>
          <w:tcPr>
            <w:tcW w:w="2396" w:type="dxa"/>
            <w:vAlign w:val="center"/>
          </w:tcPr>
          <w:p w14:paraId="4070B299" w14:textId="77777777" w:rsidR="002D2AF8" w:rsidRDefault="00000000">
            <w:pPr>
              <w:adjustRightInd w:val="0"/>
              <w:snapToGrid w:val="0"/>
              <w:jc w:val="center"/>
              <w:rPr>
                <w:color w:val="000000" w:themeColor="text1"/>
                <w:szCs w:val="21"/>
              </w:rPr>
            </w:pPr>
            <w:r>
              <w:rPr>
                <w:color w:val="000000" w:themeColor="text1"/>
                <w:szCs w:val="21"/>
              </w:rPr>
              <w:t>1354.50</w:t>
            </w:r>
            <w:r>
              <w:rPr>
                <w:color w:val="000000" w:themeColor="text1"/>
                <w:szCs w:val="21"/>
              </w:rPr>
              <w:t>（</w:t>
            </w:r>
            <w:r>
              <w:rPr>
                <w:color w:val="000000" w:themeColor="text1"/>
                <w:szCs w:val="21"/>
              </w:rPr>
              <w:t>500</w:t>
            </w:r>
            <w:r>
              <w:rPr>
                <w:color w:val="000000" w:themeColor="text1"/>
                <w:szCs w:val="21"/>
              </w:rPr>
              <w:t>）</w:t>
            </w:r>
          </w:p>
        </w:tc>
        <w:tc>
          <w:tcPr>
            <w:tcW w:w="6126" w:type="dxa"/>
            <w:vAlign w:val="center"/>
          </w:tcPr>
          <w:p w14:paraId="3E807984" w14:textId="77777777" w:rsidR="002D2AF8" w:rsidRDefault="00000000">
            <w:pPr>
              <w:adjustRightInd w:val="0"/>
              <w:snapToGrid w:val="0"/>
              <w:jc w:val="left"/>
              <w:rPr>
                <w:color w:val="000000" w:themeColor="text1"/>
                <w:szCs w:val="21"/>
              </w:rPr>
            </w:pPr>
            <w:r>
              <w:rPr>
                <w:color w:val="000000" w:themeColor="text1"/>
                <w:szCs w:val="21"/>
              </w:rPr>
              <w:t>即使吸入一口，就会产生窒息感，应立即救治，提供人工呼吸会心肺复苏技术</w:t>
            </w:r>
          </w:p>
        </w:tc>
      </w:tr>
      <w:tr w:rsidR="002D2AF8" w14:paraId="242E37B9" w14:textId="77777777">
        <w:trPr>
          <w:cantSplit/>
          <w:trHeight w:val="397"/>
          <w:jc w:val="center"/>
        </w:trPr>
        <w:tc>
          <w:tcPr>
            <w:tcW w:w="2396" w:type="dxa"/>
            <w:vAlign w:val="center"/>
          </w:tcPr>
          <w:p w14:paraId="7DB302DC" w14:textId="77777777" w:rsidR="002D2AF8" w:rsidRDefault="00000000">
            <w:pPr>
              <w:adjustRightInd w:val="0"/>
              <w:snapToGrid w:val="0"/>
              <w:jc w:val="center"/>
              <w:rPr>
                <w:color w:val="000000" w:themeColor="text1"/>
                <w:szCs w:val="21"/>
              </w:rPr>
            </w:pPr>
            <w:r>
              <w:rPr>
                <w:color w:val="000000" w:themeColor="text1"/>
                <w:szCs w:val="21"/>
              </w:rPr>
              <w:t>2708.99</w:t>
            </w:r>
            <w:r>
              <w:rPr>
                <w:color w:val="000000" w:themeColor="text1"/>
                <w:szCs w:val="21"/>
              </w:rPr>
              <w:t>（</w:t>
            </w:r>
            <w:r>
              <w:rPr>
                <w:color w:val="000000" w:themeColor="text1"/>
                <w:szCs w:val="21"/>
              </w:rPr>
              <w:t>1000</w:t>
            </w:r>
            <w:r>
              <w:rPr>
                <w:color w:val="000000" w:themeColor="text1"/>
                <w:szCs w:val="21"/>
              </w:rPr>
              <w:t>）</w:t>
            </w:r>
          </w:p>
        </w:tc>
        <w:tc>
          <w:tcPr>
            <w:tcW w:w="6126" w:type="dxa"/>
            <w:vAlign w:val="center"/>
          </w:tcPr>
          <w:p w14:paraId="5781A89B" w14:textId="77777777" w:rsidR="002D2AF8" w:rsidRDefault="00000000">
            <w:pPr>
              <w:adjustRightInd w:val="0"/>
              <w:snapToGrid w:val="0"/>
              <w:jc w:val="left"/>
              <w:rPr>
                <w:color w:val="000000" w:themeColor="text1"/>
                <w:szCs w:val="21"/>
              </w:rPr>
            </w:pPr>
            <w:r>
              <w:rPr>
                <w:color w:val="000000" w:themeColor="text1"/>
                <w:szCs w:val="21"/>
              </w:rPr>
              <w:t>如不立即救治就会导致死亡，应马上进行人工呼吸或心肺复苏</w:t>
            </w:r>
          </w:p>
        </w:tc>
      </w:tr>
    </w:tbl>
    <w:p w14:paraId="1C1C7FE3" w14:textId="77777777" w:rsidR="002D2AF8" w:rsidRDefault="00000000">
      <w:pPr>
        <w:adjustRightInd w:val="0"/>
        <w:snapToGrid w:val="0"/>
        <w:spacing w:beforeLines="50" w:before="162"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3.4.4 </w:t>
      </w:r>
      <w:r>
        <w:rPr>
          <w:rFonts w:eastAsia="黑体"/>
          <w:bCs/>
          <w:snapToGrid w:val="0"/>
          <w:color w:val="000000" w:themeColor="text1"/>
          <w:kern w:val="0"/>
          <w:sz w:val="28"/>
          <w:szCs w:val="28"/>
        </w:rPr>
        <w:t>物体打击</w:t>
      </w:r>
    </w:p>
    <w:p w14:paraId="0C62EC7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物体打击事故是</w:t>
      </w:r>
      <w:r>
        <w:rPr>
          <w:rFonts w:hint="eastAsia"/>
          <w:color w:val="000000" w:themeColor="text1"/>
          <w:sz w:val="28"/>
          <w:szCs w:val="28"/>
        </w:rPr>
        <w:t>堵水</w:t>
      </w:r>
      <w:r>
        <w:rPr>
          <w:rFonts w:hint="eastAsia"/>
          <w:color w:val="000000" w:themeColor="text1"/>
          <w:sz w:val="28"/>
          <w:szCs w:val="28"/>
        </w:rPr>
        <w:t>/</w:t>
      </w:r>
      <w:r>
        <w:rPr>
          <w:rFonts w:hint="eastAsia"/>
          <w:color w:val="000000" w:themeColor="text1"/>
          <w:sz w:val="28"/>
          <w:szCs w:val="28"/>
        </w:rPr>
        <w:t>调剖</w:t>
      </w:r>
      <w:r>
        <w:rPr>
          <w:color w:val="000000" w:themeColor="text1"/>
          <w:sz w:val="28"/>
          <w:szCs w:val="28"/>
        </w:rPr>
        <w:t>施工过程中发生频率最高的事故，引</w:t>
      </w:r>
      <w:r>
        <w:rPr>
          <w:color w:val="000000" w:themeColor="text1"/>
          <w:sz w:val="28"/>
          <w:szCs w:val="28"/>
        </w:rPr>
        <w:lastRenderedPageBreak/>
        <w:t>起物体打击事故的原因有：</w:t>
      </w:r>
    </w:p>
    <w:p w14:paraId="4A16C2F6"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工作场所狭小，缺乏躲避空间或操作人员违反操作规程；</w:t>
      </w:r>
    </w:p>
    <w:p w14:paraId="66422B82"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进行管线、井口装置、设备等拆装作业时，用力过猛，致使部件或工具失控；</w:t>
      </w:r>
    </w:p>
    <w:p w14:paraId="138C19C2"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rFonts w:hint="eastAsia"/>
          <w:color w:val="000000" w:themeColor="text1"/>
          <w:sz w:val="28"/>
          <w:szCs w:val="28"/>
        </w:rPr>
        <w:t>施工过程</w:t>
      </w:r>
      <w:r>
        <w:rPr>
          <w:color w:val="000000" w:themeColor="text1"/>
          <w:sz w:val="28"/>
          <w:szCs w:val="28"/>
        </w:rPr>
        <w:t>中，由于压力过高、系统试压不合格、压力超过系统承受压力等级，引起管线破裂，流体刺漏、井口抬升等；</w:t>
      </w:r>
    </w:p>
    <w:p w14:paraId="00C4E0CD"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作业时高压管线未可靠固定，在升压过程中发生摆动。</w:t>
      </w:r>
    </w:p>
    <w:p w14:paraId="1BF0CA3A" w14:textId="77777777" w:rsidR="002D2AF8" w:rsidRDefault="00000000">
      <w:pPr>
        <w:pStyle w:val="aff4"/>
        <w:spacing w:line="360" w:lineRule="auto"/>
        <w:ind w:firstLineChars="200" w:firstLine="566"/>
        <w:rPr>
          <w:color w:val="000000" w:themeColor="text1"/>
        </w:rPr>
      </w:pPr>
      <w:r>
        <w:rPr>
          <w:color w:val="000000" w:themeColor="text1"/>
        </w:rPr>
        <w:t>5.</w:t>
      </w:r>
      <w:r>
        <w:rPr>
          <w:color w:val="000000" w:themeColor="text1"/>
        </w:rPr>
        <w:t>使用不合格的吊具，或者工具等坠落对现场作业人员造成伤害。</w:t>
      </w:r>
    </w:p>
    <w:p w14:paraId="7F8ADDEC"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3.4.5 </w:t>
      </w:r>
      <w:r>
        <w:rPr>
          <w:rFonts w:eastAsia="黑体"/>
          <w:bCs/>
          <w:snapToGrid w:val="0"/>
          <w:color w:val="000000" w:themeColor="text1"/>
          <w:kern w:val="0"/>
          <w:sz w:val="28"/>
          <w:szCs w:val="28"/>
        </w:rPr>
        <w:t>机械伤害</w:t>
      </w:r>
    </w:p>
    <w:p w14:paraId="0D709DB0"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地面管线</w:t>
      </w:r>
      <w:r>
        <w:rPr>
          <w:rFonts w:hint="eastAsia"/>
          <w:color w:val="000000" w:themeColor="text1"/>
          <w:sz w:val="28"/>
          <w:szCs w:val="28"/>
        </w:rPr>
        <w:t>安装好，在</w:t>
      </w:r>
      <w:r>
        <w:rPr>
          <w:color w:val="000000" w:themeColor="text1"/>
          <w:sz w:val="28"/>
          <w:szCs w:val="28"/>
        </w:rPr>
        <w:t>试压</w:t>
      </w:r>
      <w:r>
        <w:rPr>
          <w:rFonts w:hint="eastAsia"/>
          <w:color w:val="000000" w:themeColor="text1"/>
          <w:sz w:val="28"/>
          <w:szCs w:val="28"/>
        </w:rPr>
        <w:t>时</w:t>
      </w:r>
      <w:r>
        <w:rPr>
          <w:color w:val="000000" w:themeColor="text1"/>
          <w:sz w:val="28"/>
          <w:szCs w:val="28"/>
        </w:rPr>
        <w:t>，由于压力过高，管线不合格以及其他原因造成的地面管线憋坏，井口抬升，照成的人员伤亡，设备损坏。</w:t>
      </w:r>
    </w:p>
    <w:p w14:paraId="345E16D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机械外露的运动部分缺乏防护罩或防护罩失效，联锁保护装置失灵或在检修作业中拆下后未复原，在运行中可引起绞、辗等伤害，或因运动部件断脱、飞出而造成人身伤亡及机器损坏事故。机械设备检修时，存在惯性的机械部件未可靠的停止、未可靠切断动力源（如电源等）、检修过程中发生违章操作（如意外送电）、安全防护装置损坏或缺失等都可能引起机械伤害事故。</w:t>
      </w:r>
    </w:p>
    <w:p w14:paraId="18A029C1"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3.4.6 </w:t>
      </w:r>
      <w:r>
        <w:rPr>
          <w:rFonts w:eastAsia="黑体"/>
          <w:bCs/>
          <w:snapToGrid w:val="0"/>
          <w:color w:val="000000" w:themeColor="text1"/>
          <w:kern w:val="0"/>
          <w:sz w:val="28"/>
          <w:szCs w:val="28"/>
        </w:rPr>
        <w:t>触电</w:t>
      </w:r>
    </w:p>
    <w:p w14:paraId="536E8231"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电气设备、电气线路是引发触电事故的危险源。若电气设备、线路的绝缘损坏或因腐蚀、老化引起绝缘性能降低，带电体外露，安全距离不足，未设可靠的接地保护或漏电保护装置，高压电窜入低压线路，非专业人员违章进行电气作业，电气作业人员违反电气作业安全规程等，人体直接或间接触及带电体，都会导致触电事故发生。</w:t>
      </w:r>
    </w:p>
    <w:p w14:paraId="51856AA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进行起重吊装作业时，若作业场地附近有高压线，吊物、钢丝绳等与高压线搭接，可能发生触电。</w:t>
      </w:r>
    </w:p>
    <w:p w14:paraId="0659E5E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野外露天设置的电气开关，经风吹日晒，易造成线路老化、设施锈蚀，造成接触不良。夏季雨水较多，各电气开关易吸潮造成短路，引发触电事故。因此，野外施工作业要特别加强电气设备的维修及使用管理，电气维修一定要切断电源，严格执行挂牌制度，防止意外触电事故的发生，手持电动工具一定要安装漏电保护器，设备电源线沿地面铺设经过道路时，应有保护设施。</w:t>
      </w:r>
    </w:p>
    <w:p w14:paraId="41D6C410"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3.4.7 </w:t>
      </w:r>
      <w:r>
        <w:rPr>
          <w:rFonts w:eastAsia="黑体"/>
          <w:bCs/>
          <w:snapToGrid w:val="0"/>
          <w:color w:val="000000" w:themeColor="text1"/>
          <w:kern w:val="0"/>
          <w:sz w:val="28"/>
          <w:szCs w:val="28"/>
        </w:rPr>
        <w:t>车辆伤害</w:t>
      </w:r>
    </w:p>
    <w:p w14:paraId="672C632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调剖等流动性大，人员和设备的搬迁全部依靠运输车辆完成。经常在路面状况不良的道路上行驶，受人员、车辆、路况、天气等原因容易发生各种交通事故。</w:t>
      </w:r>
    </w:p>
    <w:p w14:paraId="2CE53BCB"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作业现场情况复杂，</w:t>
      </w:r>
      <w:r>
        <w:rPr>
          <w:rFonts w:hint="eastAsia"/>
          <w:color w:val="000000" w:themeColor="text1"/>
          <w:sz w:val="28"/>
          <w:szCs w:val="28"/>
        </w:rPr>
        <w:t>测试</w:t>
      </w:r>
      <w:r>
        <w:rPr>
          <w:color w:val="000000" w:themeColor="text1"/>
          <w:sz w:val="28"/>
          <w:szCs w:val="28"/>
        </w:rPr>
        <w:t>车辆在井场内移动（摆车）时，由于机械故障、视野不良、人员操作失误或违章等，可能造成井场内的人员碰伤、碾压、撞击等车辆伤害事故。</w:t>
      </w:r>
    </w:p>
    <w:p w14:paraId="7133A60C"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3.4.</w:t>
      </w:r>
      <w:r>
        <w:rPr>
          <w:rFonts w:eastAsia="黑体" w:hint="eastAsia"/>
          <w:bCs/>
          <w:snapToGrid w:val="0"/>
          <w:color w:val="000000" w:themeColor="text1"/>
          <w:kern w:val="0"/>
          <w:sz w:val="28"/>
          <w:szCs w:val="28"/>
        </w:rPr>
        <w:t>8</w:t>
      </w:r>
      <w:r>
        <w:rPr>
          <w:rFonts w:eastAsia="黑体"/>
          <w:bCs/>
          <w:snapToGrid w:val="0"/>
          <w:color w:val="000000" w:themeColor="text1"/>
          <w:kern w:val="0"/>
          <w:sz w:val="28"/>
          <w:szCs w:val="28"/>
        </w:rPr>
        <w:t xml:space="preserve"> </w:t>
      </w:r>
      <w:r>
        <w:rPr>
          <w:rFonts w:eastAsia="黑体"/>
          <w:bCs/>
          <w:snapToGrid w:val="0"/>
          <w:color w:val="000000" w:themeColor="text1"/>
          <w:kern w:val="0"/>
          <w:sz w:val="28"/>
          <w:szCs w:val="28"/>
        </w:rPr>
        <w:t>高处坠落</w:t>
      </w:r>
    </w:p>
    <w:p w14:paraId="65760940" w14:textId="77777777" w:rsidR="002D2AF8" w:rsidRDefault="00000000">
      <w:pPr>
        <w:pStyle w:val="aff4"/>
        <w:spacing w:line="360" w:lineRule="auto"/>
        <w:ind w:firstLineChars="200" w:firstLine="566"/>
        <w:rPr>
          <w:color w:val="000000" w:themeColor="text1"/>
        </w:rPr>
      </w:pPr>
      <w:r>
        <w:rPr>
          <w:color w:val="000000" w:themeColor="text1"/>
        </w:rPr>
        <w:t>在</w:t>
      </w:r>
      <w:r>
        <w:rPr>
          <w:rFonts w:hint="eastAsia"/>
          <w:color w:val="000000" w:themeColor="text1"/>
        </w:rPr>
        <w:t>配液罐上的平台巡检</w:t>
      </w:r>
      <w:r>
        <w:rPr>
          <w:color w:val="000000" w:themeColor="text1"/>
        </w:rPr>
        <w:t>时，</w:t>
      </w:r>
      <w:r>
        <w:rPr>
          <w:rFonts w:hint="eastAsia"/>
          <w:color w:val="000000" w:themeColor="text1"/>
        </w:rPr>
        <w:t>因</w:t>
      </w:r>
      <w:r>
        <w:rPr>
          <w:color w:val="000000" w:themeColor="text1"/>
        </w:rPr>
        <w:t>防护措施不完善或存在缺陷</w:t>
      </w:r>
      <w:r>
        <w:rPr>
          <w:rFonts w:hint="eastAsia"/>
          <w:color w:val="000000" w:themeColor="text1"/>
        </w:rPr>
        <w:t>或</w:t>
      </w:r>
      <w:r>
        <w:rPr>
          <w:color w:val="000000" w:themeColor="text1"/>
        </w:rPr>
        <w:t>其他突发事故等原因导致人员坠下，引发高处坠落事故。</w:t>
      </w:r>
    </w:p>
    <w:p w14:paraId="7C4DD5DB" w14:textId="77777777" w:rsidR="002D2AF8" w:rsidRDefault="00000000">
      <w:pPr>
        <w:pStyle w:val="aff4"/>
        <w:spacing w:line="360" w:lineRule="auto"/>
        <w:ind w:firstLineChars="200" w:firstLine="566"/>
        <w:rPr>
          <w:color w:val="000000" w:themeColor="text1"/>
        </w:rPr>
      </w:pPr>
      <w:r>
        <w:rPr>
          <w:color w:val="000000" w:themeColor="text1"/>
        </w:rPr>
        <w:t>特别是在大风天气作业时，梯子、平台和易滑倒的操作通道地面未设有防滑措施或在阴雨天气或冬季因结冰造成钢梯、扶手、检修平台路滑的条件下作业人员进行登高作业，也有滑倒摔伤或高处坠落的可能。</w:t>
      </w:r>
    </w:p>
    <w:p w14:paraId="51122B31"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bookmarkStart w:id="58" w:name="_Toc216105914"/>
      <w:bookmarkStart w:id="59" w:name="_Toc447782518"/>
      <w:bookmarkStart w:id="60" w:name="_Toc329433800"/>
      <w:bookmarkStart w:id="61" w:name="_Toc281310743"/>
      <w:r>
        <w:rPr>
          <w:rFonts w:eastAsia="黑体"/>
          <w:bCs/>
          <w:snapToGrid w:val="0"/>
          <w:color w:val="000000" w:themeColor="text1"/>
          <w:kern w:val="0"/>
          <w:sz w:val="28"/>
          <w:szCs w:val="28"/>
        </w:rPr>
        <w:t>3.4.</w:t>
      </w:r>
      <w:r>
        <w:rPr>
          <w:rFonts w:eastAsia="黑体" w:hint="eastAsia"/>
          <w:bCs/>
          <w:snapToGrid w:val="0"/>
          <w:color w:val="000000" w:themeColor="text1"/>
          <w:kern w:val="0"/>
          <w:sz w:val="28"/>
          <w:szCs w:val="28"/>
        </w:rPr>
        <w:t>9</w:t>
      </w:r>
      <w:r>
        <w:rPr>
          <w:rFonts w:eastAsia="黑体"/>
          <w:bCs/>
          <w:snapToGrid w:val="0"/>
          <w:color w:val="000000" w:themeColor="text1"/>
          <w:kern w:val="0"/>
          <w:sz w:val="28"/>
          <w:szCs w:val="28"/>
        </w:rPr>
        <w:t xml:space="preserve"> </w:t>
      </w:r>
      <w:r>
        <w:rPr>
          <w:rFonts w:eastAsia="黑体"/>
          <w:bCs/>
          <w:snapToGrid w:val="0"/>
          <w:color w:val="000000" w:themeColor="text1"/>
          <w:kern w:val="0"/>
          <w:sz w:val="28"/>
          <w:szCs w:val="28"/>
        </w:rPr>
        <w:t>起重伤害</w:t>
      </w:r>
    </w:p>
    <w:p w14:paraId="410FE1B9" w14:textId="77777777" w:rsidR="002D2AF8" w:rsidRDefault="00000000">
      <w:pPr>
        <w:pStyle w:val="af8"/>
        <w:widowControl w:val="0"/>
        <w:adjustRightInd w:val="0"/>
        <w:snapToGrid w:val="0"/>
        <w:spacing w:before="0" w:beforeAutospacing="0" w:after="0" w:afterAutospacing="0" w:line="360" w:lineRule="auto"/>
        <w:ind w:firstLineChars="200" w:firstLine="566"/>
        <w:jc w:val="both"/>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在设备设施搬迁过程中，需要对设备进行吊运，在吊运过程中，因违章作业、起重设备的安全装置及保护措施失灵、吊车吊钩、钢</w:t>
      </w:r>
      <w:r>
        <w:rPr>
          <w:rFonts w:ascii="Times New Roman" w:hAnsi="Times New Roman" w:cs="Times New Roman"/>
          <w:color w:val="000000" w:themeColor="text1"/>
          <w:sz w:val="28"/>
          <w:szCs w:val="28"/>
        </w:rPr>
        <w:lastRenderedPageBreak/>
        <w:t>丝绳、吊索具超载断裂，吊运时钢丝绳从吊钩中脱出，吊货物捆扎不牢固或作业时吊物下有人等情况，易发生起重伤害事故。</w:t>
      </w:r>
    </w:p>
    <w:p w14:paraId="195357C4"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62" w:name="_Toc30918"/>
      <w:r>
        <w:rPr>
          <w:rFonts w:ascii="Times New Roman" w:hAnsi="Times New Roman"/>
          <w:b w:val="0"/>
          <w:bCs/>
          <w:color w:val="000000" w:themeColor="text1"/>
          <w:szCs w:val="32"/>
        </w:rPr>
        <w:t xml:space="preserve">3.5 </w:t>
      </w:r>
      <w:r>
        <w:rPr>
          <w:rFonts w:ascii="Times New Roman" w:hAnsi="Times New Roman"/>
          <w:b w:val="0"/>
          <w:bCs/>
          <w:color w:val="000000" w:themeColor="text1"/>
          <w:szCs w:val="32"/>
        </w:rPr>
        <w:t>主要有害因素辨识</w:t>
      </w:r>
      <w:bookmarkEnd w:id="58"/>
      <w:bookmarkEnd w:id="59"/>
      <w:bookmarkEnd w:id="60"/>
      <w:bookmarkEnd w:id="61"/>
      <w:bookmarkEnd w:id="62"/>
    </w:p>
    <w:p w14:paraId="2D5AC0B6"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3.5.1 </w:t>
      </w:r>
      <w:r>
        <w:rPr>
          <w:rFonts w:eastAsia="黑体"/>
          <w:bCs/>
          <w:snapToGrid w:val="0"/>
          <w:color w:val="000000" w:themeColor="text1"/>
          <w:kern w:val="0"/>
          <w:sz w:val="28"/>
          <w:szCs w:val="28"/>
        </w:rPr>
        <w:t>噪声危害</w:t>
      </w:r>
    </w:p>
    <w:p w14:paraId="0D9FDD0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各种机械运转设备如堵水</w:t>
      </w:r>
      <w:r>
        <w:rPr>
          <w:color w:val="000000" w:themeColor="text1"/>
          <w:sz w:val="28"/>
          <w:szCs w:val="28"/>
        </w:rPr>
        <w:t>/</w:t>
      </w:r>
      <w:r>
        <w:rPr>
          <w:color w:val="000000" w:themeColor="text1"/>
          <w:sz w:val="28"/>
          <w:szCs w:val="28"/>
        </w:rPr>
        <w:t>调剖的注入泵等运转时，工具、部件碰撞时发出的机械性噪声，介质输送、排放产生的空气动力性噪声，混杂在一起，可引起作业场所噪声值超标。</w:t>
      </w:r>
      <w:r>
        <w:rPr>
          <w:bCs/>
          <w:color w:val="000000" w:themeColor="text1"/>
          <w:sz w:val="28"/>
          <w:szCs w:val="28"/>
        </w:rPr>
        <w:t>人员长期在高噪声环境下工作，会引发</w:t>
      </w:r>
      <w:r>
        <w:rPr>
          <w:color w:val="000000" w:themeColor="text1"/>
          <w:sz w:val="28"/>
          <w:szCs w:val="28"/>
        </w:rPr>
        <w:t>噪声危害，其主要症状有听力损伤、职业性噪声聋、神经系统功能紊乱，甚至引起心血管疾病及消化系统疾病的高发。</w:t>
      </w:r>
    </w:p>
    <w:p w14:paraId="48EF70B8"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3.5.2 </w:t>
      </w:r>
      <w:r>
        <w:rPr>
          <w:rFonts w:eastAsia="黑体"/>
          <w:bCs/>
          <w:snapToGrid w:val="0"/>
          <w:color w:val="000000" w:themeColor="text1"/>
          <w:kern w:val="0"/>
          <w:sz w:val="28"/>
          <w:szCs w:val="28"/>
        </w:rPr>
        <w:t>毒物危害</w:t>
      </w:r>
    </w:p>
    <w:p w14:paraId="24C42381"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堵水调剖施工过程中可能接触到天然气、油蒸气、硫化氢、二氧化硫等有毒、有害物质。这些有毒、有害物质对呼吸道、肺组织有强烈的刺激、腐蚀作用，短时间内高浓度接触可引起急性中毒；长期低浓度接触会引起慢性毒物危害（慢性中毒）。主要危害症状有头痛、恶心，以及呼吸道疾病等。</w:t>
      </w:r>
    </w:p>
    <w:p w14:paraId="1392CB7B"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63" w:name="_Toc216105913"/>
      <w:bookmarkStart w:id="64" w:name="_Toc26268"/>
      <w:bookmarkStart w:id="65" w:name="_Toc329433801"/>
      <w:bookmarkStart w:id="66" w:name="_Toc281310742"/>
      <w:bookmarkStart w:id="67" w:name="_Toc447782519"/>
      <w:bookmarkStart w:id="68" w:name="_Toc281310744"/>
      <w:r>
        <w:rPr>
          <w:rFonts w:ascii="Times New Roman" w:hAnsi="Times New Roman"/>
          <w:b w:val="0"/>
          <w:bCs/>
          <w:color w:val="000000" w:themeColor="text1"/>
          <w:szCs w:val="32"/>
        </w:rPr>
        <w:t xml:space="preserve">3.6 </w:t>
      </w:r>
      <w:r>
        <w:rPr>
          <w:rFonts w:ascii="Times New Roman" w:hAnsi="Times New Roman"/>
          <w:b w:val="0"/>
          <w:bCs/>
          <w:color w:val="000000" w:themeColor="text1"/>
          <w:szCs w:val="32"/>
        </w:rPr>
        <w:t>自然灾害的影响</w:t>
      </w:r>
      <w:bookmarkEnd w:id="63"/>
      <w:bookmarkEnd w:id="64"/>
      <w:bookmarkEnd w:id="65"/>
      <w:bookmarkEnd w:id="66"/>
      <w:bookmarkEnd w:id="67"/>
    </w:p>
    <w:p w14:paraId="0194E955"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该企业主要服务于</w:t>
      </w:r>
      <w:r>
        <w:rPr>
          <w:rFonts w:hint="eastAsia"/>
          <w:color w:val="000000" w:themeColor="text1"/>
          <w:sz w:val="28"/>
          <w:szCs w:val="28"/>
        </w:rPr>
        <w:t>胜利采油厂采油</w:t>
      </w:r>
      <w:r>
        <w:rPr>
          <w:color w:val="000000" w:themeColor="text1"/>
          <w:sz w:val="28"/>
          <w:szCs w:val="28"/>
        </w:rPr>
        <w:t>区域，井下作业的作业队伍长年处于野外作业环境中，易受到自然灾害如：雷电、大风、雨、寒冷、高温酷暑等的侵袭，发生一些灾害性的事故。此外施工作业流动性大，长距离的流动可能造成人员水土不服、气候不适等。</w:t>
      </w:r>
    </w:p>
    <w:p w14:paraId="48C8057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对本工程施工影响较大的自然灾害有：雷电袭击、大风和高温、低温、</w:t>
      </w:r>
      <w:r>
        <w:rPr>
          <w:rFonts w:hint="eastAsia"/>
          <w:color w:val="000000" w:themeColor="text1"/>
          <w:sz w:val="28"/>
          <w:szCs w:val="28"/>
        </w:rPr>
        <w:t>暴雨、</w:t>
      </w:r>
      <w:r>
        <w:rPr>
          <w:color w:val="000000" w:themeColor="text1"/>
          <w:sz w:val="28"/>
          <w:szCs w:val="28"/>
        </w:rPr>
        <w:t>地震灾害等。</w:t>
      </w:r>
    </w:p>
    <w:p w14:paraId="3C86B126"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3.6.1 </w:t>
      </w:r>
      <w:r>
        <w:rPr>
          <w:rFonts w:eastAsia="黑体"/>
          <w:bCs/>
          <w:snapToGrid w:val="0"/>
          <w:color w:val="000000" w:themeColor="text1"/>
          <w:kern w:val="0"/>
          <w:sz w:val="28"/>
          <w:szCs w:val="28"/>
        </w:rPr>
        <w:t>雷电袭击</w:t>
      </w:r>
    </w:p>
    <w:p w14:paraId="1646DAF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雷电是大自然中的静电放电现象，建构筑物（如值班板房、配电房）、输变电线路和变配电装置等设施及设备遭到雷电袭击时，</w:t>
      </w:r>
      <w:r>
        <w:rPr>
          <w:color w:val="000000" w:themeColor="text1"/>
          <w:sz w:val="28"/>
          <w:szCs w:val="28"/>
        </w:rPr>
        <w:lastRenderedPageBreak/>
        <w:t>会产生极高的电压和极大的电流，在其波及的范围内，可能造成设备或设施的损坏，直接或间接地造成人员伤亡，引发火灾、爆炸事故的发生。</w:t>
      </w:r>
    </w:p>
    <w:p w14:paraId="374B1F9B"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3.6.2 </w:t>
      </w:r>
      <w:r>
        <w:rPr>
          <w:rFonts w:eastAsia="黑体"/>
          <w:bCs/>
          <w:snapToGrid w:val="0"/>
          <w:color w:val="000000" w:themeColor="text1"/>
          <w:kern w:val="0"/>
          <w:sz w:val="28"/>
          <w:szCs w:val="28"/>
        </w:rPr>
        <w:t>大风灾害</w:t>
      </w:r>
    </w:p>
    <w:p w14:paraId="58084A09"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六级以上强风有造成设备及建、构筑物倾斜、倒塌，甚至造成设备、管道扭曲、破裂的危险，可导致物料泄漏、火灾、爆炸等事故。</w:t>
      </w:r>
    </w:p>
    <w:p w14:paraId="510D151C"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3.6.3 </w:t>
      </w:r>
      <w:r>
        <w:rPr>
          <w:rFonts w:eastAsia="黑体"/>
          <w:bCs/>
          <w:snapToGrid w:val="0"/>
          <w:color w:val="000000" w:themeColor="text1"/>
          <w:kern w:val="0"/>
          <w:sz w:val="28"/>
          <w:szCs w:val="28"/>
        </w:rPr>
        <w:t>高温、低温</w:t>
      </w:r>
    </w:p>
    <w:p w14:paraId="7DEFA4D7"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温度的升高会引起爆炸性气体的爆炸浓度极限范围扩大，增加易燃、易爆介质的火灾、爆炸危险性。夏季高温环境下，野外作业的施工人员室外工作时间过长且无有效的防暑降温措施，可能引起人员的高温中暑。</w:t>
      </w:r>
    </w:p>
    <w:p w14:paraId="6D93CBDB"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在极端低温条件下，若无有效的防冻保温措施，可引起管线中介质的冻堵，泵压升高，引起管线损坏、介质泄漏；人员在室外作业工作时间过长，可能引起人员冻伤。</w:t>
      </w:r>
    </w:p>
    <w:p w14:paraId="5A00853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无论是高温还是低温环境，都可影响人员的情绪、反应灵敏性，增加违章事故发生的频率，并可能成为引发其他事故的诱因。</w:t>
      </w:r>
    </w:p>
    <w:p w14:paraId="6103AE80"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3.6.4 </w:t>
      </w:r>
      <w:r>
        <w:rPr>
          <w:rFonts w:eastAsia="黑体"/>
          <w:bCs/>
          <w:snapToGrid w:val="0"/>
          <w:color w:val="000000" w:themeColor="text1"/>
          <w:kern w:val="0"/>
          <w:sz w:val="28"/>
          <w:szCs w:val="28"/>
        </w:rPr>
        <w:t>暴雨灾害</w:t>
      </w:r>
    </w:p>
    <w:p w14:paraId="654A59B0" w14:textId="77777777" w:rsidR="002D2AF8" w:rsidRDefault="00000000">
      <w:pPr>
        <w:adjustRightInd w:val="0"/>
        <w:snapToGrid w:val="0"/>
        <w:spacing w:line="360" w:lineRule="auto"/>
        <w:ind w:firstLineChars="200" w:firstLine="566"/>
        <w:jc w:val="left"/>
        <w:rPr>
          <w:color w:val="000000" w:themeColor="text1"/>
          <w:sz w:val="28"/>
          <w:szCs w:val="28"/>
        </w:rPr>
      </w:pPr>
      <w:r>
        <w:rPr>
          <w:color w:val="000000" w:themeColor="text1"/>
          <w:sz w:val="28"/>
          <w:szCs w:val="28"/>
        </w:rPr>
        <w:t>该公司井下作业项目在平原地带，地形高差不大，如果发生暴雨，或遭遇洪水，可能威胁工作人员的安全。</w:t>
      </w:r>
    </w:p>
    <w:p w14:paraId="705F9212"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3.6.5 </w:t>
      </w:r>
      <w:r>
        <w:rPr>
          <w:rFonts w:eastAsia="黑体"/>
          <w:bCs/>
          <w:snapToGrid w:val="0"/>
          <w:color w:val="000000" w:themeColor="text1"/>
          <w:kern w:val="0"/>
          <w:sz w:val="28"/>
          <w:szCs w:val="28"/>
        </w:rPr>
        <w:t>地震灾害</w:t>
      </w:r>
    </w:p>
    <w:p w14:paraId="1D73B447"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地震是地球内部突然发生的一系列弹性波，具有突发性和难以预报的特点，地震产生的强烈振动除可直接导致建构筑物倒塌、电杆折断、高压管汇破裂、火灾爆炸之外，还会伴随出现海啸、断层、地裂、山崩、滑坡及地面隆起和下沉现象。对石油工业生产来说，</w:t>
      </w:r>
      <w:r>
        <w:rPr>
          <w:color w:val="000000" w:themeColor="text1"/>
          <w:sz w:val="28"/>
          <w:szCs w:val="28"/>
        </w:rPr>
        <w:lastRenderedPageBreak/>
        <w:t>地震会造成设备设施、高压管汇、油（气）井</w:t>
      </w:r>
      <w:r>
        <w:rPr>
          <w:rFonts w:hint="eastAsia"/>
          <w:color w:val="000000" w:themeColor="text1"/>
          <w:sz w:val="28"/>
          <w:szCs w:val="28"/>
        </w:rPr>
        <w:t>、注水井</w:t>
      </w:r>
      <w:r>
        <w:rPr>
          <w:color w:val="000000" w:themeColor="text1"/>
          <w:sz w:val="28"/>
          <w:szCs w:val="28"/>
        </w:rPr>
        <w:t>毁坏、管道及阀件断裂等震害，同时</w:t>
      </w:r>
      <w:r>
        <w:rPr>
          <w:rFonts w:hint="eastAsia"/>
          <w:color w:val="000000" w:themeColor="text1"/>
          <w:sz w:val="28"/>
          <w:szCs w:val="28"/>
        </w:rPr>
        <w:t>还</w:t>
      </w:r>
      <w:r>
        <w:rPr>
          <w:color w:val="000000" w:themeColor="text1"/>
          <w:sz w:val="28"/>
          <w:szCs w:val="28"/>
        </w:rPr>
        <w:t>往往伴随火灾、爆炸等严重的二次灾害的发生。</w:t>
      </w:r>
    </w:p>
    <w:p w14:paraId="7AD7C575"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69" w:name="_Toc25687"/>
      <w:bookmarkStart w:id="70" w:name="_Toc329433802"/>
      <w:bookmarkStart w:id="71" w:name="_Toc447782520"/>
      <w:bookmarkStart w:id="72" w:name="_Toc22233"/>
      <w:bookmarkStart w:id="73" w:name="_Toc447782521"/>
      <w:bookmarkStart w:id="74" w:name="_Toc281310745"/>
      <w:bookmarkStart w:id="75" w:name="_Toc329433803"/>
      <w:bookmarkEnd w:id="68"/>
      <w:r>
        <w:rPr>
          <w:rFonts w:ascii="Times New Roman" w:hAnsi="Times New Roman"/>
          <w:b w:val="0"/>
          <w:bCs/>
          <w:color w:val="000000" w:themeColor="text1"/>
          <w:szCs w:val="32"/>
        </w:rPr>
        <w:t xml:space="preserve">3.7 </w:t>
      </w:r>
      <w:r>
        <w:rPr>
          <w:rFonts w:ascii="Times New Roman" w:hAnsi="Times New Roman" w:hint="eastAsia"/>
          <w:b w:val="0"/>
          <w:bCs/>
          <w:color w:val="000000" w:themeColor="text1"/>
          <w:szCs w:val="32"/>
        </w:rPr>
        <w:t>人的不安全行为和安全管理缺陷</w:t>
      </w:r>
      <w:bookmarkEnd w:id="69"/>
    </w:p>
    <w:p w14:paraId="42BF0626"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 xml:space="preserve">3.7.1 </w:t>
      </w:r>
      <w:r>
        <w:rPr>
          <w:rFonts w:eastAsia="黑体" w:hint="eastAsia"/>
          <w:bCs/>
          <w:snapToGrid w:val="0"/>
          <w:color w:val="000000" w:themeColor="text1"/>
          <w:kern w:val="0"/>
          <w:sz w:val="28"/>
          <w:szCs w:val="28"/>
        </w:rPr>
        <w:t>人的不安全行为</w:t>
      </w:r>
    </w:p>
    <w:p w14:paraId="355BC855"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大量事故的统计分析表明，大部分事故是由人的因素造成的。长期超负荷作业致使操作人员疲劳、</w:t>
      </w:r>
      <w:r>
        <w:rPr>
          <w:rFonts w:hint="eastAsia"/>
          <w:bCs/>
          <w:snapToGrid w:val="0"/>
          <w:color w:val="000000" w:themeColor="text1"/>
          <w:kern w:val="0"/>
          <w:sz w:val="28"/>
          <w:szCs w:val="28"/>
        </w:rPr>
        <w:t>负荷超限、</w:t>
      </w:r>
      <w:r>
        <w:rPr>
          <w:bCs/>
          <w:snapToGrid w:val="0"/>
          <w:color w:val="000000" w:themeColor="text1"/>
          <w:kern w:val="0"/>
          <w:sz w:val="28"/>
          <w:szCs w:val="28"/>
        </w:rPr>
        <w:t>精力不集中导致误操作；疾病或饮酒致操作和指挥失误；操作人员从事禁忌作业引起事故；人员心理异常、故意犯错或存在识别功能缺陷均可导致事故。</w:t>
      </w:r>
    </w:p>
    <w:p w14:paraId="1D212745"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人的不安全行为主要表现为以下几个方面：</w:t>
      </w:r>
    </w:p>
    <w:p w14:paraId="1BEC32FF"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1</w:t>
      </w:r>
      <w:r>
        <w:rPr>
          <w:rFonts w:hint="eastAsia"/>
          <w:bCs/>
          <w:snapToGrid w:val="0"/>
          <w:color w:val="000000" w:themeColor="text1"/>
          <w:kern w:val="0"/>
          <w:sz w:val="28"/>
          <w:szCs w:val="28"/>
        </w:rPr>
        <w:t>.</w:t>
      </w:r>
      <w:r>
        <w:rPr>
          <w:bCs/>
          <w:snapToGrid w:val="0"/>
          <w:color w:val="000000" w:themeColor="text1"/>
          <w:kern w:val="0"/>
          <w:sz w:val="28"/>
          <w:szCs w:val="28"/>
        </w:rPr>
        <w:t>不专心致志工作，麻痹大意或急躁慌张、判断失误导致事故发生。</w:t>
      </w:r>
    </w:p>
    <w:p w14:paraId="4F6D2B90"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2</w:t>
      </w:r>
      <w:r>
        <w:rPr>
          <w:rFonts w:hint="eastAsia"/>
          <w:bCs/>
          <w:snapToGrid w:val="0"/>
          <w:color w:val="000000" w:themeColor="text1"/>
          <w:kern w:val="0"/>
          <w:sz w:val="28"/>
          <w:szCs w:val="28"/>
        </w:rPr>
        <w:t>.</w:t>
      </w:r>
      <w:r>
        <w:rPr>
          <w:bCs/>
          <w:snapToGrid w:val="0"/>
          <w:color w:val="000000" w:themeColor="text1"/>
          <w:kern w:val="0"/>
          <w:sz w:val="28"/>
          <w:szCs w:val="28"/>
        </w:rPr>
        <w:t>不按操作规程进行操作；不按规章制度进行巡回检查，甚至在岗上睡觉，或者串岗，脱岗，岗上看杂志、干私活，或交接班不具体等致使事故隐患不能及时发现，从而酿成事故。</w:t>
      </w:r>
    </w:p>
    <w:p w14:paraId="2A2D25BB"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3</w:t>
      </w:r>
      <w:r>
        <w:rPr>
          <w:rFonts w:hint="eastAsia"/>
          <w:bCs/>
          <w:snapToGrid w:val="0"/>
          <w:color w:val="000000" w:themeColor="text1"/>
          <w:kern w:val="0"/>
          <w:sz w:val="28"/>
          <w:szCs w:val="28"/>
        </w:rPr>
        <w:t>.</w:t>
      </w:r>
      <w:r>
        <w:rPr>
          <w:bCs/>
          <w:snapToGrid w:val="0"/>
          <w:color w:val="000000" w:themeColor="text1"/>
          <w:kern w:val="0"/>
          <w:sz w:val="28"/>
          <w:szCs w:val="28"/>
        </w:rPr>
        <w:t>个人英雄主义：争强好胜，充英雄好汉，此类人员因与上岗干部、班组长、安全监管人员认识不同、感情不和，或受他人蛊惑而蓄意故犯、故意蛮干、违章操作，以泄私愤。</w:t>
      </w:r>
    </w:p>
    <w:p w14:paraId="210D386C"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4</w:t>
      </w:r>
      <w:r>
        <w:rPr>
          <w:rFonts w:hint="eastAsia"/>
          <w:bCs/>
          <w:snapToGrid w:val="0"/>
          <w:color w:val="000000" w:themeColor="text1"/>
          <w:kern w:val="0"/>
          <w:sz w:val="28"/>
          <w:szCs w:val="28"/>
        </w:rPr>
        <w:t>.</w:t>
      </w:r>
      <w:r>
        <w:rPr>
          <w:bCs/>
          <w:snapToGrid w:val="0"/>
          <w:color w:val="000000" w:themeColor="text1"/>
          <w:kern w:val="0"/>
          <w:sz w:val="28"/>
          <w:szCs w:val="28"/>
        </w:rPr>
        <w:t>不求上进、不思进取、得过且过，对</w:t>
      </w:r>
      <w:r>
        <w:rPr>
          <w:rFonts w:hint="eastAsia"/>
          <w:bCs/>
          <w:snapToGrid w:val="0"/>
          <w:color w:val="000000" w:themeColor="text1"/>
          <w:kern w:val="0"/>
          <w:sz w:val="28"/>
          <w:szCs w:val="28"/>
        </w:rPr>
        <w:t>施工</w:t>
      </w:r>
      <w:r>
        <w:rPr>
          <w:bCs/>
          <w:snapToGrid w:val="0"/>
          <w:color w:val="000000" w:themeColor="text1"/>
          <w:kern w:val="0"/>
          <w:sz w:val="28"/>
          <w:szCs w:val="28"/>
        </w:rPr>
        <w:t>中使用的各种物质组成、性质不了解，缺乏普通的和专业的安全知识，缺乏专业知识和</w:t>
      </w:r>
      <w:r>
        <w:rPr>
          <w:rFonts w:hint="eastAsia"/>
          <w:bCs/>
          <w:snapToGrid w:val="0"/>
          <w:color w:val="000000" w:themeColor="text1"/>
          <w:kern w:val="0"/>
          <w:sz w:val="28"/>
          <w:szCs w:val="28"/>
        </w:rPr>
        <w:t>技术</w:t>
      </w:r>
      <w:r>
        <w:rPr>
          <w:bCs/>
          <w:snapToGrid w:val="0"/>
          <w:color w:val="000000" w:themeColor="text1"/>
          <w:kern w:val="0"/>
          <w:sz w:val="28"/>
          <w:szCs w:val="28"/>
        </w:rPr>
        <w:t>技能，因知识和技能的缺陷导致指挥或操作失误，引起事故。</w:t>
      </w:r>
    </w:p>
    <w:p w14:paraId="133A57A3"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t>5</w:t>
      </w:r>
      <w:r>
        <w:rPr>
          <w:rFonts w:hint="eastAsia"/>
          <w:bCs/>
          <w:snapToGrid w:val="0"/>
          <w:color w:val="000000" w:themeColor="text1"/>
          <w:kern w:val="0"/>
          <w:sz w:val="28"/>
          <w:szCs w:val="28"/>
        </w:rPr>
        <w:t>.</w:t>
      </w:r>
      <w:r>
        <w:rPr>
          <w:bCs/>
          <w:snapToGrid w:val="0"/>
          <w:color w:val="000000" w:themeColor="text1"/>
          <w:kern w:val="0"/>
          <w:sz w:val="28"/>
          <w:szCs w:val="28"/>
        </w:rPr>
        <w:t>身体素质差，易疲劳；思想素质低，指挥者独断专行，违章指挥；操作者不负责任，擅离职守；承受不起生活和工作上的压力，心理变态、精神失常、神思恍惚，思想不集中；或过于兴奋，得意忘形等均有可能导致事故发生。</w:t>
      </w:r>
    </w:p>
    <w:p w14:paraId="4040B7DF" w14:textId="77777777" w:rsidR="002D2AF8" w:rsidRDefault="00000000">
      <w:pPr>
        <w:adjustRightInd w:val="0"/>
        <w:snapToGrid w:val="0"/>
        <w:spacing w:line="360" w:lineRule="auto"/>
        <w:ind w:firstLineChars="200" w:firstLine="566"/>
        <w:rPr>
          <w:bCs/>
          <w:snapToGrid w:val="0"/>
          <w:color w:val="000000" w:themeColor="text1"/>
          <w:kern w:val="0"/>
          <w:sz w:val="28"/>
          <w:szCs w:val="28"/>
        </w:rPr>
      </w:pPr>
      <w:r>
        <w:rPr>
          <w:bCs/>
          <w:snapToGrid w:val="0"/>
          <w:color w:val="000000" w:themeColor="text1"/>
          <w:kern w:val="0"/>
          <w:sz w:val="28"/>
          <w:szCs w:val="28"/>
        </w:rPr>
        <w:lastRenderedPageBreak/>
        <w:t>6</w:t>
      </w:r>
      <w:r>
        <w:rPr>
          <w:rFonts w:hint="eastAsia"/>
          <w:bCs/>
          <w:snapToGrid w:val="0"/>
          <w:color w:val="000000" w:themeColor="text1"/>
          <w:kern w:val="0"/>
          <w:sz w:val="28"/>
          <w:szCs w:val="28"/>
        </w:rPr>
        <w:t>.</w:t>
      </w:r>
      <w:r>
        <w:rPr>
          <w:bCs/>
          <w:snapToGrid w:val="0"/>
          <w:color w:val="000000" w:themeColor="text1"/>
          <w:kern w:val="0"/>
          <w:sz w:val="28"/>
          <w:szCs w:val="28"/>
        </w:rPr>
        <w:t>主要负责人不能保证安全资金的投入，管理人员安全意识不强，不认真落实防范措施，决策失误或指挥能力差，可间接导致事故发生或使事故扩大。</w:t>
      </w:r>
    </w:p>
    <w:p w14:paraId="0DDAAD92"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7</w:t>
      </w:r>
      <w:r>
        <w:rPr>
          <w:rFonts w:eastAsia="黑体"/>
          <w:bCs/>
          <w:snapToGrid w:val="0"/>
          <w:color w:val="000000" w:themeColor="text1"/>
          <w:kern w:val="0"/>
          <w:sz w:val="28"/>
          <w:szCs w:val="28"/>
        </w:rPr>
        <w:t xml:space="preserve">.2 </w:t>
      </w:r>
      <w:r>
        <w:rPr>
          <w:rFonts w:eastAsia="黑体" w:hint="eastAsia"/>
          <w:bCs/>
          <w:snapToGrid w:val="0"/>
          <w:color w:val="000000" w:themeColor="text1"/>
          <w:kern w:val="0"/>
          <w:sz w:val="28"/>
          <w:szCs w:val="28"/>
        </w:rPr>
        <w:t>安全管理缺陷</w:t>
      </w:r>
    </w:p>
    <w:p w14:paraId="19417F6D"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安全生产责任制不完善或未落实；未设置相应的安全管理机构或安全管理机构设置不合理，人员配置不足，管理混乱；管理制度不健全或管理措施落实不到位，生产人员无章可循、行为随意、盲目乱干；未建立安全投入制度，可导致安全投入不足；无相应的奖惩制度，会使人员无积极性、主动性，巡检不及时、不认真，交接班不具体；没有制定完善的安全操作规程，操作人员盲目乱干等；无培训制度，操作人员没有经过安全教育培训和技能培训，让未经培训的操作人员上岗，知识不足，不能判断错误；对安全漠不关心，已发现的问题不及时解决；没有严格执行监督检查制度；指挥错误，甚至违章指挥；设备、设施无检修更换计划或维护保养制度，或检修制度不严，没有及时检修已出现故障的设备，使设备带病运转。</w:t>
      </w:r>
    </w:p>
    <w:p w14:paraId="00C233B8" w14:textId="77777777" w:rsidR="002D2AF8" w:rsidRDefault="00000000">
      <w:pPr>
        <w:pStyle w:val="aff4"/>
        <w:spacing w:line="360" w:lineRule="auto"/>
        <w:ind w:firstLineChars="200" w:firstLine="566"/>
        <w:rPr>
          <w:color w:val="000000" w:themeColor="text1"/>
        </w:rPr>
      </w:pPr>
      <w:r>
        <w:rPr>
          <w:rFonts w:ascii="宋体" w:hAnsi="宋体" w:cs="仿宋" w:hint="eastAsia"/>
          <w:color w:val="000000" w:themeColor="text1"/>
          <w:szCs w:val="21"/>
        </w:rPr>
        <w:t>未进行识别生产中的所有常规和非常规活动存在的危害，以及所有生产现场使用设备设施和作业环境中存在的危害，采用科学合理的评估方法进行风险评估并进行分级管控；未定期组织安全生产管理人员、工程技术人员、岗位员工以及其他相关人员对事故隐患进行排查治理，设备设施带病运行而导致事故发生。</w:t>
      </w:r>
    </w:p>
    <w:p w14:paraId="3546D962"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应急资源调查不充分；应急能力、风险评估不全面；应急预案不健全、可操作性不强、无针对性；应急预案培训不到位，应急预案演练不规范，应急预案评估不到位，现场负责人、监护人员、作业人员和应急救援人员均未掌握应急预案内容</w:t>
      </w:r>
      <w:r>
        <w:rPr>
          <w:rFonts w:hint="eastAsia"/>
          <w:color w:val="000000" w:themeColor="text1"/>
          <w:sz w:val="28"/>
          <w:szCs w:val="28"/>
        </w:rPr>
        <w:t>,</w:t>
      </w:r>
      <w:r>
        <w:rPr>
          <w:rFonts w:hint="eastAsia"/>
          <w:color w:val="000000" w:themeColor="text1"/>
          <w:sz w:val="28"/>
          <w:szCs w:val="28"/>
        </w:rPr>
        <w:t>不具备相应的应急处置能力，导致事故扩大。</w:t>
      </w:r>
    </w:p>
    <w:p w14:paraId="7A0E5FA3"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76" w:name="_Toc4066"/>
      <w:r>
        <w:rPr>
          <w:rFonts w:ascii="Times New Roman" w:hAnsi="Times New Roman"/>
          <w:b w:val="0"/>
          <w:bCs/>
          <w:color w:val="000000" w:themeColor="text1"/>
          <w:szCs w:val="32"/>
        </w:rPr>
        <w:lastRenderedPageBreak/>
        <w:t>3.</w:t>
      </w:r>
      <w:r>
        <w:rPr>
          <w:rFonts w:ascii="Times New Roman" w:hAnsi="Times New Roman" w:hint="eastAsia"/>
          <w:b w:val="0"/>
          <w:bCs/>
          <w:color w:val="000000" w:themeColor="text1"/>
          <w:szCs w:val="32"/>
        </w:rPr>
        <w:t>8</w:t>
      </w:r>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重大危险源辨识</w:t>
      </w:r>
      <w:bookmarkEnd w:id="70"/>
      <w:bookmarkEnd w:id="71"/>
      <w:bookmarkEnd w:id="76"/>
    </w:p>
    <w:p w14:paraId="1477F028"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8</w:t>
      </w:r>
      <w:r>
        <w:rPr>
          <w:rFonts w:eastAsia="黑体"/>
          <w:bCs/>
          <w:snapToGrid w:val="0"/>
          <w:color w:val="000000" w:themeColor="text1"/>
          <w:kern w:val="0"/>
          <w:sz w:val="28"/>
          <w:szCs w:val="28"/>
        </w:rPr>
        <w:t xml:space="preserve">.1 </w:t>
      </w:r>
      <w:r>
        <w:rPr>
          <w:rFonts w:eastAsia="黑体"/>
          <w:bCs/>
          <w:snapToGrid w:val="0"/>
          <w:color w:val="000000" w:themeColor="text1"/>
          <w:kern w:val="0"/>
          <w:sz w:val="28"/>
          <w:szCs w:val="28"/>
        </w:rPr>
        <w:t>重大危险源辨识依据</w:t>
      </w:r>
    </w:p>
    <w:p w14:paraId="5844FB0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依据《危险化学品重大危险源辨识》（</w:t>
      </w:r>
      <w:r>
        <w:rPr>
          <w:color w:val="000000" w:themeColor="text1"/>
          <w:sz w:val="28"/>
          <w:szCs w:val="28"/>
        </w:rPr>
        <w:t>GB18218-2018</w:t>
      </w:r>
      <w:r>
        <w:rPr>
          <w:color w:val="000000" w:themeColor="text1"/>
          <w:sz w:val="28"/>
          <w:szCs w:val="28"/>
        </w:rPr>
        <w:t>）和《危险化学品重大危险源监督管理暂行规定》（安监总局令第</w:t>
      </w:r>
      <w:r>
        <w:rPr>
          <w:color w:val="000000" w:themeColor="text1"/>
          <w:sz w:val="28"/>
          <w:szCs w:val="28"/>
        </w:rPr>
        <w:t>40</w:t>
      </w:r>
      <w:r>
        <w:rPr>
          <w:color w:val="000000" w:themeColor="text1"/>
          <w:sz w:val="28"/>
          <w:szCs w:val="28"/>
        </w:rPr>
        <w:t>号，</w:t>
      </w:r>
      <w:r>
        <w:rPr>
          <w:color w:val="000000" w:themeColor="text1"/>
          <w:sz w:val="28"/>
          <w:szCs w:val="28"/>
        </w:rPr>
        <w:t>79</w:t>
      </w:r>
      <w:r>
        <w:rPr>
          <w:color w:val="000000" w:themeColor="text1"/>
          <w:sz w:val="28"/>
          <w:szCs w:val="28"/>
        </w:rPr>
        <w:t>号令修订）规定，危险化学品重大危险源、危险化学品和临界量的定义如下：</w:t>
      </w:r>
    </w:p>
    <w:p w14:paraId="695F4D34"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危险化学品重大危险源：指长期地或临时地生产、加工、使用或储存危险化学品，且危险化学品的数量等于或超过临界量的单元。</w:t>
      </w:r>
    </w:p>
    <w:p w14:paraId="0821A1EE"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生产单元：危险化学品的生产、加工及使用等的装置及设施，当装置及设施之间有切断阀时，以切断阀作为分隔界限划分为独立的单元。</w:t>
      </w:r>
    </w:p>
    <w:p w14:paraId="0D4DD95E"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储存单元：用于储存危险化学品的储罐或仓库组成的相对独立的区域，储罐区以罐区防火堤为界限划分为独立的单元，仓库以独立库房（独立建筑物）为界限划分为独立的单元。</w:t>
      </w:r>
    </w:p>
    <w:p w14:paraId="7E989D92"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临界量：指对于某种或某类危险化学品规定的数量，若单元中的危险化学品数量等于或超过该数量，则该单元定为重大危险源。</w:t>
      </w:r>
    </w:p>
    <w:p w14:paraId="3FE1F39C"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依据《危险化学品重大危险源辨识》（</w:t>
      </w:r>
      <w:r>
        <w:rPr>
          <w:color w:val="000000" w:themeColor="text1"/>
          <w:sz w:val="28"/>
          <w:szCs w:val="28"/>
        </w:rPr>
        <w:t>GB18218-2018</w:t>
      </w:r>
      <w:r>
        <w:rPr>
          <w:color w:val="000000" w:themeColor="text1"/>
          <w:sz w:val="28"/>
          <w:szCs w:val="28"/>
        </w:rPr>
        <w:t>）第</w:t>
      </w:r>
      <w:r>
        <w:rPr>
          <w:color w:val="000000" w:themeColor="text1"/>
          <w:sz w:val="28"/>
          <w:szCs w:val="28"/>
        </w:rPr>
        <w:t>4.2.1</w:t>
      </w:r>
      <w:r>
        <w:rPr>
          <w:color w:val="000000" w:themeColor="text1"/>
          <w:sz w:val="28"/>
          <w:szCs w:val="28"/>
        </w:rPr>
        <w:t>生产单元、储存单元内存在危险化学品的数量等于或超过表</w:t>
      </w:r>
      <w:r>
        <w:rPr>
          <w:color w:val="000000" w:themeColor="text1"/>
          <w:sz w:val="28"/>
          <w:szCs w:val="28"/>
        </w:rPr>
        <w:t>1</w:t>
      </w:r>
      <w:r>
        <w:rPr>
          <w:color w:val="000000" w:themeColor="text1"/>
          <w:sz w:val="28"/>
          <w:szCs w:val="28"/>
        </w:rPr>
        <w:t>、表</w:t>
      </w:r>
      <w:r>
        <w:rPr>
          <w:color w:val="000000" w:themeColor="text1"/>
          <w:sz w:val="28"/>
          <w:szCs w:val="28"/>
        </w:rPr>
        <w:t>2</w:t>
      </w:r>
      <w:r>
        <w:rPr>
          <w:color w:val="000000" w:themeColor="text1"/>
          <w:sz w:val="28"/>
          <w:szCs w:val="28"/>
        </w:rPr>
        <w:t>规定的临界量，即被定为重大危险源。危险化学品的纯物质及其混合物应按</w:t>
      </w:r>
      <w:r>
        <w:rPr>
          <w:color w:val="000000" w:themeColor="text1"/>
          <w:sz w:val="28"/>
          <w:szCs w:val="28"/>
        </w:rPr>
        <w:t>GB 30000.2</w:t>
      </w:r>
      <w:r>
        <w:rPr>
          <w:color w:val="000000" w:themeColor="text1"/>
          <w:sz w:val="28"/>
          <w:szCs w:val="28"/>
        </w:rPr>
        <w:t>、</w:t>
      </w:r>
      <w:r>
        <w:rPr>
          <w:color w:val="000000" w:themeColor="text1"/>
          <w:sz w:val="28"/>
          <w:szCs w:val="28"/>
        </w:rPr>
        <w:t>GB 30000.3</w:t>
      </w:r>
      <w:r>
        <w:rPr>
          <w:color w:val="000000" w:themeColor="text1"/>
          <w:sz w:val="28"/>
          <w:szCs w:val="28"/>
        </w:rPr>
        <w:t>、</w:t>
      </w:r>
      <w:r>
        <w:rPr>
          <w:color w:val="000000" w:themeColor="text1"/>
          <w:sz w:val="28"/>
          <w:szCs w:val="28"/>
        </w:rPr>
        <w:t>GB 30000.4</w:t>
      </w:r>
      <w:r>
        <w:rPr>
          <w:color w:val="000000" w:themeColor="text1"/>
          <w:sz w:val="28"/>
          <w:szCs w:val="28"/>
        </w:rPr>
        <w:t>、</w:t>
      </w:r>
      <w:r>
        <w:rPr>
          <w:color w:val="000000" w:themeColor="text1"/>
          <w:sz w:val="28"/>
          <w:szCs w:val="28"/>
        </w:rPr>
        <w:t>GB30000.5</w:t>
      </w:r>
      <w:r>
        <w:rPr>
          <w:color w:val="000000" w:themeColor="text1"/>
          <w:sz w:val="28"/>
          <w:szCs w:val="28"/>
        </w:rPr>
        <w:t>、</w:t>
      </w:r>
      <w:r>
        <w:rPr>
          <w:color w:val="000000" w:themeColor="text1"/>
          <w:sz w:val="28"/>
          <w:szCs w:val="28"/>
        </w:rPr>
        <w:t>GB 30000.7</w:t>
      </w:r>
      <w:r>
        <w:rPr>
          <w:color w:val="000000" w:themeColor="text1"/>
          <w:sz w:val="28"/>
          <w:szCs w:val="28"/>
        </w:rPr>
        <w:t>、</w:t>
      </w:r>
      <w:r>
        <w:rPr>
          <w:color w:val="000000" w:themeColor="text1"/>
          <w:sz w:val="28"/>
          <w:szCs w:val="28"/>
        </w:rPr>
        <w:t>GB 30000.8</w:t>
      </w:r>
      <w:r>
        <w:rPr>
          <w:color w:val="000000" w:themeColor="text1"/>
          <w:sz w:val="28"/>
          <w:szCs w:val="28"/>
        </w:rPr>
        <w:t>、</w:t>
      </w:r>
      <w:r>
        <w:rPr>
          <w:color w:val="000000" w:themeColor="text1"/>
          <w:sz w:val="28"/>
          <w:szCs w:val="28"/>
        </w:rPr>
        <w:t>GB 30000.9</w:t>
      </w:r>
      <w:r>
        <w:rPr>
          <w:color w:val="000000" w:themeColor="text1"/>
          <w:sz w:val="28"/>
          <w:szCs w:val="28"/>
        </w:rPr>
        <w:t>、</w:t>
      </w:r>
      <w:r>
        <w:rPr>
          <w:color w:val="000000" w:themeColor="text1"/>
          <w:sz w:val="28"/>
          <w:szCs w:val="28"/>
        </w:rPr>
        <w:t>GB 30000.10</w:t>
      </w:r>
      <w:r>
        <w:rPr>
          <w:color w:val="000000" w:themeColor="text1"/>
          <w:sz w:val="28"/>
          <w:szCs w:val="28"/>
        </w:rPr>
        <w:t>、</w:t>
      </w:r>
      <w:r>
        <w:rPr>
          <w:color w:val="000000" w:themeColor="text1"/>
          <w:sz w:val="28"/>
          <w:szCs w:val="28"/>
        </w:rPr>
        <w:t>GB 30000.11</w:t>
      </w:r>
      <w:r>
        <w:rPr>
          <w:color w:val="000000" w:themeColor="text1"/>
          <w:sz w:val="28"/>
          <w:szCs w:val="28"/>
        </w:rPr>
        <w:t>、</w:t>
      </w:r>
      <w:r>
        <w:rPr>
          <w:color w:val="000000" w:themeColor="text1"/>
          <w:sz w:val="28"/>
          <w:szCs w:val="28"/>
        </w:rPr>
        <w:t>GB 30000.12</w:t>
      </w:r>
      <w:r>
        <w:rPr>
          <w:color w:val="000000" w:themeColor="text1"/>
          <w:sz w:val="28"/>
          <w:szCs w:val="28"/>
        </w:rPr>
        <w:t>、</w:t>
      </w:r>
      <w:r>
        <w:rPr>
          <w:color w:val="000000" w:themeColor="text1"/>
          <w:sz w:val="28"/>
          <w:szCs w:val="28"/>
        </w:rPr>
        <w:t>GB 30000.13</w:t>
      </w:r>
      <w:r>
        <w:rPr>
          <w:color w:val="000000" w:themeColor="text1"/>
          <w:sz w:val="28"/>
          <w:szCs w:val="28"/>
        </w:rPr>
        <w:t>、</w:t>
      </w:r>
      <w:r>
        <w:rPr>
          <w:color w:val="000000" w:themeColor="text1"/>
          <w:sz w:val="28"/>
          <w:szCs w:val="28"/>
        </w:rPr>
        <w:t>GB 30000.14</w:t>
      </w:r>
      <w:r>
        <w:rPr>
          <w:color w:val="000000" w:themeColor="text1"/>
          <w:sz w:val="28"/>
          <w:szCs w:val="28"/>
        </w:rPr>
        <w:t>、</w:t>
      </w:r>
      <w:r>
        <w:rPr>
          <w:color w:val="000000" w:themeColor="text1"/>
          <w:sz w:val="28"/>
          <w:szCs w:val="28"/>
        </w:rPr>
        <w:t>GB 30000.15</w:t>
      </w:r>
      <w:r>
        <w:rPr>
          <w:color w:val="000000" w:themeColor="text1"/>
          <w:sz w:val="28"/>
          <w:szCs w:val="28"/>
        </w:rPr>
        <w:t>、</w:t>
      </w:r>
      <w:r>
        <w:rPr>
          <w:color w:val="000000" w:themeColor="text1"/>
          <w:sz w:val="28"/>
          <w:szCs w:val="28"/>
        </w:rPr>
        <w:t>GB 30000.16</w:t>
      </w:r>
      <w:r>
        <w:rPr>
          <w:color w:val="000000" w:themeColor="text1"/>
          <w:sz w:val="28"/>
          <w:szCs w:val="28"/>
        </w:rPr>
        <w:t>、</w:t>
      </w:r>
      <w:r>
        <w:rPr>
          <w:color w:val="000000" w:themeColor="text1"/>
          <w:sz w:val="28"/>
          <w:szCs w:val="28"/>
        </w:rPr>
        <w:t>GB 30000.18</w:t>
      </w:r>
      <w:r>
        <w:rPr>
          <w:color w:val="000000" w:themeColor="text1"/>
          <w:sz w:val="28"/>
          <w:szCs w:val="28"/>
        </w:rPr>
        <w:t>的规定进行分类。</w:t>
      </w:r>
    </w:p>
    <w:p w14:paraId="5A4B6E07"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单元内存在的危险化学品的数量根据处理危险化学品种类的多少区分为以下两种情况：</w:t>
      </w:r>
    </w:p>
    <w:p w14:paraId="1AC8F1E4"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lastRenderedPageBreak/>
        <w:t>①</w:t>
      </w:r>
      <w:r>
        <w:rPr>
          <w:color w:val="000000" w:themeColor="text1"/>
          <w:sz w:val="28"/>
          <w:szCs w:val="28"/>
        </w:rPr>
        <w:t>生产单元、储存单元内存在的危险化学品为单一品种，则该危险化学品的数量即为单元内危险化学品的总量，若等于或超过相应的临界量，则定为危险化学品重大危险源；</w:t>
      </w:r>
    </w:p>
    <w:p w14:paraId="29F46829"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②</w:t>
      </w:r>
      <w:r>
        <w:rPr>
          <w:color w:val="000000" w:themeColor="text1"/>
          <w:sz w:val="28"/>
          <w:szCs w:val="28"/>
        </w:rPr>
        <w:t>生产单元、储存单元内内存在的危险化学品为多品种时，则按下列公式计算，若满足下列公式，则定为危险化学品重大危险源。</w:t>
      </w:r>
    </w:p>
    <w:p w14:paraId="204CA671"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S=q</w:t>
      </w:r>
      <w:r>
        <w:rPr>
          <w:color w:val="000000" w:themeColor="text1"/>
          <w:sz w:val="28"/>
          <w:szCs w:val="28"/>
          <w:vertAlign w:val="subscript"/>
        </w:rPr>
        <w:t>1</w:t>
      </w:r>
      <w:r>
        <w:rPr>
          <w:color w:val="000000" w:themeColor="text1"/>
          <w:sz w:val="28"/>
          <w:szCs w:val="28"/>
        </w:rPr>
        <w:t>/Q</w:t>
      </w:r>
      <w:r>
        <w:rPr>
          <w:color w:val="000000" w:themeColor="text1"/>
          <w:sz w:val="28"/>
          <w:szCs w:val="28"/>
          <w:vertAlign w:val="subscript"/>
        </w:rPr>
        <w:t>1</w:t>
      </w:r>
      <w:r>
        <w:rPr>
          <w:color w:val="000000" w:themeColor="text1"/>
          <w:sz w:val="28"/>
          <w:szCs w:val="28"/>
        </w:rPr>
        <w:t xml:space="preserve"> + q</w:t>
      </w:r>
      <w:r>
        <w:rPr>
          <w:color w:val="000000" w:themeColor="text1"/>
          <w:sz w:val="28"/>
          <w:szCs w:val="28"/>
          <w:vertAlign w:val="subscript"/>
        </w:rPr>
        <w:t>2</w:t>
      </w:r>
      <w:r>
        <w:rPr>
          <w:color w:val="000000" w:themeColor="text1"/>
          <w:sz w:val="28"/>
          <w:szCs w:val="28"/>
        </w:rPr>
        <w:t>/Q</w:t>
      </w:r>
      <w:r>
        <w:rPr>
          <w:color w:val="000000" w:themeColor="text1"/>
          <w:sz w:val="28"/>
          <w:szCs w:val="28"/>
          <w:vertAlign w:val="subscript"/>
        </w:rPr>
        <w:t>2</w:t>
      </w:r>
      <w:r>
        <w:rPr>
          <w:color w:val="000000" w:themeColor="text1"/>
          <w:sz w:val="28"/>
          <w:szCs w:val="28"/>
        </w:rPr>
        <w:t xml:space="preserve"> + … + </w:t>
      </w:r>
      <w:proofErr w:type="spellStart"/>
      <w:r>
        <w:rPr>
          <w:color w:val="000000" w:themeColor="text1"/>
          <w:sz w:val="28"/>
          <w:szCs w:val="28"/>
        </w:rPr>
        <w:t>q</w:t>
      </w:r>
      <w:r>
        <w:rPr>
          <w:color w:val="000000" w:themeColor="text1"/>
          <w:sz w:val="28"/>
          <w:szCs w:val="28"/>
          <w:vertAlign w:val="subscript"/>
        </w:rPr>
        <w:t>n</w:t>
      </w:r>
      <w:proofErr w:type="spellEnd"/>
      <w:r>
        <w:rPr>
          <w:color w:val="000000" w:themeColor="text1"/>
          <w:sz w:val="28"/>
          <w:szCs w:val="28"/>
        </w:rPr>
        <w:t>/</w:t>
      </w:r>
      <w:proofErr w:type="spellStart"/>
      <w:r>
        <w:rPr>
          <w:color w:val="000000" w:themeColor="text1"/>
          <w:sz w:val="28"/>
          <w:szCs w:val="28"/>
        </w:rPr>
        <w:t>Q</w:t>
      </w:r>
      <w:r>
        <w:rPr>
          <w:color w:val="000000" w:themeColor="text1"/>
          <w:sz w:val="28"/>
          <w:szCs w:val="28"/>
          <w:vertAlign w:val="subscript"/>
        </w:rPr>
        <w:t>n</w:t>
      </w:r>
      <w:proofErr w:type="spellEnd"/>
      <w:r>
        <w:rPr>
          <w:color w:val="000000" w:themeColor="text1"/>
          <w:sz w:val="28"/>
          <w:szCs w:val="28"/>
        </w:rPr>
        <w:t xml:space="preserve"> ≥1     ……………①</w:t>
      </w:r>
    </w:p>
    <w:p w14:paraId="379A03B6"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式中：</w:t>
      </w:r>
    </w:p>
    <w:p w14:paraId="2A8D1B9C"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S—</w:t>
      </w:r>
      <w:r>
        <w:rPr>
          <w:color w:val="000000" w:themeColor="text1"/>
          <w:sz w:val="28"/>
          <w:szCs w:val="28"/>
        </w:rPr>
        <w:t>辨识指标；</w:t>
      </w:r>
    </w:p>
    <w:p w14:paraId="0268F5E2"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q</w:t>
      </w:r>
      <w:r>
        <w:rPr>
          <w:color w:val="000000" w:themeColor="text1"/>
          <w:sz w:val="28"/>
          <w:szCs w:val="28"/>
          <w:vertAlign w:val="subscript"/>
        </w:rPr>
        <w:t>1</w:t>
      </w:r>
      <w:r>
        <w:rPr>
          <w:color w:val="000000" w:themeColor="text1"/>
          <w:sz w:val="28"/>
          <w:szCs w:val="28"/>
        </w:rPr>
        <w:t>，</w:t>
      </w:r>
      <w:r>
        <w:rPr>
          <w:color w:val="000000" w:themeColor="text1"/>
          <w:sz w:val="28"/>
          <w:szCs w:val="28"/>
        </w:rPr>
        <w:t>q</w:t>
      </w:r>
      <w:r>
        <w:rPr>
          <w:color w:val="000000" w:themeColor="text1"/>
          <w:sz w:val="28"/>
          <w:szCs w:val="28"/>
          <w:vertAlign w:val="subscript"/>
        </w:rPr>
        <w:t>2</w:t>
      </w:r>
      <w:r>
        <w:rPr>
          <w:color w:val="000000" w:themeColor="text1"/>
          <w:sz w:val="28"/>
          <w:szCs w:val="28"/>
        </w:rPr>
        <w:t>，</w:t>
      </w:r>
      <w:r>
        <w:rPr>
          <w:color w:val="000000" w:themeColor="text1"/>
          <w:sz w:val="28"/>
          <w:szCs w:val="28"/>
        </w:rPr>
        <w:t>…</w:t>
      </w:r>
      <w:r>
        <w:rPr>
          <w:color w:val="000000" w:themeColor="text1"/>
          <w:sz w:val="28"/>
          <w:szCs w:val="28"/>
        </w:rPr>
        <w:t>，</w:t>
      </w:r>
      <w:proofErr w:type="spellStart"/>
      <w:r>
        <w:rPr>
          <w:color w:val="000000" w:themeColor="text1"/>
          <w:sz w:val="28"/>
          <w:szCs w:val="28"/>
        </w:rPr>
        <w:t>q</w:t>
      </w:r>
      <w:r>
        <w:rPr>
          <w:color w:val="000000" w:themeColor="text1"/>
          <w:sz w:val="28"/>
          <w:szCs w:val="28"/>
          <w:vertAlign w:val="subscript"/>
        </w:rPr>
        <w:t>n</w:t>
      </w:r>
      <w:proofErr w:type="spellEnd"/>
      <w:r>
        <w:rPr>
          <w:color w:val="000000" w:themeColor="text1"/>
          <w:sz w:val="28"/>
          <w:szCs w:val="28"/>
        </w:rPr>
        <w:t xml:space="preserve"> —</w:t>
      </w:r>
      <w:r>
        <w:rPr>
          <w:color w:val="000000" w:themeColor="text1"/>
          <w:sz w:val="28"/>
          <w:szCs w:val="28"/>
        </w:rPr>
        <w:t>每种危险化学品实际存在量，单位为</w:t>
      </w:r>
      <w:r>
        <w:rPr>
          <w:color w:val="000000" w:themeColor="text1"/>
          <w:sz w:val="28"/>
          <w:szCs w:val="28"/>
        </w:rPr>
        <w:t>t</w:t>
      </w:r>
      <w:r>
        <w:rPr>
          <w:color w:val="000000" w:themeColor="text1"/>
          <w:sz w:val="28"/>
          <w:szCs w:val="28"/>
        </w:rPr>
        <w:t>；</w:t>
      </w:r>
    </w:p>
    <w:p w14:paraId="0FAD9A26"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Q</w:t>
      </w:r>
      <w:r>
        <w:rPr>
          <w:color w:val="000000" w:themeColor="text1"/>
          <w:sz w:val="28"/>
          <w:szCs w:val="28"/>
          <w:vertAlign w:val="subscript"/>
        </w:rPr>
        <w:t>1</w:t>
      </w:r>
      <w:r>
        <w:rPr>
          <w:color w:val="000000" w:themeColor="text1"/>
          <w:sz w:val="28"/>
          <w:szCs w:val="28"/>
        </w:rPr>
        <w:t>，</w:t>
      </w:r>
      <w:r>
        <w:rPr>
          <w:color w:val="000000" w:themeColor="text1"/>
          <w:sz w:val="28"/>
          <w:szCs w:val="28"/>
        </w:rPr>
        <w:t>Q</w:t>
      </w:r>
      <w:r>
        <w:rPr>
          <w:color w:val="000000" w:themeColor="text1"/>
          <w:sz w:val="28"/>
          <w:szCs w:val="28"/>
          <w:vertAlign w:val="subscript"/>
        </w:rPr>
        <w:t>2</w:t>
      </w:r>
      <w:r>
        <w:rPr>
          <w:color w:val="000000" w:themeColor="text1"/>
          <w:sz w:val="28"/>
          <w:szCs w:val="28"/>
        </w:rPr>
        <w:t>，</w:t>
      </w:r>
      <w:r>
        <w:rPr>
          <w:color w:val="000000" w:themeColor="text1"/>
          <w:sz w:val="28"/>
          <w:szCs w:val="28"/>
        </w:rPr>
        <w:t>…</w:t>
      </w:r>
      <w:r>
        <w:rPr>
          <w:color w:val="000000" w:themeColor="text1"/>
          <w:sz w:val="28"/>
          <w:szCs w:val="28"/>
        </w:rPr>
        <w:t>，</w:t>
      </w:r>
      <w:proofErr w:type="spellStart"/>
      <w:r>
        <w:rPr>
          <w:color w:val="000000" w:themeColor="text1"/>
          <w:sz w:val="28"/>
          <w:szCs w:val="28"/>
        </w:rPr>
        <w:t>Q</w:t>
      </w:r>
      <w:r>
        <w:rPr>
          <w:color w:val="000000" w:themeColor="text1"/>
          <w:sz w:val="28"/>
          <w:szCs w:val="28"/>
          <w:vertAlign w:val="subscript"/>
        </w:rPr>
        <w:t>n</w:t>
      </w:r>
      <w:proofErr w:type="spellEnd"/>
      <w:r>
        <w:rPr>
          <w:color w:val="000000" w:themeColor="text1"/>
          <w:sz w:val="28"/>
          <w:szCs w:val="28"/>
        </w:rPr>
        <w:t xml:space="preserve"> —</w:t>
      </w:r>
      <w:r>
        <w:rPr>
          <w:color w:val="000000" w:themeColor="text1"/>
          <w:sz w:val="28"/>
          <w:szCs w:val="28"/>
        </w:rPr>
        <w:t>与各危险化学品相对应的临界量，单位为</w:t>
      </w:r>
      <w:r>
        <w:rPr>
          <w:color w:val="000000" w:themeColor="text1"/>
          <w:sz w:val="28"/>
          <w:szCs w:val="28"/>
        </w:rPr>
        <w:t>t</w:t>
      </w:r>
      <w:r>
        <w:rPr>
          <w:color w:val="000000" w:themeColor="text1"/>
          <w:sz w:val="28"/>
          <w:szCs w:val="28"/>
        </w:rPr>
        <w:t>。</w:t>
      </w:r>
    </w:p>
    <w:p w14:paraId="11FF5C62"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8</w:t>
      </w:r>
      <w:r>
        <w:rPr>
          <w:rFonts w:eastAsia="黑体"/>
          <w:bCs/>
          <w:snapToGrid w:val="0"/>
          <w:color w:val="000000" w:themeColor="text1"/>
          <w:kern w:val="0"/>
          <w:sz w:val="28"/>
          <w:szCs w:val="28"/>
        </w:rPr>
        <w:t xml:space="preserve">.2 </w:t>
      </w:r>
      <w:r>
        <w:rPr>
          <w:rFonts w:eastAsia="黑体"/>
          <w:bCs/>
          <w:snapToGrid w:val="0"/>
          <w:color w:val="000000" w:themeColor="text1"/>
          <w:kern w:val="0"/>
          <w:sz w:val="28"/>
          <w:szCs w:val="28"/>
        </w:rPr>
        <w:t>重大危险源辨识过程</w:t>
      </w:r>
    </w:p>
    <w:p w14:paraId="0C87C50A"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胜兴堵驱公司堵调测试队</w:t>
      </w:r>
      <w:r>
        <w:rPr>
          <w:color w:val="000000" w:themeColor="text1"/>
          <w:sz w:val="28"/>
          <w:szCs w:val="28"/>
        </w:rPr>
        <w:t>，流动性很大，无固定的作业场所，从事的井下作业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w:t>
      </w:r>
      <w:r>
        <w:rPr>
          <w:rFonts w:hint="eastAsia"/>
          <w:color w:val="000000" w:themeColor="text1"/>
          <w:sz w:val="28"/>
          <w:szCs w:val="28"/>
        </w:rPr>
        <w:t>，</w:t>
      </w:r>
      <w:r>
        <w:rPr>
          <w:color w:val="000000" w:themeColor="text1"/>
          <w:sz w:val="28"/>
          <w:szCs w:val="28"/>
        </w:rPr>
        <w:t>施工过程中不涉及《危险化学品重大危险源辨识》（</w:t>
      </w:r>
      <w:r>
        <w:rPr>
          <w:color w:val="000000" w:themeColor="text1"/>
          <w:sz w:val="28"/>
          <w:szCs w:val="28"/>
        </w:rPr>
        <w:t>GB18218-2018</w:t>
      </w:r>
      <w:r>
        <w:rPr>
          <w:color w:val="000000" w:themeColor="text1"/>
          <w:sz w:val="28"/>
          <w:szCs w:val="28"/>
        </w:rPr>
        <w:t>）中的危险化学品。</w:t>
      </w:r>
    </w:p>
    <w:p w14:paraId="4F9ED544"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8</w:t>
      </w:r>
      <w:r>
        <w:rPr>
          <w:rFonts w:eastAsia="黑体"/>
          <w:bCs/>
          <w:snapToGrid w:val="0"/>
          <w:color w:val="000000" w:themeColor="text1"/>
          <w:kern w:val="0"/>
          <w:sz w:val="28"/>
          <w:szCs w:val="28"/>
        </w:rPr>
        <w:t xml:space="preserve">.3 </w:t>
      </w:r>
      <w:r>
        <w:rPr>
          <w:rFonts w:eastAsia="黑体"/>
          <w:bCs/>
          <w:snapToGrid w:val="0"/>
          <w:color w:val="000000" w:themeColor="text1"/>
          <w:kern w:val="0"/>
          <w:sz w:val="28"/>
          <w:szCs w:val="28"/>
        </w:rPr>
        <w:t>重大危险源辨识结果</w:t>
      </w:r>
    </w:p>
    <w:p w14:paraId="1B687A3B"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根据《危险化学品重大危险源辨识》（</w:t>
      </w:r>
      <w:r>
        <w:rPr>
          <w:color w:val="000000" w:themeColor="text1"/>
          <w:sz w:val="28"/>
          <w:szCs w:val="28"/>
        </w:rPr>
        <w:t>GB18218-2018</w:t>
      </w:r>
      <w:r>
        <w:rPr>
          <w:color w:val="000000" w:themeColor="text1"/>
          <w:sz w:val="28"/>
          <w:szCs w:val="28"/>
        </w:rPr>
        <w:t>）的有关规定，进行危险化学品重大危险源辨识可知：</w:t>
      </w:r>
    </w:p>
    <w:p w14:paraId="1225EBD3"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井下作业项目不构成危险化学品重大危险源。</w:t>
      </w:r>
    </w:p>
    <w:p w14:paraId="53D4AE94"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77" w:name="_Toc28605"/>
      <w:bookmarkStart w:id="78" w:name="_Toc24617"/>
      <w:r>
        <w:rPr>
          <w:rFonts w:ascii="Times New Roman" w:hAnsi="Times New Roman"/>
          <w:b w:val="0"/>
          <w:bCs/>
          <w:color w:val="000000" w:themeColor="text1"/>
          <w:szCs w:val="32"/>
        </w:rPr>
        <w:t>3.</w:t>
      </w:r>
      <w:r>
        <w:rPr>
          <w:rFonts w:ascii="Times New Roman" w:hAnsi="Times New Roman" w:hint="eastAsia"/>
          <w:b w:val="0"/>
          <w:bCs/>
          <w:color w:val="000000" w:themeColor="text1"/>
          <w:szCs w:val="32"/>
        </w:rPr>
        <w:t>9</w:t>
      </w:r>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事故案例分析</w:t>
      </w:r>
      <w:bookmarkEnd w:id="77"/>
      <w:bookmarkEnd w:id="78"/>
    </w:p>
    <w:bookmarkEnd w:id="72"/>
    <w:p w14:paraId="213A550F" w14:textId="77777777" w:rsidR="002D2AF8" w:rsidRDefault="00000000">
      <w:pPr>
        <w:adjustRightInd w:val="0"/>
        <w:snapToGrid w:val="0"/>
        <w:spacing w:line="360" w:lineRule="auto"/>
        <w:outlineLvl w:val="2"/>
        <w:rPr>
          <w:rFonts w:eastAsia="黑体"/>
          <w:color w:val="000000" w:themeColor="text1"/>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9</w:t>
      </w:r>
      <w:r>
        <w:rPr>
          <w:rFonts w:eastAsia="黑体"/>
          <w:bCs/>
          <w:snapToGrid w:val="0"/>
          <w:color w:val="000000" w:themeColor="text1"/>
          <w:kern w:val="0"/>
          <w:sz w:val="28"/>
          <w:szCs w:val="28"/>
        </w:rPr>
        <w:t xml:space="preserve">.1 </w:t>
      </w:r>
      <w:r>
        <w:rPr>
          <w:rFonts w:eastAsia="黑体"/>
          <w:color w:val="000000" w:themeColor="text1"/>
          <w:sz w:val="28"/>
          <w:szCs w:val="28"/>
        </w:rPr>
        <w:t>注水泵管线爆裂</w:t>
      </w:r>
      <w:r>
        <w:rPr>
          <w:rFonts w:eastAsia="黑体" w:hint="eastAsia"/>
          <w:color w:val="000000" w:themeColor="text1"/>
          <w:sz w:val="28"/>
          <w:szCs w:val="28"/>
        </w:rPr>
        <w:t>，</w:t>
      </w:r>
      <w:r>
        <w:rPr>
          <w:rFonts w:eastAsia="黑体"/>
          <w:color w:val="000000" w:themeColor="text1"/>
          <w:sz w:val="28"/>
          <w:szCs w:val="28"/>
        </w:rPr>
        <w:t>高压水击伤臀部</w:t>
      </w:r>
    </w:p>
    <w:p w14:paraId="55DDEC80"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事故经过</w:t>
      </w:r>
    </w:p>
    <w:p w14:paraId="3DC6D25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某年</w:t>
      </w:r>
      <w:r>
        <w:rPr>
          <w:color w:val="000000" w:themeColor="text1"/>
          <w:sz w:val="28"/>
          <w:szCs w:val="28"/>
        </w:rPr>
        <w:t>4</w:t>
      </w:r>
      <w:r>
        <w:rPr>
          <w:color w:val="000000" w:themeColor="text1"/>
          <w:sz w:val="28"/>
          <w:szCs w:val="28"/>
        </w:rPr>
        <w:t>月</w:t>
      </w:r>
      <w:r>
        <w:rPr>
          <w:color w:val="000000" w:themeColor="text1"/>
          <w:sz w:val="28"/>
          <w:szCs w:val="28"/>
        </w:rPr>
        <w:t>26</w:t>
      </w:r>
      <w:r>
        <w:rPr>
          <w:color w:val="000000" w:themeColor="text1"/>
          <w:sz w:val="28"/>
          <w:szCs w:val="28"/>
        </w:rPr>
        <w:t>日下午，某单位注水站值班工人牟某与宋某正常倒泵，启动</w:t>
      </w:r>
      <w:r>
        <w:rPr>
          <w:color w:val="000000" w:themeColor="text1"/>
          <w:sz w:val="28"/>
          <w:szCs w:val="28"/>
        </w:rPr>
        <w:t>7</w:t>
      </w:r>
      <w:r>
        <w:rPr>
          <w:color w:val="000000" w:themeColor="text1"/>
          <w:sz w:val="28"/>
          <w:szCs w:val="28"/>
        </w:rPr>
        <w:t>号注水泵后，由宋某进行升压操作，牟某在后面观察，当压力升至</w:t>
      </w:r>
      <w:r>
        <w:rPr>
          <w:color w:val="000000" w:themeColor="text1"/>
          <w:sz w:val="28"/>
          <w:szCs w:val="28"/>
        </w:rPr>
        <w:t>10MPa</w:t>
      </w:r>
      <w:r>
        <w:rPr>
          <w:color w:val="000000" w:themeColor="text1"/>
          <w:sz w:val="28"/>
          <w:szCs w:val="28"/>
        </w:rPr>
        <w:t>，准备开启出口阀门时，牟某发现压力迅速上涨，</w:t>
      </w:r>
      <w:r>
        <w:rPr>
          <w:color w:val="000000" w:themeColor="text1"/>
          <w:sz w:val="28"/>
          <w:szCs w:val="28"/>
        </w:rPr>
        <w:lastRenderedPageBreak/>
        <w:t>急忙将宋某推开，准备紧急停泵，此时管线在三通北侧突然爆裂，裂口约</w:t>
      </w:r>
      <w:r>
        <w:rPr>
          <w:color w:val="000000" w:themeColor="text1"/>
          <w:sz w:val="28"/>
          <w:szCs w:val="28"/>
        </w:rPr>
        <w:t>30cm</w:t>
      </w:r>
      <w:r>
        <w:rPr>
          <w:color w:val="000000" w:themeColor="text1"/>
          <w:sz w:val="28"/>
          <w:szCs w:val="28"/>
        </w:rPr>
        <w:t>，喷出的高压水将牟某右侧臀部击伤，造成右臀部软组织严重损伤，耻骨轻度骨折。</w:t>
      </w:r>
    </w:p>
    <w:p w14:paraId="0F809719"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事故原因</w:t>
      </w:r>
    </w:p>
    <w:p w14:paraId="533149BC"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1</w:t>
      </w:r>
      <w:r>
        <w:rPr>
          <w:color w:val="000000" w:themeColor="text1"/>
          <w:sz w:val="28"/>
          <w:szCs w:val="28"/>
        </w:rPr>
        <w:t>）高压管线使用时间较长，液流冲刷，腐蚀严重，承压能力下降，是导致事故发生的直接原因和主要原因。</w:t>
      </w:r>
    </w:p>
    <w:p w14:paraId="24E69F3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2</w:t>
      </w:r>
      <w:r>
        <w:rPr>
          <w:color w:val="000000" w:themeColor="text1"/>
          <w:sz w:val="28"/>
          <w:szCs w:val="28"/>
        </w:rPr>
        <w:t>）职工宋某闸门开启速度过快，造成压力迅速上升，是导致事故发生的重要原因。</w:t>
      </w:r>
    </w:p>
    <w:p w14:paraId="3E76ECB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防范措施</w:t>
      </w:r>
    </w:p>
    <w:p w14:paraId="73647D0D"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1</w:t>
      </w:r>
      <w:r>
        <w:rPr>
          <w:color w:val="000000" w:themeColor="text1"/>
          <w:sz w:val="28"/>
          <w:szCs w:val="28"/>
        </w:rPr>
        <w:t>）严格巡回检查制度，及时发现、消除隐患。</w:t>
      </w:r>
    </w:p>
    <w:p w14:paraId="711E419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2</w:t>
      </w:r>
      <w:r>
        <w:rPr>
          <w:color w:val="000000" w:themeColor="text1"/>
          <w:sz w:val="28"/>
          <w:szCs w:val="28"/>
        </w:rPr>
        <w:t>）定期开展管线检测，及时更新使用时间长、承压能力低的管线。</w:t>
      </w:r>
    </w:p>
    <w:p w14:paraId="30C8722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w:t>
      </w:r>
      <w:r>
        <w:rPr>
          <w:color w:val="000000" w:themeColor="text1"/>
          <w:sz w:val="28"/>
          <w:szCs w:val="28"/>
        </w:rPr>
        <w:t>3</w:t>
      </w:r>
      <w:r>
        <w:rPr>
          <w:color w:val="000000" w:themeColor="text1"/>
          <w:sz w:val="28"/>
          <w:szCs w:val="28"/>
        </w:rPr>
        <w:t>）倒泵时，闸门开启要平稳，侧身操作。</w:t>
      </w:r>
    </w:p>
    <w:p w14:paraId="14D08369" w14:textId="77777777" w:rsidR="002D2AF8" w:rsidRDefault="00000000">
      <w:pPr>
        <w:adjustRightInd w:val="0"/>
        <w:snapToGrid w:val="0"/>
        <w:spacing w:line="360" w:lineRule="auto"/>
        <w:outlineLvl w:val="2"/>
        <w:rPr>
          <w:rFonts w:eastAsia="黑体"/>
          <w:bCs/>
          <w:snapToGrid w:val="0"/>
          <w:color w:val="000000" w:themeColor="text1"/>
          <w:kern w:val="0"/>
          <w:sz w:val="28"/>
          <w:szCs w:val="28"/>
        </w:rPr>
      </w:pPr>
      <w:r>
        <w:rPr>
          <w:rFonts w:eastAsia="黑体"/>
          <w:bCs/>
          <w:snapToGrid w:val="0"/>
          <w:color w:val="000000" w:themeColor="text1"/>
          <w:kern w:val="0"/>
          <w:sz w:val="28"/>
          <w:szCs w:val="28"/>
        </w:rPr>
        <w:t>3.</w:t>
      </w:r>
      <w:r>
        <w:rPr>
          <w:rFonts w:eastAsia="黑体" w:hint="eastAsia"/>
          <w:bCs/>
          <w:snapToGrid w:val="0"/>
          <w:color w:val="000000" w:themeColor="text1"/>
          <w:kern w:val="0"/>
          <w:sz w:val="28"/>
          <w:szCs w:val="28"/>
        </w:rPr>
        <w:t>9</w:t>
      </w:r>
      <w:r>
        <w:rPr>
          <w:rFonts w:eastAsia="黑体"/>
          <w:bCs/>
          <w:snapToGrid w:val="0"/>
          <w:color w:val="000000" w:themeColor="text1"/>
          <w:kern w:val="0"/>
          <w:sz w:val="28"/>
          <w:szCs w:val="28"/>
        </w:rPr>
        <w:t xml:space="preserve">.2 </w:t>
      </w:r>
      <w:r>
        <w:rPr>
          <w:rFonts w:eastAsia="黑体"/>
          <w:bCs/>
          <w:snapToGrid w:val="0"/>
          <w:color w:val="000000" w:themeColor="text1"/>
          <w:kern w:val="0"/>
          <w:sz w:val="28"/>
          <w:szCs w:val="28"/>
        </w:rPr>
        <w:t>某油公司</w:t>
      </w:r>
      <w:r>
        <w:rPr>
          <w:rFonts w:eastAsia="黑体"/>
          <w:bCs/>
          <w:snapToGrid w:val="0"/>
          <w:color w:val="000000" w:themeColor="text1"/>
          <w:kern w:val="0"/>
          <w:sz w:val="28"/>
          <w:szCs w:val="28"/>
        </w:rPr>
        <w:t>“6.29”</w:t>
      </w:r>
      <w:r>
        <w:rPr>
          <w:rFonts w:eastAsia="黑体"/>
          <w:bCs/>
          <w:snapToGrid w:val="0"/>
          <w:color w:val="000000" w:themeColor="text1"/>
          <w:kern w:val="0"/>
          <w:sz w:val="28"/>
          <w:szCs w:val="28"/>
        </w:rPr>
        <w:t>高</w:t>
      </w:r>
      <w:r>
        <w:rPr>
          <w:rFonts w:eastAsia="黑体" w:hint="eastAsia"/>
          <w:bCs/>
          <w:snapToGrid w:val="0"/>
          <w:color w:val="000000" w:themeColor="text1"/>
          <w:kern w:val="0"/>
          <w:sz w:val="28"/>
          <w:szCs w:val="28"/>
        </w:rPr>
        <w:t>压</w:t>
      </w:r>
      <w:r>
        <w:rPr>
          <w:rFonts w:eastAsia="黑体"/>
          <w:bCs/>
          <w:snapToGrid w:val="0"/>
          <w:color w:val="000000" w:themeColor="text1"/>
          <w:kern w:val="0"/>
          <w:sz w:val="28"/>
          <w:szCs w:val="28"/>
        </w:rPr>
        <w:t>水流刺伤事故</w:t>
      </w:r>
    </w:p>
    <w:p w14:paraId="1E4E17EE"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1.</w:t>
      </w:r>
      <w:r>
        <w:rPr>
          <w:rFonts w:ascii="Times New Roman" w:cs="Times New Roman"/>
          <w:color w:val="000000" w:themeColor="text1"/>
        </w:rPr>
        <w:t>事故经过</w:t>
      </w:r>
      <w:r>
        <w:rPr>
          <w:rFonts w:ascii="Times New Roman" w:cs="Times New Roman"/>
          <w:color w:val="000000" w:themeColor="text1"/>
        </w:rPr>
        <w:t xml:space="preserve"> </w:t>
      </w:r>
    </w:p>
    <w:p w14:paraId="34F8D58F"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2012</w:t>
      </w:r>
      <w:r>
        <w:rPr>
          <w:rFonts w:ascii="Times New Roman" w:cs="Times New Roman"/>
          <w:color w:val="000000" w:themeColor="text1"/>
        </w:rPr>
        <w:t>年</w:t>
      </w:r>
      <w:r>
        <w:rPr>
          <w:rFonts w:ascii="Times New Roman" w:cs="Times New Roman"/>
          <w:color w:val="000000" w:themeColor="text1"/>
        </w:rPr>
        <w:t>6</w:t>
      </w:r>
      <w:r>
        <w:rPr>
          <w:rFonts w:ascii="Times New Roman" w:cs="Times New Roman"/>
          <w:color w:val="000000" w:themeColor="text1"/>
        </w:rPr>
        <w:t>月</w:t>
      </w:r>
      <w:r>
        <w:rPr>
          <w:rFonts w:ascii="Times New Roman" w:cs="Times New Roman"/>
          <w:color w:val="000000" w:themeColor="text1"/>
        </w:rPr>
        <w:t>29</w:t>
      </w:r>
      <w:r>
        <w:rPr>
          <w:rFonts w:ascii="Times New Roman" w:cs="Times New Roman"/>
          <w:color w:val="000000" w:themeColor="text1"/>
        </w:rPr>
        <w:t>日早</w:t>
      </w:r>
      <w:r>
        <w:rPr>
          <w:rFonts w:ascii="Times New Roman" w:cs="Times New Roman"/>
          <w:color w:val="000000" w:themeColor="text1"/>
        </w:rPr>
        <w:t>6:30</w:t>
      </w:r>
      <w:r>
        <w:rPr>
          <w:rFonts w:ascii="Times New Roman" w:cs="Times New Roman"/>
          <w:color w:val="000000" w:themeColor="text1"/>
        </w:rPr>
        <w:t>时，刘某与王某一同确定</w:t>
      </w:r>
      <w:r>
        <w:rPr>
          <w:rFonts w:ascii="Times New Roman" w:cs="Times New Roman"/>
          <w:color w:val="000000" w:themeColor="text1"/>
        </w:rPr>
        <w:t>S328-X30</w:t>
      </w:r>
      <w:r>
        <w:rPr>
          <w:rFonts w:ascii="Times New Roman" w:cs="Times New Roman"/>
          <w:color w:val="000000" w:themeColor="text1"/>
        </w:rPr>
        <w:t>注水井管线穿孔情况</w:t>
      </w:r>
      <w:r>
        <w:rPr>
          <w:rFonts w:ascii="Times New Roman" w:cs="Times New Roman" w:hint="eastAsia"/>
          <w:color w:val="000000" w:themeColor="text1"/>
        </w:rPr>
        <w:t>：</w:t>
      </w:r>
      <w:r>
        <w:rPr>
          <w:rFonts w:ascii="Times New Roman" w:cs="Times New Roman"/>
          <w:color w:val="000000" w:themeColor="text1"/>
        </w:rPr>
        <w:t>王某到站外</w:t>
      </w:r>
      <w:r>
        <w:rPr>
          <w:rFonts w:ascii="Times New Roman" w:cs="Times New Roman"/>
          <w:color w:val="000000" w:themeColor="text1"/>
        </w:rPr>
        <w:t>S328-X30</w:t>
      </w:r>
      <w:r>
        <w:rPr>
          <w:rFonts w:ascii="Times New Roman" w:cs="Times New Roman"/>
          <w:color w:val="000000" w:themeColor="text1"/>
        </w:rPr>
        <w:t>注水井管线穿孔处观察，刘某去配水间准备关闭下游闸门</w:t>
      </w:r>
      <w:r>
        <w:rPr>
          <w:rFonts w:ascii="Times New Roman" w:cs="Times New Roman" w:hint="eastAsia"/>
          <w:color w:val="000000" w:themeColor="text1"/>
        </w:rPr>
        <w:t>；</w:t>
      </w:r>
      <w:r>
        <w:rPr>
          <w:rFonts w:ascii="Times New Roman" w:cs="Times New Roman"/>
          <w:color w:val="000000" w:themeColor="text1"/>
        </w:rPr>
        <w:t>操作时，刘某左脚不慎碰到放空闸门，放空闸门脱落，高压回注水水流将工鞋打飞，左脚面刺伤。</w:t>
      </w:r>
    </w:p>
    <w:p w14:paraId="4925AF75" w14:textId="77777777" w:rsidR="002D2AF8" w:rsidRDefault="00000000">
      <w:pPr>
        <w:widowControl/>
        <w:jc w:val="left"/>
        <w:rPr>
          <w:color w:val="000000" w:themeColor="text1"/>
        </w:rPr>
      </w:pPr>
      <w:r>
        <w:rPr>
          <w:rFonts w:ascii="宋体" w:hAnsi="宋体" w:cs="宋体"/>
          <w:noProof/>
          <w:color w:val="000000" w:themeColor="text1"/>
          <w:kern w:val="0"/>
          <w:sz w:val="24"/>
          <w:lang w:bidi="ar"/>
        </w:rPr>
        <w:lastRenderedPageBreak/>
        <w:drawing>
          <wp:inline distT="0" distB="0" distL="114300" distR="114300" wp14:anchorId="2647B2A2" wp14:editId="279CB99C">
            <wp:extent cx="5249545" cy="3613150"/>
            <wp:effectExtent l="0" t="0" r="8255" b="6350"/>
            <wp:docPr id="36"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 descr="IMG_256"/>
                    <pic:cNvPicPr>
                      <a:picLocks noChangeAspect="1"/>
                    </pic:cNvPicPr>
                  </pic:nvPicPr>
                  <pic:blipFill>
                    <a:blip r:embed="rId29"/>
                    <a:stretch>
                      <a:fillRect/>
                    </a:stretch>
                  </pic:blipFill>
                  <pic:spPr>
                    <a:xfrm>
                      <a:off x="0" y="0"/>
                      <a:ext cx="5249545" cy="3613150"/>
                    </a:xfrm>
                    <a:prstGeom prst="rect">
                      <a:avLst/>
                    </a:prstGeom>
                    <a:noFill/>
                    <a:ln w="9525">
                      <a:noFill/>
                    </a:ln>
                  </pic:spPr>
                </pic:pic>
              </a:graphicData>
            </a:graphic>
          </wp:inline>
        </w:drawing>
      </w:r>
    </w:p>
    <w:p w14:paraId="45C8F38B"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2.</w:t>
      </w:r>
      <w:r>
        <w:rPr>
          <w:rFonts w:ascii="Times New Roman" w:cs="Times New Roman"/>
          <w:color w:val="000000" w:themeColor="text1"/>
        </w:rPr>
        <w:t>原因分析</w:t>
      </w:r>
    </w:p>
    <w:p w14:paraId="493405BF"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1</w:t>
      </w:r>
      <w:r>
        <w:rPr>
          <w:rFonts w:ascii="Times New Roman" w:cs="Times New Roman"/>
          <w:color w:val="000000" w:themeColor="text1"/>
        </w:rPr>
        <w:t>）放空闸门丝扣处腐蚀损坏脱落，导致高压水流刺伤刘某的故发生的主要原因</w:t>
      </w:r>
      <w:r>
        <w:rPr>
          <w:rFonts w:ascii="Times New Roman" w:cs="Times New Roman" w:hint="eastAsia"/>
          <w:color w:val="000000" w:themeColor="text1"/>
        </w:rPr>
        <w:t>；</w:t>
      </w:r>
    </w:p>
    <w:p w14:paraId="6BCD3997"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2</w:t>
      </w:r>
      <w:r>
        <w:rPr>
          <w:rFonts w:ascii="Times New Roman" w:cs="Times New Roman"/>
          <w:color w:val="000000" w:themeColor="text1"/>
        </w:rPr>
        <w:t>）高压流程操作时，风险识别不足、应急处置措施不当是事故发生的主要原因</w:t>
      </w:r>
      <w:r>
        <w:rPr>
          <w:rFonts w:ascii="Times New Roman" w:cs="Times New Roman" w:hint="eastAsia"/>
          <w:color w:val="000000" w:themeColor="text1"/>
        </w:rPr>
        <w:t>；</w:t>
      </w:r>
    </w:p>
    <w:p w14:paraId="3B274174"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3</w:t>
      </w:r>
      <w:r>
        <w:rPr>
          <w:rFonts w:ascii="Times New Roman" w:cs="Times New Roman"/>
          <w:color w:val="000000" w:themeColor="text1"/>
        </w:rPr>
        <w:t>）高压放空阀门短节未采用高压短节，</w:t>
      </w:r>
      <w:r>
        <w:rPr>
          <w:rFonts w:ascii="Times New Roman" w:cs="Times New Roman"/>
          <w:color w:val="000000" w:themeColor="text1"/>
        </w:rPr>
        <w:t>“</w:t>
      </w:r>
      <w:r>
        <w:rPr>
          <w:rFonts w:ascii="Times New Roman" w:cs="Times New Roman"/>
          <w:color w:val="000000" w:themeColor="text1"/>
        </w:rPr>
        <w:t>新、改、扩</w:t>
      </w:r>
      <w:r>
        <w:rPr>
          <w:rFonts w:ascii="Times New Roman" w:cs="Times New Roman"/>
          <w:color w:val="000000" w:themeColor="text1"/>
        </w:rPr>
        <w:t>”“</w:t>
      </w:r>
      <w:r>
        <w:rPr>
          <w:rFonts w:ascii="Times New Roman" w:cs="Times New Roman"/>
          <w:color w:val="000000" w:themeColor="text1"/>
        </w:rPr>
        <w:t>三同时</w:t>
      </w:r>
      <w:r>
        <w:rPr>
          <w:rFonts w:ascii="Times New Roman" w:cs="Times New Roman"/>
          <w:color w:val="000000" w:themeColor="text1"/>
        </w:rPr>
        <w:t>”</w:t>
      </w:r>
      <w:r>
        <w:rPr>
          <w:rFonts w:ascii="Times New Roman" w:cs="Times New Roman"/>
          <w:color w:val="000000" w:themeColor="text1"/>
        </w:rPr>
        <w:t>监管缺失是事故发生的管理原因。</w:t>
      </w:r>
    </w:p>
    <w:p w14:paraId="6C06D2AF"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4</w:t>
      </w:r>
      <w:r>
        <w:rPr>
          <w:rFonts w:ascii="Times New Roman" w:cs="Times New Roman"/>
          <w:color w:val="000000" w:themeColor="text1"/>
        </w:rPr>
        <w:t>）该站检查监督人员在日常安全检查中，检查不认真，检查不到位，放空闸门丝扣处腐蚀损坏严重的情况下没有发现是事故发生又一重要原因。</w:t>
      </w:r>
    </w:p>
    <w:p w14:paraId="5CCD71B8"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3.</w:t>
      </w:r>
      <w:r>
        <w:rPr>
          <w:rFonts w:ascii="Times New Roman" w:cs="Times New Roman"/>
          <w:color w:val="000000" w:themeColor="text1"/>
        </w:rPr>
        <w:t>防范措施</w:t>
      </w:r>
    </w:p>
    <w:p w14:paraId="50907A48"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1</w:t>
      </w:r>
      <w:r>
        <w:rPr>
          <w:rFonts w:ascii="Times New Roman" w:cs="Times New Roman"/>
          <w:color w:val="000000" w:themeColor="text1"/>
        </w:rPr>
        <w:t>）对所有配水间放空闸门及管线短节等部位进行仔细检查</w:t>
      </w:r>
      <w:r>
        <w:rPr>
          <w:rFonts w:ascii="Times New Roman" w:cs="Times New Roman" w:hint="eastAsia"/>
          <w:color w:val="000000" w:themeColor="text1"/>
        </w:rPr>
        <w:t>，更换所有不合格的高压放空闸门和短接</w:t>
      </w:r>
      <w:r>
        <w:rPr>
          <w:rFonts w:ascii="Times New Roman" w:cs="Times New Roman"/>
          <w:color w:val="000000" w:themeColor="text1"/>
        </w:rPr>
        <w:t>。</w:t>
      </w:r>
    </w:p>
    <w:p w14:paraId="51AFFF36"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t>（</w:t>
      </w:r>
      <w:r>
        <w:rPr>
          <w:rFonts w:ascii="Times New Roman" w:cs="Times New Roman"/>
          <w:color w:val="000000" w:themeColor="text1"/>
        </w:rPr>
        <w:t>2</w:t>
      </w:r>
      <w:r>
        <w:rPr>
          <w:rFonts w:ascii="Times New Roman" w:cs="Times New Roman"/>
          <w:color w:val="000000" w:themeColor="text1"/>
        </w:rPr>
        <w:t>）加强风险辨识，将风险点、风险识别图上墙，教育所有操作人员熟知并掌握，提高个人安全防范意识。</w:t>
      </w:r>
    </w:p>
    <w:p w14:paraId="67DE9966" w14:textId="77777777" w:rsidR="002D2AF8" w:rsidRDefault="00000000">
      <w:pPr>
        <w:pStyle w:val="2SLCON22"/>
        <w:widowControl w:val="0"/>
        <w:adjustRightInd w:val="0"/>
        <w:snapToGrid w:val="0"/>
        <w:ind w:firstLine="566"/>
        <w:rPr>
          <w:rFonts w:ascii="Times New Roman" w:cs="Times New Roman"/>
          <w:color w:val="000000" w:themeColor="text1"/>
        </w:rPr>
      </w:pPr>
      <w:r>
        <w:rPr>
          <w:rFonts w:ascii="Times New Roman" w:cs="Times New Roman"/>
          <w:color w:val="000000" w:themeColor="text1"/>
        </w:rPr>
        <w:lastRenderedPageBreak/>
        <w:t>（</w:t>
      </w:r>
      <w:r>
        <w:rPr>
          <w:rFonts w:ascii="Times New Roman" w:cs="Times New Roman"/>
          <w:color w:val="000000" w:themeColor="text1"/>
        </w:rPr>
        <w:t>3</w:t>
      </w:r>
      <w:r>
        <w:rPr>
          <w:rFonts w:ascii="Times New Roman" w:cs="Times New Roman"/>
          <w:color w:val="000000" w:themeColor="text1"/>
        </w:rPr>
        <w:t>）加强新建、改、扩建项目</w:t>
      </w:r>
      <w:r>
        <w:rPr>
          <w:rFonts w:ascii="Times New Roman" w:cs="Times New Roman"/>
          <w:color w:val="000000" w:themeColor="text1"/>
        </w:rPr>
        <w:t>“</w:t>
      </w:r>
      <w:r>
        <w:rPr>
          <w:rFonts w:ascii="Times New Roman" w:cs="Times New Roman"/>
          <w:color w:val="000000" w:themeColor="text1"/>
        </w:rPr>
        <w:t>三同时</w:t>
      </w:r>
      <w:r>
        <w:rPr>
          <w:rFonts w:ascii="Times New Roman" w:cs="Times New Roman"/>
          <w:color w:val="000000" w:themeColor="text1"/>
        </w:rPr>
        <w:t>”</w:t>
      </w:r>
      <w:r>
        <w:rPr>
          <w:rFonts w:ascii="Times New Roman" w:cs="Times New Roman"/>
          <w:color w:val="000000" w:themeColor="text1"/>
        </w:rPr>
        <w:t>制度的执行，提高建设监管质量。</w:t>
      </w:r>
    </w:p>
    <w:p w14:paraId="61AFD5A3"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79" w:name="_Toc30379"/>
      <w:r>
        <w:rPr>
          <w:rFonts w:ascii="Times New Roman" w:hAnsi="Times New Roman"/>
          <w:b w:val="0"/>
          <w:bCs/>
          <w:color w:val="000000" w:themeColor="text1"/>
          <w:szCs w:val="32"/>
        </w:rPr>
        <w:t>3.</w:t>
      </w:r>
      <w:r>
        <w:rPr>
          <w:rFonts w:ascii="Times New Roman" w:hAnsi="Times New Roman" w:hint="eastAsia"/>
          <w:b w:val="0"/>
          <w:bCs/>
          <w:color w:val="000000" w:themeColor="text1"/>
          <w:szCs w:val="32"/>
        </w:rPr>
        <w:t>10</w:t>
      </w:r>
      <w:r>
        <w:rPr>
          <w:rFonts w:ascii="Times New Roman" w:hAnsi="Times New Roman"/>
          <w:b w:val="0"/>
          <w:bCs/>
          <w:color w:val="000000" w:themeColor="text1"/>
          <w:szCs w:val="32"/>
        </w:rPr>
        <w:t xml:space="preserve"> </w:t>
      </w:r>
      <w:r>
        <w:rPr>
          <w:rFonts w:ascii="Times New Roman" w:hAnsi="Times New Roman"/>
          <w:b w:val="0"/>
          <w:bCs/>
          <w:color w:val="000000" w:themeColor="text1"/>
          <w:szCs w:val="32"/>
        </w:rPr>
        <w:t>主要危险、有害因素分析结论</w:t>
      </w:r>
      <w:bookmarkEnd w:id="73"/>
      <w:bookmarkEnd w:id="74"/>
      <w:bookmarkEnd w:id="75"/>
      <w:bookmarkEnd w:id="79"/>
    </w:p>
    <w:p w14:paraId="31A3CA86"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调剖等施工过程中，涉及的主要危险、有害物质有：原油、天然气、硫化氢、</w:t>
      </w:r>
      <w:r>
        <w:rPr>
          <w:rFonts w:hint="eastAsia"/>
          <w:color w:val="000000" w:themeColor="text1"/>
          <w:sz w:val="28"/>
          <w:szCs w:val="28"/>
        </w:rPr>
        <w:t>高压水、</w:t>
      </w:r>
      <w:r>
        <w:rPr>
          <w:color w:val="000000" w:themeColor="text1"/>
          <w:sz w:val="28"/>
          <w:szCs w:val="28"/>
        </w:rPr>
        <w:t>化学助剂等。</w:t>
      </w:r>
    </w:p>
    <w:p w14:paraId="739D3744" w14:textId="77777777" w:rsidR="002D2AF8" w:rsidRDefault="00000000">
      <w:pPr>
        <w:tabs>
          <w:tab w:val="left" w:pos="0"/>
          <w:tab w:val="left" w:pos="1080"/>
        </w:tabs>
        <w:adjustRightInd w:val="0"/>
        <w:snapToGrid w:val="0"/>
        <w:spacing w:line="360" w:lineRule="auto"/>
        <w:ind w:firstLineChars="200" w:firstLine="566"/>
        <w:rPr>
          <w:color w:val="000000" w:themeColor="text1"/>
          <w:sz w:val="28"/>
          <w:szCs w:val="28"/>
        </w:rPr>
      </w:pPr>
      <w:r>
        <w:rPr>
          <w:color w:val="000000" w:themeColor="text1"/>
          <w:sz w:val="28"/>
          <w:szCs w:val="28"/>
        </w:rPr>
        <w:t>主要危险、有害因素有：火灾爆炸、井喷及井喷失控、中毒和窒息、物体打击、机械伤害、触电、车辆伤害、高处坠落、起重伤害等。</w:t>
      </w:r>
    </w:p>
    <w:p w14:paraId="715E1B92"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主要有害因素有：噪声危害、毒物危害和振动危害。</w:t>
      </w:r>
    </w:p>
    <w:p w14:paraId="42549139"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自然灾害有：雷电袭击、大风、高温、低温、暴雨灾害、地震灾害等。</w:t>
      </w:r>
    </w:p>
    <w:p w14:paraId="415401D0"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井下作业项目不构成危险化学品重大危险源。</w:t>
      </w:r>
    </w:p>
    <w:p w14:paraId="4ED654B0" w14:textId="77777777" w:rsidR="002D2AF8" w:rsidRDefault="002D2AF8">
      <w:pPr>
        <w:adjustRightInd w:val="0"/>
        <w:snapToGrid w:val="0"/>
        <w:spacing w:line="360" w:lineRule="auto"/>
        <w:rPr>
          <w:color w:val="000000" w:themeColor="text1"/>
          <w:sz w:val="28"/>
          <w:szCs w:val="28"/>
        </w:rPr>
        <w:sectPr w:rsidR="002D2AF8">
          <w:footerReference w:type="default" r:id="rId30"/>
          <w:pgSz w:w="11906" w:h="16838"/>
          <w:pgMar w:top="1440" w:right="1803" w:bottom="1440" w:left="1803" w:header="850" w:footer="992" w:gutter="0"/>
          <w:cols w:space="0"/>
          <w:docGrid w:type="linesAndChars" w:linePitch="325" w:charSpace="577"/>
        </w:sectPr>
      </w:pPr>
    </w:p>
    <w:p w14:paraId="0F7BD2C2" w14:textId="77777777" w:rsidR="002D2AF8" w:rsidRDefault="00000000">
      <w:pPr>
        <w:pStyle w:val="10"/>
        <w:keepNext w:val="0"/>
        <w:adjustRightInd w:val="0"/>
        <w:snapToGrid w:val="0"/>
        <w:spacing w:line="360" w:lineRule="auto"/>
        <w:rPr>
          <w:rFonts w:eastAsia="楷体_GB2312"/>
          <w:b/>
          <w:color w:val="000000" w:themeColor="text1"/>
          <w:sz w:val="36"/>
          <w:szCs w:val="36"/>
        </w:rPr>
      </w:pPr>
      <w:bookmarkStart w:id="80" w:name="_Toc202759432"/>
      <w:bookmarkStart w:id="81" w:name="_Toc215277173"/>
      <w:bookmarkStart w:id="82" w:name="_Toc291144373"/>
      <w:bookmarkStart w:id="83" w:name="_Toc298756206"/>
      <w:bookmarkStart w:id="84" w:name="_Toc244964631"/>
      <w:bookmarkStart w:id="85" w:name="_Toc17553"/>
      <w:bookmarkStart w:id="86" w:name="_Toc281310747"/>
      <w:bookmarkEnd w:id="14"/>
      <w:bookmarkEnd w:id="15"/>
      <w:bookmarkEnd w:id="16"/>
      <w:bookmarkEnd w:id="17"/>
      <w:bookmarkEnd w:id="23"/>
      <w:r>
        <w:rPr>
          <w:rFonts w:eastAsia="楷体_GB2312"/>
          <w:b/>
          <w:color w:val="000000" w:themeColor="text1"/>
          <w:sz w:val="36"/>
          <w:szCs w:val="36"/>
        </w:rPr>
        <w:lastRenderedPageBreak/>
        <w:t xml:space="preserve">4 </w:t>
      </w:r>
      <w:r>
        <w:rPr>
          <w:rFonts w:eastAsia="楷体_GB2312"/>
          <w:b/>
          <w:color w:val="000000" w:themeColor="text1"/>
          <w:sz w:val="36"/>
          <w:szCs w:val="36"/>
        </w:rPr>
        <w:t>评价单元划分</w:t>
      </w:r>
      <w:bookmarkEnd w:id="80"/>
      <w:r>
        <w:rPr>
          <w:rFonts w:eastAsia="楷体_GB2312"/>
          <w:b/>
          <w:color w:val="000000" w:themeColor="text1"/>
          <w:sz w:val="36"/>
          <w:szCs w:val="36"/>
        </w:rPr>
        <w:t>及评价方法选择</w:t>
      </w:r>
      <w:bookmarkEnd w:id="81"/>
      <w:bookmarkEnd w:id="82"/>
      <w:bookmarkEnd w:id="83"/>
      <w:bookmarkEnd w:id="84"/>
      <w:bookmarkEnd w:id="85"/>
    </w:p>
    <w:p w14:paraId="1C5128C2"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87" w:name="_Toc298756207"/>
      <w:bookmarkStart w:id="88" w:name="_Toc28734"/>
      <w:bookmarkStart w:id="89" w:name="_Toc291144374"/>
      <w:bookmarkStart w:id="90" w:name="_Toc215277174"/>
      <w:bookmarkStart w:id="91" w:name="_Toc244964632"/>
      <w:r>
        <w:rPr>
          <w:rFonts w:ascii="Times New Roman" w:hAnsi="Times New Roman"/>
          <w:b w:val="0"/>
          <w:bCs/>
          <w:color w:val="000000" w:themeColor="text1"/>
          <w:szCs w:val="32"/>
        </w:rPr>
        <w:t xml:space="preserve">4.1 </w:t>
      </w:r>
      <w:r>
        <w:rPr>
          <w:rFonts w:ascii="Times New Roman" w:hAnsi="Times New Roman"/>
          <w:b w:val="0"/>
          <w:bCs/>
          <w:color w:val="000000" w:themeColor="text1"/>
          <w:szCs w:val="32"/>
        </w:rPr>
        <w:t>评价单元划分</w:t>
      </w:r>
      <w:bookmarkEnd w:id="87"/>
      <w:bookmarkEnd w:id="88"/>
      <w:bookmarkEnd w:id="89"/>
      <w:bookmarkEnd w:id="90"/>
      <w:bookmarkEnd w:id="91"/>
    </w:p>
    <w:p w14:paraId="70954A81"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4.1.1 </w:t>
      </w:r>
      <w:r>
        <w:rPr>
          <w:rFonts w:eastAsia="黑体"/>
          <w:b w:val="0"/>
          <w:snapToGrid w:val="0"/>
          <w:color w:val="000000" w:themeColor="text1"/>
          <w:kern w:val="0"/>
          <w:sz w:val="28"/>
          <w:szCs w:val="28"/>
        </w:rPr>
        <w:t>划分原则</w:t>
      </w:r>
    </w:p>
    <w:p w14:paraId="2A582143"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评价单元是指在对工程危险、有害因素进行分析的基础上，根据评价目标和评价方法的需要，将整个系统划分成若干个有限的确定范围而分别进行评价的相对独立的装置、设施和场所。</w:t>
      </w:r>
    </w:p>
    <w:p w14:paraId="1200DE7C"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划分评价单元的一般性原则是按生产工艺功能、生产设施设备相对独立空间、危险有害因素类别及事故范围划分评价单元，使评价单元相对独立，具有明显特征界限。</w:t>
      </w:r>
    </w:p>
    <w:p w14:paraId="4663F80A"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常用的评价单元的划分原则有：</w:t>
      </w:r>
    </w:p>
    <w:p w14:paraId="042F6BEE"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1</w:t>
      </w:r>
      <w:r>
        <w:rPr>
          <w:snapToGrid w:val="0"/>
          <w:color w:val="000000" w:themeColor="text1"/>
          <w:kern w:val="0"/>
          <w:sz w:val="28"/>
        </w:rPr>
        <w:t>、以危险、有害因素的类别为主划分；</w:t>
      </w:r>
    </w:p>
    <w:p w14:paraId="2A4C4A33"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2</w:t>
      </w:r>
      <w:r>
        <w:rPr>
          <w:snapToGrid w:val="0"/>
          <w:color w:val="000000" w:themeColor="text1"/>
          <w:kern w:val="0"/>
          <w:sz w:val="28"/>
        </w:rPr>
        <w:t>、以装置和物质的特性划分。</w:t>
      </w:r>
    </w:p>
    <w:p w14:paraId="4BC75DF8"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通过对</w:t>
      </w:r>
      <w:r>
        <w:rPr>
          <w:rFonts w:hint="eastAsia"/>
          <w:snapToGrid w:val="0"/>
          <w:color w:val="000000" w:themeColor="text1"/>
          <w:kern w:val="0"/>
          <w:sz w:val="28"/>
        </w:rPr>
        <w:t>胜利油田胜兴堵驱新技术开发有限责任公司</w:t>
      </w:r>
      <w:r>
        <w:rPr>
          <w:snapToGrid w:val="0"/>
          <w:color w:val="000000" w:themeColor="text1"/>
          <w:kern w:val="0"/>
          <w:sz w:val="28"/>
        </w:rPr>
        <w:t>生产过程中的危险、有害因素分析，结合本工程的特点和具体情况，本次评价按工艺流程，兼顾危险、有害因素的相似特性等进行评价单元的划分。</w:t>
      </w:r>
    </w:p>
    <w:p w14:paraId="3A6CCBF6"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4.1.2 </w:t>
      </w:r>
      <w:r>
        <w:rPr>
          <w:rFonts w:eastAsia="黑体"/>
          <w:b w:val="0"/>
          <w:snapToGrid w:val="0"/>
          <w:color w:val="000000" w:themeColor="text1"/>
          <w:kern w:val="0"/>
          <w:sz w:val="28"/>
          <w:szCs w:val="28"/>
        </w:rPr>
        <w:t>划分评价单元</w:t>
      </w:r>
    </w:p>
    <w:p w14:paraId="7AD9602D"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根据</w:t>
      </w:r>
      <w:r>
        <w:rPr>
          <w:rFonts w:hint="eastAsia"/>
          <w:snapToGrid w:val="0"/>
          <w:color w:val="000000" w:themeColor="text1"/>
          <w:kern w:val="0"/>
          <w:sz w:val="28"/>
        </w:rPr>
        <w:t>胜利油田胜兴堵驱新技术开发有限责任公司</w:t>
      </w:r>
      <w:r>
        <w:rPr>
          <w:snapToGrid w:val="0"/>
          <w:color w:val="000000" w:themeColor="text1"/>
          <w:kern w:val="0"/>
          <w:sz w:val="28"/>
        </w:rPr>
        <w:t>的实际情况和安全现状评价的需要，本次评价划分为以下</w:t>
      </w:r>
      <w:r>
        <w:rPr>
          <w:snapToGrid w:val="0"/>
          <w:color w:val="000000" w:themeColor="text1"/>
          <w:kern w:val="0"/>
          <w:sz w:val="28"/>
        </w:rPr>
        <w:t>2</w:t>
      </w:r>
      <w:r>
        <w:rPr>
          <w:snapToGrid w:val="0"/>
          <w:color w:val="000000" w:themeColor="text1"/>
          <w:kern w:val="0"/>
          <w:sz w:val="28"/>
        </w:rPr>
        <w:t>个评价单元进行评价：</w:t>
      </w:r>
    </w:p>
    <w:p w14:paraId="004B86F4"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1</w:t>
      </w:r>
      <w:r>
        <w:rPr>
          <w:snapToGrid w:val="0"/>
          <w:color w:val="000000" w:themeColor="text1"/>
          <w:kern w:val="0"/>
          <w:sz w:val="28"/>
        </w:rPr>
        <w:t>、生产单元（主要针对</w:t>
      </w:r>
      <w:r>
        <w:rPr>
          <w:rFonts w:hint="eastAsia"/>
          <w:snapToGrid w:val="0"/>
          <w:color w:val="000000" w:themeColor="text1"/>
          <w:kern w:val="0"/>
          <w:sz w:val="28"/>
        </w:rPr>
        <w:t>胜利油田胜兴堵驱新技术开发有限责任公司</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w:t>
      </w:r>
      <w:r>
        <w:rPr>
          <w:snapToGrid w:val="0"/>
          <w:color w:val="000000" w:themeColor="text1"/>
          <w:kern w:val="0"/>
          <w:sz w:val="28"/>
        </w:rPr>
        <w:t>）所用主要设备、设施；生产作业场所的内、外部安全生产条件进行评价）。</w:t>
      </w:r>
    </w:p>
    <w:p w14:paraId="6C84E1A1"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2</w:t>
      </w:r>
      <w:r>
        <w:rPr>
          <w:snapToGrid w:val="0"/>
          <w:color w:val="000000" w:themeColor="text1"/>
          <w:kern w:val="0"/>
          <w:sz w:val="28"/>
        </w:rPr>
        <w:t>、安全管理单元（主要针对</w:t>
      </w:r>
      <w:r>
        <w:rPr>
          <w:rFonts w:hint="eastAsia"/>
          <w:snapToGrid w:val="0"/>
          <w:color w:val="000000" w:themeColor="text1"/>
          <w:kern w:val="0"/>
          <w:sz w:val="28"/>
        </w:rPr>
        <w:t>胜利油田胜兴堵驱新技术开发有限责任公司</w:t>
      </w:r>
      <w:r>
        <w:rPr>
          <w:snapToGrid w:val="0"/>
          <w:color w:val="000000" w:themeColor="text1"/>
          <w:kern w:val="0"/>
          <w:sz w:val="28"/>
        </w:rPr>
        <w:t>在安全管理方面的各项安全生产条件进行评价）。</w:t>
      </w:r>
    </w:p>
    <w:p w14:paraId="40D0D706"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92" w:name="_Toc244964633"/>
      <w:bookmarkStart w:id="93" w:name="_Toc291144375"/>
      <w:bookmarkStart w:id="94" w:name="_Toc298756208"/>
      <w:bookmarkStart w:id="95" w:name="_Toc13515"/>
      <w:bookmarkStart w:id="96" w:name="_Toc215277175"/>
      <w:r>
        <w:rPr>
          <w:rFonts w:ascii="Times New Roman" w:hAnsi="Times New Roman"/>
          <w:b w:val="0"/>
          <w:bCs/>
          <w:color w:val="000000" w:themeColor="text1"/>
          <w:szCs w:val="32"/>
        </w:rPr>
        <w:t xml:space="preserve">4.2 </w:t>
      </w:r>
      <w:r>
        <w:rPr>
          <w:rFonts w:ascii="Times New Roman" w:hAnsi="Times New Roman"/>
          <w:b w:val="0"/>
          <w:bCs/>
          <w:color w:val="000000" w:themeColor="text1"/>
          <w:szCs w:val="32"/>
        </w:rPr>
        <w:t>评价方法选择</w:t>
      </w:r>
      <w:bookmarkEnd w:id="92"/>
      <w:bookmarkEnd w:id="93"/>
      <w:bookmarkEnd w:id="94"/>
      <w:bookmarkEnd w:id="95"/>
      <w:bookmarkEnd w:id="96"/>
    </w:p>
    <w:bookmarkEnd w:id="86"/>
    <w:p w14:paraId="26D5DADF" w14:textId="77777777" w:rsidR="002D2AF8" w:rsidRDefault="00000000">
      <w:pPr>
        <w:adjustRightInd w:val="0"/>
        <w:snapToGrid w:val="0"/>
        <w:spacing w:line="360" w:lineRule="auto"/>
        <w:ind w:firstLineChars="200" w:firstLine="566"/>
        <w:rPr>
          <w:snapToGrid w:val="0"/>
          <w:color w:val="000000" w:themeColor="text1"/>
          <w:kern w:val="0"/>
          <w:sz w:val="28"/>
        </w:rPr>
      </w:pPr>
      <w:r>
        <w:rPr>
          <w:color w:val="000000" w:themeColor="text1"/>
          <w:sz w:val="28"/>
        </w:rPr>
        <w:t>根据《安全生产许可证条例》（国务院令</w:t>
      </w:r>
      <w:r>
        <w:rPr>
          <w:color w:val="000000" w:themeColor="text1"/>
          <w:sz w:val="28"/>
        </w:rPr>
        <w:t>[2004]</w:t>
      </w:r>
      <w:r>
        <w:rPr>
          <w:color w:val="000000" w:themeColor="text1"/>
          <w:sz w:val="28"/>
        </w:rPr>
        <w:t>第</w:t>
      </w:r>
      <w:r>
        <w:rPr>
          <w:color w:val="000000" w:themeColor="text1"/>
          <w:sz w:val="28"/>
        </w:rPr>
        <w:t>397</w:t>
      </w:r>
      <w:r>
        <w:rPr>
          <w:color w:val="000000" w:themeColor="text1"/>
          <w:sz w:val="28"/>
        </w:rPr>
        <w:t>号，</w:t>
      </w:r>
      <w:r>
        <w:rPr>
          <w:color w:val="000000" w:themeColor="text1"/>
          <w:sz w:val="28"/>
        </w:rPr>
        <w:t>2014</w:t>
      </w:r>
      <w:r>
        <w:rPr>
          <w:color w:val="000000" w:themeColor="text1"/>
          <w:sz w:val="28"/>
        </w:rPr>
        <w:lastRenderedPageBreak/>
        <w:t>修订版）、《非煤矿矿山企业安全生产许可证实施办法》（国家安全生产监督管理总局令</w:t>
      </w:r>
      <w:r>
        <w:rPr>
          <w:color w:val="000000" w:themeColor="text1"/>
          <w:sz w:val="28"/>
        </w:rPr>
        <w:t>[2009]</w:t>
      </w:r>
      <w:r>
        <w:rPr>
          <w:color w:val="000000" w:themeColor="text1"/>
          <w:sz w:val="28"/>
        </w:rPr>
        <w:t>第</w:t>
      </w:r>
      <w:r>
        <w:rPr>
          <w:color w:val="000000" w:themeColor="text1"/>
          <w:sz w:val="28"/>
        </w:rPr>
        <w:t>20</w:t>
      </w:r>
      <w:r>
        <w:rPr>
          <w:color w:val="000000" w:themeColor="text1"/>
          <w:sz w:val="28"/>
        </w:rPr>
        <w:t>号，</w:t>
      </w:r>
      <w:r>
        <w:rPr>
          <w:color w:val="000000" w:themeColor="text1"/>
          <w:sz w:val="28"/>
        </w:rPr>
        <w:t>2015</w:t>
      </w:r>
      <w:r>
        <w:rPr>
          <w:color w:val="000000" w:themeColor="text1"/>
          <w:sz w:val="28"/>
        </w:rPr>
        <w:t>修订版）的要求，</w:t>
      </w:r>
      <w:r>
        <w:rPr>
          <w:snapToGrid w:val="0"/>
          <w:color w:val="000000" w:themeColor="text1"/>
          <w:kern w:val="0"/>
          <w:sz w:val="28"/>
        </w:rPr>
        <w:t>本次评价选择安全检查表法（</w:t>
      </w:r>
      <w:r>
        <w:rPr>
          <w:snapToGrid w:val="0"/>
          <w:color w:val="000000" w:themeColor="text1"/>
          <w:kern w:val="0"/>
          <w:sz w:val="28"/>
        </w:rPr>
        <w:t>SCL</w:t>
      </w:r>
      <w:r>
        <w:rPr>
          <w:snapToGrid w:val="0"/>
          <w:color w:val="000000" w:themeColor="text1"/>
          <w:kern w:val="0"/>
          <w:sz w:val="28"/>
        </w:rPr>
        <w:t>）和</w:t>
      </w:r>
      <w:r>
        <w:rPr>
          <w:color w:val="000000" w:themeColor="text1"/>
          <w:sz w:val="28"/>
          <w:szCs w:val="28"/>
        </w:rPr>
        <w:t>作业条件危险性评价法（</w:t>
      </w:r>
      <w:r>
        <w:rPr>
          <w:color w:val="000000" w:themeColor="text1"/>
          <w:sz w:val="28"/>
          <w:szCs w:val="28"/>
        </w:rPr>
        <w:t>LEC</w:t>
      </w:r>
      <w:r>
        <w:rPr>
          <w:color w:val="000000" w:themeColor="text1"/>
          <w:sz w:val="28"/>
          <w:szCs w:val="28"/>
        </w:rPr>
        <w:t>）</w:t>
      </w:r>
      <w:r>
        <w:rPr>
          <w:color w:val="000000" w:themeColor="text1"/>
          <w:sz w:val="28"/>
        </w:rPr>
        <w:t>对该公司的各项安全生产条件进行评价</w:t>
      </w:r>
      <w:r>
        <w:rPr>
          <w:snapToGrid w:val="0"/>
          <w:color w:val="000000" w:themeColor="text1"/>
          <w:kern w:val="0"/>
          <w:sz w:val="28"/>
        </w:rPr>
        <w:t>。各评价方法的具体操作程序如下表：</w:t>
      </w:r>
    </w:p>
    <w:p w14:paraId="753A60BE" w14:textId="77777777" w:rsidR="002D2AF8" w:rsidRDefault="00000000">
      <w:pPr>
        <w:adjustRightInd w:val="0"/>
        <w:snapToGrid w:val="0"/>
        <w:spacing w:line="360" w:lineRule="auto"/>
        <w:ind w:firstLineChars="150" w:firstLine="366"/>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4-1 </w:t>
      </w:r>
      <w:r>
        <w:rPr>
          <w:b/>
          <w:bCs/>
          <w:snapToGrid w:val="0"/>
          <w:color w:val="000000" w:themeColor="text1"/>
          <w:kern w:val="0"/>
          <w:sz w:val="24"/>
        </w:rPr>
        <w:t>各单元评价方法表</w:t>
      </w:r>
    </w:p>
    <w:tbl>
      <w:tblPr>
        <w:tblW w:w="8522"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030"/>
        <w:gridCol w:w="4762"/>
        <w:gridCol w:w="2730"/>
      </w:tblGrid>
      <w:tr w:rsidR="002D2AF8" w14:paraId="5E0F48B6" w14:textId="77777777">
        <w:trPr>
          <w:cantSplit/>
          <w:trHeight w:val="397"/>
          <w:jc w:val="center"/>
        </w:trPr>
        <w:tc>
          <w:tcPr>
            <w:tcW w:w="1030" w:type="dxa"/>
            <w:tcBorders>
              <w:top w:val="single" w:sz="12" w:space="0" w:color="auto"/>
              <w:left w:val="single" w:sz="12" w:space="0" w:color="auto"/>
              <w:bottom w:val="single" w:sz="6" w:space="0" w:color="auto"/>
              <w:right w:val="single" w:sz="6" w:space="0" w:color="auto"/>
            </w:tcBorders>
            <w:vAlign w:val="center"/>
          </w:tcPr>
          <w:p w14:paraId="5B9E6104" w14:textId="77777777" w:rsidR="002D2AF8" w:rsidRDefault="00000000">
            <w:pPr>
              <w:pStyle w:val="ac"/>
              <w:adjustRightInd w:val="0"/>
              <w:snapToGrid w:val="0"/>
              <w:spacing w:after="0"/>
              <w:jc w:val="center"/>
              <w:rPr>
                <w:b/>
                <w:color w:val="000000" w:themeColor="text1"/>
                <w:szCs w:val="21"/>
              </w:rPr>
            </w:pPr>
            <w:r>
              <w:rPr>
                <w:b/>
                <w:color w:val="000000" w:themeColor="text1"/>
                <w:szCs w:val="21"/>
              </w:rPr>
              <w:t>序号</w:t>
            </w:r>
          </w:p>
        </w:tc>
        <w:tc>
          <w:tcPr>
            <w:tcW w:w="4762" w:type="dxa"/>
            <w:tcBorders>
              <w:top w:val="single" w:sz="12" w:space="0" w:color="auto"/>
              <w:left w:val="single" w:sz="6" w:space="0" w:color="auto"/>
              <w:bottom w:val="single" w:sz="6" w:space="0" w:color="auto"/>
              <w:right w:val="single" w:sz="6" w:space="0" w:color="auto"/>
            </w:tcBorders>
            <w:vAlign w:val="center"/>
          </w:tcPr>
          <w:p w14:paraId="65FCCA5D" w14:textId="77777777" w:rsidR="002D2AF8" w:rsidRDefault="00000000">
            <w:pPr>
              <w:pStyle w:val="ac"/>
              <w:adjustRightInd w:val="0"/>
              <w:snapToGrid w:val="0"/>
              <w:spacing w:after="0"/>
              <w:jc w:val="center"/>
              <w:rPr>
                <w:b/>
                <w:color w:val="000000" w:themeColor="text1"/>
                <w:szCs w:val="21"/>
              </w:rPr>
            </w:pPr>
            <w:r>
              <w:rPr>
                <w:b/>
                <w:color w:val="000000" w:themeColor="text1"/>
                <w:szCs w:val="21"/>
              </w:rPr>
              <w:t>评价单元</w:t>
            </w:r>
          </w:p>
        </w:tc>
        <w:tc>
          <w:tcPr>
            <w:tcW w:w="2730" w:type="dxa"/>
            <w:tcBorders>
              <w:top w:val="single" w:sz="12" w:space="0" w:color="auto"/>
              <w:left w:val="single" w:sz="6" w:space="0" w:color="auto"/>
              <w:bottom w:val="single" w:sz="6" w:space="0" w:color="auto"/>
              <w:right w:val="single" w:sz="12" w:space="0" w:color="auto"/>
            </w:tcBorders>
            <w:vAlign w:val="center"/>
          </w:tcPr>
          <w:p w14:paraId="2DEC51EA" w14:textId="77777777" w:rsidR="002D2AF8" w:rsidRDefault="00000000">
            <w:pPr>
              <w:pStyle w:val="ac"/>
              <w:adjustRightInd w:val="0"/>
              <w:snapToGrid w:val="0"/>
              <w:spacing w:after="0"/>
              <w:jc w:val="center"/>
              <w:rPr>
                <w:b/>
                <w:color w:val="000000" w:themeColor="text1"/>
                <w:szCs w:val="21"/>
              </w:rPr>
            </w:pPr>
            <w:r>
              <w:rPr>
                <w:b/>
                <w:color w:val="000000" w:themeColor="text1"/>
                <w:szCs w:val="21"/>
              </w:rPr>
              <w:t>选用的评价方法</w:t>
            </w:r>
          </w:p>
        </w:tc>
      </w:tr>
      <w:tr w:rsidR="002D2AF8" w14:paraId="1BE96553" w14:textId="77777777">
        <w:trPr>
          <w:cantSplit/>
          <w:trHeight w:val="397"/>
          <w:jc w:val="center"/>
        </w:trPr>
        <w:tc>
          <w:tcPr>
            <w:tcW w:w="1030" w:type="dxa"/>
            <w:tcBorders>
              <w:top w:val="single" w:sz="6" w:space="0" w:color="auto"/>
              <w:left w:val="single" w:sz="12" w:space="0" w:color="auto"/>
              <w:bottom w:val="single" w:sz="6" w:space="0" w:color="auto"/>
              <w:right w:val="single" w:sz="6" w:space="0" w:color="auto"/>
            </w:tcBorders>
            <w:vAlign w:val="center"/>
          </w:tcPr>
          <w:p w14:paraId="0B654BA2" w14:textId="77777777" w:rsidR="002D2AF8" w:rsidRDefault="00000000">
            <w:pPr>
              <w:pStyle w:val="ac"/>
              <w:adjustRightInd w:val="0"/>
              <w:snapToGrid w:val="0"/>
              <w:spacing w:after="0"/>
              <w:jc w:val="center"/>
              <w:rPr>
                <w:color w:val="000000" w:themeColor="text1"/>
                <w:szCs w:val="21"/>
              </w:rPr>
            </w:pPr>
            <w:r>
              <w:rPr>
                <w:color w:val="000000" w:themeColor="text1"/>
                <w:szCs w:val="21"/>
              </w:rPr>
              <w:t>1</w:t>
            </w:r>
          </w:p>
        </w:tc>
        <w:tc>
          <w:tcPr>
            <w:tcW w:w="4762" w:type="dxa"/>
            <w:tcBorders>
              <w:top w:val="single" w:sz="6" w:space="0" w:color="auto"/>
              <w:left w:val="single" w:sz="6" w:space="0" w:color="auto"/>
              <w:bottom w:val="single" w:sz="6" w:space="0" w:color="auto"/>
              <w:right w:val="single" w:sz="6" w:space="0" w:color="auto"/>
            </w:tcBorders>
            <w:vAlign w:val="center"/>
          </w:tcPr>
          <w:p w14:paraId="48132D57" w14:textId="77777777" w:rsidR="002D2AF8" w:rsidRDefault="00000000">
            <w:pPr>
              <w:pStyle w:val="ac"/>
              <w:adjustRightInd w:val="0"/>
              <w:snapToGrid w:val="0"/>
              <w:spacing w:after="0"/>
              <w:jc w:val="center"/>
              <w:rPr>
                <w:color w:val="000000" w:themeColor="text1"/>
                <w:szCs w:val="21"/>
              </w:rPr>
            </w:pPr>
            <w:r>
              <w:rPr>
                <w:color w:val="000000" w:themeColor="text1"/>
                <w:szCs w:val="21"/>
              </w:rPr>
              <w:t>生产单元</w:t>
            </w:r>
          </w:p>
        </w:tc>
        <w:tc>
          <w:tcPr>
            <w:tcW w:w="2730" w:type="dxa"/>
            <w:tcBorders>
              <w:top w:val="single" w:sz="6" w:space="0" w:color="auto"/>
              <w:left w:val="single" w:sz="6" w:space="0" w:color="auto"/>
              <w:bottom w:val="single" w:sz="6" w:space="0" w:color="auto"/>
              <w:right w:val="single" w:sz="12" w:space="0" w:color="auto"/>
            </w:tcBorders>
            <w:vAlign w:val="center"/>
          </w:tcPr>
          <w:p w14:paraId="22BF31E2" w14:textId="77777777" w:rsidR="002D2AF8" w:rsidRDefault="00000000">
            <w:pPr>
              <w:pStyle w:val="ac"/>
              <w:adjustRightInd w:val="0"/>
              <w:snapToGrid w:val="0"/>
              <w:spacing w:after="0"/>
              <w:jc w:val="center"/>
              <w:rPr>
                <w:color w:val="000000" w:themeColor="text1"/>
                <w:szCs w:val="21"/>
              </w:rPr>
            </w:pPr>
            <w:r>
              <w:rPr>
                <w:color w:val="000000" w:themeColor="text1"/>
                <w:szCs w:val="21"/>
              </w:rPr>
              <w:t>SCL</w:t>
            </w:r>
            <w:r>
              <w:rPr>
                <w:color w:val="000000" w:themeColor="text1"/>
                <w:szCs w:val="21"/>
              </w:rPr>
              <w:t>、</w:t>
            </w:r>
            <w:r>
              <w:rPr>
                <w:color w:val="000000" w:themeColor="text1"/>
                <w:szCs w:val="21"/>
              </w:rPr>
              <w:t>LEC</w:t>
            </w:r>
          </w:p>
        </w:tc>
      </w:tr>
      <w:tr w:rsidR="002D2AF8" w14:paraId="1FF3C8BD" w14:textId="77777777">
        <w:trPr>
          <w:cantSplit/>
          <w:trHeight w:val="397"/>
          <w:jc w:val="center"/>
        </w:trPr>
        <w:tc>
          <w:tcPr>
            <w:tcW w:w="1030" w:type="dxa"/>
            <w:tcBorders>
              <w:top w:val="single" w:sz="6" w:space="0" w:color="auto"/>
              <w:left w:val="single" w:sz="12" w:space="0" w:color="auto"/>
              <w:bottom w:val="single" w:sz="12" w:space="0" w:color="auto"/>
              <w:right w:val="single" w:sz="6" w:space="0" w:color="auto"/>
            </w:tcBorders>
            <w:vAlign w:val="center"/>
          </w:tcPr>
          <w:p w14:paraId="63E0D9CC" w14:textId="77777777" w:rsidR="002D2AF8" w:rsidRDefault="00000000">
            <w:pPr>
              <w:pStyle w:val="ac"/>
              <w:adjustRightInd w:val="0"/>
              <w:snapToGrid w:val="0"/>
              <w:spacing w:after="0"/>
              <w:jc w:val="center"/>
              <w:rPr>
                <w:color w:val="000000" w:themeColor="text1"/>
                <w:szCs w:val="21"/>
              </w:rPr>
            </w:pPr>
            <w:r>
              <w:rPr>
                <w:color w:val="000000" w:themeColor="text1"/>
                <w:szCs w:val="21"/>
              </w:rPr>
              <w:t>2</w:t>
            </w:r>
          </w:p>
        </w:tc>
        <w:tc>
          <w:tcPr>
            <w:tcW w:w="4762" w:type="dxa"/>
            <w:tcBorders>
              <w:top w:val="single" w:sz="6" w:space="0" w:color="auto"/>
              <w:left w:val="single" w:sz="6" w:space="0" w:color="auto"/>
              <w:bottom w:val="single" w:sz="12" w:space="0" w:color="auto"/>
              <w:right w:val="single" w:sz="6" w:space="0" w:color="auto"/>
            </w:tcBorders>
            <w:vAlign w:val="center"/>
          </w:tcPr>
          <w:p w14:paraId="44104D3D" w14:textId="77777777" w:rsidR="002D2AF8" w:rsidRDefault="00000000">
            <w:pPr>
              <w:pStyle w:val="ac"/>
              <w:adjustRightInd w:val="0"/>
              <w:snapToGrid w:val="0"/>
              <w:spacing w:after="0"/>
              <w:jc w:val="center"/>
              <w:rPr>
                <w:color w:val="000000" w:themeColor="text1"/>
                <w:szCs w:val="21"/>
              </w:rPr>
            </w:pPr>
            <w:r>
              <w:rPr>
                <w:color w:val="000000" w:themeColor="text1"/>
                <w:szCs w:val="21"/>
              </w:rPr>
              <w:t>安全管理单元</w:t>
            </w:r>
          </w:p>
        </w:tc>
        <w:tc>
          <w:tcPr>
            <w:tcW w:w="2730" w:type="dxa"/>
            <w:tcBorders>
              <w:top w:val="single" w:sz="6" w:space="0" w:color="auto"/>
              <w:left w:val="single" w:sz="6" w:space="0" w:color="auto"/>
              <w:bottom w:val="single" w:sz="12" w:space="0" w:color="auto"/>
              <w:right w:val="single" w:sz="12" w:space="0" w:color="auto"/>
            </w:tcBorders>
            <w:vAlign w:val="center"/>
          </w:tcPr>
          <w:p w14:paraId="406FE6BD" w14:textId="77777777" w:rsidR="002D2AF8" w:rsidRDefault="00000000">
            <w:pPr>
              <w:pStyle w:val="ac"/>
              <w:adjustRightInd w:val="0"/>
              <w:snapToGrid w:val="0"/>
              <w:spacing w:after="0"/>
              <w:jc w:val="center"/>
              <w:rPr>
                <w:color w:val="000000" w:themeColor="text1"/>
                <w:szCs w:val="21"/>
              </w:rPr>
            </w:pPr>
            <w:r>
              <w:rPr>
                <w:color w:val="000000" w:themeColor="text1"/>
                <w:szCs w:val="21"/>
              </w:rPr>
              <w:t>SCL</w:t>
            </w:r>
          </w:p>
        </w:tc>
      </w:tr>
    </w:tbl>
    <w:p w14:paraId="6668B999" w14:textId="77777777" w:rsidR="002D2AF8" w:rsidRDefault="00000000">
      <w:pPr>
        <w:pStyle w:val="3"/>
        <w:keepNext w:val="0"/>
        <w:keepLines w:val="0"/>
        <w:adjustRightInd w:val="0"/>
        <w:snapToGrid w:val="0"/>
        <w:spacing w:beforeLines="50" w:before="162"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4.2.1 </w:t>
      </w:r>
      <w:r>
        <w:rPr>
          <w:rFonts w:eastAsia="黑体"/>
          <w:b w:val="0"/>
          <w:snapToGrid w:val="0"/>
          <w:color w:val="000000" w:themeColor="text1"/>
          <w:kern w:val="0"/>
          <w:sz w:val="28"/>
          <w:szCs w:val="28"/>
        </w:rPr>
        <w:t>安全检查表（</w:t>
      </w:r>
      <w:r>
        <w:rPr>
          <w:rFonts w:eastAsia="黑体"/>
          <w:b w:val="0"/>
          <w:snapToGrid w:val="0"/>
          <w:color w:val="000000" w:themeColor="text1"/>
          <w:kern w:val="0"/>
          <w:sz w:val="28"/>
          <w:szCs w:val="28"/>
        </w:rPr>
        <w:t>SCL</w:t>
      </w:r>
      <w:r>
        <w:rPr>
          <w:rFonts w:eastAsia="黑体"/>
          <w:b w:val="0"/>
          <w:snapToGrid w:val="0"/>
          <w:color w:val="000000" w:themeColor="text1"/>
          <w:kern w:val="0"/>
          <w:sz w:val="28"/>
          <w:szCs w:val="28"/>
        </w:rPr>
        <w:t>）</w:t>
      </w:r>
    </w:p>
    <w:p w14:paraId="5AA51299"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安全检查表是系统安全工程的一种最基础、最简便且广泛应用的系统危险性评价方法。安全检查表是由一些对工艺过程、机械设备和作业情况熟悉并富有安全技术、安全管理经验的人员，事先对分析对象进行详尽的分析和充分的讨论，列出检查单元和部位、检查项目、检查要求、检查结果等内容的表格（或清单），在对工程设计中与国家有关法律、法规、技术标准的符合情况做出分析和判断，发现存在的问题及潜在的危险，并据此提出安全对策措施及建议。</w:t>
      </w:r>
    </w:p>
    <w:p w14:paraId="09C766A1" w14:textId="77777777" w:rsidR="002D2AF8" w:rsidRDefault="00000000">
      <w:pPr>
        <w:adjustRightInd w:val="0"/>
        <w:snapToGrid w:val="0"/>
        <w:spacing w:line="360" w:lineRule="auto"/>
        <w:ind w:firstLineChars="200" w:firstLine="566"/>
        <w:rPr>
          <w:snapToGrid w:val="0"/>
          <w:color w:val="000000" w:themeColor="text1"/>
          <w:kern w:val="0"/>
          <w:sz w:val="28"/>
        </w:rPr>
      </w:pPr>
      <w:r>
        <w:rPr>
          <w:snapToGrid w:val="0"/>
          <w:color w:val="000000" w:themeColor="text1"/>
          <w:kern w:val="0"/>
          <w:sz w:val="28"/>
        </w:rPr>
        <w:t>安全检查表以下列格式列出，对于符合要求的检查内容，在检查结果栏中标以</w:t>
      </w:r>
      <w:r>
        <w:rPr>
          <w:snapToGrid w:val="0"/>
          <w:color w:val="000000" w:themeColor="text1"/>
          <w:kern w:val="0"/>
          <w:sz w:val="28"/>
        </w:rPr>
        <w:t>“√”</w:t>
      </w:r>
      <w:r>
        <w:rPr>
          <w:snapToGrid w:val="0"/>
          <w:color w:val="000000" w:themeColor="text1"/>
          <w:kern w:val="0"/>
          <w:sz w:val="28"/>
        </w:rPr>
        <w:t>，对于不符合要求的检查项目在检查结果栏中标以</w:t>
      </w:r>
      <w:r>
        <w:rPr>
          <w:snapToGrid w:val="0"/>
          <w:color w:val="000000" w:themeColor="text1"/>
          <w:kern w:val="0"/>
          <w:sz w:val="28"/>
        </w:rPr>
        <w:t>“×”</w:t>
      </w:r>
      <w:r>
        <w:rPr>
          <w:snapToGrid w:val="0"/>
          <w:color w:val="000000" w:themeColor="text1"/>
          <w:kern w:val="0"/>
          <w:sz w:val="28"/>
        </w:rPr>
        <w:t>。见下表</w:t>
      </w:r>
      <w:r>
        <w:rPr>
          <w:snapToGrid w:val="0"/>
          <w:color w:val="000000" w:themeColor="text1"/>
          <w:kern w:val="0"/>
          <w:sz w:val="28"/>
        </w:rPr>
        <w:t>4-2</w:t>
      </w:r>
      <w:r>
        <w:rPr>
          <w:snapToGrid w:val="0"/>
          <w:color w:val="000000" w:themeColor="text1"/>
          <w:kern w:val="0"/>
          <w:sz w:val="28"/>
        </w:rPr>
        <w:t>。</w:t>
      </w:r>
    </w:p>
    <w:p w14:paraId="41B8E94F" w14:textId="77777777" w:rsidR="002D2AF8" w:rsidRDefault="00000000">
      <w:pPr>
        <w:adjustRightInd w:val="0"/>
        <w:snapToGrid w:val="0"/>
        <w:spacing w:line="360" w:lineRule="auto"/>
        <w:jc w:val="center"/>
        <w:rPr>
          <w:b/>
          <w:snapToGrid w:val="0"/>
          <w:color w:val="000000" w:themeColor="text1"/>
          <w:kern w:val="0"/>
          <w:sz w:val="24"/>
        </w:rPr>
      </w:pPr>
      <w:r>
        <w:rPr>
          <w:b/>
          <w:snapToGrid w:val="0"/>
          <w:color w:val="000000" w:themeColor="text1"/>
          <w:kern w:val="0"/>
          <w:sz w:val="24"/>
        </w:rPr>
        <w:t>表</w:t>
      </w:r>
      <w:r>
        <w:rPr>
          <w:b/>
          <w:snapToGrid w:val="0"/>
          <w:color w:val="000000" w:themeColor="text1"/>
          <w:kern w:val="0"/>
          <w:sz w:val="24"/>
        </w:rPr>
        <w:t xml:space="preserve">4-2 </w:t>
      </w:r>
      <w:r>
        <w:rPr>
          <w:b/>
          <w:snapToGrid w:val="0"/>
          <w:color w:val="000000" w:themeColor="text1"/>
          <w:kern w:val="0"/>
          <w:sz w:val="24"/>
        </w:rPr>
        <w:t>安全检查表</w:t>
      </w:r>
    </w:p>
    <w:tbl>
      <w:tblPr>
        <w:tblW w:w="852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114"/>
        <w:gridCol w:w="1852"/>
        <w:gridCol w:w="1852"/>
        <w:gridCol w:w="1852"/>
        <w:gridCol w:w="1852"/>
      </w:tblGrid>
      <w:tr w:rsidR="002D2AF8" w14:paraId="290AA8B5" w14:textId="77777777">
        <w:trPr>
          <w:cantSplit/>
          <w:trHeight w:val="397"/>
        </w:trPr>
        <w:tc>
          <w:tcPr>
            <w:tcW w:w="1114" w:type="dxa"/>
            <w:vAlign w:val="center"/>
          </w:tcPr>
          <w:p w14:paraId="6DDB45BA" w14:textId="77777777" w:rsidR="002D2AF8" w:rsidRDefault="00000000">
            <w:pPr>
              <w:adjustRightInd w:val="0"/>
              <w:snapToGrid w:val="0"/>
              <w:jc w:val="center"/>
              <w:rPr>
                <w:b/>
                <w:color w:val="000000" w:themeColor="text1"/>
                <w:szCs w:val="21"/>
              </w:rPr>
            </w:pPr>
            <w:r>
              <w:rPr>
                <w:b/>
                <w:color w:val="000000" w:themeColor="text1"/>
                <w:szCs w:val="21"/>
              </w:rPr>
              <w:t>序号</w:t>
            </w:r>
          </w:p>
        </w:tc>
        <w:tc>
          <w:tcPr>
            <w:tcW w:w="1852" w:type="dxa"/>
            <w:vAlign w:val="center"/>
          </w:tcPr>
          <w:p w14:paraId="100EDC18" w14:textId="77777777" w:rsidR="002D2AF8" w:rsidRDefault="00000000">
            <w:pPr>
              <w:adjustRightInd w:val="0"/>
              <w:snapToGrid w:val="0"/>
              <w:jc w:val="center"/>
              <w:rPr>
                <w:b/>
                <w:color w:val="000000" w:themeColor="text1"/>
                <w:szCs w:val="21"/>
              </w:rPr>
            </w:pPr>
            <w:r>
              <w:rPr>
                <w:b/>
                <w:color w:val="000000" w:themeColor="text1"/>
                <w:szCs w:val="21"/>
              </w:rPr>
              <w:t>检查项目</w:t>
            </w:r>
          </w:p>
        </w:tc>
        <w:tc>
          <w:tcPr>
            <w:tcW w:w="1852" w:type="dxa"/>
            <w:vAlign w:val="center"/>
          </w:tcPr>
          <w:p w14:paraId="251E515F" w14:textId="77777777" w:rsidR="002D2AF8" w:rsidRDefault="00000000">
            <w:pPr>
              <w:adjustRightInd w:val="0"/>
              <w:snapToGrid w:val="0"/>
              <w:jc w:val="center"/>
              <w:rPr>
                <w:b/>
                <w:color w:val="000000" w:themeColor="text1"/>
                <w:szCs w:val="21"/>
              </w:rPr>
            </w:pPr>
            <w:r>
              <w:rPr>
                <w:b/>
                <w:color w:val="000000" w:themeColor="text1"/>
                <w:szCs w:val="21"/>
              </w:rPr>
              <w:t>检查依据</w:t>
            </w:r>
          </w:p>
        </w:tc>
        <w:tc>
          <w:tcPr>
            <w:tcW w:w="1852" w:type="dxa"/>
            <w:vAlign w:val="center"/>
          </w:tcPr>
          <w:p w14:paraId="17247C63" w14:textId="77777777" w:rsidR="002D2AF8" w:rsidRDefault="00000000">
            <w:pPr>
              <w:adjustRightInd w:val="0"/>
              <w:snapToGrid w:val="0"/>
              <w:jc w:val="center"/>
              <w:rPr>
                <w:b/>
                <w:color w:val="000000" w:themeColor="text1"/>
                <w:szCs w:val="21"/>
              </w:rPr>
            </w:pPr>
            <w:r>
              <w:rPr>
                <w:b/>
                <w:color w:val="000000" w:themeColor="text1"/>
                <w:szCs w:val="21"/>
              </w:rPr>
              <w:t>检查结果</w:t>
            </w:r>
          </w:p>
        </w:tc>
        <w:tc>
          <w:tcPr>
            <w:tcW w:w="1852" w:type="dxa"/>
            <w:vAlign w:val="center"/>
          </w:tcPr>
          <w:p w14:paraId="6DC49164" w14:textId="77777777" w:rsidR="002D2AF8" w:rsidRDefault="00000000">
            <w:pPr>
              <w:adjustRightInd w:val="0"/>
              <w:snapToGrid w:val="0"/>
              <w:jc w:val="center"/>
              <w:rPr>
                <w:b/>
                <w:color w:val="000000" w:themeColor="text1"/>
                <w:szCs w:val="21"/>
              </w:rPr>
            </w:pPr>
            <w:r>
              <w:rPr>
                <w:b/>
                <w:color w:val="000000" w:themeColor="text1"/>
                <w:szCs w:val="21"/>
              </w:rPr>
              <w:t>实际情况</w:t>
            </w:r>
          </w:p>
        </w:tc>
      </w:tr>
      <w:tr w:rsidR="002D2AF8" w14:paraId="015FD4D5" w14:textId="77777777">
        <w:trPr>
          <w:cantSplit/>
          <w:trHeight w:val="397"/>
        </w:trPr>
        <w:tc>
          <w:tcPr>
            <w:tcW w:w="1114" w:type="dxa"/>
            <w:vAlign w:val="center"/>
          </w:tcPr>
          <w:p w14:paraId="18F6F981" w14:textId="77777777" w:rsidR="002D2AF8" w:rsidRDefault="002D2AF8">
            <w:pPr>
              <w:pStyle w:val="affb"/>
              <w:rPr>
                <w:snapToGrid w:val="0"/>
                <w:color w:val="000000" w:themeColor="text1"/>
              </w:rPr>
            </w:pPr>
          </w:p>
        </w:tc>
        <w:tc>
          <w:tcPr>
            <w:tcW w:w="1852" w:type="dxa"/>
            <w:vAlign w:val="center"/>
          </w:tcPr>
          <w:p w14:paraId="55CE83DB" w14:textId="77777777" w:rsidR="002D2AF8" w:rsidRDefault="002D2AF8">
            <w:pPr>
              <w:adjustRightInd w:val="0"/>
              <w:snapToGrid w:val="0"/>
              <w:rPr>
                <w:b/>
                <w:snapToGrid w:val="0"/>
                <w:color w:val="000000" w:themeColor="text1"/>
                <w:kern w:val="0"/>
                <w:szCs w:val="21"/>
              </w:rPr>
            </w:pPr>
          </w:p>
        </w:tc>
        <w:tc>
          <w:tcPr>
            <w:tcW w:w="1852" w:type="dxa"/>
            <w:vAlign w:val="center"/>
          </w:tcPr>
          <w:p w14:paraId="6EA55906" w14:textId="77777777" w:rsidR="002D2AF8" w:rsidRDefault="002D2AF8">
            <w:pPr>
              <w:adjustRightInd w:val="0"/>
              <w:snapToGrid w:val="0"/>
              <w:jc w:val="center"/>
              <w:rPr>
                <w:snapToGrid w:val="0"/>
                <w:color w:val="000000" w:themeColor="text1"/>
                <w:kern w:val="0"/>
                <w:szCs w:val="21"/>
              </w:rPr>
            </w:pPr>
          </w:p>
        </w:tc>
        <w:tc>
          <w:tcPr>
            <w:tcW w:w="1852" w:type="dxa"/>
            <w:vAlign w:val="center"/>
          </w:tcPr>
          <w:p w14:paraId="58552DAB" w14:textId="77777777" w:rsidR="002D2AF8" w:rsidRDefault="002D2AF8">
            <w:pPr>
              <w:adjustRightInd w:val="0"/>
              <w:snapToGrid w:val="0"/>
              <w:jc w:val="center"/>
              <w:rPr>
                <w:bCs/>
                <w:snapToGrid w:val="0"/>
                <w:color w:val="000000" w:themeColor="text1"/>
                <w:kern w:val="0"/>
                <w:szCs w:val="21"/>
              </w:rPr>
            </w:pPr>
          </w:p>
        </w:tc>
        <w:tc>
          <w:tcPr>
            <w:tcW w:w="1852" w:type="dxa"/>
            <w:vAlign w:val="center"/>
          </w:tcPr>
          <w:p w14:paraId="56C5E7F0" w14:textId="77777777" w:rsidR="002D2AF8" w:rsidRDefault="002D2AF8">
            <w:pPr>
              <w:pStyle w:val="affb"/>
              <w:rPr>
                <w:snapToGrid w:val="0"/>
                <w:color w:val="000000" w:themeColor="text1"/>
              </w:rPr>
            </w:pPr>
          </w:p>
        </w:tc>
      </w:tr>
    </w:tbl>
    <w:p w14:paraId="54749F68" w14:textId="77777777" w:rsidR="002D2AF8" w:rsidRDefault="00000000">
      <w:pPr>
        <w:adjustRightInd w:val="0"/>
        <w:snapToGrid w:val="0"/>
        <w:spacing w:beforeLines="50" w:before="162" w:line="360" w:lineRule="auto"/>
        <w:ind w:firstLineChars="200" w:firstLine="566"/>
        <w:rPr>
          <w:color w:val="000000" w:themeColor="text1"/>
          <w:sz w:val="28"/>
        </w:rPr>
      </w:pPr>
      <w:r>
        <w:rPr>
          <w:color w:val="000000" w:themeColor="text1"/>
          <w:sz w:val="28"/>
        </w:rPr>
        <w:t>安全检查表的具体操作程序如下：</w:t>
      </w:r>
    </w:p>
    <w:p w14:paraId="1914432F"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1.</w:t>
      </w:r>
      <w:r>
        <w:rPr>
          <w:color w:val="000000" w:themeColor="text1"/>
          <w:sz w:val="28"/>
        </w:rPr>
        <w:t>熟悉系统</w:t>
      </w:r>
    </w:p>
    <w:p w14:paraId="39621E51"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包括系统结构、功能、工艺流程、主要设备、操作条件、平面</w:t>
      </w:r>
      <w:r>
        <w:rPr>
          <w:color w:val="000000" w:themeColor="text1"/>
          <w:sz w:val="28"/>
        </w:rPr>
        <w:lastRenderedPageBreak/>
        <w:t>布置、已有的安全卫生设施、安全管理现状等。</w:t>
      </w:r>
    </w:p>
    <w:p w14:paraId="0431E4C4"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2.</w:t>
      </w:r>
      <w:r>
        <w:rPr>
          <w:color w:val="000000" w:themeColor="text1"/>
          <w:sz w:val="28"/>
        </w:rPr>
        <w:t>搜集资料</w:t>
      </w:r>
    </w:p>
    <w:p w14:paraId="0921F6CB"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搜集有关的安全法规、标准、制度以及本系统过去发生过事故的资料，作为编制安全检查表的依据。</w:t>
      </w:r>
    </w:p>
    <w:p w14:paraId="77057713"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3.</w:t>
      </w:r>
      <w:r>
        <w:rPr>
          <w:color w:val="000000" w:themeColor="text1"/>
          <w:sz w:val="28"/>
        </w:rPr>
        <w:t>划分单元</w:t>
      </w:r>
    </w:p>
    <w:p w14:paraId="27B60FFC"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按功能或结构将系统划分成子系统或单元。</w:t>
      </w:r>
    </w:p>
    <w:p w14:paraId="0E900899"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4.</w:t>
      </w:r>
      <w:r>
        <w:rPr>
          <w:color w:val="000000" w:themeColor="text1"/>
          <w:sz w:val="28"/>
        </w:rPr>
        <w:t>编制安全检查表</w:t>
      </w:r>
    </w:p>
    <w:p w14:paraId="46A68516"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针对危险因素，依据有关法规、标准规定，参考过去的事故教训和本单位的经验确定安全检查表的检查要点、内容和为达到安全指标应采取的措施，并按照一定的要求编制安全检查表。</w:t>
      </w:r>
    </w:p>
    <w:p w14:paraId="7D4C7CF9"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5.</w:t>
      </w:r>
      <w:r>
        <w:rPr>
          <w:color w:val="000000" w:themeColor="text1"/>
          <w:sz w:val="28"/>
        </w:rPr>
        <w:t>实施检查</w:t>
      </w:r>
    </w:p>
    <w:p w14:paraId="7A635071"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对照已编制完成的安全检查表，进行逐项检查，对检查项目的符合性作出判断。</w:t>
      </w:r>
    </w:p>
    <w:p w14:paraId="4F120625"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6.</w:t>
      </w:r>
      <w:r>
        <w:rPr>
          <w:color w:val="000000" w:themeColor="text1"/>
          <w:sz w:val="28"/>
        </w:rPr>
        <w:t>评价结果汇总</w:t>
      </w:r>
    </w:p>
    <w:p w14:paraId="0182A677" w14:textId="77777777" w:rsidR="002D2AF8" w:rsidRDefault="00000000">
      <w:pPr>
        <w:snapToGrid w:val="0"/>
        <w:spacing w:line="360" w:lineRule="auto"/>
        <w:ind w:firstLineChars="200" w:firstLine="566"/>
        <w:rPr>
          <w:color w:val="000000" w:themeColor="text1"/>
          <w:szCs w:val="28"/>
        </w:rPr>
      </w:pPr>
      <w:r>
        <w:rPr>
          <w:color w:val="000000" w:themeColor="text1"/>
          <w:sz w:val="28"/>
        </w:rPr>
        <w:t>将检查的结果汇总，并据此提出具体的安全对策措施及建议。</w:t>
      </w:r>
    </w:p>
    <w:p w14:paraId="0C38E1B9" w14:textId="77777777" w:rsidR="002D2AF8" w:rsidRDefault="00000000">
      <w:pPr>
        <w:pStyle w:val="3"/>
        <w:keepNext w:val="0"/>
        <w:keepLines w:val="0"/>
        <w:adjustRightInd w:val="0"/>
        <w:snapToGrid w:val="0"/>
        <w:spacing w:before="0" w:after="0" w:line="360" w:lineRule="auto"/>
        <w:rPr>
          <w:rFonts w:eastAsia="黑体"/>
          <w:b w:val="0"/>
          <w:snapToGrid w:val="0"/>
          <w:color w:val="000000" w:themeColor="text1"/>
          <w:kern w:val="0"/>
          <w:sz w:val="28"/>
          <w:szCs w:val="28"/>
        </w:rPr>
      </w:pPr>
      <w:r>
        <w:rPr>
          <w:rFonts w:eastAsia="黑体"/>
          <w:b w:val="0"/>
          <w:snapToGrid w:val="0"/>
          <w:color w:val="000000" w:themeColor="text1"/>
          <w:kern w:val="0"/>
          <w:sz w:val="28"/>
          <w:szCs w:val="28"/>
        </w:rPr>
        <w:t xml:space="preserve">4.2.2 </w:t>
      </w:r>
      <w:r>
        <w:rPr>
          <w:rFonts w:eastAsia="黑体"/>
          <w:b w:val="0"/>
          <w:snapToGrid w:val="0"/>
          <w:color w:val="000000" w:themeColor="text1"/>
          <w:kern w:val="0"/>
          <w:sz w:val="28"/>
          <w:szCs w:val="28"/>
        </w:rPr>
        <w:t>作业条件危险性评价法（</w:t>
      </w:r>
      <w:r>
        <w:rPr>
          <w:rFonts w:eastAsia="黑体"/>
          <w:b w:val="0"/>
          <w:snapToGrid w:val="0"/>
          <w:color w:val="000000" w:themeColor="text1"/>
          <w:kern w:val="0"/>
          <w:sz w:val="28"/>
          <w:szCs w:val="28"/>
        </w:rPr>
        <w:t>LEC</w:t>
      </w:r>
      <w:r>
        <w:rPr>
          <w:rFonts w:eastAsia="黑体"/>
          <w:b w:val="0"/>
          <w:snapToGrid w:val="0"/>
          <w:color w:val="000000" w:themeColor="text1"/>
          <w:kern w:val="0"/>
          <w:sz w:val="28"/>
          <w:szCs w:val="28"/>
        </w:rPr>
        <w:t>）</w:t>
      </w:r>
    </w:p>
    <w:p w14:paraId="7D383C6A" w14:textId="77777777" w:rsidR="002D2AF8"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作业条件危险性评价法是以所评价的环境与某些作为参考环境的对比为基础，将作业条件的危险性做因变量（</w:t>
      </w:r>
      <w:r>
        <w:rPr>
          <w:snapToGrid w:val="0"/>
          <w:color w:val="000000" w:themeColor="text1"/>
          <w:kern w:val="0"/>
          <w:sz w:val="28"/>
          <w:szCs w:val="28"/>
        </w:rPr>
        <w:t>D</w:t>
      </w:r>
      <w:r>
        <w:rPr>
          <w:snapToGrid w:val="0"/>
          <w:color w:val="000000" w:themeColor="text1"/>
          <w:kern w:val="0"/>
          <w:sz w:val="28"/>
          <w:szCs w:val="28"/>
        </w:rPr>
        <w:t>），事故或危险事件发生的可能性（</w:t>
      </w:r>
      <w:r>
        <w:rPr>
          <w:snapToGrid w:val="0"/>
          <w:color w:val="000000" w:themeColor="text1"/>
          <w:kern w:val="0"/>
          <w:sz w:val="28"/>
          <w:szCs w:val="28"/>
        </w:rPr>
        <w:t>L</w:t>
      </w:r>
      <w:r>
        <w:rPr>
          <w:snapToGrid w:val="0"/>
          <w:color w:val="000000" w:themeColor="text1"/>
          <w:kern w:val="0"/>
          <w:sz w:val="28"/>
          <w:szCs w:val="28"/>
        </w:rPr>
        <w:t>）、暴露于危险环境的频率（</w:t>
      </w:r>
      <w:r>
        <w:rPr>
          <w:snapToGrid w:val="0"/>
          <w:color w:val="000000" w:themeColor="text1"/>
          <w:kern w:val="0"/>
          <w:sz w:val="28"/>
          <w:szCs w:val="28"/>
        </w:rPr>
        <w:t>E</w:t>
      </w:r>
      <w:r>
        <w:rPr>
          <w:snapToGrid w:val="0"/>
          <w:color w:val="000000" w:themeColor="text1"/>
          <w:kern w:val="0"/>
          <w:sz w:val="28"/>
          <w:szCs w:val="28"/>
        </w:rPr>
        <w:t>）及危险严重程度（</w:t>
      </w:r>
      <w:r>
        <w:rPr>
          <w:snapToGrid w:val="0"/>
          <w:color w:val="000000" w:themeColor="text1"/>
          <w:kern w:val="0"/>
          <w:sz w:val="28"/>
          <w:szCs w:val="28"/>
        </w:rPr>
        <w:t>C</w:t>
      </w:r>
      <w:r>
        <w:rPr>
          <w:snapToGrid w:val="0"/>
          <w:color w:val="000000" w:themeColor="text1"/>
          <w:kern w:val="0"/>
          <w:sz w:val="28"/>
          <w:szCs w:val="28"/>
        </w:rPr>
        <w:t>）为自变量，确定他们之间的函数式。对所评价的对象根据情况进行</w:t>
      </w:r>
      <w:r>
        <w:rPr>
          <w:snapToGrid w:val="0"/>
          <w:color w:val="000000" w:themeColor="text1"/>
          <w:kern w:val="0"/>
          <w:sz w:val="28"/>
          <w:szCs w:val="28"/>
        </w:rPr>
        <w:t>“</w:t>
      </w:r>
      <w:r>
        <w:rPr>
          <w:snapToGrid w:val="0"/>
          <w:color w:val="000000" w:themeColor="text1"/>
          <w:kern w:val="0"/>
          <w:sz w:val="28"/>
          <w:szCs w:val="28"/>
        </w:rPr>
        <w:t>打分</w:t>
      </w:r>
      <w:r>
        <w:rPr>
          <w:snapToGrid w:val="0"/>
          <w:color w:val="000000" w:themeColor="text1"/>
          <w:kern w:val="0"/>
          <w:sz w:val="28"/>
          <w:szCs w:val="28"/>
        </w:rPr>
        <w:t>”</w:t>
      </w:r>
      <w:r>
        <w:rPr>
          <w:snapToGrid w:val="0"/>
          <w:color w:val="000000" w:themeColor="text1"/>
          <w:kern w:val="0"/>
          <w:sz w:val="28"/>
          <w:szCs w:val="28"/>
        </w:rPr>
        <w:t>，然后根据公式计算出其危险程度。从而定量的对其危险性进行评价。</w:t>
      </w:r>
    </w:p>
    <w:p w14:paraId="71729B6A" w14:textId="77777777" w:rsidR="002D2AF8"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作业条件危险性评价是一种简单的半定量评价，是根据事故发生的可能性、人员暴露于危险环境的频率程度和一旦发生事故可能造成的后果等因素来确定的。</w:t>
      </w:r>
    </w:p>
    <w:p w14:paraId="54C11F21" w14:textId="77777777" w:rsidR="002D2AF8"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lastRenderedPageBreak/>
        <w:t>L-</w:t>
      </w:r>
      <w:r>
        <w:rPr>
          <w:snapToGrid w:val="0"/>
          <w:color w:val="000000" w:themeColor="text1"/>
          <w:kern w:val="0"/>
          <w:sz w:val="28"/>
          <w:szCs w:val="28"/>
        </w:rPr>
        <w:t>事故或危险时间发生的可能性；</w:t>
      </w:r>
    </w:p>
    <w:p w14:paraId="0FD404F1" w14:textId="77777777" w:rsidR="002D2AF8"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E—</w:t>
      </w:r>
      <w:r>
        <w:rPr>
          <w:snapToGrid w:val="0"/>
          <w:color w:val="000000" w:themeColor="text1"/>
          <w:kern w:val="0"/>
          <w:sz w:val="28"/>
          <w:szCs w:val="28"/>
        </w:rPr>
        <w:t>暴露于危险环境的频率；</w:t>
      </w:r>
    </w:p>
    <w:p w14:paraId="53CE3DC2" w14:textId="77777777" w:rsidR="002D2AF8"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C—</w:t>
      </w:r>
      <w:r>
        <w:rPr>
          <w:snapToGrid w:val="0"/>
          <w:color w:val="000000" w:themeColor="text1"/>
          <w:kern w:val="0"/>
          <w:sz w:val="28"/>
          <w:szCs w:val="28"/>
        </w:rPr>
        <w:t>发生事故或危险事件的可能结果。</w:t>
      </w:r>
    </w:p>
    <w:p w14:paraId="2A241BC3" w14:textId="77777777" w:rsidR="002D2AF8" w:rsidRDefault="00000000">
      <w:pPr>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作业条件的危险性：</w:t>
      </w:r>
      <w:r>
        <w:rPr>
          <w:snapToGrid w:val="0"/>
          <w:color w:val="000000" w:themeColor="text1"/>
          <w:kern w:val="0"/>
          <w:sz w:val="28"/>
          <w:szCs w:val="28"/>
        </w:rPr>
        <w:t>D=L·E·C</w:t>
      </w:r>
    </w:p>
    <w:p w14:paraId="4649CAFA" w14:textId="77777777" w:rsidR="002D2AF8" w:rsidRDefault="00000000">
      <w:pPr>
        <w:numPr>
          <w:ilvl w:val="0"/>
          <w:numId w:val="12"/>
        </w:numPr>
        <w:autoSpaceDE w:val="0"/>
        <w:autoSpaceDN w:val="0"/>
        <w:adjustRightInd w:val="0"/>
        <w:snapToGrid w:val="0"/>
        <w:spacing w:line="360" w:lineRule="auto"/>
        <w:ind w:firstLineChars="200" w:firstLine="566"/>
        <w:rPr>
          <w:snapToGrid w:val="0"/>
          <w:color w:val="000000" w:themeColor="text1"/>
          <w:kern w:val="0"/>
          <w:sz w:val="28"/>
          <w:szCs w:val="28"/>
        </w:rPr>
      </w:pPr>
      <w:r>
        <w:rPr>
          <w:snapToGrid w:val="0"/>
          <w:color w:val="000000" w:themeColor="text1"/>
          <w:kern w:val="0"/>
          <w:sz w:val="28"/>
          <w:szCs w:val="28"/>
        </w:rPr>
        <w:t>E</w:t>
      </w:r>
      <w:r>
        <w:rPr>
          <w:snapToGrid w:val="0"/>
          <w:color w:val="000000" w:themeColor="text1"/>
          <w:kern w:val="0"/>
          <w:sz w:val="28"/>
          <w:szCs w:val="28"/>
        </w:rPr>
        <w:t>、</w:t>
      </w:r>
      <w:r>
        <w:rPr>
          <w:snapToGrid w:val="0"/>
          <w:color w:val="000000" w:themeColor="text1"/>
          <w:kern w:val="0"/>
          <w:sz w:val="28"/>
          <w:szCs w:val="28"/>
        </w:rPr>
        <w:t>C</w:t>
      </w:r>
      <w:r>
        <w:rPr>
          <w:snapToGrid w:val="0"/>
          <w:color w:val="000000" w:themeColor="text1"/>
          <w:kern w:val="0"/>
          <w:sz w:val="28"/>
          <w:szCs w:val="28"/>
        </w:rPr>
        <w:t>取值见表</w:t>
      </w:r>
      <w:r>
        <w:rPr>
          <w:snapToGrid w:val="0"/>
          <w:color w:val="000000" w:themeColor="text1"/>
          <w:kern w:val="0"/>
          <w:sz w:val="28"/>
          <w:szCs w:val="28"/>
        </w:rPr>
        <w:t>4-3</w:t>
      </w:r>
      <w:r>
        <w:rPr>
          <w:snapToGrid w:val="0"/>
          <w:color w:val="000000" w:themeColor="text1"/>
          <w:kern w:val="0"/>
          <w:sz w:val="28"/>
          <w:szCs w:val="28"/>
        </w:rPr>
        <w:t>、</w:t>
      </w:r>
      <w:r>
        <w:rPr>
          <w:snapToGrid w:val="0"/>
          <w:color w:val="000000" w:themeColor="text1"/>
          <w:kern w:val="0"/>
          <w:sz w:val="28"/>
          <w:szCs w:val="28"/>
        </w:rPr>
        <w:t>4-4</w:t>
      </w:r>
      <w:r>
        <w:rPr>
          <w:snapToGrid w:val="0"/>
          <w:color w:val="000000" w:themeColor="text1"/>
          <w:kern w:val="0"/>
          <w:sz w:val="28"/>
          <w:szCs w:val="28"/>
        </w:rPr>
        <w:t>、</w:t>
      </w:r>
      <w:r>
        <w:rPr>
          <w:snapToGrid w:val="0"/>
          <w:color w:val="000000" w:themeColor="text1"/>
          <w:kern w:val="0"/>
          <w:sz w:val="28"/>
          <w:szCs w:val="28"/>
        </w:rPr>
        <w:t>4-5</w:t>
      </w:r>
      <w:r>
        <w:rPr>
          <w:snapToGrid w:val="0"/>
          <w:color w:val="000000" w:themeColor="text1"/>
          <w:kern w:val="0"/>
          <w:sz w:val="28"/>
          <w:szCs w:val="28"/>
        </w:rPr>
        <w:t>，</w:t>
      </w:r>
      <w:r>
        <w:rPr>
          <w:snapToGrid w:val="0"/>
          <w:color w:val="000000" w:themeColor="text1"/>
          <w:kern w:val="0"/>
          <w:sz w:val="28"/>
          <w:szCs w:val="28"/>
        </w:rPr>
        <w:t>D</w:t>
      </w:r>
      <w:r>
        <w:rPr>
          <w:snapToGrid w:val="0"/>
          <w:color w:val="000000" w:themeColor="text1"/>
          <w:kern w:val="0"/>
          <w:sz w:val="28"/>
          <w:szCs w:val="28"/>
        </w:rPr>
        <w:t>值见表</w:t>
      </w:r>
      <w:r>
        <w:rPr>
          <w:snapToGrid w:val="0"/>
          <w:color w:val="000000" w:themeColor="text1"/>
          <w:kern w:val="0"/>
          <w:sz w:val="28"/>
          <w:szCs w:val="28"/>
        </w:rPr>
        <w:t>4-6</w:t>
      </w:r>
      <w:r>
        <w:rPr>
          <w:snapToGrid w:val="0"/>
          <w:color w:val="000000" w:themeColor="text1"/>
          <w:kern w:val="0"/>
          <w:sz w:val="28"/>
          <w:szCs w:val="28"/>
        </w:rPr>
        <w:t>。</w:t>
      </w:r>
    </w:p>
    <w:p w14:paraId="17FCA912" w14:textId="77777777" w:rsidR="002D2AF8" w:rsidRDefault="00000000">
      <w:pPr>
        <w:adjustRightInd w:val="0"/>
        <w:snapToGrid w:val="0"/>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4-3  </w:t>
      </w:r>
      <w:r>
        <w:rPr>
          <w:b/>
          <w:bCs/>
          <w:snapToGrid w:val="0"/>
          <w:color w:val="000000" w:themeColor="text1"/>
          <w:kern w:val="0"/>
          <w:sz w:val="24"/>
        </w:rPr>
        <w:t>发生事故或危险事件的可能性分值表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302"/>
        <w:gridCol w:w="3256"/>
        <w:gridCol w:w="1218"/>
        <w:gridCol w:w="3340"/>
      </w:tblGrid>
      <w:tr w:rsidR="002D2AF8" w14:paraId="4A3E0370" w14:textId="77777777">
        <w:trPr>
          <w:tblHeader/>
          <w:jc w:val="center"/>
        </w:trPr>
        <w:tc>
          <w:tcPr>
            <w:tcW w:w="1302" w:type="dxa"/>
            <w:tcBorders>
              <w:tl2br w:val="nil"/>
              <w:tr2bl w:val="nil"/>
            </w:tcBorders>
            <w:tcMar>
              <w:top w:w="85" w:type="dxa"/>
              <w:left w:w="85" w:type="dxa"/>
              <w:bottom w:w="85" w:type="dxa"/>
              <w:right w:w="85" w:type="dxa"/>
            </w:tcMar>
            <w:vAlign w:val="center"/>
          </w:tcPr>
          <w:p w14:paraId="52EEDF9F"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256" w:type="dxa"/>
            <w:tcBorders>
              <w:tl2br w:val="nil"/>
              <w:tr2bl w:val="nil"/>
            </w:tcBorders>
            <w:tcMar>
              <w:top w:w="85" w:type="dxa"/>
              <w:left w:w="85" w:type="dxa"/>
              <w:bottom w:w="85" w:type="dxa"/>
              <w:right w:w="85" w:type="dxa"/>
            </w:tcMar>
            <w:vAlign w:val="center"/>
          </w:tcPr>
          <w:p w14:paraId="3105A690"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事故或危险情况发生可能性</w:t>
            </w:r>
          </w:p>
        </w:tc>
        <w:tc>
          <w:tcPr>
            <w:tcW w:w="1218" w:type="dxa"/>
            <w:tcBorders>
              <w:tl2br w:val="nil"/>
              <w:tr2bl w:val="nil"/>
            </w:tcBorders>
            <w:tcMar>
              <w:top w:w="85" w:type="dxa"/>
              <w:left w:w="85" w:type="dxa"/>
              <w:bottom w:w="85" w:type="dxa"/>
              <w:right w:w="85" w:type="dxa"/>
            </w:tcMar>
            <w:vAlign w:val="center"/>
          </w:tcPr>
          <w:p w14:paraId="40D3A6F2"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340" w:type="dxa"/>
            <w:tcBorders>
              <w:tl2br w:val="nil"/>
              <w:tr2bl w:val="nil"/>
            </w:tcBorders>
            <w:tcMar>
              <w:top w:w="85" w:type="dxa"/>
              <w:left w:w="85" w:type="dxa"/>
              <w:bottom w:w="85" w:type="dxa"/>
              <w:right w:w="85" w:type="dxa"/>
            </w:tcMar>
            <w:vAlign w:val="center"/>
          </w:tcPr>
          <w:p w14:paraId="12B87A71"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事故或危险情况发生可能性</w:t>
            </w:r>
          </w:p>
        </w:tc>
      </w:tr>
      <w:tr w:rsidR="002D2AF8" w14:paraId="5A8A7C5E" w14:textId="77777777">
        <w:trPr>
          <w:tblHeader/>
          <w:jc w:val="center"/>
        </w:trPr>
        <w:tc>
          <w:tcPr>
            <w:tcW w:w="1302" w:type="dxa"/>
            <w:tcBorders>
              <w:tl2br w:val="nil"/>
              <w:tr2bl w:val="nil"/>
            </w:tcBorders>
            <w:tcMar>
              <w:top w:w="85" w:type="dxa"/>
              <w:left w:w="85" w:type="dxa"/>
              <w:bottom w:w="85" w:type="dxa"/>
              <w:right w:w="85" w:type="dxa"/>
            </w:tcMar>
            <w:vAlign w:val="center"/>
          </w:tcPr>
          <w:p w14:paraId="4816B6FB"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10×</w:t>
            </w:r>
          </w:p>
        </w:tc>
        <w:tc>
          <w:tcPr>
            <w:tcW w:w="3256" w:type="dxa"/>
            <w:tcBorders>
              <w:tl2br w:val="nil"/>
              <w:tr2bl w:val="nil"/>
            </w:tcBorders>
            <w:tcMar>
              <w:top w:w="85" w:type="dxa"/>
              <w:left w:w="85" w:type="dxa"/>
              <w:bottom w:w="85" w:type="dxa"/>
              <w:right w:w="85" w:type="dxa"/>
            </w:tcMar>
            <w:vAlign w:val="center"/>
          </w:tcPr>
          <w:p w14:paraId="2A76861D"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完全会被预料到</w:t>
            </w:r>
          </w:p>
        </w:tc>
        <w:tc>
          <w:tcPr>
            <w:tcW w:w="1218" w:type="dxa"/>
            <w:tcBorders>
              <w:tl2br w:val="nil"/>
              <w:tr2bl w:val="nil"/>
            </w:tcBorders>
            <w:tcMar>
              <w:top w:w="85" w:type="dxa"/>
              <w:left w:w="85" w:type="dxa"/>
              <w:bottom w:w="85" w:type="dxa"/>
              <w:right w:w="85" w:type="dxa"/>
            </w:tcMar>
            <w:vAlign w:val="center"/>
          </w:tcPr>
          <w:p w14:paraId="2003D297"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0.5</w:t>
            </w:r>
          </w:p>
        </w:tc>
        <w:tc>
          <w:tcPr>
            <w:tcW w:w="3340" w:type="dxa"/>
            <w:tcBorders>
              <w:tl2br w:val="nil"/>
              <w:tr2bl w:val="nil"/>
            </w:tcBorders>
            <w:tcMar>
              <w:top w:w="85" w:type="dxa"/>
              <w:left w:w="85" w:type="dxa"/>
              <w:bottom w:w="85" w:type="dxa"/>
              <w:right w:w="85" w:type="dxa"/>
            </w:tcMar>
            <w:vAlign w:val="center"/>
          </w:tcPr>
          <w:p w14:paraId="4DB2AC58"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可以设想，但高度不可能</w:t>
            </w:r>
          </w:p>
        </w:tc>
      </w:tr>
      <w:tr w:rsidR="002D2AF8" w14:paraId="493AEB6E" w14:textId="77777777">
        <w:trPr>
          <w:tblHeader/>
          <w:jc w:val="center"/>
        </w:trPr>
        <w:tc>
          <w:tcPr>
            <w:tcW w:w="1302" w:type="dxa"/>
            <w:tcBorders>
              <w:tl2br w:val="nil"/>
              <w:tr2bl w:val="nil"/>
            </w:tcBorders>
            <w:tcMar>
              <w:top w:w="85" w:type="dxa"/>
              <w:left w:w="85" w:type="dxa"/>
              <w:bottom w:w="85" w:type="dxa"/>
              <w:right w:w="85" w:type="dxa"/>
            </w:tcMar>
            <w:vAlign w:val="center"/>
          </w:tcPr>
          <w:p w14:paraId="0DD1F82B"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6</w:t>
            </w:r>
          </w:p>
        </w:tc>
        <w:tc>
          <w:tcPr>
            <w:tcW w:w="3256" w:type="dxa"/>
            <w:tcBorders>
              <w:tl2br w:val="nil"/>
              <w:tr2bl w:val="nil"/>
            </w:tcBorders>
            <w:tcMar>
              <w:top w:w="85" w:type="dxa"/>
              <w:left w:w="85" w:type="dxa"/>
              <w:bottom w:w="85" w:type="dxa"/>
              <w:right w:w="85" w:type="dxa"/>
            </w:tcMar>
            <w:vAlign w:val="center"/>
          </w:tcPr>
          <w:p w14:paraId="4B2A512D"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相当可能</w:t>
            </w:r>
          </w:p>
        </w:tc>
        <w:tc>
          <w:tcPr>
            <w:tcW w:w="1218" w:type="dxa"/>
            <w:tcBorders>
              <w:tl2br w:val="nil"/>
              <w:tr2bl w:val="nil"/>
            </w:tcBorders>
            <w:tcMar>
              <w:top w:w="85" w:type="dxa"/>
              <w:left w:w="85" w:type="dxa"/>
              <w:bottom w:w="85" w:type="dxa"/>
              <w:right w:w="85" w:type="dxa"/>
            </w:tcMar>
            <w:vAlign w:val="center"/>
          </w:tcPr>
          <w:p w14:paraId="31791719"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0.2</w:t>
            </w:r>
          </w:p>
        </w:tc>
        <w:tc>
          <w:tcPr>
            <w:tcW w:w="3340" w:type="dxa"/>
            <w:tcBorders>
              <w:tl2br w:val="nil"/>
              <w:tr2bl w:val="nil"/>
            </w:tcBorders>
            <w:tcMar>
              <w:top w:w="85" w:type="dxa"/>
              <w:left w:w="85" w:type="dxa"/>
              <w:bottom w:w="85" w:type="dxa"/>
              <w:right w:w="85" w:type="dxa"/>
            </w:tcMar>
            <w:vAlign w:val="center"/>
          </w:tcPr>
          <w:p w14:paraId="0D77D534"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极不可能</w:t>
            </w:r>
          </w:p>
        </w:tc>
      </w:tr>
      <w:tr w:rsidR="002D2AF8" w14:paraId="79A6AEBE" w14:textId="77777777">
        <w:trPr>
          <w:tblHeader/>
          <w:jc w:val="center"/>
        </w:trPr>
        <w:tc>
          <w:tcPr>
            <w:tcW w:w="1302" w:type="dxa"/>
            <w:tcBorders>
              <w:tl2br w:val="nil"/>
              <w:tr2bl w:val="nil"/>
            </w:tcBorders>
            <w:tcMar>
              <w:top w:w="85" w:type="dxa"/>
              <w:left w:w="85" w:type="dxa"/>
              <w:bottom w:w="85" w:type="dxa"/>
              <w:right w:w="85" w:type="dxa"/>
            </w:tcMar>
            <w:vAlign w:val="center"/>
          </w:tcPr>
          <w:p w14:paraId="7466B5FF"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3</w:t>
            </w:r>
          </w:p>
        </w:tc>
        <w:tc>
          <w:tcPr>
            <w:tcW w:w="3256" w:type="dxa"/>
            <w:tcBorders>
              <w:tl2br w:val="nil"/>
              <w:tr2bl w:val="nil"/>
            </w:tcBorders>
            <w:tcMar>
              <w:top w:w="85" w:type="dxa"/>
              <w:left w:w="85" w:type="dxa"/>
              <w:bottom w:w="85" w:type="dxa"/>
              <w:right w:w="85" w:type="dxa"/>
            </w:tcMar>
            <w:vAlign w:val="center"/>
          </w:tcPr>
          <w:p w14:paraId="2360EC14"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不经常，但可能</w:t>
            </w:r>
          </w:p>
        </w:tc>
        <w:tc>
          <w:tcPr>
            <w:tcW w:w="1218" w:type="dxa"/>
            <w:tcBorders>
              <w:tl2br w:val="nil"/>
              <w:tr2bl w:val="nil"/>
            </w:tcBorders>
            <w:tcMar>
              <w:top w:w="85" w:type="dxa"/>
              <w:left w:w="85" w:type="dxa"/>
              <w:bottom w:w="85" w:type="dxa"/>
              <w:right w:w="85" w:type="dxa"/>
            </w:tcMar>
            <w:vAlign w:val="center"/>
          </w:tcPr>
          <w:p w14:paraId="584D793B"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0.1</w:t>
            </w:r>
            <w:r>
              <w:rPr>
                <w:rFonts w:hint="eastAsia"/>
                <w:snapToGrid w:val="0"/>
                <w:color w:val="000000" w:themeColor="text1"/>
                <w:kern w:val="0"/>
              </w:rPr>
              <w:t>*</w:t>
            </w:r>
          </w:p>
        </w:tc>
        <w:tc>
          <w:tcPr>
            <w:tcW w:w="3340" w:type="dxa"/>
            <w:tcBorders>
              <w:tl2br w:val="nil"/>
              <w:tr2bl w:val="nil"/>
            </w:tcBorders>
            <w:tcMar>
              <w:top w:w="85" w:type="dxa"/>
              <w:left w:w="85" w:type="dxa"/>
              <w:bottom w:w="85" w:type="dxa"/>
              <w:right w:w="85" w:type="dxa"/>
            </w:tcMar>
            <w:vAlign w:val="center"/>
          </w:tcPr>
          <w:p w14:paraId="2F30AE97"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实际上不可能</w:t>
            </w:r>
          </w:p>
        </w:tc>
      </w:tr>
      <w:tr w:rsidR="002D2AF8" w14:paraId="5709763A" w14:textId="77777777">
        <w:trPr>
          <w:tblHeader/>
          <w:jc w:val="center"/>
        </w:trPr>
        <w:tc>
          <w:tcPr>
            <w:tcW w:w="1302" w:type="dxa"/>
            <w:tcBorders>
              <w:tl2br w:val="nil"/>
              <w:tr2bl w:val="nil"/>
            </w:tcBorders>
            <w:tcMar>
              <w:top w:w="85" w:type="dxa"/>
              <w:left w:w="85" w:type="dxa"/>
              <w:bottom w:w="85" w:type="dxa"/>
              <w:right w:w="85" w:type="dxa"/>
            </w:tcMar>
            <w:vAlign w:val="center"/>
          </w:tcPr>
          <w:p w14:paraId="0A8AB1B4"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1×</w:t>
            </w:r>
          </w:p>
        </w:tc>
        <w:tc>
          <w:tcPr>
            <w:tcW w:w="3256" w:type="dxa"/>
            <w:tcBorders>
              <w:tl2br w:val="nil"/>
              <w:tr2bl w:val="nil"/>
            </w:tcBorders>
            <w:tcMar>
              <w:top w:w="85" w:type="dxa"/>
              <w:left w:w="85" w:type="dxa"/>
              <w:bottom w:w="85" w:type="dxa"/>
              <w:right w:w="85" w:type="dxa"/>
            </w:tcMar>
            <w:vAlign w:val="center"/>
          </w:tcPr>
          <w:p w14:paraId="05CFF17A" w14:textId="77777777" w:rsidR="002D2AF8" w:rsidRDefault="00000000">
            <w:pPr>
              <w:autoSpaceDE w:val="0"/>
              <w:autoSpaceDN w:val="0"/>
              <w:adjustRightInd w:val="0"/>
              <w:snapToGrid w:val="0"/>
              <w:jc w:val="center"/>
              <w:rPr>
                <w:snapToGrid w:val="0"/>
                <w:color w:val="000000" w:themeColor="text1"/>
                <w:kern w:val="0"/>
              </w:rPr>
            </w:pPr>
            <w:r>
              <w:rPr>
                <w:snapToGrid w:val="0"/>
                <w:color w:val="000000" w:themeColor="text1"/>
                <w:kern w:val="0"/>
              </w:rPr>
              <w:t>完全意外，极少可能</w:t>
            </w:r>
          </w:p>
        </w:tc>
        <w:tc>
          <w:tcPr>
            <w:tcW w:w="1218" w:type="dxa"/>
            <w:tcBorders>
              <w:tl2br w:val="nil"/>
              <w:tr2bl w:val="nil"/>
            </w:tcBorders>
            <w:tcMar>
              <w:top w:w="85" w:type="dxa"/>
              <w:left w:w="85" w:type="dxa"/>
              <w:bottom w:w="85" w:type="dxa"/>
              <w:right w:w="85" w:type="dxa"/>
            </w:tcMar>
            <w:vAlign w:val="center"/>
          </w:tcPr>
          <w:p w14:paraId="156F99CF" w14:textId="77777777" w:rsidR="002D2AF8" w:rsidRDefault="002D2AF8">
            <w:pPr>
              <w:autoSpaceDE w:val="0"/>
              <w:autoSpaceDN w:val="0"/>
              <w:adjustRightInd w:val="0"/>
              <w:snapToGrid w:val="0"/>
              <w:jc w:val="center"/>
              <w:rPr>
                <w:snapToGrid w:val="0"/>
                <w:color w:val="000000" w:themeColor="text1"/>
                <w:kern w:val="0"/>
              </w:rPr>
            </w:pPr>
          </w:p>
        </w:tc>
        <w:tc>
          <w:tcPr>
            <w:tcW w:w="3340" w:type="dxa"/>
            <w:tcBorders>
              <w:tl2br w:val="nil"/>
              <w:tr2bl w:val="nil"/>
            </w:tcBorders>
            <w:tcMar>
              <w:top w:w="85" w:type="dxa"/>
              <w:left w:w="85" w:type="dxa"/>
              <w:bottom w:w="85" w:type="dxa"/>
              <w:right w:w="85" w:type="dxa"/>
            </w:tcMar>
            <w:vAlign w:val="center"/>
          </w:tcPr>
          <w:p w14:paraId="756C4E6C" w14:textId="77777777" w:rsidR="002D2AF8" w:rsidRDefault="002D2AF8">
            <w:pPr>
              <w:autoSpaceDE w:val="0"/>
              <w:autoSpaceDN w:val="0"/>
              <w:adjustRightInd w:val="0"/>
              <w:snapToGrid w:val="0"/>
              <w:jc w:val="center"/>
              <w:rPr>
                <w:snapToGrid w:val="0"/>
                <w:color w:val="000000" w:themeColor="text1"/>
                <w:kern w:val="0"/>
              </w:rPr>
            </w:pPr>
          </w:p>
        </w:tc>
      </w:tr>
    </w:tbl>
    <w:p w14:paraId="2109659D" w14:textId="77777777" w:rsidR="002D2AF8" w:rsidRDefault="00000000">
      <w:pPr>
        <w:adjustRightInd w:val="0"/>
        <w:snapToGrid w:val="0"/>
        <w:spacing w:beforeLines="50" w:before="162"/>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4-4  </w:t>
      </w:r>
      <w:r>
        <w:rPr>
          <w:b/>
          <w:bCs/>
          <w:snapToGrid w:val="0"/>
          <w:color w:val="000000" w:themeColor="text1"/>
          <w:kern w:val="0"/>
          <w:sz w:val="24"/>
        </w:rPr>
        <w:t>暴露于危险环境的分值表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16"/>
        <w:gridCol w:w="3256"/>
        <w:gridCol w:w="1218"/>
        <w:gridCol w:w="3526"/>
      </w:tblGrid>
      <w:tr w:rsidR="002D2AF8" w14:paraId="63A0ECFA" w14:textId="77777777">
        <w:trPr>
          <w:cantSplit/>
          <w:trHeight w:val="388"/>
          <w:jc w:val="center"/>
        </w:trPr>
        <w:tc>
          <w:tcPr>
            <w:tcW w:w="1116" w:type="dxa"/>
            <w:tcBorders>
              <w:tl2br w:val="nil"/>
              <w:tr2bl w:val="nil"/>
            </w:tcBorders>
            <w:tcMar>
              <w:top w:w="85" w:type="dxa"/>
              <w:left w:w="85" w:type="dxa"/>
              <w:bottom w:w="85" w:type="dxa"/>
              <w:right w:w="85" w:type="dxa"/>
            </w:tcMar>
            <w:vAlign w:val="center"/>
          </w:tcPr>
          <w:p w14:paraId="008C0A03"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256" w:type="dxa"/>
            <w:tcBorders>
              <w:tl2br w:val="nil"/>
              <w:tr2bl w:val="nil"/>
            </w:tcBorders>
            <w:tcMar>
              <w:top w:w="85" w:type="dxa"/>
              <w:left w:w="85" w:type="dxa"/>
              <w:bottom w:w="85" w:type="dxa"/>
              <w:right w:w="85" w:type="dxa"/>
            </w:tcMar>
            <w:vAlign w:val="center"/>
          </w:tcPr>
          <w:p w14:paraId="1768BDA1"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出现于危险环境的情况</w:t>
            </w:r>
          </w:p>
        </w:tc>
        <w:tc>
          <w:tcPr>
            <w:tcW w:w="1218" w:type="dxa"/>
            <w:tcBorders>
              <w:tl2br w:val="nil"/>
              <w:tr2bl w:val="nil"/>
            </w:tcBorders>
            <w:tcMar>
              <w:top w:w="85" w:type="dxa"/>
              <w:left w:w="85" w:type="dxa"/>
              <w:bottom w:w="85" w:type="dxa"/>
              <w:right w:w="85" w:type="dxa"/>
            </w:tcMar>
            <w:vAlign w:val="center"/>
          </w:tcPr>
          <w:p w14:paraId="283F873B"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526" w:type="dxa"/>
            <w:tcBorders>
              <w:tl2br w:val="nil"/>
              <w:tr2bl w:val="nil"/>
            </w:tcBorders>
            <w:tcMar>
              <w:top w:w="85" w:type="dxa"/>
              <w:left w:w="85" w:type="dxa"/>
              <w:bottom w:w="85" w:type="dxa"/>
              <w:right w:w="85" w:type="dxa"/>
            </w:tcMar>
            <w:vAlign w:val="center"/>
          </w:tcPr>
          <w:p w14:paraId="2833BB30"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出现于危险环境的情况</w:t>
            </w:r>
          </w:p>
        </w:tc>
      </w:tr>
      <w:tr w:rsidR="002D2AF8" w14:paraId="033090F3" w14:textId="77777777">
        <w:trPr>
          <w:cantSplit/>
          <w:trHeight w:val="347"/>
          <w:jc w:val="center"/>
        </w:trPr>
        <w:tc>
          <w:tcPr>
            <w:tcW w:w="1116" w:type="dxa"/>
            <w:tcBorders>
              <w:tl2br w:val="nil"/>
              <w:tr2bl w:val="nil"/>
            </w:tcBorders>
            <w:tcMar>
              <w:top w:w="85" w:type="dxa"/>
              <w:left w:w="85" w:type="dxa"/>
              <w:bottom w:w="85" w:type="dxa"/>
              <w:right w:w="85" w:type="dxa"/>
            </w:tcMar>
            <w:vAlign w:val="center"/>
          </w:tcPr>
          <w:p w14:paraId="2FB00E6C"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10×</w:t>
            </w:r>
          </w:p>
        </w:tc>
        <w:tc>
          <w:tcPr>
            <w:tcW w:w="3256" w:type="dxa"/>
            <w:tcBorders>
              <w:tl2br w:val="nil"/>
              <w:tr2bl w:val="nil"/>
            </w:tcBorders>
            <w:tcMar>
              <w:top w:w="85" w:type="dxa"/>
              <w:left w:w="85" w:type="dxa"/>
              <w:bottom w:w="85" w:type="dxa"/>
              <w:right w:w="85" w:type="dxa"/>
            </w:tcMar>
            <w:vAlign w:val="center"/>
          </w:tcPr>
          <w:p w14:paraId="10260E11"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连续暴露于潜在危险环境</w:t>
            </w:r>
          </w:p>
        </w:tc>
        <w:tc>
          <w:tcPr>
            <w:tcW w:w="1218" w:type="dxa"/>
            <w:tcBorders>
              <w:tl2br w:val="nil"/>
              <w:tr2bl w:val="nil"/>
            </w:tcBorders>
            <w:tcMar>
              <w:top w:w="85" w:type="dxa"/>
              <w:left w:w="85" w:type="dxa"/>
              <w:bottom w:w="85" w:type="dxa"/>
              <w:right w:w="85" w:type="dxa"/>
            </w:tcMar>
            <w:vAlign w:val="center"/>
          </w:tcPr>
          <w:p w14:paraId="1EF66AEF"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2</w:t>
            </w:r>
          </w:p>
        </w:tc>
        <w:tc>
          <w:tcPr>
            <w:tcW w:w="3526" w:type="dxa"/>
            <w:tcBorders>
              <w:tl2br w:val="nil"/>
              <w:tr2bl w:val="nil"/>
            </w:tcBorders>
            <w:tcMar>
              <w:top w:w="85" w:type="dxa"/>
              <w:left w:w="85" w:type="dxa"/>
              <w:bottom w:w="85" w:type="dxa"/>
              <w:right w:w="85" w:type="dxa"/>
            </w:tcMar>
            <w:vAlign w:val="center"/>
          </w:tcPr>
          <w:p w14:paraId="6E71149C"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每月暴露一次</w:t>
            </w:r>
          </w:p>
        </w:tc>
      </w:tr>
      <w:tr w:rsidR="002D2AF8" w14:paraId="73CFD0F5" w14:textId="77777777">
        <w:trPr>
          <w:cantSplit/>
          <w:trHeight w:val="272"/>
          <w:jc w:val="center"/>
        </w:trPr>
        <w:tc>
          <w:tcPr>
            <w:tcW w:w="1116" w:type="dxa"/>
            <w:tcBorders>
              <w:tl2br w:val="nil"/>
              <w:tr2bl w:val="nil"/>
            </w:tcBorders>
            <w:tcMar>
              <w:top w:w="85" w:type="dxa"/>
              <w:left w:w="85" w:type="dxa"/>
              <w:bottom w:w="85" w:type="dxa"/>
              <w:right w:w="85" w:type="dxa"/>
            </w:tcMar>
            <w:vAlign w:val="center"/>
          </w:tcPr>
          <w:p w14:paraId="79355985"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6</w:t>
            </w:r>
          </w:p>
        </w:tc>
        <w:tc>
          <w:tcPr>
            <w:tcW w:w="3256" w:type="dxa"/>
            <w:tcBorders>
              <w:tl2br w:val="nil"/>
              <w:tr2bl w:val="nil"/>
            </w:tcBorders>
            <w:tcMar>
              <w:top w:w="85" w:type="dxa"/>
              <w:left w:w="85" w:type="dxa"/>
              <w:bottom w:w="85" w:type="dxa"/>
              <w:right w:w="85" w:type="dxa"/>
            </w:tcMar>
            <w:vAlign w:val="center"/>
          </w:tcPr>
          <w:p w14:paraId="0EB839B5"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逐日在工作时间内暴露</w:t>
            </w:r>
          </w:p>
        </w:tc>
        <w:tc>
          <w:tcPr>
            <w:tcW w:w="1218" w:type="dxa"/>
            <w:tcBorders>
              <w:tl2br w:val="nil"/>
              <w:tr2bl w:val="nil"/>
            </w:tcBorders>
            <w:tcMar>
              <w:top w:w="85" w:type="dxa"/>
              <w:left w:w="85" w:type="dxa"/>
              <w:bottom w:w="85" w:type="dxa"/>
              <w:right w:w="85" w:type="dxa"/>
            </w:tcMar>
            <w:vAlign w:val="center"/>
          </w:tcPr>
          <w:p w14:paraId="4C8A9F02"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w:t>
            </w:r>
            <w:r>
              <w:rPr>
                <w:rFonts w:hint="eastAsia"/>
                <w:snapToGrid w:val="0"/>
                <w:color w:val="000000" w:themeColor="text1"/>
                <w:kern w:val="0"/>
              </w:rPr>
              <w:t>*</w:t>
            </w:r>
          </w:p>
        </w:tc>
        <w:tc>
          <w:tcPr>
            <w:tcW w:w="3526" w:type="dxa"/>
            <w:tcBorders>
              <w:tl2br w:val="nil"/>
              <w:tr2bl w:val="nil"/>
            </w:tcBorders>
            <w:tcMar>
              <w:top w:w="85" w:type="dxa"/>
              <w:left w:w="85" w:type="dxa"/>
              <w:bottom w:w="85" w:type="dxa"/>
              <w:right w:w="85" w:type="dxa"/>
            </w:tcMar>
            <w:vAlign w:val="center"/>
          </w:tcPr>
          <w:p w14:paraId="7D02E9C9"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每年几次出现在潜在危险环境</w:t>
            </w:r>
          </w:p>
        </w:tc>
      </w:tr>
      <w:tr w:rsidR="002D2AF8" w14:paraId="1E620F85" w14:textId="77777777">
        <w:trPr>
          <w:cantSplit/>
          <w:trHeight w:val="252"/>
          <w:jc w:val="center"/>
        </w:trPr>
        <w:tc>
          <w:tcPr>
            <w:tcW w:w="1116" w:type="dxa"/>
            <w:tcBorders>
              <w:tl2br w:val="nil"/>
              <w:tr2bl w:val="nil"/>
            </w:tcBorders>
            <w:tcMar>
              <w:top w:w="85" w:type="dxa"/>
              <w:left w:w="85" w:type="dxa"/>
              <w:bottom w:w="85" w:type="dxa"/>
              <w:right w:w="85" w:type="dxa"/>
            </w:tcMar>
            <w:vAlign w:val="center"/>
          </w:tcPr>
          <w:p w14:paraId="06903A79"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3</w:t>
            </w:r>
          </w:p>
        </w:tc>
        <w:tc>
          <w:tcPr>
            <w:tcW w:w="3256" w:type="dxa"/>
            <w:tcBorders>
              <w:tl2br w:val="nil"/>
              <w:tr2bl w:val="nil"/>
            </w:tcBorders>
            <w:tcMar>
              <w:top w:w="85" w:type="dxa"/>
              <w:left w:w="85" w:type="dxa"/>
              <w:bottom w:w="85" w:type="dxa"/>
              <w:right w:w="85" w:type="dxa"/>
            </w:tcMar>
            <w:vAlign w:val="center"/>
          </w:tcPr>
          <w:p w14:paraId="661FE3FC"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每周一次或偶然地暴露</w:t>
            </w:r>
          </w:p>
        </w:tc>
        <w:tc>
          <w:tcPr>
            <w:tcW w:w="1218" w:type="dxa"/>
            <w:tcBorders>
              <w:tl2br w:val="nil"/>
              <w:tr2bl w:val="nil"/>
            </w:tcBorders>
            <w:tcMar>
              <w:top w:w="85" w:type="dxa"/>
              <w:left w:w="85" w:type="dxa"/>
              <w:bottom w:w="85" w:type="dxa"/>
              <w:right w:w="85" w:type="dxa"/>
            </w:tcMar>
            <w:vAlign w:val="center"/>
          </w:tcPr>
          <w:p w14:paraId="707A24F1"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0.1</w:t>
            </w:r>
          </w:p>
        </w:tc>
        <w:tc>
          <w:tcPr>
            <w:tcW w:w="3526" w:type="dxa"/>
            <w:tcBorders>
              <w:tl2br w:val="nil"/>
              <w:tr2bl w:val="nil"/>
            </w:tcBorders>
            <w:tcMar>
              <w:top w:w="85" w:type="dxa"/>
              <w:left w:w="85" w:type="dxa"/>
              <w:bottom w:w="85" w:type="dxa"/>
              <w:right w:w="85" w:type="dxa"/>
            </w:tcMar>
            <w:vAlign w:val="center"/>
          </w:tcPr>
          <w:p w14:paraId="18E82F0F"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非常罕见地暴露</w:t>
            </w:r>
          </w:p>
        </w:tc>
      </w:tr>
    </w:tbl>
    <w:p w14:paraId="32FA1638" w14:textId="77777777" w:rsidR="002D2AF8" w:rsidRDefault="00000000">
      <w:pPr>
        <w:adjustRightInd w:val="0"/>
        <w:snapToGrid w:val="0"/>
        <w:spacing w:beforeLines="50" w:before="162"/>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4-5 </w:t>
      </w:r>
      <w:r>
        <w:rPr>
          <w:b/>
          <w:bCs/>
          <w:snapToGrid w:val="0"/>
          <w:color w:val="000000" w:themeColor="text1"/>
          <w:kern w:val="0"/>
          <w:sz w:val="24"/>
        </w:rPr>
        <w:t>发生事故或危险时间的可能结果的分值表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851"/>
        <w:gridCol w:w="3707"/>
        <w:gridCol w:w="1218"/>
        <w:gridCol w:w="3340"/>
      </w:tblGrid>
      <w:tr w:rsidR="002D2AF8" w14:paraId="42B74029" w14:textId="77777777">
        <w:trPr>
          <w:trHeight w:val="327"/>
          <w:jc w:val="center"/>
        </w:trPr>
        <w:tc>
          <w:tcPr>
            <w:tcW w:w="851" w:type="dxa"/>
            <w:tcBorders>
              <w:tl2br w:val="nil"/>
              <w:tr2bl w:val="nil"/>
            </w:tcBorders>
            <w:tcMar>
              <w:top w:w="85" w:type="dxa"/>
              <w:left w:w="85" w:type="dxa"/>
              <w:bottom w:w="85" w:type="dxa"/>
              <w:right w:w="85" w:type="dxa"/>
            </w:tcMar>
            <w:vAlign w:val="center"/>
          </w:tcPr>
          <w:p w14:paraId="3F331EF6"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707" w:type="dxa"/>
            <w:tcBorders>
              <w:tl2br w:val="nil"/>
              <w:tr2bl w:val="nil"/>
            </w:tcBorders>
            <w:tcMar>
              <w:top w:w="85" w:type="dxa"/>
              <w:left w:w="85" w:type="dxa"/>
              <w:bottom w:w="85" w:type="dxa"/>
              <w:right w:w="85" w:type="dxa"/>
            </w:tcMar>
            <w:vAlign w:val="center"/>
          </w:tcPr>
          <w:p w14:paraId="27379B2F"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可能结果</w:t>
            </w:r>
          </w:p>
        </w:tc>
        <w:tc>
          <w:tcPr>
            <w:tcW w:w="1218" w:type="dxa"/>
            <w:tcBorders>
              <w:tl2br w:val="nil"/>
              <w:tr2bl w:val="nil"/>
            </w:tcBorders>
            <w:tcMar>
              <w:top w:w="85" w:type="dxa"/>
              <w:left w:w="85" w:type="dxa"/>
              <w:bottom w:w="85" w:type="dxa"/>
              <w:right w:w="85" w:type="dxa"/>
            </w:tcMar>
            <w:vAlign w:val="center"/>
          </w:tcPr>
          <w:p w14:paraId="1B492F6C"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340" w:type="dxa"/>
            <w:tcBorders>
              <w:tl2br w:val="nil"/>
              <w:tr2bl w:val="nil"/>
            </w:tcBorders>
            <w:tcMar>
              <w:top w:w="85" w:type="dxa"/>
              <w:left w:w="85" w:type="dxa"/>
              <w:bottom w:w="85" w:type="dxa"/>
              <w:right w:w="85" w:type="dxa"/>
            </w:tcMar>
            <w:vAlign w:val="center"/>
          </w:tcPr>
          <w:p w14:paraId="61ACF170"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可能结果</w:t>
            </w:r>
          </w:p>
        </w:tc>
      </w:tr>
      <w:tr w:rsidR="002D2AF8" w14:paraId="054A1E38" w14:textId="77777777">
        <w:trPr>
          <w:trHeight w:val="182"/>
          <w:jc w:val="center"/>
        </w:trPr>
        <w:tc>
          <w:tcPr>
            <w:tcW w:w="851" w:type="dxa"/>
            <w:tcBorders>
              <w:tl2br w:val="nil"/>
              <w:tr2bl w:val="nil"/>
            </w:tcBorders>
            <w:tcMar>
              <w:top w:w="85" w:type="dxa"/>
              <w:left w:w="85" w:type="dxa"/>
              <w:bottom w:w="85" w:type="dxa"/>
              <w:right w:w="85" w:type="dxa"/>
            </w:tcMar>
            <w:vAlign w:val="center"/>
          </w:tcPr>
          <w:p w14:paraId="0B254302"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100×</w:t>
            </w:r>
          </w:p>
        </w:tc>
        <w:tc>
          <w:tcPr>
            <w:tcW w:w="3707" w:type="dxa"/>
            <w:tcBorders>
              <w:tl2br w:val="nil"/>
              <w:tr2bl w:val="nil"/>
            </w:tcBorders>
            <w:tcMar>
              <w:top w:w="85" w:type="dxa"/>
              <w:left w:w="85" w:type="dxa"/>
              <w:bottom w:w="85" w:type="dxa"/>
              <w:right w:w="85" w:type="dxa"/>
            </w:tcMar>
            <w:vAlign w:val="center"/>
          </w:tcPr>
          <w:p w14:paraId="2F885C99"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大灾难，许多人死亡</w:t>
            </w:r>
          </w:p>
        </w:tc>
        <w:tc>
          <w:tcPr>
            <w:tcW w:w="1218" w:type="dxa"/>
            <w:tcBorders>
              <w:tl2br w:val="nil"/>
              <w:tr2bl w:val="nil"/>
            </w:tcBorders>
            <w:tcMar>
              <w:top w:w="85" w:type="dxa"/>
              <w:left w:w="85" w:type="dxa"/>
              <w:bottom w:w="85" w:type="dxa"/>
              <w:right w:w="85" w:type="dxa"/>
            </w:tcMar>
            <w:vAlign w:val="center"/>
          </w:tcPr>
          <w:p w14:paraId="1D552E41"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7</w:t>
            </w:r>
          </w:p>
        </w:tc>
        <w:tc>
          <w:tcPr>
            <w:tcW w:w="3340" w:type="dxa"/>
            <w:tcBorders>
              <w:tl2br w:val="nil"/>
              <w:tr2bl w:val="nil"/>
            </w:tcBorders>
            <w:tcMar>
              <w:top w:w="85" w:type="dxa"/>
              <w:left w:w="85" w:type="dxa"/>
              <w:bottom w:w="85" w:type="dxa"/>
              <w:right w:w="85" w:type="dxa"/>
            </w:tcMar>
            <w:vAlign w:val="center"/>
          </w:tcPr>
          <w:p w14:paraId="67DC30D4"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严重，严重伤害</w:t>
            </w:r>
          </w:p>
        </w:tc>
      </w:tr>
      <w:tr w:rsidR="002D2AF8" w14:paraId="53921D92" w14:textId="77777777">
        <w:trPr>
          <w:trHeight w:val="222"/>
          <w:jc w:val="center"/>
        </w:trPr>
        <w:tc>
          <w:tcPr>
            <w:tcW w:w="851" w:type="dxa"/>
            <w:tcBorders>
              <w:tl2br w:val="nil"/>
              <w:tr2bl w:val="nil"/>
            </w:tcBorders>
            <w:tcMar>
              <w:top w:w="85" w:type="dxa"/>
              <w:left w:w="85" w:type="dxa"/>
              <w:bottom w:w="85" w:type="dxa"/>
              <w:right w:w="85" w:type="dxa"/>
            </w:tcMar>
            <w:vAlign w:val="center"/>
          </w:tcPr>
          <w:p w14:paraId="0775FEB9"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40</w:t>
            </w:r>
          </w:p>
        </w:tc>
        <w:tc>
          <w:tcPr>
            <w:tcW w:w="3707" w:type="dxa"/>
            <w:tcBorders>
              <w:tl2br w:val="nil"/>
              <w:tr2bl w:val="nil"/>
            </w:tcBorders>
            <w:tcMar>
              <w:top w:w="85" w:type="dxa"/>
              <w:left w:w="85" w:type="dxa"/>
              <w:bottom w:w="85" w:type="dxa"/>
              <w:right w:w="85" w:type="dxa"/>
            </w:tcMar>
            <w:vAlign w:val="center"/>
          </w:tcPr>
          <w:p w14:paraId="54B9B168"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灾难，数人死亡</w:t>
            </w:r>
          </w:p>
        </w:tc>
        <w:tc>
          <w:tcPr>
            <w:tcW w:w="1218" w:type="dxa"/>
            <w:tcBorders>
              <w:tl2br w:val="nil"/>
              <w:tr2bl w:val="nil"/>
            </w:tcBorders>
            <w:tcMar>
              <w:top w:w="85" w:type="dxa"/>
              <w:left w:w="85" w:type="dxa"/>
              <w:bottom w:w="85" w:type="dxa"/>
              <w:right w:w="85" w:type="dxa"/>
            </w:tcMar>
            <w:vAlign w:val="center"/>
          </w:tcPr>
          <w:p w14:paraId="72D7D771"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3</w:t>
            </w:r>
          </w:p>
        </w:tc>
        <w:tc>
          <w:tcPr>
            <w:tcW w:w="3340" w:type="dxa"/>
            <w:tcBorders>
              <w:tl2br w:val="nil"/>
              <w:tr2bl w:val="nil"/>
            </w:tcBorders>
            <w:tcMar>
              <w:top w:w="85" w:type="dxa"/>
              <w:left w:w="85" w:type="dxa"/>
              <w:bottom w:w="85" w:type="dxa"/>
              <w:right w:w="85" w:type="dxa"/>
            </w:tcMar>
            <w:vAlign w:val="center"/>
          </w:tcPr>
          <w:p w14:paraId="5D710322"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重大，致残</w:t>
            </w:r>
          </w:p>
        </w:tc>
      </w:tr>
      <w:tr w:rsidR="002D2AF8" w14:paraId="174389FF" w14:textId="77777777">
        <w:trPr>
          <w:trHeight w:val="297"/>
          <w:jc w:val="center"/>
        </w:trPr>
        <w:tc>
          <w:tcPr>
            <w:tcW w:w="851" w:type="dxa"/>
            <w:tcBorders>
              <w:tl2br w:val="nil"/>
              <w:tr2bl w:val="nil"/>
            </w:tcBorders>
            <w:tcMar>
              <w:top w:w="85" w:type="dxa"/>
              <w:left w:w="85" w:type="dxa"/>
              <w:bottom w:w="85" w:type="dxa"/>
              <w:right w:w="85" w:type="dxa"/>
            </w:tcMar>
            <w:vAlign w:val="center"/>
          </w:tcPr>
          <w:p w14:paraId="27854B4C"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15</w:t>
            </w:r>
          </w:p>
        </w:tc>
        <w:tc>
          <w:tcPr>
            <w:tcW w:w="3707" w:type="dxa"/>
            <w:tcBorders>
              <w:tl2br w:val="nil"/>
              <w:tr2bl w:val="nil"/>
            </w:tcBorders>
            <w:tcMar>
              <w:top w:w="85" w:type="dxa"/>
              <w:left w:w="85" w:type="dxa"/>
              <w:bottom w:w="85" w:type="dxa"/>
              <w:right w:w="85" w:type="dxa"/>
            </w:tcMar>
            <w:vAlign w:val="center"/>
          </w:tcPr>
          <w:p w14:paraId="3FA6739B"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非常严重，一人死亡</w:t>
            </w:r>
          </w:p>
        </w:tc>
        <w:tc>
          <w:tcPr>
            <w:tcW w:w="1218" w:type="dxa"/>
            <w:tcBorders>
              <w:tl2br w:val="nil"/>
              <w:tr2bl w:val="nil"/>
            </w:tcBorders>
            <w:tcMar>
              <w:top w:w="85" w:type="dxa"/>
              <w:left w:w="85" w:type="dxa"/>
              <w:bottom w:w="85" w:type="dxa"/>
              <w:right w:w="85" w:type="dxa"/>
            </w:tcMar>
            <w:vAlign w:val="center"/>
          </w:tcPr>
          <w:p w14:paraId="6FADE8B5"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w:t>
            </w:r>
            <w:r>
              <w:rPr>
                <w:rFonts w:hint="eastAsia"/>
                <w:snapToGrid w:val="0"/>
                <w:color w:val="000000" w:themeColor="text1"/>
                <w:kern w:val="0"/>
              </w:rPr>
              <w:t>*</w:t>
            </w:r>
          </w:p>
        </w:tc>
        <w:tc>
          <w:tcPr>
            <w:tcW w:w="3340" w:type="dxa"/>
            <w:tcBorders>
              <w:tl2br w:val="nil"/>
              <w:tr2bl w:val="nil"/>
            </w:tcBorders>
            <w:tcMar>
              <w:top w:w="85" w:type="dxa"/>
              <w:left w:w="85" w:type="dxa"/>
              <w:bottom w:w="85" w:type="dxa"/>
              <w:right w:w="85" w:type="dxa"/>
            </w:tcMar>
            <w:vAlign w:val="center"/>
          </w:tcPr>
          <w:p w14:paraId="7DC55B11"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引人瞩目，需要救护</w:t>
            </w:r>
          </w:p>
        </w:tc>
      </w:tr>
    </w:tbl>
    <w:p w14:paraId="1511C7FE" w14:textId="77777777" w:rsidR="002D2AF8" w:rsidRDefault="00000000">
      <w:pPr>
        <w:adjustRightInd w:val="0"/>
        <w:snapToGrid w:val="0"/>
        <w:spacing w:beforeLines="50" w:before="162"/>
        <w:jc w:val="center"/>
        <w:rPr>
          <w:b/>
          <w:bCs/>
          <w:snapToGrid w:val="0"/>
          <w:color w:val="000000" w:themeColor="text1"/>
          <w:kern w:val="0"/>
          <w:sz w:val="24"/>
        </w:rPr>
      </w:pPr>
      <w:r>
        <w:rPr>
          <w:b/>
          <w:bCs/>
          <w:snapToGrid w:val="0"/>
          <w:color w:val="000000" w:themeColor="text1"/>
          <w:kern w:val="0"/>
          <w:sz w:val="24"/>
        </w:rPr>
        <w:t>表</w:t>
      </w:r>
      <w:r>
        <w:rPr>
          <w:b/>
          <w:bCs/>
          <w:snapToGrid w:val="0"/>
          <w:color w:val="000000" w:themeColor="text1"/>
          <w:kern w:val="0"/>
          <w:sz w:val="24"/>
        </w:rPr>
        <w:t xml:space="preserve">4-6 </w:t>
      </w:r>
      <w:r>
        <w:rPr>
          <w:b/>
          <w:bCs/>
          <w:snapToGrid w:val="0"/>
          <w:color w:val="000000" w:themeColor="text1"/>
          <w:kern w:val="0"/>
          <w:sz w:val="24"/>
        </w:rPr>
        <w:t>作业条件危险性分值与危险程度表</w:t>
      </w: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1134"/>
        <w:gridCol w:w="3663"/>
        <w:gridCol w:w="1203"/>
        <w:gridCol w:w="3116"/>
      </w:tblGrid>
      <w:tr w:rsidR="002D2AF8" w14:paraId="22A923CB" w14:textId="77777777">
        <w:trPr>
          <w:trHeight w:val="277"/>
          <w:jc w:val="center"/>
        </w:trPr>
        <w:tc>
          <w:tcPr>
            <w:tcW w:w="1134" w:type="dxa"/>
            <w:tcBorders>
              <w:tl2br w:val="nil"/>
              <w:tr2bl w:val="nil"/>
            </w:tcBorders>
            <w:tcMar>
              <w:top w:w="85" w:type="dxa"/>
              <w:left w:w="85" w:type="dxa"/>
              <w:bottom w:w="85" w:type="dxa"/>
              <w:right w:w="85" w:type="dxa"/>
            </w:tcMar>
            <w:vAlign w:val="center"/>
          </w:tcPr>
          <w:p w14:paraId="66321245"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663" w:type="dxa"/>
            <w:tcBorders>
              <w:tl2br w:val="nil"/>
              <w:tr2bl w:val="nil"/>
            </w:tcBorders>
            <w:tcMar>
              <w:top w:w="85" w:type="dxa"/>
              <w:left w:w="85" w:type="dxa"/>
              <w:bottom w:w="85" w:type="dxa"/>
              <w:right w:w="85" w:type="dxa"/>
            </w:tcMar>
            <w:vAlign w:val="center"/>
          </w:tcPr>
          <w:p w14:paraId="29F3C758"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危险程度</w:t>
            </w:r>
          </w:p>
        </w:tc>
        <w:tc>
          <w:tcPr>
            <w:tcW w:w="1203" w:type="dxa"/>
            <w:tcBorders>
              <w:tl2br w:val="nil"/>
              <w:tr2bl w:val="nil"/>
            </w:tcBorders>
            <w:tcMar>
              <w:top w:w="85" w:type="dxa"/>
              <w:left w:w="85" w:type="dxa"/>
              <w:bottom w:w="85" w:type="dxa"/>
              <w:right w:w="85" w:type="dxa"/>
            </w:tcMar>
            <w:vAlign w:val="center"/>
          </w:tcPr>
          <w:p w14:paraId="0833527D"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分值</w:t>
            </w:r>
          </w:p>
        </w:tc>
        <w:tc>
          <w:tcPr>
            <w:tcW w:w="3116" w:type="dxa"/>
            <w:tcBorders>
              <w:tl2br w:val="nil"/>
              <w:tr2bl w:val="nil"/>
            </w:tcBorders>
            <w:tcMar>
              <w:top w:w="85" w:type="dxa"/>
              <w:left w:w="85" w:type="dxa"/>
              <w:bottom w:w="85" w:type="dxa"/>
              <w:right w:w="85" w:type="dxa"/>
            </w:tcMar>
            <w:vAlign w:val="center"/>
          </w:tcPr>
          <w:p w14:paraId="33F03EE2" w14:textId="77777777" w:rsidR="002D2AF8" w:rsidRDefault="00000000">
            <w:pPr>
              <w:autoSpaceDE w:val="0"/>
              <w:autoSpaceDN w:val="0"/>
              <w:adjustRightInd w:val="0"/>
              <w:snapToGrid w:val="0"/>
              <w:jc w:val="center"/>
              <w:rPr>
                <w:b/>
                <w:snapToGrid w:val="0"/>
                <w:color w:val="000000" w:themeColor="text1"/>
                <w:kern w:val="0"/>
                <w:szCs w:val="21"/>
              </w:rPr>
            </w:pPr>
            <w:r>
              <w:rPr>
                <w:b/>
                <w:snapToGrid w:val="0"/>
                <w:color w:val="000000" w:themeColor="text1"/>
                <w:kern w:val="0"/>
                <w:szCs w:val="21"/>
              </w:rPr>
              <w:t>危险程度</w:t>
            </w:r>
          </w:p>
        </w:tc>
      </w:tr>
      <w:tr w:rsidR="002D2AF8" w14:paraId="54EC12C5" w14:textId="77777777">
        <w:trPr>
          <w:trHeight w:val="274"/>
          <w:jc w:val="center"/>
        </w:trPr>
        <w:tc>
          <w:tcPr>
            <w:tcW w:w="1134" w:type="dxa"/>
            <w:tcBorders>
              <w:tl2br w:val="nil"/>
              <w:tr2bl w:val="nil"/>
            </w:tcBorders>
            <w:tcMar>
              <w:top w:w="85" w:type="dxa"/>
              <w:left w:w="85" w:type="dxa"/>
              <w:bottom w:w="85" w:type="dxa"/>
              <w:right w:w="85" w:type="dxa"/>
            </w:tcMar>
            <w:vAlign w:val="center"/>
          </w:tcPr>
          <w:p w14:paraId="4DCEE55B"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320</w:t>
            </w:r>
          </w:p>
        </w:tc>
        <w:tc>
          <w:tcPr>
            <w:tcW w:w="3663" w:type="dxa"/>
            <w:tcBorders>
              <w:tl2br w:val="nil"/>
              <w:tr2bl w:val="nil"/>
            </w:tcBorders>
            <w:tcMar>
              <w:top w:w="85" w:type="dxa"/>
              <w:left w:w="85" w:type="dxa"/>
              <w:bottom w:w="85" w:type="dxa"/>
              <w:right w:w="85" w:type="dxa"/>
            </w:tcMar>
            <w:vAlign w:val="center"/>
          </w:tcPr>
          <w:p w14:paraId="1541C042"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及其危险，不能继续作业</w:t>
            </w:r>
          </w:p>
        </w:tc>
        <w:tc>
          <w:tcPr>
            <w:tcW w:w="1203" w:type="dxa"/>
            <w:tcBorders>
              <w:tl2br w:val="nil"/>
              <w:tr2bl w:val="nil"/>
            </w:tcBorders>
            <w:tcMar>
              <w:top w:w="85" w:type="dxa"/>
              <w:left w:w="85" w:type="dxa"/>
              <w:bottom w:w="85" w:type="dxa"/>
              <w:right w:w="85" w:type="dxa"/>
            </w:tcMar>
            <w:vAlign w:val="center"/>
          </w:tcPr>
          <w:p w14:paraId="1679628B"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20-70</w:t>
            </w:r>
          </w:p>
        </w:tc>
        <w:tc>
          <w:tcPr>
            <w:tcW w:w="3116" w:type="dxa"/>
            <w:tcBorders>
              <w:tl2br w:val="nil"/>
              <w:tr2bl w:val="nil"/>
            </w:tcBorders>
            <w:tcMar>
              <w:top w:w="85" w:type="dxa"/>
              <w:left w:w="85" w:type="dxa"/>
              <w:bottom w:w="85" w:type="dxa"/>
              <w:right w:w="85" w:type="dxa"/>
            </w:tcMar>
            <w:vAlign w:val="center"/>
          </w:tcPr>
          <w:p w14:paraId="49C63BAC"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可能危险，需要注意</w:t>
            </w:r>
          </w:p>
        </w:tc>
      </w:tr>
      <w:tr w:rsidR="002D2AF8" w14:paraId="4537886E" w14:textId="77777777">
        <w:trPr>
          <w:trHeight w:val="284"/>
          <w:jc w:val="center"/>
        </w:trPr>
        <w:tc>
          <w:tcPr>
            <w:tcW w:w="1134" w:type="dxa"/>
            <w:tcBorders>
              <w:tl2br w:val="nil"/>
              <w:tr2bl w:val="nil"/>
            </w:tcBorders>
            <w:tcMar>
              <w:top w:w="85" w:type="dxa"/>
              <w:left w:w="85" w:type="dxa"/>
              <w:bottom w:w="85" w:type="dxa"/>
              <w:right w:w="85" w:type="dxa"/>
            </w:tcMar>
            <w:vAlign w:val="center"/>
          </w:tcPr>
          <w:p w14:paraId="7F98EEDF"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160-320</w:t>
            </w:r>
          </w:p>
        </w:tc>
        <w:tc>
          <w:tcPr>
            <w:tcW w:w="3663" w:type="dxa"/>
            <w:tcBorders>
              <w:tl2br w:val="nil"/>
              <w:tr2bl w:val="nil"/>
            </w:tcBorders>
            <w:tcMar>
              <w:top w:w="85" w:type="dxa"/>
              <w:left w:w="85" w:type="dxa"/>
              <w:bottom w:w="85" w:type="dxa"/>
              <w:right w:w="85" w:type="dxa"/>
            </w:tcMar>
            <w:vAlign w:val="center"/>
          </w:tcPr>
          <w:p w14:paraId="2910E304"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高度危险，需要立即整改</w:t>
            </w:r>
          </w:p>
        </w:tc>
        <w:tc>
          <w:tcPr>
            <w:tcW w:w="1203" w:type="dxa"/>
            <w:tcBorders>
              <w:tl2br w:val="nil"/>
              <w:tr2bl w:val="nil"/>
            </w:tcBorders>
            <w:tcMar>
              <w:top w:w="85" w:type="dxa"/>
              <w:left w:w="85" w:type="dxa"/>
              <w:bottom w:w="85" w:type="dxa"/>
              <w:right w:w="85" w:type="dxa"/>
            </w:tcMar>
            <w:vAlign w:val="center"/>
          </w:tcPr>
          <w:p w14:paraId="07E1C9A1"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20</w:t>
            </w:r>
          </w:p>
        </w:tc>
        <w:tc>
          <w:tcPr>
            <w:tcW w:w="3116" w:type="dxa"/>
            <w:tcBorders>
              <w:tl2br w:val="nil"/>
              <w:tr2bl w:val="nil"/>
            </w:tcBorders>
            <w:tcMar>
              <w:top w:w="85" w:type="dxa"/>
              <w:left w:w="85" w:type="dxa"/>
              <w:bottom w:w="85" w:type="dxa"/>
              <w:right w:w="85" w:type="dxa"/>
            </w:tcMar>
            <w:vAlign w:val="center"/>
          </w:tcPr>
          <w:p w14:paraId="7C00C94D"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稍有危险，或许可以接受</w:t>
            </w:r>
          </w:p>
        </w:tc>
      </w:tr>
      <w:tr w:rsidR="002D2AF8" w14:paraId="0F33DF9B" w14:textId="77777777">
        <w:trPr>
          <w:trHeight w:val="226"/>
          <w:jc w:val="center"/>
        </w:trPr>
        <w:tc>
          <w:tcPr>
            <w:tcW w:w="1134" w:type="dxa"/>
            <w:tcBorders>
              <w:tl2br w:val="nil"/>
              <w:tr2bl w:val="nil"/>
            </w:tcBorders>
            <w:tcMar>
              <w:top w:w="85" w:type="dxa"/>
              <w:left w:w="85" w:type="dxa"/>
              <w:bottom w:w="85" w:type="dxa"/>
              <w:right w:w="85" w:type="dxa"/>
            </w:tcMar>
            <w:vAlign w:val="center"/>
          </w:tcPr>
          <w:p w14:paraId="7E79CEBB"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70-160</w:t>
            </w:r>
          </w:p>
        </w:tc>
        <w:tc>
          <w:tcPr>
            <w:tcW w:w="3663" w:type="dxa"/>
            <w:tcBorders>
              <w:tl2br w:val="nil"/>
              <w:tr2bl w:val="nil"/>
            </w:tcBorders>
            <w:tcMar>
              <w:top w:w="85" w:type="dxa"/>
              <w:left w:w="85" w:type="dxa"/>
              <w:bottom w:w="85" w:type="dxa"/>
              <w:right w:w="85" w:type="dxa"/>
            </w:tcMar>
            <w:vAlign w:val="center"/>
          </w:tcPr>
          <w:p w14:paraId="21FCD5EB" w14:textId="77777777" w:rsidR="002D2AF8" w:rsidRDefault="00000000">
            <w:pPr>
              <w:autoSpaceDE w:val="0"/>
              <w:autoSpaceDN w:val="0"/>
              <w:adjustRightInd w:val="0"/>
              <w:snapToGrid w:val="0"/>
              <w:jc w:val="center"/>
              <w:rPr>
                <w:snapToGrid w:val="0"/>
                <w:color w:val="000000" w:themeColor="text1"/>
                <w:kern w:val="0"/>
                <w:szCs w:val="21"/>
              </w:rPr>
            </w:pPr>
            <w:r>
              <w:rPr>
                <w:snapToGrid w:val="0"/>
                <w:color w:val="000000" w:themeColor="text1"/>
                <w:kern w:val="0"/>
                <w:szCs w:val="21"/>
              </w:rPr>
              <w:t>显著危险，需要整改</w:t>
            </w:r>
          </w:p>
        </w:tc>
        <w:tc>
          <w:tcPr>
            <w:tcW w:w="1203" w:type="dxa"/>
            <w:tcBorders>
              <w:tl2br w:val="nil"/>
              <w:tr2bl w:val="nil"/>
            </w:tcBorders>
            <w:tcMar>
              <w:top w:w="85" w:type="dxa"/>
              <w:left w:w="85" w:type="dxa"/>
              <w:bottom w:w="85" w:type="dxa"/>
              <w:right w:w="85" w:type="dxa"/>
            </w:tcMar>
            <w:vAlign w:val="center"/>
          </w:tcPr>
          <w:p w14:paraId="7BA7671E" w14:textId="77777777" w:rsidR="002D2AF8" w:rsidRDefault="002D2AF8">
            <w:pPr>
              <w:autoSpaceDE w:val="0"/>
              <w:autoSpaceDN w:val="0"/>
              <w:adjustRightInd w:val="0"/>
              <w:snapToGrid w:val="0"/>
              <w:jc w:val="center"/>
              <w:rPr>
                <w:snapToGrid w:val="0"/>
                <w:color w:val="000000" w:themeColor="text1"/>
                <w:kern w:val="0"/>
                <w:szCs w:val="21"/>
              </w:rPr>
            </w:pPr>
          </w:p>
        </w:tc>
        <w:tc>
          <w:tcPr>
            <w:tcW w:w="3116" w:type="dxa"/>
            <w:tcBorders>
              <w:tl2br w:val="nil"/>
              <w:tr2bl w:val="nil"/>
            </w:tcBorders>
            <w:tcMar>
              <w:top w:w="85" w:type="dxa"/>
              <w:left w:w="85" w:type="dxa"/>
              <w:bottom w:w="85" w:type="dxa"/>
              <w:right w:w="85" w:type="dxa"/>
            </w:tcMar>
            <w:vAlign w:val="center"/>
          </w:tcPr>
          <w:p w14:paraId="602BE66D" w14:textId="77777777" w:rsidR="002D2AF8" w:rsidRDefault="002D2AF8">
            <w:pPr>
              <w:autoSpaceDE w:val="0"/>
              <w:autoSpaceDN w:val="0"/>
              <w:adjustRightInd w:val="0"/>
              <w:snapToGrid w:val="0"/>
              <w:jc w:val="center"/>
              <w:rPr>
                <w:snapToGrid w:val="0"/>
                <w:color w:val="000000" w:themeColor="text1"/>
                <w:kern w:val="0"/>
                <w:szCs w:val="21"/>
              </w:rPr>
            </w:pPr>
          </w:p>
        </w:tc>
      </w:tr>
    </w:tbl>
    <w:p w14:paraId="54160863" w14:textId="77777777" w:rsidR="002D2AF8" w:rsidRDefault="00000000">
      <w:pPr>
        <w:rPr>
          <w:rFonts w:eastAsia="楷体_GB2312"/>
          <w:b/>
          <w:color w:val="000000" w:themeColor="text1"/>
          <w:sz w:val="36"/>
          <w:szCs w:val="36"/>
        </w:rPr>
      </w:pPr>
      <w:bookmarkStart w:id="97" w:name="_Toc416954893"/>
      <w:bookmarkStart w:id="98" w:name="_Toc446488249"/>
      <w:bookmarkStart w:id="99" w:name="_Toc281310749"/>
      <w:r>
        <w:rPr>
          <w:rFonts w:eastAsia="楷体_GB2312"/>
          <w:b/>
          <w:color w:val="000000" w:themeColor="text1"/>
          <w:sz w:val="36"/>
          <w:szCs w:val="36"/>
        </w:rPr>
        <w:br w:type="page"/>
      </w:r>
    </w:p>
    <w:p w14:paraId="6C4C97F4" w14:textId="77777777" w:rsidR="002D2AF8" w:rsidRDefault="00000000">
      <w:pPr>
        <w:pStyle w:val="10"/>
        <w:keepNext w:val="0"/>
        <w:adjustRightInd w:val="0"/>
        <w:snapToGrid w:val="0"/>
        <w:spacing w:line="360" w:lineRule="auto"/>
        <w:rPr>
          <w:rFonts w:eastAsia="楷体_GB2312"/>
          <w:b/>
          <w:color w:val="000000" w:themeColor="text1"/>
          <w:sz w:val="36"/>
          <w:szCs w:val="36"/>
        </w:rPr>
      </w:pPr>
      <w:bookmarkStart w:id="100" w:name="_Toc14676"/>
      <w:r>
        <w:rPr>
          <w:rFonts w:eastAsia="楷体_GB2312"/>
          <w:b/>
          <w:color w:val="000000" w:themeColor="text1"/>
          <w:sz w:val="36"/>
          <w:szCs w:val="36"/>
        </w:rPr>
        <w:lastRenderedPageBreak/>
        <w:t xml:space="preserve">5 </w:t>
      </w:r>
      <w:r>
        <w:rPr>
          <w:rFonts w:eastAsia="楷体_GB2312" w:hint="eastAsia"/>
          <w:b/>
          <w:color w:val="000000" w:themeColor="text1"/>
          <w:sz w:val="36"/>
          <w:szCs w:val="36"/>
        </w:rPr>
        <w:t>定性定量</w:t>
      </w:r>
      <w:r>
        <w:rPr>
          <w:rFonts w:eastAsia="楷体_GB2312"/>
          <w:b/>
          <w:color w:val="000000" w:themeColor="text1"/>
          <w:sz w:val="36"/>
          <w:szCs w:val="36"/>
        </w:rPr>
        <w:t>评价</w:t>
      </w:r>
      <w:bookmarkEnd w:id="97"/>
      <w:bookmarkEnd w:id="98"/>
      <w:bookmarkEnd w:id="99"/>
      <w:bookmarkEnd w:id="100"/>
    </w:p>
    <w:p w14:paraId="516E4B40"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01" w:name="_Toc31322"/>
      <w:bookmarkStart w:id="102" w:name="_Toc446488250"/>
      <w:bookmarkStart w:id="103" w:name="_Toc281310751"/>
      <w:bookmarkStart w:id="104" w:name="_Toc416954894"/>
      <w:r>
        <w:rPr>
          <w:rFonts w:ascii="Times New Roman" w:hAnsi="Times New Roman"/>
          <w:b w:val="0"/>
          <w:bCs/>
          <w:color w:val="000000" w:themeColor="text1"/>
          <w:szCs w:val="32"/>
        </w:rPr>
        <w:t xml:space="preserve">5.1 </w:t>
      </w:r>
      <w:r>
        <w:rPr>
          <w:rFonts w:ascii="Times New Roman" w:hAnsi="Times New Roman"/>
          <w:b w:val="0"/>
          <w:bCs/>
          <w:color w:val="000000" w:themeColor="text1"/>
          <w:szCs w:val="32"/>
        </w:rPr>
        <w:t>生产单元安全检查表</w:t>
      </w:r>
      <w:bookmarkEnd w:id="101"/>
      <w:bookmarkEnd w:id="102"/>
      <w:bookmarkEnd w:id="103"/>
      <w:bookmarkEnd w:id="104"/>
    </w:p>
    <w:p w14:paraId="0F49A767" w14:textId="77777777" w:rsidR="002D2AF8"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sz w:val="28"/>
          <w:szCs w:val="28"/>
        </w:rPr>
        <w:t xml:space="preserve">5.1.1 </w:t>
      </w:r>
      <w:r>
        <w:rPr>
          <w:rFonts w:eastAsia="黑体" w:hint="eastAsia"/>
          <w:color w:val="000000" w:themeColor="text1"/>
          <w:sz w:val="28"/>
          <w:szCs w:val="28"/>
        </w:rPr>
        <w:t>STS2RP7</w:t>
      </w:r>
      <w:r>
        <w:rPr>
          <w:rFonts w:eastAsia="黑体"/>
          <w:color w:val="000000" w:themeColor="text1"/>
          <w:sz w:val="28"/>
          <w:szCs w:val="28"/>
        </w:rPr>
        <w:t>井（</w:t>
      </w:r>
      <w:r>
        <w:rPr>
          <w:rFonts w:eastAsia="黑体" w:hint="eastAsia"/>
          <w:color w:val="000000" w:themeColor="text1"/>
          <w:sz w:val="28"/>
          <w:szCs w:val="28"/>
        </w:rPr>
        <w:t>堵水</w:t>
      </w:r>
      <w:r>
        <w:rPr>
          <w:rFonts w:eastAsia="黑体" w:hint="eastAsia"/>
          <w:color w:val="000000" w:themeColor="text1"/>
          <w:sz w:val="28"/>
          <w:szCs w:val="28"/>
        </w:rPr>
        <w:t>/</w:t>
      </w:r>
      <w:r>
        <w:rPr>
          <w:rFonts w:eastAsia="黑体" w:hint="eastAsia"/>
          <w:color w:val="000000" w:themeColor="text1"/>
          <w:sz w:val="28"/>
          <w:szCs w:val="28"/>
        </w:rPr>
        <w:t>调剖</w:t>
      </w:r>
      <w:r>
        <w:rPr>
          <w:rFonts w:eastAsia="黑体"/>
          <w:color w:val="000000" w:themeColor="text1"/>
          <w:sz w:val="28"/>
          <w:szCs w:val="28"/>
        </w:rPr>
        <w:t>）</w:t>
      </w:r>
    </w:p>
    <w:p w14:paraId="17A7C308"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1.</w:t>
      </w:r>
      <w:r>
        <w:rPr>
          <w:color w:val="000000" w:themeColor="text1"/>
          <w:sz w:val="28"/>
          <w:szCs w:val="28"/>
        </w:rPr>
        <w:t>进井场道路及周边环境</w:t>
      </w:r>
    </w:p>
    <w:p w14:paraId="19F1CE9E" w14:textId="77777777" w:rsidR="002D2AF8" w:rsidRDefault="00000000">
      <w:pPr>
        <w:adjustRightInd w:val="0"/>
        <w:snapToGrid w:val="0"/>
        <w:spacing w:line="360" w:lineRule="auto"/>
        <w:ind w:firstLineChars="200" w:firstLine="566"/>
        <w:rPr>
          <w:color w:val="000000" w:themeColor="text1"/>
          <w:sz w:val="28"/>
        </w:rPr>
      </w:pPr>
      <w:r>
        <w:rPr>
          <w:rFonts w:hint="eastAsia"/>
          <w:color w:val="000000" w:themeColor="text1"/>
          <w:sz w:val="28"/>
        </w:rPr>
        <w:t>堵调测试队</w:t>
      </w:r>
      <w:r>
        <w:rPr>
          <w:color w:val="000000" w:themeColor="text1"/>
          <w:sz w:val="28"/>
        </w:rPr>
        <w:t>在</w:t>
      </w:r>
      <w:r>
        <w:rPr>
          <w:rFonts w:hint="eastAsia"/>
          <w:color w:val="000000" w:themeColor="text1"/>
          <w:sz w:val="28"/>
        </w:rPr>
        <w:t>STS2RP7</w:t>
      </w:r>
      <w:r>
        <w:rPr>
          <w:color w:val="000000" w:themeColor="text1"/>
          <w:sz w:val="28"/>
        </w:rPr>
        <w:t>井</w:t>
      </w:r>
      <w:r>
        <w:rPr>
          <w:rFonts w:hint="eastAsia"/>
          <w:color w:val="000000" w:themeColor="text1"/>
          <w:sz w:val="28"/>
        </w:rPr>
        <w:t>进行堵水</w:t>
      </w:r>
      <w:r>
        <w:rPr>
          <w:rFonts w:hint="eastAsia"/>
          <w:color w:val="000000" w:themeColor="text1"/>
          <w:sz w:val="28"/>
        </w:rPr>
        <w:t>/</w:t>
      </w:r>
      <w:r>
        <w:rPr>
          <w:rFonts w:hint="eastAsia"/>
          <w:color w:val="000000" w:themeColor="text1"/>
          <w:sz w:val="28"/>
        </w:rPr>
        <w:t>调剖</w:t>
      </w:r>
      <w:r>
        <w:rPr>
          <w:color w:val="000000" w:themeColor="text1"/>
          <w:sz w:val="28"/>
        </w:rPr>
        <w:t>施工，</w:t>
      </w:r>
      <w:r>
        <w:rPr>
          <w:rFonts w:hint="eastAsia"/>
          <w:color w:val="000000" w:themeColor="text1"/>
          <w:sz w:val="28"/>
        </w:rPr>
        <w:t>STS2RP7</w:t>
      </w:r>
      <w:r>
        <w:rPr>
          <w:color w:val="000000" w:themeColor="text1"/>
          <w:sz w:val="28"/>
        </w:rPr>
        <w:t>井在</w:t>
      </w:r>
      <w:r>
        <w:rPr>
          <w:rFonts w:hint="eastAsia"/>
          <w:color w:val="000000" w:themeColor="text1"/>
          <w:sz w:val="28"/>
        </w:rPr>
        <w:t>胜坨路以南、丰收路以东、</w:t>
      </w:r>
      <w:r>
        <w:rPr>
          <w:rFonts w:hint="eastAsia"/>
          <w:color w:val="000000" w:themeColor="text1"/>
          <w:sz w:val="28"/>
        </w:rPr>
        <w:t>Y032</w:t>
      </w:r>
      <w:r>
        <w:rPr>
          <w:rFonts w:hint="eastAsia"/>
          <w:color w:val="000000" w:themeColor="text1"/>
          <w:sz w:val="28"/>
        </w:rPr>
        <w:t>路以北、西四路以西，</w:t>
      </w:r>
      <w:r>
        <w:rPr>
          <w:color w:val="000000" w:themeColor="text1"/>
          <w:sz w:val="28"/>
        </w:rPr>
        <w:t>属于</w:t>
      </w:r>
      <w:r>
        <w:rPr>
          <w:rFonts w:hint="eastAsia"/>
          <w:color w:val="000000" w:themeColor="text1"/>
          <w:sz w:val="28"/>
        </w:rPr>
        <w:t>胜利</w:t>
      </w:r>
      <w:r>
        <w:rPr>
          <w:color w:val="000000" w:themeColor="text1"/>
          <w:sz w:val="28"/>
        </w:rPr>
        <w:t>采油厂采油管理</w:t>
      </w:r>
      <w:r>
        <w:rPr>
          <w:rFonts w:hint="eastAsia"/>
          <w:color w:val="000000" w:themeColor="text1"/>
          <w:sz w:val="28"/>
        </w:rPr>
        <w:t>三</w:t>
      </w:r>
      <w:r>
        <w:rPr>
          <w:color w:val="000000" w:themeColor="text1"/>
          <w:sz w:val="28"/>
        </w:rPr>
        <w:t>区管理，</w:t>
      </w:r>
      <w:r>
        <w:rPr>
          <w:rFonts w:hint="eastAsia"/>
          <w:color w:val="000000" w:themeColor="text1"/>
          <w:sz w:val="28"/>
        </w:rPr>
        <w:t>井场四周</w:t>
      </w:r>
      <w:r>
        <w:rPr>
          <w:color w:val="000000" w:themeColor="text1"/>
          <w:sz w:val="28"/>
        </w:rPr>
        <w:t>为荒地</w:t>
      </w:r>
      <w:r>
        <w:rPr>
          <w:rFonts w:hint="eastAsia"/>
          <w:color w:val="000000" w:themeColor="text1"/>
          <w:sz w:val="28"/>
        </w:rPr>
        <w:t>或油井</w:t>
      </w:r>
      <w:r>
        <w:rPr>
          <w:color w:val="000000" w:themeColor="text1"/>
          <w:sz w:val="28"/>
        </w:rPr>
        <w:t>。井场</w:t>
      </w:r>
      <w:r>
        <w:rPr>
          <w:rFonts w:hint="eastAsia"/>
          <w:color w:val="000000" w:themeColor="text1"/>
          <w:sz w:val="28"/>
        </w:rPr>
        <w:t>东</w:t>
      </w:r>
      <w:r>
        <w:rPr>
          <w:color w:val="000000" w:themeColor="text1"/>
          <w:sz w:val="28"/>
        </w:rPr>
        <w:t>面有</w:t>
      </w:r>
      <w:r>
        <w:rPr>
          <w:rFonts w:hint="eastAsia"/>
          <w:color w:val="000000" w:themeColor="text1"/>
          <w:sz w:val="28"/>
        </w:rPr>
        <w:t>油田生产道</w:t>
      </w:r>
      <w:r>
        <w:rPr>
          <w:color w:val="000000" w:themeColor="text1"/>
          <w:sz w:val="28"/>
        </w:rPr>
        <w:t>路与</w:t>
      </w:r>
      <w:r>
        <w:rPr>
          <w:rFonts w:hint="eastAsia"/>
          <w:color w:val="000000" w:themeColor="text1"/>
          <w:sz w:val="28"/>
        </w:rPr>
        <w:t>Y032</w:t>
      </w:r>
      <w:r>
        <w:rPr>
          <w:rFonts w:hint="eastAsia"/>
          <w:color w:val="000000" w:themeColor="text1"/>
          <w:sz w:val="28"/>
        </w:rPr>
        <w:t>路</w:t>
      </w:r>
      <w:r>
        <w:rPr>
          <w:color w:val="000000" w:themeColor="text1"/>
          <w:sz w:val="28"/>
        </w:rPr>
        <w:t>相通，交通便利。</w:t>
      </w:r>
      <w:r>
        <w:rPr>
          <w:rFonts w:hint="eastAsia"/>
          <w:color w:val="000000" w:themeColor="text1"/>
          <w:sz w:val="28"/>
        </w:rPr>
        <w:t>施工</w:t>
      </w:r>
      <w:r>
        <w:rPr>
          <w:color w:val="000000" w:themeColor="text1"/>
          <w:sz w:val="28"/>
        </w:rPr>
        <w:t>井场四周设有安全</w:t>
      </w:r>
      <w:r>
        <w:rPr>
          <w:rFonts w:hint="eastAsia"/>
          <w:color w:val="000000" w:themeColor="text1"/>
          <w:sz w:val="28"/>
        </w:rPr>
        <w:t>警示围栏</w:t>
      </w:r>
      <w:r>
        <w:rPr>
          <w:color w:val="000000" w:themeColor="text1"/>
          <w:sz w:val="28"/>
        </w:rPr>
        <w:t>，外部人员不能随便进入现场。井场无污染，井场布置能够满足施工需要。井场平面布置与设备设施见图</w:t>
      </w:r>
      <w:r>
        <w:rPr>
          <w:color w:val="000000" w:themeColor="text1"/>
          <w:sz w:val="28"/>
        </w:rPr>
        <w:t>5-1</w:t>
      </w:r>
      <w:r>
        <w:rPr>
          <w:color w:val="000000" w:themeColor="text1"/>
          <w:sz w:val="28"/>
        </w:rPr>
        <w:t>。</w:t>
      </w:r>
    </w:p>
    <w:p w14:paraId="6C904C87" w14:textId="336AD159" w:rsidR="002D2AF8" w:rsidRDefault="002D2AF8">
      <w:pPr>
        <w:adjustRightInd w:val="0"/>
        <w:snapToGrid w:val="0"/>
        <w:spacing w:line="360" w:lineRule="auto"/>
        <w:rPr>
          <w:color w:val="000000" w:themeColor="text1"/>
          <w:sz w:val="28"/>
        </w:rPr>
      </w:pPr>
    </w:p>
    <w:p w14:paraId="76D4BBAB" w14:textId="2CB10A12" w:rsidR="002D2AF8" w:rsidRDefault="00000000">
      <w:pPr>
        <w:pStyle w:val="2"/>
        <w:adjustRightInd w:val="0"/>
        <w:snapToGrid w:val="0"/>
        <w:spacing w:line="360" w:lineRule="auto"/>
        <w:ind w:firstLineChars="0" w:firstLine="0"/>
        <w:rPr>
          <w:rFonts w:ascii="Times New Roman" w:hAnsi="Times New Roman"/>
          <w:color w:val="000000" w:themeColor="text1"/>
        </w:rPr>
      </w:pPr>
      <w:r>
        <w:rPr>
          <w:rFonts w:ascii="Times New Roman" w:hAnsi="Times New Roman"/>
          <w:noProof/>
          <w:color w:val="000000" w:themeColor="text1"/>
        </w:rPr>
        <w:drawing>
          <wp:inline distT="0" distB="0" distL="114300" distR="114300" wp14:anchorId="53E92A33" wp14:editId="1EDC2564">
            <wp:extent cx="5255260" cy="3183890"/>
            <wp:effectExtent l="0" t="0" r="2540" b="1270"/>
            <wp:docPr id="6" name="图片 6" descr="D:\实华报告\非煤矿山\胜兴堵驱\现场检查和现场核查照片\微信图片_20220901111857.jpg微信图片_202209011118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D:\实华报告\非煤矿山\胜兴堵驱\现场检查和现场核查照片\微信图片_20220901111857.jpg微信图片_20220901111857"/>
                    <pic:cNvPicPr>
                      <a:picLocks noChangeAspect="1"/>
                    </pic:cNvPicPr>
                  </pic:nvPicPr>
                  <pic:blipFill>
                    <a:blip r:embed="rId31"/>
                    <a:srcRect/>
                    <a:stretch>
                      <a:fillRect/>
                    </a:stretch>
                  </pic:blipFill>
                  <pic:spPr>
                    <a:xfrm>
                      <a:off x="0" y="0"/>
                      <a:ext cx="5255260" cy="3183890"/>
                    </a:xfrm>
                    <a:prstGeom prst="rect">
                      <a:avLst/>
                    </a:prstGeom>
                  </pic:spPr>
                </pic:pic>
              </a:graphicData>
            </a:graphic>
          </wp:inline>
        </w:drawing>
      </w:r>
    </w:p>
    <w:p w14:paraId="5A308D39" w14:textId="77777777" w:rsidR="002D2AF8" w:rsidRDefault="00000000">
      <w:pPr>
        <w:pStyle w:val="Default"/>
        <w:snapToGrid w:val="0"/>
        <w:spacing w:line="360" w:lineRule="auto"/>
        <w:jc w:val="center"/>
        <w:rPr>
          <w:rFonts w:ascii="Times New Roman" w:eastAsia="宋体" w:hAnsi="Times New Roman" w:cs="Times New Roman"/>
          <w:color w:val="000000" w:themeColor="text1"/>
        </w:rPr>
      </w:pPr>
      <w:r>
        <w:rPr>
          <w:rFonts w:ascii="Times New Roman" w:eastAsia="宋体" w:hAnsi="Times New Roman" w:cs="Times New Roman"/>
          <w:b/>
          <w:color w:val="000000" w:themeColor="text1"/>
        </w:rPr>
        <w:t>图</w:t>
      </w:r>
      <w:r>
        <w:rPr>
          <w:rFonts w:ascii="Times New Roman" w:eastAsia="宋体" w:hAnsi="Times New Roman" w:cs="Times New Roman"/>
          <w:b/>
          <w:color w:val="000000" w:themeColor="text1"/>
        </w:rPr>
        <w:t>5-1 STS2RP7</w:t>
      </w:r>
      <w:r>
        <w:rPr>
          <w:rFonts w:ascii="Times New Roman" w:eastAsia="宋体" w:hAnsi="Times New Roman" w:cs="Times New Roman"/>
          <w:b/>
          <w:color w:val="000000" w:themeColor="text1"/>
        </w:rPr>
        <w:t>井场平面布置与设备设施图</w:t>
      </w:r>
    </w:p>
    <w:p w14:paraId="13A6B886" w14:textId="77777777" w:rsidR="002D2AF8" w:rsidRDefault="00000000">
      <w:pPr>
        <w:adjustRightInd w:val="0"/>
        <w:snapToGrid w:val="0"/>
        <w:spacing w:line="360" w:lineRule="auto"/>
        <w:ind w:firstLineChars="200" w:firstLine="566"/>
        <w:jc w:val="left"/>
        <w:rPr>
          <w:color w:val="000000" w:themeColor="text1"/>
          <w:sz w:val="28"/>
          <w:szCs w:val="28"/>
        </w:rPr>
      </w:pPr>
      <w:r>
        <w:rPr>
          <w:rFonts w:hint="eastAsia"/>
          <w:color w:val="000000" w:themeColor="text1"/>
          <w:sz w:val="28"/>
          <w:szCs w:val="28"/>
        </w:rPr>
        <w:t>涉及企业机密，不予公开。</w:t>
      </w:r>
    </w:p>
    <w:p w14:paraId="7E01A6F8" w14:textId="77777777" w:rsidR="002D2AF8" w:rsidRDefault="00000000">
      <w:pPr>
        <w:pStyle w:val="Char3"/>
        <w:widowControl w:val="0"/>
        <w:adjustRightInd w:val="0"/>
        <w:snapToGrid w:val="0"/>
        <w:spacing w:after="0" w:line="360" w:lineRule="auto"/>
        <w:ind w:firstLineChars="200" w:firstLine="566"/>
        <w:jc w:val="both"/>
        <w:rPr>
          <w:bCs/>
          <w:color w:val="000000" w:themeColor="text1"/>
          <w:sz w:val="28"/>
          <w:szCs w:val="28"/>
        </w:rPr>
      </w:pPr>
      <w:r>
        <w:rPr>
          <w:bCs/>
          <w:color w:val="000000" w:themeColor="text1"/>
          <w:sz w:val="28"/>
          <w:szCs w:val="28"/>
        </w:rPr>
        <w:t>6.</w:t>
      </w:r>
      <w:r>
        <w:rPr>
          <w:bCs/>
          <w:color w:val="000000" w:themeColor="text1"/>
          <w:sz w:val="28"/>
          <w:szCs w:val="28"/>
        </w:rPr>
        <w:t>安全检查表</w:t>
      </w:r>
    </w:p>
    <w:p w14:paraId="206F8470" w14:textId="77777777" w:rsidR="002D2AF8" w:rsidRDefault="00000000">
      <w:pPr>
        <w:pStyle w:val="aff4"/>
        <w:spacing w:line="360" w:lineRule="auto"/>
        <w:ind w:firstLineChars="200" w:firstLine="566"/>
        <w:rPr>
          <w:color w:val="000000" w:themeColor="text1"/>
        </w:rPr>
      </w:pPr>
      <w:r>
        <w:rPr>
          <w:color w:val="000000" w:themeColor="text1"/>
        </w:rPr>
        <w:t>本节根据《油井堵水作业方法</w:t>
      </w:r>
      <w:r>
        <w:rPr>
          <w:color w:val="000000" w:themeColor="text1"/>
        </w:rPr>
        <w:t xml:space="preserve"> </w:t>
      </w:r>
      <w:r>
        <w:rPr>
          <w:color w:val="000000" w:themeColor="text1"/>
        </w:rPr>
        <w:t>水玻璃</w:t>
      </w:r>
      <w:r>
        <w:rPr>
          <w:color w:val="000000" w:themeColor="text1"/>
        </w:rPr>
        <w:t>-</w:t>
      </w:r>
      <w:r>
        <w:rPr>
          <w:color w:val="000000" w:themeColor="text1"/>
        </w:rPr>
        <w:t>氯化钙堵水及调剖工艺作法》（</w:t>
      </w:r>
      <w:r>
        <w:rPr>
          <w:color w:val="000000" w:themeColor="text1"/>
        </w:rPr>
        <w:t>SY/T5923-2012</w:t>
      </w:r>
      <w:r>
        <w:rPr>
          <w:color w:val="000000" w:themeColor="text1"/>
        </w:rPr>
        <w:t>）、《井下作业安全规程》（</w:t>
      </w:r>
      <w:r>
        <w:rPr>
          <w:color w:val="000000" w:themeColor="text1"/>
        </w:rPr>
        <w:t>SY/T5727-2020</w:t>
      </w:r>
      <w:r>
        <w:rPr>
          <w:color w:val="000000" w:themeColor="text1"/>
        </w:rPr>
        <w:t>）、</w:t>
      </w:r>
      <w:r>
        <w:rPr>
          <w:color w:val="000000" w:themeColor="text1"/>
        </w:rPr>
        <w:lastRenderedPageBreak/>
        <w:t>《井下作业井控技术规程》（</w:t>
      </w:r>
      <w:r>
        <w:rPr>
          <w:color w:val="000000" w:themeColor="text1"/>
        </w:rPr>
        <w:t>SY/T6690-2016</w:t>
      </w:r>
      <w:r>
        <w:rPr>
          <w:color w:val="000000" w:themeColor="text1"/>
        </w:rPr>
        <w:t>）等标准，对本项目生产单元进行安全评价，具体评价过程见表</w:t>
      </w:r>
      <w:r>
        <w:rPr>
          <w:color w:val="000000" w:themeColor="text1"/>
        </w:rPr>
        <w:t>5-3</w:t>
      </w:r>
      <w:r>
        <w:rPr>
          <w:color w:val="000000" w:themeColor="text1"/>
        </w:rPr>
        <w:t>。</w:t>
      </w:r>
    </w:p>
    <w:p w14:paraId="71387867" w14:textId="77777777" w:rsidR="002D2AF8" w:rsidRDefault="00000000">
      <w:pPr>
        <w:pStyle w:val="li"/>
        <w:spacing w:line="360" w:lineRule="auto"/>
        <w:ind w:firstLineChars="0" w:firstLine="0"/>
        <w:jc w:val="center"/>
        <w:rPr>
          <w:b/>
          <w:color w:val="000000" w:themeColor="text1"/>
          <w:sz w:val="24"/>
          <w:szCs w:val="24"/>
        </w:rPr>
      </w:pPr>
      <w:r>
        <w:rPr>
          <w:b/>
          <w:color w:val="000000" w:themeColor="text1"/>
          <w:sz w:val="24"/>
          <w:szCs w:val="24"/>
        </w:rPr>
        <w:t>表</w:t>
      </w:r>
      <w:r>
        <w:rPr>
          <w:b/>
          <w:color w:val="000000" w:themeColor="text1"/>
          <w:sz w:val="24"/>
          <w:szCs w:val="24"/>
        </w:rPr>
        <w:t>5-3  STS2RP7</w:t>
      </w:r>
      <w:r>
        <w:rPr>
          <w:b/>
          <w:color w:val="000000" w:themeColor="text1"/>
          <w:sz w:val="24"/>
          <w:szCs w:val="24"/>
        </w:rPr>
        <w:t>井</w:t>
      </w:r>
      <w:r>
        <w:rPr>
          <w:rFonts w:hint="eastAsia"/>
          <w:b/>
          <w:color w:val="000000" w:themeColor="text1"/>
          <w:sz w:val="24"/>
          <w:szCs w:val="24"/>
        </w:rPr>
        <w:t>堵水调剖施工现场</w:t>
      </w:r>
      <w:r>
        <w:rPr>
          <w:b/>
          <w:color w:val="000000" w:themeColor="text1"/>
          <w:sz w:val="24"/>
          <w:szCs w:val="24"/>
        </w:rPr>
        <w:t>安全检查表</w:t>
      </w:r>
    </w:p>
    <w:tbl>
      <w:tblPr>
        <w:tblW w:w="9147"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ayout w:type="fixed"/>
        <w:tblLook w:val="04A0" w:firstRow="1" w:lastRow="0" w:firstColumn="1" w:lastColumn="0" w:noHBand="0" w:noVBand="1"/>
      </w:tblPr>
      <w:tblGrid>
        <w:gridCol w:w="495"/>
        <w:gridCol w:w="3291"/>
        <w:gridCol w:w="1692"/>
        <w:gridCol w:w="702"/>
        <w:gridCol w:w="2967"/>
      </w:tblGrid>
      <w:tr w:rsidR="002D2AF8" w14:paraId="0C310E49" w14:textId="77777777">
        <w:trPr>
          <w:tblHeader/>
          <w:jc w:val="center"/>
        </w:trPr>
        <w:tc>
          <w:tcPr>
            <w:tcW w:w="495" w:type="dxa"/>
            <w:tcBorders>
              <w:tl2br w:val="nil"/>
              <w:tr2bl w:val="nil"/>
            </w:tcBorders>
            <w:vAlign w:val="center"/>
          </w:tcPr>
          <w:p w14:paraId="1E6FFEB5" w14:textId="77777777" w:rsidR="002D2AF8" w:rsidRDefault="00000000">
            <w:pPr>
              <w:snapToGrid w:val="0"/>
              <w:spacing w:beforeLines="20" w:before="65" w:afterLines="20" w:after="65"/>
              <w:jc w:val="center"/>
              <w:rPr>
                <w:b/>
                <w:color w:val="000000" w:themeColor="text1"/>
                <w:szCs w:val="21"/>
              </w:rPr>
            </w:pPr>
            <w:r>
              <w:rPr>
                <w:b/>
                <w:color w:val="000000" w:themeColor="text1"/>
                <w:szCs w:val="21"/>
              </w:rPr>
              <w:t>序号</w:t>
            </w:r>
          </w:p>
        </w:tc>
        <w:tc>
          <w:tcPr>
            <w:tcW w:w="3291" w:type="dxa"/>
            <w:tcBorders>
              <w:tl2br w:val="nil"/>
              <w:tr2bl w:val="nil"/>
            </w:tcBorders>
            <w:vAlign w:val="center"/>
          </w:tcPr>
          <w:p w14:paraId="498B1FD3" w14:textId="77777777" w:rsidR="002D2AF8" w:rsidRDefault="00000000">
            <w:pPr>
              <w:snapToGrid w:val="0"/>
              <w:spacing w:beforeLines="20" w:before="65" w:afterLines="20" w:after="65"/>
              <w:jc w:val="center"/>
              <w:rPr>
                <w:b/>
                <w:color w:val="000000" w:themeColor="text1"/>
                <w:szCs w:val="21"/>
              </w:rPr>
            </w:pPr>
            <w:r>
              <w:rPr>
                <w:b/>
                <w:color w:val="000000" w:themeColor="text1"/>
                <w:szCs w:val="21"/>
              </w:rPr>
              <w:t>检查项目</w:t>
            </w:r>
          </w:p>
        </w:tc>
        <w:tc>
          <w:tcPr>
            <w:tcW w:w="1692" w:type="dxa"/>
            <w:tcBorders>
              <w:tl2br w:val="nil"/>
              <w:tr2bl w:val="nil"/>
            </w:tcBorders>
            <w:vAlign w:val="center"/>
          </w:tcPr>
          <w:p w14:paraId="7950B2B9" w14:textId="77777777" w:rsidR="002D2AF8" w:rsidRDefault="00000000">
            <w:pPr>
              <w:snapToGrid w:val="0"/>
              <w:spacing w:beforeLines="20" w:before="65" w:afterLines="20" w:after="65"/>
              <w:jc w:val="center"/>
              <w:rPr>
                <w:b/>
                <w:color w:val="000000" w:themeColor="text1"/>
                <w:szCs w:val="21"/>
              </w:rPr>
            </w:pPr>
            <w:r>
              <w:rPr>
                <w:b/>
                <w:color w:val="000000" w:themeColor="text1"/>
                <w:szCs w:val="21"/>
              </w:rPr>
              <w:t>检查依据</w:t>
            </w:r>
          </w:p>
        </w:tc>
        <w:tc>
          <w:tcPr>
            <w:tcW w:w="702" w:type="dxa"/>
            <w:tcBorders>
              <w:tl2br w:val="nil"/>
              <w:tr2bl w:val="nil"/>
            </w:tcBorders>
            <w:vAlign w:val="center"/>
          </w:tcPr>
          <w:p w14:paraId="27E55194" w14:textId="77777777" w:rsidR="002D2AF8" w:rsidRDefault="00000000">
            <w:pPr>
              <w:snapToGrid w:val="0"/>
              <w:spacing w:beforeLines="20" w:before="65" w:afterLines="20" w:after="65"/>
              <w:jc w:val="center"/>
              <w:rPr>
                <w:b/>
                <w:color w:val="000000" w:themeColor="text1"/>
                <w:szCs w:val="21"/>
              </w:rPr>
            </w:pPr>
            <w:r>
              <w:rPr>
                <w:b/>
                <w:color w:val="000000" w:themeColor="text1"/>
                <w:szCs w:val="21"/>
              </w:rPr>
              <w:t>检查</w:t>
            </w:r>
          </w:p>
          <w:p w14:paraId="237763AC" w14:textId="77777777" w:rsidR="002D2AF8" w:rsidRDefault="00000000">
            <w:pPr>
              <w:snapToGrid w:val="0"/>
              <w:spacing w:beforeLines="20" w:before="65" w:afterLines="20" w:after="65"/>
              <w:jc w:val="center"/>
              <w:rPr>
                <w:b/>
                <w:color w:val="000000" w:themeColor="text1"/>
                <w:szCs w:val="21"/>
              </w:rPr>
            </w:pPr>
            <w:r>
              <w:rPr>
                <w:b/>
                <w:color w:val="000000" w:themeColor="text1"/>
                <w:szCs w:val="21"/>
              </w:rPr>
              <w:t>结果</w:t>
            </w:r>
          </w:p>
        </w:tc>
        <w:tc>
          <w:tcPr>
            <w:tcW w:w="2967" w:type="dxa"/>
            <w:tcBorders>
              <w:tl2br w:val="nil"/>
              <w:tr2bl w:val="nil"/>
            </w:tcBorders>
            <w:vAlign w:val="center"/>
          </w:tcPr>
          <w:p w14:paraId="36378D36" w14:textId="77777777" w:rsidR="002D2AF8" w:rsidRDefault="00000000">
            <w:pPr>
              <w:snapToGrid w:val="0"/>
              <w:spacing w:beforeLines="20" w:before="65" w:afterLines="20" w:after="65"/>
              <w:jc w:val="center"/>
              <w:rPr>
                <w:b/>
                <w:color w:val="000000" w:themeColor="text1"/>
                <w:szCs w:val="21"/>
              </w:rPr>
            </w:pPr>
            <w:r>
              <w:rPr>
                <w:b/>
                <w:color w:val="000000" w:themeColor="text1"/>
                <w:szCs w:val="21"/>
              </w:rPr>
              <w:t>实际情况</w:t>
            </w:r>
          </w:p>
        </w:tc>
      </w:tr>
      <w:tr w:rsidR="002D2AF8" w14:paraId="536E0398" w14:textId="77777777">
        <w:trPr>
          <w:jc w:val="center"/>
        </w:trPr>
        <w:tc>
          <w:tcPr>
            <w:tcW w:w="495" w:type="dxa"/>
            <w:tcBorders>
              <w:tl2br w:val="nil"/>
              <w:tr2bl w:val="nil"/>
            </w:tcBorders>
            <w:vAlign w:val="center"/>
          </w:tcPr>
          <w:p w14:paraId="50FDCCCD" w14:textId="77777777" w:rsidR="002D2AF8" w:rsidRDefault="00000000">
            <w:pPr>
              <w:snapToGrid w:val="0"/>
              <w:spacing w:beforeLines="20" w:before="65" w:afterLines="20" w:after="65"/>
              <w:rPr>
                <w:b/>
                <w:color w:val="000000" w:themeColor="text1"/>
                <w:szCs w:val="21"/>
              </w:rPr>
            </w:pPr>
            <w:r>
              <w:rPr>
                <w:rFonts w:hint="eastAsia"/>
                <w:b/>
                <w:color w:val="000000" w:themeColor="text1"/>
                <w:szCs w:val="21"/>
              </w:rPr>
              <w:t>一</w:t>
            </w:r>
          </w:p>
        </w:tc>
        <w:tc>
          <w:tcPr>
            <w:tcW w:w="3291" w:type="dxa"/>
            <w:tcBorders>
              <w:tl2br w:val="nil"/>
              <w:tr2bl w:val="nil"/>
            </w:tcBorders>
            <w:vAlign w:val="center"/>
          </w:tcPr>
          <w:p w14:paraId="33A6BCD9" w14:textId="77777777" w:rsidR="002D2AF8" w:rsidRDefault="00000000">
            <w:pPr>
              <w:snapToGrid w:val="0"/>
              <w:rPr>
                <w:b/>
                <w:color w:val="000000" w:themeColor="text1"/>
                <w:szCs w:val="21"/>
              </w:rPr>
            </w:pPr>
            <w:r>
              <w:rPr>
                <w:b/>
                <w:color w:val="000000" w:themeColor="text1"/>
                <w:szCs w:val="21"/>
              </w:rPr>
              <w:t>设备、设施</w:t>
            </w:r>
          </w:p>
        </w:tc>
        <w:tc>
          <w:tcPr>
            <w:tcW w:w="1692" w:type="dxa"/>
            <w:tcBorders>
              <w:tl2br w:val="nil"/>
              <w:tr2bl w:val="nil"/>
            </w:tcBorders>
            <w:vAlign w:val="center"/>
          </w:tcPr>
          <w:p w14:paraId="1EA7ABA6" w14:textId="77777777" w:rsidR="002D2AF8" w:rsidRDefault="002D2AF8">
            <w:pPr>
              <w:snapToGrid w:val="0"/>
              <w:rPr>
                <w:b/>
                <w:color w:val="000000" w:themeColor="text1"/>
                <w:szCs w:val="21"/>
              </w:rPr>
            </w:pPr>
          </w:p>
        </w:tc>
        <w:tc>
          <w:tcPr>
            <w:tcW w:w="702" w:type="dxa"/>
            <w:tcBorders>
              <w:tl2br w:val="nil"/>
              <w:tr2bl w:val="nil"/>
            </w:tcBorders>
            <w:vAlign w:val="center"/>
          </w:tcPr>
          <w:p w14:paraId="2170B87A" w14:textId="77777777" w:rsidR="002D2AF8" w:rsidRDefault="002D2AF8">
            <w:pPr>
              <w:snapToGrid w:val="0"/>
              <w:rPr>
                <w:b/>
                <w:color w:val="000000" w:themeColor="text1"/>
                <w:szCs w:val="21"/>
              </w:rPr>
            </w:pPr>
          </w:p>
        </w:tc>
        <w:tc>
          <w:tcPr>
            <w:tcW w:w="2967" w:type="dxa"/>
            <w:tcBorders>
              <w:tl2br w:val="nil"/>
              <w:tr2bl w:val="nil"/>
            </w:tcBorders>
            <w:vAlign w:val="center"/>
          </w:tcPr>
          <w:p w14:paraId="7C61EA7F" w14:textId="77777777" w:rsidR="002D2AF8" w:rsidRDefault="002D2AF8">
            <w:pPr>
              <w:snapToGrid w:val="0"/>
              <w:rPr>
                <w:b/>
                <w:color w:val="000000" w:themeColor="text1"/>
                <w:szCs w:val="21"/>
              </w:rPr>
            </w:pPr>
          </w:p>
        </w:tc>
      </w:tr>
      <w:tr w:rsidR="002D2AF8" w14:paraId="5939D49E" w14:textId="77777777">
        <w:trPr>
          <w:jc w:val="center"/>
        </w:trPr>
        <w:tc>
          <w:tcPr>
            <w:tcW w:w="495" w:type="dxa"/>
            <w:tcBorders>
              <w:tl2br w:val="nil"/>
              <w:tr2bl w:val="nil"/>
            </w:tcBorders>
            <w:vAlign w:val="center"/>
          </w:tcPr>
          <w:p w14:paraId="3E8CC8FE"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3A078BE5" w14:textId="77777777" w:rsidR="002D2AF8" w:rsidRDefault="00000000">
            <w:pPr>
              <w:snapToGrid w:val="0"/>
              <w:jc w:val="left"/>
              <w:rPr>
                <w:color w:val="000000" w:themeColor="text1"/>
                <w:szCs w:val="21"/>
              </w:rPr>
            </w:pPr>
            <w:r>
              <w:rPr>
                <w:color w:val="000000" w:themeColor="text1"/>
                <w:szCs w:val="21"/>
              </w:rPr>
              <w:t>所有设备应按设备操作规程进行安装，做到</w:t>
            </w:r>
            <w:r>
              <w:rPr>
                <w:color w:val="000000" w:themeColor="text1"/>
                <w:szCs w:val="21"/>
              </w:rPr>
              <w:t>“</w:t>
            </w:r>
            <w:r>
              <w:rPr>
                <w:color w:val="000000" w:themeColor="text1"/>
                <w:szCs w:val="21"/>
              </w:rPr>
              <w:t>平、稳、正、全、牢</w:t>
            </w:r>
            <w:r>
              <w:rPr>
                <w:color w:val="000000" w:themeColor="text1"/>
                <w:szCs w:val="21"/>
              </w:rPr>
              <w:t>”</w:t>
            </w:r>
            <w:r>
              <w:rPr>
                <w:color w:val="000000" w:themeColor="text1"/>
                <w:szCs w:val="21"/>
              </w:rPr>
              <w:t>。</w:t>
            </w:r>
          </w:p>
        </w:tc>
        <w:tc>
          <w:tcPr>
            <w:tcW w:w="1692" w:type="dxa"/>
            <w:tcBorders>
              <w:tl2br w:val="nil"/>
              <w:tr2bl w:val="nil"/>
            </w:tcBorders>
            <w:vAlign w:val="center"/>
          </w:tcPr>
          <w:p w14:paraId="4E8E9EF1" w14:textId="77777777" w:rsidR="002D2AF8" w:rsidRDefault="00000000">
            <w:pPr>
              <w:snapToGrid w:val="0"/>
              <w:jc w:val="center"/>
              <w:rPr>
                <w:color w:val="000000" w:themeColor="text1"/>
                <w:szCs w:val="21"/>
              </w:rPr>
            </w:pPr>
            <w:r>
              <w:rPr>
                <w:color w:val="000000" w:themeColor="text1"/>
                <w:szCs w:val="21"/>
              </w:rPr>
              <w:t>SY/T5727-2020</w:t>
            </w:r>
          </w:p>
          <w:p w14:paraId="507459B8" w14:textId="77777777" w:rsidR="002D2AF8" w:rsidRDefault="00000000">
            <w:pPr>
              <w:snapToGrid w:val="0"/>
              <w:jc w:val="center"/>
              <w:rPr>
                <w:color w:val="000000" w:themeColor="text1"/>
                <w:szCs w:val="21"/>
              </w:rPr>
            </w:pPr>
            <w:r>
              <w:rPr>
                <w:color w:val="000000" w:themeColor="text1"/>
                <w:szCs w:val="21"/>
              </w:rPr>
              <w:t>3.3.1</w:t>
            </w:r>
          </w:p>
        </w:tc>
        <w:tc>
          <w:tcPr>
            <w:tcW w:w="702" w:type="dxa"/>
            <w:tcBorders>
              <w:tl2br w:val="nil"/>
              <w:tr2bl w:val="nil"/>
            </w:tcBorders>
            <w:vAlign w:val="center"/>
          </w:tcPr>
          <w:p w14:paraId="1AA2BD57"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70466FBF" w14:textId="77777777" w:rsidR="002D2AF8" w:rsidRDefault="00000000">
            <w:pPr>
              <w:snapToGrid w:val="0"/>
              <w:rPr>
                <w:color w:val="000000" w:themeColor="text1"/>
                <w:szCs w:val="21"/>
              </w:rPr>
            </w:pPr>
            <w:r>
              <w:rPr>
                <w:color w:val="000000" w:themeColor="text1"/>
                <w:szCs w:val="21"/>
              </w:rPr>
              <w:t>设备安装平稳。</w:t>
            </w:r>
          </w:p>
        </w:tc>
      </w:tr>
      <w:tr w:rsidR="002D2AF8" w14:paraId="3AA43BB5" w14:textId="77777777">
        <w:trPr>
          <w:jc w:val="center"/>
        </w:trPr>
        <w:tc>
          <w:tcPr>
            <w:tcW w:w="495" w:type="dxa"/>
            <w:tcBorders>
              <w:tl2br w:val="nil"/>
              <w:tr2bl w:val="nil"/>
            </w:tcBorders>
            <w:vAlign w:val="center"/>
          </w:tcPr>
          <w:p w14:paraId="1A9E9056"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5013EC0A" w14:textId="77777777" w:rsidR="002D2AF8" w:rsidRDefault="00000000">
            <w:pPr>
              <w:snapToGrid w:val="0"/>
              <w:jc w:val="left"/>
              <w:rPr>
                <w:color w:val="000000" w:themeColor="text1"/>
                <w:szCs w:val="21"/>
              </w:rPr>
            </w:pPr>
            <w:r>
              <w:rPr>
                <w:color w:val="000000" w:themeColor="text1"/>
                <w:szCs w:val="21"/>
              </w:rPr>
              <w:t>设备部件、附件、安全装置、护罩等应齐全、完好，不得缺损、变形，且固定牢靠。</w:t>
            </w:r>
          </w:p>
        </w:tc>
        <w:tc>
          <w:tcPr>
            <w:tcW w:w="1692" w:type="dxa"/>
            <w:tcBorders>
              <w:tl2br w:val="nil"/>
              <w:tr2bl w:val="nil"/>
            </w:tcBorders>
            <w:vAlign w:val="center"/>
          </w:tcPr>
          <w:p w14:paraId="27530956" w14:textId="77777777" w:rsidR="002D2AF8" w:rsidRDefault="00000000">
            <w:pPr>
              <w:snapToGrid w:val="0"/>
              <w:jc w:val="center"/>
              <w:rPr>
                <w:color w:val="000000" w:themeColor="text1"/>
                <w:szCs w:val="21"/>
              </w:rPr>
            </w:pPr>
            <w:r>
              <w:rPr>
                <w:color w:val="000000" w:themeColor="text1"/>
                <w:szCs w:val="21"/>
              </w:rPr>
              <w:t>SY/T5727-2020</w:t>
            </w:r>
          </w:p>
          <w:p w14:paraId="3799E995" w14:textId="77777777" w:rsidR="002D2AF8" w:rsidRDefault="00000000">
            <w:pPr>
              <w:snapToGrid w:val="0"/>
              <w:jc w:val="center"/>
              <w:rPr>
                <w:color w:val="000000" w:themeColor="text1"/>
                <w:szCs w:val="21"/>
              </w:rPr>
            </w:pPr>
            <w:r>
              <w:rPr>
                <w:color w:val="000000" w:themeColor="text1"/>
                <w:szCs w:val="21"/>
              </w:rPr>
              <w:t>3.3.2</w:t>
            </w:r>
          </w:p>
        </w:tc>
        <w:tc>
          <w:tcPr>
            <w:tcW w:w="702" w:type="dxa"/>
            <w:tcBorders>
              <w:tl2br w:val="nil"/>
              <w:tr2bl w:val="nil"/>
            </w:tcBorders>
            <w:vAlign w:val="center"/>
          </w:tcPr>
          <w:p w14:paraId="26A2BB98"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4C036E1D" w14:textId="77777777" w:rsidR="002D2AF8" w:rsidRDefault="00000000">
            <w:pPr>
              <w:snapToGrid w:val="0"/>
              <w:rPr>
                <w:color w:val="000000" w:themeColor="text1"/>
                <w:szCs w:val="21"/>
              </w:rPr>
            </w:pPr>
            <w:r>
              <w:rPr>
                <w:color w:val="000000" w:themeColor="text1"/>
                <w:szCs w:val="21"/>
              </w:rPr>
              <w:t>设备部件、附件、安全装置、护罩齐全，无缺损变形。</w:t>
            </w:r>
          </w:p>
        </w:tc>
      </w:tr>
      <w:tr w:rsidR="002D2AF8" w14:paraId="07A96385" w14:textId="77777777">
        <w:trPr>
          <w:jc w:val="center"/>
        </w:trPr>
        <w:tc>
          <w:tcPr>
            <w:tcW w:w="495" w:type="dxa"/>
            <w:tcBorders>
              <w:tl2br w:val="nil"/>
              <w:tr2bl w:val="nil"/>
            </w:tcBorders>
            <w:vAlign w:val="center"/>
          </w:tcPr>
          <w:p w14:paraId="49935B2E"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351DD80A" w14:textId="77777777" w:rsidR="002D2AF8" w:rsidRDefault="00000000">
            <w:pPr>
              <w:snapToGrid w:val="0"/>
              <w:jc w:val="left"/>
              <w:rPr>
                <w:color w:val="000000" w:themeColor="text1"/>
                <w:szCs w:val="21"/>
              </w:rPr>
            </w:pPr>
            <w:r>
              <w:rPr>
                <w:color w:val="000000" w:themeColor="text1"/>
                <w:szCs w:val="21"/>
              </w:rPr>
              <w:t>设备运转部位转动灵活，各种阀件应灵活可靠、安全保险；设备油水应符合要求，保证油、气、水路通畅，不渗不漏。</w:t>
            </w:r>
          </w:p>
        </w:tc>
        <w:tc>
          <w:tcPr>
            <w:tcW w:w="1692" w:type="dxa"/>
            <w:tcBorders>
              <w:tl2br w:val="nil"/>
              <w:tr2bl w:val="nil"/>
            </w:tcBorders>
            <w:vAlign w:val="center"/>
          </w:tcPr>
          <w:p w14:paraId="54F5D9CA" w14:textId="77777777" w:rsidR="002D2AF8" w:rsidRDefault="00000000">
            <w:pPr>
              <w:snapToGrid w:val="0"/>
              <w:jc w:val="center"/>
              <w:rPr>
                <w:color w:val="000000" w:themeColor="text1"/>
                <w:szCs w:val="21"/>
              </w:rPr>
            </w:pPr>
            <w:r>
              <w:rPr>
                <w:color w:val="000000" w:themeColor="text1"/>
                <w:szCs w:val="21"/>
              </w:rPr>
              <w:t>SY/T5727-2020</w:t>
            </w:r>
          </w:p>
          <w:p w14:paraId="76B0F245" w14:textId="77777777" w:rsidR="002D2AF8" w:rsidRDefault="00000000">
            <w:pPr>
              <w:snapToGrid w:val="0"/>
              <w:jc w:val="center"/>
              <w:rPr>
                <w:color w:val="000000" w:themeColor="text1"/>
                <w:szCs w:val="21"/>
              </w:rPr>
            </w:pPr>
            <w:r>
              <w:rPr>
                <w:color w:val="000000" w:themeColor="text1"/>
                <w:szCs w:val="21"/>
              </w:rPr>
              <w:t>3.3.3</w:t>
            </w:r>
          </w:p>
        </w:tc>
        <w:tc>
          <w:tcPr>
            <w:tcW w:w="702" w:type="dxa"/>
            <w:tcBorders>
              <w:tl2br w:val="nil"/>
              <w:tr2bl w:val="nil"/>
            </w:tcBorders>
            <w:vAlign w:val="center"/>
          </w:tcPr>
          <w:p w14:paraId="7D4B43BD"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4B72A178" w14:textId="77777777" w:rsidR="002D2AF8" w:rsidRDefault="00000000">
            <w:pPr>
              <w:snapToGrid w:val="0"/>
              <w:rPr>
                <w:color w:val="000000" w:themeColor="text1"/>
                <w:szCs w:val="21"/>
              </w:rPr>
            </w:pPr>
            <w:r>
              <w:rPr>
                <w:color w:val="000000" w:themeColor="text1"/>
                <w:szCs w:val="21"/>
              </w:rPr>
              <w:t>设备运转部位转动灵活，各种阀件灵活可靠。</w:t>
            </w:r>
          </w:p>
        </w:tc>
      </w:tr>
      <w:tr w:rsidR="002D2AF8" w14:paraId="13BA340F" w14:textId="77777777">
        <w:trPr>
          <w:jc w:val="center"/>
        </w:trPr>
        <w:tc>
          <w:tcPr>
            <w:tcW w:w="495" w:type="dxa"/>
            <w:tcBorders>
              <w:tl2br w:val="nil"/>
              <w:tr2bl w:val="nil"/>
            </w:tcBorders>
            <w:vAlign w:val="center"/>
          </w:tcPr>
          <w:p w14:paraId="085BA083"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3E298819" w14:textId="77777777" w:rsidR="002D2AF8" w:rsidRDefault="00000000">
            <w:pPr>
              <w:snapToGrid w:val="0"/>
              <w:jc w:val="left"/>
              <w:rPr>
                <w:color w:val="000000" w:themeColor="text1"/>
                <w:szCs w:val="21"/>
              </w:rPr>
            </w:pPr>
            <w:r>
              <w:rPr>
                <w:color w:val="000000" w:themeColor="text1"/>
                <w:szCs w:val="21"/>
              </w:rPr>
              <w:t>所有紧固件、连接件应紧固可靠，销子应有锁紧保险装置；紧固件螺纹外露部分要涂抹润滑脂。</w:t>
            </w:r>
          </w:p>
        </w:tc>
        <w:tc>
          <w:tcPr>
            <w:tcW w:w="1692" w:type="dxa"/>
            <w:tcBorders>
              <w:tl2br w:val="nil"/>
              <w:tr2bl w:val="nil"/>
            </w:tcBorders>
            <w:vAlign w:val="center"/>
          </w:tcPr>
          <w:p w14:paraId="5A56FDFF" w14:textId="77777777" w:rsidR="002D2AF8" w:rsidRDefault="00000000">
            <w:pPr>
              <w:snapToGrid w:val="0"/>
              <w:jc w:val="center"/>
              <w:rPr>
                <w:color w:val="000000" w:themeColor="text1"/>
                <w:szCs w:val="21"/>
              </w:rPr>
            </w:pPr>
            <w:r>
              <w:rPr>
                <w:color w:val="000000" w:themeColor="text1"/>
                <w:szCs w:val="21"/>
              </w:rPr>
              <w:t>SY/T5727-2020</w:t>
            </w:r>
          </w:p>
          <w:p w14:paraId="565B1473" w14:textId="77777777" w:rsidR="002D2AF8" w:rsidRDefault="00000000">
            <w:pPr>
              <w:snapToGrid w:val="0"/>
              <w:jc w:val="center"/>
              <w:rPr>
                <w:color w:val="000000" w:themeColor="text1"/>
                <w:szCs w:val="21"/>
              </w:rPr>
            </w:pPr>
            <w:r>
              <w:rPr>
                <w:color w:val="000000" w:themeColor="text1"/>
                <w:szCs w:val="21"/>
              </w:rPr>
              <w:t>3.3.4</w:t>
            </w:r>
          </w:p>
        </w:tc>
        <w:tc>
          <w:tcPr>
            <w:tcW w:w="702" w:type="dxa"/>
            <w:tcBorders>
              <w:tl2br w:val="nil"/>
              <w:tr2bl w:val="nil"/>
            </w:tcBorders>
            <w:vAlign w:val="center"/>
          </w:tcPr>
          <w:p w14:paraId="7F2C606E"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647C684D" w14:textId="77777777" w:rsidR="002D2AF8" w:rsidRDefault="00000000">
            <w:pPr>
              <w:snapToGrid w:val="0"/>
              <w:rPr>
                <w:color w:val="000000" w:themeColor="text1"/>
                <w:szCs w:val="21"/>
              </w:rPr>
            </w:pPr>
            <w:r>
              <w:rPr>
                <w:rFonts w:hint="eastAsia"/>
                <w:color w:val="000000" w:themeColor="text1"/>
                <w:szCs w:val="21"/>
              </w:rPr>
              <w:t>搅拌机</w:t>
            </w:r>
            <w:r>
              <w:rPr>
                <w:color w:val="000000" w:themeColor="text1"/>
                <w:szCs w:val="21"/>
              </w:rPr>
              <w:t>紧固</w:t>
            </w:r>
            <w:r>
              <w:rPr>
                <w:rFonts w:hint="eastAsia"/>
                <w:color w:val="000000" w:themeColor="text1"/>
                <w:szCs w:val="21"/>
              </w:rPr>
              <w:t>在平台横梁上，紧固</w:t>
            </w:r>
            <w:r>
              <w:rPr>
                <w:color w:val="000000" w:themeColor="text1"/>
                <w:szCs w:val="21"/>
              </w:rPr>
              <w:t>可靠。</w:t>
            </w:r>
          </w:p>
        </w:tc>
      </w:tr>
      <w:tr w:rsidR="002D2AF8" w14:paraId="52BDACE6" w14:textId="77777777">
        <w:trPr>
          <w:jc w:val="center"/>
        </w:trPr>
        <w:tc>
          <w:tcPr>
            <w:tcW w:w="495" w:type="dxa"/>
            <w:tcBorders>
              <w:tl2br w:val="nil"/>
              <w:tr2bl w:val="nil"/>
            </w:tcBorders>
            <w:vAlign w:val="center"/>
          </w:tcPr>
          <w:p w14:paraId="696BCE02"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67CB0328" w14:textId="77777777" w:rsidR="002D2AF8" w:rsidRDefault="00000000">
            <w:pPr>
              <w:snapToGrid w:val="0"/>
              <w:jc w:val="left"/>
              <w:rPr>
                <w:color w:val="000000" w:themeColor="text1"/>
                <w:szCs w:val="21"/>
              </w:rPr>
            </w:pPr>
            <w:r>
              <w:rPr>
                <w:color w:val="000000" w:themeColor="text1"/>
                <w:szCs w:val="21"/>
              </w:rPr>
              <w:t>设备护栏、梯子齐全、紧固、完好。</w:t>
            </w:r>
          </w:p>
        </w:tc>
        <w:tc>
          <w:tcPr>
            <w:tcW w:w="1692" w:type="dxa"/>
            <w:tcBorders>
              <w:tl2br w:val="nil"/>
              <w:tr2bl w:val="nil"/>
            </w:tcBorders>
            <w:vAlign w:val="center"/>
          </w:tcPr>
          <w:p w14:paraId="72450CF7" w14:textId="77777777" w:rsidR="002D2AF8" w:rsidRDefault="00000000">
            <w:pPr>
              <w:snapToGrid w:val="0"/>
              <w:jc w:val="center"/>
              <w:rPr>
                <w:color w:val="000000" w:themeColor="text1"/>
                <w:szCs w:val="21"/>
              </w:rPr>
            </w:pPr>
            <w:r>
              <w:rPr>
                <w:color w:val="000000" w:themeColor="text1"/>
                <w:szCs w:val="21"/>
              </w:rPr>
              <w:t>SY/T5727-2020</w:t>
            </w:r>
          </w:p>
          <w:p w14:paraId="5E0F4E19" w14:textId="77777777" w:rsidR="002D2AF8" w:rsidRDefault="00000000">
            <w:pPr>
              <w:snapToGrid w:val="0"/>
              <w:jc w:val="center"/>
              <w:rPr>
                <w:color w:val="000000" w:themeColor="text1"/>
                <w:szCs w:val="21"/>
              </w:rPr>
            </w:pPr>
            <w:r>
              <w:rPr>
                <w:color w:val="000000" w:themeColor="text1"/>
                <w:szCs w:val="21"/>
              </w:rPr>
              <w:t>3.6.1</w:t>
            </w:r>
          </w:p>
        </w:tc>
        <w:tc>
          <w:tcPr>
            <w:tcW w:w="702" w:type="dxa"/>
            <w:tcBorders>
              <w:tl2br w:val="nil"/>
              <w:tr2bl w:val="nil"/>
            </w:tcBorders>
            <w:vAlign w:val="center"/>
          </w:tcPr>
          <w:p w14:paraId="0C34045B"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4297C06B" w14:textId="77777777" w:rsidR="002D2AF8" w:rsidRDefault="00000000">
            <w:pPr>
              <w:snapToGrid w:val="0"/>
              <w:rPr>
                <w:color w:val="000000" w:themeColor="text1"/>
                <w:szCs w:val="21"/>
              </w:rPr>
            </w:pPr>
            <w:r>
              <w:rPr>
                <w:rFonts w:hint="eastAsia"/>
                <w:color w:val="000000" w:themeColor="text1"/>
                <w:szCs w:val="21"/>
              </w:rPr>
              <w:t>配液罐的</w:t>
            </w:r>
            <w:r>
              <w:rPr>
                <w:color w:val="000000" w:themeColor="text1"/>
                <w:szCs w:val="21"/>
              </w:rPr>
              <w:t>护栏、梯子齐全、紧固、完好。</w:t>
            </w:r>
          </w:p>
        </w:tc>
      </w:tr>
      <w:tr w:rsidR="002D2AF8" w14:paraId="784EF7EA" w14:textId="77777777">
        <w:trPr>
          <w:jc w:val="center"/>
        </w:trPr>
        <w:tc>
          <w:tcPr>
            <w:tcW w:w="495" w:type="dxa"/>
            <w:tcBorders>
              <w:tl2br w:val="nil"/>
              <w:tr2bl w:val="nil"/>
            </w:tcBorders>
            <w:vAlign w:val="center"/>
          </w:tcPr>
          <w:p w14:paraId="519EE033"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570BECE7" w14:textId="77777777" w:rsidR="002D2AF8" w:rsidRDefault="00000000">
            <w:pPr>
              <w:snapToGrid w:val="0"/>
              <w:jc w:val="left"/>
              <w:rPr>
                <w:color w:val="000000" w:themeColor="text1"/>
                <w:szCs w:val="21"/>
              </w:rPr>
            </w:pPr>
            <w:r>
              <w:rPr>
                <w:color w:val="000000" w:themeColor="text1"/>
                <w:szCs w:val="21"/>
              </w:rPr>
              <w:t>传动、转动部位护栏（罩）齐全牢靠。</w:t>
            </w:r>
          </w:p>
        </w:tc>
        <w:tc>
          <w:tcPr>
            <w:tcW w:w="1692" w:type="dxa"/>
            <w:tcBorders>
              <w:tl2br w:val="nil"/>
              <w:tr2bl w:val="nil"/>
            </w:tcBorders>
            <w:vAlign w:val="center"/>
          </w:tcPr>
          <w:p w14:paraId="7F8C34BA" w14:textId="77777777" w:rsidR="002D2AF8" w:rsidRDefault="00000000">
            <w:pPr>
              <w:snapToGrid w:val="0"/>
              <w:jc w:val="center"/>
              <w:rPr>
                <w:color w:val="000000" w:themeColor="text1"/>
                <w:szCs w:val="21"/>
              </w:rPr>
            </w:pPr>
            <w:r>
              <w:rPr>
                <w:color w:val="000000" w:themeColor="text1"/>
                <w:szCs w:val="21"/>
              </w:rPr>
              <w:t>SY/T5727-2020</w:t>
            </w:r>
          </w:p>
          <w:p w14:paraId="40CFC978" w14:textId="77777777" w:rsidR="002D2AF8" w:rsidRDefault="00000000">
            <w:pPr>
              <w:snapToGrid w:val="0"/>
              <w:jc w:val="center"/>
              <w:rPr>
                <w:color w:val="000000" w:themeColor="text1"/>
                <w:szCs w:val="21"/>
              </w:rPr>
            </w:pPr>
            <w:r>
              <w:rPr>
                <w:color w:val="000000" w:themeColor="text1"/>
                <w:szCs w:val="21"/>
              </w:rPr>
              <w:t>3.9.1</w:t>
            </w:r>
          </w:p>
        </w:tc>
        <w:tc>
          <w:tcPr>
            <w:tcW w:w="702" w:type="dxa"/>
            <w:tcBorders>
              <w:tl2br w:val="nil"/>
              <w:tr2bl w:val="nil"/>
            </w:tcBorders>
            <w:vAlign w:val="center"/>
          </w:tcPr>
          <w:p w14:paraId="7E70CAD8"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4822C0E5" w14:textId="77777777" w:rsidR="002D2AF8" w:rsidRDefault="00000000">
            <w:pPr>
              <w:snapToGrid w:val="0"/>
              <w:rPr>
                <w:color w:val="000000" w:themeColor="text1"/>
                <w:szCs w:val="21"/>
              </w:rPr>
            </w:pPr>
            <w:r>
              <w:rPr>
                <w:rFonts w:hint="eastAsia"/>
                <w:color w:val="000000" w:themeColor="text1"/>
                <w:szCs w:val="21"/>
              </w:rPr>
              <w:t>注入泵</w:t>
            </w:r>
            <w:r>
              <w:rPr>
                <w:color w:val="000000" w:themeColor="text1"/>
                <w:szCs w:val="21"/>
              </w:rPr>
              <w:t>转动部位护栏齐全牢靠。</w:t>
            </w:r>
          </w:p>
        </w:tc>
      </w:tr>
      <w:tr w:rsidR="002D2AF8" w14:paraId="5E45A1A6" w14:textId="77777777">
        <w:trPr>
          <w:jc w:val="center"/>
        </w:trPr>
        <w:tc>
          <w:tcPr>
            <w:tcW w:w="495" w:type="dxa"/>
            <w:tcBorders>
              <w:tl2br w:val="nil"/>
              <w:tr2bl w:val="nil"/>
            </w:tcBorders>
            <w:vAlign w:val="center"/>
          </w:tcPr>
          <w:p w14:paraId="0889CD56"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29972380" w14:textId="77777777" w:rsidR="002D2AF8" w:rsidRDefault="00000000">
            <w:pPr>
              <w:snapToGrid w:val="0"/>
              <w:jc w:val="left"/>
              <w:rPr>
                <w:color w:val="000000" w:themeColor="text1"/>
                <w:szCs w:val="21"/>
              </w:rPr>
            </w:pPr>
            <w:r>
              <w:rPr>
                <w:color w:val="000000" w:themeColor="text1"/>
                <w:szCs w:val="21"/>
              </w:rPr>
              <w:t>循环罐四周护栏应齐全完好、固定牢靠、灯光充足，符合防爆要求，装有完好的电动搅拌器和液面报警器。</w:t>
            </w:r>
          </w:p>
        </w:tc>
        <w:tc>
          <w:tcPr>
            <w:tcW w:w="1692" w:type="dxa"/>
            <w:tcBorders>
              <w:tl2br w:val="nil"/>
              <w:tr2bl w:val="nil"/>
            </w:tcBorders>
            <w:vAlign w:val="center"/>
          </w:tcPr>
          <w:p w14:paraId="2639B560" w14:textId="77777777" w:rsidR="002D2AF8" w:rsidRDefault="00000000">
            <w:pPr>
              <w:snapToGrid w:val="0"/>
              <w:jc w:val="center"/>
              <w:rPr>
                <w:color w:val="000000" w:themeColor="text1"/>
                <w:szCs w:val="21"/>
              </w:rPr>
            </w:pPr>
            <w:r>
              <w:rPr>
                <w:color w:val="000000" w:themeColor="text1"/>
                <w:szCs w:val="21"/>
              </w:rPr>
              <w:t>SY/T5727-2020</w:t>
            </w:r>
          </w:p>
          <w:p w14:paraId="0EEFEF7B" w14:textId="77777777" w:rsidR="002D2AF8" w:rsidRDefault="00000000">
            <w:pPr>
              <w:snapToGrid w:val="0"/>
              <w:jc w:val="center"/>
              <w:rPr>
                <w:color w:val="000000" w:themeColor="text1"/>
                <w:szCs w:val="21"/>
              </w:rPr>
            </w:pPr>
            <w:r>
              <w:rPr>
                <w:color w:val="000000" w:themeColor="text1"/>
                <w:szCs w:val="21"/>
              </w:rPr>
              <w:t>3.18.1</w:t>
            </w:r>
          </w:p>
        </w:tc>
        <w:tc>
          <w:tcPr>
            <w:tcW w:w="702" w:type="dxa"/>
            <w:tcBorders>
              <w:tl2br w:val="nil"/>
              <w:tr2bl w:val="nil"/>
            </w:tcBorders>
            <w:vAlign w:val="center"/>
          </w:tcPr>
          <w:p w14:paraId="25C2FFBA" w14:textId="77777777" w:rsidR="002D2AF8" w:rsidRDefault="00000000">
            <w:pPr>
              <w:snapToGrid w:val="0"/>
              <w:jc w:val="center"/>
              <w:rPr>
                <w:color w:val="000000" w:themeColor="text1"/>
                <w:szCs w:val="21"/>
              </w:rPr>
            </w:pPr>
            <w:r>
              <w:rPr>
                <w:rFonts w:ascii="Arial" w:hAnsi="Arial" w:cs="Arial"/>
                <w:color w:val="000000" w:themeColor="text1"/>
                <w:szCs w:val="21"/>
              </w:rPr>
              <w:t>×</w:t>
            </w:r>
          </w:p>
        </w:tc>
        <w:tc>
          <w:tcPr>
            <w:tcW w:w="2967" w:type="dxa"/>
            <w:tcBorders>
              <w:tl2br w:val="nil"/>
              <w:tr2bl w:val="nil"/>
            </w:tcBorders>
            <w:vAlign w:val="center"/>
          </w:tcPr>
          <w:p w14:paraId="44D94555" w14:textId="77777777" w:rsidR="002D2AF8" w:rsidRDefault="00000000">
            <w:pPr>
              <w:snapToGrid w:val="0"/>
              <w:rPr>
                <w:color w:val="000000" w:themeColor="text1"/>
                <w:szCs w:val="21"/>
              </w:rPr>
            </w:pPr>
            <w:r>
              <w:rPr>
                <w:rFonts w:hint="eastAsia"/>
                <w:color w:val="000000" w:themeColor="text1"/>
                <w:szCs w:val="21"/>
              </w:rPr>
              <w:t>配液罐未安装液位计。</w:t>
            </w:r>
          </w:p>
        </w:tc>
      </w:tr>
      <w:tr w:rsidR="002D2AF8" w14:paraId="287300BB" w14:textId="77777777">
        <w:trPr>
          <w:jc w:val="center"/>
        </w:trPr>
        <w:tc>
          <w:tcPr>
            <w:tcW w:w="495" w:type="dxa"/>
            <w:tcBorders>
              <w:tl2br w:val="nil"/>
              <w:tr2bl w:val="nil"/>
            </w:tcBorders>
            <w:vAlign w:val="center"/>
          </w:tcPr>
          <w:p w14:paraId="305739FE"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1D589334" w14:textId="77777777" w:rsidR="002D2AF8" w:rsidRDefault="00000000">
            <w:pPr>
              <w:snapToGrid w:val="0"/>
              <w:jc w:val="left"/>
              <w:rPr>
                <w:color w:val="000000" w:themeColor="text1"/>
                <w:szCs w:val="21"/>
              </w:rPr>
            </w:pPr>
            <w:r>
              <w:rPr>
                <w:color w:val="000000" w:themeColor="text1"/>
                <w:szCs w:val="21"/>
              </w:rPr>
              <w:t>罐面应有足够强度无严重锈蚀，观察孔有护网或活动板，罐面无杂物，走道畅通。</w:t>
            </w:r>
          </w:p>
        </w:tc>
        <w:tc>
          <w:tcPr>
            <w:tcW w:w="1692" w:type="dxa"/>
            <w:tcBorders>
              <w:tl2br w:val="nil"/>
              <w:tr2bl w:val="nil"/>
            </w:tcBorders>
            <w:vAlign w:val="center"/>
          </w:tcPr>
          <w:p w14:paraId="6A13E1C4" w14:textId="77777777" w:rsidR="002D2AF8" w:rsidRDefault="00000000">
            <w:pPr>
              <w:snapToGrid w:val="0"/>
              <w:jc w:val="center"/>
              <w:rPr>
                <w:color w:val="000000" w:themeColor="text1"/>
                <w:szCs w:val="21"/>
              </w:rPr>
            </w:pPr>
            <w:r>
              <w:rPr>
                <w:color w:val="000000" w:themeColor="text1"/>
                <w:szCs w:val="21"/>
              </w:rPr>
              <w:t>SY/T5727-2020</w:t>
            </w:r>
          </w:p>
          <w:p w14:paraId="17C91F08" w14:textId="77777777" w:rsidR="002D2AF8" w:rsidRDefault="00000000">
            <w:pPr>
              <w:snapToGrid w:val="0"/>
              <w:jc w:val="center"/>
              <w:rPr>
                <w:color w:val="000000" w:themeColor="text1"/>
                <w:szCs w:val="21"/>
              </w:rPr>
            </w:pPr>
            <w:r>
              <w:rPr>
                <w:color w:val="000000" w:themeColor="text1"/>
                <w:szCs w:val="21"/>
              </w:rPr>
              <w:t>3.18.2</w:t>
            </w:r>
          </w:p>
        </w:tc>
        <w:tc>
          <w:tcPr>
            <w:tcW w:w="702" w:type="dxa"/>
            <w:tcBorders>
              <w:tl2br w:val="nil"/>
              <w:tr2bl w:val="nil"/>
            </w:tcBorders>
            <w:vAlign w:val="center"/>
          </w:tcPr>
          <w:p w14:paraId="19B82EEE"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49ED1CB4" w14:textId="77777777" w:rsidR="002D2AF8" w:rsidRDefault="00000000">
            <w:pPr>
              <w:snapToGrid w:val="0"/>
              <w:rPr>
                <w:color w:val="000000" w:themeColor="text1"/>
                <w:szCs w:val="21"/>
              </w:rPr>
            </w:pPr>
            <w:r>
              <w:rPr>
                <w:color w:val="000000" w:themeColor="text1"/>
                <w:szCs w:val="21"/>
              </w:rPr>
              <w:t>罐面有足够强度无严重锈蚀，罐面无杂物，走道畅通。</w:t>
            </w:r>
          </w:p>
        </w:tc>
      </w:tr>
      <w:tr w:rsidR="002D2AF8" w14:paraId="49B3E83F" w14:textId="77777777">
        <w:trPr>
          <w:jc w:val="center"/>
        </w:trPr>
        <w:tc>
          <w:tcPr>
            <w:tcW w:w="495" w:type="dxa"/>
            <w:tcBorders>
              <w:tl2br w:val="nil"/>
              <w:tr2bl w:val="nil"/>
            </w:tcBorders>
            <w:vAlign w:val="center"/>
          </w:tcPr>
          <w:p w14:paraId="5EEFC984" w14:textId="77777777" w:rsidR="002D2AF8" w:rsidRDefault="00000000">
            <w:pPr>
              <w:tabs>
                <w:tab w:val="left" w:pos="347"/>
              </w:tabs>
              <w:snapToGrid w:val="0"/>
              <w:spacing w:beforeLines="20" w:before="65" w:afterLines="20" w:after="65"/>
              <w:jc w:val="left"/>
              <w:rPr>
                <w:color w:val="000000" w:themeColor="text1"/>
                <w:szCs w:val="21"/>
              </w:rPr>
            </w:pPr>
            <w:r>
              <w:rPr>
                <w:rFonts w:hint="eastAsia"/>
                <w:b/>
                <w:color w:val="000000" w:themeColor="text1"/>
                <w:szCs w:val="21"/>
              </w:rPr>
              <w:t>二</w:t>
            </w:r>
          </w:p>
        </w:tc>
        <w:tc>
          <w:tcPr>
            <w:tcW w:w="3291" w:type="dxa"/>
            <w:tcBorders>
              <w:tl2br w:val="nil"/>
              <w:tr2bl w:val="nil"/>
            </w:tcBorders>
            <w:vAlign w:val="center"/>
          </w:tcPr>
          <w:p w14:paraId="3012C703" w14:textId="77777777" w:rsidR="002D2AF8" w:rsidRDefault="00000000">
            <w:pPr>
              <w:snapToGrid w:val="0"/>
              <w:rPr>
                <w:color w:val="000000" w:themeColor="text1"/>
                <w:szCs w:val="21"/>
              </w:rPr>
            </w:pPr>
            <w:r>
              <w:rPr>
                <w:b/>
                <w:color w:val="000000" w:themeColor="text1"/>
                <w:szCs w:val="21"/>
              </w:rPr>
              <w:t>安全警示标志</w:t>
            </w:r>
          </w:p>
        </w:tc>
        <w:tc>
          <w:tcPr>
            <w:tcW w:w="1692" w:type="dxa"/>
            <w:tcBorders>
              <w:tl2br w:val="nil"/>
              <w:tr2bl w:val="nil"/>
            </w:tcBorders>
            <w:vAlign w:val="center"/>
          </w:tcPr>
          <w:p w14:paraId="5B6993CE" w14:textId="77777777" w:rsidR="002D2AF8" w:rsidRDefault="002D2AF8">
            <w:pPr>
              <w:snapToGrid w:val="0"/>
              <w:rPr>
                <w:b/>
                <w:color w:val="000000" w:themeColor="text1"/>
                <w:szCs w:val="21"/>
              </w:rPr>
            </w:pPr>
          </w:p>
        </w:tc>
        <w:tc>
          <w:tcPr>
            <w:tcW w:w="702" w:type="dxa"/>
            <w:tcBorders>
              <w:tl2br w:val="nil"/>
              <w:tr2bl w:val="nil"/>
            </w:tcBorders>
            <w:vAlign w:val="center"/>
          </w:tcPr>
          <w:p w14:paraId="7C583E3E" w14:textId="77777777" w:rsidR="002D2AF8" w:rsidRDefault="002D2AF8">
            <w:pPr>
              <w:snapToGrid w:val="0"/>
              <w:rPr>
                <w:b/>
                <w:color w:val="000000" w:themeColor="text1"/>
                <w:szCs w:val="21"/>
              </w:rPr>
            </w:pPr>
          </w:p>
        </w:tc>
        <w:tc>
          <w:tcPr>
            <w:tcW w:w="2967" w:type="dxa"/>
            <w:tcBorders>
              <w:tl2br w:val="nil"/>
              <w:tr2bl w:val="nil"/>
            </w:tcBorders>
            <w:vAlign w:val="center"/>
          </w:tcPr>
          <w:p w14:paraId="6058CCC1" w14:textId="77777777" w:rsidR="002D2AF8" w:rsidRDefault="002D2AF8">
            <w:pPr>
              <w:snapToGrid w:val="0"/>
              <w:rPr>
                <w:b/>
                <w:color w:val="000000" w:themeColor="text1"/>
                <w:szCs w:val="21"/>
              </w:rPr>
            </w:pPr>
          </w:p>
        </w:tc>
      </w:tr>
      <w:tr w:rsidR="002D2AF8" w14:paraId="17967FC8" w14:textId="77777777">
        <w:trPr>
          <w:jc w:val="center"/>
        </w:trPr>
        <w:tc>
          <w:tcPr>
            <w:tcW w:w="495" w:type="dxa"/>
            <w:tcBorders>
              <w:tl2br w:val="nil"/>
              <w:tr2bl w:val="nil"/>
            </w:tcBorders>
            <w:vAlign w:val="center"/>
          </w:tcPr>
          <w:p w14:paraId="15E19474"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0A08D845" w14:textId="77777777" w:rsidR="002D2AF8" w:rsidRDefault="00000000">
            <w:pPr>
              <w:snapToGrid w:val="0"/>
              <w:jc w:val="left"/>
              <w:rPr>
                <w:color w:val="000000" w:themeColor="text1"/>
                <w:szCs w:val="21"/>
              </w:rPr>
            </w:pPr>
            <w:r>
              <w:rPr>
                <w:color w:val="000000" w:themeColor="text1"/>
                <w:szCs w:val="21"/>
              </w:rPr>
              <w:t>高压施工区域设置警示线及警示标志</w:t>
            </w:r>
            <w:r>
              <w:rPr>
                <w:rFonts w:hint="eastAsia"/>
                <w:color w:val="000000" w:themeColor="text1"/>
                <w:szCs w:val="21"/>
              </w:rPr>
              <w:t>；</w:t>
            </w:r>
            <w:r>
              <w:rPr>
                <w:color w:val="000000" w:themeColor="text1"/>
                <w:szCs w:val="21"/>
              </w:rPr>
              <w:t>在居民住宅等要害地区施工，也应有明显的安全提示标记</w:t>
            </w:r>
            <w:r>
              <w:rPr>
                <w:rFonts w:hint="eastAsia"/>
                <w:color w:val="000000" w:themeColor="text1"/>
                <w:szCs w:val="21"/>
              </w:rPr>
              <w:t>，</w:t>
            </w:r>
            <w:r>
              <w:rPr>
                <w:color w:val="000000" w:themeColor="text1"/>
                <w:szCs w:val="21"/>
              </w:rPr>
              <w:t>并有相应的应急逃生及疏散群众预案。</w:t>
            </w:r>
          </w:p>
        </w:tc>
        <w:tc>
          <w:tcPr>
            <w:tcW w:w="1692" w:type="dxa"/>
            <w:tcBorders>
              <w:tl2br w:val="nil"/>
              <w:tr2bl w:val="nil"/>
            </w:tcBorders>
            <w:vAlign w:val="center"/>
          </w:tcPr>
          <w:p w14:paraId="105D9667" w14:textId="77777777" w:rsidR="002D2AF8" w:rsidRDefault="00000000">
            <w:pPr>
              <w:snapToGrid w:val="0"/>
              <w:jc w:val="center"/>
              <w:rPr>
                <w:color w:val="000000" w:themeColor="text1"/>
                <w:szCs w:val="21"/>
              </w:rPr>
            </w:pPr>
            <w:r>
              <w:rPr>
                <w:color w:val="000000" w:themeColor="text1"/>
                <w:szCs w:val="21"/>
              </w:rPr>
              <w:t>SY/T5923-2012</w:t>
            </w:r>
          </w:p>
          <w:p w14:paraId="715F9DE5" w14:textId="77777777" w:rsidR="002D2AF8" w:rsidRDefault="00000000">
            <w:pPr>
              <w:snapToGrid w:val="0"/>
              <w:jc w:val="center"/>
              <w:rPr>
                <w:color w:val="000000" w:themeColor="text1"/>
                <w:szCs w:val="21"/>
              </w:rPr>
            </w:pPr>
            <w:r>
              <w:rPr>
                <w:color w:val="000000" w:themeColor="text1"/>
                <w:szCs w:val="21"/>
              </w:rPr>
              <w:t>10.1.</w:t>
            </w:r>
            <w:r>
              <w:rPr>
                <w:rFonts w:hint="eastAsia"/>
                <w:color w:val="000000" w:themeColor="text1"/>
                <w:szCs w:val="21"/>
              </w:rPr>
              <w:t>2</w:t>
            </w:r>
          </w:p>
        </w:tc>
        <w:tc>
          <w:tcPr>
            <w:tcW w:w="702" w:type="dxa"/>
            <w:tcBorders>
              <w:tl2br w:val="nil"/>
              <w:tr2bl w:val="nil"/>
            </w:tcBorders>
            <w:vAlign w:val="center"/>
          </w:tcPr>
          <w:p w14:paraId="7C394808"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3C8D6633" w14:textId="77777777" w:rsidR="002D2AF8" w:rsidRDefault="00000000">
            <w:pPr>
              <w:snapToGrid w:val="0"/>
              <w:rPr>
                <w:color w:val="000000" w:themeColor="text1"/>
                <w:szCs w:val="21"/>
              </w:rPr>
            </w:pPr>
            <w:r>
              <w:rPr>
                <w:rFonts w:hint="eastAsia"/>
                <w:color w:val="000000" w:themeColor="text1"/>
                <w:szCs w:val="21"/>
              </w:rPr>
              <w:t>本井场</w:t>
            </w:r>
            <w:r>
              <w:rPr>
                <w:color w:val="000000" w:themeColor="text1"/>
                <w:szCs w:val="21"/>
              </w:rPr>
              <w:t>高压施工区域</w:t>
            </w:r>
            <w:r>
              <w:rPr>
                <w:rFonts w:hint="eastAsia"/>
                <w:color w:val="000000" w:themeColor="text1"/>
                <w:szCs w:val="21"/>
              </w:rPr>
              <w:t>远离居民住宅区，设有警示标志。</w:t>
            </w:r>
          </w:p>
        </w:tc>
      </w:tr>
      <w:tr w:rsidR="002D2AF8" w14:paraId="01B97315" w14:textId="77777777">
        <w:trPr>
          <w:jc w:val="center"/>
        </w:trPr>
        <w:tc>
          <w:tcPr>
            <w:tcW w:w="495" w:type="dxa"/>
            <w:tcBorders>
              <w:tl2br w:val="nil"/>
              <w:tr2bl w:val="nil"/>
            </w:tcBorders>
            <w:vAlign w:val="center"/>
          </w:tcPr>
          <w:p w14:paraId="03B0D98D"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tcPr>
          <w:p w14:paraId="3296AB0C" w14:textId="77777777" w:rsidR="002D2AF8" w:rsidRDefault="00000000">
            <w:pPr>
              <w:snapToGrid w:val="0"/>
              <w:rPr>
                <w:color w:val="000000" w:themeColor="text1"/>
                <w:szCs w:val="21"/>
              </w:rPr>
            </w:pPr>
            <w:r>
              <w:rPr>
                <w:color w:val="000000" w:themeColor="text1"/>
                <w:szCs w:val="21"/>
              </w:rPr>
              <w:t>现场应根据施工情况设置以下（包括但不限于）醒目的安全警示标志，并放在相应的位置，安全标志应符合</w:t>
            </w:r>
            <w:r>
              <w:rPr>
                <w:color w:val="000000" w:themeColor="text1"/>
                <w:szCs w:val="21"/>
              </w:rPr>
              <w:t xml:space="preserve"> GB 2894-2008 </w:t>
            </w:r>
            <w:r>
              <w:rPr>
                <w:color w:val="000000" w:themeColor="text1"/>
                <w:szCs w:val="21"/>
              </w:rPr>
              <w:t>中第</w:t>
            </w:r>
            <w:r>
              <w:rPr>
                <w:color w:val="000000" w:themeColor="text1"/>
                <w:szCs w:val="21"/>
              </w:rPr>
              <w:t>4</w:t>
            </w:r>
            <w:r>
              <w:rPr>
                <w:color w:val="000000" w:themeColor="text1"/>
                <w:szCs w:val="21"/>
              </w:rPr>
              <w:t>章的规定：</w:t>
            </w:r>
          </w:p>
          <w:p w14:paraId="592CC75F" w14:textId="77777777" w:rsidR="002D2AF8" w:rsidRDefault="00000000">
            <w:pPr>
              <w:snapToGrid w:val="0"/>
              <w:ind w:firstLine="437"/>
              <w:rPr>
                <w:color w:val="000000" w:themeColor="text1"/>
                <w:szCs w:val="21"/>
              </w:rPr>
            </w:pPr>
            <w:r>
              <w:rPr>
                <w:color w:val="000000" w:themeColor="text1"/>
                <w:szCs w:val="21"/>
              </w:rPr>
              <w:t>a) “</w:t>
            </w:r>
            <w:r>
              <w:rPr>
                <w:color w:val="000000" w:themeColor="text1"/>
                <w:szCs w:val="21"/>
              </w:rPr>
              <w:t>必须带安全帽</w:t>
            </w:r>
            <w:r>
              <w:rPr>
                <w:color w:val="000000" w:themeColor="text1"/>
                <w:szCs w:val="21"/>
              </w:rPr>
              <w:t>”</w:t>
            </w:r>
            <w:r>
              <w:rPr>
                <w:color w:val="000000" w:themeColor="text1"/>
                <w:szCs w:val="21"/>
              </w:rPr>
              <w:t>。</w:t>
            </w:r>
          </w:p>
          <w:p w14:paraId="25E96373" w14:textId="77777777" w:rsidR="002D2AF8" w:rsidRDefault="00000000">
            <w:pPr>
              <w:snapToGrid w:val="0"/>
              <w:ind w:firstLine="437"/>
              <w:rPr>
                <w:color w:val="000000" w:themeColor="text1"/>
                <w:szCs w:val="21"/>
              </w:rPr>
            </w:pPr>
            <w:r>
              <w:rPr>
                <w:color w:val="000000" w:themeColor="text1"/>
                <w:szCs w:val="21"/>
              </w:rPr>
              <w:t>b) “</w:t>
            </w:r>
            <w:r>
              <w:rPr>
                <w:color w:val="000000" w:themeColor="text1"/>
                <w:szCs w:val="21"/>
              </w:rPr>
              <w:t>禁止烟火</w:t>
            </w:r>
            <w:r>
              <w:rPr>
                <w:color w:val="000000" w:themeColor="text1"/>
                <w:szCs w:val="21"/>
              </w:rPr>
              <w:t>”</w:t>
            </w:r>
            <w:r>
              <w:rPr>
                <w:color w:val="000000" w:themeColor="text1"/>
                <w:szCs w:val="21"/>
              </w:rPr>
              <w:t>。</w:t>
            </w:r>
          </w:p>
          <w:p w14:paraId="059907C0" w14:textId="77777777" w:rsidR="002D2AF8" w:rsidRDefault="00000000">
            <w:pPr>
              <w:snapToGrid w:val="0"/>
              <w:ind w:firstLine="437"/>
              <w:rPr>
                <w:color w:val="000000" w:themeColor="text1"/>
                <w:szCs w:val="21"/>
              </w:rPr>
            </w:pPr>
            <w:r>
              <w:rPr>
                <w:color w:val="000000" w:themeColor="text1"/>
                <w:szCs w:val="21"/>
              </w:rPr>
              <w:t>c) “</w:t>
            </w:r>
            <w:r>
              <w:rPr>
                <w:color w:val="000000" w:themeColor="text1"/>
                <w:szCs w:val="21"/>
              </w:rPr>
              <w:t>必须系安全带</w:t>
            </w:r>
            <w:r>
              <w:rPr>
                <w:color w:val="000000" w:themeColor="text1"/>
                <w:szCs w:val="21"/>
              </w:rPr>
              <w:t>”</w:t>
            </w:r>
            <w:r>
              <w:rPr>
                <w:color w:val="000000" w:themeColor="text1"/>
                <w:szCs w:val="21"/>
              </w:rPr>
              <w:t>。</w:t>
            </w:r>
          </w:p>
          <w:p w14:paraId="5ACB037A" w14:textId="77777777" w:rsidR="002D2AF8" w:rsidRDefault="00000000">
            <w:pPr>
              <w:snapToGrid w:val="0"/>
              <w:ind w:firstLine="437"/>
              <w:rPr>
                <w:color w:val="000000" w:themeColor="text1"/>
                <w:szCs w:val="21"/>
              </w:rPr>
            </w:pPr>
            <w:r>
              <w:rPr>
                <w:color w:val="000000" w:themeColor="text1"/>
                <w:szCs w:val="21"/>
              </w:rPr>
              <w:t>d) “</w:t>
            </w:r>
            <w:r>
              <w:rPr>
                <w:color w:val="000000" w:themeColor="text1"/>
                <w:szCs w:val="21"/>
              </w:rPr>
              <w:t>当心触电</w:t>
            </w:r>
            <w:r>
              <w:rPr>
                <w:color w:val="000000" w:themeColor="text1"/>
                <w:szCs w:val="21"/>
              </w:rPr>
              <w:t>”</w:t>
            </w:r>
            <w:r>
              <w:rPr>
                <w:color w:val="000000" w:themeColor="text1"/>
                <w:szCs w:val="21"/>
              </w:rPr>
              <w:t>。</w:t>
            </w:r>
          </w:p>
          <w:p w14:paraId="39513809" w14:textId="77777777" w:rsidR="002D2AF8" w:rsidRDefault="00000000">
            <w:pPr>
              <w:snapToGrid w:val="0"/>
              <w:ind w:firstLine="437"/>
              <w:rPr>
                <w:color w:val="000000" w:themeColor="text1"/>
                <w:szCs w:val="21"/>
              </w:rPr>
            </w:pPr>
            <w:r>
              <w:rPr>
                <w:color w:val="000000" w:themeColor="text1"/>
                <w:szCs w:val="21"/>
              </w:rPr>
              <w:t>e</w:t>
            </w:r>
            <w:r>
              <w:rPr>
                <w:color w:val="000000" w:themeColor="text1"/>
                <w:szCs w:val="21"/>
              </w:rPr>
              <w:t>）</w:t>
            </w:r>
            <w:r>
              <w:rPr>
                <w:color w:val="000000" w:themeColor="text1"/>
                <w:szCs w:val="21"/>
              </w:rPr>
              <w:t>“</w:t>
            </w:r>
            <w:r>
              <w:rPr>
                <w:color w:val="000000" w:themeColor="text1"/>
                <w:szCs w:val="21"/>
              </w:rPr>
              <w:t>当心机械伤人</w:t>
            </w:r>
            <w:r>
              <w:rPr>
                <w:color w:val="000000" w:themeColor="text1"/>
                <w:szCs w:val="21"/>
              </w:rPr>
              <w:t>”</w:t>
            </w:r>
            <w:r>
              <w:rPr>
                <w:color w:val="000000" w:themeColor="text1"/>
                <w:szCs w:val="21"/>
              </w:rPr>
              <w:t>。</w:t>
            </w:r>
          </w:p>
          <w:p w14:paraId="7BDF8D81" w14:textId="77777777" w:rsidR="002D2AF8" w:rsidRDefault="00000000">
            <w:pPr>
              <w:snapToGrid w:val="0"/>
              <w:ind w:firstLine="437"/>
              <w:rPr>
                <w:color w:val="000000" w:themeColor="text1"/>
                <w:szCs w:val="21"/>
              </w:rPr>
            </w:pPr>
            <w:r>
              <w:rPr>
                <w:color w:val="000000" w:themeColor="text1"/>
                <w:szCs w:val="21"/>
              </w:rPr>
              <w:t>f) “</w:t>
            </w:r>
            <w:r>
              <w:rPr>
                <w:color w:val="000000" w:themeColor="text1"/>
                <w:szCs w:val="21"/>
              </w:rPr>
              <w:t>当心坠落</w:t>
            </w:r>
            <w:r>
              <w:rPr>
                <w:color w:val="000000" w:themeColor="text1"/>
                <w:szCs w:val="21"/>
              </w:rPr>
              <w:t>”</w:t>
            </w:r>
            <w:r>
              <w:rPr>
                <w:color w:val="000000" w:themeColor="text1"/>
                <w:szCs w:val="21"/>
              </w:rPr>
              <w:t>。</w:t>
            </w:r>
          </w:p>
          <w:p w14:paraId="4A447EB4" w14:textId="77777777" w:rsidR="002D2AF8" w:rsidRDefault="00000000">
            <w:pPr>
              <w:snapToGrid w:val="0"/>
              <w:ind w:firstLine="437"/>
              <w:rPr>
                <w:color w:val="000000" w:themeColor="text1"/>
                <w:szCs w:val="21"/>
              </w:rPr>
            </w:pPr>
            <w:r>
              <w:rPr>
                <w:color w:val="000000" w:themeColor="text1"/>
                <w:szCs w:val="21"/>
              </w:rPr>
              <w:lastRenderedPageBreak/>
              <w:t>g) “</w:t>
            </w:r>
            <w:r>
              <w:rPr>
                <w:color w:val="000000" w:themeColor="text1"/>
                <w:szCs w:val="21"/>
              </w:rPr>
              <w:t>当心落物</w:t>
            </w:r>
            <w:r>
              <w:rPr>
                <w:color w:val="000000" w:themeColor="text1"/>
                <w:szCs w:val="21"/>
              </w:rPr>
              <w:t>”</w:t>
            </w:r>
            <w:r>
              <w:rPr>
                <w:color w:val="000000" w:themeColor="text1"/>
                <w:szCs w:val="21"/>
              </w:rPr>
              <w:t>。</w:t>
            </w:r>
          </w:p>
          <w:p w14:paraId="40BDAE82" w14:textId="77777777" w:rsidR="002D2AF8" w:rsidRDefault="00000000">
            <w:pPr>
              <w:snapToGrid w:val="0"/>
              <w:ind w:firstLine="437"/>
              <w:rPr>
                <w:color w:val="000000" w:themeColor="text1"/>
                <w:szCs w:val="21"/>
              </w:rPr>
            </w:pPr>
            <w:r>
              <w:rPr>
                <w:color w:val="000000" w:themeColor="text1"/>
                <w:szCs w:val="21"/>
              </w:rPr>
              <w:t>h) “</w:t>
            </w:r>
            <w:r>
              <w:rPr>
                <w:color w:val="000000" w:themeColor="text1"/>
                <w:szCs w:val="21"/>
              </w:rPr>
              <w:t>当心井喷</w:t>
            </w:r>
            <w:r>
              <w:rPr>
                <w:color w:val="000000" w:themeColor="text1"/>
                <w:szCs w:val="21"/>
              </w:rPr>
              <w:t>”</w:t>
            </w:r>
            <w:r>
              <w:rPr>
                <w:color w:val="000000" w:themeColor="text1"/>
                <w:szCs w:val="21"/>
              </w:rPr>
              <w:t>。</w:t>
            </w:r>
          </w:p>
          <w:p w14:paraId="47DC9960" w14:textId="77777777" w:rsidR="002D2AF8" w:rsidRDefault="00000000">
            <w:pPr>
              <w:snapToGrid w:val="0"/>
              <w:ind w:firstLine="437"/>
              <w:rPr>
                <w:color w:val="000000" w:themeColor="text1"/>
                <w:szCs w:val="21"/>
              </w:rPr>
            </w:pPr>
            <w:proofErr w:type="spellStart"/>
            <w:r>
              <w:rPr>
                <w:color w:val="000000" w:themeColor="text1"/>
                <w:szCs w:val="21"/>
              </w:rPr>
              <w:t>i</w:t>
            </w:r>
            <w:proofErr w:type="spellEnd"/>
            <w:r>
              <w:rPr>
                <w:color w:val="000000" w:themeColor="text1"/>
                <w:szCs w:val="21"/>
              </w:rPr>
              <w:t>) “</w:t>
            </w:r>
            <w:r>
              <w:rPr>
                <w:color w:val="000000" w:themeColor="text1"/>
                <w:szCs w:val="21"/>
              </w:rPr>
              <w:t>当心中毒</w:t>
            </w:r>
            <w:r>
              <w:rPr>
                <w:color w:val="000000" w:themeColor="text1"/>
                <w:szCs w:val="21"/>
              </w:rPr>
              <w:t>”</w:t>
            </w:r>
            <w:r>
              <w:rPr>
                <w:color w:val="000000" w:themeColor="text1"/>
                <w:szCs w:val="21"/>
              </w:rPr>
              <w:t>。</w:t>
            </w:r>
          </w:p>
          <w:p w14:paraId="74F4E425" w14:textId="77777777" w:rsidR="002D2AF8" w:rsidRDefault="00000000">
            <w:pPr>
              <w:snapToGrid w:val="0"/>
              <w:ind w:firstLine="437"/>
              <w:rPr>
                <w:color w:val="000000" w:themeColor="text1"/>
                <w:szCs w:val="21"/>
              </w:rPr>
            </w:pPr>
            <w:r>
              <w:rPr>
                <w:color w:val="000000" w:themeColor="text1"/>
                <w:szCs w:val="21"/>
              </w:rPr>
              <w:t>j) “</w:t>
            </w:r>
            <w:r>
              <w:rPr>
                <w:color w:val="000000" w:themeColor="text1"/>
                <w:szCs w:val="21"/>
              </w:rPr>
              <w:t>高压工作区</w:t>
            </w:r>
            <w:r>
              <w:rPr>
                <w:color w:val="000000" w:themeColor="text1"/>
                <w:szCs w:val="21"/>
              </w:rPr>
              <w:t>”</w:t>
            </w:r>
            <w:r>
              <w:rPr>
                <w:color w:val="000000" w:themeColor="text1"/>
                <w:szCs w:val="21"/>
              </w:rPr>
              <w:t>（需要高压施工时）。</w:t>
            </w:r>
          </w:p>
          <w:p w14:paraId="71E14B56" w14:textId="77777777" w:rsidR="002D2AF8" w:rsidRDefault="00000000">
            <w:pPr>
              <w:snapToGrid w:val="0"/>
              <w:ind w:firstLine="437"/>
              <w:rPr>
                <w:color w:val="000000" w:themeColor="text1"/>
                <w:szCs w:val="21"/>
              </w:rPr>
            </w:pPr>
            <w:r>
              <w:rPr>
                <w:color w:val="000000" w:themeColor="text1"/>
                <w:szCs w:val="21"/>
              </w:rPr>
              <w:t>k</w:t>
            </w:r>
            <w:r>
              <w:rPr>
                <w:color w:val="000000" w:themeColor="text1"/>
                <w:szCs w:val="21"/>
              </w:rPr>
              <w:t>）对使用</w:t>
            </w:r>
            <w:r>
              <w:rPr>
                <w:color w:val="000000" w:themeColor="text1"/>
                <w:szCs w:val="21"/>
              </w:rPr>
              <w:t>380V</w:t>
            </w:r>
            <w:r>
              <w:rPr>
                <w:color w:val="000000" w:themeColor="text1"/>
                <w:szCs w:val="21"/>
              </w:rPr>
              <w:t>以上电压的抽油机，还应在配电箱处挂</w:t>
            </w:r>
            <w:r>
              <w:rPr>
                <w:color w:val="000000" w:themeColor="text1"/>
                <w:szCs w:val="21"/>
              </w:rPr>
              <w:t>“</w:t>
            </w:r>
            <w:r>
              <w:rPr>
                <w:color w:val="000000" w:themeColor="text1"/>
                <w:szCs w:val="21"/>
              </w:rPr>
              <w:t>高压危险</w:t>
            </w:r>
            <w:r>
              <w:rPr>
                <w:color w:val="000000" w:themeColor="text1"/>
                <w:szCs w:val="21"/>
              </w:rPr>
              <w:t>”</w:t>
            </w:r>
            <w:r>
              <w:rPr>
                <w:color w:val="000000" w:themeColor="text1"/>
                <w:szCs w:val="21"/>
              </w:rPr>
              <w:t>警示牌。</w:t>
            </w:r>
          </w:p>
        </w:tc>
        <w:tc>
          <w:tcPr>
            <w:tcW w:w="1692" w:type="dxa"/>
            <w:tcBorders>
              <w:tl2br w:val="nil"/>
              <w:tr2bl w:val="nil"/>
            </w:tcBorders>
            <w:vAlign w:val="center"/>
          </w:tcPr>
          <w:p w14:paraId="6B1411A9" w14:textId="77777777" w:rsidR="002D2AF8" w:rsidRDefault="00000000">
            <w:pPr>
              <w:snapToGrid w:val="0"/>
              <w:jc w:val="center"/>
              <w:rPr>
                <w:color w:val="000000" w:themeColor="text1"/>
                <w:szCs w:val="21"/>
              </w:rPr>
            </w:pPr>
            <w:r>
              <w:rPr>
                <w:color w:val="000000" w:themeColor="text1"/>
                <w:szCs w:val="21"/>
              </w:rPr>
              <w:lastRenderedPageBreak/>
              <w:t>SY/T5727-2020</w:t>
            </w:r>
          </w:p>
          <w:p w14:paraId="7BF65E20" w14:textId="77777777" w:rsidR="002D2AF8" w:rsidRDefault="00000000">
            <w:pPr>
              <w:snapToGrid w:val="0"/>
              <w:jc w:val="center"/>
              <w:rPr>
                <w:color w:val="000000" w:themeColor="text1"/>
                <w:szCs w:val="21"/>
              </w:rPr>
            </w:pPr>
            <w:r>
              <w:rPr>
                <w:color w:val="000000" w:themeColor="text1"/>
                <w:szCs w:val="21"/>
              </w:rPr>
              <w:t>3.2.1</w:t>
            </w:r>
          </w:p>
        </w:tc>
        <w:tc>
          <w:tcPr>
            <w:tcW w:w="702" w:type="dxa"/>
            <w:tcBorders>
              <w:tl2br w:val="nil"/>
              <w:tr2bl w:val="nil"/>
            </w:tcBorders>
            <w:vAlign w:val="center"/>
          </w:tcPr>
          <w:p w14:paraId="3585FAD2"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6FF4143E" w14:textId="77777777" w:rsidR="002D2AF8" w:rsidRDefault="00000000">
            <w:pPr>
              <w:snapToGrid w:val="0"/>
              <w:rPr>
                <w:color w:val="000000" w:themeColor="text1"/>
                <w:szCs w:val="21"/>
              </w:rPr>
            </w:pPr>
            <w:r>
              <w:rPr>
                <w:color w:val="000000" w:themeColor="text1"/>
                <w:szCs w:val="21"/>
              </w:rPr>
              <w:t>现场警示标志</w:t>
            </w:r>
            <w:r>
              <w:rPr>
                <w:rFonts w:hint="eastAsia"/>
                <w:color w:val="000000" w:themeColor="text1"/>
                <w:szCs w:val="21"/>
              </w:rPr>
              <w:t>设置不全，缺少“当心井喷”，“当心中毒”等安全警示标志</w:t>
            </w:r>
            <w:r>
              <w:rPr>
                <w:color w:val="000000" w:themeColor="text1"/>
                <w:szCs w:val="21"/>
              </w:rPr>
              <w:t>。</w:t>
            </w:r>
          </w:p>
        </w:tc>
      </w:tr>
      <w:tr w:rsidR="002D2AF8" w14:paraId="1FA7CEA2" w14:textId="77777777">
        <w:trPr>
          <w:jc w:val="center"/>
        </w:trPr>
        <w:tc>
          <w:tcPr>
            <w:tcW w:w="495" w:type="dxa"/>
            <w:tcBorders>
              <w:tl2br w:val="nil"/>
              <w:tr2bl w:val="nil"/>
            </w:tcBorders>
            <w:vAlign w:val="center"/>
          </w:tcPr>
          <w:p w14:paraId="4280971D"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5A320D00" w14:textId="77777777" w:rsidR="002D2AF8" w:rsidRDefault="00000000">
            <w:pPr>
              <w:snapToGrid w:val="0"/>
              <w:spacing w:beforeLines="20" w:before="65" w:afterLines="20" w:after="65"/>
              <w:rPr>
                <w:color w:val="000000" w:themeColor="text1"/>
                <w:szCs w:val="21"/>
              </w:rPr>
            </w:pPr>
            <w:r>
              <w:rPr>
                <w:color w:val="000000" w:themeColor="text1"/>
                <w:szCs w:val="21"/>
              </w:rPr>
              <w:t>井场应设置逃生路线标志、紧急集合点和风向标，设有安全通道并保证畅通。</w:t>
            </w:r>
          </w:p>
        </w:tc>
        <w:tc>
          <w:tcPr>
            <w:tcW w:w="1692" w:type="dxa"/>
            <w:tcBorders>
              <w:tl2br w:val="nil"/>
              <w:tr2bl w:val="nil"/>
            </w:tcBorders>
            <w:vAlign w:val="center"/>
          </w:tcPr>
          <w:p w14:paraId="4D29A532" w14:textId="77777777" w:rsidR="002D2AF8" w:rsidRDefault="00000000">
            <w:pPr>
              <w:snapToGrid w:val="0"/>
              <w:jc w:val="center"/>
              <w:rPr>
                <w:color w:val="000000" w:themeColor="text1"/>
                <w:szCs w:val="21"/>
              </w:rPr>
            </w:pPr>
            <w:r>
              <w:rPr>
                <w:color w:val="000000" w:themeColor="text1"/>
                <w:szCs w:val="21"/>
              </w:rPr>
              <w:t>SY/T5727-2020</w:t>
            </w:r>
          </w:p>
          <w:p w14:paraId="51B35417" w14:textId="77777777" w:rsidR="002D2AF8" w:rsidRDefault="00000000">
            <w:pPr>
              <w:snapToGrid w:val="0"/>
              <w:jc w:val="center"/>
              <w:rPr>
                <w:color w:val="000000" w:themeColor="text1"/>
                <w:szCs w:val="21"/>
              </w:rPr>
            </w:pPr>
            <w:r>
              <w:rPr>
                <w:color w:val="000000" w:themeColor="text1"/>
                <w:szCs w:val="21"/>
              </w:rPr>
              <w:t>3.2.5</w:t>
            </w:r>
          </w:p>
        </w:tc>
        <w:tc>
          <w:tcPr>
            <w:tcW w:w="702" w:type="dxa"/>
            <w:tcBorders>
              <w:tl2br w:val="nil"/>
              <w:tr2bl w:val="nil"/>
            </w:tcBorders>
            <w:vAlign w:val="center"/>
          </w:tcPr>
          <w:p w14:paraId="67ADE9E5"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15F2D37B" w14:textId="77777777" w:rsidR="002D2AF8" w:rsidRDefault="00000000">
            <w:pPr>
              <w:snapToGrid w:val="0"/>
              <w:rPr>
                <w:color w:val="000000" w:themeColor="text1"/>
                <w:szCs w:val="21"/>
              </w:rPr>
            </w:pPr>
            <w:r>
              <w:rPr>
                <w:color w:val="000000" w:themeColor="text1"/>
                <w:szCs w:val="21"/>
              </w:rPr>
              <w:t>井场设逃生路线标志、紧急集合点和风向标，安全通道畅通。</w:t>
            </w:r>
          </w:p>
        </w:tc>
      </w:tr>
      <w:tr w:rsidR="002D2AF8" w14:paraId="5DDEC899" w14:textId="77777777">
        <w:trPr>
          <w:jc w:val="center"/>
        </w:trPr>
        <w:tc>
          <w:tcPr>
            <w:tcW w:w="495" w:type="dxa"/>
            <w:tcBorders>
              <w:tl2br w:val="nil"/>
              <w:tr2bl w:val="nil"/>
            </w:tcBorders>
            <w:vAlign w:val="center"/>
          </w:tcPr>
          <w:p w14:paraId="03AED221" w14:textId="77777777" w:rsidR="002D2AF8" w:rsidRDefault="00000000">
            <w:pPr>
              <w:snapToGrid w:val="0"/>
              <w:spacing w:beforeLines="20" w:before="65" w:afterLines="20" w:after="65"/>
              <w:rPr>
                <w:b/>
                <w:color w:val="000000" w:themeColor="text1"/>
                <w:szCs w:val="21"/>
              </w:rPr>
            </w:pPr>
            <w:r>
              <w:rPr>
                <w:rFonts w:hint="eastAsia"/>
                <w:b/>
                <w:color w:val="000000" w:themeColor="text1"/>
                <w:szCs w:val="21"/>
              </w:rPr>
              <w:t>三</w:t>
            </w:r>
          </w:p>
        </w:tc>
        <w:tc>
          <w:tcPr>
            <w:tcW w:w="3291" w:type="dxa"/>
            <w:tcBorders>
              <w:tl2br w:val="nil"/>
              <w:tr2bl w:val="nil"/>
            </w:tcBorders>
            <w:vAlign w:val="center"/>
          </w:tcPr>
          <w:p w14:paraId="64BFF515" w14:textId="77777777" w:rsidR="002D2AF8" w:rsidRDefault="00000000">
            <w:pPr>
              <w:snapToGrid w:val="0"/>
              <w:rPr>
                <w:b/>
                <w:color w:val="000000" w:themeColor="text1"/>
                <w:szCs w:val="21"/>
              </w:rPr>
            </w:pPr>
            <w:r>
              <w:rPr>
                <w:b/>
                <w:color w:val="000000" w:themeColor="text1"/>
                <w:szCs w:val="21"/>
              </w:rPr>
              <w:t>供配电及接地</w:t>
            </w:r>
          </w:p>
        </w:tc>
        <w:tc>
          <w:tcPr>
            <w:tcW w:w="1692" w:type="dxa"/>
            <w:tcBorders>
              <w:tl2br w:val="nil"/>
              <w:tr2bl w:val="nil"/>
            </w:tcBorders>
            <w:vAlign w:val="center"/>
          </w:tcPr>
          <w:p w14:paraId="332A1034" w14:textId="77777777" w:rsidR="002D2AF8" w:rsidRDefault="002D2AF8">
            <w:pPr>
              <w:snapToGrid w:val="0"/>
              <w:rPr>
                <w:b/>
                <w:color w:val="000000" w:themeColor="text1"/>
                <w:szCs w:val="21"/>
              </w:rPr>
            </w:pPr>
          </w:p>
        </w:tc>
        <w:tc>
          <w:tcPr>
            <w:tcW w:w="702" w:type="dxa"/>
            <w:tcBorders>
              <w:tl2br w:val="nil"/>
              <w:tr2bl w:val="nil"/>
            </w:tcBorders>
            <w:vAlign w:val="center"/>
          </w:tcPr>
          <w:p w14:paraId="6FBC721B" w14:textId="77777777" w:rsidR="002D2AF8" w:rsidRDefault="002D2AF8">
            <w:pPr>
              <w:snapToGrid w:val="0"/>
              <w:rPr>
                <w:b/>
                <w:color w:val="000000" w:themeColor="text1"/>
                <w:szCs w:val="21"/>
              </w:rPr>
            </w:pPr>
          </w:p>
        </w:tc>
        <w:tc>
          <w:tcPr>
            <w:tcW w:w="2967" w:type="dxa"/>
            <w:tcBorders>
              <w:tl2br w:val="nil"/>
              <w:tr2bl w:val="nil"/>
            </w:tcBorders>
            <w:vAlign w:val="center"/>
          </w:tcPr>
          <w:p w14:paraId="2B726022" w14:textId="77777777" w:rsidR="002D2AF8" w:rsidRDefault="002D2AF8">
            <w:pPr>
              <w:snapToGrid w:val="0"/>
              <w:rPr>
                <w:b/>
                <w:color w:val="000000" w:themeColor="text1"/>
                <w:szCs w:val="21"/>
              </w:rPr>
            </w:pPr>
          </w:p>
        </w:tc>
      </w:tr>
      <w:tr w:rsidR="002D2AF8" w14:paraId="39BE1445" w14:textId="77777777">
        <w:trPr>
          <w:jc w:val="center"/>
        </w:trPr>
        <w:tc>
          <w:tcPr>
            <w:tcW w:w="495" w:type="dxa"/>
            <w:tcBorders>
              <w:tl2br w:val="nil"/>
              <w:tr2bl w:val="nil"/>
            </w:tcBorders>
            <w:vAlign w:val="center"/>
          </w:tcPr>
          <w:p w14:paraId="46C28407"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tcPr>
          <w:p w14:paraId="2F4FD058" w14:textId="77777777" w:rsidR="002D2AF8" w:rsidRDefault="00000000">
            <w:pPr>
              <w:adjustRightInd w:val="0"/>
              <w:snapToGrid w:val="0"/>
              <w:rPr>
                <w:color w:val="000000" w:themeColor="text1"/>
                <w:szCs w:val="21"/>
              </w:rPr>
            </w:pPr>
            <w:r>
              <w:rPr>
                <w:color w:val="000000" w:themeColor="text1"/>
                <w:szCs w:val="21"/>
              </w:rPr>
              <w:t>井场配电线路应采用橡套软电缆。电缆规格型号的选择应满足负荷电流、电压损失、机械强度、温升及环境的要求。电缆应包含全部工作芯线，需要三相五线制配电的电缆线路宜采用五芯电缆线。五芯电缆宜包含淡蓝、绿</w:t>
            </w:r>
            <w:r>
              <w:rPr>
                <w:color w:val="000000" w:themeColor="text1"/>
                <w:szCs w:val="21"/>
              </w:rPr>
              <w:t>/</w:t>
            </w:r>
            <w:r>
              <w:rPr>
                <w:color w:val="000000" w:themeColor="text1"/>
                <w:szCs w:val="21"/>
              </w:rPr>
              <w:t>黄、黄、绿、红五种颜色绝缘芯线。淡蓝色芯线应用作工作零线（</w:t>
            </w:r>
            <w:r>
              <w:rPr>
                <w:color w:val="000000" w:themeColor="text1"/>
                <w:szCs w:val="21"/>
              </w:rPr>
              <w:t>N</w:t>
            </w:r>
            <w:r>
              <w:rPr>
                <w:color w:val="000000" w:themeColor="text1"/>
                <w:szCs w:val="21"/>
              </w:rPr>
              <w:t>线），绿</w:t>
            </w:r>
            <w:r>
              <w:rPr>
                <w:color w:val="000000" w:themeColor="text1"/>
                <w:szCs w:val="21"/>
              </w:rPr>
              <w:t>/</w:t>
            </w:r>
            <w:r>
              <w:rPr>
                <w:color w:val="000000" w:themeColor="text1"/>
                <w:szCs w:val="21"/>
              </w:rPr>
              <w:t>黄双色芯线应用作保护零线（</w:t>
            </w:r>
            <w:r>
              <w:rPr>
                <w:color w:val="000000" w:themeColor="text1"/>
                <w:szCs w:val="21"/>
              </w:rPr>
              <w:t>PE</w:t>
            </w:r>
            <w:r>
              <w:rPr>
                <w:color w:val="000000" w:themeColor="text1"/>
                <w:szCs w:val="21"/>
              </w:rPr>
              <w:t>线），黄、绿、红颜色的芯线应分别用作</w:t>
            </w:r>
            <w:r>
              <w:rPr>
                <w:color w:val="000000" w:themeColor="text1"/>
                <w:szCs w:val="21"/>
              </w:rPr>
              <w:t>L1</w:t>
            </w:r>
            <w:r>
              <w:rPr>
                <w:color w:val="000000" w:themeColor="text1"/>
                <w:szCs w:val="21"/>
              </w:rPr>
              <w:t>、</w:t>
            </w:r>
            <w:r>
              <w:rPr>
                <w:color w:val="000000" w:themeColor="text1"/>
                <w:szCs w:val="21"/>
              </w:rPr>
              <w:t>L2</w:t>
            </w:r>
            <w:r>
              <w:rPr>
                <w:color w:val="000000" w:themeColor="text1"/>
                <w:szCs w:val="21"/>
              </w:rPr>
              <w:t>、</w:t>
            </w:r>
            <w:r>
              <w:rPr>
                <w:color w:val="000000" w:themeColor="text1"/>
                <w:szCs w:val="21"/>
              </w:rPr>
              <w:t>L3</w:t>
            </w:r>
            <w:r>
              <w:rPr>
                <w:color w:val="000000" w:themeColor="text1"/>
                <w:szCs w:val="21"/>
              </w:rPr>
              <w:t>三相火线。</w:t>
            </w:r>
          </w:p>
        </w:tc>
        <w:tc>
          <w:tcPr>
            <w:tcW w:w="1692" w:type="dxa"/>
            <w:tcBorders>
              <w:tl2br w:val="nil"/>
              <w:tr2bl w:val="nil"/>
            </w:tcBorders>
            <w:vAlign w:val="center"/>
          </w:tcPr>
          <w:p w14:paraId="23F8849B"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1003F079" w14:textId="77777777" w:rsidR="002D2AF8" w:rsidRDefault="00000000">
            <w:pPr>
              <w:adjustRightInd w:val="0"/>
              <w:snapToGrid w:val="0"/>
              <w:jc w:val="center"/>
              <w:rPr>
                <w:color w:val="000000" w:themeColor="text1"/>
                <w:szCs w:val="21"/>
              </w:rPr>
            </w:pPr>
            <w:r>
              <w:rPr>
                <w:bCs/>
                <w:color w:val="000000" w:themeColor="text1"/>
                <w:szCs w:val="21"/>
              </w:rPr>
              <w:t>3.19.1.2</w:t>
            </w:r>
          </w:p>
        </w:tc>
        <w:tc>
          <w:tcPr>
            <w:tcW w:w="702" w:type="dxa"/>
            <w:tcBorders>
              <w:tl2br w:val="nil"/>
              <w:tr2bl w:val="nil"/>
            </w:tcBorders>
            <w:vAlign w:val="center"/>
          </w:tcPr>
          <w:p w14:paraId="022D1459"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16724B43" w14:textId="77777777" w:rsidR="002D2AF8" w:rsidRDefault="00000000">
            <w:pPr>
              <w:adjustRightInd w:val="0"/>
              <w:snapToGrid w:val="0"/>
              <w:rPr>
                <w:color w:val="000000" w:themeColor="text1"/>
                <w:szCs w:val="21"/>
              </w:rPr>
            </w:pPr>
            <w:r>
              <w:rPr>
                <w:color w:val="000000" w:themeColor="text1"/>
                <w:szCs w:val="21"/>
              </w:rPr>
              <w:t>采用橡套软电缆。</w:t>
            </w:r>
          </w:p>
        </w:tc>
      </w:tr>
      <w:tr w:rsidR="002D2AF8" w14:paraId="791745E6" w14:textId="77777777">
        <w:trPr>
          <w:jc w:val="center"/>
        </w:trPr>
        <w:tc>
          <w:tcPr>
            <w:tcW w:w="495" w:type="dxa"/>
            <w:tcBorders>
              <w:tl2br w:val="nil"/>
              <w:tr2bl w:val="nil"/>
            </w:tcBorders>
            <w:vAlign w:val="center"/>
          </w:tcPr>
          <w:p w14:paraId="4C1C7E1F"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7C1F4A0B" w14:textId="77777777" w:rsidR="002D2AF8" w:rsidRDefault="00000000">
            <w:pPr>
              <w:adjustRightInd w:val="0"/>
              <w:snapToGrid w:val="0"/>
              <w:jc w:val="left"/>
              <w:rPr>
                <w:color w:val="000000" w:themeColor="text1"/>
                <w:szCs w:val="21"/>
              </w:rPr>
            </w:pPr>
            <w:r>
              <w:rPr>
                <w:color w:val="000000" w:themeColor="text1"/>
                <w:szCs w:val="21"/>
              </w:rPr>
              <w:t>电缆埋地敷设时，埋深应不小于</w:t>
            </w:r>
            <w:r>
              <w:rPr>
                <w:color w:val="000000" w:themeColor="text1"/>
                <w:szCs w:val="21"/>
              </w:rPr>
              <w:t>0.3m</w:t>
            </w:r>
            <w:r>
              <w:rPr>
                <w:color w:val="000000" w:themeColor="text1"/>
                <w:szCs w:val="21"/>
              </w:rPr>
              <w:t>。</w:t>
            </w:r>
          </w:p>
        </w:tc>
        <w:tc>
          <w:tcPr>
            <w:tcW w:w="1692" w:type="dxa"/>
            <w:tcBorders>
              <w:tl2br w:val="nil"/>
              <w:tr2bl w:val="nil"/>
            </w:tcBorders>
            <w:vAlign w:val="center"/>
          </w:tcPr>
          <w:p w14:paraId="57687F95"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5EF34D12" w14:textId="77777777" w:rsidR="002D2AF8" w:rsidRDefault="00000000">
            <w:pPr>
              <w:adjustRightInd w:val="0"/>
              <w:snapToGrid w:val="0"/>
              <w:jc w:val="center"/>
              <w:rPr>
                <w:bCs/>
                <w:color w:val="000000" w:themeColor="text1"/>
                <w:szCs w:val="21"/>
              </w:rPr>
            </w:pPr>
            <w:r>
              <w:rPr>
                <w:bCs/>
                <w:color w:val="000000" w:themeColor="text1"/>
                <w:szCs w:val="21"/>
              </w:rPr>
              <w:t>3.19.1.5</w:t>
            </w:r>
          </w:p>
        </w:tc>
        <w:tc>
          <w:tcPr>
            <w:tcW w:w="702" w:type="dxa"/>
            <w:tcBorders>
              <w:tl2br w:val="nil"/>
              <w:tr2bl w:val="nil"/>
            </w:tcBorders>
            <w:vAlign w:val="center"/>
          </w:tcPr>
          <w:p w14:paraId="36E0927E"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6060B547" w14:textId="77777777" w:rsidR="002D2AF8" w:rsidRDefault="00000000">
            <w:pPr>
              <w:adjustRightInd w:val="0"/>
              <w:snapToGrid w:val="0"/>
              <w:rPr>
                <w:color w:val="000000" w:themeColor="text1"/>
                <w:szCs w:val="21"/>
              </w:rPr>
            </w:pPr>
            <w:r>
              <w:rPr>
                <w:color w:val="000000" w:themeColor="text1"/>
                <w:szCs w:val="21"/>
              </w:rPr>
              <w:t>埋地敷设，埋深不小于</w:t>
            </w:r>
            <w:r>
              <w:rPr>
                <w:color w:val="000000" w:themeColor="text1"/>
                <w:szCs w:val="21"/>
              </w:rPr>
              <w:t>0.3m</w:t>
            </w:r>
            <w:r>
              <w:rPr>
                <w:color w:val="000000" w:themeColor="text1"/>
                <w:szCs w:val="21"/>
              </w:rPr>
              <w:t>。</w:t>
            </w:r>
          </w:p>
        </w:tc>
      </w:tr>
      <w:tr w:rsidR="002D2AF8" w14:paraId="71831724" w14:textId="77777777">
        <w:trPr>
          <w:jc w:val="center"/>
        </w:trPr>
        <w:tc>
          <w:tcPr>
            <w:tcW w:w="495" w:type="dxa"/>
            <w:tcBorders>
              <w:tl2br w:val="nil"/>
              <w:tr2bl w:val="nil"/>
            </w:tcBorders>
            <w:vAlign w:val="center"/>
          </w:tcPr>
          <w:p w14:paraId="0CE171FB"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3FDE738A" w14:textId="77777777" w:rsidR="002D2AF8" w:rsidRDefault="00000000">
            <w:pPr>
              <w:adjustRightInd w:val="0"/>
              <w:snapToGrid w:val="0"/>
              <w:jc w:val="left"/>
              <w:rPr>
                <w:color w:val="000000" w:themeColor="text1"/>
                <w:szCs w:val="21"/>
              </w:rPr>
            </w:pPr>
            <w:r>
              <w:rPr>
                <w:color w:val="000000" w:themeColor="text1"/>
                <w:szCs w:val="21"/>
              </w:rPr>
              <w:t>井场所用电缆均不宜有中间接头。若有接头应采用防爆接头连接，应保证接头不承受张力。</w:t>
            </w:r>
          </w:p>
        </w:tc>
        <w:tc>
          <w:tcPr>
            <w:tcW w:w="1692" w:type="dxa"/>
            <w:tcBorders>
              <w:tl2br w:val="nil"/>
              <w:tr2bl w:val="nil"/>
            </w:tcBorders>
            <w:vAlign w:val="center"/>
          </w:tcPr>
          <w:p w14:paraId="5403484D"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1CF9A3A4" w14:textId="77777777" w:rsidR="002D2AF8" w:rsidRDefault="00000000">
            <w:pPr>
              <w:adjustRightInd w:val="0"/>
              <w:snapToGrid w:val="0"/>
              <w:jc w:val="center"/>
              <w:rPr>
                <w:bCs/>
                <w:color w:val="000000" w:themeColor="text1"/>
                <w:szCs w:val="21"/>
              </w:rPr>
            </w:pPr>
            <w:r>
              <w:rPr>
                <w:bCs/>
                <w:color w:val="000000" w:themeColor="text1"/>
                <w:szCs w:val="21"/>
              </w:rPr>
              <w:t>3.19.1.7</w:t>
            </w:r>
          </w:p>
        </w:tc>
        <w:tc>
          <w:tcPr>
            <w:tcW w:w="702" w:type="dxa"/>
            <w:tcBorders>
              <w:tl2br w:val="nil"/>
              <w:tr2bl w:val="nil"/>
            </w:tcBorders>
            <w:vAlign w:val="center"/>
          </w:tcPr>
          <w:p w14:paraId="3007931C" w14:textId="77777777" w:rsidR="002D2AF8" w:rsidRDefault="00000000">
            <w:pPr>
              <w:pStyle w:val="affb"/>
              <w:spacing w:before="0" w:after="0"/>
              <w:rPr>
                <w:color w:val="000000" w:themeColor="text1"/>
                <w:szCs w:val="21"/>
              </w:rPr>
            </w:pPr>
            <w:r>
              <w:rPr>
                <w:color w:val="000000" w:themeColor="text1"/>
                <w:szCs w:val="21"/>
              </w:rPr>
              <w:t>√</w:t>
            </w:r>
          </w:p>
        </w:tc>
        <w:tc>
          <w:tcPr>
            <w:tcW w:w="2967" w:type="dxa"/>
            <w:tcBorders>
              <w:tl2br w:val="nil"/>
              <w:tr2bl w:val="nil"/>
            </w:tcBorders>
            <w:vAlign w:val="center"/>
          </w:tcPr>
          <w:p w14:paraId="2DA36C6B" w14:textId="77777777" w:rsidR="002D2AF8" w:rsidRDefault="00000000">
            <w:pPr>
              <w:pStyle w:val="affb"/>
              <w:spacing w:before="0" w:after="0"/>
              <w:jc w:val="both"/>
              <w:rPr>
                <w:color w:val="000000" w:themeColor="text1"/>
                <w:szCs w:val="21"/>
              </w:rPr>
            </w:pPr>
            <w:r>
              <w:rPr>
                <w:color w:val="000000" w:themeColor="text1"/>
                <w:szCs w:val="21"/>
              </w:rPr>
              <w:t>无接头。</w:t>
            </w:r>
          </w:p>
        </w:tc>
      </w:tr>
      <w:tr w:rsidR="002D2AF8" w14:paraId="4C62E602" w14:textId="77777777">
        <w:trPr>
          <w:jc w:val="center"/>
        </w:trPr>
        <w:tc>
          <w:tcPr>
            <w:tcW w:w="495" w:type="dxa"/>
            <w:tcBorders>
              <w:tl2br w:val="nil"/>
              <w:tr2bl w:val="nil"/>
            </w:tcBorders>
            <w:vAlign w:val="center"/>
          </w:tcPr>
          <w:p w14:paraId="4D1BAADA"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397640E4" w14:textId="77777777" w:rsidR="002D2AF8" w:rsidRDefault="00000000">
            <w:pPr>
              <w:adjustRightInd w:val="0"/>
              <w:snapToGrid w:val="0"/>
              <w:jc w:val="left"/>
              <w:rPr>
                <w:color w:val="000000" w:themeColor="text1"/>
                <w:szCs w:val="21"/>
              </w:rPr>
            </w:pPr>
            <w:r>
              <w:rPr>
                <w:color w:val="000000" w:themeColor="text1"/>
                <w:szCs w:val="21"/>
              </w:rPr>
              <w:t>不应将供电线路直接挂在设备、井架、绷绳、罐等金属物体上。</w:t>
            </w:r>
          </w:p>
        </w:tc>
        <w:tc>
          <w:tcPr>
            <w:tcW w:w="1692" w:type="dxa"/>
            <w:tcBorders>
              <w:tl2br w:val="nil"/>
              <w:tr2bl w:val="nil"/>
            </w:tcBorders>
            <w:vAlign w:val="center"/>
          </w:tcPr>
          <w:p w14:paraId="08A4408D"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204D0CE8" w14:textId="77777777" w:rsidR="002D2AF8" w:rsidRDefault="00000000">
            <w:pPr>
              <w:adjustRightInd w:val="0"/>
              <w:snapToGrid w:val="0"/>
              <w:jc w:val="center"/>
              <w:rPr>
                <w:bCs/>
                <w:color w:val="000000" w:themeColor="text1"/>
                <w:szCs w:val="21"/>
              </w:rPr>
            </w:pPr>
            <w:r>
              <w:rPr>
                <w:bCs/>
                <w:color w:val="000000" w:themeColor="text1"/>
                <w:szCs w:val="21"/>
              </w:rPr>
              <w:t>3.19.1.8</w:t>
            </w:r>
          </w:p>
        </w:tc>
        <w:tc>
          <w:tcPr>
            <w:tcW w:w="702" w:type="dxa"/>
            <w:tcBorders>
              <w:tl2br w:val="nil"/>
              <w:tr2bl w:val="nil"/>
            </w:tcBorders>
            <w:vAlign w:val="center"/>
          </w:tcPr>
          <w:p w14:paraId="46F4F626"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3E93EFCA" w14:textId="77777777" w:rsidR="002D2AF8" w:rsidRDefault="00000000">
            <w:pPr>
              <w:pStyle w:val="affb"/>
              <w:spacing w:before="0" w:after="0"/>
              <w:jc w:val="both"/>
              <w:rPr>
                <w:color w:val="000000" w:themeColor="text1"/>
                <w:szCs w:val="21"/>
              </w:rPr>
            </w:pPr>
            <w:r>
              <w:rPr>
                <w:color w:val="000000" w:themeColor="text1"/>
                <w:szCs w:val="21"/>
              </w:rPr>
              <w:t>供电线路未直接挂在设备、罐等金属物体上。</w:t>
            </w:r>
          </w:p>
        </w:tc>
      </w:tr>
      <w:tr w:rsidR="002D2AF8" w14:paraId="1C9ED8D2" w14:textId="77777777">
        <w:trPr>
          <w:jc w:val="center"/>
        </w:trPr>
        <w:tc>
          <w:tcPr>
            <w:tcW w:w="495" w:type="dxa"/>
            <w:tcBorders>
              <w:tl2br w:val="nil"/>
              <w:tr2bl w:val="nil"/>
            </w:tcBorders>
            <w:vAlign w:val="center"/>
          </w:tcPr>
          <w:p w14:paraId="091EBB76"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7B0A6472" w14:textId="77777777" w:rsidR="002D2AF8" w:rsidRDefault="00000000">
            <w:pPr>
              <w:adjustRightInd w:val="0"/>
              <w:snapToGrid w:val="0"/>
              <w:jc w:val="left"/>
              <w:rPr>
                <w:color w:val="000000" w:themeColor="text1"/>
                <w:szCs w:val="21"/>
              </w:rPr>
            </w:pPr>
            <w:r>
              <w:rPr>
                <w:color w:val="000000" w:themeColor="text1"/>
                <w:szCs w:val="21"/>
              </w:rPr>
              <w:t>值班房配线应采用绝缘导线，进户线过墙应穿绝缘管保护，并设防雨弯。</w:t>
            </w:r>
          </w:p>
        </w:tc>
        <w:tc>
          <w:tcPr>
            <w:tcW w:w="1692" w:type="dxa"/>
            <w:tcBorders>
              <w:tl2br w:val="nil"/>
              <w:tr2bl w:val="nil"/>
            </w:tcBorders>
            <w:vAlign w:val="center"/>
          </w:tcPr>
          <w:p w14:paraId="58BC6DA9"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4FC7DD29" w14:textId="77777777" w:rsidR="002D2AF8" w:rsidRDefault="00000000">
            <w:pPr>
              <w:adjustRightInd w:val="0"/>
              <w:snapToGrid w:val="0"/>
              <w:jc w:val="center"/>
              <w:rPr>
                <w:bCs/>
                <w:color w:val="000000" w:themeColor="text1"/>
                <w:szCs w:val="21"/>
              </w:rPr>
            </w:pPr>
            <w:r>
              <w:rPr>
                <w:bCs/>
                <w:color w:val="000000" w:themeColor="text1"/>
                <w:szCs w:val="21"/>
              </w:rPr>
              <w:t>3.19.2.1</w:t>
            </w:r>
          </w:p>
        </w:tc>
        <w:tc>
          <w:tcPr>
            <w:tcW w:w="702" w:type="dxa"/>
            <w:tcBorders>
              <w:tl2br w:val="nil"/>
              <w:tr2bl w:val="nil"/>
            </w:tcBorders>
            <w:vAlign w:val="center"/>
          </w:tcPr>
          <w:p w14:paraId="417C55E5" w14:textId="77777777" w:rsidR="002D2AF8" w:rsidRDefault="00000000">
            <w:pPr>
              <w:pStyle w:val="affb"/>
              <w:spacing w:before="0" w:after="0"/>
              <w:rPr>
                <w:color w:val="000000" w:themeColor="text1"/>
                <w:szCs w:val="21"/>
              </w:rPr>
            </w:pPr>
            <w:r>
              <w:rPr>
                <w:color w:val="000000" w:themeColor="text1"/>
                <w:szCs w:val="21"/>
              </w:rPr>
              <w:t>√</w:t>
            </w:r>
          </w:p>
        </w:tc>
        <w:tc>
          <w:tcPr>
            <w:tcW w:w="2967" w:type="dxa"/>
            <w:tcBorders>
              <w:tl2br w:val="nil"/>
              <w:tr2bl w:val="nil"/>
            </w:tcBorders>
            <w:vAlign w:val="center"/>
          </w:tcPr>
          <w:p w14:paraId="59F81086" w14:textId="77777777" w:rsidR="002D2AF8" w:rsidRDefault="00000000">
            <w:pPr>
              <w:pStyle w:val="affb"/>
              <w:spacing w:before="0" w:after="0"/>
              <w:jc w:val="both"/>
              <w:rPr>
                <w:color w:val="000000" w:themeColor="text1"/>
                <w:szCs w:val="21"/>
              </w:rPr>
            </w:pPr>
            <w:r>
              <w:rPr>
                <w:rFonts w:hint="eastAsia"/>
                <w:color w:val="000000" w:themeColor="text1"/>
                <w:szCs w:val="21"/>
              </w:rPr>
              <w:t>值</w:t>
            </w:r>
            <w:r>
              <w:rPr>
                <w:color w:val="000000" w:themeColor="text1"/>
                <w:szCs w:val="21"/>
              </w:rPr>
              <w:t>班房配线采用绝缘导线。</w:t>
            </w:r>
          </w:p>
        </w:tc>
      </w:tr>
      <w:tr w:rsidR="002D2AF8" w14:paraId="2D110159" w14:textId="77777777">
        <w:trPr>
          <w:jc w:val="center"/>
        </w:trPr>
        <w:tc>
          <w:tcPr>
            <w:tcW w:w="495" w:type="dxa"/>
            <w:tcBorders>
              <w:tl2br w:val="nil"/>
              <w:tr2bl w:val="nil"/>
            </w:tcBorders>
            <w:vAlign w:val="center"/>
          </w:tcPr>
          <w:p w14:paraId="14F0B899"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71E683EB" w14:textId="77777777" w:rsidR="002D2AF8" w:rsidRDefault="00000000">
            <w:pPr>
              <w:adjustRightInd w:val="0"/>
              <w:snapToGrid w:val="0"/>
              <w:jc w:val="left"/>
              <w:rPr>
                <w:color w:val="000000" w:themeColor="text1"/>
                <w:szCs w:val="21"/>
              </w:rPr>
            </w:pPr>
            <w:r>
              <w:rPr>
                <w:color w:val="000000" w:themeColor="text1"/>
                <w:szCs w:val="21"/>
              </w:rPr>
              <w:t>配电箱应防雨通风、保持干燥。</w:t>
            </w:r>
          </w:p>
        </w:tc>
        <w:tc>
          <w:tcPr>
            <w:tcW w:w="1692" w:type="dxa"/>
            <w:tcBorders>
              <w:tl2br w:val="nil"/>
              <w:tr2bl w:val="nil"/>
            </w:tcBorders>
            <w:vAlign w:val="center"/>
          </w:tcPr>
          <w:p w14:paraId="335FD35F"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7E3CA6DE" w14:textId="77777777" w:rsidR="002D2AF8" w:rsidRDefault="00000000">
            <w:pPr>
              <w:adjustRightInd w:val="0"/>
              <w:snapToGrid w:val="0"/>
              <w:jc w:val="center"/>
              <w:rPr>
                <w:bCs/>
                <w:color w:val="000000" w:themeColor="text1"/>
                <w:szCs w:val="21"/>
              </w:rPr>
            </w:pPr>
            <w:r>
              <w:rPr>
                <w:color w:val="000000" w:themeColor="text1"/>
                <w:szCs w:val="21"/>
              </w:rPr>
              <w:t>3.19.4.1</w:t>
            </w:r>
          </w:p>
        </w:tc>
        <w:tc>
          <w:tcPr>
            <w:tcW w:w="702" w:type="dxa"/>
            <w:tcBorders>
              <w:tl2br w:val="nil"/>
              <w:tr2bl w:val="nil"/>
            </w:tcBorders>
            <w:vAlign w:val="center"/>
          </w:tcPr>
          <w:p w14:paraId="77DA9E29" w14:textId="77777777" w:rsidR="002D2AF8" w:rsidRDefault="00000000">
            <w:pPr>
              <w:pStyle w:val="affb"/>
              <w:spacing w:before="0" w:after="0"/>
              <w:rPr>
                <w:color w:val="000000" w:themeColor="text1"/>
                <w:szCs w:val="21"/>
              </w:rPr>
            </w:pPr>
            <w:r>
              <w:rPr>
                <w:color w:val="000000" w:themeColor="text1"/>
                <w:szCs w:val="21"/>
              </w:rPr>
              <w:t>√</w:t>
            </w:r>
          </w:p>
        </w:tc>
        <w:tc>
          <w:tcPr>
            <w:tcW w:w="2967" w:type="dxa"/>
            <w:tcBorders>
              <w:tl2br w:val="nil"/>
              <w:tr2bl w:val="nil"/>
            </w:tcBorders>
            <w:vAlign w:val="center"/>
          </w:tcPr>
          <w:p w14:paraId="18F2937E" w14:textId="77777777" w:rsidR="002D2AF8" w:rsidRDefault="00000000">
            <w:pPr>
              <w:pStyle w:val="affb"/>
              <w:spacing w:before="0" w:after="0"/>
              <w:jc w:val="both"/>
              <w:rPr>
                <w:color w:val="000000" w:themeColor="text1"/>
                <w:szCs w:val="21"/>
              </w:rPr>
            </w:pPr>
            <w:r>
              <w:rPr>
                <w:color w:val="000000" w:themeColor="text1"/>
                <w:szCs w:val="21"/>
              </w:rPr>
              <w:t>有防雨措施。</w:t>
            </w:r>
          </w:p>
        </w:tc>
      </w:tr>
      <w:tr w:rsidR="002D2AF8" w14:paraId="4D4ADD36" w14:textId="77777777">
        <w:trPr>
          <w:jc w:val="center"/>
        </w:trPr>
        <w:tc>
          <w:tcPr>
            <w:tcW w:w="495" w:type="dxa"/>
            <w:tcBorders>
              <w:tl2br w:val="nil"/>
              <w:tr2bl w:val="nil"/>
            </w:tcBorders>
            <w:vAlign w:val="center"/>
          </w:tcPr>
          <w:p w14:paraId="006D6C22"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00D9FBB1" w14:textId="77777777" w:rsidR="002D2AF8" w:rsidRDefault="00000000">
            <w:pPr>
              <w:adjustRightInd w:val="0"/>
              <w:snapToGrid w:val="0"/>
              <w:jc w:val="left"/>
              <w:rPr>
                <w:color w:val="000000" w:themeColor="text1"/>
                <w:szCs w:val="21"/>
              </w:rPr>
            </w:pPr>
            <w:r>
              <w:rPr>
                <w:color w:val="000000" w:themeColor="text1"/>
                <w:szCs w:val="21"/>
              </w:rPr>
              <w:t>配电箱应安装端正、牢固。配电箱前地面有绝缘保护，并有足够的工作空间和通道。</w:t>
            </w:r>
          </w:p>
        </w:tc>
        <w:tc>
          <w:tcPr>
            <w:tcW w:w="1692" w:type="dxa"/>
            <w:tcBorders>
              <w:tl2br w:val="nil"/>
              <w:tr2bl w:val="nil"/>
            </w:tcBorders>
            <w:vAlign w:val="center"/>
          </w:tcPr>
          <w:p w14:paraId="459976A4"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2B693F8A" w14:textId="77777777" w:rsidR="002D2AF8" w:rsidRDefault="00000000">
            <w:pPr>
              <w:adjustRightInd w:val="0"/>
              <w:snapToGrid w:val="0"/>
              <w:jc w:val="center"/>
              <w:rPr>
                <w:bCs/>
                <w:color w:val="000000" w:themeColor="text1"/>
                <w:szCs w:val="21"/>
              </w:rPr>
            </w:pPr>
            <w:r>
              <w:rPr>
                <w:color w:val="000000" w:themeColor="text1"/>
                <w:szCs w:val="21"/>
              </w:rPr>
              <w:t>3.19.4.2</w:t>
            </w:r>
          </w:p>
        </w:tc>
        <w:tc>
          <w:tcPr>
            <w:tcW w:w="702" w:type="dxa"/>
            <w:tcBorders>
              <w:tl2br w:val="nil"/>
              <w:tr2bl w:val="nil"/>
            </w:tcBorders>
            <w:vAlign w:val="center"/>
          </w:tcPr>
          <w:p w14:paraId="7FB76712"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39FA2ADB" w14:textId="77777777" w:rsidR="002D2AF8" w:rsidRDefault="00000000">
            <w:pPr>
              <w:pStyle w:val="affb"/>
              <w:spacing w:before="0" w:after="0"/>
              <w:jc w:val="both"/>
              <w:rPr>
                <w:color w:val="000000" w:themeColor="text1"/>
                <w:szCs w:val="21"/>
              </w:rPr>
            </w:pPr>
            <w:r>
              <w:rPr>
                <w:color w:val="000000" w:themeColor="text1"/>
                <w:szCs w:val="21"/>
              </w:rPr>
              <w:t>配电箱前地面有绝缘保护。</w:t>
            </w:r>
          </w:p>
        </w:tc>
      </w:tr>
      <w:tr w:rsidR="002D2AF8" w14:paraId="041E3963" w14:textId="77777777">
        <w:trPr>
          <w:jc w:val="center"/>
        </w:trPr>
        <w:tc>
          <w:tcPr>
            <w:tcW w:w="495" w:type="dxa"/>
            <w:tcBorders>
              <w:tl2br w:val="nil"/>
              <w:tr2bl w:val="nil"/>
            </w:tcBorders>
            <w:vAlign w:val="center"/>
          </w:tcPr>
          <w:p w14:paraId="4C154FA9"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689DE793" w14:textId="77777777" w:rsidR="002D2AF8" w:rsidRDefault="00000000">
            <w:pPr>
              <w:adjustRightInd w:val="0"/>
              <w:snapToGrid w:val="0"/>
              <w:rPr>
                <w:color w:val="000000" w:themeColor="text1"/>
                <w:szCs w:val="21"/>
              </w:rPr>
            </w:pPr>
            <w:r>
              <w:rPr>
                <w:color w:val="000000" w:themeColor="text1"/>
                <w:szCs w:val="21"/>
              </w:rPr>
              <w:t>配电箱内的电器不应使用可燃材料作安装板。若采用金属安装板，应与配电箱箱体作电气连接。</w:t>
            </w:r>
          </w:p>
        </w:tc>
        <w:tc>
          <w:tcPr>
            <w:tcW w:w="1692" w:type="dxa"/>
            <w:tcBorders>
              <w:tl2br w:val="nil"/>
              <w:tr2bl w:val="nil"/>
            </w:tcBorders>
            <w:vAlign w:val="center"/>
          </w:tcPr>
          <w:p w14:paraId="0CC9E2CC"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380E7145" w14:textId="77777777" w:rsidR="002D2AF8" w:rsidRDefault="00000000">
            <w:pPr>
              <w:adjustRightInd w:val="0"/>
              <w:snapToGrid w:val="0"/>
              <w:jc w:val="center"/>
              <w:rPr>
                <w:bCs/>
                <w:color w:val="000000" w:themeColor="text1"/>
                <w:szCs w:val="21"/>
              </w:rPr>
            </w:pPr>
            <w:r>
              <w:rPr>
                <w:color w:val="000000" w:themeColor="text1"/>
                <w:szCs w:val="21"/>
              </w:rPr>
              <w:t>3.19.4.3</w:t>
            </w:r>
          </w:p>
        </w:tc>
        <w:tc>
          <w:tcPr>
            <w:tcW w:w="702" w:type="dxa"/>
            <w:tcBorders>
              <w:tl2br w:val="nil"/>
              <w:tr2bl w:val="nil"/>
            </w:tcBorders>
            <w:vAlign w:val="center"/>
          </w:tcPr>
          <w:p w14:paraId="1D1C30A5" w14:textId="77777777" w:rsidR="002D2AF8" w:rsidRDefault="00000000">
            <w:pPr>
              <w:pStyle w:val="affb"/>
              <w:spacing w:before="0" w:after="0"/>
              <w:rPr>
                <w:color w:val="000000" w:themeColor="text1"/>
                <w:szCs w:val="21"/>
              </w:rPr>
            </w:pPr>
            <w:r>
              <w:rPr>
                <w:color w:val="000000" w:themeColor="text1"/>
                <w:szCs w:val="21"/>
              </w:rPr>
              <w:t>√</w:t>
            </w:r>
          </w:p>
        </w:tc>
        <w:tc>
          <w:tcPr>
            <w:tcW w:w="2967" w:type="dxa"/>
            <w:tcBorders>
              <w:tl2br w:val="nil"/>
              <w:tr2bl w:val="nil"/>
            </w:tcBorders>
            <w:vAlign w:val="center"/>
          </w:tcPr>
          <w:p w14:paraId="5D82F5D8" w14:textId="77777777" w:rsidR="002D2AF8" w:rsidRDefault="00000000">
            <w:pPr>
              <w:adjustRightInd w:val="0"/>
              <w:snapToGrid w:val="0"/>
              <w:rPr>
                <w:color w:val="000000" w:themeColor="text1"/>
                <w:szCs w:val="21"/>
              </w:rPr>
            </w:pPr>
            <w:r>
              <w:rPr>
                <w:color w:val="000000" w:themeColor="text1"/>
                <w:szCs w:val="21"/>
              </w:rPr>
              <w:t>已作电气连接。</w:t>
            </w:r>
          </w:p>
        </w:tc>
      </w:tr>
      <w:tr w:rsidR="002D2AF8" w14:paraId="1DA9EED0" w14:textId="77777777">
        <w:trPr>
          <w:jc w:val="center"/>
        </w:trPr>
        <w:tc>
          <w:tcPr>
            <w:tcW w:w="495" w:type="dxa"/>
            <w:tcBorders>
              <w:tl2br w:val="nil"/>
              <w:tr2bl w:val="nil"/>
            </w:tcBorders>
            <w:vAlign w:val="center"/>
          </w:tcPr>
          <w:p w14:paraId="168C3D3F"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1D1648CB" w14:textId="77777777" w:rsidR="002D2AF8" w:rsidRDefault="00000000">
            <w:pPr>
              <w:adjustRightInd w:val="0"/>
              <w:snapToGrid w:val="0"/>
              <w:jc w:val="left"/>
              <w:rPr>
                <w:color w:val="000000" w:themeColor="text1"/>
                <w:szCs w:val="21"/>
              </w:rPr>
            </w:pPr>
            <w:r>
              <w:rPr>
                <w:color w:val="000000" w:themeColor="text1"/>
                <w:szCs w:val="21"/>
              </w:rPr>
              <w:t>配电箱内的开关、电器应安装牢固。连接线应采用绝缘导线，接头不应裸露和松动。</w:t>
            </w:r>
          </w:p>
        </w:tc>
        <w:tc>
          <w:tcPr>
            <w:tcW w:w="1692" w:type="dxa"/>
            <w:tcBorders>
              <w:tl2br w:val="nil"/>
              <w:tr2bl w:val="nil"/>
            </w:tcBorders>
            <w:vAlign w:val="center"/>
          </w:tcPr>
          <w:p w14:paraId="7AF36258"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6610B890" w14:textId="77777777" w:rsidR="002D2AF8" w:rsidRDefault="00000000">
            <w:pPr>
              <w:adjustRightInd w:val="0"/>
              <w:snapToGrid w:val="0"/>
              <w:jc w:val="center"/>
              <w:rPr>
                <w:bCs/>
                <w:color w:val="000000" w:themeColor="text1"/>
                <w:szCs w:val="21"/>
              </w:rPr>
            </w:pPr>
            <w:r>
              <w:rPr>
                <w:color w:val="000000" w:themeColor="text1"/>
                <w:szCs w:val="21"/>
              </w:rPr>
              <w:t>3.19.4.4</w:t>
            </w:r>
          </w:p>
        </w:tc>
        <w:tc>
          <w:tcPr>
            <w:tcW w:w="702" w:type="dxa"/>
            <w:tcBorders>
              <w:tl2br w:val="nil"/>
              <w:tr2bl w:val="nil"/>
            </w:tcBorders>
            <w:vAlign w:val="center"/>
          </w:tcPr>
          <w:p w14:paraId="2A854A0D"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5676911D" w14:textId="77777777" w:rsidR="002D2AF8" w:rsidRDefault="00000000">
            <w:pPr>
              <w:adjustRightInd w:val="0"/>
              <w:snapToGrid w:val="0"/>
              <w:rPr>
                <w:color w:val="000000" w:themeColor="text1"/>
                <w:szCs w:val="21"/>
              </w:rPr>
            </w:pPr>
            <w:r>
              <w:rPr>
                <w:color w:val="000000" w:themeColor="text1"/>
                <w:szCs w:val="21"/>
              </w:rPr>
              <w:t>开关、电器应安装牢固，连接线采用绝缘导线。</w:t>
            </w:r>
          </w:p>
        </w:tc>
      </w:tr>
      <w:tr w:rsidR="002D2AF8" w14:paraId="2B6B4671" w14:textId="77777777">
        <w:trPr>
          <w:jc w:val="center"/>
        </w:trPr>
        <w:tc>
          <w:tcPr>
            <w:tcW w:w="495" w:type="dxa"/>
            <w:tcBorders>
              <w:tl2br w:val="nil"/>
              <w:tr2bl w:val="nil"/>
            </w:tcBorders>
            <w:vAlign w:val="center"/>
          </w:tcPr>
          <w:p w14:paraId="1B3B5CE9"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4F6804BA" w14:textId="77777777" w:rsidR="002D2AF8" w:rsidRDefault="00000000">
            <w:pPr>
              <w:adjustRightInd w:val="0"/>
              <w:snapToGrid w:val="0"/>
              <w:jc w:val="left"/>
              <w:rPr>
                <w:color w:val="000000" w:themeColor="text1"/>
                <w:szCs w:val="21"/>
              </w:rPr>
            </w:pPr>
            <w:r>
              <w:rPr>
                <w:color w:val="000000" w:themeColor="text1"/>
                <w:szCs w:val="21"/>
              </w:rPr>
              <w:t>配电箱总开关应装设漏电保护器。分闸应距井口</w:t>
            </w:r>
            <w:r>
              <w:rPr>
                <w:color w:val="000000" w:themeColor="text1"/>
                <w:szCs w:val="21"/>
              </w:rPr>
              <w:t>15m</w:t>
            </w:r>
            <w:r>
              <w:rPr>
                <w:color w:val="000000" w:themeColor="text1"/>
                <w:szCs w:val="21"/>
              </w:rPr>
              <w:t>以外。若采用不高于</w:t>
            </w:r>
            <w:r>
              <w:rPr>
                <w:color w:val="000000" w:themeColor="text1"/>
                <w:szCs w:val="21"/>
              </w:rPr>
              <w:t>36V</w:t>
            </w:r>
            <w:r>
              <w:rPr>
                <w:color w:val="000000" w:themeColor="text1"/>
                <w:szCs w:val="21"/>
              </w:rPr>
              <w:t>的安全电压照明，安全电压变压器应防水。</w:t>
            </w:r>
          </w:p>
        </w:tc>
        <w:tc>
          <w:tcPr>
            <w:tcW w:w="1692" w:type="dxa"/>
            <w:tcBorders>
              <w:tl2br w:val="nil"/>
              <w:tr2bl w:val="nil"/>
            </w:tcBorders>
            <w:vAlign w:val="center"/>
          </w:tcPr>
          <w:p w14:paraId="648A223E"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22509A17" w14:textId="77777777" w:rsidR="002D2AF8" w:rsidRDefault="00000000">
            <w:pPr>
              <w:adjustRightInd w:val="0"/>
              <w:snapToGrid w:val="0"/>
              <w:jc w:val="center"/>
              <w:rPr>
                <w:bCs/>
                <w:color w:val="000000" w:themeColor="text1"/>
                <w:szCs w:val="21"/>
              </w:rPr>
            </w:pPr>
            <w:r>
              <w:rPr>
                <w:color w:val="000000" w:themeColor="text1"/>
                <w:szCs w:val="21"/>
              </w:rPr>
              <w:t>3.19.4.6</w:t>
            </w:r>
          </w:p>
        </w:tc>
        <w:tc>
          <w:tcPr>
            <w:tcW w:w="702" w:type="dxa"/>
            <w:tcBorders>
              <w:tl2br w:val="nil"/>
              <w:tr2bl w:val="nil"/>
            </w:tcBorders>
            <w:vAlign w:val="center"/>
          </w:tcPr>
          <w:p w14:paraId="0934179C" w14:textId="77777777" w:rsidR="002D2AF8" w:rsidRDefault="00000000">
            <w:pPr>
              <w:pStyle w:val="affb"/>
              <w:spacing w:before="0" w:after="0"/>
              <w:rPr>
                <w:color w:val="000000" w:themeColor="text1"/>
                <w:szCs w:val="21"/>
              </w:rPr>
            </w:pPr>
            <w:r>
              <w:rPr>
                <w:color w:val="000000" w:themeColor="text1"/>
                <w:szCs w:val="21"/>
              </w:rPr>
              <w:t>√</w:t>
            </w:r>
          </w:p>
        </w:tc>
        <w:tc>
          <w:tcPr>
            <w:tcW w:w="2967" w:type="dxa"/>
            <w:tcBorders>
              <w:tl2br w:val="nil"/>
              <w:tr2bl w:val="nil"/>
            </w:tcBorders>
            <w:vAlign w:val="center"/>
          </w:tcPr>
          <w:p w14:paraId="2E7A7871" w14:textId="77777777" w:rsidR="002D2AF8" w:rsidRDefault="00000000">
            <w:pPr>
              <w:adjustRightInd w:val="0"/>
              <w:snapToGrid w:val="0"/>
              <w:rPr>
                <w:color w:val="000000" w:themeColor="text1"/>
                <w:szCs w:val="21"/>
              </w:rPr>
            </w:pPr>
            <w:r>
              <w:rPr>
                <w:color w:val="000000" w:themeColor="text1"/>
                <w:szCs w:val="21"/>
              </w:rPr>
              <w:t>装设有漏电保护器。</w:t>
            </w:r>
          </w:p>
        </w:tc>
      </w:tr>
      <w:tr w:rsidR="002D2AF8" w14:paraId="02080A42" w14:textId="77777777">
        <w:trPr>
          <w:jc w:val="center"/>
        </w:trPr>
        <w:tc>
          <w:tcPr>
            <w:tcW w:w="495" w:type="dxa"/>
            <w:tcBorders>
              <w:tl2br w:val="nil"/>
              <w:tr2bl w:val="nil"/>
            </w:tcBorders>
            <w:vAlign w:val="center"/>
          </w:tcPr>
          <w:p w14:paraId="4D7A2A27"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62AFF07C" w14:textId="77777777" w:rsidR="002D2AF8" w:rsidRDefault="00000000">
            <w:pPr>
              <w:adjustRightInd w:val="0"/>
              <w:snapToGrid w:val="0"/>
              <w:jc w:val="left"/>
              <w:rPr>
                <w:color w:val="000000" w:themeColor="text1"/>
                <w:szCs w:val="21"/>
              </w:rPr>
            </w:pPr>
            <w:r>
              <w:rPr>
                <w:color w:val="000000" w:themeColor="text1"/>
                <w:szCs w:val="21"/>
              </w:rPr>
              <w:t>配电箱内盘面上应标明回路名称和用途。</w:t>
            </w:r>
          </w:p>
        </w:tc>
        <w:tc>
          <w:tcPr>
            <w:tcW w:w="1692" w:type="dxa"/>
            <w:tcBorders>
              <w:tl2br w:val="nil"/>
              <w:tr2bl w:val="nil"/>
            </w:tcBorders>
            <w:vAlign w:val="center"/>
          </w:tcPr>
          <w:p w14:paraId="12A9A87B"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11B12B96" w14:textId="77777777" w:rsidR="002D2AF8" w:rsidRDefault="00000000">
            <w:pPr>
              <w:adjustRightInd w:val="0"/>
              <w:snapToGrid w:val="0"/>
              <w:jc w:val="center"/>
              <w:rPr>
                <w:bCs/>
                <w:color w:val="000000" w:themeColor="text1"/>
                <w:szCs w:val="21"/>
              </w:rPr>
            </w:pPr>
            <w:r>
              <w:rPr>
                <w:color w:val="000000" w:themeColor="text1"/>
                <w:szCs w:val="21"/>
              </w:rPr>
              <w:t>3.19.5.1</w:t>
            </w:r>
          </w:p>
        </w:tc>
        <w:tc>
          <w:tcPr>
            <w:tcW w:w="702" w:type="dxa"/>
            <w:tcBorders>
              <w:tl2br w:val="nil"/>
              <w:tr2bl w:val="nil"/>
            </w:tcBorders>
            <w:vAlign w:val="center"/>
          </w:tcPr>
          <w:p w14:paraId="54E1D61C"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76DFC7FC" w14:textId="77777777" w:rsidR="002D2AF8" w:rsidRDefault="00000000">
            <w:pPr>
              <w:adjustRightInd w:val="0"/>
              <w:snapToGrid w:val="0"/>
              <w:rPr>
                <w:color w:val="000000" w:themeColor="text1"/>
                <w:szCs w:val="21"/>
              </w:rPr>
            </w:pPr>
            <w:r>
              <w:rPr>
                <w:color w:val="000000" w:themeColor="text1"/>
                <w:szCs w:val="21"/>
              </w:rPr>
              <w:t>已标明回路名称。</w:t>
            </w:r>
          </w:p>
        </w:tc>
      </w:tr>
      <w:tr w:rsidR="002D2AF8" w14:paraId="13A6D31A" w14:textId="77777777">
        <w:trPr>
          <w:jc w:val="center"/>
        </w:trPr>
        <w:tc>
          <w:tcPr>
            <w:tcW w:w="495" w:type="dxa"/>
            <w:tcBorders>
              <w:tl2br w:val="nil"/>
              <w:tr2bl w:val="nil"/>
            </w:tcBorders>
            <w:vAlign w:val="center"/>
          </w:tcPr>
          <w:p w14:paraId="097E3543"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49CDF00F" w14:textId="77777777" w:rsidR="002D2AF8" w:rsidRDefault="00000000">
            <w:pPr>
              <w:adjustRightInd w:val="0"/>
              <w:snapToGrid w:val="0"/>
              <w:jc w:val="left"/>
              <w:rPr>
                <w:color w:val="000000" w:themeColor="text1"/>
                <w:szCs w:val="21"/>
              </w:rPr>
            </w:pPr>
            <w:r>
              <w:rPr>
                <w:color w:val="000000" w:themeColor="text1"/>
                <w:szCs w:val="21"/>
              </w:rPr>
              <w:t>配电箱门应由专人管理。</w:t>
            </w:r>
          </w:p>
        </w:tc>
        <w:tc>
          <w:tcPr>
            <w:tcW w:w="1692" w:type="dxa"/>
            <w:tcBorders>
              <w:tl2br w:val="nil"/>
              <w:tr2bl w:val="nil"/>
            </w:tcBorders>
            <w:vAlign w:val="center"/>
          </w:tcPr>
          <w:p w14:paraId="7C7F3A11"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37E38BCC" w14:textId="77777777" w:rsidR="002D2AF8" w:rsidRDefault="00000000">
            <w:pPr>
              <w:adjustRightInd w:val="0"/>
              <w:snapToGrid w:val="0"/>
              <w:jc w:val="center"/>
              <w:rPr>
                <w:bCs/>
                <w:color w:val="000000" w:themeColor="text1"/>
                <w:szCs w:val="21"/>
              </w:rPr>
            </w:pPr>
            <w:r>
              <w:rPr>
                <w:color w:val="000000" w:themeColor="text1"/>
                <w:szCs w:val="21"/>
              </w:rPr>
              <w:t>3.19.5.2</w:t>
            </w:r>
          </w:p>
        </w:tc>
        <w:tc>
          <w:tcPr>
            <w:tcW w:w="702" w:type="dxa"/>
            <w:tcBorders>
              <w:tl2br w:val="nil"/>
              <w:tr2bl w:val="nil"/>
            </w:tcBorders>
            <w:vAlign w:val="center"/>
          </w:tcPr>
          <w:p w14:paraId="2F76E10F"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7EA4CF04" w14:textId="77777777" w:rsidR="002D2AF8" w:rsidRDefault="00000000">
            <w:pPr>
              <w:adjustRightInd w:val="0"/>
              <w:snapToGrid w:val="0"/>
              <w:rPr>
                <w:color w:val="000000" w:themeColor="text1"/>
                <w:szCs w:val="21"/>
              </w:rPr>
            </w:pPr>
            <w:r>
              <w:rPr>
                <w:color w:val="000000" w:themeColor="text1"/>
                <w:szCs w:val="21"/>
              </w:rPr>
              <w:t>未设专人管理。</w:t>
            </w:r>
          </w:p>
        </w:tc>
      </w:tr>
      <w:tr w:rsidR="002D2AF8" w14:paraId="52A3D4FA" w14:textId="77777777">
        <w:trPr>
          <w:jc w:val="center"/>
        </w:trPr>
        <w:tc>
          <w:tcPr>
            <w:tcW w:w="495" w:type="dxa"/>
            <w:tcBorders>
              <w:tl2br w:val="nil"/>
              <w:tr2bl w:val="nil"/>
            </w:tcBorders>
            <w:vAlign w:val="center"/>
          </w:tcPr>
          <w:p w14:paraId="01FD4FA9"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6DE5B73F" w14:textId="77777777" w:rsidR="002D2AF8" w:rsidRDefault="00000000">
            <w:pPr>
              <w:adjustRightInd w:val="0"/>
              <w:snapToGrid w:val="0"/>
              <w:jc w:val="left"/>
              <w:rPr>
                <w:color w:val="000000" w:themeColor="text1"/>
                <w:szCs w:val="21"/>
              </w:rPr>
            </w:pPr>
            <w:r>
              <w:rPr>
                <w:color w:val="000000" w:themeColor="text1"/>
                <w:szCs w:val="21"/>
              </w:rPr>
              <w:t>配电箱应由持证电工定期进行检查和维修。</w:t>
            </w:r>
          </w:p>
        </w:tc>
        <w:tc>
          <w:tcPr>
            <w:tcW w:w="1692" w:type="dxa"/>
            <w:tcBorders>
              <w:tl2br w:val="nil"/>
              <w:tr2bl w:val="nil"/>
            </w:tcBorders>
            <w:vAlign w:val="center"/>
          </w:tcPr>
          <w:p w14:paraId="20B3D637"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2E2DBCCB" w14:textId="77777777" w:rsidR="002D2AF8" w:rsidRDefault="00000000">
            <w:pPr>
              <w:adjustRightInd w:val="0"/>
              <w:snapToGrid w:val="0"/>
              <w:jc w:val="center"/>
              <w:rPr>
                <w:color w:val="000000" w:themeColor="text1"/>
                <w:szCs w:val="21"/>
              </w:rPr>
            </w:pPr>
            <w:r>
              <w:rPr>
                <w:color w:val="000000" w:themeColor="text1"/>
                <w:szCs w:val="21"/>
              </w:rPr>
              <w:t>3.19.5.3</w:t>
            </w:r>
          </w:p>
        </w:tc>
        <w:tc>
          <w:tcPr>
            <w:tcW w:w="702" w:type="dxa"/>
            <w:tcBorders>
              <w:tl2br w:val="nil"/>
              <w:tr2bl w:val="nil"/>
            </w:tcBorders>
            <w:vAlign w:val="center"/>
          </w:tcPr>
          <w:p w14:paraId="2BB09628"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307D5147" w14:textId="77777777" w:rsidR="002D2AF8" w:rsidRDefault="00000000">
            <w:pPr>
              <w:adjustRightInd w:val="0"/>
              <w:snapToGrid w:val="0"/>
              <w:rPr>
                <w:color w:val="000000" w:themeColor="text1"/>
                <w:szCs w:val="21"/>
              </w:rPr>
            </w:pPr>
            <w:r>
              <w:rPr>
                <w:color w:val="000000" w:themeColor="text1"/>
                <w:szCs w:val="21"/>
              </w:rPr>
              <w:t>未见定期检查和维修记录。</w:t>
            </w:r>
          </w:p>
        </w:tc>
      </w:tr>
      <w:tr w:rsidR="002D2AF8" w14:paraId="0340C83B" w14:textId="77777777">
        <w:trPr>
          <w:jc w:val="center"/>
        </w:trPr>
        <w:tc>
          <w:tcPr>
            <w:tcW w:w="495" w:type="dxa"/>
            <w:tcBorders>
              <w:tl2br w:val="nil"/>
              <w:tr2bl w:val="nil"/>
            </w:tcBorders>
            <w:vAlign w:val="center"/>
          </w:tcPr>
          <w:p w14:paraId="722E5FE5"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7821D5AA" w14:textId="77777777" w:rsidR="002D2AF8" w:rsidRDefault="00000000">
            <w:pPr>
              <w:adjustRightInd w:val="0"/>
              <w:snapToGrid w:val="0"/>
              <w:jc w:val="left"/>
              <w:rPr>
                <w:color w:val="000000" w:themeColor="text1"/>
                <w:szCs w:val="21"/>
              </w:rPr>
            </w:pPr>
            <w:r>
              <w:rPr>
                <w:color w:val="000000" w:themeColor="text1"/>
                <w:szCs w:val="21"/>
              </w:rPr>
              <w:t>配电箱操作人应掌握安全用电基本知识，能进行停送电操作，具备排除一般故障的能力。配电箱操作人员应做到以下几点：</w:t>
            </w:r>
          </w:p>
          <w:p w14:paraId="450ED62A" w14:textId="77777777" w:rsidR="002D2AF8" w:rsidRDefault="00000000">
            <w:pPr>
              <w:numPr>
                <w:ilvl w:val="0"/>
                <w:numId w:val="14"/>
              </w:numPr>
              <w:adjustRightInd w:val="0"/>
              <w:snapToGrid w:val="0"/>
              <w:jc w:val="left"/>
              <w:rPr>
                <w:color w:val="000000" w:themeColor="text1"/>
                <w:szCs w:val="21"/>
              </w:rPr>
            </w:pPr>
            <w:r>
              <w:rPr>
                <w:color w:val="000000" w:themeColor="text1"/>
                <w:szCs w:val="21"/>
              </w:rPr>
              <w:t>使用前应检查电气装置和保护设施。</w:t>
            </w:r>
          </w:p>
          <w:p w14:paraId="653AE964" w14:textId="77777777" w:rsidR="002D2AF8" w:rsidRDefault="00000000">
            <w:pPr>
              <w:numPr>
                <w:ilvl w:val="0"/>
                <w:numId w:val="14"/>
              </w:numPr>
              <w:adjustRightInd w:val="0"/>
              <w:snapToGrid w:val="0"/>
              <w:jc w:val="left"/>
              <w:rPr>
                <w:color w:val="000000" w:themeColor="text1"/>
                <w:szCs w:val="21"/>
              </w:rPr>
            </w:pPr>
            <w:r>
              <w:rPr>
                <w:color w:val="000000" w:themeColor="text1"/>
                <w:szCs w:val="21"/>
              </w:rPr>
              <w:t>负责检查井场的电器设备、线路和配电箱运行情况，发现问题及时处理。</w:t>
            </w:r>
          </w:p>
          <w:p w14:paraId="20187CE5" w14:textId="77777777" w:rsidR="002D2AF8" w:rsidRDefault="00000000">
            <w:pPr>
              <w:numPr>
                <w:ilvl w:val="0"/>
                <w:numId w:val="14"/>
              </w:numPr>
              <w:adjustRightInd w:val="0"/>
              <w:snapToGrid w:val="0"/>
              <w:jc w:val="left"/>
              <w:rPr>
                <w:color w:val="000000" w:themeColor="text1"/>
                <w:szCs w:val="21"/>
              </w:rPr>
            </w:pPr>
            <w:r>
              <w:rPr>
                <w:color w:val="000000" w:themeColor="text1"/>
                <w:szCs w:val="21"/>
              </w:rPr>
              <w:t>搬迁或移动用电设备时，应先切断电源。</w:t>
            </w:r>
          </w:p>
          <w:p w14:paraId="667C0F51" w14:textId="77777777" w:rsidR="002D2AF8" w:rsidRDefault="00000000">
            <w:pPr>
              <w:numPr>
                <w:ilvl w:val="0"/>
                <w:numId w:val="14"/>
              </w:numPr>
              <w:adjustRightInd w:val="0"/>
              <w:snapToGrid w:val="0"/>
              <w:jc w:val="left"/>
              <w:rPr>
                <w:color w:val="000000" w:themeColor="text1"/>
                <w:szCs w:val="21"/>
              </w:rPr>
            </w:pPr>
            <w:r>
              <w:rPr>
                <w:color w:val="000000" w:themeColor="text1"/>
                <w:szCs w:val="21"/>
              </w:rPr>
              <w:t>配电箱应保持整洁。</w:t>
            </w:r>
          </w:p>
          <w:p w14:paraId="4064841F" w14:textId="77777777" w:rsidR="002D2AF8" w:rsidRDefault="00000000">
            <w:pPr>
              <w:numPr>
                <w:ilvl w:val="0"/>
                <w:numId w:val="14"/>
              </w:numPr>
              <w:adjustRightInd w:val="0"/>
              <w:snapToGrid w:val="0"/>
              <w:jc w:val="left"/>
              <w:rPr>
                <w:color w:val="000000" w:themeColor="text1"/>
                <w:szCs w:val="21"/>
              </w:rPr>
            </w:pPr>
            <w:r>
              <w:rPr>
                <w:color w:val="000000" w:themeColor="text1"/>
                <w:szCs w:val="21"/>
              </w:rPr>
              <w:t>用电设备维修时应拉闸断电，上锁挂警示标识。</w:t>
            </w:r>
          </w:p>
          <w:p w14:paraId="6B2D701A" w14:textId="77777777" w:rsidR="002D2AF8" w:rsidRDefault="00000000">
            <w:pPr>
              <w:numPr>
                <w:ilvl w:val="0"/>
                <w:numId w:val="14"/>
              </w:numPr>
              <w:adjustRightInd w:val="0"/>
              <w:snapToGrid w:val="0"/>
              <w:jc w:val="left"/>
              <w:rPr>
                <w:color w:val="000000" w:themeColor="text1"/>
                <w:szCs w:val="21"/>
              </w:rPr>
            </w:pPr>
            <w:r>
              <w:rPr>
                <w:color w:val="000000" w:themeColor="text1"/>
                <w:szCs w:val="21"/>
              </w:rPr>
              <w:t>用电设备停用时应拉闸断电挂停用牌。</w:t>
            </w:r>
          </w:p>
        </w:tc>
        <w:tc>
          <w:tcPr>
            <w:tcW w:w="1692" w:type="dxa"/>
            <w:tcBorders>
              <w:tl2br w:val="nil"/>
              <w:tr2bl w:val="nil"/>
            </w:tcBorders>
            <w:vAlign w:val="center"/>
          </w:tcPr>
          <w:p w14:paraId="4932834A"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31E392D0" w14:textId="77777777" w:rsidR="002D2AF8" w:rsidRDefault="00000000">
            <w:pPr>
              <w:adjustRightInd w:val="0"/>
              <w:snapToGrid w:val="0"/>
              <w:jc w:val="center"/>
              <w:rPr>
                <w:bCs/>
                <w:color w:val="000000" w:themeColor="text1"/>
                <w:szCs w:val="21"/>
              </w:rPr>
            </w:pPr>
            <w:r>
              <w:rPr>
                <w:color w:val="000000" w:themeColor="text1"/>
                <w:szCs w:val="21"/>
              </w:rPr>
              <w:t>3.19.5.4</w:t>
            </w:r>
          </w:p>
        </w:tc>
        <w:tc>
          <w:tcPr>
            <w:tcW w:w="702" w:type="dxa"/>
            <w:tcBorders>
              <w:tl2br w:val="nil"/>
              <w:tr2bl w:val="nil"/>
            </w:tcBorders>
            <w:vAlign w:val="center"/>
          </w:tcPr>
          <w:p w14:paraId="028402BE" w14:textId="77777777" w:rsidR="002D2AF8" w:rsidRDefault="00000000">
            <w:pPr>
              <w:pStyle w:val="affb"/>
              <w:spacing w:before="0" w:after="0"/>
              <w:rPr>
                <w:color w:val="000000" w:themeColor="text1"/>
                <w:szCs w:val="21"/>
              </w:rPr>
            </w:pPr>
            <w:r>
              <w:rPr>
                <w:color w:val="000000" w:themeColor="text1"/>
                <w:szCs w:val="21"/>
              </w:rPr>
              <w:t>√</w:t>
            </w:r>
          </w:p>
        </w:tc>
        <w:tc>
          <w:tcPr>
            <w:tcW w:w="2967" w:type="dxa"/>
            <w:tcBorders>
              <w:tl2br w:val="nil"/>
              <w:tr2bl w:val="nil"/>
            </w:tcBorders>
            <w:vAlign w:val="center"/>
          </w:tcPr>
          <w:p w14:paraId="1D69E9F3" w14:textId="77777777" w:rsidR="002D2AF8" w:rsidRDefault="00000000">
            <w:pPr>
              <w:pStyle w:val="affb"/>
              <w:spacing w:before="0" w:after="0"/>
              <w:jc w:val="both"/>
              <w:rPr>
                <w:color w:val="000000" w:themeColor="text1"/>
                <w:szCs w:val="21"/>
              </w:rPr>
            </w:pPr>
            <w:r>
              <w:rPr>
                <w:color w:val="000000" w:themeColor="text1"/>
                <w:szCs w:val="21"/>
              </w:rPr>
              <w:t>配电箱由电工操作。</w:t>
            </w:r>
          </w:p>
        </w:tc>
      </w:tr>
      <w:tr w:rsidR="002D2AF8" w14:paraId="5816D254" w14:textId="77777777">
        <w:trPr>
          <w:jc w:val="center"/>
        </w:trPr>
        <w:tc>
          <w:tcPr>
            <w:tcW w:w="495" w:type="dxa"/>
            <w:tcBorders>
              <w:tl2br w:val="nil"/>
              <w:tr2bl w:val="nil"/>
            </w:tcBorders>
            <w:vAlign w:val="center"/>
          </w:tcPr>
          <w:p w14:paraId="674E2558"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3BFB9DBA" w14:textId="77777777" w:rsidR="002D2AF8" w:rsidRDefault="00000000">
            <w:pPr>
              <w:adjustRightInd w:val="0"/>
              <w:snapToGrid w:val="0"/>
              <w:jc w:val="left"/>
              <w:rPr>
                <w:color w:val="000000" w:themeColor="text1"/>
                <w:szCs w:val="21"/>
              </w:rPr>
            </w:pPr>
            <w:r>
              <w:rPr>
                <w:color w:val="000000" w:themeColor="text1"/>
                <w:szCs w:val="21"/>
              </w:rPr>
              <w:t>配电箱的进出线不应承受外力，不应与金属断口和腐蚀介质接触。</w:t>
            </w:r>
          </w:p>
        </w:tc>
        <w:tc>
          <w:tcPr>
            <w:tcW w:w="1692" w:type="dxa"/>
            <w:tcBorders>
              <w:tl2br w:val="nil"/>
              <w:tr2bl w:val="nil"/>
            </w:tcBorders>
            <w:vAlign w:val="center"/>
          </w:tcPr>
          <w:p w14:paraId="3EDEC39C"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030305C0" w14:textId="77777777" w:rsidR="002D2AF8" w:rsidRDefault="00000000">
            <w:pPr>
              <w:adjustRightInd w:val="0"/>
              <w:snapToGrid w:val="0"/>
              <w:jc w:val="center"/>
              <w:rPr>
                <w:bCs/>
                <w:color w:val="000000" w:themeColor="text1"/>
                <w:szCs w:val="21"/>
              </w:rPr>
            </w:pPr>
            <w:r>
              <w:rPr>
                <w:color w:val="000000" w:themeColor="text1"/>
                <w:szCs w:val="21"/>
              </w:rPr>
              <w:t>3.19.5.6</w:t>
            </w:r>
          </w:p>
        </w:tc>
        <w:tc>
          <w:tcPr>
            <w:tcW w:w="702" w:type="dxa"/>
            <w:tcBorders>
              <w:tl2br w:val="nil"/>
              <w:tr2bl w:val="nil"/>
            </w:tcBorders>
            <w:vAlign w:val="center"/>
          </w:tcPr>
          <w:p w14:paraId="26005491" w14:textId="77777777" w:rsidR="002D2AF8" w:rsidRDefault="00000000">
            <w:pPr>
              <w:pStyle w:val="affb"/>
              <w:spacing w:before="0" w:after="0"/>
              <w:rPr>
                <w:color w:val="000000" w:themeColor="text1"/>
                <w:szCs w:val="21"/>
              </w:rPr>
            </w:pPr>
            <w:r>
              <w:rPr>
                <w:color w:val="000000" w:themeColor="text1"/>
                <w:szCs w:val="21"/>
              </w:rPr>
              <w:t>√</w:t>
            </w:r>
          </w:p>
        </w:tc>
        <w:tc>
          <w:tcPr>
            <w:tcW w:w="2967" w:type="dxa"/>
            <w:tcBorders>
              <w:tl2br w:val="nil"/>
              <w:tr2bl w:val="nil"/>
            </w:tcBorders>
            <w:vAlign w:val="center"/>
          </w:tcPr>
          <w:p w14:paraId="75B912E5" w14:textId="77777777" w:rsidR="002D2AF8" w:rsidRDefault="00000000">
            <w:pPr>
              <w:pStyle w:val="affb"/>
              <w:spacing w:before="0" w:after="0"/>
              <w:jc w:val="both"/>
              <w:rPr>
                <w:color w:val="000000" w:themeColor="text1"/>
                <w:szCs w:val="21"/>
              </w:rPr>
            </w:pPr>
            <w:r>
              <w:rPr>
                <w:color w:val="000000" w:themeColor="text1"/>
                <w:szCs w:val="21"/>
              </w:rPr>
              <w:t>进出线不承受外力。</w:t>
            </w:r>
          </w:p>
        </w:tc>
      </w:tr>
      <w:tr w:rsidR="002D2AF8" w14:paraId="0A06CB0C" w14:textId="77777777">
        <w:trPr>
          <w:jc w:val="center"/>
        </w:trPr>
        <w:tc>
          <w:tcPr>
            <w:tcW w:w="495" w:type="dxa"/>
            <w:tcBorders>
              <w:tl2br w:val="nil"/>
              <w:tr2bl w:val="nil"/>
            </w:tcBorders>
            <w:vAlign w:val="center"/>
          </w:tcPr>
          <w:p w14:paraId="7E8FB328"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69D91325" w14:textId="77777777" w:rsidR="002D2AF8" w:rsidRDefault="00000000">
            <w:pPr>
              <w:adjustRightInd w:val="0"/>
              <w:snapToGrid w:val="0"/>
              <w:jc w:val="left"/>
              <w:rPr>
                <w:color w:val="000000" w:themeColor="text1"/>
                <w:szCs w:val="21"/>
              </w:rPr>
            </w:pPr>
            <w:r>
              <w:rPr>
                <w:color w:val="000000" w:themeColor="text1"/>
                <w:szCs w:val="21"/>
              </w:rPr>
              <w:t>井场露天移动照明应使用低压照明和防爆灯具，井场照度应满足施工生产需要。</w:t>
            </w:r>
          </w:p>
        </w:tc>
        <w:tc>
          <w:tcPr>
            <w:tcW w:w="1692" w:type="dxa"/>
            <w:tcBorders>
              <w:tl2br w:val="nil"/>
              <w:tr2bl w:val="nil"/>
            </w:tcBorders>
            <w:vAlign w:val="center"/>
          </w:tcPr>
          <w:p w14:paraId="47C057F8"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38FBA3A7" w14:textId="77777777" w:rsidR="002D2AF8" w:rsidRDefault="00000000">
            <w:pPr>
              <w:adjustRightInd w:val="0"/>
              <w:snapToGrid w:val="0"/>
              <w:jc w:val="center"/>
              <w:rPr>
                <w:bCs/>
                <w:color w:val="000000" w:themeColor="text1"/>
                <w:szCs w:val="21"/>
              </w:rPr>
            </w:pPr>
            <w:r>
              <w:rPr>
                <w:bCs/>
                <w:color w:val="000000" w:themeColor="text1"/>
                <w:szCs w:val="21"/>
              </w:rPr>
              <w:t>3.19.6.1</w:t>
            </w:r>
          </w:p>
        </w:tc>
        <w:tc>
          <w:tcPr>
            <w:tcW w:w="702" w:type="dxa"/>
            <w:tcBorders>
              <w:tl2br w:val="nil"/>
              <w:tr2bl w:val="nil"/>
            </w:tcBorders>
            <w:vAlign w:val="center"/>
          </w:tcPr>
          <w:p w14:paraId="28C2205A"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3A5FD8A3" w14:textId="77777777" w:rsidR="002D2AF8" w:rsidRDefault="00000000">
            <w:pPr>
              <w:pStyle w:val="affb"/>
              <w:spacing w:before="0" w:after="0"/>
              <w:jc w:val="both"/>
              <w:rPr>
                <w:color w:val="000000" w:themeColor="text1"/>
                <w:szCs w:val="21"/>
              </w:rPr>
            </w:pPr>
            <w:r>
              <w:rPr>
                <w:rFonts w:hint="eastAsia"/>
                <w:color w:val="000000" w:themeColor="text1"/>
                <w:szCs w:val="21"/>
              </w:rPr>
              <w:t>井场移动照明配备有</w:t>
            </w:r>
            <w:r>
              <w:rPr>
                <w:color w:val="000000" w:themeColor="text1"/>
                <w:szCs w:val="21"/>
              </w:rPr>
              <w:t>防爆手电筒。</w:t>
            </w:r>
          </w:p>
        </w:tc>
      </w:tr>
      <w:tr w:rsidR="002D2AF8" w14:paraId="5E85A924" w14:textId="77777777">
        <w:trPr>
          <w:jc w:val="center"/>
        </w:trPr>
        <w:tc>
          <w:tcPr>
            <w:tcW w:w="495" w:type="dxa"/>
            <w:tcBorders>
              <w:tl2br w:val="nil"/>
              <w:tr2bl w:val="nil"/>
            </w:tcBorders>
            <w:vAlign w:val="center"/>
          </w:tcPr>
          <w:p w14:paraId="41A83911"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6DA2135F" w14:textId="77777777" w:rsidR="002D2AF8" w:rsidRDefault="00000000">
            <w:pPr>
              <w:adjustRightInd w:val="0"/>
              <w:snapToGrid w:val="0"/>
              <w:jc w:val="left"/>
              <w:rPr>
                <w:color w:val="000000" w:themeColor="text1"/>
                <w:szCs w:val="21"/>
              </w:rPr>
            </w:pPr>
            <w:r>
              <w:rPr>
                <w:color w:val="000000" w:themeColor="text1"/>
                <w:szCs w:val="21"/>
              </w:rPr>
              <w:t>灯具的相线应在配电箱设开关控制，不应将相线直接引入灯具。</w:t>
            </w:r>
          </w:p>
        </w:tc>
        <w:tc>
          <w:tcPr>
            <w:tcW w:w="1692" w:type="dxa"/>
            <w:tcBorders>
              <w:tl2br w:val="nil"/>
              <w:tr2bl w:val="nil"/>
            </w:tcBorders>
            <w:vAlign w:val="center"/>
          </w:tcPr>
          <w:p w14:paraId="7DCE0750"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63FB862A" w14:textId="77777777" w:rsidR="002D2AF8" w:rsidRDefault="00000000">
            <w:pPr>
              <w:adjustRightInd w:val="0"/>
              <w:snapToGrid w:val="0"/>
              <w:jc w:val="center"/>
              <w:rPr>
                <w:bCs/>
                <w:color w:val="000000" w:themeColor="text1"/>
                <w:szCs w:val="21"/>
              </w:rPr>
            </w:pPr>
            <w:r>
              <w:rPr>
                <w:bCs/>
                <w:color w:val="000000" w:themeColor="text1"/>
                <w:szCs w:val="21"/>
              </w:rPr>
              <w:t>3.19.6.3</w:t>
            </w:r>
          </w:p>
        </w:tc>
        <w:tc>
          <w:tcPr>
            <w:tcW w:w="702" w:type="dxa"/>
            <w:tcBorders>
              <w:tl2br w:val="nil"/>
              <w:tr2bl w:val="nil"/>
            </w:tcBorders>
            <w:vAlign w:val="center"/>
          </w:tcPr>
          <w:p w14:paraId="4356EE12"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78F80932" w14:textId="77777777" w:rsidR="002D2AF8" w:rsidRDefault="00000000">
            <w:pPr>
              <w:pStyle w:val="affb"/>
              <w:spacing w:before="0" w:after="0"/>
              <w:jc w:val="both"/>
              <w:rPr>
                <w:color w:val="000000" w:themeColor="text1"/>
                <w:szCs w:val="21"/>
              </w:rPr>
            </w:pPr>
            <w:r>
              <w:rPr>
                <w:color w:val="000000" w:themeColor="text1"/>
                <w:szCs w:val="21"/>
              </w:rPr>
              <w:t>符合要求。</w:t>
            </w:r>
          </w:p>
        </w:tc>
      </w:tr>
      <w:tr w:rsidR="002D2AF8" w14:paraId="7ADC6B0D" w14:textId="77777777">
        <w:trPr>
          <w:jc w:val="center"/>
        </w:trPr>
        <w:tc>
          <w:tcPr>
            <w:tcW w:w="495" w:type="dxa"/>
            <w:tcBorders>
              <w:tl2br w:val="nil"/>
              <w:tr2bl w:val="nil"/>
            </w:tcBorders>
            <w:vAlign w:val="center"/>
          </w:tcPr>
          <w:p w14:paraId="48B6AC29"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22F771D2" w14:textId="77777777" w:rsidR="002D2AF8" w:rsidRDefault="00000000">
            <w:pPr>
              <w:adjustRightInd w:val="0"/>
              <w:snapToGrid w:val="0"/>
              <w:jc w:val="left"/>
              <w:rPr>
                <w:color w:val="000000" w:themeColor="text1"/>
                <w:szCs w:val="21"/>
              </w:rPr>
            </w:pPr>
            <w:r>
              <w:rPr>
                <w:color w:val="000000" w:themeColor="text1"/>
                <w:szCs w:val="21"/>
              </w:rPr>
              <w:t>配电箱、电机、电取暖器等用电设备的金属壳体都应做保护接零（接</w:t>
            </w:r>
            <w:r>
              <w:rPr>
                <w:color w:val="000000" w:themeColor="text1"/>
                <w:szCs w:val="21"/>
              </w:rPr>
              <w:t>PE</w:t>
            </w:r>
            <w:r>
              <w:rPr>
                <w:color w:val="000000" w:themeColor="text1"/>
                <w:szCs w:val="21"/>
              </w:rPr>
              <w:t>线）。</w:t>
            </w:r>
          </w:p>
        </w:tc>
        <w:tc>
          <w:tcPr>
            <w:tcW w:w="1692" w:type="dxa"/>
            <w:tcBorders>
              <w:tl2br w:val="nil"/>
              <w:tr2bl w:val="nil"/>
            </w:tcBorders>
            <w:vAlign w:val="center"/>
          </w:tcPr>
          <w:p w14:paraId="09D63F5D"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7B497D7E" w14:textId="77777777" w:rsidR="002D2AF8" w:rsidRDefault="00000000">
            <w:pPr>
              <w:adjustRightInd w:val="0"/>
              <w:snapToGrid w:val="0"/>
              <w:jc w:val="center"/>
              <w:rPr>
                <w:bCs/>
                <w:color w:val="000000" w:themeColor="text1"/>
                <w:szCs w:val="21"/>
              </w:rPr>
            </w:pPr>
            <w:r>
              <w:rPr>
                <w:bCs/>
                <w:color w:val="000000" w:themeColor="text1"/>
                <w:szCs w:val="21"/>
              </w:rPr>
              <w:t>3.19.8.1</w:t>
            </w:r>
          </w:p>
        </w:tc>
        <w:tc>
          <w:tcPr>
            <w:tcW w:w="702" w:type="dxa"/>
            <w:tcBorders>
              <w:tl2br w:val="nil"/>
              <w:tr2bl w:val="nil"/>
            </w:tcBorders>
            <w:vAlign w:val="center"/>
          </w:tcPr>
          <w:p w14:paraId="4D603924"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7F7D0958" w14:textId="77777777" w:rsidR="002D2AF8" w:rsidRDefault="00000000">
            <w:pPr>
              <w:pStyle w:val="affb"/>
              <w:spacing w:before="0" w:after="0"/>
              <w:jc w:val="both"/>
              <w:rPr>
                <w:color w:val="000000" w:themeColor="text1"/>
                <w:szCs w:val="21"/>
              </w:rPr>
            </w:pPr>
            <w:r>
              <w:rPr>
                <w:color w:val="000000" w:themeColor="text1"/>
                <w:szCs w:val="21"/>
              </w:rPr>
              <w:t>用电设备的金属壳体都已做保护接地。</w:t>
            </w:r>
          </w:p>
        </w:tc>
      </w:tr>
      <w:tr w:rsidR="002D2AF8" w14:paraId="51F4278B" w14:textId="77777777">
        <w:trPr>
          <w:jc w:val="center"/>
        </w:trPr>
        <w:tc>
          <w:tcPr>
            <w:tcW w:w="495" w:type="dxa"/>
            <w:tcBorders>
              <w:tl2br w:val="nil"/>
              <w:tr2bl w:val="nil"/>
            </w:tcBorders>
            <w:vAlign w:val="center"/>
          </w:tcPr>
          <w:p w14:paraId="7503DC1D"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30203142" w14:textId="77777777" w:rsidR="002D2AF8" w:rsidRDefault="00000000">
            <w:pPr>
              <w:adjustRightInd w:val="0"/>
              <w:snapToGrid w:val="0"/>
              <w:jc w:val="left"/>
              <w:rPr>
                <w:color w:val="000000" w:themeColor="text1"/>
                <w:szCs w:val="21"/>
              </w:rPr>
            </w:pPr>
            <w:r>
              <w:rPr>
                <w:color w:val="000000" w:themeColor="text1"/>
                <w:szCs w:val="21"/>
              </w:rPr>
              <w:t>所有保护零线（</w:t>
            </w:r>
            <w:r>
              <w:rPr>
                <w:color w:val="000000" w:themeColor="text1"/>
                <w:szCs w:val="21"/>
              </w:rPr>
              <w:t>PE</w:t>
            </w:r>
            <w:r>
              <w:rPr>
                <w:color w:val="000000" w:themeColor="text1"/>
                <w:szCs w:val="21"/>
              </w:rPr>
              <w:t>线）都应可靠接地，不应将值班房金属构架做接地连接体。</w:t>
            </w:r>
          </w:p>
        </w:tc>
        <w:tc>
          <w:tcPr>
            <w:tcW w:w="1692" w:type="dxa"/>
            <w:tcBorders>
              <w:tl2br w:val="nil"/>
              <w:tr2bl w:val="nil"/>
            </w:tcBorders>
            <w:vAlign w:val="center"/>
          </w:tcPr>
          <w:p w14:paraId="5E0E7A08"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6C6C6290" w14:textId="77777777" w:rsidR="002D2AF8" w:rsidRDefault="00000000">
            <w:pPr>
              <w:adjustRightInd w:val="0"/>
              <w:snapToGrid w:val="0"/>
              <w:jc w:val="center"/>
              <w:rPr>
                <w:bCs/>
                <w:color w:val="000000" w:themeColor="text1"/>
                <w:szCs w:val="21"/>
              </w:rPr>
            </w:pPr>
            <w:r>
              <w:rPr>
                <w:bCs/>
                <w:color w:val="000000" w:themeColor="text1"/>
                <w:szCs w:val="21"/>
              </w:rPr>
              <w:t>3.19.8.2</w:t>
            </w:r>
          </w:p>
        </w:tc>
        <w:tc>
          <w:tcPr>
            <w:tcW w:w="702" w:type="dxa"/>
            <w:tcBorders>
              <w:tl2br w:val="nil"/>
              <w:tr2bl w:val="nil"/>
            </w:tcBorders>
            <w:vAlign w:val="center"/>
          </w:tcPr>
          <w:p w14:paraId="150E3077"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5C660C56" w14:textId="77777777" w:rsidR="002D2AF8" w:rsidRDefault="00000000">
            <w:pPr>
              <w:pStyle w:val="affb"/>
              <w:spacing w:before="0" w:after="0"/>
              <w:jc w:val="both"/>
              <w:rPr>
                <w:color w:val="000000" w:themeColor="text1"/>
                <w:szCs w:val="21"/>
              </w:rPr>
            </w:pPr>
            <w:r>
              <w:rPr>
                <w:color w:val="000000" w:themeColor="text1"/>
                <w:szCs w:val="21"/>
              </w:rPr>
              <w:t>单独接地。</w:t>
            </w:r>
          </w:p>
        </w:tc>
      </w:tr>
      <w:tr w:rsidR="002D2AF8" w14:paraId="6505156F" w14:textId="77777777">
        <w:trPr>
          <w:jc w:val="center"/>
        </w:trPr>
        <w:tc>
          <w:tcPr>
            <w:tcW w:w="495" w:type="dxa"/>
            <w:tcBorders>
              <w:tl2br w:val="nil"/>
              <w:tr2bl w:val="nil"/>
            </w:tcBorders>
            <w:vAlign w:val="center"/>
          </w:tcPr>
          <w:p w14:paraId="1E9DD358"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27C19443" w14:textId="77777777" w:rsidR="002D2AF8" w:rsidRDefault="00000000">
            <w:pPr>
              <w:adjustRightInd w:val="0"/>
              <w:snapToGrid w:val="0"/>
              <w:jc w:val="left"/>
              <w:rPr>
                <w:color w:val="000000" w:themeColor="text1"/>
                <w:szCs w:val="21"/>
              </w:rPr>
            </w:pPr>
            <w:r>
              <w:rPr>
                <w:color w:val="000000" w:themeColor="text1"/>
                <w:szCs w:val="21"/>
              </w:rPr>
              <w:t>垂直接地体应采用角钢、钢管或圆钢，不应用铝导体做接地体或地下接地线。</w:t>
            </w:r>
          </w:p>
        </w:tc>
        <w:tc>
          <w:tcPr>
            <w:tcW w:w="1692" w:type="dxa"/>
            <w:tcBorders>
              <w:tl2br w:val="nil"/>
              <w:tr2bl w:val="nil"/>
            </w:tcBorders>
            <w:vAlign w:val="center"/>
          </w:tcPr>
          <w:p w14:paraId="48619825"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63169A0F" w14:textId="77777777" w:rsidR="002D2AF8" w:rsidRDefault="00000000">
            <w:pPr>
              <w:adjustRightInd w:val="0"/>
              <w:snapToGrid w:val="0"/>
              <w:jc w:val="center"/>
              <w:rPr>
                <w:bCs/>
                <w:color w:val="000000" w:themeColor="text1"/>
                <w:szCs w:val="21"/>
              </w:rPr>
            </w:pPr>
            <w:r>
              <w:rPr>
                <w:bCs/>
                <w:color w:val="000000" w:themeColor="text1"/>
                <w:szCs w:val="21"/>
              </w:rPr>
              <w:t>3.19.8.3</w:t>
            </w:r>
          </w:p>
        </w:tc>
        <w:tc>
          <w:tcPr>
            <w:tcW w:w="702" w:type="dxa"/>
            <w:tcBorders>
              <w:tl2br w:val="nil"/>
              <w:tr2bl w:val="nil"/>
            </w:tcBorders>
            <w:vAlign w:val="center"/>
          </w:tcPr>
          <w:p w14:paraId="75210A63"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0F98691C" w14:textId="77777777" w:rsidR="002D2AF8" w:rsidRDefault="00000000">
            <w:pPr>
              <w:pStyle w:val="affb"/>
              <w:spacing w:before="0" w:after="0"/>
              <w:jc w:val="both"/>
              <w:rPr>
                <w:color w:val="000000" w:themeColor="text1"/>
                <w:szCs w:val="21"/>
              </w:rPr>
            </w:pPr>
            <w:r>
              <w:rPr>
                <w:color w:val="000000" w:themeColor="text1"/>
                <w:szCs w:val="21"/>
              </w:rPr>
              <w:t>采用圆钢或角钢。</w:t>
            </w:r>
          </w:p>
        </w:tc>
      </w:tr>
      <w:tr w:rsidR="002D2AF8" w14:paraId="53748BF3" w14:textId="77777777">
        <w:trPr>
          <w:jc w:val="center"/>
        </w:trPr>
        <w:tc>
          <w:tcPr>
            <w:tcW w:w="495" w:type="dxa"/>
            <w:tcBorders>
              <w:tl2br w:val="nil"/>
              <w:tr2bl w:val="nil"/>
            </w:tcBorders>
            <w:vAlign w:val="center"/>
          </w:tcPr>
          <w:p w14:paraId="0F14415B"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171C0778" w14:textId="77777777" w:rsidR="002D2AF8" w:rsidRDefault="00000000">
            <w:pPr>
              <w:adjustRightInd w:val="0"/>
              <w:snapToGrid w:val="0"/>
              <w:jc w:val="left"/>
              <w:rPr>
                <w:color w:val="000000" w:themeColor="text1"/>
                <w:szCs w:val="21"/>
              </w:rPr>
            </w:pPr>
            <w:r>
              <w:rPr>
                <w:rFonts w:hint="eastAsia"/>
                <w:color w:val="000000" w:themeColor="text1"/>
                <w:szCs w:val="21"/>
              </w:rPr>
              <w:t>电气装置的外露可导电部分，应与保护导体相连接。</w:t>
            </w:r>
          </w:p>
        </w:tc>
        <w:tc>
          <w:tcPr>
            <w:tcW w:w="1692" w:type="dxa"/>
            <w:tcBorders>
              <w:tl2br w:val="nil"/>
              <w:tr2bl w:val="nil"/>
            </w:tcBorders>
            <w:vAlign w:val="center"/>
          </w:tcPr>
          <w:p w14:paraId="29573E0B" w14:textId="77777777" w:rsidR="002D2AF8" w:rsidRDefault="00000000">
            <w:pPr>
              <w:adjustRightInd w:val="0"/>
              <w:snapToGrid w:val="0"/>
              <w:jc w:val="center"/>
              <w:rPr>
                <w:bCs/>
                <w:color w:val="000000" w:themeColor="text1"/>
                <w:szCs w:val="21"/>
              </w:rPr>
            </w:pPr>
            <w:r>
              <w:rPr>
                <w:rFonts w:hint="eastAsia"/>
                <w:bCs/>
                <w:color w:val="000000" w:themeColor="text1"/>
                <w:szCs w:val="21"/>
              </w:rPr>
              <w:t>GB50054-2011</w:t>
            </w:r>
          </w:p>
          <w:p w14:paraId="12F3EF5C" w14:textId="77777777" w:rsidR="002D2AF8" w:rsidRDefault="00000000">
            <w:pPr>
              <w:adjustRightInd w:val="0"/>
              <w:snapToGrid w:val="0"/>
              <w:jc w:val="center"/>
              <w:rPr>
                <w:bCs/>
                <w:color w:val="000000" w:themeColor="text1"/>
                <w:szCs w:val="21"/>
              </w:rPr>
            </w:pPr>
            <w:r>
              <w:rPr>
                <w:rFonts w:hint="eastAsia"/>
                <w:color w:val="000000" w:themeColor="text1"/>
                <w:szCs w:val="21"/>
              </w:rPr>
              <w:t>5.2.3</w:t>
            </w:r>
          </w:p>
        </w:tc>
        <w:tc>
          <w:tcPr>
            <w:tcW w:w="702" w:type="dxa"/>
            <w:tcBorders>
              <w:tl2br w:val="nil"/>
              <w:tr2bl w:val="nil"/>
            </w:tcBorders>
            <w:vAlign w:val="center"/>
          </w:tcPr>
          <w:p w14:paraId="33325B37"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2DE208B3" w14:textId="77777777" w:rsidR="002D2AF8" w:rsidRDefault="00000000">
            <w:pPr>
              <w:pStyle w:val="affb"/>
              <w:spacing w:before="0" w:after="0"/>
              <w:jc w:val="both"/>
              <w:rPr>
                <w:color w:val="000000" w:themeColor="text1"/>
                <w:szCs w:val="21"/>
              </w:rPr>
            </w:pPr>
            <w:r>
              <w:rPr>
                <w:rFonts w:hint="eastAsia"/>
                <w:color w:val="000000" w:themeColor="text1"/>
                <w:szCs w:val="21"/>
              </w:rPr>
              <w:t>已连接。</w:t>
            </w:r>
          </w:p>
        </w:tc>
      </w:tr>
      <w:tr w:rsidR="002D2AF8" w14:paraId="452A63A3" w14:textId="77777777">
        <w:trPr>
          <w:jc w:val="center"/>
        </w:trPr>
        <w:tc>
          <w:tcPr>
            <w:tcW w:w="495" w:type="dxa"/>
            <w:tcBorders>
              <w:tl2br w:val="nil"/>
              <w:tr2bl w:val="nil"/>
            </w:tcBorders>
            <w:vAlign w:val="center"/>
          </w:tcPr>
          <w:p w14:paraId="3929C9B6"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132C1C31" w14:textId="77777777" w:rsidR="002D2AF8" w:rsidRDefault="00000000">
            <w:pPr>
              <w:adjustRightInd w:val="0"/>
              <w:snapToGrid w:val="0"/>
              <w:jc w:val="left"/>
              <w:rPr>
                <w:color w:val="000000" w:themeColor="text1"/>
                <w:szCs w:val="21"/>
              </w:rPr>
            </w:pPr>
            <w:r>
              <w:rPr>
                <w:rFonts w:hint="eastAsia"/>
                <w:color w:val="000000" w:themeColor="text1"/>
                <w:szCs w:val="21"/>
              </w:rPr>
              <w:t>配电线路应装设短路保护和过负荷保护。</w:t>
            </w:r>
          </w:p>
        </w:tc>
        <w:tc>
          <w:tcPr>
            <w:tcW w:w="1692" w:type="dxa"/>
            <w:tcBorders>
              <w:tl2br w:val="nil"/>
              <w:tr2bl w:val="nil"/>
            </w:tcBorders>
            <w:vAlign w:val="center"/>
          </w:tcPr>
          <w:p w14:paraId="1E424BCF" w14:textId="77777777" w:rsidR="002D2AF8" w:rsidRDefault="00000000">
            <w:pPr>
              <w:adjustRightInd w:val="0"/>
              <w:snapToGrid w:val="0"/>
              <w:jc w:val="center"/>
              <w:rPr>
                <w:bCs/>
                <w:color w:val="000000" w:themeColor="text1"/>
                <w:szCs w:val="21"/>
              </w:rPr>
            </w:pPr>
            <w:r>
              <w:rPr>
                <w:rFonts w:hint="eastAsia"/>
                <w:bCs/>
                <w:color w:val="000000" w:themeColor="text1"/>
                <w:szCs w:val="21"/>
              </w:rPr>
              <w:t>GB50054-2011</w:t>
            </w:r>
          </w:p>
          <w:p w14:paraId="70630D07" w14:textId="77777777" w:rsidR="002D2AF8" w:rsidRDefault="00000000">
            <w:pPr>
              <w:adjustRightInd w:val="0"/>
              <w:snapToGrid w:val="0"/>
              <w:jc w:val="center"/>
              <w:rPr>
                <w:bCs/>
                <w:color w:val="000000" w:themeColor="text1"/>
                <w:szCs w:val="21"/>
              </w:rPr>
            </w:pPr>
            <w:r>
              <w:rPr>
                <w:rFonts w:hint="eastAsia"/>
                <w:color w:val="000000" w:themeColor="text1"/>
                <w:szCs w:val="21"/>
              </w:rPr>
              <w:t>6.1.1</w:t>
            </w:r>
          </w:p>
        </w:tc>
        <w:tc>
          <w:tcPr>
            <w:tcW w:w="702" w:type="dxa"/>
            <w:tcBorders>
              <w:tl2br w:val="nil"/>
              <w:tr2bl w:val="nil"/>
            </w:tcBorders>
            <w:vAlign w:val="center"/>
          </w:tcPr>
          <w:p w14:paraId="22F7B4AA"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13DA9F9F" w14:textId="77777777" w:rsidR="002D2AF8" w:rsidRDefault="00000000">
            <w:pPr>
              <w:pStyle w:val="affb"/>
              <w:spacing w:before="0" w:after="0"/>
              <w:jc w:val="both"/>
              <w:rPr>
                <w:color w:val="000000" w:themeColor="text1"/>
                <w:szCs w:val="21"/>
              </w:rPr>
            </w:pPr>
            <w:r>
              <w:rPr>
                <w:rFonts w:hint="eastAsia"/>
                <w:color w:val="000000" w:themeColor="text1"/>
                <w:szCs w:val="21"/>
              </w:rPr>
              <w:t>装设有短路保护和过负荷保护。</w:t>
            </w:r>
          </w:p>
        </w:tc>
      </w:tr>
      <w:tr w:rsidR="002D2AF8" w14:paraId="096D3CD8" w14:textId="77777777">
        <w:trPr>
          <w:jc w:val="center"/>
        </w:trPr>
        <w:tc>
          <w:tcPr>
            <w:tcW w:w="495" w:type="dxa"/>
            <w:tcBorders>
              <w:tl2br w:val="nil"/>
              <w:tr2bl w:val="nil"/>
            </w:tcBorders>
            <w:vAlign w:val="center"/>
          </w:tcPr>
          <w:p w14:paraId="063D4BFF"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789918B3" w14:textId="77777777" w:rsidR="002D2AF8" w:rsidRDefault="00000000">
            <w:pPr>
              <w:adjustRightInd w:val="0"/>
              <w:snapToGrid w:val="0"/>
              <w:jc w:val="left"/>
              <w:rPr>
                <w:color w:val="000000" w:themeColor="text1"/>
                <w:szCs w:val="21"/>
              </w:rPr>
            </w:pPr>
            <w:r>
              <w:rPr>
                <w:rFonts w:hint="eastAsia"/>
                <w:color w:val="000000" w:themeColor="text1"/>
                <w:szCs w:val="21"/>
              </w:rPr>
              <w:t>电气装置的下列金属部分，均必须接地：</w:t>
            </w:r>
          </w:p>
          <w:p w14:paraId="24558B88" w14:textId="77777777" w:rsidR="002D2AF8" w:rsidRDefault="00000000">
            <w:pPr>
              <w:adjustRightInd w:val="0"/>
              <w:snapToGrid w:val="0"/>
              <w:jc w:val="left"/>
              <w:rPr>
                <w:color w:val="000000" w:themeColor="text1"/>
                <w:szCs w:val="21"/>
              </w:rPr>
            </w:pPr>
            <w:r>
              <w:rPr>
                <w:rFonts w:hint="eastAsia"/>
                <w:color w:val="000000" w:themeColor="text1"/>
                <w:szCs w:val="21"/>
              </w:rPr>
              <w:t>1</w:t>
            </w:r>
            <w:r>
              <w:rPr>
                <w:rFonts w:hint="eastAsia"/>
                <w:color w:val="000000" w:themeColor="text1"/>
                <w:szCs w:val="21"/>
              </w:rPr>
              <w:t>电气设备的金属底座、框架及外壳和传动装置。</w:t>
            </w:r>
          </w:p>
          <w:p w14:paraId="00D6A7AB" w14:textId="77777777" w:rsidR="002D2AF8" w:rsidRDefault="00000000">
            <w:pPr>
              <w:adjustRightInd w:val="0"/>
              <w:snapToGrid w:val="0"/>
              <w:jc w:val="left"/>
              <w:rPr>
                <w:color w:val="000000" w:themeColor="text1"/>
                <w:szCs w:val="21"/>
              </w:rPr>
            </w:pPr>
            <w:r>
              <w:rPr>
                <w:rFonts w:hint="eastAsia"/>
                <w:color w:val="000000" w:themeColor="text1"/>
                <w:szCs w:val="21"/>
              </w:rPr>
              <w:t>2</w:t>
            </w:r>
            <w:r>
              <w:rPr>
                <w:rFonts w:hint="eastAsia"/>
                <w:color w:val="000000" w:themeColor="text1"/>
                <w:szCs w:val="21"/>
              </w:rPr>
              <w:t>携带式或移动式用电器具的金属底座和外壳。</w:t>
            </w:r>
          </w:p>
          <w:p w14:paraId="45EAF4A2" w14:textId="77777777" w:rsidR="002D2AF8" w:rsidRDefault="00000000">
            <w:pPr>
              <w:adjustRightInd w:val="0"/>
              <w:snapToGrid w:val="0"/>
              <w:jc w:val="left"/>
              <w:rPr>
                <w:color w:val="000000" w:themeColor="text1"/>
                <w:szCs w:val="21"/>
              </w:rPr>
            </w:pPr>
            <w:r>
              <w:rPr>
                <w:rFonts w:hint="eastAsia"/>
                <w:color w:val="000000" w:themeColor="text1"/>
                <w:szCs w:val="21"/>
              </w:rPr>
              <w:t>3</w:t>
            </w:r>
            <w:r>
              <w:rPr>
                <w:rFonts w:hint="eastAsia"/>
                <w:color w:val="000000" w:themeColor="text1"/>
                <w:szCs w:val="21"/>
              </w:rPr>
              <w:t>箱式变电站的金属箱体。</w:t>
            </w:r>
          </w:p>
          <w:p w14:paraId="61B7B674" w14:textId="77777777" w:rsidR="002D2AF8" w:rsidRDefault="00000000">
            <w:pPr>
              <w:adjustRightInd w:val="0"/>
              <w:snapToGrid w:val="0"/>
              <w:jc w:val="left"/>
              <w:rPr>
                <w:color w:val="000000" w:themeColor="text1"/>
                <w:szCs w:val="21"/>
              </w:rPr>
            </w:pPr>
            <w:r>
              <w:rPr>
                <w:rFonts w:hint="eastAsia"/>
                <w:color w:val="000000" w:themeColor="text1"/>
                <w:szCs w:val="21"/>
              </w:rPr>
              <w:t>4</w:t>
            </w:r>
            <w:r>
              <w:rPr>
                <w:rFonts w:hint="eastAsia"/>
                <w:color w:val="000000" w:themeColor="text1"/>
                <w:szCs w:val="21"/>
              </w:rPr>
              <w:t>互感器的二次绕组。</w:t>
            </w:r>
          </w:p>
          <w:p w14:paraId="5FDF7002" w14:textId="77777777" w:rsidR="002D2AF8" w:rsidRDefault="00000000">
            <w:pPr>
              <w:adjustRightInd w:val="0"/>
              <w:snapToGrid w:val="0"/>
              <w:jc w:val="left"/>
              <w:rPr>
                <w:color w:val="000000" w:themeColor="text1"/>
                <w:szCs w:val="21"/>
              </w:rPr>
            </w:pPr>
            <w:r>
              <w:rPr>
                <w:rFonts w:hint="eastAsia"/>
                <w:color w:val="000000" w:themeColor="text1"/>
                <w:szCs w:val="21"/>
              </w:rPr>
              <w:t>5</w:t>
            </w:r>
            <w:r>
              <w:rPr>
                <w:rFonts w:hint="eastAsia"/>
                <w:color w:val="000000" w:themeColor="text1"/>
                <w:szCs w:val="21"/>
              </w:rPr>
              <w:t>配电、控制、保护用的屏</w:t>
            </w:r>
            <w:r>
              <w:rPr>
                <w:rFonts w:hint="eastAsia"/>
                <w:color w:val="000000" w:themeColor="text1"/>
                <w:szCs w:val="21"/>
              </w:rPr>
              <w:t>(</w:t>
            </w:r>
            <w:r>
              <w:rPr>
                <w:rFonts w:hint="eastAsia"/>
                <w:color w:val="000000" w:themeColor="text1"/>
                <w:szCs w:val="21"/>
              </w:rPr>
              <w:t>柜、箱）及操作台的金属框架和底座。</w:t>
            </w:r>
          </w:p>
          <w:p w14:paraId="19D8DDD6" w14:textId="77777777" w:rsidR="002D2AF8" w:rsidRDefault="00000000">
            <w:pPr>
              <w:adjustRightInd w:val="0"/>
              <w:snapToGrid w:val="0"/>
              <w:jc w:val="left"/>
              <w:rPr>
                <w:color w:val="000000" w:themeColor="text1"/>
                <w:szCs w:val="21"/>
              </w:rPr>
            </w:pPr>
            <w:r>
              <w:rPr>
                <w:rFonts w:hint="eastAsia"/>
                <w:color w:val="000000" w:themeColor="text1"/>
                <w:szCs w:val="21"/>
              </w:rPr>
              <w:t>6</w:t>
            </w:r>
            <w:r>
              <w:rPr>
                <w:rFonts w:hint="eastAsia"/>
                <w:color w:val="000000" w:themeColor="text1"/>
                <w:szCs w:val="21"/>
              </w:rPr>
              <w:t>电力电缆的金属护层、接头盒、终端头和金属保护管及二次电缆的屏蔽层。</w:t>
            </w:r>
          </w:p>
          <w:p w14:paraId="2FC31DCE" w14:textId="77777777" w:rsidR="002D2AF8" w:rsidRDefault="00000000">
            <w:pPr>
              <w:adjustRightInd w:val="0"/>
              <w:snapToGrid w:val="0"/>
              <w:jc w:val="left"/>
              <w:rPr>
                <w:color w:val="000000" w:themeColor="text1"/>
                <w:szCs w:val="21"/>
              </w:rPr>
            </w:pPr>
            <w:r>
              <w:rPr>
                <w:rFonts w:hint="eastAsia"/>
                <w:color w:val="000000" w:themeColor="text1"/>
                <w:szCs w:val="21"/>
              </w:rPr>
              <w:t>7</w:t>
            </w:r>
            <w:r>
              <w:rPr>
                <w:rFonts w:hint="eastAsia"/>
                <w:color w:val="000000" w:themeColor="text1"/>
                <w:szCs w:val="21"/>
              </w:rPr>
              <w:t>电缆桥架、支架和井架。</w:t>
            </w:r>
          </w:p>
          <w:p w14:paraId="6B5B311D" w14:textId="77777777" w:rsidR="002D2AF8" w:rsidRDefault="00000000">
            <w:pPr>
              <w:adjustRightInd w:val="0"/>
              <w:snapToGrid w:val="0"/>
              <w:jc w:val="left"/>
              <w:rPr>
                <w:color w:val="000000" w:themeColor="text1"/>
                <w:szCs w:val="21"/>
              </w:rPr>
            </w:pPr>
            <w:r>
              <w:rPr>
                <w:rFonts w:hint="eastAsia"/>
                <w:color w:val="000000" w:themeColor="text1"/>
                <w:szCs w:val="21"/>
              </w:rPr>
              <w:t>8</w:t>
            </w:r>
            <w:r>
              <w:rPr>
                <w:rFonts w:hint="eastAsia"/>
                <w:color w:val="000000" w:themeColor="text1"/>
                <w:szCs w:val="21"/>
              </w:rPr>
              <w:t>变电站</w:t>
            </w:r>
            <w:r>
              <w:rPr>
                <w:rFonts w:hint="eastAsia"/>
                <w:color w:val="000000" w:themeColor="text1"/>
                <w:szCs w:val="21"/>
              </w:rPr>
              <w:t>(</w:t>
            </w:r>
            <w:r>
              <w:rPr>
                <w:rFonts w:hint="eastAsia"/>
                <w:color w:val="000000" w:themeColor="text1"/>
                <w:szCs w:val="21"/>
              </w:rPr>
              <w:t>换流站</w:t>
            </w:r>
            <w:r>
              <w:rPr>
                <w:rFonts w:hint="eastAsia"/>
                <w:color w:val="000000" w:themeColor="text1"/>
                <w:szCs w:val="21"/>
              </w:rPr>
              <w:t>)</w:t>
            </w:r>
            <w:r>
              <w:rPr>
                <w:rFonts w:hint="eastAsia"/>
                <w:color w:val="000000" w:themeColor="text1"/>
                <w:szCs w:val="21"/>
              </w:rPr>
              <w:t>构、支架。</w:t>
            </w:r>
          </w:p>
          <w:p w14:paraId="2478181A" w14:textId="77777777" w:rsidR="002D2AF8" w:rsidRDefault="00000000">
            <w:pPr>
              <w:adjustRightInd w:val="0"/>
              <w:snapToGrid w:val="0"/>
              <w:jc w:val="left"/>
              <w:rPr>
                <w:color w:val="000000" w:themeColor="text1"/>
                <w:szCs w:val="21"/>
              </w:rPr>
            </w:pPr>
            <w:r>
              <w:rPr>
                <w:rFonts w:hint="eastAsia"/>
                <w:color w:val="000000" w:themeColor="text1"/>
                <w:szCs w:val="21"/>
              </w:rPr>
              <w:t>9</w:t>
            </w:r>
            <w:r>
              <w:rPr>
                <w:rFonts w:hint="eastAsia"/>
                <w:color w:val="000000" w:themeColor="text1"/>
                <w:szCs w:val="21"/>
              </w:rPr>
              <w:t>装有架空地线或电气设备的电力线路杆塔。</w:t>
            </w:r>
          </w:p>
          <w:p w14:paraId="2E416CF2" w14:textId="77777777" w:rsidR="002D2AF8" w:rsidRDefault="00000000">
            <w:pPr>
              <w:adjustRightInd w:val="0"/>
              <w:snapToGrid w:val="0"/>
              <w:jc w:val="left"/>
              <w:rPr>
                <w:color w:val="000000" w:themeColor="text1"/>
                <w:szCs w:val="21"/>
              </w:rPr>
            </w:pPr>
            <w:r>
              <w:rPr>
                <w:rFonts w:hint="eastAsia"/>
                <w:color w:val="000000" w:themeColor="text1"/>
                <w:szCs w:val="21"/>
              </w:rPr>
              <w:t>10</w:t>
            </w:r>
            <w:r>
              <w:rPr>
                <w:rFonts w:hint="eastAsia"/>
                <w:color w:val="000000" w:themeColor="text1"/>
                <w:szCs w:val="21"/>
              </w:rPr>
              <w:t>配电装置的金属遮栏。</w:t>
            </w:r>
          </w:p>
          <w:p w14:paraId="1EFD4F0A" w14:textId="77777777" w:rsidR="002D2AF8" w:rsidRDefault="00000000">
            <w:pPr>
              <w:adjustRightInd w:val="0"/>
              <w:snapToGrid w:val="0"/>
              <w:jc w:val="left"/>
              <w:rPr>
                <w:color w:val="000000" w:themeColor="text1"/>
                <w:szCs w:val="21"/>
              </w:rPr>
            </w:pPr>
            <w:r>
              <w:rPr>
                <w:rFonts w:hint="eastAsia"/>
                <w:color w:val="000000" w:themeColor="text1"/>
                <w:szCs w:val="21"/>
              </w:rPr>
              <w:t>11</w:t>
            </w:r>
            <w:r>
              <w:rPr>
                <w:rFonts w:hint="eastAsia"/>
                <w:color w:val="000000" w:themeColor="text1"/>
                <w:szCs w:val="21"/>
              </w:rPr>
              <w:t>电热设备的金属外壳。</w:t>
            </w:r>
          </w:p>
        </w:tc>
        <w:tc>
          <w:tcPr>
            <w:tcW w:w="1692" w:type="dxa"/>
            <w:tcBorders>
              <w:tl2br w:val="nil"/>
              <w:tr2bl w:val="nil"/>
            </w:tcBorders>
            <w:vAlign w:val="center"/>
          </w:tcPr>
          <w:p w14:paraId="76CE0547" w14:textId="77777777" w:rsidR="002D2AF8" w:rsidRDefault="00000000">
            <w:pPr>
              <w:adjustRightInd w:val="0"/>
              <w:snapToGrid w:val="0"/>
              <w:jc w:val="center"/>
              <w:rPr>
                <w:bCs/>
                <w:color w:val="000000" w:themeColor="text1"/>
                <w:szCs w:val="21"/>
              </w:rPr>
            </w:pPr>
            <w:r>
              <w:rPr>
                <w:rFonts w:hint="eastAsia"/>
                <w:bCs/>
                <w:color w:val="000000" w:themeColor="text1"/>
                <w:szCs w:val="21"/>
              </w:rPr>
              <w:t>GB50169-2016</w:t>
            </w:r>
          </w:p>
          <w:p w14:paraId="58AD5C0B" w14:textId="77777777" w:rsidR="002D2AF8" w:rsidRDefault="00000000">
            <w:pPr>
              <w:adjustRightInd w:val="0"/>
              <w:snapToGrid w:val="0"/>
              <w:jc w:val="center"/>
              <w:rPr>
                <w:color w:val="000000" w:themeColor="text1"/>
                <w:szCs w:val="21"/>
              </w:rPr>
            </w:pPr>
            <w:r>
              <w:rPr>
                <w:rFonts w:hint="eastAsia"/>
                <w:color w:val="000000" w:themeColor="text1"/>
                <w:szCs w:val="21"/>
              </w:rPr>
              <w:t>3.0.4</w:t>
            </w:r>
          </w:p>
        </w:tc>
        <w:tc>
          <w:tcPr>
            <w:tcW w:w="702" w:type="dxa"/>
            <w:tcBorders>
              <w:tl2br w:val="nil"/>
              <w:tr2bl w:val="nil"/>
            </w:tcBorders>
            <w:vAlign w:val="center"/>
          </w:tcPr>
          <w:p w14:paraId="0DB0F787"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5914AE3D" w14:textId="77777777" w:rsidR="002D2AF8" w:rsidRDefault="00000000">
            <w:pPr>
              <w:pStyle w:val="affb"/>
              <w:spacing w:before="0" w:after="0"/>
              <w:jc w:val="both"/>
              <w:rPr>
                <w:color w:val="000000" w:themeColor="text1"/>
                <w:szCs w:val="21"/>
              </w:rPr>
            </w:pPr>
            <w:r>
              <w:rPr>
                <w:rFonts w:hint="eastAsia"/>
                <w:color w:val="000000" w:themeColor="text1"/>
                <w:szCs w:val="21"/>
              </w:rPr>
              <w:t>电气设备的金属底座、框架及外壳、配电箱均已接地。</w:t>
            </w:r>
          </w:p>
        </w:tc>
      </w:tr>
      <w:tr w:rsidR="002D2AF8" w14:paraId="72C3C6BC" w14:textId="77777777">
        <w:trPr>
          <w:jc w:val="center"/>
        </w:trPr>
        <w:tc>
          <w:tcPr>
            <w:tcW w:w="495" w:type="dxa"/>
            <w:tcBorders>
              <w:tl2br w:val="nil"/>
              <w:tr2bl w:val="nil"/>
            </w:tcBorders>
            <w:vAlign w:val="center"/>
          </w:tcPr>
          <w:p w14:paraId="3EC3E669"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7C6B2FF8" w14:textId="77777777" w:rsidR="002D2AF8" w:rsidRDefault="00000000">
            <w:pPr>
              <w:adjustRightInd w:val="0"/>
              <w:snapToGrid w:val="0"/>
              <w:jc w:val="left"/>
              <w:rPr>
                <w:color w:val="000000" w:themeColor="text1"/>
                <w:szCs w:val="21"/>
              </w:rPr>
            </w:pPr>
            <w:r>
              <w:rPr>
                <w:rFonts w:hint="eastAsia"/>
                <w:color w:val="000000" w:themeColor="text1"/>
                <w:szCs w:val="21"/>
              </w:rPr>
              <w:t>接地线不应作其他用途。</w:t>
            </w:r>
          </w:p>
        </w:tc>
        <w:tc>
          <w:tcPr>
            <w:tcW w:w="1692" w:type="dxa"/>
            <w:tcBorders>
              <w:tl2br w:val="nil"/>
              <w:tr2bl w:val="nil"/>
            </w:tcBorders>
            <w:vAlign w:val="center"/>
          </w:tcPr>
          <w:p w14:paraId="371C3787" w14:textId="77777777" w:rsidR="002D2AF8" w:rsidRDefault="00000000">
            <w:pPr>
              <w:adjustRightInd w:val="0"/>
              <w:snapToGrid w:val="0"/>
              <w:jc w:val="center"/>
              <w:rPr>
                <w:bCs/>
                <w:color w:val="000000" w:themeColor="text1"/>
                <w:szCs w:val="21"/>
              </w:rPr>
            </w:pPr>
            <w:r>
              <w:rPr>
                <w:rFonts w:hint="eastAsia"/>
                <w:bCs/>
                <w:color w:val="000000" w:themeColor="text1"/>
                <w:szCs w:val="21"/>
              </w:rPr>
              <w:t>GB50169-2016</w:t>
            </w:r>
          </w:p>
          <w:p w14:paraId="508B0863" w14:textId="77777777" w:rsidR="002D2AF8" w:rsidRDefault="00000000">
            <w:pPr>
              <w:adjustRightInd w:val="0"/>
              <w:snapToGrid w:val="0"/>
              <w:jc w:val="center"/>
              <w:rPr>
                <w:color w:val="000000" w:themeColor="text1"/>
                <w:szCs w:val="21"/>
              </w:rPr>
            </w:pPr>
            <w:r>
              <w:rPr>
                <w:rFonts w:hint="eastAsia"/>
                <w:color w:val="000000" w:themeColor="text1"/>
                <w:szCs w:val="21"/>
              </w:rPr>
              <w:t>3.0.10</w:t>
            </w:r>
          </w:p>
        </w:tc>
        <w:tc>
          <w:tcPr>
            <w:tcW w:w="702" w:type="dxa"/>
            <w:tcBorders>
              <w:tl2br w:val="nil"/>
              <w:tr2bl w:val="nil"/>
            </w:tcBorders>
            <w:vAlign w:val="center"/>
          </w:tcPr>
          <w:p w14:paraId="00CDAFB6"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6DDA8240" w14:textId="77777777" w:rsidR="002D2AF8" w:rsidRDefault="00000000">
            <w:pPr>
              <w:pStyle w:val="affb"/>
              <w:spacing w:before="0" w:after="0"/>
              <w:jc w:val="both"/>
              <w:rPr>
                <w:color w:val="000000" w:themeColor="text1"/>
                <w:szCs w:val="21"/>
              </w:rPr>
            </w:pPr>
            <w:r>
              <w:rPr>
                <w:rFonts w:hint="eastAsia"/>
                <w:color w:val="000000" w:themeColor="text1"/>
                <w:szCs w:val="21"/>
              </w:rPr>
              <w:t>不作其他用途。</w:t>
            </w:r>
          </w:p>
        </w:tc>
      </w:tr>
      <w:tr w:rsidR="002D2AF8" w14:paraId="64C36A9C" w14:textId="77777777">
        <w:trPr>
          <w:jc w:val="center"/>
        </w:trPr>
        <w:tc>
          <w:tcPr>
            <w:tcW w:w="495" w:type="dxa"/>
            <w:tcBorders>
              <w:tl2br w:val="nil"/>
              <w:tr2bl w:val="nil"/>
            </w:tcBorders>
            <w:vAlign w:val="center"/>
          </w:tcPr>
          <w:p w14:paraId="5BAC1ED8" w14:textId="77777777" w:rsidR="002D2AF8" w:rsidRDefault="002D2AF8">
            <w:pPr>
              <w:numPr>
                <w:ilvl w:val="0"/>
                <w:numId w:val="13"/>
              </w:numPr>
              <w:snapToGrid w:val="0"/>
              <w:spacing w:beforeLines="20" w:before="65" w:afterLines="20" w:after="65"/>
              <w:jc w:val="center"/>
              <w:rPr>
                <w:color w:val="000000" w:themeColor="text1"/>
                <w:szCs w:val="21"/>
              </w:rPr>
            </w:pPr>
          </w:p>
        </w:tc>
        <w:tc>
          <w:tcPr>
            <w:tcW w:w="3291" w:type="dxa"/>
            <w:tcBorders>
              <w:tl2br w:val="nil"/>
              <w:tr2bl w:val="nil"/>
            </w:tcBorders>
            <w:vAlign w:val="center"/>
          </w:tcPr>
          <w:p w14:paraId="75282ABE" w14:textId="77777777" w:rsidR="002D2AF8" w:rsidRDefault="00000000">
            <w:pPr>
              <w:adjustRightInd w:val="0"/>
              <w:snapToGrid w:val="0"/>
              <w:jc w:val="left"/>
              <w:rPr>
                <w:color w:val="000000" w:themeColor="text1"/>
                <w:szCs w:val="21"/>
              </w:rPr>
            </w:pPr>
            <w:r>
              <w:rPr>
                <w:rFonts w:hint="eastAsia"/>
                <w:color w:val="000000" w:themeColor="text1"/>
                <w:szCs w:val="21"/>
              </w:rPr>
              <w:t>严禁利用金属软管、管道保温层的金属外皮或金属网、低压照明网络的导线铅皮以及电缆金属护层作为接地线。</w:t>
            </w:r>
          </w:p>
        </w:tc>
        <w:tc>
          <w:tcPr>
            <w:tcW w:w="1692" w:type="dxa"/>
            <w:tcBorders>
              <w:tl2br w:val="nil"/>
              <w:tr2bl w:val="nil"/>
            </w:tcBorders>
            <w:vAlign w:val="center"/>
          </w:tcPr>
          <w:p w14:paraId="20FCB8E8" w14:textId="77777777" w:rsidR="002D2AF8" w:rsidRDefault="00000000">
            <w:pPr>
              <w:adjustRightInd w:val="0"/>
              <w:snapToGrid w:val="0"/>
              <w:jc w:val="center"/>
              <w:rPr>
                <w:bCs/>
                <w:color w:val="000000" w:themeColor="text1"/>
                <w:szCs w:val="21"/>
              </w:rPr>
            </w:pPr>
            <w:r>
              <w:rPr>
                <w:rFonts w:hint="eastAsia"/>
                <w:bCs/>
                <w:color w:val="000000" w:themeColor="text1"/>
                <w:szCs w:val="21"/>
              </w:rPr>
              <w:t>GB50169-2016</w:t>
            </w:r>
          </w:p>
          <w:p w14:paraId="1A4E55C1" w14:textId="77777777" w:rsidR="002D2AF8" w:rsidRDefault="00000000">
            <w:pPr>
              <w:adjustRightInd w:val="0"/>
              <w:snapToGrid w:val="0"/>
              <w:jc w:val="center"/>
              <w:rPr>
                <w:color w:val="000000" w:themeColor="text1"/>
                <w:szCs w:val="21"/>
              </w:rPr>
            </w:pPr>
            <w:r>
              <w:rPr>
                <w:rFonts w:hint="eastAsia"/>
                <w:color w:val="000000" w:themeColor="text1"/>
                <w:szCs w:val="21"/>
              </w:rPr>
              <w:t>4.1.8</w:t>
            </w:r>
          </w:p>
        </w:tc>
        <w:tc>
          <w:tcPr>
            <w:tcW w:w="702" w:type="dxa"/>
            <w:tcBorders>
              <w:tl2br w:val="nil"/>
              <w:tr2bl w:val="nil"/>
            </w:tcBorders>
            <w:vAlign w:val="center"/>
          </w:tcPr>
          <w:p w14:paraId="4A3C8CCD" w14:textId="77777777" w:rsidR="002D2AF8" w:rsidRDefault="00000000">
            <w:pPr>
              <w:adjustRightInd w:val="0"/>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0FF27D73" w14:textId="77777777" w:rsidR="002D2AF8" w:rsidRDefault="00000000">
            <w:pPr>
              <w:pStyle w:val="affb"/>
              <w:spacing w:before="0" w:after="0"/>
              <w:jc w:val="both"/>
              <w:rPr>
                <w:color w:val="000000" w:themeColor="text1"/>
                <w:szCs w:val="21"/>
              </w:rPr>
            </w:pPr>
            <w:r>
              <w:rPr>
                <w:rFonts w:hint="eastAsia"/>
                <w:color w:val="000000" w:themeColor="text1"/>
                <w:szCs w:val="21"/>
              </w:rPr>
              <w:t>采用圆钢或角钢。</w:t>
            </w:r>
          </w:p>
        </w:tc>
      </w:tr>
      <w:tr w:rsidR="002D2AF8" w14:paraId="2B3C5C70" w14:textId="77777777">
        <w:trPr>
          <w:jc w:val="center"/>
        </w:trPr>
        <w:tc>
          <w:tcPr>
            <w:tcW w:w="495" w:type="dxa"/>
            <w:tcBorders>
              <w:tl2br w:val="nil"/>
              <w:tr2bl w:val="nil"/>
            </w:tcBorders>
            <w:vAlign w:val="center"/>
          </w:tcPr>
          <w:p w14:paraId="37DDC79A" w14:textId="77777777" w:rsidR="002D2AF8" w:rsidRDefault="00000000">
            <w:pPr>
              <w:snapToGrid w:val="0"/>
              <w:spacing w:beforeLines="20" w:before="65" w:afterLines="20" w:after="65"/>
              <w:jc w:val="left"/>
              <w:rPr>
                <w:b/>
                <w:color w:val="000000" w:themeColor="text1"/>
                <w:szCs w:val="21"/>
              </w:rPr>
            </w:pPr>
            <w:r>
              <w:rPr>
                <w:rFonts w:hint="eastAsia"/>
                <w:b/>
                <w:color w:val="000000" w:themeColor="text1"/>
                <w:szCs w:val="21"/>
              </w:rPr>
              <w:t>四</w:t>
            </w:r>
          </w:p>
        </w:tc>
        <w:tc>
          <w:tcPr>
            <w:tcW w:w="3291" w:type="dxa"/>
            <w:tcBorders>
              <w:tl2br w:val="nil"/>
              <w:tr2bl w:val="nil"/>
            </w:tcBorders>
            <w:vAlign w:val="center"/>
          </w:tcPr>
          <w:p w14:paraId="523F2C1F" w14:textId="77777777" w:rsidR="002D2AF8" w:rsidRDefault="00000000">
            <w:pPr>
              <w:snapToGrid w:val="0"/>
              <w:rPr>
                <w:b/>
                <w:color w:val="000000" w:themeColor="text1"/>
                <w:szCs w:val="21"/>
              </w:rPr>
            </w:pPr>
            <w:r>
              <w:rPr>
                <w:b/>
                <w:color w:val="000000" w:themeColor="text1"/>
                <w:szCs w:val="21"/>
              </w:rPr>
              <w:t>施工过程安全管理</w:t>
            </w:r>
          </w:p>
        </w:tc>
        <w:tc>
          <w:tcPr>
            <w:tcW w:w="1692" w:type="dxa"/>
            <w:tcBorders>
              <w:tl2br w:val="nil"/>
              <w:tr2bl w:val="nil"/>
            </w:tcBorders>
            <w:vAlign w:val="center"/>
          </w:tcPr>
          <w:p w14:paraId="5C8C7E8C" w14:textId="77777777" w:rsidR="002D2AF8" w:rsidRDefault="002D2AF8">
            <w:pPr>
              <w:snapToGrid w:val="0"/>
              <w:rPr>
                <w:b/>
                <w:color w:val="000000" w:themeColor="text1"/>
                <w:szCs w:val="21"/>
              </w:rPr>
            </w:pPr>
          </w:p>
        </w:tc>
        <w:tc>
          <w:tcPr>
            <w:tcW w:w="702" w:type="dxa"/>
            <w:tcBorders>
              <w:tl2br w:val="nil"/>
              <w:tr2bl w:val="nil"/>
            </w:tcBorders>
            <w:vAlign w:val="center"/>
          </w:tcPr>
          <w:p w14:paraId="14DFA02C" w14:textId="77777777" w:rsidR="002D2AF8" w:rsidRDefault="002D2AF8">
            <w:pPr>
              <w:snapToGrid w:val="0"/>
              <w:rPr>
                <w:b/>
                <w:color w:val="000000" w:themeColor="text1"/>
                <w:szCs w:val="21"/>
              </w:rPr>
            </w:pPr>
          </w:p>
        </w:tc>
        <w:tc>
          <w:tcPr>
            <w:tcW w:w="2967" w:type="dxa"/>
            <w:tcBorders>
              <w:tl2br w:val="nil"/>
              <w:tr2bl w:val="nil"/>
            </w:tcBorders>
            <w:vAlign w:val="center"/>
          </w:tcPr>
          <w:p w14:paraId="62106D42" w14:textId="77777777" w:rsidR="002D2AF8" w:rsidRDefault="002D2AF8">
            <w:pPr>
              <w:snapToGrid w:val="0"/>
              <w:rPr>
                <w:b/>
                <w:color w:val="000000" w:themeColor="text1"/>
                <w:szCs w:val="21"/>
              </w:rPr>
            </w:pPr>
          </w:p>
        </w:tc>
      </w:tr>
      <w:tr w:rsidR="002D2AF8" w14:paraId="671784CD" w14:textId="77777777">
        <w:trPr>
          <w:jc w:val="center"/>
        </w:trPr>
        <w:tc>
          <w:tcPr>
            <w:tcW w:w="495" w:type="dxa"/>
            <w:tcBorders>
              <w:tl2br w:val="nil"/>
              <w:tr2bl w:val="nil"/>
            </w:tcBorders>
            <w:vAlign w:val="center"/>
          </w:tcPr>
          <w:p w14:paraId="45B2F7E6"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7DDD09C5" w14:textId="77777777" w:rsidR="002D2AF8" w:rsidRDefault="00000000">
            <w:pPr>
              <w:snapToGrid w:val="0"/>
              <w:rPr>
                <w:bCs/>
                <w:color w:val="000000" w:themeColor="text1"/>
                <w:szCs w:val="21"/>
              </w:rPr>
            </w:pPr>
            <w:r>
              <w:rPr>
                <w:bCs/>
                <w:color w:val="000000" w:themeColor="text1"/>
                <w:szCs w:val="21"/>
              </w:rPr>
              <w:t>井场配备齐全消防器材。</w:t>
            </w:r>
          </w:p>
        </w:tc>
        <w:tc>
          <w:tcPr>
            <w:tcW w:w="1692" w:type="dxa"/>
            <w:tcBorders>
              <w:tl2br w:val="nil"/>
              <w:tr2bl w:val="nil"/>
            </w:tcBorders>
            <w:vAlign w:val="center"/>
          </w:tcPr>
          <w:p w14:paraId="23CCB4E4" w14:textId="77777777" w:rsidR="002D2AF8" w:rsidRDefault="00000000">
            <w:pPr>
              <w:snapToGrid w:val="0"/>
              <w:jc w:val="center"/>
              <w:rPr>
                <w:color w:val="000000" w:themeColor="text1"/>
                <w:szCs w:val="21"/>
              </w:rPr>
            </w:pPr>
            <w:r>
              <w:rPr>
                <w:color w:val="000000" w:themeColor="text1"/>
                <w:szCs w:val="21"/>
              </w:rPr>
              <w:t>SY/T5923-2012</w:t>
            </w:r>
          </w:p>
          <w:p w14:paraId="7F445F13" w14:textId="77777777" w:rsidR="002D2AF8" w:rsidRDefault="00000000">
            <w:pPr>
              <w:snapToGrid w:val="0"/>
              <w:jc w:val="center"/>
              <w:rPr>
                <w:bCs/>
                <w:color w:val="000000" w:themeColor="text1"/>
                <w:szCs w:val="21"/>
              </w:rPr>
            </w:pPr>
            <w:r>
              <w:rPr>
                <w:bCs/>
                <w:color w:val="000000" w:themeColor="text1"/>
                <w:szCs w:val="21"/>
              </w:rPr>
              <w:t>10.1.1</w:t>
            </w:r>
          </w:p>
        </w:tc>
        <w:tc>
          <w:tcPr>
            <w:tcW w:w="702" w:type="dxa"/>
            <w:tcBorders>
              <w:tl2br w:val="nil"/>
              <w:tr2bl w:val="nil"/>
            </w:tcBorders>
            <w:vAlign w:val="center"/>
          </w:tcPr>
          <w:p w14:paraId="7D004A58"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0F310849" w14:textId="77777777" w:rsidR="002D2AF8" w:rsidRDefault="00000000">
            <w:pPr>
              <w:snapToGrid w:val="0"/>
              <w:rPr>
                <w:color w:val="000000" w:themeColor="text1"/>
                <w:szCs w:val="21"/>
              </w:rPr>
            </w:pPr>
            <w:r>
              <w:rPr>
                <w:rFonts w:hint="eastAsia"/>
                <w:color w:val="000000" w:themeColor="text1"/>
                <w:szCs w:val="21"/>
              </w:rPr>
              <w:t>2</w:t>
            </w:r>
            <w:r>
              <w:rPr>
                <w:rFonts w:hint="eastAsia"/>
                <w:color w:val="000000" w:themeColor="text1"/>
                <w:szCs w:val="21"/>
              </w:rPr>
              <w:t>个</w:t>
            </w:r>
            <w:r>
              <w:rPr>
                <w:rFonts w:hint="eastAsia"/>
                <w:color w:val="000000" w:themeColor="text1"/>
                <w:szCs w:val="21"/>
              </w:rPr>
              <w:t>8kg</w:t>
            </w:r>
            <w:r>
              <w:rPr>
                <w:rFonts w:hint="eastAsia"/>
                <w:color w:val="000000" w:themeColor="text1"/>
                <w:szCs w:val="21"/>
              </w:rPr>
              <w:t>手提式干粉灭火器。</w:t>
            </w:r>
          </w:p>
        </w:tc>
      </w:tr>
      <w:tr w:rsidR="002D2AF8" w14:paraId="43B181B5" w14:textId="77777777">
        <w:trPr>
          <w:jc w:val="center"/>
        </w:trPr>
        <w:tc>
          <w:tcPr>
            <w:tcW w:w="495" w:type="dxa"/>
            <w:tcBorders>
              <w:tl2br w:val="nil"/>
              <w:tr2bl w:val="nil"/>
            </w:tcBorders>
            <w:vAlign w:val="center"/>
          </w:tcPr>
          <w:p w14:paraId="0C4E93BA"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3D860596" w14:textId="77777777" w:rsidR="002D2AF8" w:rsidRDefault="00000000">
            <w:pPr>
              <w:snapToGrid w:val="0"/>
              <w:jc w:val="left"/>
              <w:rPr>
                <w:color w:val="000000" w:themeColor="text1"/>
                <w:szCs w:val="21"/>
              </w:rPr>
            </w:pPr>
            <w:r>
              <w:rPr>
                <w:color w:val="000000" w:themeColor="text1"/>
                <w:szCs w:val="21"/>
              </w:rPr>
              <w:t>施工作业人员应经相应的岗位技能培训，培训合格方可上岗。</w:t>
            </w:r>
          </w:p>
        </w:tc>
        <w:tc>
          <w:tcPr>
            <w:tcW w:w="1692" w:type="dxa"/>
            <w:tcBorders>
              <w:tl2br w:val="nil"/>
              <w:tr2bl w:val="nil"/>
            </w:tcBorders>
            <w:vAlign w:val="center"/>
          </w:tcPr>
          <w:p w14:paraId="59911C1D" w14:textId="77777777" w:rsidR="002D2AF8" w:rsidRDefault="00000000">
            <w:pPr>
              <w:snapToGrid w:val="0"/>
              <w:jc w:val="center"/>
              <w:rPr>
                <w:color w:val="000000" w:themeColor="text1"/>
                <w:szCs w:val="21"/>
              </w:rPr>
            </w:pPr>
            <w:r>
              <w:rPr>
                <w:color w:val="000000" w:themeColor="text1"/>
                <w:szCs w:val="21"/>
              </w:rPr>
              <w:t>SY/T5727-2020</w:t>
            </w:r>
          </w:p>
          <w:p w14:paraId="2EF06F76" w14:textId="77777777" w:rsidR="002D2AF8" w:rsidRDefault="00000000">
            <w:pPr>
              <w:snapToGrid w:val="0"/>
              <w:jc w:val="center"/>
              <w:rPr>
                <w:color w:val="000000" w:themeColor="text1"/>
                <w:szCs w:val="21"/>
              </w:rPr>
            </w:pPr>
            <w:r>
              <w:rPr>
                <w:color w:val="000000" w:themeColor="text1"/>
                <w:szCs w:val="21"/>
              </w:rPr>
              <w:t>4.1.1</w:t>
            </w:r>
          </w:p>
        </w:tc>
        <w:tc>
          <w:tcPr>
            <w:tcW w:w="702" w:type="dxa"/>
            <w:tcBorders>
              <w:tl2br w:val="nil"/>
              <w:tr2bl w:val="nil"/>
            </w:tcBorders>
            <w:vAlign w:val="center"/>
          </w:tcPr>
          <w:p w14:paraId="58F0BD0F" w14:textId="77777777" w:rsidR="002D2AF8" w:rsidRDefault="00000000">
            <w:pPr>
              <w:snapToGrid w:val="0"/>
              <w:jc w:val="center"/>
              <w:rPr>
                <w:color w:val="000000" w:themeColor="text1"/>
                <w:szCs w:val="21"/>
              </w:rPr>
            </w:pPr>
            <w:r>
              <w:rPr>
                <w:color w:val="000000" w:themeColor="text1"/>
                <w:szCs w:val="21"/>
              </w:rPr>
              <w:t>√</w:t>
            </w:r>
          </w:p>
        </w:tc>
        <w:tc>
          <w:tcPr>
            <w:tcW w:w="2967" w:type="dxa"/>
            <w:tcBorders>
              <w:tl2br w:val="nil"/>
              <w:tr2bl w:val="nil"/>
            </w:tcBorders>
            <w:vAlign w:val="center"/>
          </w:tcPr>
          <w:p w14:paraId="2691D552" w14:textId="77777777" w:rsidR="002D2AF8" w:rsidRDefault="00000000">
            <w:pPr>
              <w:snapToGrid w:val="0"/>
              <w:rPr>
                <w:color w:val="000000" w:themeColor="text1"/>
                <w:szCs w:val="21"/>
              </w:rPr>
            </w:pPr>
            <w:r>
              <w:rPr>
                <w:color w:val="000000" w:themeColor="text1"/>
                <w:szCs w:val="21"/>
              </w:rPr>
              <w:t>现场作业人员持</w:t>
            </w:r>
            <w:r>
              <w:rPr>
                <w:color w:val="000000" w:themeColor="text1"/>
                <w:szCs w:val="21"/>
              </w:rPr>
              <w:t>“</w:t>
            </w:r>
            <w:r>
              <w:rPr>
                <w:color w:val="000000" w:themeColor="text1"/>
                <w:szCs w:val="21"/>
              </w:rPr>
              <w:t>三证</w:t>
            </w:r>
            <w:r>
              <w:rPr>
                <w:color w:val="000000" w:themeColor="text1"/>
                <w:szCs w:val="21"/>
              </w:rPr>
              <w:t>”</w:t>
            </w:r>
            <w:r>
              <w:rPr>
                <w:color w:val="000000" w:themeColor="text1"/>
                <w:szCs w:val="21"/>
              </w:rPr>
              <w:t>上岗。</w:t>
            </w:r>
          </w:p>
        </w:tc>
      </w:tr>
      <w:tr w:rsidR="002D2AF8" w14:paraId="598A659C" w14:textId="77777777">
        <w:trPr>
          <w:jc w:val="center"/>
        </w:trPr>
        <w:tc>
          <w:tcPr>
            <w:tcW w:w="495" w:type="dxa"/>
            <w:tcBorders>
              <w:tl2br w:val="nil"/>
              <w:tr2bl w:val="nil"/>
            </w:tcBorders>
            <w:vAlign w:val="center"/>
          </w:tcPr>
          <w:p w14:paraId="0BC9CB35"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57856A8C" w14:textId="77777777" w:rsidR="002D2AF8" w:rsidRDefault="00000000">
            <w:pPr>
              <w:snapToGrid w:val="0"/>
              <w:jc w:val="left"/>
              <w:rPr>
                <w:color w:val="000000" w:themeColor="text1"/>
                <w:szCs w:val="21"/>
              </w:rPr>
            </w:pPr>
            <w:r>
              <w:rPr>
                <w:color w:val="000000" w:themeColor="text1"/>
                <w:szCs w:val="21"/>
              </w:rPr>
              <w:t>进入现场人员应正确穿戴和使用劳动防护用品及其他防护用具，并做好安全防护设施的维护。高处作业者应系安全带，并将随身携带的工具系上防掉绳，作业前将安全带在井架上系牢。</w:t>
            </w:r>
          </w:p>
        </w:tc>
        <w:tc>
          <w:tcPr>
            <w:tcW w:w="1692" w:type="dxa"/>
            <w:tcBorders>
              <w:tl2br w:val="nil"/>
              <w:tr2bl w:val="nil"/>
            </w:tcBorders>
            <w:vAlign w:val="center"/>
          </w:tcPr>
          <w:p w14:paraId="345562D6" w14:textId="77777777" w:rsidR="002D2AF8" w:rsidRDefault="00000000">
            <w:pPr>
              <w:snapToGrid w:val="0"/>
              <w:jc w:val="center"/>
              <w:rPr>
                <w:color w:val="000000" w:themeColor="text1"/>
                <w:szCs w:val="21"/>
              </w:rPr>
            </w:pPr>
            <w:r>
              <w:rPr>
                <w:color w:val="000000" w:themeColor="text1"/>
                <w:szCs w:val="21"/>
              </w:rPr>
              <w:t>SY/T5727-2020</w:t>
            </w:r>
          </w:p>
          <w:p w14:paraId="4ABD8DC0" w14:textId="77777777" w:rsidR="002D2AF8" w:rsidRDefault="00000000">
            <w:pPr>
              <w:snapToGrid w:val="0"/>
              <w:jc w:val="center"/>
              <w:rPr>
                <w:color w:val="000000" w:themeColor="text1"/>
                <w:szCs w:val="21"/>
              </w:rPr>
            </w:pPr>
            <w:r>
              <w:rPr>
                <w:color w:val="000000" w:themeColor="text1"/>
                <w:szCs w:val="21"/>
              </w:rPr>
              <w:t>4.1.2</w:t>
            </w:r>
          </w:p>
        </w:tc>
        <w:tc>
          <w:tcPr>
            <w:tcW w:w="702" w:type="dxa"/>
            <w:tcBorders>
              <w:tl2br w:val="nil"/>
              <w:tr2bl w:val="nil"/>
            </w:tcBorders>
            <w:vAlign w:val="center"/>
          </w:tcPr>
          <w:p w14:paraId="64F3C8B4" w14:textId="77777777" w:rsidR="002D2AF8" w:rsidRDefault="00000000">
            <w:pPr>
              <w:snapToGrid w:val="0"/>
              <w:jc w:val="center"/>
              <w:rPr>
                <w:color w:val="000000" w:themeColor="text1"/>
                <w:szCs w:val="21"/>
              </w:rPr>
            </w:pPr>
            <w:r>
              <w:rPr>
                <w:color w:val="000000" w:themeColor="text1"/>
              </w:rPr>
              <w:t>√</w:t>
            </w:r>
          </w:p>
        </w:tc>
        <w:tc>
          <w:tcPr>
            <w:tcW w:w="2967" w:type="dxa"/>
            <w:tcBorders>
              <w:tl2br w:val="nil"/>
              <w:tr2bl w:val="nil"/>
            </w:tcBorders>
            <w:vAlign w:val="center"/>
          </w:tcPr>
          <w:p w14:paraId="776785F1" w14:textId="77777777" w:rsidR="002D2AF8" w:rsidRDefault="00000000">
            <w:pPr>
              <w:snapToGrid w:val="0"/>
              <w:rPr>
                <w:color w:val="000000" w:themeColor="text1"/>
                <w:szCs w:val="21"/>
              </w:rPr>
            </w:pPr>
            <w:r>
              <w:rPr>
                <w:color w:val="000000" w:themeColor="text1"/>
                <w:szCs w:val="21"/>
              </w:rPr>
              <w:t>正确穿戴和使用劳动防护用品及其他防护用具。</w:t>
            </w:r>
          </w:p>
        </w:tc>
      </w:tr>
      <w:tr w:rsidR="002D2AF8" w14:paraId="4621FD8E" w14:textId="77777777">
        <w:trPr>
          <w:jc w:val="center"/>
        </w:trPr>
        <w:tc>
          <w:tcPr>
            <w:tcW w:w="495" w:type="dxa"/>
            <w:tcBorders>
              <w:tl2br w:val="nil"/>
              <w:tr2bl w:val="nil"/>
            </w:tcBorders>
            <w:vAlign w:val="center"/>
          </w:tcPr>
          <w:p w14:paraId="2D6903A4"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30BD689F" w14:textId="77777777" w:rsidR="002D2AF8" w:rsidRDefault="00000000">
            <w:pPr>
              <w:snapToGrid w:val="0"/>
              <w:jc w:val="left"/>
              <w:rPr>
                <w:color w:val="000000" w:themeColor="text1"/>
                <w:szCs w:val="21"/>
              </w:rPr>
            </w:pPr>
            <w:r>
              <w:rPr>
                <w:color w:val="000000" w:themeColor="text1"/>
                <w:szCs w:val="21"/>
              </w:rPr>
              <w:t>应根据井下作业地质设计、工程设计编制施工设计，并按企业规定分级审批。</w:t>
            </w:r>
          </w:p>
        </w:tc>
        <w:tc>
          <w:tcPr>
            <w:tcW w:w="1692" w:type="dxa"/>
            <w:tcBorders>
              <w:tl2br w:val="nil"/>
              <w:tr2bl w:val="nil"/>
            </w:tcBorders>
            <w:vAlign w:val="center"/>
          </w:tcPr>
          <w:p w14:paraId="6D635E85" w14:textId="77777777" w:rsidR="002D2AF8" w:rsidRDefault="00000000">
            <w:pPr>
              <w:snapToGrid w:val="0"/>
              <w:jc w:val="center"/>
              <w:rPr>
                <w:color w:val="000000" w:themeColor="text1"/>
                <w:szCs w:val="21"/>
              </w:rPr>
            </w:pPr>
            <w:r>
              <w:rPr>
                <w:color w:val="000000" w:themeColor="text1"/>
                <w:szCs w:val="21"/>
              </w:rPr>
              <w:t>SY/T5727-2020</w:t>
            </w:r>
          </w:p>
          <w:p w14:paraId="182E0E74" w14:textId="77777777" w:rsidR="002D2AF8" w:rsidRDefault="00000000">
            <w:pPr>
              <w:snapToGrid w:val="0"/>
              <w:jc w:val="center"/>
              <w:rPr>
                <w:color w:val="000000" w:themeColor="text1"/>
                <w:szCs w:val="21"/>
              </w:rPr>
            </w:pPr>
            <w:r>
              <w:rPr>
                <w:color w:val="000000" w:themeColor="text1"/>
                <w:szCs w:val="21"/>
              </w:rPr>
              <w:t>4.1.5</w:t>
            </w:r>
          </w:p>
        </w:tc>
        <w:tc>
          <w:tcPr>
            <w:tcW w:w="702" w:type="dxa"/>
            <w:tcBorders>
              <w:tl2br w:val="nil"/>
              <w:tr2bl w:val="nil"/>
            </w:tcBorders>
            <w:vAlign w:val="center"/>
          </w:tcPr>
          <w:p w14:paraId="39ED2E9D" w14:textId="77777777" w:rsidR="002D2AF8" w:rsidRDefault="00000000">
            <w:pPr>
              <w:snapToGrid w:val="0"/>
              <w:jc w:val="center"/>
              <w:rPr>
                <w:color w:val="000000" w:themeColor="text1"/>
                <w:szCs w:val="21"/>
              </w:rPr>
            </w:pPr>
            <w:r>
              <w:rPr>
                <w:color w:val="000000" w:themeColor="text1"/>
              </w:rPr>
              <w:t>√</w:t>
            </w:r>
          </w:p>
        </w:tc>
        <w:tc>
          <w:tcPr>
            <w:tcW w:w="2967" w:type="dxa"/>
            <w:tcBorders>
              <w:tl2br w:val="nil"/>
              <w:tr2bl w:val="nil"/>
            </w:tcBorders>
            <w:vAlign w:val="center"/>
          </w:tcPr>
          <w:p w14:paraId="5B2218E5" w14:textId="77777777" w:rsidR="002D2AF8" w:rsidRDefault="00000000">
            <w:pPr>
              <w:snapToGrid w:val="0"/>
              <w:rPr>
                <w:color w:val="000000" w:themeColor="text1"/>
                <w:szCs w:val="21"/>
              </w:rPr>
            </w:pPr>
            <w:r>
              <w:rPr>
                <w:color w:val="000000" w:themeColor="text1"/>
                <w:szCs w:val="21"/>
              </w:rPr>
              <w:t>编制施工作业指导书等并经审批。</w:t>
            </w:r>
          </w:p>
        </w:tc>
      </w:tr>
      <w:tr w:rsidR="002D2AF8" w14:paraId="2E0D043F" w14:textId="77777777">
        <w:trPr>
          <w:jc w:val="center"/>
        </w:trPr>
        <w:tc>
          <w:tcPr>
            <w:tcW w:w="495" w:type="dxa"/>
            <w:tcBorders>
              <w:tl2br w:val="nil"/>
              <w:tr2bl w:val="nil"/>
            </w:tcBorders>
            <w:vAlign w:val="center"/>
          </w:tcPr>
          <w:p w14:paraId="21090DCD"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73632372" w14:textId="77777777" w:rsidR="002D2AF8" w:rsidRDefault="00000000">
            <w:pPr>
              <w:snapToGrid w:val="0"/>
              <w:jc w:val="left"/>
              <w:rPr>
                <w:color w:val="000000" w:themeColor="text1"/>
                <w:szCs w:val="21"/>
              </w:rPr>
            </w:pPr>
            <w:r>
              <w:rPr>
                <w:color w:val="000000" w:themeColor="text1"/>
                <w:szCs w:val="21"/>
              </w:rPr>
              <w:t>根据施工环境变化应进行风险识别、评估，采取风险控制措施并制订应急预案。</w:t>
            </w:r>
          </w:p>
        </w:tc>
        <w:tc>
          <w:tcPr>
            <w:tcW w:w="1692" w:type="dxa"/>
            <w:tcBorders>
              <w:tl2br w:val="nil"/>
              <w:tr2bl w:val="nil"/>
            </w:tcBorders>
            <w:vAlign w:val="center"/>
          </w:tcPr>
          <w:p w14:paraId="3D53D289" w14:textId="77777777" w:rsidR="002D2AF8" w:rsidRDefault="00000000">
            <w:pPr>
              <w:snapToGrid w:val="0"/>
              <w:jc w:val="center"/>
              <w:rPr>
                <w:color w:val="000000" w:themeColor="text1"/>
                <w:szCs w:val="21"/>
              </w:rPr>
            </w:pPr>
            <w:r>
              <w:rPr>
                <w:color w:val="000000" w:themeColor="text1"/>
                <w:szCs w:val="21"/>
              </w:rPr>
              <w:t>SY/T5727-2020</w:t>
            </w:r>
          </w:p>
          <w:p w14:paraId="53C0B101" w14:textId="77777777" w:rsidR="002D2AF8" w:rsidRDefault="00000000">
            <w:pPr>
              <w:snapToGrid w:val="0"/>
              <w:jc w:val="center"/>
              <w:rPr>
                <w:color w:val="000000" w:themeColor="text1"/>
                <w:szCs w:val="21"/>
              </w:rPr>
            </w:pPr>
            <w:r>
              <w:rPr>
                <w:color w:val="000000" w:themeColor="text1"/>
                <w:szCs w:val="21"/>
              </w:rPr>
              <w:t>4.1.6</w:t>
            </w:r>
          </w:p>
        </w:tc>
        <w:tc>
          <w:tcPr>
            <w:tcW w:w="702" w:type="dxa"/>
            <w:tcBorders>
              <w:tl2br w:val="nil"/>
              <w:tr2bl w:val="nil"/>
            </w:tcBorders>
            <w:vAlign w:val="center"/>
          </w:tcPr>
          <w:p w14:paraId="22534809" w14:textId="77777777" w:rsidR="002D2AF8" w:rsidRDefault="00000000">
            <w:pPr>
              <w:snapToGrid w:val="0"/>
              <w:jc w:val="center"/>
              <w:rPr>
                <w:color w:val="000000" w:themeColor="text1"/>
                <w:szCs w:val="21"/>
              </w:rPr>
            </w:pPr>
            <w:r>
              <w:rPr>
                <w:color w:val="000000" w:themeColor="text1"/>
              </w:rPr>
              <w:t>√</w:t>
            </w:r>
          </w:p>
        </w:tc>
        <w:tc>
          <w:tcPr>
            <w:tcW w:w="2967" w:type="dxa"/>
            <w:tcBorders>
              <w:tl2br w:val="nil"/>
              <w:tr2bl w:val="nil"/>
            </w:tcBorders>
            <w:vAlign w:val="center"/>
          </w:tcPr>
          <w:p w14:paraId="6FFF3E7C" w14:textId="77777777" w:rsidR="002D2AF8" w:rsidRDefault="00000000">
            <w:pPr>
              <w:snapToGrid w:val="0"/>
              <w:rPr>
                <w:color w:val="000000" w:themeColor="text1"/>
                <w:szCs w:val="21"/>
              </w:rPr>
            </w:pPr>
            <w:r>
              <w:rPr>
                <w:color w:val="000000" w:themeColor="text1"/>
                <w:szCs w:val="20"/>
              </w:rPr>
              <w:t>已制订</w:t>
            </w:r>
            <w:r>
              <w:rPr>
                <w:color w:val="000000" w:themeColor="text1"/>
                <w:szCs w:val="21"/>
              </w:rPr>
              <w:t>应急预案。</w:t>
            </w:r>
          </w:p>
        </w:tc>
      </w:tr>
      <w:tr w:rsidR="002D2AF8" w14:paraId="5EFB7D6C" w14:textId="77777777">
        <w:trPr>
          <w:jc w:val="center"/>
        </w:trPr>
        <w:tc>
          <w:tcPr>
            <w:tcW w:w="495" w:type="dxa"/>
            <w:tcBorders>
              <w:tl2br w:val="nil"/>
              <w:tr2bl w:val="nil"/>
            </w:tcBorders>
            <w:vAlign w:val="center"/>
          </w:tcPr>
          <w:p w14:paraId="4468BFA0"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018C35B2" w14:textId="77777777" w:rsidR="002D2AF8" w:rsidRDefault="00000000">
            <w:pPr>
              <w:snapToGrid w:val="0"/>
              <w:jc w:val="left"/>
              <w:rPr>
                <w:color w:val="000000" w:themeColor="text1"/>
                <w:szCs w:val="21"/>
              </w:rPr>
            </w:pPr>
            <w:r>
              <w:rPr>
                <w:color w:val="000000" w:themeColor="text1"/>
                <w:szCs w:val="21"/>
              </w:rPr>
              <w:t>按施工设计要求做好施工前准备，经开工验收合格方可开工。</w:t>
            </w:r>
          </w:p>
        </w:tc>
        <w:tc>
          <w:tcPr>
            <w:tcW w:w="1692" w:type="dxa"/>
            <w:tcBorders>
              <w:tl2br w:val="nil"/>
              <w:tr2bl w:val="nil"/>
            </w:tcBorders>
            <w:vAlign w:val="center"/>
          </w:tcPr>
          <w:p w14:paraId="7AF49599" w14:textId="77777777" w:rsidR="002D2AF8" w:rsidRDefault="00000000">
            <w:pPr>
              <w:snapToGrid w:val="0"/>
              <w:jc w:val="center"/>
              <w:rPr>
                <w:color w:val="000000" w:themeColor="text1"/>
                <w:szCs w:val="21"/>
              </w:rPr>
            </w:pPr>
            <w:r>
              <w:rPr>
                <w:color w:val="000000" w:themeColor="text1"/>
                <w:szCs w:val="21"/>
              </w:rPr>
              <w:t>SY/T5727-2020</w:t>
            </w:r>
          </w:p>
          <w:p w14:paraId="141C07AC" w14:textId="77777777" w:rsidR="002D2AF8" w:rsidRDefault="00000000">
            <w:pPr>
              <w:snapToGrid w:val="0"/>
              <w:jc w:val="center"/>
              <w:rPr>
                <w:color w:val="000000" w:themeColor="text1"/>
                <w:szCs w:val="21"/>
              </w:rPr>
            </w:pPr>
            <w:r>
              <w:rPr>
                <w:color w:val="000000" w:themeColor="text1"/>
                <w:szCs w:val="21"/>
              </w:rPr>
              <w:t>4.1.7</w:t>
            </w:r>
          </w:p>
        </w:tc>
        <w:tc>
          <w:tcPr>
            <w:tcW w:w="702" w:type="dxa"/>
            <w:tcBorders>
              <w:tl2br w:val="nil"/>
              <w:tr2bl w:val="nil"/>
            </w:tcBorders>
            <w:vAlign w:val="center"/>
          </w:tcPr>
          <w:p w14:paraId="125EFE85" w14:textId="77777777" w:rsidR="002D2AF8" w:rsidRDefault="00000000">
            <w:pPr>
              <w:snapToGrid w:val="0"/>
              <w:jc w:val="center"/>
              <w:rPr>
                <w:color w:val="000000" w:themeColor="text1"/>
                <w:szCs w:val="21"/>
              </w:rPr>
            </w:pPr>
            <w:r>
              <w:rPr>
                <w:color w:val="000000" w:themeColor="text1"/>
              </w:rPr>
              <w:t>√</w:t>
            </w:r>
          </w:p>
        </w:tc>
        <w:tc>
          <w:tcPr>
            <w:tcW w:w="2967" w:type="dxa"/>
            <w:tcBorders>
              <w:tl2br w:val="nil"/>
              <w:tr2bl w:val="nil"/>
            </w:tcBorders>
            <w:vAlign w:val="center"/>
          </w:tcPr>
          <w:p w14:paraId="6156EE29" w14:textId="77777777" w:rsidR="002D2AF8" w:rsidRDefault="00000000">
            <w:pPr>
              <w:snapToGrid w:val="0"/>
              <w:rPr>
                <w:color w:val="000000" w:themeColor="text1"/>
                <w:szCs w:val="21"/>
              </w:rPr>
            </w:pPr>
            <w:r>
              <w:rPr>
                <w:color w:val="000000" w:themeColor="text1"/>
                <w:szCs w:val="21"/>
              </w:rPr>
              <w:t>经现场检查，施工经开工验收合格，并留存开工验收单。</w:t>
            </w:r>
          </w:p>
        </w:tc>
      </w:tr>
      <w:tr w:rsidR="002D2AF8" w14:paraId="4154D726" w14:textId="77777777">
        <w:trPr>
          <w:jc w:val="center"/>
        </w:trPr>
        <w:tc>
          <w:tcPr>
            <w:tcW w:w="495" w:type="dxa"/>
            <w:tcBorders>
              <w:tl2br w:val="nil"/>
              <w:tr2bl w:val="nil"/>
            </w:tcBorders>
            <w:vAlign w:val="center"/>
          </w:tcPr>
          <w:p w14:paraId="710792F7"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4A9DFBCD" w14:textId="77777777" w:rsidR="002D2AF8" w:rsidRDefault="00000000">
            <w:pPr>
              <w:snapToGrid w:val="0"/>
              <w:jc w:val="left"/>
              <w:rPr>
                <w:color w:val="000000" w:themeColor="text1"/>
                <w:szCs w:val="21"/>
              </w:rPr>
            </w:pPr>
            <w:r>
              <w:rPr>
                <w:color w:val="000000" w:themeColor="text1"/>
                <w:szCs w:val="21"/>
              </w:rPr>
              <w:t>个人防护用具、气体监测仪器的配备、使用操作、应急抢险和紧急疏散应符合</w:t>
            </w:r>
            <w:r>
              <w:rPr>
                <w:color w:val="000000" w:themeColor="text1"/>
                <w:szCs w:val="21"/>
              </w:rPr>
              <w:t>SY/T 6610-2017</w:t>
            </w:r>
            <w:r>
              <w:rPr>
                <w:color w:val="000000" w:themeColor="text1"/>
                <w:szCs w:val="21"/>
              </w:rPr>
              <w:t>中</w:t>
            </w:r>
            <w:r>
              <w:rPr>
                <w:color w:val="000000" w:themeColor="text1"/>
                <w:szCs w:val="21"/>
              </w:rPr>
              <w:lastRenderedPageBreak/>
              <w:t>第</w:t>
            </w:r>
            <w:r>
              <w:rPr>
                <w:color w:val="000000" w:themeColor="text1"/>
                <w:szCs w:val="21"/>
              </w:rPr>
              <w:t>5</w:t>
            </w:r>
            <w:r>
              <w:rPr>
                <w:color w:val="000000" w:themeColor="text1"/>
                <w:szCs w:val="21"/>
              </w:rPr>
              <w:t>章、第</w:t>
            </w:r>
            <w:r>
              <w:rPr>
                <w:color w:val="000000" w:themeColor="text1"/>
                <w:szCs w:val="21"/>
              </w:rPr>
              <w:t>6</w:t>
            </w:r>
            <w:r>
              <w:rPr>
                <w:color w:val="000000" w:themeColor="text1"/>
                <w:szCs w:val="21"/>
              </w:rPr>
              <w:t>章、第</w:t>
            </w:r>
            <w:r>
              <w:rPr>
                <w:color w:val="000000" w:themeColor="text1"/>
                <w:szCs w:val="21"/>
              </w:rPr>
              <w:t>7</w:t>
            </w:r>
            <w:r>
              <w:rPr>
                <w:color w:val="000000" w:themeColor="text1"/>
                <w:szCs w:val="21"/>
              </w:rPr>
              <w:t>章的规定。</w:t>
            </w:r>
          </w:p>
        </w:tc>
        <w:tc>
          <w:tcPr>
            <w:tcW w:w="1692" w:type="dxa"/>
            <w:tcBorders>
              <w:tl2br w:val="nil"/>
              <w:tr2bl w:val="nil"/>
            </w:tcBorders>
            <w:vAlign w:val="center"/>
          </w:tcPr>
          <w:p w14:paraId="29D1BADF" w14:textId="77777777" w:rsidR="002D2AF8" w:rsidRDefault="00000000">
            <w:pPr>
              <w:snapToGrid w:val="0"/>
              <w:jc w:val="center"/>
              <w:rPr>
                <w:color w:val="000000" w:themeColor="text1"/>
                <w:szCs w:val="21"/>
              </w:rPr>
            </w:pPr>
            <w:r>
              <w:rPr>
                <w:color w:val="000000" w:themeColor="text1"/>
                <w:szCs w:val="21"/>
              </w:rPr>
              <w:lastRenderedPageBreak/>
              <w:t>SY/T5727-2020</w:t>
            </w:r>
          </w:p>
          <w:p w14:paraId="6DFAB6DB" w14:textId="77777777" w:rsidR="002D2AF8" w:rsidRDefault="00000000">
            <w:pPr>
              <w:snapToGrid w:val="0"/>
              <w:jc w:val="center"/>
              <w:rPr>
                <w:color w:val="000000" w:themeColor="text1"/>
                <w:szCs w:val="21"/>
              </w:rPr>
            </w:pPr>
            <w:r>
              <w:rPr>
                <w:color w:val="000000" w:themeColor="text1"/>
                <w:szCs w:val="21"/>
              </w:rPr>
              <w:t>4.6.3</w:t>
            </w:r>
          </w:p>
        </w:tc>
        <w:tc>
          <w:tcPr>
            <w:tcW w:w="702" w:type="dxa"/>
            <w:tcBorders>
              <w:tl2br w:val="nil"/>
              <w:tr2bl w:val="nil"/>
            </w:tcBorders>
            <w:vAlign w:val="center"/>
          </w:tcPr>
          <w:p w14:paraId="4645D217" w14:textId="77777777" w:rsidR="002D2AF8" w:rsidRDefault="00000000">
            <w:pPr>
              <w:snapToGrid w:val="0"/>
              <w:jc w:val="center"/>
              <w:rPr>
                <w:color w:val="000000" w:themeColor="text1"/>
                <w:szCs w:val="21"/>
              </w:rPr>
            </w:pPr>
            <w:r>
              <w:rPr>
                <w:color w:val="000000" w:themeColor="text1"/>
              </w:rPr>
              <w:t>√</w:t>
            </w:r>
          </w:p>
        </w:tc>
        <w:tc>
          <w:tcPr>
            <w:tcW w:w="2967" w:type="dxa"/>
            <w:tcBorders>
              <w:tl2br w:val="nil"/>
              <w:tr2bl w:val="nil"/>
            </w:tcBorders>
            <w:vAlign w:val="center"/>
          </w:tcPr>
          <w:p w14:paraId="7F9990CC" w14:textId="77777777" w:rsidR="002D2AF8" w:rsidRDefault="00000000">
            <w:pPr>
              <w:snapToGrid w:val="0"/>
              <w:rPr>
                <w:color w:val="000000" w:themeColor="text1"/>
                <w:szCs w:val="21"/>
              </w:rPr>
            </w:pPr>
            <w:r>
              <w:rPr>
                <w:color w:val="000000" w:themeColor="text1"/>
                <w:szCs w:val="21"/>
              </w:rPr>
              <w:t>现场配备</w:t>
            </w:r>
            <w:r>
              <w:rPr>
                <w:rFonts w:hint="eastAsia"/>
                <w:color w:val="000000" w:themeColor="text1"/>
                <w:szCs w:val="21"/>
              </w:rPr>
              <w:t>2</w:t>
            </w:r>
            <w:r>
              <w:rPr>
                <w:rFonts w:hint="eastAsia"/>
                <w:color w:val="000000" w:themeColor="text1"/>
                <w:szCs w:val="21"/>
              </w:rPr>
              <w:t>个</w:t>
            </w:r>
            <w:r>
              <w:rPr>
                <w:color w:val="000000" w:themeColor="text1"/>
                <w:szCs w:val="21"/>
              </w:rPr>
              <w:t>便携式</w:t>
            </w:r>
            <w:r>
              <w:rPr>
                <w:rFonts w:hint="eastAsia"/>
                <w:color w:val="000000" w:themeColor="text1"/>
                <w:szCs w:val="21"/>
              </w:rPr>
              <w:t>四合一</w:t>
            </w:r>
            <w:r>
              <w:rPr>
                <w:color w:val="000000" w:themeColor="text1"/>
                <w:szCs w:val="21"/>
              </w:rPr>
              <w:t>气体检测仪、</w:t>
            </w:r>
            <w:r>
              <w:rPr>
                <w:rFonts w:hint="eastAsia"/>
                <w:color w:val="000000" w:themeColor="text1"/>
                <w:szCs w:val="21"/>
              </w:rPr>
              <w:t>2</w:t>
            </w:r>
            <w:r>
              <w:rPr>
                <w:rFonts w:hint="eastAsia"/>
                <w:color w:val="000000" w:themeColor="text1"/>
                <w:szCs w:val="21"/>
              </w:rPr>
              <w:t>个正压式</w:t>
            </w:r>
            <w:r>
              <w:rPr>
                <w:color w:val="000000" w:themeColor="text1"/>
                <w:szCs w:val="21"/>
              </w:rPr>
              <w:t>空气呼吸器等设备设施，</w:t>
            </w:r>
            <w:r>
              <w:rPr>
                <w:rFonts w:hint="eastAsia"/>
                <w:color w:val="000000" w:themeColor="text1"/>
                <w:szCs w:val="21"/>
              </w:rPr>
              <w:t>均已</w:t>
            </w:r>
            <w:r>
              <w:rPr>
                <w:color w:val="000000" w:themeColor="text1"/>
                <w:szCs w:val="21"/>
              </w:rPr>
              <w:t>检测合</w:t>
            </w:r>
            <w:r>
              <w:rPr>
                <w:color w:val="000000" w:themeColor="text1"/>
                <w:szCs w:val="21"/>
              </w:rPr>
              <w:lastRenderedPageBreak/>
              <w:t>格。</w:t>
            </w:r>
          </w:p>
        </w:tc>
      </w:tr>
      <w:tr w:rsidR="002D2AF8" w14:paraId="3308F779" w14:textId="77777777">
        <w:trPr>
          <w:jc w:val="center"/>
        </w:trPr>
        <w:tc>
          <w:tcPr>
            <w:tcW w:w="495" w:type="dxa"/>
            <w:tcBorders>
              <w:tl2br w:val="nil"/>
              <w:tr2bl w:val="nil"/>
            </w:tcBorders>
            <w:vAlign w:val="center"/>
          </w:tcPr>
          <w:p w14:paraId="6ECE9C27"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07496BB9" w14:textId="77777777" w:rsidR="002D2AF8" w:rsidRDefault="00000000">
            <w:pPr>
              <w:snapToGrid w:val="0"/>
              <w:jc w:val="left"/>
              <w:rPr>
                <w:color w:val="000000" w:themeColor="text1"/>
                <w:szCs w:val="21"/>
              </w:rPr>
            </w:pPr>
            <w:r>
              <w:rPr>
                <w:color w:val="000000" w:themeColor="text1"/>
                <w:szCs w:val="21"/>
              </w:rPr>
              <w:t>现场应有可燃气体检测仪。可燃气体检测仪应定期校验和维护。</w:t>
            </w:r>
          </w:p>
        </w:tc>
        <w:tc>
          <w:tcPr>
            <w:tcW w:w="1692" w:type="dxa"/>
            <w:tcBorders>
              <w:tl2br w:val="nil"/>
              <w:tr2bl w:val="nil"/>
            </w:tcBorders>
            <w:vAlign w:val="center"/>
          </w:tcPr>
          <w:p w14:paraId="26B64CE2" w14:textId="77777777" w:rsidR="002D2AF8" w:rsidRDefault="00000000">
            <w:pPr>
              <w:snapToGrid w:val="0"/>
              <w:jc w:val="center"/>
              <w:rPr>
                <w:color w:val="000000" w:themeColor="text1"/>
                <w:szCs w:val="21"/>
              </w:rPr>
            </w:pPr>
            <w:r>
              <w:rPr>
                <w:color w:val="000000" w:themeColor="text1"/>
                <w:szCs w:val="21"/>
              </w:rPr>
              <w:t>SY/T5727-2020</w:t>
            </w:r>
          </w:p>
          <w:p w14:paraId="3AB0482D" w14:textId="77777777" w:rsidR="002D2AF8" w:rsidRDefault="00000000">
            <w:pPr>
              <w:snapToGrid w:val="0"/>
              <w:jc w:val="center"/>
              <w:rPr>
                <w:color w:val="000000" w:themeColor="text1"/>
                <w:szCs w:val="21"/>
              </w:rPr>
            </w:pPr>
            <w:r>
              <w:rPr>
                <w:color w:val="000000" w:themeColor="text1"/>
                <w:szCs w:val="21"/>
              </w:rPr>
              <w:t>4.9.2</w:t>
            </w:r>
          </w:p>
        </w:tc>
        <w:tc>
          <w:tcPr>
            <w:tcW w:w="702" w:type="dxa"/>
            <w:tcBorders>
              <w:tl2br w:val="nil"/>
              <w:tr2bl w:val="nil"/>
            </w:tcBorders>
            <w:vAlign w:val="center"/>
          </w:tcPr>
          <w:p w14:paraId="17CDCA88" w14:textId="77777777" w:rsidR="002D2AF8" w:rsidRDefault="00000000">
            <w:pPr>
              <w:snapToGrid w:val="0"/>
              <w:jc w:val="center"/>
              <w:rPr>
                <w:color w:val="000000" w:themeColor="text1"/>
                <w:szCs w:val="21"/>
              </w:rPr>
            </w:pPr>
            <w:r>
              <w:rPr>
                <w:color w:val="000000" w:themeColor="text1"/>
              </w:rPr>
              <w:t>√</w:t>
            </w:r>
          </w:p>
        </w:tc>
        <w:tc>
          <w:tcPr>
            <w:tcW w:w="2967" w:type="dxa"/>
            <w:tcBorders>
              <w:tl2br w:val="nil"/>
              <w:tr2bl w:val="nil"/>
            </w:tcBorders>
            <w:vAlign w:val="center"/>
          </w:tcPr>
          <w:p w14:paraId="4CDF7143" w14:textId="77777777" w:rsidR="002D2AF8" w:rsidRDefault="00000000">
            <w:pPr>
              <w:snapToGrid w:val="0"/>
              <w:rPr>
                <w:color w:val="000000" w:themeColor="text1"/>
                <w:szCs w:val="21"/>
              </w:rPr>
            </w:pPr>
            <w:r>
              <w:rPr>
                <w:color w:val="000000" w:themeColor="text1"/>
                <w:szCs w:val="21"/>
              </w:rPr>
              <w:t>现场配备</w:t>
            </w:r>
            <w:r>
              <w:rPr>
                <w:rFonts w:hint="eastAsia"/>
                <w:color w:val="000000" w:themeColor="text1"/>
                <w:szCs w:val="21"/>
              </w:rPr>
              <w:t>2</w:t>
            </w:r>
            <w:r>
              <w:rPr>
                <w:rFonts w:hint="eastAsia"/>
                <w:color w:val="000000" w:themeColor="text1"/>
                <w:szCs w:val="21"/>
              </w:rPr>
              <w:t>个</w:t>
            </w:r>
            <w:r>
              <w:rPr>
                <w:color w:val="000000" w:themeColor="text1"/>
                <w:szCs w:val="21"/>
              </w:rPr>
              <w:t>便携式</w:t>
            </w:r>
            <w:r>
              <w:rPr>
                <w:rFonts w:hint="eastAsia"/>
                <w:color w:val="000000" w:themeColor="text1"/>
                <w:szCs w:val="21"/>
              </w:rPr>
              <w:t>四合一</w:t>
            </w:r>
            <w:r>
              <w:rPr>
                <w:color w:val="000000" w:themeColor="text1"/>
                <w:szCs w:val="21"/>
              </w:rPr>
              <w:t>气体检测仪</w:t>
            </w:r>
            <w:r>
              <w:rPr>
                <w:rFonts w:hint="eastAsia"/>
                <w:color w:val="000000" w:themeColor="text1"/>
                <w:szCs w:val="21"/>
              </w:rPr>
              <w:t>。</w:t>
            </w:r>
          </w:p>
        </w:tc>
      </w:tr>
      <w:tr w:rsidR="002D2AF8" w14:paraId="68DEBD3D" w14:textId="77777777">
        <w:trPr>
          <w:jc w:val="center"/>
        </w:trPr>
        <w:tc>
          <w:tcPr>
            <w:tcW w:w="495" w:type="dxa"/>
            <w:tcBorders>
              <w:tl2br w:val="nil"/>
              <w:tr2bl w:val="nil"/>
            </w:tcBorders>
            <w:vAlign w:val="center"/>
          </w:tcPr>
          <w:p w14:paraId="7A0AB884"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08559ECF" w14:textId="77777777" w:rsidR="002D2AF8" w:rsidRDefault="00000000">
            <w:pPr>
              <w:snapToGrid w:val="0"/>
              <w:rPr>
                <w:color w:val="000000" w:themeColor="text1"/>
                <w:szCs w:val="21"/>
              </w:rPr>
            </w:pPr>
            <w:r>
              <w:rPr>
                <w:color w:val="000000" w:themeColor="text1"/>
                <w:szCs w:val="21"/>
              </w:rPr>
              <w:t>施工过程中需要进行动火、动土、进入有限空间等特殊作业时，应按照作业许可的规定，办理作业许可。</w:t>
            </w:r>
          </w:p>
        </w:tc>
        <w:tc>
          <w:tcPr>
            <w:tcW w:w="1692" w:type="dxa"/>
            <w:tcBorders>
              <w:tl2br w:val="nil"/>
              <w:tr2bl w:val="nil"/>
            </w:tcBorders>
            <w:vAlign w:val="center"/>
          </w:tcPr>
          <w:p w14:paraId="57BA329B" w14:textId="77777777" w:rsidR="002D2AF8" w:rsidRDefault="00000000">
            <w:pPr>
              <w:snapToGrid w:val="0"/>
              <w:jc w:val="center"/>
              <w:rPr>
                <w:color w:val="000000" w:themeColor="text1"/>
                <w:szCs w:val="21"/>
              </w:rPr>
            </w:pPr>
            <w:r>
              <w:rPr>
                <w:color w:val="000000" w:themeColor="text1"/>
                <w:szCs w:val="21"/>
              </w:rPr>
              <w:t>SY/T5225-2019</w:t>
            </w:r>
          </w:p>
          <w:p w14:paraId="1D34421F" w14:textId="77777777" w:rsidR="002D2AF8" w:rsidRDefault="00000000">
            <w:pPr>
              <w:snapToGrid w:val="0"/>
              <w:jc w:val="center"/>
              <w:rPr>
                <w:color w:val="000000" w:themeColor="text1"/>
                <w:szCs w:val="21"/>
              </w:rPr>
            </w:pPr>
            <w:r>
              <w:rPr>
                <w:color w:val="000000" w:themeColor="text1"/>
                <w:szCs w:val="21"/>
              </w:rPr>
              <w:t>8.1.2</w:t>
            </w:r>
          </w:p>
        </w:tc>
        <w:tc>
          <w:tcPr>
            <w:tcW w:w="702" w:type="dxa"/>
            <w:tcBorders>
              <w:tl2br w:val="nil"/>
              <w:tr2bl w:val="nil"/>
            </w:tcBorders>
            <w:vAlign w:val="center"/>
          </w:tcPr>
          <w:p w14:paraId="78D9629E" w14:textId="77777777" w:rsidR="002D2AF8" w:rsidRDefault="00000000">
            <w:pPr>
              <w:snapToGrid w:val="0"/>
              <w:jc w:val="center"/>
              <w:rPr>
                <w:color w:val="000000" w:themeColor="text1"/>
                <w:szCs w:val="21"/>
              </w:rPr>
            </w:pPr>
            <w:r>
              <w:rPr>
                <w:color w:val="000000" w:themeColor="text1"/>
              </w:rPr>
              <w:t>√</w:t>
            </w:r>
          </w:p>
        </w:tc>
        <w:tc>
          <w:tcPr>
            <w:tcW w:w="2967" w:type="dxa"/>
            <w:tcBorders>
              <w:tl2br w:val="nil"/>
              <w:tr2bl w:val="nil"/>
            </w:tcBorders>
            <w:vAlign w:val="center"/>
          </w:tcPr>
          <w:p w14:paraId="46A952EA" w14:textId="77777777" w:rsidR="002D2AF8" w:rsidRDefault="00000000">
            <w:pPr>
              <w:snapToGrid w:val="0"/>
              <w:rPr>
                <w:color w:val="000000" w:themeColor="text1"/>
                <w:szCs w:val="21"/>
              </w:rPr>
            </w:pPr>
            <w:r>
              <w:rPr>
                <w:rFonts w:hint="eastAsia"/>
                <w:color w:val="000000" w:themeColor="text1"/>
                <w:szCs w:val="21"/>
              </w:rPr>
              <w:t>已办理</w:t>
            </w:r>
            <w:r>
              <w:rPr>
                <w:color w:val="000000" w:themeColor="text1"/>
                <w:szCs w:val="21"/>
              </w:rPr>
              <w:t>临时用电</w:t>
            </w:r>
            <w:r>
              <w:rPr>
                <w:rFonts w:hint="eastAsia"/>
                <w:color w:val="000000" w:themeColor="text1"/>
                <w:szCs w:val="21"/>
              </w:rPr>
              <w:t>、吊装</w:t>
            </w:r>
            <w:r>
              <w:rPr>
                <w:color w:val="000000" w:themeColor="text1"/>
                <w:szCs w:val="21"/>
              </w:rPr>
              <w:t>等特殊作业作业票。</w:t>
            </w:r>
          </w:p>
        </w:tc>
      </w:tr>
      <w:tr w:rsidR="002D2AF8" w14:paraId="19C62F10" w14:textId="77777777">
        <w:trPr>
          <w:jc w:val="center"/>
        </w:trPr>
        <w:tc>
          <w:tcPr>
            <w:tcW w:w="495" w:type="dxa"/>
            <w:tcBorders>
              <w:tl2br w:val="nil"/>
              <w:tr2bl w:val="nil"/>
            </w:tcBorders>
            <w:vAlign w:val="center"/>
          </w:tcPr>
          <w:p w14:paraId="440EAC05"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01EA1403" w14:textId="77777777" w:rsidR="002D2AF8" w:rsidRDefault="00000000">
            <w:pPr>
              <w:snapToGrid w:val="0"/>
              <w:jc w:val="left"/>
              <w:rPr>
                <w:color w:val="000000" w:themeColor="text1"/>
                <w:szCs w:val="21"/>
              </w:rPr>
            </w:pPr>
            <w:r>
              <w:rPr>
                <w:color w:val="000000" w:themeColor="text1"/>
                <w:szCs w:val="21"/>
              </w:rPr>
              <w:t>根据设计，施工作业过程中，有产生井内压力变化的环节，应有具体的井控防范措施。</w:t>
            </w:r>
          </w:p>
        </w:tc>
        <w:tc>
          <w:tcPr>
            <w:tcW w:w="1692" w:type="dxa"/>
            <w:tcBorders>
              <w:tl2br w:val="nil"/>
              <w:tr2bl w:val="nil"/>
            </w:tcBorders>
            <w:vAlign w:val="center"/>
          </w:tcPr>
          <w:p w14:paraId="0C0E628D" w14:textId="77777777" w:rsidR="002D2AF8" w:rsidRDefault="00000000">
            <w:pPr>
              <w:snapToGrid w:val="0"/>
              <w:jc w:val="center"/>
              <w:rPr>
                <w:color w:val="000000" w:themeColor="text1"/>
                <w:szCs w:val="21"/>
              </w:rPr>
            </w:pPr>
            <w:r>
              <w:rPr>
                <w:color w:val="000000" w:themeColor="text1"/>
                <w:szCs w:val="21"/>
              </w:rPr>
              <w:t>SY/T6690-20166.10.1</w:t>
            </w:r>
          </w:p>
        </w:tc>
        <w:tc>
          <w:tcPr>
            <w:tcW w:w="702" w:type="dxa"/>
            <w:tcBorders>
              <w:tl2br w:val="nil"/>
              <w:tr2bl w:val="nil"/>
            </w:tcBorders>
            <w:vAlign w:val="center"/>
          </w:tcPr>
          <w:p w14:paraId="1EE77C31" w14:textId="77777777" w:rsidR="002D2AF8" w:rsidRDefault="00000000">
            <w:pPr>
              <w:snapToGrid w:val="0"/>
              <w:jc w:val="center"/>
              <w:rPr>
                <w:color w:val="000000" w:themeColor="text1"/>
                <w:szCs w:val="21"/>
              </w:rPr>
            </w:pPr>
            <w:r>
              <w:rPr>
                <w:color w:val="000000" w:themeColor="text1"/>
              </w:rPr>
              <w:t>√</w:t>
            </w:r>
          </w:p>
        </w:tc>
        <w:tc>
          <w:tcPr>
            <w:tcW w:w="2967" w:type="dxa"/>
            <w:tcBorders>
              <w:tl2br w:val="nil"/>
              <w:tr2bl w:val="nil"/>
            </w:tcBorders>
            <w:vAlign w:val="center"/>
          </w:tcPr>
          <w:p w14:paraId="31941A6A" w14:textId="77777777" w:rsidR="002D2AF8" w:rsidRDefault="00000000">
            <w:pPr>
              <w:snapToGrid w:val="0"/>
              <w:rPr>
                <w:color w:val="000000" w:themeColor="text1"/>
                <w:szCs w:val="21"/>
              </w:rPr>
            </w:pPr>
            <w:r>
              <w:rPr>
                <w:color w:val="000000" w:themeColor="text1"/>
                <w:szCs w:val="21"/>
              </w:rPr>
              <w:t>施工设计中有具体的井控防范措施。</w:t>
            </w:r>
          </w:p>
        </w:tc>
      </w:tr>
      <w:tr w:rsidR="002D2AF8" w14:paraId="196A87E8" w14:textId="77777777">
        <w:trPr>
          <w:jc w:val="center"/>
        </w:trPr>
        <w:tc>
          <w:tcPr>
            <w:tcW w:w="495" w:type="dxa"/>
            <w:tcBorders>
              <w:tl2br w:val="nil"/>
              <w:tr2bl w:val="nil"/>
            </w:tcBorders>
            <w:vAlign w:val="center"/>
          </w:tcPr>
          <w:p w14:paraId="63082CC6"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4BAA93B7" w14:textId="77777777" w:rsidR="002D2AF8" w:rsidRDefault="00000000">
            <w:pPr>
              <w:snapToGrid w:val="0"/>
              <w:jc w:val="left"/>
              <w:rPr>
                <w:color w:val="000000" w:themeColor="text1"/>
                <w:szCs w:val="21"/>
              </w:rPr>
            </w:pPr>
            <w:r>
              <w:rPr>
                <w:rFonts w:hint="eastAsia"/>
                <w:color w:val="000000" w:themeColor="text1"/>
                <w:szCs w:val="21"/>
              </w:rPr>
              <w:t>灭火器应设置在位置明显和便于取用的地点，且不得影响安全疏散。</w:t>
            </w:r>
          </w:p>
        </w:tc>
        <w:tc>
          <w:tcPr>
            <w:tcW w:w="1692" w:type="dxa"/>
            <w:tcBorders>
              <w:tl2br w:val="nil"/>
              <w:tr2bl w:val="nil"/>
            </w:tcBorders>
            <w:vAlign w:val="center"/>
          </w:tcPr>
          <w:p w14:paraId="69F1A54D" w14:textId="77777777" w:rsidR="002D2AF8" w:rsidRDefault="00000000">
            <w:pPr>
              <w:snapToGrid w:val="0"/>
              <w:jc w:val="center"/>
              <w:rPr>
                <w:color w:val="000000" w:themeColor="text1"/>
                <w:szCs w:val="21"/>
              </w:rPr>
            </w:pPr>
            <w:r>
              <w:rPr>
                <w:rFonts w:hint="eastAsia"/>
                <w:color w:val="000000" w:themeColor="text1"/>
                <w:szCs w:val="21"/>
              </w:rPr>
              <w:t>GB50140-2005</w:t>
            </w:r>
          </w:p>
          <w:p w14:paraId="765F624C" w14:textId="77777777" w:rsidR="002D2AF8" w:rsidRDefault="00000000">
            <w:pPr>
              <w:snapToGrid w:val="0"/>
              <w:jc w:val="center"/>
              <w:rPr>
                <w:color w:val="000000" w:themeColor="text1"/>
                <w:szCs w:val="21"/>
              </w:rPr>
            </w:pPr>
            <w:r>
              <w:rPr>
                <w:rFonts w:hint="eastAsia"/>
                <w:color w:val="000000" w:themeColor="text1"/>
                <w:szCs w:val="21"/>
              </w:rPr>
              <w:t>5.1.1</w:t>
            </w:r>
          </w:p>
        </w:tc>
        <w:tc>
          <w:tcPr>
            <w:tcW w:w="702" w:type="dxa"/>
            <w:tcBorders>
              <w:tl2br w:val="nil"/>
              <w:tr2bl w:val="nil"/>
            </w:tcBorders>
            <w:vAlign w:val="center"/>
          </w:tcPr>
          <w:p w14:paraId="444AE9F5" w14:textId="77777777" w:rsidR="002D2AF8" w:rsidRDefault="00000000">
            <w:pPr>
              <w:snapToGrid w:val="0"/>
              <w:jc w:val="center"/>
              <w:rPr>
                <w:color w:val="000000" w:themeColor="text1"/>
              </w:rPr>
            </w:pPr>
            <w:r>
              <w:rPr>
                <w:color w:val="000000" w:themeColor="text1"/>
              </w:rPr>
              <w:t>√</w:t>
            </w:r>
          </w:p>
        </w:tc>
        <w:tc>
          <w:tcPr>
            <w:tcW w:w="2967" w:type="dxa"/>
            <w:tcBorders>
              <w:tl2br w:val="nil"/>
              <w:tr2bl w:val="nil"/>
            </w:tcBorders>
            <w:vAlign w:val="center"/>
          </w:tcPr>
          <w:p w14:paraId="08FE28A9" w14:textId="77777777" w:rsidR="002D2AF8" w:rsidRDefault="00000000">
            <w:pPr>
              <w:snapToGrid w:val="0"/>
              <w:rPr>
                <w:color w:val="000000" w:themeColor="text1"/>
                <w:szCs w:val="21"/>
              </w:rPr>
            </w:pPr>
            <w:r>
              <w:rPr>
                <w:rFonts w:hint="eastAsia"/>
                <w:color w:val="000000" w:themeColor="text1"/>
                <w:szCs w:val="21"/>
              </w:rPr>
              <w:t>放置在值班房门口处，方便取用。</w:t>
            </w:r>
          </w:p>
        </w:tc>
      </w:tr>
      <w:tr w:rsidR="002D2AF8" w14:paraId="3392E4DA" w14:textId="77777777">
        <w:trPr>
          <w:jc w:val="center"/>
        </w:trPr>
        <w:tc>
          <w:tcPr>
            <w:tcW w:w="495" w:type="dxa"/>
            <w:tcBorders>
              <w:tl2br w:val="nil"/>
              <w:tr2bl w:val="nil"/>
            </w:tcBorders>
            <w:vAlign w:val="center"/>
          </w:tcPr>
          <w:p w14:paraId="26EC7EB6"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59C5E521" w14:textId="77777777" w:rsidR="002D2AF8" w:rsidRDefault="00000000">
            <w:pPr>
              <w:snapToGrid w:val="0"/>
              <w:jc w:val="left"/>
              <w:rPr>
                <w:color w:val="000000" w:themeColor="text1"/>
                <w:szCs w:val="21"/>
              </w:rPr>
            </w:pPr>
            <w:r>
              <w:rPr>
                <w:rFonts w:hint="eastAsia"/>
                <w:color w:val="000000" w:themeColor="text1"/>
                <w:szCs w:val="21"/>
              </w:rPr>
              <w:t>灭火器的摆放应稳固，其铭牌应朝外。手提式灭火器宜设置在灭火器箱内或挂钩、托架上，其顶部离地面高度不应大于</w:t>
            </w:r>
            <w:r>
              <w:rPr>
                <w:rFonts w:hint="eastAsia"/>
                <w:color w:val="000000" w:themeColor="text1"/>
                <w:szCs w:val="21"/>
              </w:rPr>
              <w:t>1.50m</w:t>
            </w:r>
            <w:r>
              <w:rPr>
                <w:rFonts w:hint="eastAsia"/>
                <w:color w:val="000000" w:themeColor="text1"/>
                <w:szCs w:val="21"/>
              </w:rPr>
              <w:t>；底部离地面高度不宜小于</w:t>
            </w:r>
            <w:r>
              <w:rPr>
                <w:rFonts w:hint="eastAsia"/>
                <w:color w:val="000000" w:themeColor="text1"/>
                <w:szCs w:val="21"/>
              </w:rPr>
              <w:t>0.08m</w:t>
            </w:r>
            <w:r>
              <w:rPr>
                <w:rFonts w:hint="eastAsia"/>
                <w:color w:val="000000" w:themeColor="text1"/>
                <w:szCs w:val="21"/>
              </w:rPr>
              <w:t>。灭火器箱不得上锁。</w:t>
            </w:r>
          </w:p>
        </w:tc>
        <w:tc>
          <w:tcPr>
            <w:tcW w:w="1692" w:type="dxa"/>
            <w:tcBorders>
              <w:tl2br w:val="nil"/>
              <w:tr2bl w:val="nil"/>
            </w:tcBorders>
            <w:vAlign w:val="center"/>
          </w:tcPr>
          <w:p w14:paraId="17F41B1A" w14:textId="77777777" w:rsidR="002D2AF8" w:rsidRDefault="00000000">
            <w:pPr>
              <w:snapToGrid w:val="0"/>
              <w:jc w:val="center"/>
              <w:rPr>
                <w:color w:val="000000" w:themeColor="text1"/>
                <w:szCs w:val="21"/>
              </w:rPr>
            </w:pPr>
            <w:r>
              <w:rPr>
                <w:rFonts w:hint="eastAsia"/>
                <w:color w:val="000000" w:themeColor="text1"/>
                <w:szCs w:val="21"/>
              </w:rPr>
              <w:t>GB50140-2005</w:t>
            </w:r>
          </w:p>
          <w:p w14:paraId="0AC06E72" w14:textId="77777777" w:rsidR="002D2AF8" w:rsidRDefault="00000000">
            <w:pPr>
              <w:snapToGrid w:val="0"/>
              <w:jc w:val="center"/>
              <w:rPr>
                <w:color w:val="000000" w:themeColor="text1"/>
                <w:szCs w:val="21"/>
              </w:rPr>
            </w:pPr>
            <w:r>
              <w:rPr>
                <w:rFonts w:hint="eastAsia"/>
                <w:color w:val="000000" w:themeColor="text1"/>
                <w:szCs w:val="21"/>
              </w:rPr>
              <w:t>5.1.3</w:t>
            </w:r>
          </w:p>
        </w:tc>
        <w:tc>
          <w:tcPr>
            <w:tcW w:w="702" w:type="dxa"/>
            <w:tcBorders>
              <w:tl2br w:val="nil"/>
              <w:tr2bl w:val="nil"/>
            </w:tcBorders>
            <w:vAlign w:val="center"/>
          </w:tcPr>
          <w:p w14:paraId="1359AF28" w14:textId="77777777" w:rsidR="002D2AF8" w:rsidRDefault="00000000">
            <w:pPr>
              <w:snapToGrid w:val="0"/>
              <w:jc w:val="center"/>
              <w:rPr>
                <w:color w:val="000000" w:themeColor="text1"/>
              </w:rPr>
            </w:pPr>
            <w:r>
              <w:rPr>
                <w:color w:val="000000" w:themeColor="text1"/>
              </w:rPr>
              <w:t>√</w:t>
            </w:r>
          </w:p>
        </w:tc>
        <w:tc>
          <w:tcPr>
            <w:tcW w:w="2967" w:type="dxa"/>
            <w:tcBorders>
              <w:tl2br w:val="nil"/>
              <w:tr2bl w:val="nil"/>
            </w:tcBorders>
            <w:vAlign w:val="center"/>
          </w:tcPr>
          <w:p w14:paraId="72A15DA8" w14:textId="77777777" w:rsidR="002D2AF8" w:rsidRDefault="00000000">
            <w:pPr>
              <w:snapToGrid w:val="0"/>
              <w:rPr>
                <w:color w:val="000000" w:themeColor="text1"/>
                <w:szCs w:val="21"/>
              </w:rPr>
            </w:pPr>
            <w:r>
              <w:rPr>
                <w:rFonts w:hint="eastAsia"/>
                <w:color w:val="000000" w:themeColor="text1"/>
                <w:szCs w:val="21"/>
              </w:rPr>
              <w:t>放置在灭火器箱内，灭火器箱未上锁。</w:t>
            </w:r>
          </w:p>
        </w:tc>
      </w:tr>
      <w:tr w:rsidR="002D2AF8" w14:paraId="1DDAEE53" w14:textId="77777777">
        <w:trPr>
          <w:jc w:val="center"/>
        </w:trPr>
        <w:tc>
          <w:tcPr>
            <w:tcW w:w="495" w:type="dxa"/>
            <w:tcBorders>
              <w:tl2br w:val="nil"/>
              <w:tr2bl w:val="nil"/>
            </w:tcBorders>
            <w:vAlign w:val="center"/>
          </w:tcPr>
          <w:p w14:paraId="25624B8D"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46F91738" w14:textId="77777777" w:rsidR="002D2AF8" w:rsidRDefault="00000000">
            <w:pPr>
              <w:snapToGrid w:val="0"/>
              <w:jc w:val="left"/>
              <w:rPr>
                <w:color w:val="000000" w:themeColor="text1"/>
                <w:szCs w:val="21"/>
              </w:rPr>
            </w:pPr>
            <w:r>
              <w:rPr>
                <w:rFonts w:hint="eastAsia"/>
                <w:color w:val="000000" w:themeColor="text1"/>
                <w:szCs w:val="21"/>
              </w:rPr>
              <w:t>灭火器不宜设置在潮湿或强腐蚀性的地点。当必须设置时，应有相应的保护措施。</w:t>
            </w:r>
          </w:p>
        </w:tc>
        <w:tc>
          <w:tcPr>
            <w:tcW w:w="1692" w:type="dxa"/>
            <w:tcBorders>
              <w:tl2br w:val="nil"/>
              <w:tr2bl w:val="nil"/>
            </w:tcBorders>
            <w:vAlign w:val="center"/>
          </w:tcPr>
          <w:p w14:paraId="5CFCA59F" w14:textId="77777777" w:rsidR="002D2AF8" w:rsidRDefault="00000000">
            <w:pPr>
              <w:snapToGrid w:val="0"/>
              <w:jc w:val="center"/>
              <w:rPr>
                <w:color w:val="000000" w:themeColor="text1"/>
                <w:szCs w:val="21"/>
              </w:rPr>
            </w:pPr>
            <w:r>
              <w:rPr>
                <w:rFonts w:hint="eastAsia"/>
                <w:color w:val="000000" w:themeColor="text1"/>
                <w:szCs w:val="21"/>
              </w:rPr>
              <w:t>GB50140-2005</w:t>
            </w:r>
          </w:p>
          <w:p w14:paraId="636A9C47" w14:textId="77777777" w:rsidR="002D2AF8" w:rsidRDefault="00000000">
            <w:pPr>
              <w:snapToGrid w:val="0"/>
              <w:jc w:val="center"/>
              <w:rPr>
                <w:color w:val="000000" w:themeColor="text1"/>
                <w:szCs w:val="21"/>
              </w:rPr>
            </w:pPr>
            <w:r>
              <w:rPr>
                <w:rFonts w:hint="eastAsia"/>
                <w:color w:val="000000" w:themeColor="text1"/>
                <w:szCs w:val="21"/>
              </w:rPr>
              <w:t>5.1.4</w:t>
            </w:r>
          </w:p>
        </w:tc>
        <w:tc>
          <w:tcPr>
            <w:tcW w:w="702" w:type="dxa"/>
            <w:tcBorders>
              <w:tl2br w:val="nil"/>
              <w:tr2bl w:val="nil"/>
            </w:tcBorders>
            <w:vAlign w:val="center"/>
          </w:tcPr>
          <w:p w14:paraId="0BFA2FA1" w14:textId="77777777" w:rsidR="002D2AF8" w:rsidRDefault="00000000">
            <w:pPr>
              <w:snapToGrid w:val="0"/>
              <w:jc w:val="center"/>
              <w:rPr>
                <w:color w:val="000000" w:themeColor="text1"/>
              </w:rPr>
            </w:pPr>
            <w:r>
              <w:rPr>
                <w:color w:val="000000" w:themeColor="text1"/>
              </w:rPr>
              <w:t>√</w:t>
            </w:r>
          </w:p>
        </w:tc>
        <w:tc>
          <w:tcPr>
            <w:tcW w:w="2967" w:type="dxa"/>
            <w:tcBorders>
              <w:tl2br w:val="nil"/>
              <w:tr2bl w:val="nil"/>
            </w:tcBorders>
            <w:vAlign w:val="center"/>
          </w:tcPr>
          <w:p w14:paraId="1801F32E" w14:textId="77777777" w:rsidR="002D2AF8" w:rsidRDefault="00000000">
            <w:pPr>
              <w:snapToGrid w:val="0"/>
              <w:rPr>
                <w:color w:val="000000" w:themeColor="text1"/>
                <w:szCs w:val="21"/>
              </w:rPr>
            </w:pPr>
            <w:r>
              <w:rPr>
                <w:rFonts w:hint="eastAsia"/>
                <w:color w:val="000000" w:themeColor="text1"/>
                <w:szCs w:val="21"/>
              </w:rPr>
              <w:t>未设置在潮湿地点。</w:t>
            </w:r>
          </w:p>
        </w:tc>
      </w:tr>
      <w:tr w:rsidR="002D2AF8" w14:paraId="60C3962D" w14:textId="77777777">
        <w:trPr>
          <w:jc w:val="center"/>
        </w:trPr>
        <w:tc>
          <w:tcPr>
            <w:tcW w:w="495" w:type="dxa"/>
            <w:tcBorders>
              <w:tl2br w:val="nil"/>
              <w:tr2bl w:val="nil"/>
            </w:tcBorders>
            <w:vAlign w:val="center"/>
          </w:tcPr>
          <w:p w14:paraId="72F5ABFC"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55D3C779" w14:textId="77777777" w:rsidR="002D2AF8" w:rsidRDefault="00000000">
            <w:pPr>
              <w:snapToGrid w:val="0"/>
              <w:jc w:val="left"/>
              <w:rPr>
                <w:color w:val="000000" w:themeColor="text1"/>
                <w:szCs w:val="21"/>
              </w:rPr>
            </w:pPr>
            <w:r>
              <w:rPr>
                <w:rFonts w:hint="eastAsia"/>
                <w:color w:val="000000" w:themeColor="text1"/>
                <w:szCs w:val="21"/>
              </w:rPr>
              <w:t>一个计算单元内配置的灭火器数量不得少于</w:t>
            </w:r>
            <w:r>
              <w:rPr>
                <w:rFonts w:hint="eastAsia"/>
                <w:color w:val="000000" w:themeColor="text1"/>
                <w:szCs w:val="21"/>
              </w:rPr>
              <w:t>2</w:t>
            </w:r>
            <w:r>
              <w:rPr>
                <w:rFonts w:hint="eastAsia"/>
                <w:color w:val="000000" w:themeColor="text1"/>
                <w:szCs w:val="21"/>
              </w:rPr>
              <w:t>具。</w:t>
            </w:r>
          </w:p>
        </w:tc>
        <w:tc>
          <w:tcPr>
            <w:tcW w:w="1692" w:type="dxa"/>
            <w:tcBorders>
              <w:tl2br w:val="nil"/>
              <w:tr2bl w:val="nil"/>
            </w:tcBorders>
            <w:vAlign w:val="center"/>
          </w:tcPr>
          <w:p w14:paraId="38986092" w14:textId="77777777" w:rsidR="002D2AF8" w:rsidRDefault="00000000">
            <w:pPr>
              <w:snapToGrid w:val="0"/>
              <w:jc w:val="center"/>
              <w:rPr>
                <w:color w:val="000000" w:themeColor="text1"/>
                <w:szCs w:val="21"/>
              </w:rPr>
            </w:pPr>
            <w:r>
              <w:rPr>
                <w:rFonts w:hint="eastAsia"/>
                <w:color w:val="000000" w:themeColor="text1"/>
                <w:szCs w:val="21"/>
              </w:rPr>
              <w:t>GB50140-2005</w:t>
            </w:r>
          </w:p>
          <w:p w14:paraId="48BDA54B" w14:textId="77777777" w:rsidR="002D2AF8" w:rsidRDefault="00000000">
            <w:pPr>
              <w:snapToGrid w:val="0"/>
              <w:jc w:val="center"/>
              <w:rPr>
                <w:color w:val="000000" w:themeColor="text1"/>
                <w:szCs w:val="21"/>
              </w:rPr>
            </w:pPr>
            <w:r>
              <w:rPr>
                <w:rFonts w:hint="eastAsia"/>
                <w:color w:val="000000" w:themeColor="text1"/>
                <w:szCs w:val="21"/>
              </w:rPr>
              <w:t>6.1.1</w:t>
            </w:r>
          </w:p>
        </w:tc>
        <w:tc>
          <w:tcPr>
            <w:tcW w:w="702" w:type="dxa"/>
            <w:tcBorders>
              <w:tl2br w:val="nil"/>
              <w:tr2bl w:val="nil"/>
            </w:tcBorders>
            <w:vAlign w:val="center"/>
          </w:tcPr>
          <w:p w14:paraId="2E7B096F" w14:textId="77777777" w:rsidR="002D2AF8" w:rsidRDefault="00000000">
            <w:pPr>
              <w:snapToGrid w:val="0"/>
              <w:jc w:val="center"/>
              <w:rPr>
                <w:color w:val="000000" w:themeColor="text1"/>
              </w:rPr>
            </w:pPr>
            <w:r>
              <w:rPr>
                <w:color w:val="000000" w:themeColor="text1"/>
              </w:rPr>
              <w:t>√</w:t>
            </w:r>
          </w:p>
        </w:tc>
        <w:tc>
          <w:tcPr>
            <w:tcW w:w="2967" w:type="dxa"/>
            <w:tcBorders>
              <w:tl2br w:val="nil"/>
              <w:tr2bl w:val="nil"/>
            </w:tcBorders>
            <w:vAlign w:val="center"/>
          </w:tcPr>
          <w:p w14:paraId="4125C356" w14:textId="77777777" w:rsidR="002D2AF8" w:rsidRDefault="00000000">
            <w:pPr>
              <w:snapToGrid w:val="0"/>
              <w:rPr>
                <w:color w:val="000000" w:themeColor="text1"/>
                <w:szCs w:val="21"/>
              </w:rPr>
            </w:pPr>
            <w:r>
              <w:rPr>
                <w:rFonts w:hint="eastAsia"/>
                <w:color w:val="000000" w:themeColor="text1"/>
                <w:szCs w:val="21"/>
              </w:rPr>
              <w:t>设</w:t>
            </w:r>
            <w:r>
              <w:rPr>
                <w:rFonts w:hint="eastAsia"/>
                <w:color w:val="000000" w:themeColor="text1"/>
                <w:szCs w:val="21"/>
              </w:rPr>
              <w:t>2</w:t>
            </w:r>
            <w:r>
              <w:rPr>
                <w:rFonts w:hint="eastAsia"/>
                <w:color w:val="000000" w:themeColor="text1"/>
                <w:szCs w:val="21"/>
              </w:rPr>
              <w:t>具</w:t>
            </w:r>
            <w:r>
              <w:rPr>
                <w:rFonts w:hint="eastAsia"/>
                <w:color w:val="000000" w:themeColor="text1"/>
                <w:szCs w:val="21"/>
              </w:rPr>
              <w:t>8kg</w:t>
            </w:r>
            <w:r>
              <w:rPr>
                <w:rFonts w:hint="eastAsia"/>
                <w:color w:val="000000" w:themeColor="text1"/>
                <w:szCs w:val="21"/>
              </w:rPr>
              <w:t>手提式干粉灭火器。</w:t>
            </w:r>
          </w:p>
        </w:tc>
      </w:tr>
      <w:tr w:rsidR="002D2AF8" w14:paraId="286E727E" w14:textId="77777777">
        <w:trPr>
          <w:jc w:val="center"/>
        </w:trPr>
        <w:tc>
          <w:tcPr>
            <w:tcW w:w="495" w:type="dxa"/>
            <w:tcBorders>
              <w:tl2br w:val="nil"/>
              <w:tr2bl w:val="nil"/>
            </w:tcBorders>
            <w:vAlign w:val="center"/>
          </w:tcPr>
          <w:p w14:paraId="4A6537AE" w14:textId="77777777" w:rsidR="002D2AF8" w:rsidRDefault="00000000">
            <w:pPr>
              <w:snapToGrid w:val="0"/>
              <w:spacing w:beforeLines="20" w:before="65" w:afterLines="20" w:after="65"/>
              <w:jc w:val="left"/>
              <w:rPr>
                <w:b/>
                <w:color w:val="000000" w:themeColor="text1"/>
                <w:szCs w:val="21"/>
              </w:rPr>
            </w:pPr>
            <w:r>
              <w:rPr>
                <w:rFonts w:hint="eastAsia"/>
                <w:b/>
                <w:color w:val="000000" w:themeColor="text1"/>
                <w:szCs w:val="21"/>
              </w:rPr>
              <w:t>五</w:t>
            </w:r>
          </w:p>
        </w:tc>
        <w:tc>
          <w:tcPr>
            <w:tcW w:w="3291" w:type="dxa"/>
            <w:tcBorders>
              <w:tl2br w:val="nil"/>
              <w:tr2bl w:val="nil"/>
            </w:tcBorders>
            <w:vAlign w:val="center"/>
          </w:tcPr>
          <w:p w14:paraId="2815E74D" w14:textId="77777777" w:rsidR="002D2AF8" w:rsidRDefault="00000000">
            <w:pPr>
              <w:snapToGrid w:val="0"/>
              <w:rPr>
                <w:color w:val="000000" w:themeColor="text1"/>
                <w:szCs w:val="21"/>
              </w:rPr>
            </w:pPr>
            <w:r>
              <w:rPr>
                <w:b/>
                <w:color w:val="000000" w:themeColor="text1"/>
                <w:szCs w:val="21"/>
              </w:rPr>
              <w:t>检验检测</w:t>
            </w:r>
          </w:p>
        </w:tc>
        <w:tc>
          <w:tcPr>
            <w:tcW w:w="1692" w:type="dxa"/>
            <w:tcBorders>
              <w:tl2br w:val="nil"/>
              <w:tr2bl w:val="nil"/>
            </w:tcBorders>
            <w:vAlign w:val="center"/>
          </w:tcPr>
          <w:p w14:paraId="6B574DAF" w14:textId="77777777" w:rsidR="002D2AF8" w:rsidRDefault="002D2AF8">
            <w:pPr>
              <w:snapToGrid w:val="0"/>
              <w:rPr>
                <w:b/>
                <w:color w:val="000000" w:themeColor="text1"/>
                <w:szCs w:val="21"/>
              </w:rPr>
            </w:pPr>
          </w:p>
        </w:tc>
        <w:tc>
          <w:tcPr>
            <w:tcW w:w="702" w:type="dxa"/>
            <w:tcBorders>
              <w:tl2br w:val="nil"/>
              <w:tr2bl w:val="nil"/>
            </w:tcBorders>
            <w:vAlign w:val="center"/>
          </w:tcPr>
          <w:p w14:paraId="0F4C352D" w14:textId="77777777" w:rsidR="002D2AF8" w:rsidRDefault="002D2AF8">
            <w:pPr>
              <w:snapToGrid w:val="0"/>
              <w:rPr>
                <w:b/>
                <w:color w:val="000000" w:themeColor="text1"/>
                <w:szCs w:val="21"/>
              </w:rPr>
            </w:pPr>
          </w:p>
        </w:tc>
        <w:tc>
          <w:tcPr>
            <w:tcW w:w="2967" w:type="dxa"/>
            <w:tcBorders>
              <w:tl2br w:val="nil"/>
              <w:tr2bl w:val="nil"/>
            </w:tcBorders>
            <w:vAlign w:val="center"/>
          </w:tcPr>
          <w:p w14:paraId="79A0C9E6" w14:textId="77777777" w:rsidR="002D2AF8" w:rsidRDefault="002D2AF8">
            <w:pPr>
              <w:snapToGrid w:val="0"/>
              <w:rPr>
                <w:b/>
                <w:color w:val="000000" w:themeColor="text1"/>
                <w:szCs w:val="21"/>
              </w:rPr>
            </w:pPr>
          </w:p>
        </w:tc>
      </w:tr>
      <w:tr w:rsidR="002D2AF8" w14:paraId="2DFDA37D" w14:textId="77777777">
        <w:trPr>
          <w:jc w:val="center"/>
        </w:trPr>
        <w:tc>
          <w:tcPr>
            <w:tcW w:w="495" w:type="dxa"/>
            <w:tcBorders>
              <w:tl2br w:val="nil"/>
              <w:tr2bl w:val="nil"/>
            </w:tcBorders>
            <w:vAlign w:val="center"/>
          </w:tcPr>
          <w:p w14:paraId="302B2204"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01C4CFEB" w14:textId="77777777" w:rsidR="002D2AF8" w:rsidRDefault="00000000">
            <w:pPr>
              <w:overflowPunct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1692" w:type="dxa"/>
            <w:tcBorders>
              <w:tl2br w:val="nil"/>
              <w:tr2bl w:val="nil"/>
            </w:tcBorders>
            <w:vAlign w:val="center"/>
          </w:tcPr>
          <w:p w14:paraId="76692363" w14:textId="77777777" w:rsidR="002D2AF8" w:rsidRDefault="00000000">
            <w:pPr>
              <w:overflowPunct w:val="0"/>
              <w:snapToGrid w:val="0"/>
              <w:jc w:val="center"/>
              <w:rPr>
                <w:color w:val="000000" w:themeColor="text1"/>
                <w:kern w:val="0"/>
                <w:szCs w:val="21"/>
              </w:rPr>
            </w:pPr>
            <w:r>
              <w:rPr>
                <w:color w:val="000000" w:themeColor="text1"/>
                <w:kern w:val="0"/>
                <w:szCs w:val="21"/>
              </w:rPr>
              <w:t>SY/T6277-2017</w:t>
            </w:r>
          </w:p>
          <w:p w14:paraId="3A7F95F0" w14:textId="77777777" w:rsidR="002D2AF8" w:rsidRDefault="00000000">
            <w:pPr>
              <w:overflowPunct w:val="0"/>
              <w:snapToGrid w:val="0"/>
              <w:jc w:val="center"/>
              <w:rPr>
                <w:color w:val="000000" w:themeColor="text1"/>
                <w:kern w:val="0"/>
                <w:szCs w:val="21"/>
              </w:rPr>
            </w:pPr>
            <w:r>
              <w:rPr>
                <w:color w:val="000000" w:themeColor="text1"/>
                <w:kern w:val="0"/>
                <w:szCs w:val="21"/>
              </w:rPr>
              <w:t>5.1.6.1</w:t>
            </w:r>
          </w:p>
        </w:tc>
        <w:tc>
          <w:tcPr>
            <w:tcW w:w="702" w:type="dxa"/>
            <w:tcBorders>
              <w:tl2br w:val="nil"/>
              <w:tr2bl w:val="nil"/>
            </w:tcBorders>
            <w:vAlign w:val="center"/>
          </w:tcPr>
          <w:p w14:paraId="4BA7E43D" w14:textId="77777777" w:rsidR="002D2AF8" w:rsidRDefault="00000000">
            <w:pPr>
              <w:snapToGrid w:val="0"/>
              <w:jc w:val="center"/>
              <w:rPr>
                <w:color w:val="000000" w:themeColor="text1"/>
                <w:kern w:val="0"/>
                <w:szCs w:val="21"/>
              </w:rPr>
            </w:pPr>
            <w:r>
              <w:rPr>
                <w:color w:val="000000" w:themeColor="text1"/>
              </w:rPr>
              <w:t>√</w:t>
            </w:r>
          </w:p>
        </w:tc>
        <w:tc>
          <w:tcPr>
            <w:tcW w:w="2967" w:type="dxa"/>
            <w:tcBorders>
              <w:tl2br w:val="nil"/>
              <w:tr2bl w:val="nil"/>
            </w:tcBorders>
            <w:vAlign w:val="center"/>
          </w:tcPr>
          <w:p w14:paraId="02EBE004" w14:textId="77777777" w:rsidR="002D2AF8" w:rsidRDefault="00000000">
            <w:pPr>
              <w:snapToGrid w:val="0"/>
              <w:rPr>
                <w:color w:val="000000" w:themeColor="text1"/>
                <w:szCs w:val="21"/>
              </w:rPr>
            </w:pPr>
            <w:r>
              <w:rPr>
                <w:color w:val="000000" w:themeColor="text1"/>
                <w:szCs w:val="21"/>
              </w:rPr>
              <w:t>现场建立有</w:t>
            </w:r>
            <w:r>
              <w:rPr>
                <w:rFonts w:hint="eastAsia"/>
                <w:color w:val="000000" w:themeColor="text1"/>
                <w:szCs w:val="21"/>
              </w:rPr>
              <w:t>正压式</w:t>
            </w:r>
            <w:r>
              <w:rPr>
                <w:color w:val="000000" w:themeColor="text1"/>
                <w:szCs w:val="21"/>
              </w:rPr>
              <w:t>空气呼吸器台账，并经定期检测合格。</w:t>
            </w:r>
          </w:p>
        </w:tc>
      </w:tr>
      <w:tr w:rsidR="002D2AF8" w14:paraId="47D6716A" w14:textId="77777777">
        <w:trPr>
          <w:jc w:val="center"/>
        </w:trPr>
        <w:tc>
          <w:tcPr>
            <w:tcW w:w="495" w:type="dxa"/>
            <w:tcBorders>
              <w:tl2br w:val="nil"/>
              <w:tr2bl w:val="nil"/>
            </w:tcBorders>
            <w:vAlign w:val="center"/>
          </w:tcPr>
          <w:p w14:paraId="7675C86D"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1F970286" w14:textId="77777777" w:rsidR="002D2AF8" w:rsidRDefault="00000000">
            <w:pPr>
              <w:overflowPunct w:val="0"/>
              <w:snapToGrid w:val="0"/>
              <w:jc w:val="left"/>
              <w:rPr>
                <w:color w:val="000000" w:themeColor="text1"/>
                <w:kern w:val="0"/>
                <w:szCs w:val="21"/>
              </w:rPr>
            </w:pPr>
            <w:r>
              <w:rPr>
                <w:color w:val="000000" w:themeColor="text1"/>
                <w:kern w:val="0"/>
                <w:szCs w:val="21"/>
              </w:rPr>
              <w:t>便携式硫化氢气体检测仪每年至少检验一次。</w:t>
            </w:r>
          </w:p>
        </w:tc>
        <w:tc>
          <w:tcPr>
            <w:tcW w:w="1692" w:type="dxa"/>
            <w:tcBorders>
              <w:tl2br w:val="nil"/>
              <w:tr2bl w:val="nil"/>
            </w:tcBorders>
            <w:vAlign w:val="center"/>
          </w:tcPr>
          <w:p w14:paraId="7F488B25" w14:textId="77777777" w:rsidR="002D2AF8" w:rsidRDefault="00000000">
            <w:pPr>
              <w:overflowPunct w:val="0"/>
              <w:snapToGrid w:val="0"/>
              <w:jc w:val="center"/>
              <w:rPr>
                <w:color w:val="000000" w:themeColor="text1"/>
                <w:kern w:val="0"/>
                <w:szCs w:val="21"/>
              </w:rPr>
            </w:pPr>
            <w:r>
              <w:rPr>
                <w:color w:val="000000" w:themeColor="text1"/>
                <w:kern w:val="0"/>
                <w:szCs w:val="21"/>
              </w:rPr>
              <w:t>SY/T6277-2017</w:t>
            </w:r>
          </w:p>
          <w:p w14:paraId="1D0EFAB0" w14:textId="77777777" w:rsidR="002D2AF8" w:rsidRDefault="00000000">
            <w:pPr>
              <w:overflowPunct w:val="0"/>
              <w:snapToGrid w:val="0"/>
              <w:jc w:val="center"/>
              <w:rPr>
                <w:color w:val="000000" w:themeColor="text1"/>
                <w:kern w:val="0"/>
                <w:szCs w:val="21"/>
              </w:rPr>
            </w:pPr>
            <w:r>
              <w:rPr>
                <w:color w:val="000000" w:themeColor="text1"/>
                <w:kern w:val="0"/>
                <w:szCs w:val="21"/>
              </w:rPr>
              <w:t>5.2.6</w:t>
            </w:r>
          </w:p>
        </w:tc>
        <w:tc>
          <w:tcPr>
            <w:tcW w:w="702" w:type="dxa"/>
            <w:tcBorders>
              <w:tl2br w:val="nil"/>
              <w:tr2bl w:val="nil"/>
            </w:tcBorders>
            <w:vAlign w:val="center"/>
          </w:tcPr>
          <w:p w14:paraId="62B3E94F" w14:textId="77777777" w:rsidR="002D2AF8" w:rsidRDefault="00000000">
            <w:pPr>
              <w:snapToGrid w:val="0"/>
              <w:jc w:val="center"/>
              <w:rPr>
                <w:color w:val="000000" w:themeColor="text1"/>
                <w:kern w:val="0"/>
                <w:szCs w:val="21"/>
              </w:rPr>
            </w:pPr>
            <w:r>
              <w:rPr>
                <w:color w:val="000000" w:themeColor="text1"/>
              </w:rPr>
              <w:t>√</w:t>
            </w:r>
          </w:p>
        </w:tc>
        <w:tc>
          <w:tcPr>
            <w:tcW w:w="2967" w:type="dxa"/>
            <w:tcBorders>
              <w:tl2br w:val="nil"/>
              <w:tr2bl w:val="nil"/>
            </w:tcBorders>
            <w:vAlign w:val="center"/>
          </w:tcPr>
          <w:p w14:paraId="2B0A5E75" w14:textId="77777777" w:rsidR="002D2AF8" w:rsidRDefault="00000000">
            <w:pPr>
              <w:snapToGrid w:val="0"/>
              <w:rPr>
                <w:color w:val="000000" w:themeColor="text1"/>
                <w:szCs w:val="21"/>
              </w:rPr>
            </w:pPr>
            <w:r>
              <w:rPr>
                <w:color w:val="000000" w:themeColor="text1"/>
                <w:szCs w:val="21"/>
              </w:rPr>
              <w:t>现场建立有硫化氢气体检测仪台账，并经定期检测合格。</w:t>
            </w:r>
          </w:p>
        </w:tc>
      </w:tr>
      <w:tr w:rsidR="002D2AF8" w14:paraId="7DDFD227" w14:textId="77777777">
        <w:trPr>
          <w:jc w:val="center"/>
        </w:trPr>
        <w:tc>
          <w:tcPr>
            <w:tcW w:w="495" w:type="dxa"/>
            <w:tcBorders>
              <w:tl2br w:val="nil"/>
              <w:tr2bl w:val="nil"/>
            </w:tcBorders>
            <w:vAlign w:val="center"/>
          </w:tcPr>
          <w:p w14:paraId="08C9D138"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416BFF6D" w14:textId="77777777" w:rsidR="002D2AF8" w:rsidRDefault="00000000">
            <w:pPr>
              <w:overflowPunct w:val="0"/>
              <w:snapToGrid w:val="0"/>
              <w:jc w:val="left"/>
              <w:rPr>
                <w:color w:val="000000" w:themeColor="text1"/>
                <w:kern w:val="0"/>
                <w:szCs w:val="21"/>
              </w:rPr>
            </w:pPr>
            <w:r>
              <w:rPr>
                <w:color w:val="000000" w:themeColor="text1"/>
                <w:kern w:val="0"/>
                <w:szCs w:val="21"/>
              </w:rPr>
              <w:t>绝缘手套、绝缘靴（鞋）每半年进行一次工频耐压试验。</w:t>
            </w:r>
          </w:p>
        </w:tc>
        <w:tc>
          <w:tcPr>
            <w:tcW w:w="1692" w:type="dxa"/>
            <w:tcBorders>
              <w:tl2br w:val="nil"/>
              <w:tr2bl w:val="nil"/>
            </w:tcBorders>
            <w:vAlign w:val="center"/>
          </w:tcPr>
          <w:p w14:paraId="6732C745" w14:textId="77777777" w:rsidR="002D2AF8" w:rsidRDefault="00000000">
            <w:pPr>
              <w:overflowPunct w:val="0"/>
              <w:snapToGrid w:val="0"/>
              <w:jc w:val="center"/>
              <w:rPr>
                <w:color w:val="000000" w:themeColor="text1"/>
                <w:kern w:val="0"/>
                <w:szCs w:val="21"/>
              </w:rPr>
            </w:pPr>
            <w:r>
              <w:rPr>
                <w:color w:val="000000" w:themeColor="text1"/>
                <w:kern w:val="0"/>
                <w:szCs w:val="21"/>
              </w:rPr>
              <w:t>DL/T1476-2015</w:t>
            </w:r>
          </w:p>
          <w:p w14:paraId="221397A2" w14:textId="77777777" w:rsidR="002D2AF8" w:rsidRDefault="00000000">
            <w:pPr>
              <w:overflowPunct w:val="0"/>
              <w:snapToGrid w:val="0"/>
              <w:jc w:val="center"/>
              <w:rPr>
                <w:color w:val="000000" w:themeColor="text1"/>
                <w:kern w:val="0"/>
                <w:szCs w:val="21"/>
              </w:rPr>
            </w:pPr>
            <w:r>
              <w:rPr>
                <w:color w:val="000000" w:themeColor="text1"/>
                <w:kern w:val="0"/>
                <w:szCs w:val="21"/>
              </w:rPr>
              <w:t>6.3.1.2</w:t>
            </w:r>
            <w:r>
              <w:rPr>
                <w:color w:val="000000" w:themeColor="text1"/>
                <w:kern w:val="0"/>
                <w:szCs w:val="21"/>
              </w:rPr>
              <w:t>、</w:t>
            </w:r>
            <w:r>
              <w:rPr>
                <w:color w:val="000000" w:themeColor="text1"/>
                <w:kern w:val="0"/>
                <w:szCs w:val="21"/>
              </w:rPr>
              <w:t>6.3.1.3</w:t>
            </w:r>
          </w:p>
        </w:tc>
        <w:tc>
          <w:tcPr>
            <w:tcW w:w="702" w:type="dxa"/>
            <w:tcBorders>
              <w:tl2br w:val="nil"/>
              <w:tr2bl w:val="nil"/>
            </w:tcBorders>
            <w:vAlign w:val="center"/>
          </w:tcPr>
          <w:p w14:paraId="64ACD51A" w14:textId="77777777" w:rsidR="002D2AF8" w:rsidRDefault="00000000">
            <w:pPr>
              <w:snapToGrid w:val="0"/>
              <w:jc w:val="center"/>
              <w:rPr>
                <w:color w:val="000000" w:themeColor="text1"/>
                <w:kern w:val="0"/>
                <w:szCs w:val="21"/>
              </w:rPr>
            </w:pPr>
            <w:r>
              <w:rPr>
                <w:color w:val="000000" w:themeColor="text1"/>
              </w:rPr>
              <w:t>√</w:t>
            </w:r>
          </w:p>
        </w:tc>
        <w:tc>
          <w:tcPr>
            <w:tcW w:w="2967" w:type="dxa"/>
            <w:tcBorders>
              <w:tl2br w:val="nil"/>
              <w:tr2bl w:val="nil"/>
            </w:tcBorders>
            <w:vAlign w:val="center"/>
          </w:tcPr>
          <w:p w14:paraId="55782993" w14:textId="77777777" w:rsidR="002D2AF8" w:rsidRDefault="00000000">
            <w:pPr>
              <w:snapToGrid w:val="0"/>
              <w:rPr>
                <w:color w:val="000000" w:themeColor="text1"/>
                <w:szCs w:val="21"/>
              </w:rPr>
            </w:pPr>
            <w:r>
              <w:rPr>
                <w:color w:val="000000" w:themeColor="text1"/>
                <w:szCs w:val="21"/>
              </w:rPr>
              <w:t>绝缘手套、绝缘靴（鞋）进行了定期检测。</w:t>
            </w:r>
          </w:p>
        </w:tc>
      </w:tr>
      <w:tr w:rsidR="002D2AF8" w14:paraId="1A7574D6" w14:textId="77777777">
        <w:trPr>
          <w:jc w:val="center"/>
        </w:trPr>
        <w:tc>
          <w:tcPr>
            <w:tcW w:w="495" w:type="dxa"/>
            <w:tcBorders>
              <w:tl2br w:val="nil"/>
              <w:tr2bl w:val="nil"/>
            </w:tcBorders>
            <w:vAlign w:val="center"/>
          </w:tcPr>
          <w:p w14:paraId="0E8E15A3" w14:textId="77777777" w:rsidR="002D2AF8" w:rsidRDefault="002D2AF8">
            <w:pPr>
              <w:numPr>
                <w:ilvl w:val="0"/>
                <w:numId w:val="13"/>
              </w:numPr>
              <w:snapToGrid w:val="0"/>
              <w:spacing w:beforeLines="20" w:before="65" w:afterLines="20" w:after="65"/>
              <w:jc w:val="left"/>
              <w:rPr>
                <w:color w:val="000000" w:themeColor="text1"/>
                <w:szCs w:val="21"/>
              </w:rPr>
            </w:pPr>
          </w:p>
        </w:tc>
        <w:tc>
          <w:tcPr>
            <w:tcW w:w="3291" w:type="dxa"/>
            <w:tcBorders>
              <w:tl2br w:val="nil"/>
              <w:tr2bl w:val="nil"/>
            </w:tcBorders>
            <w:vAlign w:val="center"/>
          </w:tcPr>
          <w:p w14:paraId="7BE0BE3E" w14:textId="77777777" w:rsidR="002D2AF8" w:rsidRDefault="00000000">
            <w:pPr>
              <w:overflowPunct w:val="0"/>
              <w:snapToGrid w:val="0"/>
              <w:jc w:val="left"/>
              <w:rPr>
                <w:color w:val="000000" w:themeColor="text1"/>
                <w:kern w:val="0"/>
                <w:szCs w:val="21"/>
              </w:rPr>
            </w:pPr>
            <w:r>
              <w:rPr>
                <w:color w:val="000000" w:themeColor="text1"/>
                <w:kern w:val="0"/>
                <w:szCs w:val="21"/>
              </w:rPr>
              <w:t>安全阀的校验周期应当符合以下要求：</w:t>
            </w:r>
          </w:p>
          <w:p w14:paraId="77EF3AEB" w14:textId="77777777" w:rsidR="002D2AF8" w:rsidRDefault="00000000">
            <w:pPr>
              <w:numPr>
                <w:ilvl w:val="0"/>
                <w:numId w:val="15"/>
              </w:numPr>
              <w:overflowPunct w:val="0"/>
              <w:snapToGrid w:val="0"/>
              <w:jc w:val="left"/>
              <w:rPr>
                <w:color w:val="000000" w:themeColor="text1"/>
                <w:kern w:val="0"/>
                <w:szCs w:val="21"/>
              </w:rPr>
            </w:pPr>
            <w:r>
              <w:rPr>
                <w:color w:val="000000" w:themeColor="text1"/>
                <w:kern w:val="0"/>
                <w:szCs w:val="21"/>
              </w:rPr>
              <w:t>安全阀定期校验，一般每年至少一次，安全技术规范有相应规定的从其规定；</w:t>
            </w:r>
          </w:p>
          <w:p w14:paraId="2FB446E1" w14:textId="77777777" w:rsidR="002D2AF8" w:rsidRDefault="00000000">
            <w:pPr>
              <w:numPr>
                <w:ilvl w:val="0"/>
                <w:numId w:val="15"/>
              </w:numPr>
              <w:overflowPunct w:val="0"/>
              <w:snapToGrid w:val="0"/>
              <w:jc w:val="left"/>
              <w:rPr>
                <w:color w:val="000000" w:themeColor="text1"/>
                <w:kern w:val="0"/>
                <w:szCs w:val="21"/>
              </w:rPr>
            </w:pPr>
            <w:r>
              <w:rPr>
                <w:color w:val="000000" w:themeColor="text1"/>
                <w:kern w:val="0"/>
                <w:szCs w:val="21"/>
              </w:rPr>
              <w:t>经解体、修理或更换部件的安全阀，应当重新进行校验。</w:t>
            </w:r>
          </w:p>
        </w:tc>
        <w:tc>
          <w:tcPr>
            <w:tcW w:w="1692" w:type="dxa"/>
            <w:tcBorders>
              <w:tl2br w:val="nil"/>
              <w:tr2bl w:val="nil"/>
            </w:tcBorders>
            <w:vAlign w:val="center"/>
          </w:tcPr>
          <w:p w14:paraId="320FE2CE" w14:textId="77777777" w:rsidR="002D2AF8" w:rsidRDefault="00000000">
            <w:pPr>
              <w:overflowPunct w:val="0"/>
              <w:snapToGrid w:val="0"/>
              <w:jc w:val="center"/>
              <w:rPr>
                <w:color w:val="000000" w:themeColor="text1"/>
                <w:spacing w:val="-6"/>
                <w:kern w:val="0"/>
                <w:szCs w:val="21"/>
              </w:rPr>
            </w:pPr>
            <w:r>
              <w:rPr>
                <w:color w:val="000000" w:themeColor="text1"/>
                <w:spacing w:val="-6"/>
                <w:kern w:val="0"/>
                <w:szCs w:val="21"/>
              </w:rPr>
              <w:t>TSGZF001-2006</w:t>
            </w:r>
          </w:p>
          <w:p w14:paraId="267CD41A" w14:textId="77777777" w:rsidR="002D2AF8" w:rsidRDefault="00000000">
            <w:pPr>
              <w:overflowPunct w:val="0"/>
              <w:snapToGrid w:val="0"/>
              <w:jc w:val="center"/>
              <w:rPr>
                <w:color w:val="000000" w:themeColor="text1"/>
                <w:kern w:val="0"/>
                <w:szCs w:val="21"/>
              </w:rPr>
            </w:pPr>
            <w:r>
              <w:rPr>
                <w:color w:val="000000" w:themeColor="text1"/>
                <w:kern w:val="0"/>
                <w:szCs w:val="21"/>
              </w:rPr>
              <w:t>B6.3.1</w:t>
            </w:r>
          </w:p>
        </w:tc>
        <w:tc>
          <w:tcPr>
            <w:tcW w:w="702" w:type="dxa"/>
            <w:tcBorders>
              <w:tl2br w:val="nil"/>
              <w:tr2bl w:val="nil"/>
            </w:tcBorders>
            <w:vAlign w:val="center"/>
          </w:tcPr>
          <w:p w14:paraId="1DE1A611" w14:textId="77777777" w:rsidR="002D2AF8" w:rsidRDefault="00000000">
            <w:pPr>
              <w:snapToGrid w:val="0"/>
              <w:jc w:val="center"/>
              <w:rPr>
                <w:color w:val="000000" w:themeColor="text1"/>
                <w:kern w:val="0"/>
                <w:szCs w:val="21"/>
              </w:rPr>
            </w:pPr>
            <w:r>
              <w:rPr>
                <w:color w:val="000000" w:themeColor="text1"/>
              </w:rPr>
              <w:t>√</w:t>
            </w:r>
          </w:p>
        </w:tc>
        <w:tc>
          <w:tcPr>
            <w:tcW w:w="2967" w:type="dxa"/>
            <w:tcBorders>
              <w:tl2br w:val="nil"/>
              <w:tr2bl w:val="nil"/>
            </w:tcBorders>
            <w:vAlign w:val="center"/>
          </w:tcPr>
          <w:p w14:paraId="74AC8BA0" w14:textId="77777777" w:rsidR="002D2AF8" w:rsidRDefault="00000000">
            <w:pPr>
              <w:snapToGrid w:val="0"/>
              <w:rPr>
                <w:color w:val="000000" w:themeColor="text1"/>
                <w:szCs w:val="21"/>
              </w:rPr>
            </w:pPr>
            <w:r>
              <w:rPr>
                <w:color w:val="000000" w:themeColor="text1"/>
                <w:szCs w:val="21"/>
              </w:rPr>
              <w:t>现场安全阀定期校验合格。</w:t>
            </w:r>
          </w:p>
        </w:tc>
      </w:tr>
    </w:tbl>
    <w:p w14:paraId="270FE506" w14:textId="77777777" w:rsidR="002D2AF8"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评价小结：</w:t>
      </w:r>
    </w:p>
    <w:p w14:paraId="27D1E242"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rPr>
        <w:t>STS2RP7</w:t>
      </w:r>
      <w:r>
        <w:rPr>
          <w:color w:val="000000" w:themeColor="text1"/>
          <w:sz w:val="28"/>
        </w:rPr>
        <w:t>井</w:t>
      </w:r>
      <w:r>
        <w:rPr>
          <w:rFonts w:hint="eastAsia"/>
          <w:color w:val="000000" w:themeColor="text1"/>
          <w:sz w:val="28"/>
        </w:rPr>
        <w:t>（堵水</w:t>
      </w:r>
      <w:r>
        <w:rPr>
          <w:rFonts w:hint="eastAsia"/>
          <w:color w:val="000000" w:themeColor="text1"/>
          <w:sz w:val="28"/>
        </w:rPr>
        <w:t>/</w:t>
      </w:r>
      <w:r>
        <w:rPr>
          <w:rFonts w:hint="eastAsia"/>
          <w:color w:val="000000" w:themeColor="text1"/>
          <w:sz w:val="28"/>
        </w:rPr>
        <w:t>调剖）</w:t>
      </w:r>
      <w:r>
        <w:rPr>
          <w:color w:val="000000" w:themeColor="text1"/>
          <w:sz w:val="28"/>
          <w:szCs w:val="28"/>
        </w:rPr>
        <w:t>安全检查表共设</w:t>
      </w:r>
      <w:r>
        <w:rPr>
          <w:rFonts w:hint="eastAsia"/>
          <w:color w:val="000000" w:themeColor="text1"/>
          <w:sz w:val="28"/>
          <w:szCs w:val="28"/>
        </w:rPr>
        <w:t>54</w:t>
      </w:r>
      <w:r>
        <w:rPr>
          <w:color w:val="000000" w:themeColor="text1"/>
          <w:sz w:val="28"/>
          <w:szCs w:val="28"/>
        </w:rPr>
        <w:t>项检查内容，</w:t>
      </w:r>
      <w:r>
        <w:rPr>
          <w:rFonts w:hint="eastAsia"/>
          <w:color w:val="000000" w:themeColor="text1"/>
          <w:sz w:val="28"/>
          <w:szCs w:val="28"/>
        </w:rPr>
        <w:t>50</w:t>
      </w:r>
      <w:r>
        <w:rPr>
          <w:color w:val="000000" w:themeColor="text1"/>
          <w:sz w:val="28"/>
          <w:szCs w:val="28"/>
        </w:rPr>
        <w:t>项符合要求，</w:t>
      </w:r>
      <w:r>
        <w:rPr>
          <w:rFonts w:hint="eastAsia"/>
          <w:color w:val="000000" w:themeColor="text1"/>
          <w:sz w:val="28"/>
          <w:szCs w:val="28"/>
        </w:rPr>
        <w:t>4</w:t>
      </w:r>
      <w:r>
        <w:rPr>
          <w:color w:val="000000" w:themeColor="text1"/>
          <w:sz w:val="28"/>
          <w:szCs w:val="28"/>
        </w:rPr>
        <w:t>项不符合：</w:t>
      </w:r>
      <w:r>
        <w:rPr>
          <w:color w:val="000000" w:themeColor="text1"/>
          <w:sz w:val="28"/>
          <w:szCs w:val="28"/>
        </w:rPr>
        <w:t>1.</w:t>
      </w:r>
      <w:r>
        <w:rPr>
          <w:color w:val="000000" w:themeColor="text1"/>
          <w:sz w:val="28"/>
          <w:szCs w:val="28"/>
        </w:rPr>
        <w:t>配液罐未安装液位计。</w:t>
      </w:r>
      <w:r>
        <w:rPr>
          <w:color w:val="000000" w:themeColor="text1"/>
          <w:sz w:val="28"/>
          <w:szCs w:val="28"/>
        </w:rPr>
        <w:t>2.</w:t>
      </w:r>
      <w:r>
        <w:rPr>
          <w:color w:val="000000" w:themeColor="text1"/>
          <w:sz w:val="28"/>
          <w:szCs w:val="28"/>
        </w:rPr>
        <w:t>现场警示标志设置不全，缺少</w:t>
      </w:r>
      <w:r>
        <w:rPr>
          <w:color w:val="000000" w:themeColor="text1"/>
          <w:sz w:val="28"/>
          <w:szCs w:val="28"/>
        </w:rPr>
        <w:t>“</w:t>
      </w:r>
      <w:r>
        <w:rPr>
          <w:color w:val="000000" w:themeColor="text1"/>
          <w:sz w:val="28"/>
          <w:szCs w:val="28"/>
        </w:rPr>
        <w:t>当心井喷</w:t>
      </w:r>
      <w:r>
        <w:rPr>
          <w:color w:val="000000" w:themeColor="text1"/>
          <w:sz w:val="28"/>
          <w:szCs w:val="28"/>
        </w:rPr>
        <w:t>”</w:t>
      </w:r>
      <w:r>
        <w:rPr>
          <w:color w:val="000000" w:themeColor="text1"/>
          <w:sz w:val="28"/>
          <w:szCs w:val="28"/>
        </w:rPr>
        <w:t>，</w:t>
      </w:r>
      <w:r>
        <w:rPr>
          <w:color w:val="000000" w:themeColor="text1"/>
          <w:sz w:val="28"/>
          <w:szCs w:val="28"/>
        </w:rPr>
        <w:t>“</w:t>
      </w:r>
      <w:r>
        <w:rPr>
          <w:color w:val="000000" w:themeColor="text1"/>
          <w:sz w:val="28"/>
          <w:szCs w:val="28"/>
        </w:rPr>
        <w:t>当心中毒</w:t>
      </w:r>
      <w:r>
        <w:rPr>
          <w:color w:val="000000" w:themeColor="text1"/>
          <w:sz w:val="28"/>
          <w:szCs w:val="28"/>
        </w:rPr>
        <w:t>”</w:t>
      </w:r>
      <w:r>
        <w:rPr>
          <w:color w:val="000000" w:themeColor="text1"/>
          <w:sz w:val="28"/>
          <w:szCs w:val="28"/>
        </w:rPr>
        <w:t>等安全警示标志。</w:t>
      </w:r>
      <w:r>
        <w:rPr>
          <w:color w:val="000000" w:themeColor="text1"/>
          <w:sz w:val="28"/>
          <w:szCs w:val="28"/>
        </w:rPr>
        <w:t>3.</w:t>
      </w:r>
      <w:r>
        <w:rPr>
          <w:rFonts w:hint="eastAsia"/>
          <w:color w:val="000000" w:themeColor="text1"/>
          <w:sz w:val="28"/>
          <w:szCs w:val="28"/>
        </w:rPr>
        <w:t>配电箱</w:t>
      </w:r>
      <w:r>
        <w:rPr>
          <w:rFonts w:hint="eastAsia"/>
          <w:color w:val="000000" w:themeColor="text1"/>
          <w:sz w:val="28"/>
          <w:szCs w:val="28"/>
        </w:rPr>
        <w:lastRenderedPageBreak/>
        <w:t>门</w:t>
      </w:r>
      <w:r>
        <w:rPr>
          <w:color w:val="000000" w:themeColor="text1"/>
          <w:sz w:val="28"/>
          <w:szCs w:val="28"/>
        </w:rPr>
        <w:t>未设专人管理。</w:t>
      </w:r>
      <w:r>
        <w:rPr>
          <w:rFonts w:hint="eastAsia"/>
          <w:color w:val="000000" w:themeColor="text1"/>
          <w:sz w:val="28"/>
          <w:szCs w:val="28"/>
        </w:rPr>
        <w:t>4.</w:t>
      </w:r>
      <w:r>
        <w:rPr>
          <w:rFonts w:hint="eastAsia"/>
          <w:color w:val="000000" w:themeColor="text1"/>
          <w:sz w:val="28"/>
          <w:szCs w:val="28"/>
        </w:rPr>
        <w:t>配电箱</w:t>
      </w:r>
      <w:r>
        <w:rPr>
          <w:color w:val="000000" w:themeColor="text1"/>
          <w:sz w:val="28"/>
          <w:szCs w:val="28"/>
        </w:rPr>
        <w:t>未见定期检查和维修记录。</w:t>
      </w:r>
    </w:p>
    <w:p w14:paraId="39E1D7F7" w14:textId="77777777" w:rsidR="002D2AF8" w:rsidRDefault="00000000">
      <w:pPr>
        <w:adjustRightInd w:val="0"/>
        <w:snapToGrid w:val="0"/>
        <w:spacing w:line="360" w:lineRule="auto"/>
        <w:outlineLvl w:val="2"/>
        <w:rPr>
          <w:rFonts w:eastAsia="黑体"/>
          <w:color w:val="000000" w:themeColor="text1"/>
          <w:sz w:val="28"/>
          <w:szCs w:val="28"/>
        </w:rPr>
      </w:pPr>
      <w:r>
        <w:rPr>
          <w:rFonts w:eastAsia="黑体"/>
          <w:color w:val="000000" w:themeColor="text1"/>
          <w:sz w:val="28"/>
          <w:szCs w:val="28"/>
        </w:rPr>
        <w:t>5.1.</w:t>
      </w:r>
      <w:r>
        <w:rPr>
          <w:rFonts w:eastAsia="黑体" w:hint="eastAsia"/>
          <w:color w:val="000000" w:themeColor="text1"/>
          <w:sz w:val="28"/>
          <w:szCs w:val="28"/>
        </w:rPr>
        <w:t>2</w:t>
      </w:r>
      <w:r>
        <w:rPr>
          <w:rFonts w:eastAsia="黑体"/>
          <w:color w:val="000000" w:themeColor="text1"/>
          <w:sz w:val="28"/>
          <w:szCs w:val="28"/>
        </w:rPr>
        <w:t xml:space="preserve"> </w:t>
      </w:r>
      <w:r>
        <w:rPr>
          <w:rFonts w:eastAsia="黑体"/>
          <w:color w:val="000000" w:themeColor="text1"/>
          <w:sz w:val="28"/>
          <w:szCs w:val="28"/>
        </w:rPr>
        <w:t>测试安全检查表</w:t>
      </w:r>
    </w:p>
    <w:p w14:paraId="2826FE57" w14:textId="77777777" w:rsidR="002D2AF8" w:rsidRDefault="00000000">
      <w:pPr>
        <w:pStyle w:val="li"/>
        <w:adjustRightInd w:val="0"/>
        <w:snapToGrid w:val="0"/>
        <w:spacing w:line="360" w:lineRule="auto"/>
        <w:ind w:firstLine="566"/>
        <w:jc w:val="both"/>
        <w:rPr>
          <w:color w:val="000000" w:themeColor="text1"/>
        </w:rPr>
      </w:pPr>
      <w:r>
        <w:rPr>
          <w:rFonts w:hint="eastAsia"/>
          <w:color w:val="000000" w:themeColor="text1"/>
        </w:rPr>
        <w:t>1.</w:t>
      </w:r>
      <w:r>
        <w:rPr>
          <w:rFonts w:hint="eastAsia"/>
          <w:color w:val="000000" w:themeColor="text1"/>
        </w:rPr>
        <w:t>测试设备</w:t>
      </w:r>
    </w:p>
    <w:p w14:paraId="7AF820C0" w14:textId="77777777" w:rsidR="002D2AF8" w:rsidRDefault="00000000">
      <w:pPr>
        <w:pStyle w:val="li"/>
        <w:adjustRightInd w:val="0"/>
        <w:snapToGrid w:val="0"/>
        <w:spacing w:line="360" w:lineRule="auto"/>
        <w:ind w:firstLine="566"/>
        <w:jc w:val="both"/>
        <w:rPr>
          <w:color w:val="000000" w:themeColor="text1"/>
        </w:rPr>
      </w:pPr>
      <w:r>
        <w:rPr>
          <w:rFonts w:hint="eastAsia"/>
          <w:color w:val="000000" w:themeColor="text1"/>
        </w:rPr>
        <w:t>自接受委托以来，胜兴堵驱公司一直未接到测试作业的业务，评价组对胜兴堵驱公司测试作业涉及的测试车（成都航发特种车有限公司生产）等设备及操作规程、安全设施等各项安全生产条件进行了检查，详见下图。</w:t>
      </w:r>
    </w:p>
    <w:p w14:paraId="1C0D5B17" w14:textId="2EE3533D" w:rsidR="002D2AF8" w:rsidRDefault="00000000">
      <w:pPr>
        <w:pStyle w:val="Char3"/>
        <w:widowControl w:val="0"/>
        <w:adjustRightInd w:val="0"/>
        <w:snapToGrid w:val="0"/>
        <w:spacing w:after="0" w:line="360" w:lineRule="auto"/>
        <w:jc w:val="center"/>
        <w:rPr>
          <w:bCs/>
          <w:color w:val="000000" w:themeColor="text1"/>
          <w:sz w:val="24"/>
          <w:szCs w:val="24"/>
        </w:rPr>
      </w:pPr>
      <w:r>
        <w:rPr>
          <w:b/>
          <w:noProof/>
          <w:color w:val="000000" w:themeColor="text1"/>
          <w:sz w:val="24"/>
          <w:szCs w:val="24"/>
        </w:rPr>
        <w:drawing>
          <wp:inline distT="0" distB="0" distL="114300" distR="114300" wp14:anchorId="5FF236B4" wp14:editId="61FD1E8E">
            <wp:extent cx="5264785" cy="4789170"/>
            <wp:effectExtent l="0" t="0" r="8255" b="11430"/>
            <wp:docPr id="16" name="图片 16" descr="QQ图片20220923112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QQ图片20220923112042"/>
                    <pic:cNvPicPr>
                      <a:picLocks noChangeAspect="1"/>
                    </pic:cNvPicPr>
                  </pic:nvPicPr>
                  <pic:blipFill>
                    <a:blip r:embed="rId32"/>
                    <a:stretch>
                      <a:fillRect/>
                    </a:stretch>
                  </pic:blipFill>
                  <pic:spPr>
                    <a:xfrm>
                      <a:off x="0" y="0"/>
                      <a:ext cx="5264785" cy="4789170"/>
                    </a:xfrm>
                    <a:prstGeom prst="rect">
                      <a:avLst/>
                    </a:prstGeom>
                  </pic:spPr>
                </pic:pic>
              </a:graphicData>
            </a:graphic>
          </wp:inline>
        </w:drawing>
      </w:r>
      <w:r>
        <w:rPr>
          <w:b/>
          <w:color w:val="000000" w:themeColor="text1"/>
          <w:sz w:val="24"/>
          <w:szCs w:val="24"/>
        </w:rPr>
        <w:t>图</w:t>
      </w:r>
      <w:r>
        <w:rPr>
          <w:b/>
          <w:color w:val="000000" w:themeColor="text1"/>
          <w:sz w:val="24"/>
          <w:szCs w:val="24"/>
        </w:rPr>
        <w:t xml:space="preserve">5-2 </w:t>
      </w:r>
      <w:r>
        <w:rPr>
          <w:rFonts w:hint="eastAsia"/>
          <w:b/>
          <w:color w:val="000000" w:themeColor="text1"/>
          <w:sz w:val="24"/>
          <w:szCs w:val="24"/>
        </w:rPr>
        <w:t>胜兴堵驱公司测试设备设施</w:t>
      </w:r>
    </w:p>
    <w:p w14:paraId="476C4637" w14:textId="77777777" w:rsidR="002D2AF8" w:rsidRDefault="00000000">
      <w:pPr>
        <w:pStyle w:val="li"/>
        <w:adjustRightInd w:val="0"/>
        <w:snapToGrid w:val="0"/>
        <w:spacing w:line="360" w:lineRule="auto"/>
        <w:ind w:firstLine="566"/>
        <w:jc w:val="both"/>
        <w:rPr>
          <w:color w:val="000000" w:themeColor="text1"/>
        </w:rPr>
      </w:pPr>
      <w:r>
        <w:rPr>
          <w:rFonts w:hint="eastAsia"/>
          <w:color w:val="000000" w:themeColor="text1"/>
        </w:rPr>
        <w:t>2.</w:t>
      </w:r>
      <w:r>
        <w:rPr>
          <w:rFonts w:hint="eastAsia"/>
          <w:color w:val="000000" w:themeColor="text1"/>
        </w:rPr>
        <w:t>安全检查表</w:t>
      </w:r>
    </w:p>
    <w:p w14:paraId="1FCE830D" w14:textId="77777777" w:rsidR="002D2AF8" w:rsidRDefault="00000000">
      <w:pPr>
        <w:pStyle w:val="li"/>
        <w:adjustRightInd w:val="0"/>
        <w:snapToGrid w:val="0"/>
        <w:spacing w:line="360" w:lineRule="auto"/>
        <w:ind w:firstLine="566"/>
        <w:jc w:val="both"/>
        <w:rPr>
          <w:color w:val="000000" w:themeColor="text1"/>
        </w:rPr>
      </w:pPr>
      <w:r>
        <w:rPr>
          <w:color w:val="000000" w:themeColor="text1"/>
        </w:rPr>
        <w:t>本节根据《井下作业安全规程》（</w:t>
      </w:r>
      <w:r>
        <w:rPr>
          <w:color w:val="000000" w:themeColor="text1"/>
        </w:rPr>
        <w:t>SY/T5727-2020</w:t>
      </w:r>
      <w:r>
        <w:rPr>
          <w:color w:val="000000" w:themeColor="text1"/>
        </w:rPr>
        <w:t>）</w:t>
      </w:r>
      <w:r>
        <w:rPr>
          <w:rFonts w:hint="eastAsia"/>
          <w:color w:val="000000" w:themeColor="text1"/>
        </w:rPr>
        <w:t>、《常规地层测试技术规程》（</w:t>
      </w:r>
      <w:r>
        <w:rPr>
          <w:rFonts w:hint="eastAsia"/>
          <w:color w:val="000000" w:themeColor="text1"/>
        </w:rPr>
        <w:t>SY/T5483-2017</w:t>
      </w:r>
      <w:r>
        <w:rPr>
          <w:rFonts w:hint="eastAsia"/>
          <w:color w:val="000000" w:themeColor="text1"/>
        </w:rPr>
        <w:t>）</w:t>
      </w:r>
      <w:r>
        <w:rPr>
          <w:color w:val="000000" w:themeColor="text1"/>
        </w:rPr>
        <w:t>等标准，对本项目生产单元进行安全评价，具体评价过程见表</w:t>
      </w:r>
      <w:r>
        <w:rPr>
          <w:color w:val="000000" w:themeColor="text1"/>
        </w:rPr>
        <w:t>5-</w:t>
      </w:r>
      <w:r>
        <w:rPr>
          <w:rFonts w:hint="eastAsia"/>
          <w:color w:val="000000" w:themeColor="text1"/>
        </w:rPr>
        <w:t>4</w:t>
      </w:r>
      <w:r>
        <w:rPr>
          <w:color w:val="000000" w:themeColor="text1"/>
        </w:rPr>
        <w:t>。</w:t>
      </w:r>
    </w:p>
    <w:p w14:paraId="50863FBF" w14:textId="77777777" w:rsidR="002D2AF8" w:rsidRDefault="00000000">
      <w:pPr>
        <w:pStyle w:val="li"/>
        <w:adjustRightInd w:val="0"/>
        <w:snapToGrid w:val="0"/>
        <w:spacing w:line="360" w:lineRule="auto"/>
        <w:ind w:firstLineChars="0" w:firstLine="0"/>
        <w:jc w:val="center"/>
        <w:rPr>
          <w:b/>
          <w:color w:val="000000" w:themeColor="text1"/>
          <w:sz w:val="24"/>
          <w:szCs w:val="24"/>
        </w:rPr>
      </w:pPr>
      <w:r>
        <w:rPr>
          <w:b/>
          <w:color w:val="000000" w:themeColor="text1"/>
          <w:sz w:val="24"/>
          <w:szCs w:val="24"/>
        </w:rPr>
        <w:lastRenderedPageBreak/>
        <w:t>表</w:t>
      </w:r>
      <w:r>
        <w:rPr>
          <w:b/>
          <w:color w:val="000000" w:themeColor="text1"/>
          <w:sz w:val="24"/>
          <w:szCs w:val="24"/>
        </w:rPr>
        <w:t>5-</w:t>
      </w:r>
      <w:r>
        <w:rPr>
          <w:rFonts w:hint="eastAsia"/>
          <w:b/>
          <w:color w:val="000000" w:themeColor="text1"/>
          <w:sz w:val="24"/>
          <w:szCs w:val="24"/>
        </w:rPr>
        <w:t>4</w:t>
      </w:r>
      <w:r>
        <w:rPr>
          <w:b/>
          <w:color w:val="000000" w:themeColor="text1"/>
          <w:sz w:val="24"/>
          <w:szCs w:val="24"/>
        </w:rPr>
        <w:t xml:space="preserve">  </w:t>
      </w:r>
      <w:r>
        <w:rPr>
          <w:b/>
          <w:color w:val="000000" w:themeColor="text1"/>
          <w:sz w:val="24"/>
          <w:szCs w:val="24"/>
        </w:rPr>
        <w:t>测试作业安全检查表</w:t>
      </w:r>
    </w:p>
    <w:tbl>
      <w:tblPr>
        <w:tblW w:w="4998"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459"/>
        <w:gridCol w:w="3063"/>
        <w:gridCol w:w="1636"/>
        <w:gridCol w:w="679"/>
        <w:gridCol w:w="2676"/>
      </w:tblGrid>
      <w:tr w:rsidR="002D2AF8" w14:paraId="25038762" w14:textId="77777777">
        <w:trPr>
          <w:tblHeader/>
          <w:jc w:val="center"/>
        </w:trPr>
        <w:tc>
          <w:tcPr>
            <w:tcW w:w="269" w:type="pct"/>
            <w:tcBorders>
              <w:tl2br w:val="nil"/>
              <w:tr2bl w:val="nil"/>
            </w:tcBorders>
            <w:vAlign w:val="center"/>
          </w:tcPr>
          <w:p w14:paraId="49485ACD" w14:textId="77777777" w:rsidR="002D2AF8" w:rsidRDefault="00000000">
            <w:pPr>
              <w:snapToGrid w:val="0"/>
              <w:spacing w:beforeLines="20" w:before="65" w:afterLines="20" w:after="65"/>
              <w:jc w:val="center"/>
              <w:rPr>
                <w:b/>
                <w:color w:val="000000" w:themeColor="text1"/>
              </w:rPr>
            </w:pPr>
            <w:bookmarkStart w:id="105" w:name="_Toc5890"/>
            <w:bookmarkStart w:id="106" w:name="_Toc26207"/>
            <w:r>
              <w:rPr>
                <w:rFonts w:ascii="宋体" w:hAnsi="宋体"/>
                <w:b/>
                <w:color w:val="000000" w:themeColor="text1"/>
              </w:rPr>
              <w:t>序号</w:t>
            </w:r>
          </w:p>
        </w:tc>
        <w:tc>
          <w:tcPr>
            <w:tcW w:w="1798" w:type="pct"/>
            <w:tcBorders>
              <w:tl2br w:val="nil"/>
              <w:tr2bl w:val="nil"/>
            </w:tcBorders>
            <w:vAlign w:val="center"/>
          </w:tcPr>
          <w:p w14:paraId="77D05132" w14:textId="77777777" w:rsidR="002D2AF8" w:rsidRDefault="00000000">
            <w:pPr>
              <w:snapToGrid w:val="0"/>
              <w:spacing w:beforeLines="20" w:before="65" w:afterLines="20" w:after="65"/>
              <w:jc w:val="center"/>
              <w:rPr>
                <w:b/>
                <w:color w:val="000000" w:themeColor="text1"/>
              </w:rPr>
            </w:pPr>
            <w:r>
              <w:rPr>
                <w:rFonts w:ascii="宋体" w:hAnsi="宋体"/>
                <w:b/>
                <w:color w:val="000000" w:themeColor="text1"/>
              </w:rPr>
              <w:t>检查项目</w:t>
            </w:r>
          </w:p>
        </w:tc>
        <w:tc>
          <w:tcPr>
            <w:tcW w:w="961" w:type="pct"/>
            <w:tcBorders>
              <w:tl2br w:val="nil"/>
              <w:tr2bl w:val="nil"/>
            </w:tcBorders>
            <w:vAlign w:val="center"/>
          </w:tcPr>
          <w:p w14:paraId="0DC7EC7E" w14:textId="77777777" w:rsidR="002D2AF8" w:rsidRDefault="00000000">
            <w:pPr>
              <w:snapToGrid w:val="0"/>
              <w:spacing w:beforeLines="20" w:before="65" w:afterLines="20" w:after="65"/>
              <w:jc w:val="center"/>
              <w:rPr>
                <w:b/>
                <w:color w:val="000000" w:themeColor="text1"/>
              </w:rPr>
            </w:pPr>
            <w:r>
              <w:rPr>
                <w:rFonts w:ascii="宋体" w:hAnsi="宋体"/>
                <w:b/>
                <w:color w:val="000000" w:themeColor="text1"/>
              </w:rPr>
              <w:t>检查依据</w:t>
            </w:r>
          </w:p>
        </w:tc>
        <w:tc>
          <w:tcPr>
            <w:tcW w:w="399" w:type="pct"/>
            <w:tcBorders>
              <w:tl2br w:val="nil"/>
              <w:tr2bl w:val="nil"/>
            </w:tcBorders>
            <w:vAlign w:val="center"/>
          </w:tcPr>
          <w:p w14:paraId="49C86508" w14:textId="77777777" w:rsidR="002D2AF8" w:rsidRDefault="00000000">
            <w:pPr>
              <w:snapToGrid w:val="0"/>
              <w:spacing w:beforeLines="20" w:before="65" w:afterLines="20" w:after="65"/>
              <w:jc w:val="center"/>
              <w:rPr>
                <w:b/>
                <w:color w:val="000000" w:themeColor="text1"/>
              </w:rPr>
            </w:pPr>
            <w:r>
              <w:rPr>
                <w:rFonts w:ascii="宋体" w:hAnsi="宋体"/>
                <w:b/>
                <w:color w:val="000000" w:themeColor="text1"/>
              </w:rPr>
              <w:t>检查</w:t>
            </w:r>
          </w:p>
          <w:p w14:paraId="27D8B3C8" w14:textId="77777777" w:rsidR="002D2AF8" w:rsidRDefault="00000000">
            <w:pPr>
              <w:snapToGrid w:val="0"/>
              <w:spacing w:beforeLines="20" w:before="65" w:afterLines="20" w:after="65"/>
              <w:jc w:val="center"/>
              <w:rPr>
                <w:b/>
                <w:color w:val="000000" w:themeColor="text1"/>
              </w:rPr>
            </w:pPr>
            <w:r>
              <w:rPr>
                <w:rFonts w:ascii="宋体" w:hAnsi="宋体"/>
                <w:b/>
                <w:color w:val="000000" w:themeColor="text1"/>
              </w:rPr>
              <w:t>结果</w:t>
            </w:r>
          </w:p>
        </w:tc>
        <w:tc>
          <w:tcPr>
            <w:tcW w:w="1571" w:type="pct"/>
            <w:tcBorders>
              <w:tl2br w:val="nil"/>
              <w:tr2bl w:val="nil"/>
            </w:tcBorders>
            <w:vAlign w:val="center"/>
          </w:tcPr>
          <w:p w14:paraId="3F75CB42" w14:textId="77777777" w:rsidR="002D2AF8" w:rsidRDefault="00000000">
            <w:pPr>
              <w:snapToGrid w:val="0"/>
              <w:spacing w:beforeLines="20" w:before="65" w:afterLines="20" w:after="65"/>
              <w:jc w:val="center"/>
              <w:rPr>
                <w:b/>
                <w:color w:val="000000" w:themeColor="text1"/>
              </w:rPr>
            </w:pPr>
            <w:r>
              <w:rPr>
                <w:rFonts w:ascii="宋体" w:hAnsi="宋体"/>
                <w:b/>
                <w:color w:val="000000" w:themeColor="text1"/>
              </w:rPr>
              <w:t>实际情况</w:t>
            </w:r>
          </w:p>
        </w:tc>
      </w:tr>
      <w:tr w:rsidR="002D2AF8" w14:paraId="2FE03340" w14:textId="77777777">
        <w:trPr>
          <w:jc w:val="center"/>
        </w:trPr>
        <w:tc>
          <w:tcPr>
            <w:tcW w:w="269" w:type="pct"/>
            <w:tcBorders>
              <w:tl2br w:val="nil"/>
              <w:tr2bl w:val="nil"/>
            </w:tcBorders>
            <w:vAlign w:val="center"/>
          </w:tcPr>
          <w:p w14:paraId="136D7D5E" w14:textId="77777777" w:rsidR="002D2AF8" w:rsidRDefault="002D2AF8">
            <w:pPr>
              <w:numPr>
                <w:ilvl w:val="0"/>
                <w:numId w:val="16"/>
              </w:numPr>
              <w:snapToGrid w:val="0"/>
              <w:spacing w:beforeLines="20" w:before="65" w:afterLines="20" w:after="65"/>
              <w:jc w:val="center"/>
              <w:rPr>
                <w:color w:val="000000" w:themeColor="text1"/>
              </w:rPr>
            </w:pPr>
          </w:p>
        </w:tc>
        <w:tc>
          <w:tcPr>
            <w:tcW w:w="1798" w:type="pct"/>
            <w:tcBorders>
              <w:tl2br w:val="nil"/>
              <w:tr2bl w:val="nil"/>
            </w:tcBorders>
            <w:vAlign w:val="center"/>
          </w:tcPr>
          <w:p w14:paraId="6A6F2C8D" w14:textId="77777777" w:rsidR="002D2AF8" w:rsidRDefault="00000000">
            <w:pPr>
              <w:snapToGrid w:val="0"/>
              <w:jc w:val="left"/>
              <w:rPr>
                <w:color w:val="000000" w:themeColor="text1"/>
              </w:rPr>
            </w:pPr>
            <w:r>
              <w:rPr>
                <w:rFonts w:ascii="宋体" w:hAnsi="宋体"/>
                <w:color w:val="000000" w:themeColor="text1"/>
              </w:rPr>
              <w:t>设备部件、附件、安全装置、护罩等应齐全、完好，不得缺损、变形，且固定牢靠。</w:t>
            </w:r>
          </w:p>
        </w:tc>
        <w:tc>
          <w:tcPr>
            <w:tcW w:w="961" w:type="pct"/>
            <w:tcBorders>
              <w:tl2br w:val="nil"/>
              <w:tr2bl w:val="nil"/>
            </w:tcBorders>
            <w:vAlign w:val="center"/>
          </w:tcPr>
          <w:p w14:paraId="460D2046" w14:textId="77777777" w:rsidR="002D2AF8" w:rsidRDefault="00000000">
            <w:pPr>
              <w:snapToGrid w:val="0"/>
              <w:jc w:val="center"/>
              <w:rPr>
                <w:color w:val="000000" w:themeColor="text1"/>
              </w:rPr>
            </w:pPr>
            <w:r>
              <w:rPr>
                <w:color w:val="000000" w:themeColor="text1"/>
              </w:rPr>
              <w:t>SY/T5727-2020</w:t>
            </w:r>
          </w:p>
          <w:p w14:paraId="009BEB5C" w14:textId="77777777" w:rsidR="002D2AF8" w:rsidRDefault="00000000">
            <w:pPr>
              <w:snapToGrid w:val="0"/>
              <w:jc w:val="center"/>
              <w:rPr>
                <w:color w:val="000000" w:themeColor="text1"/>
              </w:rPr>
            </w:pPr>
            <w:r>
              <w:rPr>
                <w:color w:val="000000" w:themeColor="text1"/>
              </w:rPr>
              <w:t>3.3.2</w:t>
            </w:r>
          </w:p>
        </w:tc>
        <w:tc>
          <w:tcPr>
            <w:tcW w:w="399" w:type="pct"/>
            <w:tcBorders>
              <w:tl2br w:val="nil"/>
              <w:tr2bl w:val="nil"/>
            </w:tcBorders>
            <w:vAlign w:val="center"/>
          </w:tcPr>
          <w:p w14:paraId="78A0D84C"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4D96DE6F" w14:textId="77777777" w:rsidR="002D2AF8" w:rsidRDefault="00000000">
            <w:pPr>
              <w:snapToGrid w:val="0"/>
              <w:rPr>
                <w:color w:val="000000" w:themeColor="text1"/>
              </w:rPr>
            </w:pPr>
            <w:r>
              <w:rPr>
                <w:rFonts w:ascii="宋体" w:hAnsi="宋体"/>
                <w:color w:val="000000" w:themeColor="text1"/>
              </w:rPr>
              <w:t>设备部件、附件、安全装置、护罩齐全，无缺损变形。</w:t>
            </w:r>
          </w:p>
        </w:tc>
      </w:tr>
      <w:tr w:rsidR="002D2AF8" w14:paraId="091A5D37" w14:textId="77777777">
        <w:trPr>
          <w:jc w:val="center"/>
        </w:trPr>
        <w:tc>
          <w:tcPr>
            <w:tcW w:w="269" w:type="pct"/>
            <w:tcBorders>
              <w:tl2br w:val="nil"/>
              <w:tr2bl w:val="nil"/>
            </w:tcBorders>
            <w:vAlign w:val="center"/>
          </w:tcPr>
          <w:p w14:paraId="471AD971" w14:textId="77777777" w:rsidR="002D2AF8" w:rsidRDefault="002D2AF8">
            <w:pPr>
              <w:numPr>
                <w:ilvl w:val="0"/>
                <w:numId w:val="16"/>
              </w:numPr>
              <w:snapToGrid w:val="0"/>
              <w:spacing w:beforeLines="20" w:before="65" w:afterLines="20" w:after="65"/>
              <w:jc w:val="center"/>
              <w:rPr>
                <w:color w:val="000000" w:themeColor="text1"/>
              </w:rPr>
            </w:pPr>
          </w:p>
        </w:tc>
        <w:tc>
          <w:tcPr>
            <w:tcW w:w="1798" w:type="pct"/>
            <w:tcBorders>
              <w:tl2br w:val="nil"/>
              <w:tr2bl w:val="nil"/>
            </w:tcBorders>
            <w:vAlign w:val="center"/>
          </w:tcPr>
          <w:p w14:paraId="6C14B0EB" w14:textId="77777777" w:rsidR="002D2AF8" w:rsidRDefault="00000000">
            <w:pPr>
              <w:snapToGrid w:val="0"/>
              <w:jc w:val="left"/>
              <w:rPr>
                <w:color w:val="000000" w:themeColor="text1"/>
              </w:rPr>
            </w:pPr>
            <w:r>
              <w:rPr>
                <w:rFonts w:ascii="宋体" w:hAnsi="宋体"/>
                <w:color w:val="000000" w:themeColor="text1"/>
              </w:rPr>
              <w:t>设备运转部位转动灵活，各种阀件应灵活可靠、安全保险；设备油水应符合要求，保证油、气、水路通畅，不渗不漏。</w:t>
            </w:r>
          </w:p>
        </w:tc>
        <w:tc>
          <w:tcPr>
            <w:tcW w:w="961" w:type="pct"/>
            <w:tcBorders>
              <w:tl2br w:val="nil"/>
              <w:tr2bl w:val="nil"/>
            </w:tcBorders>
            <w:vAlign w:val="center"/>
          </w:tcPr>
          <w:p w14:paraId="70D424A6" w14:textId="77777777" w:rsidR="002D2AF8" w:rsidRDefault="00000000">
            <w:pPr>
              <w:snapToGrid w:val="0"/>
              <w:jc w:val="center"/>
              <w:rPr>
                <w:color w:val="000000" w:themeColor="text1"/>
              </w:rPr>
            </w:pPr>
            <w:r>
              <w:rPr>
                <w:color w:val="000000" w:themeColor="text1"/>
              </w:rPr>
              <w:t>SY/T5727-2020</w:t>
            </w:r>
          </w:p>
          <w:p w14:paraId="158EE91F" w14:textId="77777777" w:rsidR="002D2AF8" w:rsidRDefault="00000000">
            <w:pPr>
              <w:snapToGrid w:val="0"/>
              <w:jc w:val="center"/>
              <w:rPr>
                <w:color w:val="000000" w:themeColor="text1"/>
              </w:rPr>
            </w:pPr>
            <w:r>
              <w:rPr>
                <w:color w:val="000000" w:themeColor="text1"/>
              </w:rPr>
              <w:t>3.3.3</w:t>
            </w:r>
          </w:p>
        </w:tc>
        <w:tc>
          <w:tcPr>
            <w:tcW w:w="399" w:type="pct"/>
            <w:tcBorders>
              <w:tl2br w:val="nil"/>
              <w:tr2bl w:val="nil"/>
            </w:tcBorders>
            <w:vAlign w:val="center"/>
          </w:tcPr>
          <w:p w14:paraId="269204A2"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4AC8816F" w14:textId="77777777" w:rsidR="002D2AF8" w:rsidRDefault="00000000">
            <w:pPr>
              <w:snapToGrid w:val="0"/>
              <w:rPr>
                <w:color w:val="000000" w:themeColor="text1"/>
              </w:rPr>
            </w:pPr>
            <w:r>
              <w:rPr>
                <w:rFonts w:ascii="宋体" w:hAnsi="宋体"/>
                <w:color w:val="000000" w:themeColor="text1"/>
              </w:rPr>
              <w:t>设备运转部位转动灵活，各种阀件应灵活可靠。</w:t>
            </w:r>
          </w:p>
        </w:tc>
      </w:tr>
      <w:tr w:rsidR="002D2AF8" w14:paraId="5EEBEDB2" w14:textId="77777777">
        <w:trPr>
          <w:jc w:val="center"/>
        </w:trPr>
        <w:tc>
          <w:tcPr>
            <w:tcW w:w="269" w:type="pct"/>
            <w:tcBorders>
              <w:tl2br w:val="nil"/>
              <w:tr2bl w:val="nil"/>
            </w:tcBorders>
            <w:vAlign w:val="center"/>
          </w:tcPr>
          <w:p w14:paraId="5376AAF2" w14:textId="77777777" w:rsidR="002D2AF8" w:rsidRDefault="002D2AF8">
            <w:pPr>
              <w:numPr>
                <w:ilvl w:val="0"/>
                <w:numId w:val="16"/>
              </w:numPr>
              <w:snapToGrid w:val="0"/>
              <w:spacing w:beforeLines="20" w:before="65" w:afterLines="20" w:after="65"/>
              <w:jc w:val="center"/>
              <w:rPr>
                <w:color w:val="000000" w:themeColor="text1"/>
              </w:rPr>
            </w:pPr>
          </w:p>
        </w:tc>
        <w:tc>
          <w:tcPr>
            <w:tcW w:w="1798" w:type="pct"/>
            <w:tcBorders>
              <w:tl2br w:val="nil"/>
              <w:tr2bl w:val="nil"/>
            </w:tcBorders>
            <w:vAlign w:val="center"/>
          </w:tcPr>
          <w:p w14:paraId="0A88E6F3" w14:textId="77777777" w:rsidR="002D2AF8" w:rsidRDefault="00000000">
            <w:pPr>
              <w:snapToGrid w:val="0"/>
              <w:jc w:val="left"/>
              <w:rPr>
                <w:color w:val="000000" w:themeColor="text1"/>
              </w:rPr>
            </w:pPr>
            <w:r>
              <w:rPr>
                <w:rFonts w:ascii="宋体" w:hAnsi="宋体"/>
                <w:color w:val="000000" w:themeColor="text1"/>
              </w:rPr>
              <w:t>所有紧固件、连接件应紧固可靠，销子应有锁紧保险装置；紧固件螺纹外露部分要涂抹润滑脂。</w:t>
            </w:r>
          </w:p>
        </w:tc>
        <w:tc>
          <w:tcPr>
            <w:tcW w:w="961" w:type="pct"/>
            <w:tcBorders>
              <w:tl2br w:val="nil"/>
              <w:tr2bl w:val="nil"/>
            </w:tcBorders>
            <w:vAlign w:val="center"/>
          </w:tcPr>
          <w:p w14:paraId="4110B45F" w14:textId="77777777" w:rsidR="002D2AF8" w:rsidRDefault="00000000">
            <w:pPr>
              <w:snapToGrid w:val="0"/>
              <w:jc w:val="center"/>
              <w:rPr>
                <w:color w:val="000000" w:themeColor="text1"/>
              </w:rPr>
            </w:pPr>
            <w:r>
              <w:rPr>
                <w:color w:val="000000" w:themeColor="text1"/>
              </w:rPr>
              <w:t>SY/T5727-2020</w:t>
            </w:r>
          </w:p>
          <w:p w14:paraId="38E46DEA" w14:textId="77777777" w:rsidR="002D2AF8" w:rsidRDefault="00000000">
            <w:pPr>
              <w:snapToGrid w:val="0"/>
              <w:jc w:val="center"/>
              <w:rPr>
                <w:color w:val="000000" w:themeColor="text1"/>
              </w:rPr>
            </w:pPr>
            <w:r>
              <w:rPr>
                <w:color w:val="000000" w:themeColor="text1"/>
              </w:rPr>
              <w:t>3.3.4</w:t>
            </w:r>
          </w:p>
        </w:tc>
        <w:tc>
          <w:tcPr>
            <w:tcW w:w="399" w:type="pct"/>
            <w:tcBorders>
              <w:tl2br w:val="nil"/>
              <w:tr2bl w:val="nil"/>
            </w:tcBorders>
            <w:vAlign w:val="center"/>
          </w:tcPr>
          <w:p w14:paraId="2E5975D6"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390A65B0" w14:textId="77777777" w:rsidR="002D2AF8" w:rsidRDefault="00000000">
            <w:pPr>
              <w:snapToGrid w:val="0"/>
              <w:rPr>
                <w:color w:val="000000" w:themeColor="text1"/>
              </w:rPr>
            </w:pPr>
            <w:r>
              <w:rPr>
                <w:rFonts w:ascii="宋体" w:hAnsi="宋体"/>
                <w:color w:val="000000" w:themeColor="text1"/>
              </w:rPr>
              <w:t>紧固件、连接件紧固可靠。</w:t>
            </w:r>
          </w:p>
        </w:tc>
      </w:tr>
      <w:tr w:rsidR="002D2AF8" w14:paraId="22A4109B" w14:textId="77777777">
        <w:trPr>
          <w:jc w:val="center"/>
        </w:trPr>
        <w:tc>
          <w:tcPr>
            <w:tcW w:w="269" w:type="pct"/>
            <w:tcBorders>
              <w:tl2br w:val="nil"/>
              <w:tr2bl w:val="nil"/>
            </w:tcBorders>
            <w:vAlign w:val="center"/>
          </w:tcPr>
          <w:p w14:paraId="1C0AC0EC" w14:textId="77777777" w:rsidR="002D2AF8" w:rsidRDefault="002D2AF8">
            <w:pPr>
              <w:numPr>
                <w:ilvl w:val="0"/>
                <w:numId w:val="16"/>
              </w:numPr>
              <w:snapToGrid w:val="0"/>
              <w:spacing w:beforeLines="20" w:before="65" w:afterLines="20" w:after="65"/>
              <w:jc w:val="center"/>
              <w:rPr>
                <w:color w:val="000000" w:themeColor="text1"/>
              </w:rPr>
            </w:pPr>
          </w:p>
        </w:tc>
        <w:tc>
          <w:tcPr>
            <w:tcW w:w="1798" w:type="pct"/>
            <w:tcBorders>
              <w:tl2br w:val="nil"/>
              <w:tr2bl w:val="nil"/>
            </w:tcBorders>
            <w:vAlign w:val="center"/>
          </w:tcPr>
          <w:p w14:paraId="6397EFDB" w14:textId="77777777" w:rsidR="002D2AF8" w:rsidRDefault="00000000">
            <w:pPr>
              <w:snapToGrid w:val="0"/>
              <w:jc w:val="left"/>
              <w:rPr>
                <w:color w:val="000000" w:themeColor="text1"/>
              </w:rPr>
            </w:pPr>
            <w:r>
              <w:rPr>
                <w:rFonts w:ascii="宋体" w:hAnsi="宋体"/>
                <w:color w:val="000000" w:themeColor="text1"/>
              </w:rPr>
              <w:t>传动、转动部位护栏（罩）齐全牢靠。</w:t>
            </w:r>
          </w:p>
        </w:tc>
        <w:tc>
          <w:tcPr>
            <w:tcW w:w="961" w:type="pct"/>
            <w:tcBorders>
              <w:tl2br w:val="nil"/>
              <w:tr2bl w:val="nil"/>
            </w:tcBorders>
            <w:vAlign w:val="center"/>
          </w:tcPr>
          <w:p w14:paraId="56D98165" w14:textId="77777777" w:rsidR="002D2AF8" w:rsidRDefault="00000000">
            <w:pPr>
              <w:snapToGrid w:val="0"/>
              <w:jc w:val="center"/>
              <w:rPr>
                <w:color w:val="000000" w:themeColor="text1"/>
              </w:rPr>
            </w:pPr>
            <w:r>
              <w:rPr>
                <w:color w:val="000000" w:themeColor="text1"/>
              </w:rPr>
              <w:t>SY/T5727-2020</w:t>
            </w:r>
          </w:p>
          <w:p w14:paraId="7145DB8D" w14:textId="77777777" w:rsidR="002D2AF8" w:rsidRDefault="00000000">
            <w:pPr>
              <w:snapToGrid w:val="0"/>
              <w:jc w:val="center"/>
              <w:rPr>
                <w:color w:val="000000" w:themeColor="text1"/>
              </w:rPr>
            </w:pPr>
            <w:r>
              <w:rPr>
                <w:color w:val="000000" w:themeColor="text1"/>
              </w:rPr>
              <w:t>3.9.1</w:t>
            </w:r>
          </w:p>
        </w:tc>
        <w:tc>
          <w:tcPr>
            <w:tcW w:w="399" w:type="pct"/>
            <w:tcBorders>
              <w:tl2br w:val="nil"/>
              <w:tr2bl w:val="nil"/>
            </w:tcBorders>
            <w:vAlign w:val="center"/>
          </w:tcPr>
          <w:p w14:paraId="2004A497"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6D2AEBC7" w14:textId="77777777" w:rsidR="002D2AF8" w:rsidRDefault="00000000">
            <w:pPr>
              <w:snapToGrid w:val="0"/>
              <w:rPr>
                <w:color w:val="000000" w:themeColor="text1"/>
              </w:rPr>
            </w:pPr>
            <w:r>
              <w:rPr>
                <w:rFonts w:ascii="宋体" w:hAnsi="宋体"/>
                <w:color w:val="000000" w:themeColor="text1"/>
              </w:rPr>
              <w:t>转动部位护栏齐全牢靠。</w:t>
            </w:r>
          </w:p>
        </w:tc>
      </w:tr>
      <w:tr w:rsidR="002D2AF8" w14:paraId="3B4FC474" w14:textId="77777777">
        <w:trPr>
          <w:jc w:val="center"/>
        </w:trPr>
        <w:tc>
          <w:tcPr>
            <w:tcW w:w="269" w:type="pct"/>
            <w:tcBorders>
              <w:tl2br w:val="nil"/>
              <w:tr2bl w:val="nil"/>
            </w:tcBorders>
            <w:vAlign w:val="center"/>
          </w:tcPr>
          <w:p w14:paraId="0B1DBF96" w14:textId="77777777" w:rsidR="002D2AF8" w:rsidRDefault="002D2AF8">
            <w:pPr>
              <w:numPr>
                <w:ilvl w:val="0"/>
                <w:numId w:val="16"/>
              </w:numPr>
              <w:snapToGrid w:val="0"/>
              <w:spacing w:beforeLines="20" w:before="65" w:afterLines="20" w:after="65"/>
              <w:jc w:val="center"/>
              <w:rPr>
                <w:color w:val="000000" w:themeColor="text1"/>
              </w:rPr>
            </w:pPr>
          </w:p>
        </w:tc>
        <w:tc>
          <w:tcPr>
            <w:tcW w:w="1798" w:type="pct"/>
            <w:tcBorders>
              <w:tl2br w:val="nil"/>
              <w:tr2bl w:val="nil"/>
            </w:tcBorders>
            <w:vAlign w:val="center"/>
          </w:tcPr>
          <w:p w14:paraId="0F4B9697" w14:textId="77777777" w:rsidR="002D2AF8" w:rsidRDefault="00000000">
            <w:pPr>
              <w:adjustRightInd w:val="0"/>
              <w:snapToGrid w:val="0"/>
              <w:jc w:val="left"/>
              <w:rPr>
                <w:color w:val="000000" w:themeColor="text1"/>
                <w:szCs w:val="21"/>
              </w:rPr>
            </w:pPr>
            <w:r>
              <w:rPr>
                <w:color w:val="000000" w:themeColor="text1"/>
                <w:szCs w:val="21"/>
              </w:rPr>
              <w:t>提升钢丝绳应符合</w:t>
            </w:r>
            <w:r>
              <w:rPr>
                <w:color w:val="000000" w:themeColor="text1"/>
                <w:szCs w:val="21"/>
              </w:rPr>
              <w:t xml:space="preserve">SY/T 5170-2013 </w:t>
            </w:r>
            <w:r>
              <w:rPr>
                <w:color w:val="000000" w:themeColor="text1"/>
                <w:szCs w:val="21"/>
              </w:rPr>
              <w:t>中第</w:t>
            </w:r>
            <w:r>
              <w:rPr>
                <w:color w:val="000000" w:themeColor="text1"/>
                <w:szCs w:val="21"/>
              </w:rPr>
              <w:t>4</w:t>
            </w:r>
            <w:r>
              <w:rPr>
                <w:color w:val="000000" w:themeColor="text1"/>
                <w:szCs w:val="21"/>
              </w:rPr>
              <w:t>章的规定，不应有严重磨损、锈蚀及挤压、弯扭等变形。</w:t>
            </w:r>
          </w:p>
        </w:tc>
        <w:tc>
          <w:tcPr>
            <w:tcW w:w="961" w:type="pct"/>
            <w:tcBorders>
              <w:tl2br w:val="nil"/>
              <w:tr2bl w:val="nil"/>
            </w:tcBorders>
            <w:vAlign w:val="center"/>
          </w:tcPr>
          <w:p w14:paraId="61DCE210"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71D97D64" w14:textId="77777777" w:rsidR="002D2AF8" w:rsidRDefault="00000000">
            <w:pPr>
              <w:adjustRightInd w:val="0"/>
              <w:snapToGrid w:val="0"/>
              <w:jc w:val="center"/>
              <w:rPr>
                <w:bCs/>
                <w:color w:val="000000" w:themeColor="text1"/>
                <w:szCs w:val="21"/>
              </w:rPr>
            </w:pPr>
            <w:r>
              <w:rPr>
                <w:bCs/>
                <w:color w:val="000000" w:themeColor="text1"/>
                <w:szCs w:val="21"/>
              </w:rPr>
              <w:t>3.11.1</w:t>
            </w:r>
          </w:p>
        </w:tc>
        <w:tc>
          <w:tcPr>
            <w:tcW w:w="399" w:type="pct"/>
            <w:tcBorders>
              <w:tl2br w:val="nil"/>
              <w:tr2bl w:val="nil"/>
            </w:tcBorders>
            <w:vAlign w:val="center"/>
          </w:tcPr>
          <w:p w14:paraId="3FAC4FA7" w14:textId="77777777" w:rsidR="002D2AF8" w:rsidRDefault="00000000">
            <w:pPr>
              <w:adjustRightInd w:val="0"/>
              <w:snapToGrid w:val="0"/>
              <w:jc w:val="center"/>
              <w:rPr>
                <w:color w:val="000000" w:themeColor="text1"/>
                <w:szCs w:val="21"/>
              </w:rPr>
            </w:pPr>
            <w:r>
              <w:rPr>
                <w:color w:val="000000" w:themeColor="text1"/>
                <w:szCs w:val="21"/>
              </w:rPr>
              <w:t>√</w:t>
            </w:r>
          </w:p>
        </w:tc>
        <w:tc>
          <w:tcPr>
            <w:tcW w:w="1571" w:type="pct"/>
            <w:tcBorders>
              <w:tl2br w:val="nil"/>
              <w:tr2bl w:val="nil"/>
            </w:tcBorders>
            <w:vAlign w:val="center"/>
          </w:tcPr>
          <w:p w14:paraId="507889EA" w14:textId="77777777" w:rsidR="002D2AF8" w:rsidRDefault="00000000">
            <w:pPr>
              <w:adjustRightInd w:val="0"/>
              <w:snapToGrid w:val="0"/>
              <w:rPr>
                <w:color w:val="000000" w:themeColor="text1"/>
                <w:szCs w:val="21"/>
              </w:rPr>
            </w:pPr>
            <w:r>
              <w:rPr>
                <w:color w:val="000000" w:themeColor="text1"/>
                <w:szCs w:val="21"/>
              </w:rPr>
              <w:t>未发现提升钢丝绳有严重磨损、锈蚀及挤压、弯扭等变形的情况。</w:t>
            </w:r>
          </w:p>
        </w:tc>
      </w:tr>
      <w:tr w:rsidR="002D2AF8" w14:paraId="3EEC0093" w14:textId="77777777">
        <w:trPr>
          <w:jc w:val="center"/>
        </w:trPr>
        <w:tc>
          <w:tcPr>
            <w:tcW w:w="269" w:type="pct"/>
            <w:tcBorders>
              <w:tl2br w:val="nil"/>
              <w:tr2bl w:val="nil"/>
            </w:tcBorders>
            <w:vAlign w:val="center"/>
          </w:tcPr>
          <w:p w14:paraId="7E3065F0" w14:textId="77777777" w:rsidR="002D2AF8" w:rsidRDefault="002D2AF8">
            <w:pPr>
              <w:numPr>
                <w:ilvl w:val="0"/>
                <w:numId w:val="16"/>
              </w:numPr>
              <w:snapToGrid w:val="0"/>
              <w:spacing w:beforeLines="20" w:before="65" w:afterLines="20" w:after="65"/>
              <w:jc w:val="center"/>
              <w:rPr>
                <w:color w:val="000000" w:themeColor="text1"/>
              </w:rPr>
            </w:pPr>
          </w:p>
        </w:tc>
        <w:tc>
          <w:tcPr>
            <w:tcW w:w="1798" w:type="pct"/>
            <w:tcBorders>
              <w:tl2br w:val="nil"/>
              <w:tr2bl w:val="nil"/>
            </w:tcBorders>
            <w:vAlign w:val="center"/>
          </w:tcPr>
          <w:p w14:paraId="21C39330" w14:textId="77777777" w:rsidR="002D2AF8" w:rsidRDefault="00000000">
            <w:pPr>
              <w:adjustRightInd w:val="0"/>
              <w:snapToGrid w:val="0"/>
              <w:jc w:val="left"/>
              <w:rPr>
                <w:color w:val="000000" w:themeColor="text1"/>
                <w:szCs w:val="21"/>
              </w:rPr>
            </w:pPr>
            <w:r>
              <w:rPr>
                <w:color w:val="000000" w:themeColor="text1"/>
                <w:szCs w:val="21"/>
              </w:rPr>
              <w:t>提升钢丝绳若出现以下任何一种情况不应继续使用：</w:t>
            </w:r>
          </w:p>
          <w:p w14:paraId="66F25A99" w14:textId="77777777" w:rsidR="002D2AF8" w:rsidRDefault="00000000">
            <w:pPr>
              <w:numPr>
                <w:ilvl w:val="0"/>
                <w:numId w:val="17"/>
              </w:numPr>
              <w:adjustRightInd w:val="0"/>
              <w:snapToGrid w:val="0"/>
              <w:jc w:val="left"/>
              <w:rPr>
                <w:color w:val="000000" w:themeColor="text1"/>
                <w:szCs w:val="21"/>
              </w:rPr>
            </w:pPr>
            <w:r>
              <w:rPr>
                <w:color w:val="000000" w:themeColor="text1"/>
                <w:szCs w:val="21"/>
              </w:rPr>
              <w:t>一纽绳中发现随机分布的六根断丝。</w:t>
            </w:r>
          </w:p>
          <w:p w14:paraId="7A8A8854" w14:textId="77777777" w:rsidR="002D2AF8" w:rsidRDefault="00000000">
            <w:pPr>
              <w:numPr>
                <w:ilvl w:val="0"/>
                <w:numId w:val="17"/>
              </w:numPr>
              <w:adjustRightInd w:val="0"/>
              <w:snapToGrid w:val="0"/>
              <w:jc w:val="left"/>
              <w:rPr>
                <w:color w:val="000000" w:themeColor="text1"/>
                <w:szCs w:val="21"/>
              </w:rPr>
            </w:pPr>
            <w:r>
              <w:rPr>
                <w:color w:val="000000" w:themeColor="text1"/>
                <w:szCs w:val="21"/>
              </w:rPr>
              <w:t>一纽绳中的一股中发现有三根断丝。</w:t>
            </w:r>
          </w:p>
        </w:tc>
        <w:tc>
          <w:tcPr>
            <w:tcW w:w="961" w:type="pct"/>
            <w:tcBorders>
              <w:tl2br w:val="nil"/>
              <w:tr2bl w:val="nil"/>
            </w:tcBorders>
            <w:vAlign w:val="center"/>
          </w:tcPr>
          <w:p w14:paraId="2F9CFC2C" w14:textId="77777777" w:rsidR="002D2AF8" w:rsidRDefault="00000000">
            <w:pPr>
              <w:adjustRightInd w:val="0"/>
              <w:snapToGrid w:val="0"/>
              <w:jc w:val="center"/>
              <w:rPr>
                <w:bCs/>
                <w:color w:val="000000" w:themeColor="text1"/>
                <w:szCs w:val="21"/>
              </w:rPr>
            </w:pPr>
            <w:r>
              <w:rPr>
                <w:bCs/>
                <w:color w:val="000000" w:themeColor="text1"/>
                <w:szCs w:val="21"/>
              </w:rPr>
              <w:t>SY/T5727-2020</w:t>
            </w:r>
          </w:p>
          <w:p w14:paraId="3482EEFD" w14:textId="77777777" w:rsidR="002D2AF8" w:rsidRDefault="00000000">
            <w:pPr>
              <w:adjustRightInd w:val="0"/>
              <w:snapToGrid w:val="0"/>
              <w:jc w:val="center"/>
              <w:rPr>
                <w:bCs/>
                <w:color w:val="000000" w:themeColor="text1"/>
                <w:szCs w:val="21"/>
              </w:rPr>
            </w:pPr>
            <w:r>
              <w:rPr>
                <w:bCs/>
                <w:color w:val="000000" w:themeColor="text1"/>
                <w:szCs w:val="21"/>
              </w:rPr>
              <w:t>3.11.2</w:t>
            </w:r>
          </w:p>
        </w:tc>
        <w:tc>
          <w:tcPr>
            <w:tcW w:w="399" w:type="pct"/>
            <w:tcBorders>
              <w:tl2br w:val="nil"/>
              <w:tr2bl w:val="nil"/>
            </w:tcBorders>
            <w:vAlign w:val="center"/>
          </w:tcPr>
          <w:p w14:paraId="1E1732EF" w14:textId="77777777" w:rsidR="002D2AF8" w:rsidRDefault="00000000">
            <w:pPr>
              <w:adjustRightInd w:val="0"/>
              <w:snapToGrid w:val="0"/>
              <w:jc w:val="center"/>
              <w:rPr>
                <w:color w:val="000000" w:themeColor="text1"/>
                <w:szCs w:val="21"/>
              </w:rPr>
            </w:pPr>
            <w:r>
              <w:rPr>
                <w:color w:val="000000" w:themeColor="text1"/>
                <w:szCs w:val="21"/>
              </w:rPr>
              <w:t>√</w:t>
            </w:r>
          </w:p>
        </w:tc>
        <w:tc>
          <w:tcPr>
            <w:tcW w:w="1571" w:type="pct"/>
            <w:tcBorders>
              <w:tl2br w:val="nil"/>
              <w:tr2bl w:val="nil"/>
            </w:tcBorders>
            <w:vAlign w:val="center"/>
          </w:tcPr>
          <w:p w14:paraId="7B09B830" w14:textId="77777777" w:rsidR="002D2AF8" w:rsidRDefault="00000000">
            <w:pPr>
              <w:adjustRightInd w:val="0"/>
              <w:snapToGrid w:val="0"/>
              <w:rPr>
                <w:color w:val="000000" w:themeColor="text1"/>
                <w:szCs w:val="21"/>
              </w:rPr>
            </w:pPr>
            <w:r>
              <w:rPr>
                <w:color w:val="000000" w:themeColor="text1"/>
                <w:szCs w:val="21"/>
              </w:rPr>
              <w:t>提升钢丝绳未有断丝。</w:t>
            </w:r>
          </w:p>
        </w:tc>
      </w:tr>
      <w:tr w:rsidR="002D2AF8" w14:paraId="79490735" w14:textId="77777777">
        <w:trPr>
          <w:jc w:val="center"/>
        </w:trPr>
        <w:tc>
          <w:tcPr>
            <w:tcW w:w="269" w:type="pct"/>
            <w:tcBorders>
              <w:tl2br w:val="nil"/>
              <w:tr2bl w:val="nil"/>
            </w:tcBorders>
            <w:vAlign w:val="center"/>
          </w:tcPr>
          <w:p w14:paraId="7EDEDA0B" w14:textId="77777777" w:rsidR="002D2AF8" w:rsidRDefault="002D2AF8">
            <w:pPr>
              <w:numPr>
                <w:ilvl w:val="0"/>
                <w:numId w:val="16"/>
              </w:numPr>
              <w:snapToGrid w:val="0"/>
              <w:spacing w:beforeLines="20" w:before="65" w:afterLines="20" w:after="65"/>
              <w:jc w:val="center"/>
              <w:rPr>
                <w:color w:val="000000" w:themeColor="text1"/>
              </w:rPr>
            </w:pPr>
          </w:p>
        </w:tc>
        <w:tc>
          <w:tcPr>
            <w:tcW w:w="1798" w:type="pct"/>
            <w:tcBorders>
              <w:tl2br w:val="nil"/>
              <w:tr2bl w:val="nil"/>
            </w:tcBorders>
            <w:vAlign w:val="center"/>
          </w:tcPr>
          <w:p w14:paraId="465FE59C" w14:textId="77777777" w:rsidR="002D2AF8" w:rsidRDefault="00000000">
            <w:pPr>
              <w:snapToGrid w:val="0"/>
              <w:jc w:val="left"/>
              <w:rPr>
                <w:color w:val="000000" w:themeColor="text1"/>
              </w:rPr>
            </w:pPr>
            <w:r>
              <w:rPr>
                <w:rFonts w:ascii="宋体" w:hAnsi="宋体"/>
                <w:color w:val="000000" w:themeColor="text1"/>
              </w:rPr>
              <w:t>个人防护用具、气体监测仪器的配备、使用操作、应急抢险和紧急疏散应符合</w:t>
            </w:r>
            <w:r>
              <w:rPr>
                <w:color w:val="000000" w:themeColor="text1"/>
              </w:rPr>
              <w:t>SY/T 6610-2017</w:t>
            </w:r>
            <w:r>
              <w:rPr>
                <w:rFonts w:ascii="宋体" w:hAnsi="宋体"/>
                <w:color w:val="000000" w:themeColor="text1"/>
              </w:rPr>
              <w:t>中第</w:t>
            </w:r>
            <w:r>
              <w:rPr>
                <w:color w:val="000000" w:themeColor="text1"/>
              </w:rPr>
              <w:t>5</w:t>
            </w:r>
            <w:r>
              <w:rPr>
                <w:rFonts w:ascii="宋体" w:hAnsi="宋体"/>
                <w:color w:val="000000" w:themeColor="text1"/>
              </w:rPr>
              <w:t>章、第</w:t>
            </w:r>
            <w:r>
              <w:rPr>
                <w:color w:val="000000" w:themeColor="text1"/>
              </w:rPr>
              <w:t>6</w:t>
            </w:r>
            <w:r>
              <w:rPr>
                <w:rFonts w:ascii="宋体" w:hAnsi="宋体"/>
                <w:color w:val="000000" w:themeColor="text1"/>
              </w:rPr>
              <w:t>章、第</w:t>
            </w:r>
            <w:r>
              <w:rPr>
                <w:color w:val="000000" w:themeColor="text1"/>
              </w:rPr>
              <w:t>7</w:t>
            </w:r>
            <w:r>
              <w:rPr>
                <w:rFonts w:ascii="宋体" w:hAnsi="宋体"/>
                <w:color w:val="000000" w:themeColor="text1"/>
              </w:rPr>
              <w:t>章的规定。</w:t>
            </w:r>
          </w:p>
        </w:tc>
        <w:tc>
          <w:tcPr>
            <w:tcW w:w="961" w:type="pct"/>
            <w:tcBorders>
              <w:tl2br w:val="nil"/>
              <w:tr2bl w:val="nil"/>
            </w:tcBorders>
            <w:vAlign w:val="center"/>
          </w:tcPr>
          <w:p w14:paraId="67F87733" w14:textId="77777777" w:rsidR="002D2AF8" w:rsidRDefault="00000000">
            <w:pPr>
              <w:snapToGrid w:val="0"/>
              <w:jc w:val="center"/>
              <w:rPr>
                <w:color w:val="000000" w:themeColor="text1"/>
              </w:rPr>
            </w:pPr>
            <w:r>
              <w:rPr>
                <w:color w:val="000000" w:themeColor="text1"/>
              </w:rPr>
              <w:t>SY/T5727-2020</w:t>
            </w:r>
          </w:p>
          <w:p w14:paraId="4201BE16" w14:textId="77777777" w:rsidR="002D2AF8" w:rsidRDefault="00000000">
            <w:pPr>
              <w:snapToGrid w:val="0"/>
              <w:jc w:val="center"/>
              <w:rPr>
                <w:color w:val="000000" w:themeColor="text1"/>
              </w:rPr>
            </w:pPr>
            <w:r>
              <w:rPr>
                <w:color w:val="000000" w:themeColor="text1"/>
              </w:rPr>
              <w:t>4.6.3</w:t>
            </w:r>
          </w:p>
        </w:tc>
        <w:tc>
          <w:tcPr>
            <w:tcW w:w="399" w:type="pct"/>
            <w:tcBorders>
              <w:tl2br w:val="nil"/>
              <w:tr2bl w:val="nil"/>
            </w:tcBorders>
            <w:vAlign w:val="center"/>
          </w:tcPr>
          <w:p w14:paraId="57E634AC"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357F8CCB" w14:textId="77777777" w:rsidR="002D2AF8" w:rsidRDefault="00000000">
            <w:pPr>
              <w:snapToGrid w:val="0"/>
              <w:rPr>
                <w:color w:val="000000" w:themeColor="text1"/>
              </w:rPr>
            </w:pPr>
            <w:r>
              <w:rPr>
                <w:rFonts w:ascii="宋体" w:hAnsi="宋体"/>
                <w:color w:val="000000" w:themeColor="text1"/>
              </w:rPr>
              <w:t>现场配备便携式硫化氢气体检测仪、空气呼吸器等设备设施，并经检测合格。</w:t>
            </w:r>
          </w:p>
        </w:tc>
      </w:tr>
      <w:tr w:rsidR="002D2AF8" w14:paraId="0327E89E" w14:textId="77777777">
        <w:trPr>
          <w:jc w:val="center"/>
        </w:trPr>
        <w:tc>
          <w:tcPr>
            <w:tcW w:w="269" w:type="pct"/>
            <w:tcBorders>
              <w:tl2br w:val="nil"/>
              <w:tr2bl w:val="nil"/>
            </w:tcBorders>
            <w:vAlign w:val="center"/>
          </w:tcPr>
          <w:p w14:paraId="01A676B1"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6A241048" w14:textId="77777777" w:rsidR="002D2AF8" w:rsidRDefault="00000000">
            <w:pPr>
              <w:snapToGrid w:val="0"/>
              <w:jc w:val="left"/>
              <w:rPr>
                <w:color w:val="000000" w:themeColor="text1"/>
              </w:rPr>
            </w:pPr>
            <w:r>
              <w:rPr>
                <w:rFonts w:ascii="宋体" w:hAnsi="宋体"/>
                <w:color w:val="000000" w:themeColor="text1"/>
              </w:rPr>
              <w:t>现场应有可燃气体检测仪。可燃气体检测仪应定期校验和维护。</w:t>
            </w:r>
          </w:p>
        </w:tc>
        <w:tc>
          <w:tcPr>
            <w:tcW w:w="961" w:type="pct"/>
            <w:tcBorders>
              <w:tl2br w:val="nil"/>
              <w:tr2bl w:val="nil"/>
            </w:tcBorders>
            <w:vAlign w:val="center"/>
          </w:tcPr>
          <w:p w14:paraId="04918BE7" w14:textId="77777777" w:rsidR="002D2AF8" w:rsidRDefault="00000000">
            <w:pPr>
              <w:snapToGrid w:val="0"/>
              <w:jc w:val="center"/>
              <w:rPr>
                <w:color w:val="000000" w:themeColor="text1"/>
              </w:rPr>
            </w:pPr>
            <w:r>
              <w:rPr>
                <w:color w:val="000000" w:themeColor="text1"/>
              </w:rPr>
              <w:t>SY/T5727-2020</w:t>
            </w:r>
          </w:p>
          <w:p w14:paraId="5EB0D184" w14:textId="77777777" w:rsidR="002D2AF8" w:rsidRDefault="00000000">
            <w:pPr>
              <w:snapToGrid w:val="0"/>
              <w:jc w:val="center"/>
              <w:rPr>
                <w:color w:val="000000" w:themeColor="text1"/>
              </w:rPr>
            </w:pPr>
            <w:r>
              <w:rPr>
                <w:color w:val="000000" w:themeColor="text1"/>
              </w:rPr>
              <w:t>4.9.2</w:t>
            </w:r>
          </w:p>
        </w:tc>
        <w:tc>
          <w:tcPr>
            <w:tcW w:w="399" w:type="pct"/>
            <w:tcBorders>
              <w:tl2br w:val="nil"/>
              <w:tr2bl w:val="nil"/>
            </w:tcBorders>
            <w:vAlign w:val="center"/>
          </w:tcPr>
          <w:p w14:paraId="4062A26C"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22FDF189" w14:textId="77777777" w:rsidR="002D2AF8" w:rsidRDefault="00000000">
            <w:pPr>
              <w:snapToGrid w:val="0"/>
              <w:rPr>
                <w:color w:val="000000" w:themeColor="text1"/>
              </w:rPr>
            </w:pPr>
            <w:r>
              <w:rPr>
                <w:rFonts w:hint="eastAsia"/>
                <w:color w:val="000000" w:themeColor="text1"/>
              </w:rPr>
              <w:t>堵调测试队有</w:t>
            </w:r>
            <w:r>
              <w:rPr>
                <w:rFonts w:hint="eastAsia"/>
                <w:color w:val="000000" w:themeColor="text1"/>
              </w:rPr>
              <w:t>2</w:t>
            </w:r>
            <w:r>
              <w:rPr>
                <w:rFonts w:hint="eastAsia"/>
                <w:color w:val="000000" w:themeColor="text1"/>
              </w:rPr>
              <w:t>台四合一气体检测报警仪，且检测合格，在有效期内。</w:t>
            </w:r>
          </w:p>
        </w:tc>
      </w:tr>
      <w:tr w:rsidR="002D2AF8" w14:paraId="36D80082" w14:textId="77777777">
        <w:trPr>
          <w:jc w:val="center"/>
        </w:trPr>
        <w:tc>
          <w:tcPr>
            <w:tcW w:w="269" w:type="pct"/>
            <w:tcBorders>
              <w:tl2br w:val="nil"/>
              <w:tr2bl w:val="nil"/>
            </w:tcBorders>
            <w:vAlign w:val="center"/>
          </w:tcPr>
          <w:p w14:paraId="2D13B2B1"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67BAFA1B" w14:textId="77777777" w:rsidR="002D2AF8" w:rsidRDefault="00000000">
            <w:pPr>
              <w:overflowPunct w:val="0"/>
              <w:snapToGrid w:val="0"/>
              <w:jc w:val="left"/>
              <w:rPr>
                <w:color w:val="000000" w:themeColor="text1"/>
                <w:kern w:val="0"/>
              </w:rPr>
            </w:pPr>
            <w:r>
              <w:rPr>
                <w:rFonts w:ascii="宋体" w:hAnsi="宋体"/>
                <w:color w:val="000000" w:themeColor="text1"/>
                <w:kern w:val="0"/>
              </w:rPr>
              <w:t>空气呼吸器应每年检验一次；气瓶应每三年检验一次，其安全使用年限不得超过</w:t>
            </w:r>
            <w:r>
              <w:rPr>
                <w:color w:val="000000" w:themeColor="text1"/>
                <w:kern w:val="0"/>
              </w:rPr>
              <w:t>15</w:t>
            </w:r>
            <w:r>
              <w:rPr>
                <w:rFonts w:ascii="宋体" w:hAnsi="宋体"/>
                <w:color w:val="000000" w:themeColor="text1"/>
                <w:kern w:val="0"/>
              </w:rPr>
              <w:t>年。</w:t>
            </w:r>
          </w:p>
        </w:tc>
        <w:tc>
          <w:tcPr>
            <w:tcW w:w="961" w:type="pct"/>
            <w:tcBorders>
              <w:tl2br w:val="nil"/>
              <w:tr2bl w:val="nil"/>
            </w:tcBorders>
            <w:vAlign w:val="center"/>
          </w:tcPr>
          <w:p w14:paraId="0B19CB6F" w14:textId="77777777" w:rsidR="002D2AF8" w:rsidRDefault="00000000">
            <w:pPr>
              <w:overflowPunct w:val="0"/>
              <w:snapToGrid w:val="0"/>
              <w:jc w:val="center"/>
              <w:rPr>
                <w:color w:val="000000" w:themeColor="text1"/>
                <w:kern w:val="0"/>
              </w:rPr>
            </w:pPr>
            <w:r>
              <w:rPr>
                <w:color w:val="000000" w:themeColor="text1"/>
                <w:kern w:val="0"/>
              </w:rPr>
              <w:t>SY/T6277-2017</w:t>
            </w:r>
          </w:p>
          <w:p w14:paraId="779E0AD5" w14:textId="77777777" w:rsidR="002D2AF8" w:rsidRDefault="00000000">
            <w:pPr>
              <w:overflowPunct w:val="0"/>
              <w:snapToGrid w:val="0"/>
              <w:jc w:val="center"/>
              <w:rPr>
                <w:color w:val="000000" w:themeColor="text1"/>
                <w:kern w:val="0"/>
              </w:rPr>
            </w:pPr>
            <w:r>
              <w:rPr>
                <w:color w:val="000000" w:themeColor="text1"/>
                <w:kern w:val="0"/>
              </w:rPr>
              <w:t>5.1.6.1</w:t>
            </w:r>
          </w:p>
        </w:tc>
        <w:tc>
          <w:tcPr>
            <w:tcW w:w="399" w:type="pct"/>
            <w:tcBorders>
              <w:tl2br w:val="nil"/>
              <w:tr2bl w:val="nil"/>
            </w:tcBorders>
            <w:vAlign w:val="center"/>
          </w:tcPr>
          <w:p w14:paraId="05127F59" w14:textId="77777777" w:rsidR="002D2AF8" w:rsidRDefault="002D2AF8">
            <w:pPr>
              <w:snapToGrid w:val="0"/>
              <w:jc w:val="center"/>
              <w:rPr>
                <w:color w:val="000000" w:themeColor="text1"/>
                <w:kern w:val="0"/>
              </w:rPr>
            </w:pPr>
          </w:p>
        </w:tc>
        <w:tc>
          <w:tcPr>
            <w:tcW w:w="1571" w:type="pct"/>
            <w:tcBorders>
              <w:tl2br w:val="nil"/>
              <w:tr2bl w:val="nil"/>
            </w:tcBorders>
            <w:vAlign w:val="center"/>
          </w:tcPr>
          <w:p w14:paraId="31AC3773" w14:textId="77777777" w:rsidR="002D2AF8" w:rsidRDefault="00000000">
            <w:pPr>
              <w:snapToGrid w:val="0"/>
              <w:rPr>
                <w:color w:val="000000" w:themeColor="text1"/>
              </w:rPr>
            </w:pPr>
            <w:r>
              <w:rPr>
                <w:rFonts w:hint="eastAsia"/>
                <w:color w:val="000000" w:themeColor="text1"/>
              </w:rPr>
              <w:t>堵调测试队有</w:t>
            </w:r>
            <w:r>
              <w:rPr>
                <w:rFonts w:hint="eastAsia"/>
                <w:color w:val="000000" w:themeColor="text1"/>
              </w:rPr>
              <w:t>2</w:t>
            </w:r>
            <w:r>
              <w:rPr>
                <w:rFonts w:hint="eastAsia"/>
                <w:color w:val="000000" w:themeColor="text1"/>
              </w:rPr>
              <w:t>台正压式空气呼吸器，且检测合格，在有效期内。</w:t>
            </w:r>
          </w:p>
        </w:tc>
      </w:tr>
      <w:tr w:rsidR="002D2AF8" w14:paraId="19A2F1D9" w14:textId="77777777">
        <w:trPr>
          <w:jc w:val="center"/>
        </w:trPr>
        <w:tc>
          <w:tcPr>
            <w:tcW w:w="269" w:type="pct"/>
            <w:tcBorders>
              <w:tl2br w:val="nil"/>
              <w:tr2bl w:val="nil"/>
            </w:tcBorders>
            <w:vAlign w:val="center"/>
          </w:tcPr>
          <w:p w14:paraId="17984AE1"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487D5070"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下放电缆最大速度不大于50m/min，根据井的深度每下放500m或</w:t>
            </w:r>
            <w:proofErr w:type="spellStart"/>
            <w:r>
              <w:rPr>
                <w:rFonts w:ascii="宋体" w:hAnsi="宋体" w:hint="eastAsia"/>
                <w:color w:val="000000" w:themeColor="text1"/>
                <w:kern w:val="0"/>
              </w:rPr>
              <w:t>lOOOm</w:t>
            </w:r>
            <w:proofErr w:type="spellEnd"/>
            <w:r>
              <w:rPr>
                <w:rFonts w:ascii="宋体" w:hAnsi="宋体" w:hint="eastAsia"/>
                <w:color w:val="000000" w:themeColor="text1"/>
                <w:kern w:val="0"/>
              </w:rPr>
              <w:t>应停止下放，上提1Om，检测电缆张力变化，下放过程中应观察张力计的变化，一旦发现遇阻，应上下活动解阻，解阻后继续下放。按设计要求测压力梯度及温度梯度。</w:t>
            </w:r>
          </w:p>
        </w:tc>
        <w:tc>
          <w:tcPr>
            <w:tcW w:w="961" w:type="pct"/>
            <w:tcBorders>
              <w:tl2br w:val="nil"/>
              <w:tr2bl w:val="nil"/>
            </w:tcBorders>
            <w:vAlign w:val="center"/>
          </w:tcPr>
          <w:p w14:paraId="0A83A318" w14:textId="77777777" w:rsidR="002D2AF8" w:rsidRDefault="00000000">
            <w:pPr>
              <w:overflowPunct w:val="0"/>
              <w:snapToGrid w:val="0"/>
              <w:jc w:val="center"/>
              <w:rPr>
                <w:color w:val="000000" w:themeColor="text1"/>
                <w:kern w:val="0"/>
              </w:rPr>
            </w:pPr>
            <w:r>
              <w:rPr>
                <w:rFonts w:hint="eastAsia"/>
                <w:color w:val="000000" w:themeColor="text1"/>
                <w:kern w:val="0"/>
              </w:rPr>
              <w:t>SY/T5483-2017</w:t>
            </w:r>
          </w:p>
          <w:p w14:paraId="7714915A" w14:textId="77777777" w:rsidR="002D2AF8" w:rsidRDefault="00000000">
            <w:pPr>
              <w:overflowPunct w:val="0"/>
              <w:snapToGrid w:val="0"/>
              <w:jc w:val="center"/>
              <w:rPr>
                <w:color w:val="000000" w:themeColor="text1"/>
                <w:kern w:val="0"/>
              </w:rPr>
            </w:pPr>
            <w:r>
              <w:rPr>
                <w:rFonts w:hint="eastAsia"/>
                <w:color w:val="000000" w:themeColor="text1"/>
                <w:kern w:val="0"/>
              </w:rPr>
              <w:t>6.1.2.5</w:t>
            </w:r>
          </w:p>
        </w:tc>
        <w:tc>
          <w:tcPr>
            <w:tcW w:w="399" w:type="pct"/>
            <w:tcBorders>
              <w:tl2br w:val="nil"/>
              <w:tr2bl w:val="nil"/>
            </w:tcBorders>
            <w:vAlign w:val="center"/>
          </w:tcPr>
          <w:p w14:paraId="6B192E64"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4015A68B" w14:textId="77777777" w:rsidR="002D2AF8" w:rsidRDefault="00000000">
            <w:pPr>
              <w:snapToGrid w:val="0"/>
              <w:rPr>
                <w:color w:val="000000" w:themeColor="text1"/>
              </w:rPr>
            </w:pPr>
            <w:r>
              <w:rPr>
                <w:rFonts w:hint="eastAsia"/>
                <w:color w:val="000000" w:themeColor="text1"/>
              </w:rPr>
              <w:t>根据企业提供的测试作业流程，下放速度不大于</w:t>
            </w:r>
            <w:r>
              <w:rPr>
                <w:rFonts w:ascii="宋体" w:hAnsi="宋体" w:hint="eastAsia"/>
                <w:color w:val="000000" w:themeColor="text1"/>
                <w:kern w:val="0"/>
              </w:rPr>
              <w:t>50m/min。</w:t>
            </w:r>
          </w:p>
        </w:tc>
      </w:tr>
      <w:tr w:rsidR="002D2AF8" w14:paraId="249AD93A" w14:textId="77777777">
        <w:trPr>
          <w:jc w:val="center"/>
        </w:trPr>
        <w:tc>
          <w:tcPr>
            <w:tcW w:w="269" w:type="pct"/>
            <w:tcBorders>
              <w:tl2br w:val="nil"/>
              <w:tr2bl w:val="nil"/>
            </w:tcBorders>
            <w:vAlign w:val="center"/>
          </w:tcPr>
          <w:p w14:paraId="1B24D306"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6EC041B4"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上提电缆的速度不大于50m/min。上起电缆测试工具距喇叭口或井径、管径变化</w:t>
            </w:r>
            <w:proofErr w:type="spellStart"/>
            <w:r>
              <w:rPr>
                <w:rFonts w:ascii="宋体" w:hAnsi="宋体" w:hint="eastAsia"/>
                <w:color w:val="000000" w:themeColor="text1"/>
                <w:kern w:val="0"/>
              </w:rPr>
              <w:t>lOOm</w:t>
            </w:r>
            <w:proofErr w:type="spellEnd"/>
            <w:r>
              <w:rPr>
                <w:rFonts w:ascii="宋体" w:hAnsi="宋体" w:hint="eastAsia"/>
                <w:color w:val="000000" w:themeColor="text1"/>
                <w:kern w:val="0"/>
              </w:rPr>
              <w:lastRenderedPageBreak/>
              <w:t>处，速度应控制在18m/min以内。若张力突然增加，应上下活动解卡，上提拉力控制在电缆弱点许可的范围内。</w:t>
            </w:r>
          </w:p>
        </w:tc>
        <w:tc>
          <w:tcPr>
            <w:tcW w:w="961" w:type="pct"/>
            <w:tcBorders>
              <w:tl2br w:val="nil"/>
              <w:tr2bl w:val="nil"/>
            </w:tcBorders>
            <w:vAlign w:val="center"/>
          </w:tcPr>
          <w:p w14:paraId="60A57CE4" w14:textId="77777777" w:rsidR="002D2AF8" w:rsidRDefault="00000000">
            <w:pPr>
              <w:overflowPunct w:val="0"/>
              <w:snapToGrid w:val="0"/>
              <w:jc w:val="center"/>
              <w:rPr>
                <w:color w:val="000000" w:themeColor="text1"/>
                <w:kern w:val="0"/>
              </w:rPr>
            </w:pPr>
            <w:r>
              <w:rPr>
                <w:rFonts w:hint="eastAsia"/>
                <w:color w:val="000000" w:themeColor="text1"/>
                <w:kern w:val="0"/>
              </w:rPr>
              <w:lastRenderedPageBreak/>
              <w:t>SY/T5483-2017</w:t>
            </w:r>
          </w:p>
          <w:p w14:paraId="47B52340" w14:textId="77777777" w:rsidR="002D2AF8" w:rsidRDefault="00000000">
            <w:pPr>
              <w:overflowPunct w:val="0"/>
              <w:snapToGrid w:val="0"/>
              <w:jc w:val="center"/>
              <w:rPr>
                <w:color w:val="000000" w:themeColor="text1"/>
                <w:kern w:val="0"/>
              </w:rPr>
            </w:pPr>
            <w:r>
              <w:rPr>
                <w:rFonts w:hint="eastAsia"/>
                <w:color w:val="000000" w:themeColor="text1"/>
                <w:kern w:val="0"/>
              </w:rPr>
              <w:t>6.1.2.11</w:t>
            </w:r>
          </w:p>
        </w:tc>
        <w:tc>
          <w:tcPr>
            <w:tcW w:w="399" w:type="pct"/>
            <w:tcBorders>
              <w:tl2br w:val="nil"/>
              <w:tr2bl w:val="nil"/>
            </w:tcBorders>
            <w:vAlign w:val="center"/>
          </w:tcPr>
          <w:p w14:paraId="0B1621B9"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6B187705" w14:textId="77777777" w:rsidR="002D2AF8" w:rsidRDefault="00000000">
            <w:pPr>
              <w:snapToGrid w:val="0"/>
              <w:rPr>
                <w:color w:val="000000" w:themeColor="text1"/>
              </w:rPr>
            </w:pPr>
            <w:r>
              <w:rPr>
                <w:rFonts w:hint="eastAsia"/>
                <w:color w:val="000000" w:themeColor="text1"/>
              </w:rPr>
              <w:t>根据企业提供的测试作业流程，上提不大于</w:t>
            </w:r>
            <w:r>
              <w:rPr>
                <w:rFonts w:ascii="宋体" w:hAnsi="宋体" w:hint="eastAsia"/>
                <w:color w:val="000000" w:themeColor="text1"/>
                <w:kern w:val="0"/>
              </w:rPr>
              <w:t>50m/min，管径变化时，上</w:t>
            </w:r>
            <w:r>
              <w:rPr>
                <w:rFonts w:ascii="宋体" w:hAnsi="宋体" w:hint="eastAsia"/>
                <w:color w:val="000000" w:themeColor="text1"/>
                <w:kern w:val="0"/>
              </w:rPr>
              <w:lastRenderedPageBreak/>
              <w:t>提速度控制在1018m/min以内。</w:t>
            </w:r>
          </w:p>
        </w:tc>
      </w:tr>
      <w:tr w:rsidR="002D2AF8" w14:paraId="40FFAB7F" w14:textId="77777777">
        <w:trPr>
          <w:jc w:val="center"/>
        </w:trPr>
        <w:tc>
          <w:tcPr>
            <w:tcW w:w="269" w:type="pct"/>
            <w:tcBorders>
              <w:tl2br w:val="nil"/>
              <w:tr2bl w:val="nil"/>
            </w:tcBorders>
            <w:vAlign w:val="center"/>
          </w:tcPr>
          <w:p w14:paraId="638C5AD0"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1A84C81D"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测试设备主要技术性能参数应达到设计要求。</w:t>
            </w:r>
          </w:p>
        </w:tc>
        <w:tc>
          <w:tcPr>
            <w:tcW w:w="961" w:type="pct"/>
            <w:tcBorders>
              <w:tl2br w:val="nil"/>
              <w:tr2bl w:val="nil"/>
            </w:tcBorders>
            <w:vAlign w:val="center"/>
          </w:tcPr>
          <w:p w14:paraId="72FDBF3F" w14:textId="77777777" w:rsidR="002D2AF8" w:rsidRDefault="00000000">
            <w:pPr>
              <w:overflowPunct w:val="0"/>
              <w:snapToGrid w:val="0"/>
              <w:jc w:val="center"/>
              <w:rPr>
                <w:color w:val="000000" w:themeColor="text1"/>
                <w:kern w:val="0"/>
              </w:rPr>
            </w:pPr>
            <w:r>
              <w:rPr>
                <w:color w:val="000000" w:themeColor="text1"/>
                <w:kern w:val="0"/>
              </w:rPr>
              <w:t>SY/T5079-2014</w:t>
            </w:r>
          </w:p>
          <w:p w14:paraId="0B9ED55E" w14:textId="77777777" w:rsidR="002D2AF8" w:rsidRDefault="00000000">
            <w:pPr>
              <w:overflowPunct w:val="0"/>
              <w:snapToGrid w:val="0"/>
              <w:jc w:val="center"/>
              <w:rPr>
                <w:color w:val="000000" w:themeColor="text1"/>
                <w:kern w:val="0"/>
              </w:rPr>
            </w:pPr>
            <w:r>
              <w:rPr>
                <w:color w:val="000000" w:themeColor="text1"/>
                <w:kern w:val="0"/>
              </w:rPr>
              <w:t>4.2.1</w:t>
            </w:r>
          </w:p>
        </w:tc>
        <w:tc>
          <w:tcPr>
            <w:tcW w:w="399" w:type="pct"/>
            <w:tcBorders>
              <w:tl2br w:val="nil"/>
              <w:tr2bl w:val="nil"/>
            </w:tcBorders>
            <w:vAlign w:val="center"/>
          </w:tcPr>
          <w:p w14:paraId="676C25D4"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3AF41613" w14:textId="77777777" w:rsidR="002D2AF8" w:rsidRDefault="00000000">
            <w:pPr>
              <w:snapToGrid w:val="0"/>
              <w:rPr>
                <w:color w:val="000000" w:themeColor="text1"/>
              </w:rPr>
            </w:pPr>
            <w:r>
              <w:rPr>
                <w:rFonts w:hint="eastAsia"/>
                <w:color w:val="000000" w:themeColor="text1"/>
              </w:rPr>
              <w:t>达到</w:t>
            </w:r>
            <w:r>
              <w:rPr>
                <w:rFonts w:ascii="宋体" w:hAnsi="宋体" w:hint="eastAsia"/>
                <w:color w:val="000000" w:themeColor="text1"/>
                <w:kern w:val="0"/>
              </w:rPr>
              <w:t>设计要求。</w:t>
            </w:r>
          </w:p>
        </w:tc>
      </w:tr>
      <w:tr w:rsidR="002D2AF8" w14:paraId="5D2B0660" w14:textId="77777777">
        <w:trPr>
          <w:jc w:val="center"/>
        </w:trPr>
        <w:tc>
          <w:tcPr>
            <w:tcW w:w="269" w:type="pct"/>
            <w:tcBorders>
              <w:tl2br w:val="nil"/>
              <w:tr2bl w:val="nil"/>
            </w:tcBorders>
            <w:vAlign w:val="center"/>
          </w:tcPr>
          <w:p w14:paraId="2B6303C0"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1093A3B6"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各液压元件及液压管线、接头、油箱应无渗漏现象。</w:t>
            </w:r>
          </w:p>
        </w:tc>
        <w:tc>
          <w:tcPr>
            <w:tcW w:w="961" w:type="pct"/>
            <w:tcBorders>
              <w:tl2br w:val="nil"/>
              <w:tr2bl w:val="nil"/>
            </w:tcBorders>
            <w:vAlign w:val="center"/>
          </w:tcPr>
          <w:p w14:paraId="0AFC311F" w14:textId="77777777" w:rsidR="002D2AF8" w:rsidRDefault="00000000">
            <w:pPr>
              <w:overflowPunct w:val="0"/>
              <w:snapToGrid w:val="0"/>
              <w:jc w:val="center"/>
              <w:rPr>
                <w:color w:val="000000" w:themeColor="text1"/>
                <w:kern w:val="0"/>
              </w:rPr>
            </w:pPr>
            <w:r>
              <w:rPr>
                <w:color w:val="000000" w:themeColor="text1"/>
                <w:kern w:val="0"/>
              </w:rPr>
              <w:t>SY/T5079-2014</w:t>
            </w:r>
          </w:p>
          <w:p w14:paraId="07F527FD" w14:textId="77777777" w:rsidR="002D2AF8"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5</w:t>
            </w:r>
          </w:p>
        </w:tc>
        <w:tc>
          <w:tcPr>
            <w:tcW w:w="399" w:type="pct"/>
            <w:tcBorders>
              <w:tl2br w:val="nil"/>
              <w:tr2bl w:val="nil"/>
            </w:tcBorders>
            <w:vAlign w:val="center"/>
          </w:tcPr>
          <w:p w14:paraId="630BD173"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576F1FFD" w14:textId="77777777" w:rsidR="002D2AF8" w:rsidRDefault="00000000">
            <w:pPr>
              <w:snapToGrid w:val="0"/>
              <w:rPr>
                <w:color w:val="000000" w:themeColor="text1"/>
              </w:rPr>
            </w:pPr>
            <w:r>
              <w:rPr>
                <w:rFonts w:hint="eastAsia"/>
                <w:color w:val="000000" w:themeColor="text1"/>
              </w:rPr>
              <w:t>无渗漏现象。</w:t>
            </w:r>
          </w:p>
        </w:tc>
      </w:tr>
      <w:tr w:rsidR="002D2AF8" w14:paraId="6E3E9A8A" w14:textId="77777777">
        <w:trPr>
          <w:jc w:val="center"/>
        </w:trPr>
        <w:tc>
          <w:tcPr>
            <w:tcW w:w="269" w:type="pct"/>
            <w:tcBorders>
              <w:tl2br w:val="nil"/>
              <w:tr2bl w:val="nil"/>
            </w:tcBorders>
            <w:vAlign w:val="center"/>
          </w:tcPr>
          <w:p w14:paraId="56A06611"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6278882B"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液压系统应具有过载保护功能，应设置调压阀，调压阀的性能应可靠并便于调节。</w:t>
            </w:r>
          </w:p>
        </w:tc>
        <w:tc>
          <w:tcPr>
            <w:tcW w:w="961" w:type="pct"/>
            <w:tcBorders>
              <w:tl2br w:val="nil"/>
              <w:tr2bl w:val="nil"/>
            </w:tcBorders>
            <w:vAlign w:val="center"/>
          </w:tcPr>
          <w:p w14:paraId="450CCC56" w14:textId="77777777" w:rsidR="002D2AF8" w:rsidRDefault="00000000">
            <w:pPr>
              <w:overflowPunct w:val="0"/>
              <w:snapToGrid w:val="0"/>
              <w:jc w:val="center"/>
              <w:rPr>
                <w:color w:val="000000" w:themeColor="text1"/>
                <w:kern w:val="0"/>
              </w:rPr>
            </w:pPr>
            <w:r>
              <w:rPr>
                <w:color w:val="000000" w:themeColor="text1"/>
                <w:kern w:val="0"/>
              </w:rPr>
              <w:t>SY/T5079-2014</w:t>
            </w:r>
          </w:p>
          <w:p w14:paraId="1707DC9B" w14:textId="77777777" w:rsidR="002D2AF8"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6</w:t>
            </w:r>
          </w:p>
        </w:tc>
        <w:tc>
          <w:tcPr>
            <w:tcW w:w="399" w:type="pct"/>
            <w:tcBorders>
              <w:tl2br w:val="nil"/>
              <w:tr2bl w:val="nil"/>
            </w:tcBorders>
            <w:vAlign w:val="center"/>
          </w:tcPr>
          <w:p w14:paraId="23A6E639"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54DAF039" w14:textId="77777777" w:rsidR="002D2AF8" w:rsidRDefault="00000000">
            <w:pPr>
              <w:snapToGrid w:val="0"/>
              <w:rPr>
                <w:color w:val="000000" w:themeColor="text1"/>
              </w:rPr>
            </w:pPr>
            <w:r>
              <w:rPr>
                <w:rFonts w:ascii="宋体" w:hAnsi="宋体" w:hint="eastAsia"/>
                <w:color w:val="000000" w:themeColor="text1"/>
                <w:kern w:val="0"/>
              </w:rPr>
              <w:t>有过载保护功能，设置有调压阀。</w:t>
            </w:r>
          </w:p>
        </w:tc>
      </w:tr>
      <w:tr w:rsidR="002D2AF8" w14:paraId="733CF7EB" w14:textId="77777777">
        <w:trPr>
          <w:jc w:val="center"/>
        </w:trPr>
        <w:tc>
          <w:tcPr>
            <w:tcW w:w="269" w:type="pct"/>
            <w:tcBorders>
              <w:tl2br w:val="nil"/>
              <w:tr2bl w:val="nil"/>
            </w:tcBorders>
            <w:vAlign w:val="center"/>
          </w:tcPr>
          <w:p w14:paraId="72BB862F"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1F17A233"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各气路元件及管线、接头应无漏气现象。</w:t>
            </w:r>
          </w:p>
        </w:tc>
        <w:tc>
          <w:tcPr>
            <w:tcW w:w="961" w:type="pct"/>
            <w:tcBorders>
              <w:tl2br w:val="nil"/>
              <w:tr2bl w:val="nil"/>
            </w:tcBorders>
            <w:vAlign w:val="center"/>
          </w:tcPr>
          <w:p w14:paraId="68B6525F" w14:textId="77777777" w:rsidR="002D2AF8" w:rsidRDefault="00000000">
            <w:pPr>
              <w:overflowPunct w:val="0"/>
              <w:snapToGrid w:val="0"/>
              <w:jc w:val="center"/>
              <w:rPr>
                <w:color w:val="000000" w:themeColor="text1"/>
                <w:kern w:val="0"/>
              </w:rPr>
            </w:pPr>
            <w:r>
              <w:rPr>
                <w:color w:val="000000" w:themeColor="text1"/>
                <w:kern w:val="0"/>
              </w:rPr>
              <w:t>SY/T5079-2014</w:t>
            </w:r>
          </w:p>
          <w:p w14:paraId="3582EA2B" w14:textId="77777777" w:rsidR="002D2AF8"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9</w:t>
            </w:r>
          </w:p>
        </w:tc>
        <w:tc>
          <w:tcPr>
            <w:tcW w:w="399" w:type="pct"/>
            <w:tcBorders>
              <w:tl2br w:val="nil"/>
              <w:tr2bl w:val="nil"/>
            </w:tcBorders>
            <w:vAlign w:val="center"/>
          </w:tcPr>
          <w:p w14:paraId="7A5E3D6C"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0C675538" w14:textId="77777777" w:rsidR="002D2AF8" w:rsidRDefault="00000000">
            <w:pPr>
              <w:snapToGrid w:val="0"/>
              <w:rPr>
                <w:rFonts w:ascii="宋体" w:hAnsi="宋体"/>
                <w:color w:val="000000" w:themeColor="text1"/>
                <w:kern w:val="0"/>
              </w:rPr>
            </w:pPr>
            <w:r>
              <w:rPr>
                <w:rFonts w:ascii="宋体" w:hAnsi="宋体" w:hint="eastAsia"/>
                <w:color w:val="000000" w:themeColor="text1"/>
                <w:kern w:val="0"/>
              </w:rPr>
              <w:t>无漏气现象。</w:t>
            </w:r>
          </w:p>
        </w:tc>
      </w:tr>
      <w:tr w:rsidR="002D2AF8" w14:paraId="24131922" w14:textId="77777777">
        <w:trPr>
          <w:jc w:val="center"/>
        </w:trPr>
        <w:tc>
          <w:tcPr>
            <w:tcW w:w="269" w:type="pct"/>
            <w:tcBorders>
              <w:tl2br w:val="nil"/>
              <w:tr2bl w:val="nil"/>
            </w:tcBorders>
            <w:vAlign w:val="center"/>
          </w:tcPr>
          <w:p w14:paraId="04FFE384"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67C7FD37"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各种操纵机构应操纵轻便，摘挂灵活、可靠。</w:t>
            </w:r>
          </w:p>
        </w:tc>
        <w:tc>
          <w:tcPr>
            <w:tcW w:w="961" w:type="pct"/>
            <w:tcBorders>
              <w:tl2br w:val="nil"/>
              <w:tr2bl w:val="nil"/>
            </w:tcBorders>
            <w:vAlign w:val="center"/>
          </w:tcPr>
          <w:p w14:paraId="7E4A2502" w14:textId="77777777" w:rsidR="002D2AF8" w:rsidRDefault="00000000">
            <w:pPr>
              <w:overflowPunct w:val="0"/>
              <w:snapToGrid w:val="0"/>
              <w:jc w:val="center"/>
              <w:rPr>
                <w:color w:val="000000" w:themeColor="text1"/>
                <w:kern w:val="0"/>
              </w:rPr>
            </w:pPr>
            <w:r>
              <w:rPr>
                <w:color w:val="000000" w:themeColor="text1"/>
                <w:kern w:val="0"/>
              </w:rPr>
              <w:t>SY/T5079-2014</w:t>
            </w:r>
          </w:p>
          <w:p w14:paraId="7D7AAB7E" w14:textId="77777777" w:rsidR="002D2AF8"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12</w:t>
            </w:r>
          </w:p>
        </w:tc>
        <w:tc>
          <w:tcPr>
            <w:tcW w:w="399" w:type="pct"/>
            <w:tcBorders>
              <w:tl2br w:val="nil"/>
              <w:tr2bl w:val="nil"/>
            </w:tcBorders>
            <w:vAlign w:val="center"/>
          </w:tcPr>
          <w:p w14:paraId="66120505"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5C578195" w14:textId="77777777" w:rsidR="002D2AF8" w:rsidRDefault="00000000">
            <w:pPr>
              <w:snapToGrid w:val="0"/>
              <w:rPr>
                <w:rFonts w:ascii="宋体" w:hAnsi="宋体"/>
                <w:color w:val="000000" w:themeColor="text1"/>
                <w:kern w:val="0"/>
              </w:rPr>
            </w:pPr>
            <w:r>
              <w:rPr>
                <w:rFonts w:ascii="宋体" w:hAnsi="宋体" w:hint="eastAsia"/>
                <w:color w:val="000000" w:themeColor="text1"/>
                <w:kern w:val="0"/>
              </w:rPr>
              <w:t>操纵轻便，摘挂灵活、可靠。</w:t>
            </w:r>
          </w:p>
        </w:tc>
      </w:tr>
      <w:tr w:rsidR="002D2AF8" w14:paraId="4E754637" w14:textId="77777777">
        <w:trPr>
          <w:jc w:val="center"/>
        </w:trPr>
        <w:tc>
          <w:tcPr>
            <w:tcW w:w="269" w:type="pct"/>
            <w:tcBorders>
              <w:tl2br w:val="nil"/>
              <w:tr2bl w:val="nil"/>
            </w:tcBorders>
            <w:vAlign w:val="center"/>
          </w:tcPr>
          <w:p w14:paraId="0BB7E554"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28E56EEE"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各总成件之间应连接牢固，相对转动件之间应转动灵活，无卡阻和干涉现象。</w:t>
            </w:r>
          </w:p>
        </w:tc>
        <w:tc>
          <w:tcPr>
            <w:tcW w:w="961" w:type="pct"/>
            <w:tcBorders>
              <w:tl2br w:val="nil"/>
              <w:tr2bl w:val="nil"/>
            </w:tcBorders>
            <w:vAlign w:val="center"/>
          </w:tcPr>
          <w:p w14:paraId="04DD68C5" w14:textId="77777777" w:rsidR="002D2AF8" w:rsidRDefault="00000000">
            <w:pPr>
              <w:overflowPunct w:val="0"/>
              <w:snapToGrid w:val="0"/>
              <w:jc w:val="center"/>
              <w:rPr>
                <w:color w:val="000000" w:themeColor="text1"/>
                <w:kern w:val="0"/>
              </w:rPr>
            </w:pPr>
            <w:r>
              <w:rPr>
                <w:color w:val="000000" w:themeColor="text1"/>
                <w:kern w:val="0"/>
              </w:rPr>
              <w:t>SY/T5079-2014</w:t>
            </w:r>
          </w:p>
          <w:p w14:paraId="3D090BE8" w14:textId="77777777" w:rsidR="002D2AF8"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14</w:t>
            </w:r>
          </w:p>
        </w:tc>
        <w:tc>
          <w:tcPr>
            <w:tcW w:w="399" w:type="pct"/>
            <w:tcBorders>
              <w:tl2br w:val="nil"/>
              <w:tr2bl w:val="nil"/>
            </w:tcBorders>
            <w:vAlign w:val="center"/>
          </w:tcPr>
          <w:p w14:paraId="1F1AA1EB"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5BC277A8" w14:textId="77777777" w:rsidR="002D2AF8" w:rsidRDefault="00000000">
            <w:pPr>
              <w:snapToGrid w:val="0"/>
              <w:rPr>
                <w:rFonts w:ascii="宋体" w:hAnsi="宋体"/>
                <w:color w:val="000000" w:themeColor="text1"/>
                <w:kern w:val="0"/>
              </w:rPr>
            </w:pPr>
            <w:r>
              <w:rPr>
                <w:rFonts w:ascii="宋体" w:hAnsi="宋体" w:hint="eastAsia"/>
                <w:color w:val="000000" w:themeColor="text1"/>
                <w:kern w:val="0"/>
              </w:rPr>
              <w:t>各总成件之间连接牢固。</w:t>
            </w:r>
          </w:p>
        </w:tc>
      </w:tr>
      <w:tr w:rsidR="002D2AF8" w14:paraId="15D17D69" w14:textId="77777777">
        <w:trPr>
          <w:jc w:val="center"/>
        </w:trPr>
        <w:tc>
          <w:tcPr>
            <w:tcW w:w="269" w:type="pct"/>
            <w:tcBorders>
              <w:tl2br w:val="nil"/>
              <w:tr2bl w:val="nil"/>
            </w:tcBorders>
            <w:vAlign w:val="center"/>
          </w:tcPr>
          <w:p w14:paraId="04139230"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7DDBE59E"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各液压管路、气管路应夹持可靠，安全齐整、无泄漏，不允许与其他零件摩擦、碰撞，可动管路在行车中不应有干涉现象。</w:t>
            </w:r>
          </w:p>
        </w:tc>
        <w:tc>
          <w:tcPr>
            <w:tcW w:w="961" w:type="pct"/>
            <w:tcBorders>
              <w:tl2br w:val="nil"/>
              <w:tr2bl w:val="nil"/>
            </w:tcBorders>
            <w:vAlign w:val="center"/>
          </w:tcPr>
          <w:p w14:paraId="7804E8B7" w14:textId="77777777" w:rsidR="002D2AF8" w:rsidRDefault="00000000">
            <w:pPr>
              <w:overflowPunct w:val="0"/>
              <w:snapToGrid w:val="0"/>
              <w:jc w:val="center"/>
              <w:rPr>
                <w:color w:val="000000" w:themeColor="text1"/>
                <w:kern w:val="0"/>
              </w:rPr>
            </w:pPr>
            <w:r>
              <w:rPr>
                <w:color w:val="000000" w:themeColor="text1"/>
                <w:kern w:val="0"/>
              </w:rPr>
              <w:t>SY/T5079-2014</w:t>
            </w:r>
          </w:p>
          <w:p w14:paraId="6F609A4E" w14:textId="77777777" w:rsidR="002D2AF8"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15</w:t>
            </w:r>
          </w:p>
        </w:tc>
        <w:tc>
          <w:tcPr>
            <w:tcW w:w="399" w:type="pct"/>
            <w:tcBorders>
              <w:tl2br w:val="nil"/>
              <w:tr2bl w:val="nil"/>
            </w:tcBorders>
            <w:vAlign w:val="center"/>
          </w:tcPr>
          <w:p w14:paraId="680C9CD7"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46E9E3B5" w14:textId="77777777" w:rsidR="002D2AF8" w:rsidRDefault="00000000">
            <w:pPr>
              <w:snapToGrid w:val="0"/>
              <w:rPr>
                <w:rFonts w:ascii="宋体" w:hAnsi="宋体"/>
                <w:color w:val="000000" w:themeColor="text1"/>
                <w:kern w:val="0"/>
              </w:rPr>
            </w:pPr>
            <w:r>
              <w:rPr>
                <w:rFonts w:ascii="宋体" w:hAnsi="宋体" w:hint="eastAsia"/>
                <w:color w:val="000000" w:themeColor="text1"/>
                <w:kern w:val="0"/>
              </w:rPr>
              <w:t>各液压管路、气管路夹持可靠，安全齐整、无泄漏。</w:t>
            </w:r>
          </w:p>
        </w:tc>
      </w:tr>
      <w:tr w:rsidR="002D2AF8" w14:paraId="0D55D3BB" w14:textId="77777777">
        <w:trPr>
          <w:jc w:val="center"/>
        </w:trPr>
        <w:tc>
          <w:tcPr>
            <w:tcW w:w="269" w:type="pct"/>
            <w:tcBorders>
              <w:tl2br w:val="nil"/>
              <w:tr2bl w:val="nil"/>
            </w:tcBorders>
            <w:vAlign w:val="center"/>
          </w:tcPr>
          <w:p w14:paraId="20C4D2C7"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39D6E786"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滚筒筒身直径应大于所缠绕电缆或钢丝的最小弯曲直径。</w:t>
            </w:r>
          </w:p>
        </w:tc>
        <w:tc>
          <w:tcPr>
            <w:tcW w:w="961" w:type="pct"/>
            <w:tcBorders>
              <w:tl2br w:val="nil"/>
              <w:tr2bl w:val="nil"/>
            </w:tcBorders>
            <w:vAlign w:val="center"/>
          </w:tcPr>
          <w:p w14:paraId="047CC13F" w14:textId="77777777" w:rsidR="002D2AF8" w:rsidRDefault="00000000">
            <w:pPr>
              <w:overflowPunct w:val="0"/>
              <w:snapToGrid w:val="0"/>
              <w:jc w:val="center"/>
              <w:rPr>
                <w:color w:val="000000" w:themeColor="text1"/>
                <w:kern w:val="0"/>
              </w:rPr>
            </w:pPr>
            <w:r>
              <w:rPr>
                <w:color w:val="000000" w:themeColor="text1"/>
                <w:kern w:val="0"/>
              </w:rPr>
              <w:t>SY/T5079-2014</w:t>
            </w:r>
          </w:p>
          <w:p w14:paraId="410E3EE4" w14:textId="77777777" w:rsidR="002D2AF8"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17.2</w:t>
            </w:r>
          </w:p>
        </w:tc>
        <w:tc>
          <w:tcPr>
            <w:tcW w:w="399" w:type="pct"/>
            <w:tcBorders>
              <w:tl2br w:val="nil"/>
              <w:tr2bl w:val="nil"/>
            </w:tcBorders>
            <w:vAlign w:val="center"/>
          </w:tcPr>
          <w:p w14:paraId="5A8F82B9"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4E96E180" w14:textId="77777777" w:rsidR="002D2AF8" w:rsidRDefault="00000000">
            <w:pPr>
              <w:snapToGrid w:val="0"/>
              <w:rPr>
                <w:rFonts w:ascii="宋体" w:hAnsi="宋体"/>
                <w:color w:val="000000" w:themeColor="text1"/>
                <w:kern w:val="0"/>
              </w:rPr>
            </w:pPr>
            <w:r>
              <w:rPr>
                <w:rFonts w:ascii="宋体" w:hAnsi="宋体" w:hint="eastAsia"/>
                <w:color w:val="000000" w:themeColor="text1"/>
                <w:kern w:val="0"/>
              </w:rPr>
              <w:t>筒身直径大于所缠绕钢丝的最小弯曲直径。</w:t>
            </w:r>
          </w:p>
        </w:tc>
      </w:tr>
      <w:tr w:rsidR="002D2AF8" w14:paraId="5026A785" w14:textId="77777777">
        <w:trPr>
          <w:jc w:val="center"/>
        </w:trPr>
        <w:tc>
          <w:tcPr>
            <w:tcW w:w="269" w:type="pct"/>
            <w:tcBorders>
              <w:tl2br w:val="nil"/>
              <w:tr2bl w:val="nil"/>
            </w:tcBorders>
            <w:vAlign w:val="center"/>
          </w:tcPr>
          <w:p w14:paraId="30A85373"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44962431" w14:textId="77777777" w:rsidR="002D2AF8" w:rsidRDefault="00000000">
            <w:pPr>
              <w:overflowPunct w:val="0"/>
              <w:adjustRightInd w:val="0"/>
              <w:snapToGrid w:val="0"/>
              <w:rPr>
                <w:rFonts w:ascii="宋体" w:hAnsi="宋体"/>
                <w:color w:val="000000" w:themeColor="text1"/>
                <w:kern w:val="0"/>
              </w:rPr>
            </w:pPr>
            <w:r>
              <w:rPr>
                <w:rFonts w:ascii="宋体" w:hAnsi="宋体" w:hint="eastAsia"/>
                <w:color w:val="000000" w:themeColor="text1"/>
                <w:kern w:val="0"/>
              </w:rPr>
              <w:t>绞车刹车装置应可靠。使用带式双刹带刹车时，两刹带刹车力应相等，刹车松开后刹车带与刹车毂间隙为2mm</w:t>
            </w:r>
            <w:r>
              <w:rPr>
                <w:color w:val="000000" w:themeColor="text1"/>
                <w:kern w:val="0"/>
              </w:rPr>
              <w:t>~</w:t>
            </w:r>
            <w:r>
              <w:rPr>
                <w:rFonts w:ascii="宋体" w:hAnsi="宋体" w:hint="eastAsia"/>
                <w:color w:val="000000" w:themeColor="text1"/>
                <w:kern w:val="0"/>
              </w:rPr>
              <w:t>3mm；盘式刹车中，在刹车完全松开后，刹车片与刹车盘之间的间隙为1mm</w:t>
            </w:r>
            <w:r>
              <w:rPr>
                <w:color w:val="000000" w:themeColor="text1"/>
                <w:kern w:val="0"/>
              </w:rPr>
              <w:t>~</w:t>
            </w:r>
            <w:r>
              <w:rPr>
                <w:rFonts w:ascii="宋体" w:hAnsi="宋体" w:hint="eastAsia"/>
                <w:color w:val="000000" w:themeColor="text1"/>
                <w:kern w:val="0"/>
              </w:rPr>
              <w:t>2mm。</w:t>
            </w:r>
          </w:p>
        </w:tc>
        <w:tc>
          <w:tcPr>
            <w:tcW w:w="961" w:type="pct"/>
            <w:tcBorders>
              <w:tl2br w:val="nil"/>
              <w:tr2bl w:val="nil"/>
            </w:tcBorders>
            <w:vAlign w:val="center"/>
          </w:tcPr>
          <w:p w14:paraId="4EF7353B" w14:textId="77777777" w:rsidR="002D2AF8" w:rsidRDefault="00000000">
            <w:pPr>
              <w:overflowPunct w:val="0"/>
              <w:snapToGrid w:val="0"/>
              <w:jc w:val="center"/>
              <w:rPr>
                <w:color w:val="000000" w:themeColor="text1"/>
                <w:kern w:val="0"/>
              </w:rPr>
            </w:pPr>
            <w:r>
              <w:rPr>
                <w:color w:val="000000" w:themeColor="text1"/>
                <w:kern w:val="0"/>
              </w:rPr>
              <w:t>SY/T5079-2014</w:t>
            </w:r>
          </w:p>
          <w:p w14:paraId="7CC1F292" w14:textId="77777777" w:rsidR="002D2AF8" w:rsidRDefault="00000000">
            <w:pPr>
              <w:overflowPunct w:val="0"/>
              <w:snapToGrid w:val="0"/>
              <w:jc w:val="center"/>
              <w:rPr>
                <w:color w:val="000000" w:themeColor="text1"/>
                <w:kern w:val="0"/>
              </w:rPr>
            </w:pPr>
            <w:r>
              <w:rPr>
                <w:color w:val="000000" w:themeColor="text1"/>
                <w:kern w:val="0"/>
              </w:rPr>
              <w:t>4.2.</w:t>
            </w:r>
            <w:r>
              <w:rPr>
                <w:rFonts w:hint="eastAsia"/>
                <w:color w:val="000000" w:themeColor="text1"/>
                <w:kern w:val="0"/>
              </w:rPr>
              <w:t>17.5</w:t>
            </w:r>
          </w:p>
        </w:tc>
        <w:tc>
          <w:tcPr>
            <w:tcW w:w="399" w:type="pct"/>
            <w:tcBorders>
              <w:tl2br w:val="nil"/>
              <w:tr2bl w:val="nil"/>
            </w:tcBorders>
            <w:vAlign w:val="center"/>
          </w:tcPr>
          <w:p w14:paraId="3783B896"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534D1B8C" w14:textId="77777777" w:rsidR="002D2AF8" w:rsidRDefault="00000000">
            <w:pPr>
              <w:snapToGrid w:val="0"/>
              <w:rPr>
                <w:rFonts w:ascii="宋体" w:hAnsi="宋体"/>
                <w:color w:val="000000" w:themeColor="text1"/>
                <w:kern w:val="0"/>
              </w:rPr>
            </w:pPr>
            <w:r>
              <w:rPr>
                <w:rFonts w:ascii="宋体" w:hAnsi="宋体" w:hint="eastAsia"/>
                <w:color w:val="000000" w:themeColor="text1"/>
                <w:kern w:val="0"/>
              </w:rPr>
              <w:t>绞车刹车装置可靠。</w:t>
            </w:r>
          </w:p>
        </w:tc>
      </w:tr>
      <w:tr w:rsidR="002D2AF8" w14:paraId="19BBBC9B" w14:textId="77777777">
        <w:trPr>
          <w:jc w:val="center"/>
        </w:trPr>
        <w:tc>
          <w:tcPr>
            <w:tcW w:w="269" w:type="pct"/>
            <w:tcBorders>
              <w:tl2br w:val="nil"/>
              <w:tr2bl w:val="nil"/>
            </w:tcBorders>
            <w:vAlign w:val="center"/>
          </w:tcPr>
          <w:p w14:paraId="75F5751A"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649A53D7"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生产经营单位应当依据法律、法规、规章和国家、行业或者地方标准，制定涵盖本单位生产经营全过程和全体从业人员的安全操作规程。</w:t>
            </w:r>
          </w:p>
        </w:tc>
        <w:tc>
          <w:tcPr>
            <w:tcW w:w="961" w:type="pct"/>
            <w:tcBorders>
              <w:tl2br w:val="nil"/>
              <w:tr2bl w:val="nil"/>
            </w:tcBorders>
            <w:vAlign w:val="center"/>
          </w:tcPr>
          <w:p w14:paraId="0F8F407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《山东省生产经营单位安全生产主体责任规定》第七条</w:t>
            </w:r>
          </w:p>
        </w:tc>
        <w:tc>
          <w:tcPr>
            <w:tcW w:w="399" w:type="pct"/>
            <w:tcBorders>
              <w:tl2br w:val="nil"/>
              <w:tr2bl w:val="nil"/>
            </w:tcBorders>
            <w:vAlign w:val="center"/>
          </w:tcPr>
          <w:p w14:paraId="05A7E0A8" w14:textId="77777777" w:rsidR="002D2AF8" w:rsidRDefault="00000000">
            <w:pPr>
              <w:snapToGrid w:val="0"/>
              <w:jc w:val="center"/>
              <w:rPr>
                <w:color w:val="000000" w:themeColor="text1"/>
              </w:rPr>
            </w:pPr>
            <w:r>
              <w:rPr>
                <w:color w:val="000000" w:themeColor="text1"/>
              </w:rPr>
              <w:t>√</w:t>
            </w:r>
          </w:p>
        </w:tc>
        <w:tc>
          <w:tcPr>
            <w:tcW w:w="1571" w:type="pct"/>
            <w:vMerge w:val="restart"/>
            <w:tcBorders>
              <w:tl2br w:val="nil"/>
              <w:tr2bl w:val="nil"/>
            </w:tcBorders>
            <w:vAlign w:val="center"/>
          </w:tcPr>
          <w:p w14:paraId="146249F3" w14:textId="77777777" w:rsidR="002D2AF8" w:rsidRDefault="00000000">
            <w:pPr>
              <w:snapToGrid w:val="0"/>
              <w:rPr>
                <w:color w:val="000000" w:themeColor="text1"/>
              </w:rPr>
            </w:pPr>
            <w:r>
              <w:rPr>
                <w:rFonts w:hint="eastAsia"/>
                <w:color w:val="000000" w:themeColor="text1"/>
              </w:rPr>
              <w:t>已制定测试作业安全操作规程、测试设备安全操作规程等。</w:t>
            </w:r>
          </w:p>
        </w:tc>
      </w:tr>
      <w:tr w:rsidR="002D2AF8" w14:paraId="4F2E20B5" w14:textId="77777777">
        <w:trPr>
          <w:jc w:val="center"/>
        </w:trPr>
        <w:tc>
          <w:tcPr>
            <w:tcW w:w="269" w:type="pct"/>
            <w:tcBorders>
              <w:tl2br w:val="nil"/>
              <w:tr2bl w:val="nil"/>
            </w:tcBorders>
            <w:vAlign w:val="center"/>
          </w:tcPr>
          <w:p w14:paraId="523F4B2B"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613387B0"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非煤矿矿山企业取得安全生产许可证，应当具备下列安全生产条件：（一）制定作业安全规程和各工种操作规程。</w:t>
            </w:r>
          </w:p>
        </w:tc>
        <w:tc>
          <w:tcPr>
            <w:tcW w:w="961" w:type="pct"/>
            <w:tcBorders>
              <w:tl2br w:val="nil"/>
              <w:tr2bl w:val="nil"/>
            </w:tcBorders>
            <w:vAlign w:val="center"/>
          </w:tcPr>
          <w:p w14:paraId="10E94754"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6062139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399" w:type="pct"/>
            <w:tcBorders>
              <w:tl2br w:val="nil"/>
              <w:tr2bl w:val="nil"/>
            </w:tcBorders>
            <w:vAlign w:val="center"/>
          </w:tcPr>
          <w:p w14:paraId="2D958867" w14:textId="77777777" w:rsidR="002D2AF8" w:rsidRDefault="00000000">
            <w:pPr>
              <w:snapToGrid w:val="0"/>
              <w:jc w:val="center"/>
              <w:rPr>
                <w:color w:val="000000" w:themeColor="text1"/>
                <w:kern w:val="0"/>
              </w:rPr>
            </w:pPr>
            <w:r>
              <w:rPr>
                <w:color w:val="000000" w:themeColor="text1"/>
              </w:rPr>
              <w:t>√</w:t>
            </w:r>
          </w:p>
        </w:tc>
        <w:tc>
          <w:tcPr>
            <w:tcW w:w="1571" w:type="pct"/>
            <w:vMerge/>
            <w:tcBorders>
              <w:tl2br w:val="nil"/>
              <w:tr2bl w:val="nil"/>
            </w:tcBorders>
            <w:vAlign w:val="center"/>
          </w:tcPr>
          <w:p w14:paraId="5C9EB261" w14:textId="77777777" w:rsidR="002D2AF8" w:rsidRDefault="002D2AF8">
            <w:pPr>
              <w:snapToGrid w:val="0"/>
              <w:rPr>
                <w:color w:val="000000" w:themeColor="text1"/>
              </w:rPr>
            </w:pPr>
          </w:p>
        </w:tc>
      </w:tr>
      <w:tr w:rsidR="002D2AF8" w14:paraId="5D3C6255" w14:textId="77777777">
        <w:trPr>
          <w:jc w:val="center"/>
        </w:trPr>
        <w:tc>
          <w:tcPr>
            <w:tcW w:w="269" w:type="pct"/>
            <w:tcBorders>
              <w:tl2br w:val="nil"/>
              <w:tr2bl w:val="nil"/>
            </w:tcBorders>
            <w:vAlign w:val="center"/>
          </w:tcPr>
          <w:p w14:paraId="37A9A80E" w14:textId="77777777" w:rsidR="002D2AF8" w:rsidRDefault="002D2AF8">
            <w:pPr>
              <w:numPr>
                <w:ilvl w:val="0"/>
                <w:numId w:val="16"/>
              </w:numPr>
              <w:snapToGrid w:val="0"/>
              <w:spacing w:beforeLines="20" w:before="65" w:afterLines="20" w:after="65"/>
              <w:jc w:val="left"/>
              <w:rPr>
                <w:color w:val="000000" w:themeColor="text1"/>
              </w:rPr>
            </w:pPr>
          </w:p>
        </w:tc>
        <w:tc>
          <w:tcPr>
            <w:tcW w:w="1798" w:type="pct"/>
            <w:tcBorders>
              <w:tl2br w:val="nil"/>
              <w:tr2bl w:val="nil"/>
            </w:tcBorders>
            <w:vAlign w:val="center"/>
          </w:tcPr>
          <w:p w14:paraId="02A0F4EF"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危险性较大的设备、设施按照国家有关规定进行定期检测检验。</w:t>
            </w:r>
          </w:p>
        </w:tc>
        <w:tc>
          <w:tcPr>
            <w:tcW w:w="961" w:type="pct"/>
            <w:tcBorders>
              <w:tl2br w:val="nil"/>
              <w:tr2bl w:val="nil"/>
            </w:tcBorders>
            <w:vAlign w:val="center"/>
          </w:tcPr>
          <w:p w14:paraId="73E1321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214C72B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399" w:type="pct"/>
            <w:tcBorders>
              <w:tl2br w:val="nil"/>
              <w:tr2bl w:val="nil"/>
            </w:tcBorders>
            <w:vAlign w:val="center"/>
          </w:tcPr>
          <w:p w14:paraId="0CD95104" w14:textId="77777777" w:rsidR="002D2AF8" w:rsidRDefault="00000000">
            <w:pPr>
              <w:snapToGrid w:val="0"/>
              <w:jc w:val="center"/>
              <w:rPr>
                <w:color w:val="000000" w:themeColor="text1"/>
              </w:rPr>
            </w:pPr>
            <w:r>
              <w:rPr>
                <w:color w:val="000000" w:themeColor="text1"/>
              </w:rPr>
              <w:t>√</w:t>
            </w:r>
          </w:p>
        </w:tc>
        <w:tc>
          <w:tcPr>
            <w:tcW w:w="1571" w:type="pct"/>
            <w:tcBorders>
              <w:tl2br w:val="nil"/>
              <w:tr2bl w:val="nil"/>
            </w:tcBorders>
            <w:vAlign w:val="center"/>
          </w:tcPr>
          <w:p w14:paraId="0805AFF8" w14:textId="77777777" w:rsidR="002D2AF8" w:rsidRDefault="00000000">
            <w:pPr>
              <w:snapToGrid w:val="0"/>
              <w:rPr>
                <w:color w:val="000000" w:themeColor="text1"/>
              </w:rPr>
            </w:pPr>
            <w:r>
              <w:rPr>
                <w:rFonts w:hint="eastAsia"/>
                <w:color w:val="000000" w:themeColor="text1"/>
              </w:rPr>
              <w:t>防喷装置已经胜利油田设备监测站检测，检测结论为未见明显损伤，压力试验无可见泄漏。</w:t>
            </w:r>
          </w:p>
        </w:tc>
      </w:tr>
    </w:tbl>
    <w:p w14:paraId="70953B48" w14:textId="77777777" w:rsidR="002D2AF8"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lastRenderedPageBreak/>
        <w:t>评价小结：</w:t>
      </w:r>
      <w:r>
        <w:rPr>
          <w:rFonts w:hint="eastAsia"/>
          <w:color w:val="000000" w:themeColor="text1"/>
          <w:sz w:val="28"/>
          <w:szCs w:val="28"/>
        </w:rPr>
        <w:t>测试作业安全检查表共设</w:t>
      </w:r>
      <w:r>
        <w:rPr>
          <w:rFonts w:hint="eastAsia"/>
          <w:color w:val="000000" w:themeColor="text1"/>
          <w:sz w:val="28"/>
          <w:szCs w:val="28"/>
        </w:rPr>
        <w:t>23</w:t>
      </w:r>
      <w:r>
        <w:rPr>
          <w:rFonts w:hint="eastAsia"/>
          <w:color w:val="000000" w:themeColor="text1"/>
          <w:sz w:val="28"/>
          <w:szCs w:val="28"/>
        </w:rPr>
        <w:t>项检查内容，</w:t>
      </w:r>
      <w:r>
        <w:rPr>
          <w:rFonts w:hint="eastAsia"/>
          <w:color w:val="000000" w:themeColor="text1"/>
          <w:sz w:val="28"/>
          <w:szCs w:val="28"/>
        </w:rPr>
        <w:t>23</w:t>
      </w:r>
      <w:r>
        <w:rPr>
          <w:rFonts w:hint="eastAsia"/>
          <w:color w:val="000000" w:themeColor="text1"/>
          <w:sz w:val="28"/>
          <w:szCs w:val="28"/>
        </w:rPr>
        <w:t>项全部符合标准规范要求，无不符合项。</w:t>
      </w:r>
    </w:p>
    <w:p w14:paraId="28102248" w14:textId="77777777" w:rsidR="002D2AF8" w:rsidRDefault="00000000">
      <w:pPr>
        <w:adjustRightInd w:val="0"/>
        <w:snapToGrid w:val="0"/>
        <w:spacing w:line="360" w:lineRule="auto"/>
        <w:outlineLvl w:val="1"/>
        <w:rPr>
          <w:rFonts w:eastAsia="黑体"/>
          <w:bCs/>
          <w:color w:val="000000" w:themeColor="text1"/>
          <w:sz w:val="32"/>
          <w:szCs w:val="32"/>
        </w:rPr>
      </w:pPr>
      <w:bookmarkStart w:id="107" w:name="_Toc15316"/>
      <w:r>
        <w:rPr>
          <w:rFonts w:eastAsia="黑体"/>
          <w:bCs/>
          <w:color w:val="000000" w:themeColor="text1"/>
          <w:sz w:val="32"/>
          <w:szCs w:val="32"/>
        </w:rPr>
        <w:t xml:space="preserve">5.2 </w:t>
      </w:r>
      <w:r>
        <w:rPr>
          <w:rFonts w:eastAsia="黑体"/>
          <w:bCs/>
          <w:color w:val="000000" w:themeColor="text1"/>
          <w:sz w:val="32"/>
          <w:szCs w:val="32"/>
        </w:rPr>
        <w:t>作业条件危险性评价</w:t>
      </w:r>
      <w:bookmarkEnd w:id="105"/>
      <w:bookmarkEnd w:id="106"/>
      <w:bookmarkEnd w:id="107"/>
    </w:p>
    <w:p w14:paraId="0DFFF801" w14:textId="77777777" w:rsidR="002D2AF8" w:rsidRDefault="00000000">
      <w:pPr>
        <w:adjustRightInd w:val="0"/>
        <w:snapToGrid w:val="0"/>
        <w:spacing w:line="360" w:lineRule="auto"/>
        <w:ind w:firstLineChars="200" w:firstLine="566"/>
        <w:rPr>
          <w:b/>
          <w:color w:val="000000" w:themeColor="text1"/>
          <w:sz w:val="24"/>
        </w:rPr>
      </w:pPr>
      <w:r>
        <w:rPr>
          <w:snapToGrid w:val="0"/>
          <w:color w:val="000000" w:themeColor="text1"/>
          <w:kern w:val="0"/>
          <w:sz w:val="28"/>
          <w:szCs w:val="28"/>
        </w:rPr>
        <w:t>根据作业条件危险性评价法的规定，对该项目生产单元运行过程中事故或危险事件发生的可能性（</w:t>
      </w:r>
      <w:r>
        <w:rPr>
          <w:snapToGrid w:val="0"/>
          <w:color w:val="000000" w:themeColor="text1"/>
          <w:kern w:val="0"/>
          <w:sz w:val="28"/>
          <w:szCs w:val="28"/>
        </w:rPr>
        <w:t>L</w:t>
      </w:r>
      <w:r>
        <w:rPr>
          <w:snapToGrid w:val="0"/>
          <w:color w:val="000000" w:themeColor="text1"/>
          <w:kern w:val="0"/>
          <w:sz w:val="28"/>
          <w:szCs w:val="28"/>
        </w:rPr>
        <w:t>）、暴露于危险环境的频率（</w:t>
      </w:r>
      <w:r>
        <w:rPr>
          <w:snapToGrid w:val="0"/>
          <w:color w:val="000000" w:themeColor="text1"/>
          <w:kern w:val="0"/>
          <w:sz w:val="28"/>
          <w:szCs w:val="28"/>
        </w:rPr>
        <w:t>E</w:t>
      </w:r>
      <w:r>
        <w:rPr>
          <w:snapToGrid w:val="0"/>
          <w:color w:val="000000" w:themeColor="text1"/>
          <w:kern w:val="0"/>
          <w:sz w:val="28"/>
          <w:szCs w:val="28"/>
        </w:rPr>
        <w:t>）及危险严重程度（</w:t>
      </w:r>
      <w:r>
        <w:rPr>
          <w:snapToGrid w:val="0"/>
          <w:color w:val="000000" w:themeColor="text1"/>
          <w:kern w:val="0"/>
          <w:sz w:val="28"/>
          <w:szCs w:val="28"/>
        </w:rPr>
        <w:t>C</w:t>
      </w:r>
      <w:r>
        <w:rPr>
          <w:snapToGrid w:val="0"/>
          <w:color w:val="000000" w:themeColor="text1"/>
          <w:kern w:val="0"/>
          <w:sz w:val="28"/>
          <w:szCs w:val="28"/>
        </w:rPr>
        <w:t>）进行取值、计算，得出运行中主要危害的危险程度，详见表</w:t>
      </w:r>
      <w:r>
        <w:rPr>
          <w:snapToGrid w:val="0"/>
          <w:color w:val="000000" w:themeColor="text1"/>
          <w:kern w:val="0"/>
          <w:sz w:val="28"/>
          <w:szCs w:val="28"/>
        </w:rPr>
        <w:t>5-</w:t>
      </w:r>
      <w:r>
        <w:rPr>
          <w:rFonts w:hint="eastAsia"/>
          <w:snapToGrid w:val="0"/>
          <w:color w:val="000000" w:themeColor="text1"/>
          <w:kern w:val="0"/>
          <w:sz w:val="28"/>
          <w:szCs w:val="28"/>
        </w:rPr>
        <w:t>5</w:t>
      </w:r>
      <w:r>
        <w:rPr>
          <w:snapToGrid w:val="0"/>
          <w:color w:val="000000" w:themeColor="text1"/>
          <w:kern w:val="0"/>
          <w:sz w:val="28"/>
          <w:szCs w:val="28"/>
        </w:rPr>
        <w:t>。</w:t>
      </w:r>
    </w:p>
    <w:p w14:paraId="2FD9FBA8" w14:textId="77777777" w:rsidR="002D2AF8" w:rsidRDefault="00000000">
      <w:pPr>
        <w:adjustRightInd w:val="0"/>
        <w:snapToGrid w:val="0"/>
        <w:spacing w:line="360" w:lineRule="auto"/>
        <w:jc w:val="center"/>
        <w:rPr>
          <w:color w:val="000000" w:themeColor="text1"/>
          <w:sz w:val="24"/>
        </w:rPr>
      </w:pPr>
      <w:r>
        <w:rPr>
          <w:b/>
          <w:color w:val="000000" w:themeColor="text1"/>
          <w:sz w:val="24"/>
        </w:rPr>
        <w:t>表</w:t>
      </w:r>
      <w:r>
        <w:rPr>
          <w:b/>
          <w:color w:val="000000" w:themeColor="text1"/>
          <w:sz w:val="24"/>
        </w:rPr>
        <w:t>5-</w:t>
      </w:r>
      <w:r>
        <w:rPr>
          <w:rFonts w:hint="eastAsia"/>
          <w:b/>
          <w:color w:val="000000" w:themeColor="text1"/>
          <w:sz w:val="24"/>
        </w:rPr>
        <w:t>5</w:t>
      </w:r>
      <w:r>
        <w:rPr>
          <w:b/>
          <w:color w:val="000000" w:themeColor="text1"/>
          <w:sz w:val="24"/>
        </w:rPr>
        <w:t xml:space="preserve"> </w:t>
      </w:r>
      <w:r>
        <w:rPr>
          <w:b/>
          <w:color w:val="000000" w:themeColor="text1"/>
          <w:sz w:val="24"/>
        </w:rPr>
        <w:t>井下作业施工过程作业条件危险性评价表</w:t>
      </w:r>
    </w:p>
    <w:tbl>
      <w:tblPr>
        <w:tblW w:w="5001"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31"/>
        <w:gridCol w:w="2060"/>
        <w:gridCol w:w="1367"/>
        <w:gridCol w:w="707"/>
        <w:gridCol w:w="541"/>
        <w:gridCol w:w="541"/>
        <w:gridCol w:w="815"/>
        <w:gridCol w:w="1310"/>
      </w:tblGrid>
      <w:tr w:rsidR="002D2AF8" w14:paraId="60EBAA79" w14:textId="77777777">
        <w:trPr>
          <w:trHeight w:val="90"/>
          <w:tblHeader/>
          <w:jc w:val="center"/>
        </w:trPr>
        <w:tc>
          <w:tcPr>
            <w:tcW w:w="667" w:type="pct"/>
            <w:vMerge w:val="restart"/>
            <w:tcBorders>
              <w:tl2br w:val="nil"/>
              <w:tr2bl w:val="nil"/>
            </w:tcBorders>
            <w:tcMar>
              <w:top w:w="85" w:type="dxa"/>
              <w:left w:w="85" w:type="dxa"/>
              <w:bottom w:w="85" w:type="dxa"/>
              <w:right w:w="85" w:type="dxa"/>
            </w:tcMar>
            <w:vAlign w:val="center"/>
          </w:tcPr>
          <w:p w14:paraId="589825D6"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评价对象</w:t>
            </w:r>
          </w:p>
        </w:tc>
        <w:tc>
          <w:tcPr>
            <w:tcW w:w="1215" w:type="pct"/>
            <w:vMerge w:val="restart"/>
            <w:tcBorders>
              <w:tl2br w:val="nil"/>
              <w:tr2bl w:val="nil"/>
            </w:tcBorders>
            <w:tcMar>
              <w:top w:w="85" w:type="dxa"/>
              <w:left w:w="85" w:type="dxa"/>
              <w:bottom w:w="85" w:type="dxa"/>
              <w:right w:w="85" w:type="dxa"/>
            </w:tcMar>
            <w:vAlign w:val="center"/>
          </w:tcPr>
          <w:p w14:paraId="5FF0595C"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危险源</w:t>
            </w:r>
          </w:p>
        </w:tc>
        <w:tc>
          <w:tcPr>
            <w:tcW w:w="807" w:type="pct"/>
            <w:vMerge w:val="restart"/>
            <w:tcBorders>
              <w:tl2br w:val="nil"/>
              <w:tr2bl w:val="nil"/>
            </w:tcBorders>
            <w:tcMar>
              <w:top w:w="85" w:type="dxa"/>
              <w:left w:w="85" w:type="dxa"/>
              <w:bottom w:w="85" w:type="dxa"/>
              <w:right w:w="85" w:type="dxa"/>
            </w:tcMar>
            <w:vAlign w:val="center"/>
          </w:tcPr>
          <w:p w14:paraId="22A0F75D"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主要潜在风险</w:t>
            </w:r>
          </w:p>
        </w:tc>
        <w:tc>
          <w:tcPr>
            <w:tcW w:w="1536" w:type="pct"/>
            <w:gridSpan w:val="4"/>
            <w:tcBorders>
              <w:tl2br w:val="nil"/>
              <w:tr2bl w:val="nil"/>
            </w:tcBorders>
            <w:tcMar>
              <w:top w:w="85" w:type="dxa"/>
              <w:left w:w="85" w:type="dxa"/>
              <w:bottom w:w="85" w:type="dxa"/>
              <w:right w:w="85" w:type="dxa"/>
            </w:tcMar>
            <w:vAlign w:val="center"/>
          </w:tcPr>
          <w:p w14:paraId="143E7591"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风险值</w:t>
            </w:r>
            <w:r>
              <w:rPr>
                <w:b/>
                <w:color w:val="000000" w:themeColor="text1"/>
                <w:kern w:val="0"/>
                <w:szCs w:val="21"/>
              </w:rPr>
              <w:t>D=L×E×C</w:t>
            </w:r>
          </w:p>
        </w:tc>
        <w:tc>
          <w:tcPr>
            <w:tcW w:w="773" w:type="pct"/>
            <w:vMerge w:val="restart"/>
            <w:tcBorders>
              <w:tl2br w:val="nil"/>
              <w:tr2bl w:val="nil"/>
            </w:tcBorders>
            <w:tcMar>
              <w:top w:w="85" w:type="dxa"/>
              <w:left w:w="85" w:type="dxa"/>
              <w:bottom w:w="85" w:type="dxa"/>
              <w:right w:w="85" w:type="dxa"/>
            </w:tcMar>
            <w:vAlign w:val="center"/>
          </w:tcPr>
          <w:p w14:paraId="3B30F9CB"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危险程度</w:t>
            </w:r>
          </w:p>
        </w:tc>
      </w:tr>
      <w:tr w:rsidR="002D2AF8" w14:paraId="0461DFFC" w14:textId="77777777">
        <w:trPr>
          <w:trHeight w:val="90"/>
          <w:tblHeader/>
          <w:jc w:val="center"/>
        </w:trPr>
        <w:tc>
          <w:tcPr>
            <w:tcW w:w="667" w:type="pct"/>
            <w:vMerge/>
            <w:tcBorders>
              <w:tl2br w:val="nil"/>
              <w:tr2bl w:val="nil"/>
            </w:tcBorders>
            <w:tcMar>
              <w:top w:w="85" w:type="dxa"/>
              <w:left w:w="85" w:type="dxa"/>
              <w:bottom w:w="85" w:type="dxa"/>
              <w:right w:w="85" w:type="dxa"/>
            </w:tcMar>
            <w:vAlign w:val="center"/>
          </w:tcPr>
          <w:p w14:paraId="4BF7D9F8" w14:textId="77777777" w:rsidR="002D2AF8" w:rsidRDefault="002D2AF8">
            <w:pPr>
              <w:adjustRightInd w:val="0"/>
              <w:snapToGrid w:val="0"/>
              <w:jc w:val="center"/>
              <w:rPr>
                <w:rFonts w:eastAsia="黑体"/>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14:paraId="7E71DC27" w14:textId="77777777" w:rsidR="002D2AF8" w:rsidRDefault="002D2AF8">
            <w:pPr>
              <w:adjustRightInd w:val="0"/>
              <w:snapToGrid w:val="0"/>
              <w:jc w:val="center"/>
              <w:rPr>
                <w:rFonts w:eastAsia="黑体"/>
                <w:snapToGrid w:val="0"/>
                <w:color w:val="000000" w:themeColor="text1"/>
                <w:kern w:val="0"/>
                <w:szCs w:val="21"/>
              </w:rPr>
            </w:pPr>
          </w:p>
        </w:tc>
        <w:tc>
          <w:tcPr>
            <w:tcW w:w="807" w:type="pct"/>
            <w:vMerge/>
            <w:tcBorders>
              <w:tl2br w:val="nil"/>
              <w:tr2bl w:val="nil"/>
            </w:tcBorders>
            <w:tcMar>
              <w:top w:w="85" w:type="dxa"/>
              <w:left w:w="85" w:type="dxa"/>
              <w:bottom w:w="85" w:type="dxa"/>
              <w:right w:w="85" w:type="dxa"/>
            </w:tcMar>
            <w:vAlign w:val="center"/>
          </w:tcPr>
          <w:p w14:paraId="7117B4EF" w14:textId="77777777" w:rsidR="002D2AF8" w:rsidRDefault="002D2AF8">
            <w:pPr>
              <w:adjustRightInd w:val="0"/>
              <w:snapToGrid w:val="0"/>
              <w:jc w:val="center"/>
              <w:rPr>
                <w:rFonts w:eastAsia="黑体"/>
                <w:snapToGrid w:val="0"/>
                <w:color w:val="000000" w:themeColor="text1"/>
                <w:kern w:val="0"/>
                <w:szCs w:val="21"/>
              </w:rPr>
            </w:pPr>
          </w:p>
        </w:tc>
        <w:tc>
          <w:tcPr>
            <w:tcW w:w="417" w:type="pct"/>
            <w:tcBorders>
              <w:tl2br w:val="nil"/>
              <w:tr2bl w:val="nil"/>
            </w:tcBorders>
            <w:tcMar>
              <w:top w:w="85" w:type="dxa"/>
              <w:left w:w="85" w:type="dxa"/>
              <w:bottom w:w="85" w:type="dxa"/>
              <w:right w:w="85" w:type="dxa"/>
            </w:tcMar>
            <w:vAlign w:val="center"/>
          </w:tcPr>
          <w:p w14:paraId="35851CE7" w14:textId="77777777" w:rsidR="002D2AF8" w:rsidRDefault="00000000">
            <w:pPr>
              <w:adjustRightInd w:val="0"/>
              <w:snapToGrid w:val="0"/>
              <w:jc w:val="center"/>
              <w:rPr>
                <w:rFonts w:eastAsia="黑体"/>
                <w:snapToGrid w:val="0"/>
                <w:color w:val="000000" w:themeColor="text1"/>
                <w:kern w:val="0"/>
                <w:szCs w:val="21"/>
              </w:rPr>
            </w:pPr>
            <w:r>
              <w:rPr>
                <w:rFonts w:eastAsia="黑体"/>
                <w:snapToGrid w:val="0"/>
                <w:color w:val="000000" w:themeColor="text1"/>
                <w:kern w:val="0"/>
                <w:szCs w:val="21"/>
              </w:rPr>
              <w:t>L</w:t>
            </w:r>
          </w:p>
        </w:tc>
        <w:tc>
          <w:tcPr>
            <w:tcW w:w="319" w:type="pct"/>
            <w:tcBorders>
              <w:tl2br w:val="nil"/>
              <w:tr2bl w:val="nil"/>
            </w:tcBorders>
            <w:tcMar>
              <w:top w:w="85" w:type="dxa"/>
              <w:left w:w="85" w:type="dxa"/>
              <w:bottom w:w="85" w:type="dxa"/>
              <w:right w:w="85" w:type="dxa"/>
            </w:tcMar>
            <w:vAlign w:val="center"/>
          </w:tcPr>
          <w:p w14:paraId="4EB288EF" w14:textId="77777777" w:rsidR="002D2AF8" w:rsidRDefault="00000000">
            <w:pPr>
              <w:adjustRightInd w:val="0"/>
              <w:snapToGrid w:val="0"/>
              <w:jc w:val="center"/>
              <w:rPr>
                <w:rFonts w:eastAsia="黑体"/>
                <w:snapToGrid w:val="0"/>
                <w:color w:val="000000" w:themeColor="text1"/>
                <w:kern w:val="0"/>
                <w:szCs w:val="21"/>
              </w:rPr>
            </w:pPr>
            <w:r>
              <w:rPr>
                <w:rFonts w:eastAsia="黑体"/>
                <w:snapToGrid w:val="0"/>
                <w:color w:val="000000" w:themeColor="text1"/>
                <w:kern w:val="0"/>
                <w:szCs w:val="21"/>
              </w:rPr>
              <w:t>E</w:t>
            </w:r>
          </w:p>
        </w:tc>
        <w:tc>
          <w:tcPr>
            <w:tcW w:w="319" w:type="pct"/>
            <w:tcBorders>
              <w:tl2br w:val="nil"/>
              <w:tr2bl w:val="nil"/>
            </w:tcBorders>
            <w:tcMar>
              <w:top w:w="85" w:type="dxa"/>
              <w:left w:w="85" w:type="dxa"/>
              <w:bottom w:w="85" w:type="dxa"/>
              <w:right w:w="85" w:type="dxa"/>
            </w:tcMar>
            <w:vAlign w:val="center"/>
          </w:tcPr>
          <w:p w14:paraId="323C0973" w14:textId="77777777" w:rsidR="002D2AF8" w:rsidRDefault="00000000">
            <w:pPr>
              <w:adjustRightInd w:val="0"/>
              <w:snapToGrid w:val="0"/>
              <w:jc w:val="center"/>
              <w:rPr>
                <w:rFonts w:eastAsia="黑体"/>
                <w:snapToGrid w:val="0"/>
                <w:color w:val="000000" w:themeColor="text1"/>
                <w:kern w:val="0"/>
                <w:szCs w:val="21"/>
              </w:rPr>
            </w:pPr>
            <w:r>
              <w:rPr>
                <w:rFonts w:eastAsia="黑体"/>
                <w:snapToGrid w:val="0"/>
                <w:color w:val="000000" w:themeColor="text1"/>
                <w:kern w:val="0"/>
                <w:szCs w:val="21"/>
              </w:rPr>
              <w:t>C</w:t>
            </w:r>
          </w:p>
        </w:tc>
        <w:tc>
          <w:tcPr>
            <w:tcW w:w="480" w:type="pct"/>
            <w:tcBorders>
              <w:tl2br w:val="nil"/>
              <w:tr2bl w:val="nil"/>
            </w:tcBorders>
            <w:tcMar>
              <w:top w:w="85" w:type="dxa"/>
              <w:left w:w="85" w:type="dxa"/>
              <w:bottom w:w="85" w:type="dxa"/>
              <w:right w:w="85" w:type="dxa"/>
            </w:tcMar>
            <w:vAlign w:val="center"/>
          </w:tcPr>
          <w:p w14:paraId="44434556" w14:textId="77777777" w:rsidR="002D2AF8" w:rsidRDefault="00000000">
            <w:pPr>
              <w:adjustRightInd w:val="0"/>
              <w:snapToGrid w:val="0"/>
              <w:jc w:val="center"/>
              <w:rPr>
                <w:rFonts w:eastAsia="黑体"/>
                <w:snapToGrid w:val="0"/>
                <w:color w:val="000000" w:themeColor="text1"/>
                <w:kern w:val="0"/>
                <w:szCs w:val="21"/>
              </w:rPr>
            </w:pPr>
            <w:r>
              <w:rPr>
                <w:rFonts w:eastAsia="黑体"/>
                <w:snapToGrid w:val="0"/>
                <w:color w:val="000000" w:themeColor="text1"/>
                <w:kern w:val="0"/>
                <w:szCs w:val="21"/>
              </w:rPr>
              <w:t>D</w:t>
            </w:r>
          </w:p>
        </w:tc>
        <w:tc>
          <w:tcPr>
            <w:tcW w:w="773" w:type="pct"/>
            <w:vMerge/>
            <w:tcBorders>
              <w:tl2br w:val="nil"/>
              <w:tr2bl w:val="nil"/>
            </w:tcBorders>
            <w:tcMar>
              <w:top w:w="85" w:type="dxa"/>
              <w:left w:w="85" w:type="dxa"/>
              <w:bottom w:w="85" w:type="dxa"/>
              <w:right w:w="85" w:type="dxa"/>
            </w:tcMar>
            <w:vAlign w:val="center"/>
          </w:tcPr>
          <w:p w14:paraId="63C7D5CC" w14:textId="77777777" w:rsidR="002D2AF8" w:rsidRDefault="002D2AF8">
            <w:pPr>
              <w:adjustRightInd w:val="0"/>
              <w:snapToGrid w:val="0"/>
              <w:jc w:val="center"/>
              <w:rPr>
                <w:rFonts w:eastAsia="黑体"/>
                <w:snapToGrid w:val="0"/>
                <w:color w:val="000000" w:themeColor="text1"/>
                <w:kern w:val="0"/>
                <w:szCs w:val="21"/>
              </w:rPr>
            </w:pPr>
          </w:p>
        </w:tc>
      </w:tr>
      <w:tr w:rsidR="002D2AF8" w14:paraId="4BA4353E" w14:textId="77777777">
        <w:trPr>
          <w:trHeight w:val="23"/>
          <w:jc w:val="center"/>
        </w:trPr>
        <w:tc>
          <w:tcPr>
            <w:tcW w:w="667" w:type="pct"/>
            <w:vMerge w:val="restart"/>
            <w:tcBorders>
              <w:tl2br w:val="nil"/>
              <w:tr2bl w:val="nil"/>
            </w:tcBorders>
            <w:tcMar>
              <w:top w:w="85" w:type="dxa"/>
              <w:left w:w="85" w:type="dxa"/>
              <w:bottom w:w="85" w:type="dxa"/>
              <w:right w:w="85" w:type="dxa"/>
            </w:tcMar>
            <w:vAlign w:val="center"/>
          </w:tcPr>
          <w:p w14:paraId="39DA771A"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设备设施</w:t>
            </w:r>
          </w:p>
          <w:p w14:paraId="0D17EEE6"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搬迁、安装</w:t>
            </w:r>
          </w:p>
        </w:tc>
        <w:tc>
          <w:tcPr>
            <w:tcW w:w="1215" w:type="pct"/>
            <w:vMerge w:val="restart"/>
            <w:tcBorders>
              <w:tl2br w:val="nil"/>
              <w:tr2bl w:val="nil"/>
            </w:tcBorders>
            <w:tcMar>
              <w:top w:w="85" w:type="dxa"/>
              <w:left w:w="85" w:type="dxa"/>
              <w:bottom w:w="85" w:type="dxa"/>
              <w:right w:w="85" w:type="dxa"/>
            </w:tcMar>
            <w:vAlign w:val="center"/>
          </w:tcPr>
          <w:p w14:paraId="6A34A7D9" w14:textId="77777777" w:rsidR="002D2AF8" w:rsidRDefault="00000000">
            <w:pPr>
              <w:adjustRightInd w:val="0"/>
              <w:snapToGrid w:val="0"/>
              <w:jc w:val="center"/>
              <w:rPr>
                <w:snapToGrid w:val="0"/>
                <w:color w:val="000000" w:themeColor="text1"/>
                <w:kern w:val="0"/>
                <w:szCs w:val="21"/>
              </w:rPr>
            </w:pPr>
            <w:r>
              <w:rPr>
                <w:rFonts w:hint="eastAsia"/>
                <w:snapToGrid w:val="0"/>
                <w:color w:val="000000" w:themeColor="text1"/>
                <w:kern w:val="0"/>
                <w:szCs w:val="21"/>
              </w:rPr>
              <w:t>测试车</w:t>
            </w:r>
            <w:r>
              <w:rPr>
                <w:snapToGrid w:val="0"/>
                <w:color w:val="000000" w:themeColor="text1"/>
                <w:kern w:val="0"/>
                <w:szCs w:val="21"/>
              </w:rPr>
              <w:t>、</w:t>
            </w:r>
            <w:r>
              <w:rPr>
                <w:rFonts w:hint="eastAsia"/>
                <w:snapToGrid w:val="0"/>
                <w:color w:val="000000" w:themeColor="text1"/>
                <w:kern w:val="0"/>
                <w:szCs w:val="21"/>
              </w:rPr>
              <w:t>运输</w:t>
            </w:r>
            <w:r>
              <w:rPr>
                <w:snapToGrid w:val="0"/>
                <w:color w:val="000000" w:themeColor="text1"/>
                <w:kern w:val="0"/>
                <w:szCs w:val="21"/>
              </w:rPr>
              <w:t>车辆</w:t>
            </w:r>
          </w:p>
        </w:tc>
        <w:tc>
          <w:tcPr>
            <w:tcW w:w="807" w:type="pct"/>
            <w:tcBorders>
              <w:tl2br w:val="nil"/>
              <w:tr2bl w:val="nil"/>
            </w:tcBorders>
            <w:tcMar>
              <w:top w:w="85" w:type="dxa"/>
              <w:left w:w="85" w:type="dxa"/>
              <w:bottom w:w="85" w:type="dxa"/>
              <w:right w:w="85" w:type="dxa"/>
            </w:tcMar>
            <w:vAlign w:val="center"/>
          </w:tcPr>
          <w:p w14:paraId="011815D0"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车辆伤害</w:t>
            </w:r>
          </w:p>
        </w:tc>
        <w:tc>
          <w:tcPr>
            <w:tcW w:w="417" w:type="pct"/>
            <w:tcBorders>
              <w:tl2br w:val="nil"/>
              <w:tr2bl w:val="nil"/>
            </w:tcBorders>
            <w:tcMar>
              <w:top w:w="85" w:type="dxa"/>
              <w:left w:w="85" w:type="dxa"/>
              <w:bottom w:w="85" w:type="dxa"/>
              <w:right w:w="85" w:type="dxa"/>
            </w:tcMar>
            <w:vAlign w:val="center"/>
          </w:tcPr>
          <w:p w14:paraId="14098835"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4CBB2335"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4242984F"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80" w:type="pct"/>
            <w:tcBorders>
              <w:tl2br w:val="nil"/>
              <w:tr2bl w:val="nil"/>
            </w:tcBorders>
            <w:tcMar>
              <w:top w:w="85" w:type="dxa"/>
              <w:left w:w="85" w:type="dxa"/>
              <w:bottom w:w="85" w:type="dxa"/>
              <w:right w:w="85" w:type="dxa"/>
            </w:tcMar>
            <w:vAlign w:val="center"/>
          </w:tcPr>
          <w:p w14:paraId="0FD9EE03"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14:paraId="368C9E5D"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2D2AF8" w14:paraId="7ED57D74" w14:textId="77777777">
        <w:trPr>
          <w:trHeight w:val="23"/>
          <w:jc w:val="center"/>
        </w:trPr>
        <w:tc>
          <w:tcPr>
            <w:tcW w:w="667" w:type="pct"/>
            <w:vMerge/>
            <w:tcBorders>
              <w:tl2br w:val="nil"/>
              <w:tr2bl w:val="nil"/>
            </w:tcBorders>
            <w:tcMar>
              <w:top w:w="85" w:type="dxa"/>
              <w:left w:w="85" w:type="dxa"/>
              <w:bottom w:w="85" w:type="dxa"/>
              <w:right w:w="85" w:type="dxa"/>
            </w:tcMar>
            <w:vAlign w:val="center"/>
          </w:tcPr>
          <w:p w14:paraId="759B7518" w14:textId="77777777" w:rsidR="002D2AF8" w:rsidRDefault="002D2AF8">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14:paraId="67E8174C" w14:textId="77777777" w:rsidR="002D2AF8" w:rsidRDefault="002D2AF8">
            <w:pPr>
              <w:adjustRightInd w:val="0"/>
              <w:snapToGrid w:val="0"/>
              <w:jc w:val="center"/>
              <w:rPr>
                <w:snapToGrid w:val="0"/>
                <w:color w:val="000000" w:themeColor="text1"/>
                <w:kern w:val="0"/>
                <w:szCs w:val="21"/>
              </w:rPr>
            </w:pPr>
          </w:p>
        </w:tc>
        <w:tc>
          <w:tcPr>
            <w:tcW w:w="807" w:type="pct"/>
            <w:tcBorders>
              <w:tl2br w:val="nil"/>
              <w:tr2bl w:val="nil"/>
            </w:tcBorders>
            <w:tcMar>
              <w:top w:w="85" w:type="dxa"/>
              <w:left w:w="85" w:type="dxa"/>
              <w:bottom w:w="85" w:type="dxa"/>
              <w:right w:w="85" w:type="dxa"/>
            </w:tcMar>
            <w:vAlign w:val="center"/>
          </w:tcPr>
          <w:p w14:paraId="4DD2A8EF"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7" w:type="pct"/>
            <w:tcBorders>
              <w:tl2br w:val="nil"/>
              <w:tr2bl w:val="nil"/>
            </w:tcBorders>
            <w:tcMar>
              <w:top w:w="85" w:type="dxa"/>
              <w:left w:w="85" w:type="dxa"/>
              <w:bottom w:w="85" w:type="dxa"/>
              <w:right w:w="85" w:type="dxa"/>
            </w:tcMar>
            <w:vAlign w:val="center"/>
          </w:tcPr>
          <w:p w14:paraId="25A7A900"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2C0B261D"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42C1FA74"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80" w:type="pct"/>
            <w:tcBorders>
              <w:tl2br w:val="nil"/>
              <w:tr2bl w:val="nil"/>
            </w:tcBorders>
            <w:tcMar>
              <w:top w:w="85" w:type="dxa"/>
              <w:left w:w="85" w:type="dxa"/>
              <w:bottom w:w="85" w:type="dxa"/>
              <w:right w:w="85" w:type="dxa"/>
            </w:tcMar>
            <w:vAlign w:val="center"/>
          </w:tcPr>
          <w:p w14:paraId="26B21EC4"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14:paraId="1A530AE4"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2D2AF8" w14:paraId="3A927682" w14:textId="77777777">
        <w:trPr>
          <w:trHeight w:val="23"/>
          <w:jc w:val="center"/>
        </w:trPr>
        <w:tc>
          <w:tcPr>
            <w:tcW w:w="667" w:type="pct"/>
            <w:vMerge/>
            <w:tcBorders>
              <w:tl2br w:val="nil"/>
              <w:tr2bl w:val="nil"/>
            </w:tcBorders>
            <w:tcMar>
              <w:top w:w="85" w:type="dxa"/>
              <w:left w:w="85" w:type="dxa"/>
              <w:bottom w:w="85" w:type="dxa"/>
              <w:right w:w="85" w:type="dxa"/>
            </w:tcMar>
            <w:vAlign w:val="center"/>
          </w:tcPr>
          <w:p w14:paraId="5F3AC6EC" w14:textId="77777777" w:rsidR="002D2AF8" w:rsidRDefault="002D2AF8">
            <w:pPr>
              <w:adjustRightInd w:val="0"/>
              <w:snapToGrid w:val="0"/>
              <w:jc w:val="center"/>
              <w:rPr>
                <w:snapToGrid w:val="0"/>
                <w:color w:val="000000" w:themeColor="text1"/>
                <w:kern w:val="0"/>
                <w:szCs w:val="21"/>
              </w:rPr>
            </w:pPr>
          </w:p>
        </w:tc>
        <w:tc>
          <w:tcPr>
            <w:tcW w:w="1215" w:type="pct"/>
            <w:vMerge w:val="restart"/>
            <w:tcBorders>
              <w:tl2br w:val="nil"/>
              <w:tr2bl w:val="nil"/>
            </w:tcBorders>
            <w:tcMar>
              <w:top w:w="85" w:type="dxa"/>
              <w:left w:w="85" w:type="dxa"/>
              <w:bottom w:w="85" w:type="dxa"/>
              <w:right w:w="85" w:type="dxa"/>
            </w:tcMar>
            <w:vAlign w:val="center"/>
          </w:tcPr>
          <w:p w14:paraId="6CEE2845" w14:textId="77777777" w:rsidR="002D2AF8" w:rsidRDefault="00000000">
            <w:pPr>
              <w:adjustRightInd w:val="0"/>
              <w:snapToGrid w:val="0"/>
              <w:jc w:val="center"/>
              <w:rPr>
                <w:snapToGrid w:val="0"/>
                <w:color w:val="000000" w:themeColor="text1"/>
                <w:kern w:val="0"/>
                <w:szCs w:val="21"/>
              </w:rPr>
            </w:pPr>
            <w:r>
              <w:rPr>
                <w:rFonts w:hint="eastAsia"/>
                <w:snapToGrid w:val="0"/>
                <w:color w:val="000000" w:themeColor="text1"/>
                <w:kern w:val="0"/>
                <w:szCs w:val="21"/>
              </w:rPr>
              <w:t>配液罐、注入泵</w:t>
            </w:r>
            <w:r>
              <w:rPr>
                <w:snapToGrid w:val="0"/>
                <w:color w:val="000000" w:themeColor="text1"/>
                <w:kern w:val="0"/>
                <w:szCs w:val="21"/>
              </w:rPr>
              <w:t>等作业设备设施</w:t>
            </w:r>
          </w:p>
        </w:tc>
        <w:tc>
          <w:tcPr>
            <w:tcW w:w="807" w:type="pct"/>
            <w:tcBorders>
              <w:tl2br w:val="nil"/>
              <w:tr2bl w:val="nil"/>
            </w:tcBorders>
            <w:tcMar>
              <w:top w:w="85" w:type="dxa"/>
              <w:left w:w="85" w:type="dxa"/>
              <w:bottom w:w="85" w:type="dxa"/>
              <w:right w:w="85" w:type="dxa"/>
            </w:tcMar>
            <w:vAlign w:val="center"/>
          </w:tcPr>
          <w:p w14:paraId="078BC56C"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起重伤害</w:t>
            </w:r>
          </w:p>
        </w:tc>
        <w:tc>
          <w:tcPr>
            <w:tcW w:w="417" w:type="pct"/>
            <w:tcBorders>
              <w:tl2br w:val="nil"/>
              <w:tr2bl w:val="nil"/>
            </w:tcBorders>
            <w:tcMar>
              <w:top w:w="85" w:type="dxa"/>
              <w:left w:w="85" w:type="dxa"/>
              <w:bottom w:w="85" w:type="dxa"/>
              <w:right w:w="85" w:type="dxa"/>
            </w:tcMar>
            <w:vAlign w:val="center"/>
          </w:tcPr>
          <w:p w14:paraId="1821788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5718D683"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6EEA3DC6"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80" w:type="pct"/>
            <w:tcBorders>
              <w:tl2br w:val="nil"/>
              <w:tr2bl w:val="nil"/>
            </w:tcBorders>
            <w:tcMar>
              <w:top w:w="85" w:type="dxa"/>
              <w:left w:w="85" w:type="dxa"/>
              <w:bottom w:w="85" w:type="dxa"/>
              <w:right w:w="85" w:type="dxa"/>
            </w:tcMar>
            <w:vAlign w:val="center"/>
          </w:tcPr>
          <w:p w14:paraId="2B50BB2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14:paraId="5327D7E6"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2D2AF8" w14:paraId="5A5F5114" w14:textId="77777777">
        <w:trPr>
          <w:trHeight w:val="23"/>
          <w:jc w:val="center"/>
        </w:trPr>
        <w:tc>
          <w:tcPr>
            <w:tcW w:w="667" w:type="pct"/>
            <w:vMerge/>
            <w:tcBorders>
              <w:tl2br w:val="nil"/>
              <w:tr2bl w:val="nil"/>
            </w:tcBorders>
            <w:tcMar>
              <w:top w:w="85" w:type="dxa"/>
              <w:left w:w="85" w:type="dxa"/>
              <w:bottom w:w="85" w:type="dxa"/>
              <w:right w:w="85" w:type="dxa"/>
            </w:tcMar>
            <w:vAlign w:val="center"/>
          </w:tcPr>
          <w:p w14:paraId="1FD93EE8" w14:textId="77777777" w:rsidR="002D2AF8" w:rsidRDefault="002D2AF8">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14:paraId="6C4F1069" w14:textId="77777777" w:rsidR="002D2AF8" w:rsidRDefault="002D2AF8">
            <w:pPr>
              <w:adjustRightInd w:val="0"/>
              <w:snapToGrid w:val="0"/>
              <w:jc w:val="center"/>
              <w:rPr>
                <w:snapToGrid w:val="0"/>
                <w:color w:val="000000" w:themeColor="text1"/>
                <w:kern w:val="0"/>
                <w:szCs w:val="21"/>
              </w:rPr>
            </w:pPr>
          </w:p>
        </w:tc>
        <w:tc>
          <w:tcPr>
            <w:tcW w:w="807" w:type="pct"/>
            <w:tcBorders>
              <w:tl2br w:val="nil"/>
              <w:tr2bl w:val="nil"/>
            </w:tcBorders>
            <w:tcMar>
              <w:top w:w="85" w:type="dxa"/>
              <w:left w:w="85" w:type="dxa"/>
              <w:bottom w:w="85" w:type="dxa"/>
              <w:right w:w="85" w:type="dxa"/>
            </w:tcMar>
            <w:vAlign w:val="center"/>
          </w:tcPr>
          <w:p w14:paraId="30358CF3"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7" w:type="pct"/>
            <w:tcBorders>
              <w:tl2br w:val="nil"/>
              <w:tr2bl w:val="nil"/>
            </w:tcBorders>
            <w:tcMar>
              <w:top w:w="85" w:type="dxa"/>
              <w:left w:w="85" w:type="dxa"/>
              <w:bottom w:w="85" w:type="dxa"/>
              <w:right w:w="85" w:type="dxa"/>
            </w:tcMar>
            <w:vAlign w:val="center"/>
          </w:tcPr>
          <w:p w14:paraId="116D030C"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1E1AA2C0"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7EE26CD9"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80" w:type="pct"/>
            <w:tcBorders>
              <w:tl2br w:val="nil"/>
              <w:tr2bl w:val="nil"/>
            </w:tcBorders>
            <w:tcMar>
              <w:top w:w="85" w:type="dxa"/>
              <w:left w:w="85" w:type="dxa"/>
              <w:bottom w:w="85" w:type="dxa"/>
              <w:right w:w="85" w:type="dxa"/>
            </w:tcMar>
            <w:vAlign w:val="center"/>
          </w:tcPr>
          <w:p w14:paraId="4F76BD83"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14:paraId="19512E06"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2D2AF8" w14:paraId="217C26E4" w14:textId="77777777">
        <w:trPr>
          <w:trHeight w:val="23"/>
          <w:jc w:val="center"/>
        </w:trPr>
        <w:tc>
          <w:tcPr>
            <w:tcW w:w="667" w:type="pct"/>
            <w:vMerge/>
            <w:tcBorders>
              <w:tl2br w:val="nil"/>
              <w:tr2bl w:val="nil"/>
            </w:tcBorders>
            <w:tcMar>
              <w:top w:w="85" w:type="dxa"/>
              <w:left w:w="85" w:type="dxa"/>
              <w:bottom w:w="85" w:type="dxa"/>
              <w:right w:w="85" w:type="dxa"/>
            </w:tcMar>
            <w:vAlign w:val="center"/>
          </w:tcPr>
          <w:p w14:paraId="15B64F40" w14:textId="77777777" w:rsidR="002D2AF8" w:rsidRDefault="002D2AF8">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14:paraId="0E0AFBB5"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电气设备</w:t>
            </w:r>
          </w:p>
        </w:tc>
        <w:tc>
          <w:tcPr>
            <w:tcW w:w="807" w:type="pct"/>
            <w:tcBorders>
              <w:tl2br w:val="nil"/>
              <w:tr2bl w:val="nil"/>
            </w:tcBorders>
            <w:tcMar>
              <w:top w:w="85" w:type="dxa"/>
              <w:left w:w="85" w:type="dxa"/>
              <w:bottom w:w="85" w:type="dxa"/>
              <w:right w:w="85" w:type="dxa"/>
            </w:tcMar>
            <w:vAlign w:val="center"/>
          </w:tcPr>
          <w:p w14:paraId="5666FDBC"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触电</w:t>
            </w:r>
          </w:p>
        </w:tc>
        <w:tc>
          <w:tcPr>
            <w:tcW w:w="417" w:type="pct"/>
            <w:tcBorders>
              <w:tl2br w:val="nil"/>
              <w:tr2bl w:val="nil"/>
            </w:tcBorders>
            <w:tcMar>
              <w:top w:w="85" w:type="dxa"/>
              <w:left w:w="85" w:type="dxa"/>
              <w:bottom w:w="85" w:type="dxa"/>
              <w:right w:w="85" w:type="dxa"/>
            </w:tcMar>
            <w:vAlign w:val="center"/>
          </w:tcPr>
          <w:p w14:paraId="4820EADD"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31DF0AC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2</w:t>
            </w:r>
          </w:p>
        </w:tc>
        <w:tc>
          <w:tcPr>
            <w:tcW w:w="319" w:type="pct"/>
            <w:tcBorders>
              <w:tl2br w:val="nil"/>
              <w:tr2bl w:val="nil"/>
            </w:tcBorders>
            <w:tcMar>
              <w:top w:w="85" w:type="dxa"/>
              <w:left w:w="85" w:type="dxa"/>
              <w:bottom w:w="85" w:type="dxa"/>
              <w:right w:w="85" w:type="dxa"/>
            </w:tcMar>
            <w:vAlign w:val="center"/>
          </w:tcPr>
          <w:p w14:paraId="54AC9296"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80" w:type="pct"/>
            <w:tcBorders>
              <w:tl2br w:val="nil"/>
              <w:tr2bl w:val="nil"/>
            </w:tcBorders>
            <w:tcMar>
              <w:top w:w="85" w:type="dxa"/>
              <w:left w:w="85" w:type="dxa"/>
              <w:bottom w:w="85" w:type="dxa"/>
              <w:right w:w="85" w:type="dxa"/>
            </w:tcMar>
            <w:vAlign w:val="center"/>
          </w:tcPr>
          <w:p w14:paraId="7B8063B9"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6</w:t>
            </w:r>
          </w:p>
        </w:tc>
        <w:tc>
          <w:tcPr>
            <w:tcW w:w="773" w:type="pct"/>
            <w:tcBorders>
              <w:tl2br w:val="nil"/>
              <w:tr2bl w:val="nil"/>
            </w:tcBorders>
            <w:tcMar>
              <w:top w:w="85" w:type="dxa"/>
              <w:left w:w="85" w:type="dxa"/>
              <w:bottom w:w="85" w:type="dxa"/>
              <w:right w:w="85" w:type="dxa"/>
            </w:tcMar>
            <w:vAlign w:val="center"/>
          </w:tcPr>
          <w:p w14:paraId="077EAB3E"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2D2AF8" w14:paraId="3BDE8CD6" w14:textId="77777777">
        <w:trPr>
          <w:trHeight w:val="440"/>
          <w:jc w:val="center"/>
        </w:trPr>
        <w:tc>
          <w:tcPr>
            <w:tcW w:w="667" w:type="pct"/>
            <w:tcBorders>
              <w:tl2br w:val="nil"/>
              <w:tr2bl w:val="nil"/>
            </w:tcBorders>
            <w:tcMar>
              <w:top w:w="85" w:type="dxa"/>
              <w:left w:w="85" w:type="dxa"/>
              <w:bottom w:w="85" w:type="dxa"/>
              <w:right w:w="85" w:type="dxa"/>
            </w:tcMar>
            <w:vAlign w:val="center"/>
          </w:tcPr>
          <w:p w14:paraId="32ECC99A"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接拆高压管线</w:t>
            </w:r>
          </w:p>
        </w:tc>
        <w:tc>
          <w:tcPr>
            <w:tcW w:w="1215" w:type="pct"/>
            <w:tcBorders>
              <w:tl2br w:val="nil"/>
              <w:tr2bl w:val="nil"/>
            </w:tcBorders>
            <w:tcMar>
              <w:top w:w="85" w:type="dxa"/>
              <w:left w:w="85" w:type="dxa"/>
              <w:bottom w:w="85" w:type="dxa"/>
              <w:right w:w="85" w:type="dxa"/>
            </w:tcMar>
            <w:vAlign w:val="center"/>
          </w:tcPr>
          <w:p w14:paraId="40FEEB71"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高压管汇</w:t>
            </w:r>
          </w:p>
        </w:tc>
        <w:tc>
          <w:tcPr>
            <w:tcW w:w="807" w:type="pct"/>
            <w:tcBorders>
              <w:tl2br w:val="nil"/>
              <w:tr2bl w:val="nil"/>
            </w:tcBorders>
            <w:tcMar>
              <w:top w:w="85" w:type="dxa"/>
              <w:left w:w="85" w:type="dxa"/>
              <w:bottom w:w="85" w:type="dxa"/>
              <w:right w:w="85" w:type="dxa"/>
            </w:tcMar>
            <w:vAlign w:val="center"/>
          </w:tcPr>
          <w:p w14:paraId="0E9B275E"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7" w:type="pct"/>
            <w:tcBorders>
              <w:tl2br w:val="nil"/>
              <w:tr2bl w:val="nil"/>
            </w:tcBorders>
            <w:tcMar>
              <w:top w:w="85" w:type="dxa"/>
              <w:left w:w="85" w:type="dxa"/>
              <w:bottom w:w="85" w:type="dxa"/>
              <w:right w:w="85" w:type="dxa"/>
            </w:tcMar>
            <w:vAlign w:val="center"/>
          </w:tcPr>
          <w:p w14:paraId="71420867"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0D494DA9"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5034F1C8"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480" w:type="pct"/>
            <w:tcBorders>
              <w:tl2br w:val="nil"/>
              <w:tr2bl w:val="nil"/>
            </w:tcBorders>
            <w:tcMar>
              <w:top w:w="85" w:type="dxa"/>
              <w:left w:w="85" w:type="dxa"/>
              <w:bottom w:w="85" w:type="dxa"/>
              <w:right w:w="85" w:type="dxa"/>
            </w:tcMar>
            <w:vAlign w:val="center"/>
          </w:tcPr>
          <w:p w14:paraId="1A2C7800"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27</w:t>
            </w:r>
          </w:p>
        </w:tc>
        <w:tc>
          <w:tcPr>
            <w:tcW w:w="773" w:type="pct"/>
            <w:tcBorders>
              <w:tl2br w:val="nil"/>
              <w:tr2bl w:val="nil"/>
            </w:tcBorders>
            <w:tcMar>
              <w:top w:w="85" w:type="dxa"/>
              <w:left w:w="85" w:type="dxa"/>
              <w:bottom w:w="85" w:type="dxa"/>
              <w:right w:w="85" w:type="dxa"/>
            </w:tcMar>
            <w:vAlign w:val="center"/>
          </w:tcPr>
          <w:p w14:paraId="37045285"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2D2AF8" w14:paraId="6C55BC73" w14:textId="77777777">
        <w:trPr>
          <w:trHeight w:val="23"/>
          <w:jc w:val="center"/>
        </w:trPr>
        <w:tc>
          <w:tcPr>
            <w:tcW w:w="667" w:type="pct"/>
            <w:vMerge w:val="restart"/>
            <w:tcBorders>
              <w:tl2br w:val="nil"/>
              <w:tr2bl w:val="nil"/>
            </w:tcBorders>
            <w:tcMar>
              <w:top w:w="85" w:type="dxa"/>
              <w:left w:w="85" w:type="dxa"/>
              <w:bottom w:w="85" w:type="dxa"/>
              <w:right w:w="85" w:type="dxa"/>
            </w:tcMar>
            <w:vAlign w:val="center"/>
          </w:tcPr>
          <w:p w14:paraId="63CDC362" w14:textId="77777777" w:rsidR="002D2AF8" w:rsidRDefault="00000000">
            <w:pPr>
              <w:adjustRightInd w:val="0"/>
              <w:snapToGrid w:val="0"/>
              <w:jc w:val="center"/>
              <w:rPr>
                <w:snapToGrid w:val="0"/>
                <w:color w:val="000000" w:themeColor="text1"/>
                <w:kern w:val="0"/>
                <w:szCs w:val="21"/>
              </w:rPr>
            </w:pPr>
            <w:r>
              <w:rPr>
                <w:rFonts w:hint="eastAsia"/>
                <w:snapToGrid w:val="0"/>
                <w:color w:val="000000" w:themeColor="text1"/>
                <w:kern w:val="0"/>
                <w:szCs w:val="21"/>
              </w:rPr>
              <w:t>堵水</w:t>
            </w:r>
            <w:r>
              <w:rPr>
                <w:rFonts w:hint="eastAsia"/>
                <w:snapToGrid w:val="0"/>
                <w:color w:val="000000" w:themeColor="text1"/>
                <w:kern w:val="0"/>
                <w:szCs w:val="21"/>
              </w:rPr>
              <w:t>/</w:t>
            </w:r>
            <w:r>
              <w:rPr>
                <w:rFonts w:hint="eastAsia"/>
                <w:snapToGrid w:val="0"/>
                <w:color w:val="000000" w:themeColor="text1"/>
                <w:kern w:val="0"/>
                <w:szCs w:val="21"/>
              </w:rPr>
              <w:t>调剖，测试</w:t>
            </w:r>
            <w:r>
              <w:rPr>
                <w:snapToGrid w:val="0"/>
                <w:color w:val="000000" w:themeColor="text1"/>
                <w:kern w:val="0"/>
                <w:szCs w:val="21"/>
              </w:rPr>
              <w:t>施工过程中</w:t>
            </w:r>
          </w:p>
        </w:tc>
        <w:tc>
          <w:tcPr>
            <w:tcW w:w="1215" w:type="pct"/>
            <w:tcBorders>
              <w:tl2br w:val="nil"/>
              <w:tr2bl w:val="nil"/>
            </w:tcBorders>
            <w:tcMar>
              <w:top w:w="85" w:type="dxa"/>
              <w:left w:w="85" w:type="dxa"/>
              <w:bottom w:w="85" w:type="dxa"/>
              <w:right w:w="85" w:type="dxa"/>
            </w:tcMar>
            <w:vAlign w:val="center"/>
          </w:tcPr>
          <w:p w14:paraId="67CD780A"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旋转部位</w:t>
            </w:r>
          </w:p>
        </w:tc>
        <w:tc>
          <w:tcPr>
            <w:tcW w:w="807" w:type="pct"/>
            <w:tcBorders>
              <w:tl2br w:val="nil"/>
              <w:tr2bl w:val="nil"/>
            </w:tcBorders>
            <w:tcMar>
              <w:top w:w="85" w:type="dxa"/>
              <w:left w:w="85" w:type="dxa"/>
              <w:bottom w:w="85" w:type="dxa"/>
              <w:right w:w="85" w:type="dxa"/>
            </w:tcMar>
            <w:vAlign w:val="center"/>
          </w:tcPr>
          <w:p w14:paraId="508317FC"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机械伤害</w:t>
            </w:r>
          </w:p>
        </w:tc>
        <w:tc>
          <w:tcPr>
            <w:tcW w:w="417" w:type="pct"/>
            <w:tcBorders>
              <w:tl2br w:val="nil"/>
              <w:tr2bl w:val="nil"/>
            </w:tcBorders>
            <w:tcMar>
              <w:top w:w="85" w:type="dxa"/>
              <w:left w:w="85" w:type="dxa"/>
              <w:bottom w:w="85" w:type="dxa"/>
              <w:right w:w="85" w:type="dxa"/>
            </w:tcMar>
            <w:vAlign w:val="center"/>
          </w:tcPr>
          <w:p w14:paraId="503BFE28"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289215AE"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07568330"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80" w:type="pct"/>
            <w:tcBorders>
              <w:tl2br w:val="nil"/>
              <w:tr2bl w:val="nil"/>
            </w:tcBorders>
            <w:tcMar>
              <w:top w:w="85" w:type="dxa"/>
              <w:left w:w="85" w:type="dxa"/>
              <w:bottom w:w="85" w:type="dxa"/>
              <w:right w:w="85" w:type="dxa"/>
            </w:tcMar>
            <w:vAlign w:val="center"/>
          </w:tcPr>
          <w:p w14:paraId="1CF38D26"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14:paraId="467AB3EF"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2D2AF8" w14:paraId="730922BA" w14:textId="77777777">
        <w:trPr>
          <w:trHeight w:val="23"/>
          <w:jc w:val="center"/>
        </w:trPr>
        <w:tc>
          <w:tcPr>
            <w:tcW w:w="667" w:type="pct"/>
            <w:vMerge/>
            <w:tcBorders>
              <w:tl2br w:val="nil"/>
              <w:tr2bl w:val="nil"/>
            </w:tcBorders>
            <w:tcMar>
              <w:top w:w="85" w:type="dxa"/>
              <w:left w:w="85" w:type="dxa"/>
              <w:bottom w:w="85" w:type="dxa"/>
              <w:right w:w="85" w:type="dxa"/>
            </w:tcMar>
            <w:vAlign w:val="center"/>
          </w:tcPr>
          <w:p w14:paraId="302B85CF" w14:textId="77777777" w:rsidR="002D2AF8" w:rsidRDefault="002D2AF8">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14:paraId="10B91DC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硫化氢气体</w:t>
            </w:r>
          </w:p>
        </w:tc>
        <w:tc>
          <w:tcPr>
            <w:tcW w:w="807" w:type="pct"/>
            <w:tcBorders>
              <w:tl2br w:val="nil"/>
              <w:tr2bl w:val="nil"/>
            </w:tcBorders>
            <w:tcMar>
              <w:top w:w="85" w:type="dxa"/>
              <w:left w:w="85" w:type="dxa"/>
              <w:bottom w:w="85" w:type="dxa"/>
              <w:right w:w="85" w:type="dxa"/>
            </w:tcMar>
            <w:vAlign w:val="center"/>
          </w:tcPr>
          <w:p w14:paraId="28B760DD"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中毒和窒息</w:t>
            </w:r>
          </w:p>
        </w:tc>
        <w:tc>
          <w:tcPr>
            <w:tcW w:w="417" w:type="pct"/>
            <w:tcBorders>
              <w:tl2br w:val="nil"/>
              <w:tr2bl w:val="nil"/>
            </w:tcBorders>
            <w:tcMar>
              <w:top w:w="85" w:type="dxa"/>
              <w:left w:w="85" w:type="dxa"/>
              <w:bottom w:w="85" w:type="dxa"/>
              <w:right w:w="85" w:type="dxa"/>
            </w:tcMar>
            <w:vAlign w:val="center"/>
          </w:tcPr>
          <w:p w14:paraId="1E0BB968"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19" w:type="pct"/>
            <w:tcBorders>
              <w:tl2br w:val="nil"/>
              <w:tr2bl w:val="nil"/>
            </w:tcBorders>
            <w:tcMar>
              <w:top w:w="85" w:type="dxa"/>
              <w:left w:w="85" w:type="dxa"/>
              <w:bottom w:w="85" w:type="dxa"/>
              <w:right w:w="85" w:type="dxa"/>
            </w:tcMar>
            <w:vAlign w:val="center"/>
          </w:tcPr>
          <w:p w14:paraId="42D48A5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19" w:type="pct"/>
            <w:tcBorders>
              <w:tl2br w:val="nil"/>
              <w:tr2bl w:val="nil"/>
            </w:tcBorders>
            <w:tcMar>
              <w:top w:w="85" w:type="dxa"/>
              <w:left w:w="85" w:type="dxa"/>
              <w:bottom w:w="85" w:type="dxa"/>
              <w:right w:w="85" w:type="dxa"/>
            </w:tcMar>
            <w:vAlign w:val="center"/>
          </w:tcPr>
          <w:p w14:paraId="6ECB46D3"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40</w:t>
            </w:r>
          </w:p>
        </w:tc>
        <w:tc>
          <w:tcPr>
            <w:tcW w:w="480" w:type="pct"/>
            <w:tcBorders>
              <w:tl2br w:val="nil"/>
              <w:tr2bl w:val="nil"/>
            </w:tcBorders>
            <w:tcMar>
              <w:top w:w="85" w:type="dxa"/>
              <w:left w:w="85" w:type="dxa"/>
              <w:bottom w:w="85" w:type="dxa"/>
              <w:right w:w="85" w:type="dxa"/>
            </w:tcMar>
            <w:vAlign w:val="center"/>
          </w:tcPr>
          <w:p w14:paraId="07690118"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40</w:t>
            </w:r>
          </w:p>
        </w:tc>
        <w:tc>
          <w:tcPr>
            <w:tcW w:w="773" w:type="pct"/>
            <w:tcBorders>
              <w:tl2br w:val="nil"/>
              <w:tr2bl w:val="nil"/>
            </w:tcBorders>
            <w:tcMar>
              <w:top w:w="85" w:type="dxa"/>
              <w:left w:w="85" w:type="dxa"/>
              <w:bottom w:w="85" w:type="dxa"/>
              <w:right w:w="85" w:type="dxa"/>
            </w:tcMar>
            <w:vAlign w:val="center"/>
          </w:tcPr>
          <w:p w14:paraId="625BB3AF"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2D2AF8" w14:paraId="2B432089" w14:textId="77777777">
        <w:trPr>
          <w:trHeight w:val="374"/>
          <w:jc w:val="center"/>
        </w:trPr>
        <w:tc>
          <w:tcPr>
            <w:tcW w:w="667" w:type="pct"/>
            <w:vMerge/>
            <w:tcBorders>
              <w:tl2br w:val="nil"/>
              <w:tr2bl w:val="nil"/>
            </w:tcBorders>
            <w:tcMar>
              <w:top w:w="85" w:type="dxa"/>
              <w:left w:w="85" w:type="dxa"/>
              <w:bottom w:w="85" w:type="dxa"/>
              <w:right w:w="85" w:type="dxa"/>
            </w:tcMar>
            <w:vAlign w:val="center"/>
          </w:tcPr>
          <w:p w14:paraId="408637D3" w14:textId="77777777" w:rsidR="002D2AF8" w:rsidRDefault="002D2AF8">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14:paraId="78187609"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高压管汇刺漏</w:t>
            </w:r>
          </w:p>
        </w:tc>
        <w:tc>
          <w:tcPr>
            <w:tcW w:w="807" w:type="pct"/>
            <w:tcBorders>
              <w:tl2br w:val="nil"/>
              <w:tr2bl w:val="nil"/>
            </w:tcBorders>
            <w:tcMar>
              <w:top w:w="85" w:type="dxa"/>
              <w:left w:w="85" w:type="dxa"/>
              <w:bottom w:w="85" w:type="dxa"/>
              <w:right w:w="85" w:type="dxa"/>
            </w:tcMar>
            <w:vAlign w:val="center"/>
          </w:tcPr>
          <w:p w14:paraId="5D75360C"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物体打击</w:t>
            </w:r>
          </w:p>
        </w:tc>
        <w:tc>
          <w:tcPr>
            <w:tcW w:w="417" w:type="pct"/>
            <w:tcBorders>
              <w:tl2br w:val="nil"/>
              <w:tr2bl w:val="nil"/>
            </w:tcBorders>
            <w:tcMar>
              <w:top w:w="85" w:type="dxa"/>
              <w:left w:w="85" w:type="dxa"/>
              <w:bottom w:w="85" w:type="dxa"/>
              <w:right w:w="85" w:type="dxa"/>
            </w:tcMar>
            <w:vAlign w:val="center"/>
          </w:tcPr>
          <w:p w14:paraId="74A75115"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51DE93F4"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62DEE54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480" w:type="pct"/>
            <w:tcBorders>
              <w:tl2br w:val="nil"/>
              <w:tr2bl w:val="nil"/>
            </w:tcBorders>
            <w:tcMar>
              <w:top w:w="85" w:type="dxa"/>
              <w:left w:w="85" w:type="dxa"/>
              <w:bottom w:w="85" w:type="dxa"/>
              <w:right w:w="85" w:type="dxa"/>
            </w:tcMar>
            <w:vAlign w:val="center"/>
          </w:tcPr>
          <w:p w14:paraId="1C0E0B37"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27</w:t>
            </w:r>
          </w:p>
        </w:tc>
        <w:tc>
          <w:tcPr>
            <w:tcW w:w="773" w:type="pct"/>
            <w:tcBorders>
              <w:tl2br w:val="nil"/>
              <w:tr2bl w:val="nil"/>
            </w:tcBorders>
            <w:tcMar>
              <w:top w:w="85" w:type="dxa"/>
              <w:left w:w="85" w:type="dxa"/>
              <w:bottom w:w="85" w:type="dxa"/>
              <w:right w:w="85" w:type="dxa"/>
            </w:tcMar>
            <w:vAlign w:val="center"/>
          </w:tcPr>
          <w:p w14:paraId="61D10895"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2D2AF8" w14:paraId="632FC195" w14:textId="77777777">
        <w:trPr>
          <w:trHeight w:val="23"/>
          <w:jc w:val="center"/>
        </w:trPr>
        <w:tc>
          <w:tcPr>
            <w:tcW w:w="667" w:type="pct"/>
            <w:vMerge/>
            <w:tcBorders>
              <w:tl2br w:val="nil"/>
              <w:tr2bl w:val="nil"/>
            </w:tcBorders>
            <w:tcMar>
              <w:top w:w="85" w:type="dxa"/>
              <w:left w:w="85" w:type="dxa"/>
              <w:bottom w:w="85" w:type="dxa"/>
              <w:right w:w="85" w:type="dxa"/>
            </w:tcMar>
            <w:vAlign w:val="center"/>
          </w:tcPr>
          <w:p w14:paraId="4943EA88" w14:textId="77777777" w:rsidR="002D2AF8" w:rsidRDefault="002D2AF8">
            <w:pPr>
              <w:adjustRightInd w:val="0"/>
              <w:snapToGrid w:val="0"/>
              <w:jc w:val="center"/>
              <w:rPr>
                <w:snapToGrid w:val="0"/>
                <w:color w:val="000000" w:themeColor="text1"/>
                <w:kern w:val="0"/>
                <w:szCs w:val="21"/>
              </w:rPr>
            </w:pPr>
          </w:p>
        </w:tc>
        <w:tc>
          <w:tcPr>
            <w:tcW w:w="1215" w:type="pct"/>
            <w:tcBorders>
              <w:tl2br w:val="nil"/>
              <w:tr2bl w:val="nil"/>
            </w:tcBorders>
            <w:tcMar>
              <w:top w:w="85" w:type="dxa"/>
              <w:left w:w="85" w:type="dxa"/>
              <w:bottom w:w="85" w:type="dxa"/>
              <w:right w:w="85" w:type="dxa"/>
            </w:tcMar>
            <w:vAlign w:val="center"/>
          </w:tcPr>
          <w:p w14:paraId="4D89372D"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井场电力线路、用电设备</w:t>
            </w:r>
          </w:p>
        </w:tc>
        <w:tc>
          <w:tcPr>
            <w:tcW w:w="807" w:type="pct"/>
            <w:tcBorders>
              <w:tl2br w:val="nil"/>
              <w:tr2bl w:val="nil"/>
            </w:tcBorders>
            <w:tcMar>
              <w:top w:w="85" w:type="dxa"/>
              <w:left w:w="85" w:type="dxa"/>
              <w:bottom w:w="85" w:type="dxa"/>
              <w:right w:w="85" w:type="dxa"/>
            </w:tcMar>
            <w:vAlign w:val="center"/>
          </w:tcPr>
          <w:p w14:paraId="24169609"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触电</w:t>
            </w:r>
          </w:p>
        </w:tc>
        <w:tc>
          <w:tcPr>
            <w:tcW w:w="417" w:type="pct"/>
            <w:tcBorders>
              <w:tl2br w:val="nil"/>
              <w:tr2bl w:val="nil"/>
            </w:tcBorders>
            <w:tcMar>
              <w:top w:w="85" w:type="dxa"/>
              <w:left w:w="85" w:type="dxa"/>
              <w:bottom w:w="85" w:type="dxa"/>
              <w:right w:w="85" w:type="dxa"/>
            </w:tcMar>
            <w:vAlign w:val="center"/>
          </w:tcPr>
          <w:p w14:paraId="1186A533"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757C4567"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3</w:t>
            </w:r>
          </w:p>
        </w:tc>
        <w:tc>
          <w:tcPr>
            <w:tcW w:w="319" w:type="pct"/>
            <w:tcBorders>
              <w:tl2br w:val="nil"/>
              <w:tr2bl w:val="nil"/>
            </w:tcBorders>
            <w:tcMar>
              <w:top w:w="85" w:type="dxa"/>
              <w:left w:w="85" w:type="dxa"/>
              <w:bottom w:w="85" w:type="dxa"/>
              <w:right w:w="85" w:type="dxa"/>
            </w:tcMar>
            <w:vAlign w:val="center"/>
          </w:tcPr>
          <w:p w14:paraId="3B7F833E"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480" w:type="pct"/>
            <w:tcBorders>
              <w:tl2br w:val="nil"/>
              <w:tr2bl w:val="nil"/>
            </w:tcBorders>
            <w:tcMar>
              <w:top w:w="85" w:type="dxa"/>
              <w:left w:w="85" w:type="dxa"/>
              <w:bottom w:w="85" w:type="dxa"/>
              <w:right w:w="85" w:type="dxa"/>
            </w:tcMar>
            <w:vAlign w:val="center"/>
          </w:tcPr>
          <w:p w14:paraId="25DAC10F"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9</w:t>
            </w:r>
          </w:p>
        </w:tc>
        <w:tc>
          <w:tcPr>
            <w:tcW w:w="773" w:type="pct"/>
            <w:tcBorders>
              <w:tl2br w:val="nil"/>
              <w:tr2bl w:val="nil"/>
            </w:tcBorders>
            <w:tcMar>
              <w:top w:w="85" w:type="dxa"/>
              <w:left w:w="85" w:type="dxa"/>
              <w:bottom w:w="85" w:type="dxa"/>
              <w:right w:w="85" w:type="dxa"/>
            </w:tcMar>
            <w:vAlign w:val="center"/>
          </w:tcPr>
          <w:p w14:paraId="542D26A1"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稍有危险</w:t>
            </w:r>
          </w:p>
        </w:tc>
      </w:tr>
      <w:tr w:rsidR="002D2AF8" w14:paraId="755EDA24" w14:textId="77777777">
        <w:trPr>
          <w:trHeight w:val="23"/>
          <w:jc w:val="center"/>
        </w:trPr>
        <w:tc>
          <w:tcPr>
            <w:tcW w:w="667" w:type="pct"/>
            <w:vMerge/>
            <w:tcBorders>
              <w:tl2br w:val="nil"/>
              <w:tr2bl w:val="nil"/>
            </w:tcBorders>
            <w:tcMar>
              <w:top w:w="85" w:type="dxa"/>
              <w:left w:w="85" w:type="dxa"/>
              <w:bottom w:w="85" w:type="dxa"/>
              <w:right w:w="85" w:type="dxa"/>
            </w:tcMar>
            <w:vAlign w:val="center"/>
          </w:tcPr>
          <w:p w14:paraId="3A225BD4" w14:textId="77777777" w:rsidR="002D2AF8" w:rsidRDefault="002D2AF8">
            <w:pPr>
              <w:adjustRightInd w:val="0"/>
              <w:snapToGrid w:val="0"/>
              <w:jc w:val="center"/>
              <w:rPr>
                <w:snapToGrid w:val="0"/>
                <w:color w:val="000000" w:themeColor="text1"/>
                <w:kern w:val="0"/>
                <w:szCs w:val="21"/>
              </w:rPr>
            </w:pPr>
          </w:p>
        </w:tc>
        <w:tc>
          <w:tcPr>
            <w:tcW w:w="1215" w:type="pct"/>
            <w:vMerge w:val="restart"/>
            <w:tcBorders>
              <w:tl2br w:val="nil"/>
              <w:tr2bl w:val="nil"/>
            </w:tcBorders>
            <w:tcMar>
              <w:top w:w="85" w:type="dxa"/>
              <w:left w:w="85" w:type="dxa"/>
              <w:bottom w:w="85" w:type="dxa"/>
              <w:right w:w="85" w:type="dxa"/>
            </w:tcMar>
            <w:vAlign w:val="center"/>
          </w:tcPr>
          <w:p w14:paraId="5329A0AB"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井口</w:t>
            </w:r>
          </w:p>
        </w:tc>
        <w:tc>
          <w:tcPr>
            <w:tcW w:w="807" w:type="pct"/>
            <w:tcBorders>
              <w:tl2br w:val="nil"/>
              <w:tr2bl w:val="nil"/>
            </w:tcBorders>
            <w:tcMar>
              <w:top w:w="85" w:type="dxa"/>
              <w:left w:w="85" w:type="dxa"/>
              <w:bottom w:w="85" w:type="dxa"/>
              <w:right w:w="85" w:type="dxa"/>
            </w:tcMar>
            <w:vAlign w:val="center"/>
          </w:tcPr>
          <w:p w14:paraId="7F0592FD"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火灾爆炸</w:t>
            </w:r>
          </w:p>
        </w:tc>
        <w:tc>
          <w:tcPr>
            <w:tcW w:w="417" w:type="pct"/>
            <w:tcBorders>
              <w:tl2br w:val="nil"/>
              <w:tr2bl w:val="nil"/>
            </w:tcBorders>
            <w:tcMar>
              <w:top w:w="85" w:type="dxa"/>
              <w:left w:w="85" w:type="dxa"/>
              <w:bottom w:w="85" w:type="dxa"/>
              <w:right w:w="85" w:type="dxa"/>
            </w:tcMar>
            <w:vAlign w:val="center"/>
          </w:tcPr>
          <w:p w14:paraId="13E4F01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19" w:type="pct"/>
            <w:tcBorders>
              <w:tl2br w:val="nil"/>
              <w:tr2bl w:val="nil"/>
            </w:tcBorders>
            <w:tcMar>
              <w:top w:w="85" w:type="dxa"/>
              <w:left w:w="85" w:type="dxa"/>
              <w:bottom w:w="85" w:type="dxa"/>
              <w:right w:w="85" w:type="dxa"/>
            </w:tcMar>
            <w:vAlign w:val="center"/>
          </w:tcPr>
          <w:p w14:paraId="50DA9544"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6</w:t>
            </w:r>
          </w:p>
        </w:tc>
        <w:tc>
          <w:tcPr>
            <w:tcW w:w="319" w:type="pct"/>
            <w:tcBorders>
              <w:tl2br w:val="nil"/>
              <w:tr2bl w:val="nil"/>
            </w:tcBorders>
            <w:tcMar>
              <w:top w:w="85" w:type="dxa"/>
              <w:left w:w="85" w:type="dxa"/>
              <w:bottom w:w="85" w:type="dxa"/>
              <w:right w:w="85" w:type="dxa"/>
            </w:tcMar>
            <w:vAlign w:val="center"/>
          </w:tcPr>
          <w:p w14:paraId="6C9D2A6A"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7</w:t>
            </w:r>
          </w:p>
        </w:tc>
        <w:tc>
          <w:tcPr>
            <w:tcW w:w="480" w:type="pct"/>
            <w:tcBorders>
              <w:tl2br w:val="nil"/>
              <w:tr2bl w:val="nil"/>
            </w:tcBorders>
            <w:tcMar>
              <w:top w:w="85" w:type="dxa"/>
              <w:left w:w="85" w:type="dxa"/>
              <w:bottom w:w="85" w:type="dxa"/>
              <w:right w:w="85" w:type="dxa"/>
            </w:tcMar>
            <w:vAlign w:val="center"/>
          </w:tcPr>
          <w:p w14:paraId="6471271B"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42</w:t>
            </w:r>
          </w:p>
        </w:tc>
        <w:tc>
          <w:tcPr>
            <w:tcW w:w="773" w:type="pct"/>
            <w:tcBorders>
              <w:tl2br w:val="nil"/>
              <w:tr2bl w:val="nil"/>
            </w:tcBorders>
            <w:tcMar>
              <w:top w:w="85" w:type="dxa"/>
              <w:left w:w="85" w:type="dxa"/>
              <w:bottom w:w="85" w:type="dxa"/>
              <w:right w:w="85" w:type="dxa"/>
            </w:tcMar>
            <w:vAlign w:val="center"/>
          </w:tcPr>
          <w:p w14:paraId="63F627B9"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2D2AF8" w14:paraId="6FC473BC" w14:textId="77777777">
        <w:trPr>
          <w:trHeight w:val="23"/>
          <w:jc w:val="center"/>
        </w:trPr>
        <w:tc>
          <w:tcPr>
            <w:tcW w:w="667" w:type="pct"/>
            <w:vMerge/>
            <w:tcBorders>
              <w:tl2br w:val="nil"/>
              <w:tr2bl w:val="nil"/>
            </w:tcBorders>
            <w:tcMar>
              <w:top w:w="85" w:type="dxa"/>
              <w:left w:w="85" w:type="dxa"/>
              <w:bottom w:w="85" w:type="dxa"/>
              <w:right w:w="85" w:type="dxa"/>
            </w:tcMar>
            <w:vAlign w:val="center"/>
          </w:tcPr>
          <w:p w14:paraId="52E39388" w14:textId="77777777" w:rsidR="002D2AF8" w:rsidRDefault="002D2AF8">
            <w:pPr>
              <w:adjustRightInd w:val="0"/>
              <w:snapToGrid w:val="0"/>
              <w:jc w:val="center"/>
              <w:rPr>
                <w:snapToGrid w:val="0"/>
                <w:color w:val="000000" w:themeColor="text1"/>
                <w:kern w:val="0"/>
                <w:szCs w:val="21"/>
              </w:rPr>
            </w:pPr>
          </w:p>
        </w:tc>
        <w:tc>
          <w:tcPr>
            <w:tcW w:w="1215" w:type="pct"/>
            <w:vMerge/>
            <w:tcBorders>
              <w:tl2br w:val="nil"/>
              <w:tr2bl w:val="nil"/>
            </w:tcBorders>
            <w:tcMar>
              <w:top w:w="85" w:type="dxa"/>
              <w:left w:w="85" w:type="dxa"/>
              <w:bottom w:w="85" w:type="dxa"/>
              <w:right w:w="85" w:type="dxa"/>
            </w:tcMar>
            <w:vAlign w:val="center"/>
          </w:tcPr>
          <w:p w14:paraId="7F9FBD5E" w14:textId="77777777" w:rsidR="002D2AF8" w:rsidRDefault="002D2AF8">
            <w:pPr>
              <w:adjustRightInd w:val="0"/>
              <w:snapToGrid w:val="0"/>
              <w:jc w:val="center"/>
              <w:rPr>
                <w:snapToGrid w:val="0"/>
                <w:color w:val="000000" w:themeColor="text1"/>
                <w:kern w:val="0"/>
                <w:szCs w:val="21"/>
              </w:rPr>
            </w:pPr>
          </w:p>
        </w:tc>
        <w:tc>
          <w:tcPr>
            <w:tcW w:w="807" w:type="pct"/>
            <w:tcBorders>
              <w:tl2br w:val="nil"/>
              <w:tr2bl w:val="nil"/>
            </w:tcBorders>
            <w:tcMar>
              <w:top w:w="85" w:type="dxa"/>
              <w:left w:w="85" w:type="dxa"/>
              <w:bottom w:w="85" w:type="dxa"/>
              <w:right w:w="85" w:type="dxa"/>
            </w:tcMar>
            <w:vAlign w:val="center"/>
          </w:tcPr>
          <w:p w14:paraId="2E30ADBE"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井喷及井喷失控</w:t>
            </w:r>
          </w:p>
        </w:tc>
        <w:tc>
          <w:tcPr>
            <w:tcW w:w="417" w:type="pct"/>
            <w:tcBorders>
              <w:tl2br w:val="nil"/>
              <w:tr2bl w:val="nil"/>
            </w:tcBorders>
            <w:tcMar>
              <w:top w:w="85" w:type="dxa"/>
              <w:left w:w="85" w:type="dxa"/>
              <w:bottom w:w="85" w:type="dxa"/>
              <w:right w:w="85" w:type="dxa"/>
            </w:tcMar>
            <w:vAlign w:val="center"/>
          </w:tcPr>
          <w:p w14:paraId="1C862FC3"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19" w:type="pct"/>
            <w:tcBorders>
              <w:tl2br w:val="nil"/>
              <w:tr2bl w:val="nil"/>
            </w:tcBorders>
            <w:tcMar>
              <w:top w:w="85" w:type="dxa"/>
              <w:left w:w="85" w:type="dxa"/>
              <w:bottom w:w="85" w:type="dxa"/>
              <w:right w:w="85" w:type="dxa"/>
            </w:tcMar>
            <w:vAlign w:val="center"/>
          </w:tcPr>
          <w:p w14:paraId="62E3083B"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6</w:t>
            </w:r>
          </w:p>
        </w:tc>
        <w:tc>
          <w:tcPr>
            <w:tcW w:w="319" w:type="pct"/>
            <w:tcBorders>
              <w:tl2br w:val="nil"/>
              <w:tr2bl w:val="nil"/>
            </w:tcBorders>
            <w:tcMar>
              <w:top w:w="85" w:type="dxa"/>
              <w:left w:w="85" w:type="dxa"/>
              <w:bottom w:w="85" w:type="dxa"/>
              <w:right w:w="85" w:type="dxa"/>
            </w:tcMar>
            <w:vAlign w:val="center"/>
          </w:tcPr>
          <w:p w14:paraId="3ABFA8B5"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7</w:t>
            </w:r>
          </w:p>
        </w:tc>
        <w:tc>
          <w:tcPr>
            <w:tcW w:w="480" w:type="pct"/>
            <w:tcBorders>
              <w:tl2br w:val="nil"/>
              <w:tr2bl w:val="nil"/>
            </w:tcBorders>
            <w:tcMar>
              <w:top w:w="85" w:type="dxa"/>
              <w:left w:w="85" w:type="dxa"/>
              <w:bottom w:w="85" w:type="dxa"/>
              <w:right w:w="85" w:type="dxa"/>
            </w:tcMar>
            <w:vAlign w:val="center"/>
          </w:tcPr>
          <w:p w14:paraId="65B80975"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42</w:t>
            </w:r>
          </w:p>
        </w:tc>
        <w:tc>
          <w:tcPr>
            <w:tcW w:w="773" w:type="pct"/>
            <w:tcBorders>
              <w:tl2br w:val="nil"/>
              <w:tr2bl w:val="nil"/>
            </w:tcBorders>
            <w:tcMar>
              <w:top w:w="85" w:type="dxa"/>
              <w:left w:w="85" w:type="dxa"/>
              <w:bottom w:w="85" w:type="dxa"/>
              <w:right w:w="85" w:type="dxa"/>
            </w:tcMar>
            <w:vAlign w:val="center"/>
          </w:tcPr>
          <w:p w14:paraId="604FC84F"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r w:rsidR="002D2AF8" w14:paraId="5D9727DA" w14:textId="77777777">
        <w:trPr>
          <w:trHeight w:val="23"/>
          <w:jc w:val="center"/>
        </w:trPr>
        <w:tc>
          <w:tcPr>
            <w:tcW w:w="667" w:type="pct"/>
            <w:tcBorders>
              <w:tl2br w:val="nil"/>
              <w:tr2bl w:val="nil"/>
            </w:tcBorders>
            <w:tcMar>
              <w:top w:w="85" w:type="dxa"/>
              <w:left w:w="85" w:type="dxa"/>
              <w:bottom w:w="85" w:type="dxa"/>
              <w:right w:w="85" w:type="dxa"/>
            </w:tcMar>
            <w:vAlign w:val="center"/>
          </w:tcPr>
          <w:p w14:paraId="5E98E8DC" w14:textId="77777777" w:rsidR="002D2AF8" w:rsidRDefault="00000000">
            <w:pPr>
              <w:adjustRightInd w:val="0"/>
              <w:snapToGrid w:val="0"/>
              <w:jc w:val="center"/>
              <w:rPr>
                <w:snapToGrid w:val="0"/>
                <w:color w:val="000000" w:themeColor="text1"/>
                <w:kern w:val="0"/>
                <w:szCs w:val="21"/>
              </w:rPr>
            </w:pPr>
            <w:r>
              <w:rPr>
                <w:rFonts w:hint="eastAsia"/>
                <w:snapToGrid w:val="0"/>
                <w:color w:val="000000" w:themeColor="text1"/>
                <w:kern w:val="0"/>
                <w:szCs w:val="21"/>
              </w:rPr>
              <w:t>配液罐检维修过程中</w:t>
            </w:r>
          </w:p>
        </w:tc>
        <w:tc>
          <w:tcPr>
            <w:tcW w:w="1215" w:type="pct"/>
            <w:tcBorders>
              <w:tl2br w:val="nil"/>
              <w:tr2bl w:val="nil"/>
            </w:tcBorders>
            <w:tcMar>
              <w:top w:w="85" w:type="dxa"/>
              <w:left w:w="85" w:type="dxa"/>
              <w:bottom w:w="85" w:type="dxa"/>
              <w:right w:w="85" w:type="dxa"/>
            </w:tcMar>
            <w:vAlign w:val="center"/>
          </w:tcPr>
          <w:p w14:paraId="2B2A199D" w14:textId="77777777" w:rsidR="002D2AF8" w:rsidRDefault="00000000">
            <w:pPr>
              <w:adjustRightInd w:val="0"/>
              <w:snapToGrid w:val="0"/>
              <w:jc w:val="center"/>
              <w:rPr>
                <w:snapToGrid w:val="0"/>
                <w:color w:val="000000" w:themeColor="text1"/>
                <w:kern w:val="0"/>
                <w:szCs w:val="21"/>
              </w:rPr>
            </w:pPr>
            <w:r>
              <w:rPr>
                <w:rFonts w:hint="eastAsia"/>
                <w:snapToGrid w:val="0"/>
                <w:color w:val="000000" w:themeColor="text1"/>
                <w:kern w:val="0"/>
                <w:szCs w:val="21"/>
              </w:rPr>
              <w:t>配液罐等受限空间</w:t>
            </w:r>
          </w:p>
        </w:tc>
        <w:tc>
          <w:tcPr>
            <w:tcW w:w="807" w:type="pct"/>
            <w:tcBorders>
              <w:tl2br w:val="nil"/>
              <w:tr2bl w:val="nil"/>
            </w:tcBorders>
            <w:tcMar>
              <w:top w:w="85" w:type="dxa"/>
              <w:left w:w="85" w:type="dxa"/>
              <w:bottom w:w="85" w:type="dxa"/>
              <w:right w:w="85" w:type="dxa"/>
            </w:tcMar>
            <w:vAlign w:val="center"/>
          </w:tcPr>
          <w:p w14:paraId="09255FC6" w14:textId="77777777" w:rsidR="002D2AF8" w:rsidRDefault="00000000">
            <w:pPr>
              <w:adjustRightInd w:val="0"/>
              <w:snapToGrid w:val="0"/>
              <w:jc w:val="center"/>
              <w:rPr>
                <w:snapToGrid w:val="0"/>
                <w:color w:val="000000" w:themeColor="text1"/>
                <w:kern w:val="0"/>
                <w:szCs w:val="21"/>
              </w:rPr>
            </w:pPr>
            <w:r>
              <w:rPr>
                <w:rFonts w:hint="eastAsia"/>
                <w:snapToGrid w:val="0"/>
                <w:color w:val="000000" w:themeColor="text1"/>
                <w:kern w:val="0"/>
                <w:szCs w:val="21"/>
              </w:rPr>
              <w:t>中毒和窒息</w:t>
            </w:r>
          </w:p>
        </w:tc>
        <w:tc>
          <w:tcPr>
            <w:tcW w:w="417" w:type="pct"/>
            <w:tcBorders>
              <w:tl2br w:val="nil"/>
              <w:tr2bl w:val="nil"/>
            </w:tcBorders>
            <w:tcMar>
              <w:top w:w="85" w:type="dxa"/>
              <w:left w:w="85" w:type="dxa"/>
              <w:bottom w:w="85" w:type="dxa"/>
              <w:right w:w="85" w:type="dxa"/>
            </w:tcMar>
            <w:vAlign w:val="center"/>
          </w:tcPr>
          <w:p w14:paraId="79D7EA3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19" w:type="pct"/>
            <w:tcBorders>
              <w:tl2br w:val="nil"/>
              <w:tr2bl w:val="nil"/>
            </w:tcBorders>
            <w:tcMar>
              <w:top w:w="85" w:type="dxa"/>
              <w:left w:w="85" w:type="dxa"/>
              <w:bottom w:w="85" w:type="dxa"/>
              <w:right w:w="85" w:type="dxa"/>
            </w:tcMar>
            <w:vAlign w:val="center"/>
          </w:tcPr>
          <w:p w14:paraId="6B407400"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1</w:t>
            </w:r>
          </w:p>
        </w:tc>
        <w:tc>
          <w:tcPr>
            <w:tcW w:w="319" w:type="pct"/>
            <w:tcBorders>
              <w:tl2br w:val="nil"/>
              <w:tr2bl w:val="nil"/>
            </w:tcBorders>
            <w:tcMar>
              <w:top w:w="85" w:type="dxa"/>
              <w:left w:w="85" w:type="dxa"/>
              <w:bottom w:w="85" w:type="dxa"/>
              <w:right w:w="85" w:type="dxa"/>
            </w:tcMar>
            <w:vAlign w:val="center"/>
          </w:tcPr>
          <w:p w14:paraId="22AF1D50"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40</w:t>
            </w:r>
          </w:p>
        </w:tc>
        <w:tc>
          <w:tcPr>
            <w:tcW w:w="480" w:type="pct"/>
            <w:tcBorders>
              <w:tl2br w:val="nil"/>
              <w:tr2bl w:val="nil"/>
            </w:tcBorders>
            <w:tcMar>
              <w:top w:w="85" w:type="dxa"/>
              <w:left w:w="85" w:type="dxa"/>
              <w:bottom w:w="85" w:type="dxa"/>
              <w:right w:w="85" w:type="dxa"/>
            </w:tcMar>
            <w:vAlign w:val="center"/>
          </w:tcPr>
          <w:p w14:paraId="33043C89"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40</w:t>
            </w:r>
          </w:p>
        </w:tc>
        <w:tc>
          <w:tcPr>
            <w:tcW w:w="773" w:type="pct"/>
            <w:tcBorders>
              <w:tl2br w:val="nil"/>
              <w:tr2bl w:val="nil"/>
            </w:tcBorders>
            <w:tcMar>
              <w:top w:w="85" w:type="dxa"/>
              <w:left w:w="85" w:type="dxa"/>
              <w:bottom w:w="85" w:type="dxa"/>
              <w:right w:w="85" w:type="dxa"/>
            </w:tcMar>
            <w:vAlign w:val="center"/>
          </w:tcPr>
          <w:p w14:paraId="44932FA2" w14:textId="77777777" w:rsidR="002D2AF8" w:rsidRDefault="00000000">
            <w:pPr>
              <w:adjustRightInd w:val="0"/>
              <w:snapToGrid w:val="0"/>
              <w:jc w:val="center"/>
              <w:rPr>
                <w:snapToGrid w:val="0"/>
                <w:color w:val="000000" w:themeColor="text1"/>
                <w:kern w:val="0"/>
                <w:szCs w:val="21"/>
              </w:rPr>
            </w:pPr>
            <w:r>
              <w:rPr>
                <w:snapToGrid w:val="0"/>
                <w:color w:val="000000" w:themeColor="text1"/>
                <w:kern w:val="0"/>
                <w:szCs w:val="21"/>
              </w:rPr>
              <w:t>可能危险</w:t>
            </w:r>
          </w:p>
        </w:tc>
      </w:tr>
    </w:tbl>
    <w:p w14:paraId="0AE0B369" w14:textId="77777777" w:rsidR="002D2AF8" w:rsidRDefault="00000000">
      <w:pPr>
        <w:adjustRightInd w:val="0"/>
        <w:snapToGrid w:val="0"/>
        <w:spacing w:beforeLines="50" w:before="162" w:line="360" w:lineRule="auto"/>
        <w:ind w:firstLineChars="200" w:firstLine="566"/>
        <w:rPr>
          <w:snapToGrid w:val="0"/>
          <w:color w:val="000000" w:themeColor="text1"/>
          <w:kern w:val="0"/>
          <w:sz w:val="28"/>
          <w:szCs w:val="28"/>
        </w:rPr>
      </w:pPr>
      <w:r>
        <w:rPr>
          <w:snapToGrid w:val="0"/>
          <w:color w:val="000000" w:themeColor="text1"/>
          <w:kern w:val="0"/>
          <w:sz w:val="28"/>
          <w:szCs w:val="28"/>
        </w:rPr>
        <w:t>经计算得知：该项目现场施工的火灾爆炸、井喷及井喷失控事故、物体打击、中毒和窒息</w:t>
      </w:r>
      <w:r>
        <w:rPr>
          <w:rFonts w:hint="eastAsia"/>
          <w:snapToGrid w:val="0"/>
          <w:color w:val="000000" w:themeColor="text1"/>
          <w:kern w:val="0"/>
          <w:sz w:val="28"/>
          <w:szCs w:val="28"/>
        </w:rPr>
        <w:t>，以及配液罐检维修过程中的中毒和窒息</w:t>
      </w:r>
      <w:r>
        <w:rPr>
          <w:snapToGrid w:val="0"/>
          <w:color w:val="000000" w:themeColor="text1"/>
          <w:kern w:val="0"/>
          <w:sz w:val="28"/>
          <w:szCs w:val="28"/>
        </w:rPr>
        <w:t>的危</w:t>
      </w:r>
      <w:r>
        <w:rPr>
          <w:snapToGrid w:val="0"/>
          <w:color w:val="000000" w:themeColor="text1"/>
          <w:kern w:val="0"/>
          <w:sz w:val="28"/>
          <w:szCs w:val="28"/>
        </w:rPr>
        <w:lastRenderedPageBreak/>
        <w:t>险程度为</w:t>
      </w:r>
      <w:r>
        <w:rPr>
          <w:snapToGrid w:val="0"/>
          <w:color w:val="000000" w:themeColor="text1"/>
          <w:kern w:val="0"/>
          <w:sz w:val="28"/>
          <w:szCs w:val="28"/>
        </w:rPr>
        <w:t>“</w:t>
      </w:r>
      <w:r>
        <w:rPr>
          <w:snapToGrid w:val="0"/>
          <w:color w:val="000000" w:themeColor="text1"/>
          <w:kern w:val="0"/>
          <w:sz w:val="28"/>
          <w:szCs w:val="28"/>
        </w:rPr>
        <w:t>可能危险</w:t>
      </w:r>
      <w:r>
        <w:rPr>
          <w:snapToGrid w:val="0"/>
          <w:color w:val="000000" w:themeColor="text1"/>
          <w:kern w:val="0"/>
          <w:sz w:val="28"/>
          <w:szCs w:val="28"/>
        </w:rPr>
        <w:t>”</w:t>
      </w:r>
      <w:r>
        <w:rPr>
          <w:snapToGrid w:val="0"/>
          <w:color w:val="000000" w:themeColor="text1"/>
          <w:kern w:val="0"/>
          <w:sz w:val="28"/>
          <w:szCs w:val="28"/>
        </w:rPr>
        <w:t>，应作为本工程安全防范的重点。</w:t>
      </w:r>
    </w:p>
    <w:p w14:paraId="694F751F" w14:textId="77777777" w:rsidR="002D2AF8" w:rsidRDefault="00000000">
      <w:pPr>
        <w:widowControl/>
        <w:adjustRightInd w:val="0"/>
        <w:snapToGrid w:val="0"/>
        <w:spacing w:line="360" w:lineRule="auto"/>
        <w:ind w:firstLineChars="200" w:firstLine="566"/>
        <w:jc w:val="left"/>
        <w:rPr>
          <w:snapToGrid w:val="0"/>
          <w:color w:val="000000" w:themeColor="text1"/>
          <w:kern w:val="0"/>
          <w:sz w:val="28"/>
          <w:szCs w:val="28"/>
        </w:rPr>
      </w:pPr>
      <w:r>
        <w:rPr>
          <w:snapToGrid w:val="0"/>
          <w:color w:val="000000" w:themeColor="text1"/>
          <w:kern w:val="0"/>
          <w:sz w:val="28"/>
          <w:szCs w:val="28"/>
        </w:rPr>
        <w:t>设备设施搬迁，</w:t>
      </w:r>
      <w:r>
        <w:rPr>
          <w:rFonts w:hint="eastAsia"/>
          <w:snapToGrid w:val="0"/>
          <w:color w:val="000000" w:themeColor="text1"/>
          <w:kern w:val="0"/>
          <w:sz w:val="28"/>
          <w:szCs w:val="28"/>
        </w:rPr>
        <w:t>测试</w:t>
      </w:r>
      <w:r>
        <w:rPr>
          <w:snapToGrid w:val="0"/>
          <w:color w:val="000000" w:themeColor="text1"/>
          <w:kern w:val="0"/>
          <w:sz w:val="28"/>
          <w:szCs w:val="28"/>
        </w:rPr>
        <w:t>车、</w:t>
      </w:r>
      <w:r>
        <w:rPr>
          <w:rFonts w:hint="eastAsia"/>
          <w:snapToGrid w:val="0"/>
          <w:color w:val="000000" w:themeColor="text1"/>
          <w:kern w:val="0"/>
          <w:sz w:val="28"/>
          <w:szCs w:val="28"/>
        </w:rPr>
        <w:t>运输</w:t>
      </w:r>
      <w:r>
        <w:rPr>
          <w:snapToGrid w:val="0"/>
          <w:color w:val="000000" w:themeColor="text1"/>
          <w:kern w:val="0"/>
          <w:sz w:val="28"/>
          <w:szCs w:val="28"/>
        </w:rPr>
        <w:t>车辆可造成车辆伤害、物体打击；</w:t>
      </w:r>
      <w:r>
        <w:rPr>
          <w:rFonts w:hint="eastAsia"/>
          <w:snapToGrid w:val="0"/>
          <w:color w:val="000000" w:themeColor="text1"/>
          <w:kern w:val="0"/>
          <w:sz w:val="28"/>
          <w:szCs w:val="28"/>
        </w:rPr>
        <w:t>配液罐、注入泵</w:t>
      </w:r>
      <w:r>
        <w:rPr>
          <w:snapToGrid w:val="0"/>
          <w:color w:val="000000" w:themeColor="text1"/>
          <w:kern w:val="0"/>
          <w:sz w:val="28"/>
          <w:szCs w:val="28"/>
        </w:rPr>
        <w:t>等作业设备设施起重伤害、物体打击；电气设备触电；各类施工过程中旋转部位机械伤害；井场电力线路、用电设备触电</w:t>
      </w:r>
      <w:r>
        <w:rPr>
          <w:rFonts w:hint="eastAsia"/>
          <w:snapToGrid w:val="0"/>
          <w:color w:val="000000" w:themeColor="text1"/>
          <w:kern w:val="0"/>
          <w:sz w:val="28"/>
          <w:szCs w:val="28"/>
        </w:rPr>
        <w:t>等</w:t>
      </w:r>
      <w:r>
        <w:rPr>
          <w:snapToGrid w:val="0"/>
          <w:color w:val="000000" w:themeColor="text1"/>
          <w:kern w:val="0"/>
          <w:sz w:val="28"/>
          <w:szCs w:val="28"/>
        </w:rPr>
        <w:t>事故危险程度均为</w:t>
      </w:r>
      <w:r>
        <w:rPr>
          <w:snapToGrid w:val="0"/>
          <w:color w:val="000000" w:themeColor="text1"/>
          <w:kern w:val="0"/>
          <w:sz w:val="28"/>
          <w:szCs w:val="28"/>
        </w:rPr>
        <w:t>“</w:t>
      </w:r>
      <w:r>
        <w:rPr>
          <w:snapToGrid w:val="0"/>
          <w:color w:val="000000" w:themeColor="text1"/>
          <w:kern w:val="0"/>
          <w:sz w:val="28"/>
          <w:szCs w:val="28"/>
        </w:rPr>
        <w:t>稍有危险</w:t>
      </w:r>
      <w:r>
        <w:rPr>
          <w:snapToGrid w:val="0"/>
          <w:color w:val="000000" w:themeColor="text1"/>
          <w:kern w:val="0"/>
          <w:sz w:val="28"/>
          <w:szCs w:val="28"/>
        </w:rPr>
        <w:t>”</w:t>
      </w:r>
      <w:r>
        <w:rPr>
          <w:snapToGrid w:val="0"/>
          <w:color w:val="000000" w:themeColor="text1"/>
          <w:kern w:val="0"/>
          <w:sz w:val="28"/>
          <w:szCs w:val="28"/>
        </w:rPr>
        <w:t>，也应引起注意。</w:t>
      </w:r>
    </w:p>
    <w:p w14:paraId="284D0606" w14:textId="77777777" w:rsidR="002D2AF8" w:rsidRDefault="00000000">
      <w:pPr>
        <w:adjustRightInd w:val="0"/>
        <w:snapToGrid w:val="0"/>
        <w:spacing w:line="360" w:lineRule="auto"/>
        <w:outlineLvl w:val="1"/>
        <w:rPr>
          <w:rFonts w:eastAsia="黑体"/>
          <w:color w:val="000000" w:themeColor="text1"/>
          <w:sz w:val="32"/>
          <w:szCs w:val="32"/>
        </w:rPr>
      </w:pPr>
      <w:bookmarkStart w:id="108" w:name="_Toc22642"/>
      <w:bookmarkStart w:id="109" w:name="_Toc21266"/>
      <w:bookmarkStart w:id="110" w:name="_Toc281310753"/>
      <w:r>
        <w:rPr>
          <w:rFonts w:eastAsia="黑体"/>
          <w:bCs/>
          <w:color w:val="000000" w:themeColor="text1"/>
          <w:sz w:val="32"/>
          <w:szCs w:val="32"/>
        </w:rPr>
        <w:t xml:space="preserve">5.3 </w:t>
      </w:r>
      <w:r>
        <w:rPr>
          <w:rFonts w:eastAsia="黑体"/>
          <w:bCs/>
          <w:color w:val="000000" w:themeColor="text1"/>
          <w:sz w:val="32"/>
          <w:szCs w:val="32"/>
        </w:rPr>
        <w:t>管理单元安全检查表</w:t>
      </w:r>
      <w:bookmarkEnd w:id="108"/>
      <w:bookmarkEnd w:id="109"/>
    </w:p>
    <w:p w14:paraId="2DECCCE7" w14:textId="77777777" w:rsidR="002D2AF8" w:rsidRDefault="00000000">
      <w:pPr>
        <w:adjustRightInd w:val="0"/>
        <w:snapToGrid w:val="0"/>
        <w:spacing w:line="360" w:lineRule="auto"/>
        <w:ind w:firstLineChars="200" w:firstLine="566"/>
        <w:rPr>
          <w:color w:val="000000" w:themeColor="text1"/>
          <w:sz w:val="28"/>
        </w:rPr>
      </w:pPr>
      <w:r>
        <w:rPr>
          <w:color w:val="000000" w:themeColor="text1"/>
          <w:sz w:val="28"/>
        </w:rPr>
        <w:t>本节根据《中华人民共和国安全生产法》（中华人民共和国主席令</w:t>
      </w:r>
      <w:r>
        <w:rPr>
          <w:color w:val="000000" w:themeColor="text1"/>
          <w:sz w:val="28"/>
        </w:rPr>
        <w:t>[2014]</w:t>
      </w:r>
      <w:r>
        <w:rPr>
          <w:color w:val="000000" w:themeColor="text1"/>
          <w:sz w:val="28"/>
        </w:rPr>
        <w:t>第</w:t>
      </w:r>
      <w:r>
        <w:rPr>
          <w:color w:val="000000" w:themeColor="text1"/>
          <w:sz w:val="28"/>
        </w:rPr>
        <w:t>13</w:t>
      </w:r>
      <w:r>
        <w:rPr>
          <w:color w:val="000000" w:themeColor="text1"/>
          <w:sz w:val="28"/>
        </w:rPr>
        <w:t>号，</w:t>
      </w:r>
      <w:r>
        <w:rPr>
          <w:color w:val="000000" w:themeColor="text1"/>
          <w:sz w:val="28"/>
        </w:rPr>
        <w:t>[2021]</w:t>
      </w:r>
      <w:r>
        <w:rPr>
          <w:color w:val="000000" w:themeColor="text1"/>
          <w:sz w:val="28"/>
        </w:rPr>
        <w:t>第</w:t>
      </w:r>
      <w:r>
        <w:rPr>
          <w:color w:val="000000" w:themeColor="text1"/>
          <w:sz w:val="28"/>
        </w:rPr>
        <w:t>88</w:t>
      </w:r>
      <w:r>
        <w:rPr>
          <w:color w:val="000000" w:themeColor="text1"/>
          <w:sz w:val="28"/>
        </w:rPr>
        <w:t>号令修订）、《石油天然气安全规程》（</w:t>
      </w:r>
      <w:r>
        <w:rPr>
          <w:color w:val="000000" w:themeColor="text1"/>
          <w:sz w:val="28"/>
        </w:rPr>
        <w:t>AQ2012-2007</w:t>
      </w:r>
      <w:r>
        <w:rPr>
          <w:color w:val="000000" w:themeColor="text1"/>
          <w:sz w:val="28"/>
        </w:rPr>
        <w:t>）、《生产安全事故应急预案管理办法》（国家安全生产监督管理总局令</w:t>
      </w:r>
      <w:r>
        <w:rPr>
          <w:color w:val="000000" w:themeColor="text1"/>
          <w:sz w:val="28"/>
        </w:rPr>
        <w:t>[2016]</w:t>
      </w:r>
      <w:r>
        <w:rPr>
          <w:color w:val="000000" w:themeColor="text1"/>
          <w:sz w:val="28"/>
        </w:rPr>
        <w:t>第</w:t>
      </w:r>
      <w:r>
        <w:rPr>
          <w:color w:val="000000" w:themeColor="text1"/>
          <w:sz w:val="28"/>
        </w:rPr>
        <w:t>88</w:t>
      </w:r>
      <w:r>
        <w:rPr>
          <w:color w:val="000000" w:themeColor="text1"/>
          <w:sz w:val="28"/>
        </w:rPr>
        <w:t>号，应急管理部令</w:t>
      </w:r>
      <w:r>
        <w:rPr>
          <w:color w:val="000000" w:themeColor="text1"/>
          <w:sz w:val="28"/>
        </w:rPr>
        <w:t>[2019]</w:t>
      </w:r>
      <w:r>
        <w:rPr>
          <w:color w:val="000000" w:themeColor="text1"/>
          <w:sz w:val="28"/>
        </w:rPr>
        <w:t>第</w:t>
      </w:r>
      <w:r>
        <w:rPr>
          <w:color w:val="000000" w:themeColor="text1"/>
          <w:sz w:val="28"/>
        </w:rPr>
        <w:t>2</w:t>
      </w:r>
      <w:r>
        <w:rPr>
          <w:color w:val="000000" w:themeColor="text1"/>
          <w:sz w:val="28"/>
        </w:rPr>
        <w:t>号修改）等法律法规，对本项目安全管理单元进行安全评价，具体评价过程见表</w:t>
      </w:r>
      <w:r>
        <w:rPr>
          <w:color w:val="000000" w:themeColor="text1"/>
          <w:sz w:val="28"/>
        </w:rPr>
        <w:t>5-</w:t>
      </w:r>
      <w:r>
        <w:rPr>
          <w:rFonts w:hint="eastAsia"/>
          <w:color w:val="000000" w:themeColor="text1"/>
          <w:sz w:val="28"/>
        </w:rPr>
        <w:t>6</w:t>
      </w:r>
      <w:r>
        <w:rPr>
          <w:color w:val="000000" w:themeColor="text1"/>
          <w:sz w:val="28"/>
        </w:rPr>
        <w:t>。</w:t>
      </w:r>
    </w:p>
    <w:p w14:paraId="707D80A6" w14:textId="77777777" w:rsidR="002D2AF8" w:rsidRDefault="00000000">
      <w:pPr>
        <w:adjustRightInd w:val="0"/>
        <w:snapToGrid w:val="0"/>
        <w:spacing w:line="360" w:lineRule="auto"/>
        <w:jc w:val="center"/>
        <w:rPr>
          <w:b/>
          <w:color w:val="000000" w:themeColor="text1"/>
          <w:sz w:val="24"/>
        </w:rPr>
      </w:pPr>
      <w:r>
        <w:rPr>
          <w:b/>
          <w:color w:val="000000" w:themeColor="text1"/>
          <w:sz w:val="24"/>
        </w:rPr>
        <w:t>表</w:t>
      </w:r>
      <w:r>
        <w:rPr>
          <w:b/>
          <w:color w:val="000000" w:themeColor="text1"/>
          <w:sz w:val="24"/>
        </w:rPr>
        <w:t>5-</w:t>
      </w:r>
      <w:r>
        <w:rPr>
          <w:rFonts w:hint="eastAsia"/>
          <w:b/>
          <w:color w:val="000000" w:themeColor="text1"/>
          <w:sz w:val="24"/>
        </w:rPr>
        <w:t>6</w:t>
      </w:r>
      <w:r>
        <w:rPr>
          <w:b/>
          <w:color w:val="000000" w:themeColor="text1"/>
          <w:sz w:val="24"/>
        </w:rPr>
        <w:t xml:space="preserve">  </w:t>
      </w:r>
      <w:r>
        <w:rPr>
          <w:b/>
          <w:color w:val="000000" w:themeColor="text1"/>
          <w:sz w:val="24"/>
        </w:rPr>
        <w:t>管理单元安全检查表</w:t>
      </w:r>
    </w:p>
    <w:tbl>
      <w:tblPr>
        <w:tblW w:w="8522" w:type="dxa"/>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Layout w:type="fixed"/>
        <w:tblLook w:val="04A0" w:firstRow="1" w:lastRow="0" w:firstColumn="1" w:lastColumn="0" w:noHBand="0" w:noVBand="1"/>
      </w:tblPr>
      <w:tblGrid>
        <w:gridCol w:w="427"/>
        <w:gridCol w:w="2935"/>
        <w:gridCol w:w="2416"/>
        <w:gridCol w:w="2019"/>
        <w:gridCol w:w="725"/>
      </w:tblGrid>
      <w:tr w:rsidR="002D2AF8" w14:paraId="78E3862C" w14:textId="77777777">
        <w:trPr>
          <w:trHeight w:val="510"/>
          <w:tblHeader/>
        </w:trPr>
        <w:tc>
          <w:tcPr>
            <w:tcW w:w="427" w:type="dxa"/>
            <w:vAlign w:val="center"/>
          </w:tcPr>
          <w:p w14:paraId="19BD4C21"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序号</w:t>
            </w:r>
          </w:p>
        </w:tc>
        <w:tc>
          <w:tcPr>
            <w:tcW w:w="2935" w:type="dxa"/>
            <w:vAlign w:val="center"/>
          </w:tcPr>
          <w:p w14:paraId="0E1E5027"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检查内容</w:t>
            </w:r>
          </w:p>
        </w:tc>
        <w:tc>
          <w:tcPr>
            <w:tcW w:w="2416" w:type="dxa"/>
            <w:vAlign w:val="center"/>
          </w:tcPr>
          <w:p w14:paraId="3BF5AA8E"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依据</w:t>
            </w:r>
          </w:p>
        </w:tc>
        <w:tc>
          <w:tcPr>
            <w:tcW w:w="2019" w:type="dxa"/>
            <w:vAlign w:val="center"/>
          </w:tcPr>
          <w:p w14:paraId="5A9CE0E0"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实际情况</w:t>
            </w:r>
          </w:p>
        </w:tc>
        <w:tc>
          <w:tcPr>
            <w:tcW w:w="725" w:type="dxa"/>
            <w:vAlign w:val="center"/>
          </w:tcPr>
          <w:p w14:paraId="4F6BE2AA"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结论</w:t>
            </w:r>
          </w:p>
        </w:tc>
      </w:tr>
      <w:tr w:rsidR="002D2AF8" w14:paraId="34AE3B4B" w14:textId="77777777">
        <w:trPr>
          <w:trHeight w:val="360"/>
        </w:trPr>
        <w:tc>
          <w:tcPr>
            <w:tcW w:w="8522" w:type="dxa"/>
            <w:gridSpan w:val="5"/>
            <w:vAlign w:val="center"/>
          </w:tcPr>
          <w:p w14:paraId="4B9F2DD6"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一、安全管理制度</w:t>
            </w:r>
          </w:p>
        </w:tc>
      </w:tr>
      <w:tr w:rsidR="002D2AF8" w14:paraId="2D947035" w14:textId="77777777">
        <w:trPr>
          <w:trHeight w:val="510"/>
        </w:trPr>
        <w:tc>
          <w:tcPr>
            <w:tcW w:w="427" w:type="dxa"/>
            <w:vAlign w:val="center"/>
          </w:tcPr>
          <w:p w14:paraId="1B2569D7"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055A1C6C"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制定安全检查制度、职业危害预防制度、安全教育培训制度、生产安全事故管理制度、重大危险源监控和重大隐患整改制度、设备安全管理制度、安全生产档案管理制度、安全生产奖惩制度等规章制度。</w:t>
            </w:r>
          </w:p>
        </w:tc>
        <w:tc>
          <w:tcPr>
            <w:tcW w:w="2416" w:type="dxa"/>
            <w:vAlign w:val="center"/>
          </w:tcPr>
          <w:p w14:paraId="6D01215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5F69ED96"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restart"/>
            <w:vAlign w:val="center"/>
          </w:tcPr>
          <w:p w14:paraId="7DCC769E"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该公司制定了安全检查制度</w:t>
            </w:r>
            <w:r>
              <w:rPr>
                <w:rFonts w:hint="eastAsia"/>
                <w:color w:val="000000" w:themeColor="text1"/>
                <w:kern w:val="0"/>
                <w:szCs w:val="21"/>
              </w:rPr>
              <w:t>，</w:t>
            </w:r>
            <w:r>
              <w:rPr>
                <w:color w:val="000000" w:themeColor="text1"/>
                <w:kern w:val="0"/>
                <w:szCs w:val="21"/>
              </w:rPr>
              <w:t>职业卫生及职业性健康检查管理制度</w:t>
            </w:r>
            <w:r>
              <w:rPr>
                <w:rFonts w:hint="eastAsia"/>
                <w:color w:val="000000" w:themeColor="text1"/>
                <w:kern w:val="0"/>
                <w:szCs w:val="21"/>
              </w:rPr>
              <w:t>，</w:t>
            </w:r>
            <w:r>
              <w:rPr>
                <w:color w:val="000000" w:themeColor="text1"/>
                <w:kern w:val="0"/>
                <w:szCs w:val="21"/>
              </w:rPr>
              <w:t>安全教育培训制度</w:t>
            </w:r>
            <w:r>
              <w:rPr>
                <w:rFonts w:hint="eastAsia"/>
                <w:color w:val="000000" w:themeColor="text1"/>
                <w:kern w:val="0"/>
                <w:szCs w:val="21"/>
              </w:rPr>
              <w:t>，</w:t>
            </w:r>
            <w:r>
              <w:rPr>
                <w:color w:val="000000" w:themeColor="text1"/>
                <w:kern w:val="0"/>
                <w:szCs w:val="21"/>
              </w:rPr>
              <w:t>生产安全事故报告、调查及处理管理制度</w:t>
            </w:r>
            <w:r>
              <w:rPr>
                <w:rFonts w:hint="eastAsia"/>
                <w:color w:val="000000" w:themeColor="text1"/>
                <w:kern w:val="0"/>
                <w:szCs w:val="21"/>
              </w:rPr>
              <w:t>，</w:t>
            </w:r>
            <w:r>
              <w:rPr>
                <w:color w:val="000000" w:themeColor="text1"/>
                <w:kern w:val="0"/>
                <w:szCs w:val="21"/>
              </w:rPr>
              <w:t>设备、设施安全管理制度</w:t>
            </w:r>
            <w:r>
              <w:rPr>
                <w:rFonts w:hint="eastAsia"/>
                <w:color w:val="000000" w:themeColor="text1"/>
                <w:kern w:val="0"/>
                <w:szCs w:val="21"/>
              </w:rPr>
              <w:t>，安全生产档案管理制度，安全生产奖惩制度，安全生产会议制度，安全生产费用提取和使用管理制度，特种作业人员安全管理制度，劳保防护用品管理制度，安全设施管理制度，风险分级管控管理制</w:t>
            </w:r>
            <w:r>
              <w:rPr>
                <w:rFonts w:hint="eastAsia"/>
                <w:color w:val="000000" w:themeColor="text1"/>
                <w:kern w:val="0"/>
                <w:szCs w:val="21"/>
              </w:rPr>
              <w:lastRenderedPageBreak/>
              <w:t>度，隐患排查治理管理制度，特种作业审批制度，应急预案管理制度</w:t>
            </w:r>
            <w:r>
              <w:rPr>
                <w:color w:val="000000" w:themeColor="text1"/>
                <w:kern w:val="0"/>
                <w:szCs w:val="21"/>
              </w:rPr>
              <w:t>等</w:t>
            </w:r>
            <w:r>
              <w:rPr>
                <w:color w:val="000000" w:themeColor="text1"/>
                <w:kern w:val="0"/>
                <w:szCs w:val="21"/>
              </w:rPr>
              <w:t>3</w:t>
            </w:r>
            <w:r>
              <w:rPr>
                <w:rFonts w:hint="eastAsia"/>
                <w:color w:val="000000" w:themeColor="text1"/>
                <w:kern w:val="0"/>
                <w:szCs w:val="21"/>
              </w:rPr>
              <w:t>4</w:t>
            </w:r>
            <w:r>
              <w:rPr>
                <w:color w:val="000000" w:themeColor="text1"/>
                <w:kern w:val="0"/>
                <w:szCs w:val="21"/>
              </w:rPr>
              <w:t>项安全管理制度，详见报告第</w:t>
            </w:r>
            <w:r>
              <w:rPr>
                <w:color w:val="000000" w:themeColor="text1"/>
                <w:kern w:val="0"/>
                <w:szCs w:val="21"/>
              </w:rPr>
              <w:t>2.5</w:t>
            </w:r>
            <w:r>
              <w:rPr>
                <w:color w:val="000000" w:themeColor="text1"/>
                <w:kern w:val="0"/>
                <w:szCs w:val="21"/>
              </w:rPr>
              <w:t>节。</w:t>
            </w:r>
          </w:p>
        </w:tc>
        <w:tc>
          <w:tcPr>
            <w:tcW w:w="725" w:type="dxa"/>
            <w:vAlign w:val="center"/>
          </w:tcPr>
          <w:p w14:paraId="27EF9784"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lastRenderedPageBreak/>
              <w:t>√</w:t>
            </w:r>
          </w:p>
        </w:tc>
      </w:tr>
      <w:tr w:rsidR="002D2AF8" w14:paraId="1893EDFF" w14:textId="77777777">
        <w:trPr>
          <w:trHeight w:val="510"/>
        </w:trPr>
        <w:tc>
          <w:tcPr>
            <w:tcW w:w="427" w:type="dxa"/>
            <w:vAlign w:val="center"/>
          </w:tcPr>
          <w:p w14:paraId="32A15F25"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73CBE9A0"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安全生产管理制度应当涵盖本单位的安全生产会议、安全生产资金投入、安全生产教育培训和特种作业人员管理、劳动防护用品管理、安全设施和设备管理、职业病防治管理、安全生产检查、危险作业管理、事故隐患排查治理、重大危险源监控管理、安全生产奖惩、事故报告、应急救援，以及法律、法规、规章规定的其他内容。</w:t>
            </w:r>
          </w:p>
        </w:tc>
        <w:tc>
          <w:tcPr>
            <w:tcW w:w="2416" w:type="dxa"/>
            <w:vAlign w:val="center"/>
          </w:tcPr>
          <w:p w14:paraId="70CEA17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《山东省生产经营单位安全生产主体责任规定》第七条</w:t>
            </w:r>
          </w:p>
        </w:tc>
        <w:tc>
          <w:tcPr>
            <w:tcW w:w="2019" w:type="dxa"/>
            <w:vMerge/>
            <w:vAlign w:val="center"/>
          </w:tcPr>
          <w:p w14:paraId="42168770" w14:textId="77777777" w:rsidR="002D2AF8" w:rsidRDefault="002D2AF8">
            <w:pPr>
              <w:overflowPunct w:val="0"/>
              <w:adjustRightInd w:val="0"/>
              <w:snapToGrid w:val="0"/>
              <w:jc w:val="center"/>
              <w:rPr>
                <w:color w:val="000000" w:themeColor="text1"/>
                <w:kern w:val="0"/>
                <w:szCs w:val="21"/>
              </w:rPr>
            </w:pPr>
          </w:p>
        </w:tc>
        <w:tc>
          <w:tcPr>
            <w:tcW w:w="725" w:type="dxa"/>
            <w:vAlign w:val="center"/>
          </w:tcPr>
          <w:p w14:paraId="7556A8BA"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6F92FD9E" w14:textId="77777777">
        <w:trPr>
          <w:trHeight w:val="510"/>
        </w:trPr>
        <w:tc>
          <w:tcPr>
            <w:tcW w:w="427" w:type="dxa"/>
            <w:vAlign w:val="center"/>
          </w:tcPr>
          <w:p w14:paraId="7E1DFE04"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FA6CA00"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安全生产规章制度应当包括安全生产资金投入、劳动防护用品管理、安全设施和设备管理、安全生产教育和培训、安全生产检查、风险分级管控、领导现场带班、隐患排查治理、危险作业管理、安全生产奖惩、应急预案管理、事故报告和事故应急救援等制度。</w:t>
            </w:r>
          </w:p>
        </w:tc>
        <w:tc>
          <w:tcPr>
            <w:tcW w:w="2416" w:type="dxa"/>
            <w:vAlign w:val="center"/>
          </w:tcPr>
          <w:p w14:paraId="1CA0473B"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《山东省安全生产条例》第十五条</w:t>
            </w:r>
          </w:p>
        </w:tc>
        <w:tc>
          <w:tcPr>
            <w:tcW w:w="2019" w:type="dxa"/>
            <w:vMerge/>
            <w:vAlign w:val="center"/>
          </w:tcPr>
          <w:p w14:paraId="4BD9651F" w14:textId="77777777" w:rsidR="002D2AF8" w:rsidRDefault="002D2AF8">
            <w:pPr>
              <w:overflowPunct w:val="0"/>
              <w:adjustRightInd w:val="0"/>
              <w:snapToGrid w:val="0"/>
              <w:jc w:val="center"/>
              <w:rPr>
                <w:color w:val="000000" w:themeColor="text1"/>
                <w:kern w:val="0"/>
                <w:szCs w:val="21"/>
              </w:rPr>
            </w:pPr>
          </w:p>
        </w:tc>
        <w:tc>
          <w:tcPr>
            <w:tcW w:w="725" w:type="dxa"/>
            <w:vAlign w:val="center"/>
          </w:tcPr>
          <w:p w14:paraId="6E09231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497EF8E7" w14:textId="77777777">
        <w:trPr>
          <w:trHeight w:val="510"/>
        </w:trPr>
        <w:tc>
          <w:tcPr>
            <w:tcW w:w="8522" w:type="dxa"/>
            <w:gridSpan w:val="5"/>
            <w:vAlign w:val="center"/>
          </w:tcPr>
          <w:p w14:paraId="75188A4F" w14:textId="77777777" w:rsidR="002D2AF8" w:rsidRDefault="00000000">
            <w:pPr>
              <w:overflowPunct w:val="0"/>
              <w:adjustRightInd w:val="0"/>
              <w:snapToGrid w:val="0"/>
              <w:jc w:val="center"/>
              <w:rPr>
                <w:b/>
                <w:color w:val="000000" w:themeColor="text1"/>
                <w:kern w:val="0"/>
                <w:szCs w:val="21"/>
              </w:rPr>
            </w:pPr>
            <w:r>
              <w:rPr>
                <w:b/>
                <w:color w:val="000000" w:themeColor="text1"/>
                <w:kern w:val="0"/>
                <w:szCs w:val="21"/>
              </w:rPr>
              <w:t>二、安全生产责任制</w:t>
            </w:r>
          </w:p>
        </w:tc>
      </w:tr>
      <w:tr w:rsidR="002D2AF8" w14:paraId="010AF1B8" w14:textId="77777777">
        <w:trPr>
          <w:trHeight w:val="510"/>
        </w:trPr>
        <w:tc>
          <w:tcPr>
            <w:tcW w:w="427" w:type="dxa"/>
            <w:vAlign w:val="center"/>
          </w:tcPr>
          <w:p w14:paraId="271F87AB"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7FA4651D"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建立健全全员安全生产责任制，明确生产经营单位主要负责人、其他负责人、职能部门负责人、生产车间（区队）负责人、生产班组负责人、一般从业人员等全体人员的安全生产责任范围和考核标准等内容，编制全员安全生产责任制，并严格落实和考核。考核结果作为从业人员职务调整、收入分配等的重要依据。</w:t>
            </w:r>
          </w:p>
        </w:tc>
        <w:tc>
          <w:tcPr>
            <w:tcW w:w="2416" w:type="dxa"/>
            <w:vAlign w:val="center"/>
          </w:tcPr>
          <w:p w14:paraId="60C7FA0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《山东省生产经营单位安全生产主体责任规定》第六条</w:t>
            </w:r>
          </w:p>
          <w:p w14:paraId="72CEC49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《山东省安全生产条例》第十六条</w:t>
            </w:r>
          </w:p>
        </w:tc>
        <w:tc>
          <w:tcPr>
            <w:tcW w:w="2019" w:type="dxa"/>
            <w:vAlign w:val="center"/>
          </w:tcPr>
          <w:p w14:paraId="0157BE1B"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已建立领导层安全生产</w:t>
            </w:r>
            <w:r>
              <w:rPr>
                <w:rFonts w:hint="eastAsia"/>
                <w:color w:val="000000" w:themeColor="text1"/>
                <w:kern w:val="0"/>
                <w:szCs w:val="21"/>
              </w:rPr>
              <w:t>生产责任制</w:t>
            </w:r>
            <w:r>
              <w:rPr>
                <w:color w:val="000000" w:themeColor="text1"/>
                <w:kern w:val="0"/>
                <w:szCs w:val="21"/>
              </w:rPr>
              <w:t>、各部门岗位安全生产</w:t>
            </w:r>
            <w:bookmarkStart w:id="111" w:name="_Toc29075"/>
            <w:r>
              <w:rPr>
                <w:color w:val="000000" w:themeColor="text1"/>
                <w:kern w:val="0"/>
                <w:szCs w:val="21"/>
              </w:rPr>
              <w:t>责任制</w:t>
            </w:r>
            <w:bookmarkEnd w:id="111"/>
            <w:r>
              <w:rPr>
                <w:color w:val="000000" w:themeColor="text1"/>
                <w:kern w:val="0"/>
                <w:szCs w:val="21"/>
              </w:rPr>
              <w:t>等全员安全生产责任制，详见报告第</w:t>
            </w:r>
            <w:r>
              <w:rPr>
                <w:color w:val="000000" w:themeColor="text1"/>
                <w:kern w:val="0"/>
                <w:szCs w:val="21"/>
              </w:rPr>
              <w:t>2.5</w:t>
            </w:r>
            <w:r>
              <w:rPr>
                <w:color w:val="000000" w:themeColor="text1"/>
                <w:kern w:val="0"/>
                <w:szCs w:val="21"/>
              </w:rPr>
              <w:t>节。</w:t>
            </w:r>
          </w:p>
        </w:tc>
        <w:tc>
          <w:tcPr>
            <w:tcW w:w="725" w:type="dxa"/>
            <w:vAlign w:val="center"/>
          </w:tcPr>
          <w:p w14:paraId="1E24B39B"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27BFF1E6" w14:textId="77777777">
        <w:trPr>
          <w:trHeight w:val="168"/>
        </w:trPr>
        <w:tc>
          <w:tcPr>
            <w:tcW w:w="427" w:type="dxa"/>
            <w:vAlign w:val="center"/>
          </w:tcPr>
          <w:p w14:paraId="1BE7C57F"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25906A53"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生产经营单位主要负责人、其他负责人、职能部门负责人、生产车间（区队）负责人、生产班组负责人、一般从业人员等全体人员的安全生产责任应满足《生产经营单位全员安全生产责任制》（鲁安办发</w:t>
            </w:r>
            <w:r>
              <w:rPr>
                <w:color w:val="000000" w:themeColor="text1"/>
                <w:kern w:val="0"/>
                <w:szCs w:val="21"/>
              </w:rPr>
              <w:t>[2021]50</w:t>
            </w:r>
            <w:r>
              <w:rPr>
                <w:color w:val="000000" w:themeColor="text1"/>
                <w:kern w:val="0"/>
                <w:szCs w:val="21"/>
              </w:rPr>
              <w:t>号）要求。</w:t>
            </w:r>
          </w:p>
        </w:tc>
        <w:tc>
          <w:tcPr>
            <w:tcW w:w="2416" w:type="dxa"/>
            <w:vAlign w:val="center"/>
          </w:tcPr>
          <w:p w14:paraId="304BBCE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《生产经营单位全员安全生产责任制》</w:t>
            </w:r>
          </w:p>
          <w:p w14:paraId="649BDAF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（鲁安办发</w:t>
            </w:r>
            <w:r>
              <w:rPr>
                <w:color w:val="000000" w:themeColor="text1"/>
                <w:kern w:val="0"/>
                <w:szCs w:val="21"/>
              </w:rPr>
              <w:t>[2021]50</w:t>
            </w:r>
            <w:r>
              <w:rPr>
                <w:color w:val="000000" w:themeColor="text1"/>
                <w:kern w:val="0"/>
                <w:szCs w:val="21"/>
              </w:rPr>
              <w:t>号）</w:t>
            </w:r>
          </w:p>
        </w:tc>
        <w:tc>
          <w:tcPr>
            <w:tcW w:w="2019" w:type="dxa"/>
            <w:vAlign w:val="center"/>
          </w:tcPr>
          <w:p w14:paraId="4A2B1948"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的</w:t>
            </w:r>
            <w:r>
              <w:rPr>
                <w:rFonts w:hint="eastAsia"/>
                <w:color w:val="000000" w:themeColor="text1"/>
                <w:kern w:val="0"/>
                <w:szCs w:val="21"/>
              </w:rPr>
              <w:t>董事长、</w:t>
            </w:r>
            <w:r>
              <w:rPr>
                <w:color w:val="000000" w:themeColor="text1"/>
                <w:kern w:val="0"/>
                <w:szCs w:val="21"/>
              </w:rPr>
              <w:t>总经理</w:t>
            </w:r>
            <w:r>
              <w:rPr>
                <w:rFonts w:hint="eastAsia"/>
                <w:color w:val="000000" w:themeColor="text1"/>
                <w:kern w:val="0"/>
                <w:szCs w:val="21"/>
              </w:rPr>
              <w:t>、生产副经理、技术副经理</w:t>
            </w:r>
            <w:r>
              <w:rPr>
                <w:color w:val="000000" w:themeColor="text1"/>
                <w:kern w:val="0"/>
                <w:szCs w:val="21"/>
              </w:rPr>
              <w:t>、职能部门负责人、</w:t>
            </w:r>
            <w:r>
              <w:rPr>
                <w:rFonts w:hint="eastAsia"/>
                <w:color w:val="000000" w:themeColor="text1"/>
                <w:kern w:val="0"/>
                <w:szCs w:val="21"/>
              </w:rPr>
              <w:t>安全员、生产班长</w:t>
            </w:r>
            <w:r>
              <w:rPr>
                <w:color w:val="000000" w:themeColor="text1"/>
                <w:kern w:val="0"/>
                <w:szCs w:val="21"/>
              </w:rPr>
              <w:t>、</w:t>
            </w:r>
            <w:r>
              <w:rPr>
                <w:rFonts w:hint="eastAsia"/>
                <w:color w:val="000000" w:themeColor="text1"/>
                <w:kern w:val="0"/>
                <w:szCs w:val="21"/>
              </w:rPr>
              <w:t>现场操作人员</w:t>
            </w:r>
            <w:r>
              <w:rPr>
                <w:color w:val="000000" w:themeColor="text1"/>
                <w:kern w:val="0"/>
                <w:szCs w:val="21"/>
              </w:rPr>
              <w:t>等全员安全生产责任制满足《生产经营单位全员安全生产责任制》（鲁安办发</w:t>
            </w:r>
            <w:r>
              <w:rPr>
                <w:color w:val="000000" w:themeColor="text1"/>
                <w:kern w:val="0"/>
                <w:szCs w:val="21"/>
              </w:rPr>
              <w:t>[2021]50</w:t>
            </w:r>
            <w:r>
              <w:rPr>
                <w:color w:val="000000" w:themeColor="text1"/>
                <w:kern w:val="0"/>
                <w:szCs w:val="21"/>
              </w:rPr>
              <w:t>号）要求。</w:t>
            </w:r>
          </w:p>
        </w:tc>
        <w:tc>
          <w:tcPr>
            <w:tcW w:w="725" w:type="dxa"/>
            <w:vAlign w:val="center"/>
          </w:tcPr>
          <w:p w14:paraId="7275AEC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38A934BF" w14:textId="77777777">
        <w:trPr>
          <w:trHeight w:val="510"/>
        </w:trPr>
        <w:tc>
          <w:tcPr>
            <w:tcW w:w="8522" w:type="dxa"/>
            <w:gridSpan w:val="5"/>
            <w:vAlign w:val="center"/>
          </w:tcPr>
          <w:p w14:paraId="09AFCF1D" w14:textId="77777777" w:rsidR="002D2AF8" w:rsidRDefault="00000000">
            <w:pPr>
              <w:overflowPunct w:val="0"/>
              <w:adjustRightInd w:val="0"/>
              <w:snapToGrid w:val="0"/>
              <w:jc w:val="center"/>
              <w:rPr>
                <w:b/>
                <w:bCs/>
                <w:color w:val="000000" w:themeColor="text1"/>
                <w:kern w:val="0"/>
                <w:szCs w:val="21"/>
              </w:rPr>
            </w:pPr>
            <w:r>
              <w:rPr>
                <w:b/>
                <w:bCs/>
                <w:color w:val="000000" w:themeColor="text1"/>
                <w:kern w:val="0"/>
                <w:szCs w:val="21"/>
              </w:rPr>
              <w:t>三、安全操作规程</w:t>
            </w:r>
          </w:p>
        </w:tc>
      </w:tr>
      <w:tr w:rsidR="002D2AF8" w14:paraId="7A068A1E" w14:textId="77777777">
        <w:trPr>
          <w:trHeight w:val="510"/>
        </w:trPr>
        <w:tc>
          <w:tcPr>
            <w:tcW w:w="427" w:type="dxa"/>
            <w:vMerge w:val="restart"/>
            <w:vAlign w:val="center"/>
          </w:tcPr>
          <w:p w14:paraId="4E59597B"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4CA9235"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生产经营单位应当依据法律、法规、规章和国家、行业或者地方标准，制定涵盖本单位生产经营全过程和全体从业人员的安全操作规程。</w:t>
            </w:r>
          </w:p>
        </w:tc>
        <w:tc>
          <w:tcPr>
            <w:tcW w:w="2416" w:type="dxa"/>
            <w:vAlign w:val="center"/>
          </w:tcPr>
          <w:p w14:paraId="7A57E2E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《山东省生产经营单位安全生产主体责任规定》第七条</w:t>
            </w:r>
          </w:p>
        </w:tc>
        <w:tc>
          <w:tcPr>
            <w:tcW w:w="2019" w:type="dxa"/>
            <w:vMerge w:val="restart"/>
            <w:vAlign w:val="center"/>
          </w:tcPr>
          <w:p w14:paraId="18A7B399"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制定了通用安全操作规程</w:t>
            </w:r>
            <w:r>
              <w:rPr>
                <w:rFonts w:hint="eastAsia"/>
                <w:color w:val="000000" w:themeColor="text1"/>
                <w:kern w:val="0"/>
                <w:szCs w:val="21"/>
              </w:rPr>
              <w:t>、施工工艺安全操作规程、设备设施安全操作规程，详见报告第</w:t>
            </w:r>
            <w:r>
              <w:rPr>
                <w:rFonts w:hint="eastAsia"/>
                <w:color w:val="000000" w:themeColor="text1"/>
                <w:kern w:val="0"/>
                <w:szCs w:val="21"/>
              </w:rPr>
              <w:t>2.5</w:t>
            </w:r>
            <w:r>
              <w:rPr>
                <w:rFonts w:hint="eastAsia"/>
                <w:color w:val="000000" w:themeColor="text1"/>
                <w:kern w:val="0"/>
                <w:szCs w:val="21"/>
              </w:rPr>
              <w:t>节</w:t>
            </w:r>
          </w:p>
        </w:tc>
        <w:tc>
          <w:tcPr>
            <w:tcW w:w="725" w:type="dxa"/>
            <w:vMerge w:val="restart"/>
            <w:vAlign w:val="center"/>
          </w:tcPr>
          <w:p w14:paraId="74A1B0B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346101A0" w14:textId="77777777">
        <w:trPr>
          <w:trHeight w:val="510"/>
        </w:trPr>
        <w:tc>
          <w:tcPr>
            <w:tcW w:w="427" w:type="dxa"/>
            <w:vMerge/>
            <w:vAlign w:val="center"/>
          </w:tcPr>
          <w:p w14:paraId="67ED8F1E"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1F98533C"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非煤矿矿山企业取得安全生产许可证，应当具备下列安全生产条件：（一）制定作业安全规程和各工种操作规程。</w:t>
            </w:r>
          </w:p>
        </w:tc>
        <w:tc>
          <w:tcPr>
            <w:tcW w:w="2416" w:type="dxa"/>
            <w:vAlign w:val="center"/>
          </w:tcPr>
          <w:p w14:paraId="31BDD667"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5AD6EA5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14:paraId="01E8B293"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57174FE6" w14:textId="77777777" w:rsidR="002D2AF8" w:rsidRDefault="002D2AF8">
            <w:pPr>
              <w:overflowPunct w:val="0"/>
              <w:adjustRightInd w:val="0"/>
              <w:snapToGrid w:val="0"/>
              <w:jc w:val="left"/>
              <w:rPr>
                <w:color w:val="000000" w:themeColor="text1"/>
                <w:kern w:val="0"/>
                <w:szCs w:val="21"/>
              </w:rPr>
            </w:pPr>
          </w:p>
        </w:tc>
      </w:tr>
      <w:tr w:rsidR="002D2AF8" w14:paraId="69DFBB84" w14:textId="77777777">
        <w:trPr>
          <w:trHeight w:val="510"/>
        </w:trPr>
        <w:tc>
          <w:tcPr>
            <w:tcW w:w="8522" w:type="dxa"/>
            <w:gridSpan w:val="5"/>
            <w:vAlign w:val="center"/>
          </w:tcPr>
          <w:p w14:paraId="08882428" w14:textId="77777777" w:rsidR="002D2AF8" w:rsidRDefault="00000000">
            <w:pPr>
              <w:overflowPunct w:val="0"/>
              <w:adjustRightInd w:val="0"/>
              <w:snapToGrid w:val="0"/>
              <w:jc w:val="center"/>
              <w:rPr>
                <w:b/>
                <w:bCs/>
                <w:color w:val="000000" w:themeColor="text1"/>
                <w:kern w:val="0"/>
                <w:szCs w:val="21"/>
              </w:rPr>
            </w:pPr>
            <w:r>
              <w:rPr>
                <w:b/>
                <w:bCs/>
                <w:color w:val="000000" w:themeColor="text1"/>
                <w:kern w:val="0"/>
                <w:szCs w:val="21"/>
              </w:rPr>
              <w:t>四、安全管理机构及安全管理人员</w:t>
            </w:r>
          </w:p>
        </w:tc>
      </w:tr>
      <w:tr w:rsidR="002D2AF8" w14:paraId="7B3FE8D0" w14:textId="77777777">
        <w:trPr>
          <w:trHeight w:val="510"/>
        </w:trPr>
        <w:tc>
          <w:tcPr>
            <w:tcW w:w="427" w:type="dxa"/>
            <w:vMerge w:val="restart"/>
            <w:vAlign w:val="center"/>
          </w:tcPr>
          <w:p w14:paraId="47299E81"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22B295C1"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矿山单位应当按照规定设置安全生产管理机构或者配备专职安全生产管理人员。</w:t>
            </w:r>
          </w:p>
        </w:tc>
        <w:tc>
          <w:tcPr>
            <w:tcW w:w="2416" w:type="dxa"/>
            <w:vAlign w:val="center"/>
          </w:tcPr>
          <w:p w14:paraId="3827CD4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《山东省安全生产条例》第十六条</w:t>
            </w:r>
          </w:p>
        </w:tc>
        <w:tc>
          <w:tcPr>
            <w:tcW w:w="2019" w:type="dxa"/>
            <w:vMerge w:val="restart"/>
            <w:vAlign w:val="center"/>
          </w:tcPr>
          <w:p w14:paraId="69F9FCAB" w14:textId="77777777" w:rsidR="002D2AF8" w:rsidRDefault="00000000">
            <w:pPr>
              <w:overflowPunct w:val="0"/>
              <w:adjustRightInd w:val="0"/>
              <w:snapToGrid w:val="0"/>
              <w:jc w:val="center"/>
              <w:rPr>
                <w:color w:val="000000" w:themeColor="text1"/>
              </w:rPr>
            </w:pPr>
            <w:r>
              <w:rPr>
                <w:rFonts w:hint="eastAsia"/>
                <w:color w:val="000000" w:themeColor="text1"/>
              </w:rPr>
              <w:t>胜兴堵驱公司</w:t>
            </w:r>
            <w:r>
              <w:rPr>
                <w:color w:val="000000" w:themeColor="text1"/>
              </w:rPr>
              <w:t>共有员工</w:t>
            </w:r>
            <w:r>
              <w:rPr>
                <w:rFonts w:hint="eastAsia"/>
                <w:color w:val="000000" w:themeColor="text1"/>
              </w:rPr>
              <w:t>6</w:t>
            </w:r>
            <w:r>
              <w:rPr>
                <w:color w:val="000000" w:themeColor="text1"/>
              </w:rPr>
              <w:t>0</w:t>
            </w:r>
            <w:r>
              <w:rPr>
                <w:color w:val="000000" w:themeColor="text1"/>
              </w:rPr>
              <w:t>人，设立安全</w:t>
            </w:r>
            <w:r>
              <w:rPr>
                <w:rFonts w:hint="eastAsia"/>
                <w:color w:val="000000" w:themeColor="text1"/>
              </w:rPr>
              <w:t>办公室</w:t>
            </w:r>
            <w:r>
              <w:rPr>
                <w:color w:val="000000" w:themeColor="text1"/>
              </w:rPr>
              <w:t>为</w:t>
            </w:r>
            <w:r>
              <w:rPr>
                <w:rFonts w:hint="eastAsia"/>
                <w:color w:val="000000" w:themeColor="text1"/>
              </w:rPr>
              <w:t>胜兴堵驱公司</w:t>
            </w:r>
            <w:r>
              <w:rPr>
                <w:color w:val="000000" w:themeColor="text1"/>
              </w:rPr>
              <w:t>的安全生产管理机构</w:t>
            </w:r>
            <w:r>
              <w:rPr>
                <w:rFonts w:hint="eastAsia"/>
                <w:color w:val="000000" w:themeColor="text1"/>
              </w:rPr>
              <w:t>，共有</w:t>
            </w:r>
            <w:r>
              <w:rPr>
                <w:rFonts w:hint="eastAsia"/>
                <w:color w:val="000000" w:themeColor="text1"/>
              </w:rPr>
              <w:t>3</w:t>
            </w:r>
            <w:r>
              <w:rPr>
                <w:color w:val="000000" w:themeColor="text1"/>
              </w:rPr>
              <w:t>名专职安全生产管理人员。</w:t>
            </w:r>
            <w:r>
              <w:rPr>
                <w:color w:val="000000" w:themeColor="text1"/>
                <w:kern w:val="0"/>
                <w:szCs w:val="21"/>
              </w:rPr>
              <w:t>安全</w:t>
            </w:r>
            <w:r>
              <w:rPr>
                <w:rFonts w:hint="eastAsia"/>
                <w:color w:val="000000" w:themeColor="text1"/>
                <w:kern w:val="0"/>
                <w:szCs w:val="21"/>
              </w:rPr>
              <w:t>办公室</w:t>
            </w:r>
            <w:r>
              <w:rPr>
                <w:color w:val="000000" w:themeColor="text1"/>
                <w:kern w:val="0"/>
                <w:szCs w:val="21"/>
              </w:rPr>
              <w:t>成员</w:t>
            </w:r>
            <w:r>
              <w:rPr>
                <w:rFonts w:hint="eastAsia"/>
                <w:color w:val="000000" w:themeColor="text1"/>
                <w:kern w:val="0"/>
                <w:szCs w:val="21"/>
              </w:rPr>
              <w:t>王</w:t>
            </w:r>
            <w:r>
              <w:rPr>
                <w:rFonts w:hint="eastAsia"/>
                <w:color w:val="000000" w:themeColor="text1"/>
                <w:kern w:val="0"/>
                <w:szCs w:val="21"/>
              </w:rPr>
              <w:t>xx</w:t>
            </w:r>
            <w:r>
              <w:rPr>
                <w:color w:val="000000" w:themeColor="text1"/>
                <w:kern w:val="0"/>
                <w:szCs w:val="21"/>
              </w:rPr>
              <w:t>为注册安全工程师（其他安全），满足要求。</w:t>
            </w:r>
          </w:p>
        </w:tc>
        <w:tc>
          <w:tcPr>
            <w:tcW w:w="725" w:type="dxa"/>
            <w:vMerge w:val="restart"/>
            <w:vAlign w:val="center"/>
          </w:tcPr>
          <w:p w14:paraId="365F25F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36B802C0" w14:textId="77777777">
        <w:trPr>
          <w:trHeight w:val="510"/>
        </w:trPr>
        <w:tc>
          <w:tcPr>
            <w:tcW w:w="427" w:type="dxa"/>
            <w:vMerge/>
            <w:vAlign w:val="center"/>
          </w:tcPr>
          <w:p w14:paraId="5DD37855"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14BC4FFD"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矿山单位（以下简称高危生产经营单位），应当按照下列规定设置安全生产管理机构或者配备安全生产管理人员：（一）从业人员不足</w:t>
            </w:r>
            <w:r>
              <w:rPr>
                <w:color w:val="000000" w:themeColor="text1"/>
                <w:kern w:val="0"/>
                <w:szCs w:val="21"/>
              </w:rPr>
              <w:t>100</w:t>
            </w:r>
            <w:r>
              <w:rPr>
                <w:color w:val="000000" w:themeColor="text1"/>
                <w:kern w:val="0"/>
                <w:szCs w:val="21"/>
              </w:rPr>
              <w:t>人的，应当配备专职安全生产管理人员；（二）从业人员在</w:t>
            </w:r>
            <w:r>
              <w:rPr>
                <w:color w:val="000000" w:themeColor="text1"/>
                <w:kern w:val="0"/>
                <w:szCs w:val="21"/>
              </w:rPr>
              <w:t>100</w:t>
            </w:r>
            <w:r>
              <w:rPr>
                <w:color w:val="000000" w:themeColor="text1"/>
                <w:kern w:val="0"/>
                <w:szCs w:val="21"/>
              </w:rPr>
              <w:t>人以上不足</w:t>
            </w:r>
            <w:r>
              <w:rPr>
                <w:color w:val="000000" w:themeColor="text1"/>
                <w:kern w:val="0"/>
                <w:szCs w:val="21"/>
              </w:rPr>
              <w:t>300</w:t>
            </w:r>
            <w:r>
              <w:rPr>
                <w:color w:val="000000" w:themeColor="text1"/>
                <w:kern w:val="0"/>
                <w:szCs w:val="21"/>
              </w:rPr>
              <w:t>人的，应当设置安全生产管理机构，并配备</w:t>
            </w:r>
            <w:r>
              <w:rPr>
                <w:color w:val="000000" w:themeColor="text1"/>
                <w:kern w:val="0"/>
                <w:szCs w:val="21"/>
              </w:rPr>
              <w:t>2</w:t>
            </w:r>
            <w:r>
              <w:rPr>
                <w:color w:val="000000" w:themeColor="text1"/>
                <w:kern w:val="0"/>
                <w:szCs w:val="21"/>
              </w:rPr>
              <w:t>名以上专职安全生产管理人员，其中至少应当有</w:t>
            </w:r>
            <w:r>
              <w:rPr>
                <w:color w:val="000000" w:themeColor="text1"/>
                <w:kern w:val="0"/>
                <w:szCs w:val="21"/>
              </w:rPr>
              <w:t>1</w:t>
            </w:r>
            <w:r>
              <w:rPr>
                <w:color w:val="000000" w:themeColor="text1"/>
                <w:kern w:val="0"/>
                <w:szCs w:val="21"/>
              </w:rPr>
              <w:t>名注册安全工程师；（三）从业人员在</w:t>
            </w:r>
            <w:r>
              <w:rPr>
                <w:color w:val="000000" w:themeColor="text1"/>
                <w:kern w:val="0"/>
                <w:szCs w:val="21"/>
              </w:rPr>
              <w:t>300</w:t>
            </w:r>
            <w:r>
              <w:rPr>
                <w:color w:val="000000" w:themeColor="text1"/>
                <w:kern w:val="0"/>
                <w:szCs w:val="21"/>
              </w:rPr>
              <w:t>人以上不足</w:t>
            </w:r>
            <w:r>
              <w:rPr>
                <w:color w:val="000000" w:themeColor="text1"/>
                <w:kern w:val="0"/>
                <w:szCs w:val="21"/>
              </w:rPr>
              <w:t>1000</w:t>
            </w:r>
            <w:r>
              <w:rPr>
                <w:color w:val="000000" w:themeColor="text1"/>
                <w:kern w:val="0"/>
                <w:szCs w:val="21"/>
              </w:rPr>
              <w:t>人的，应当设置专门的安全生产管理机构，并按不低于从业人员</w:t>
            </w:r>
            <w:r>
              <w:rPr>
                <w:color w:val="000000" w:themeColor="text1"/>
                <w:kern w:val="0"/>
                <w:szCs w:val="21"/>
              </w:rPr>
              <w:t>5‰</w:t>
            </w:r>
            <w:r>
              <w:rPr>
                <w:color w:val="000000" w:themeColor="text1"/>
                <w:kern w:val="0"/>
                <w:szCs w:val="21"/>
              </w:rPr>
              <w:t>但最低不少于</w:t>
            </w:r>
            <w:r>
              <w:rPr>
                <w:color w:val="000000" w:themeColor="text1"/>
                <w:kern w:val="0"/>
                <w:szCs w:val="21"/>
              </w:rPr>
              <w:t>3</w:t>
            </w:r>
            <w:r>
              <w:rPr>
                <w:color w:val="000000" w:themeColor="text1"/>
                <w:kern w:val="0"/>
                <w:szCs w:val="21"/>
              </w:rPr>
              <w:t>名的比例配备专职安全生产管理人员，其中至少应当有</w:t>
            </w:r>
            <w:r>
              <w:rPr>
                <w:color w:val="000000" w:themeColor="text1"/>
                <w:kern w:val="0"/>
                <w:szCs w:val="21"/>
              </w:rPr>
              <w:t>2</w:t>
            </w:r>
            <w:r>
              <w:rPr>
                <w:color w:val="000000" w:themeColor="text1"/>
                <w:kern w:val="0"/>
                <w:szCs w:val="21"/>
              </w:rPr>
              <w:t>名注册安全工程师；（四）从业人员在</w:t>
            </w:r>
            <w:r>
              <w:rPr>
                <w:color w:val="000000" w:themeColor="text1"/>
                <w:kern w:val="0"/>
                <w:szCs w:val="21"/>
              </w:rPr>
              <w:t>1000</w:t>
            </w:r>
            <w:r>
              <w:rPr>
                <w:color w:val="000000" w:themeColor="text1"/>
                <w:kern w:val="0"/>
                <w:szCs w:val="21"/>
              </w:rPr>
              <w:t>人以上的，应当设置专门的安全生产管理机构，并按不低于从业人员</w:t>
            </w:r>
            <w:r>
              <w:rPr>
                <w:color w:val="000000" w:themeColor="text1"/>
                <w:kern w:val="0"/>
                <w:szCs w:val="21"/>
              </w:rPr>
              <w:t>5‰</w:t>
            </w:r>
            <w:r>
              <w:rPr>
                <w:color w:val="000000" w:themeColor="text1"/>
                <w:kern w:val="0"/>
                <w:szCs w:val="21"/>
              </w:rPr>
              <w:t>的比例配备专职安全生产管理人员，其中至少应当有</w:t>
            </w:r>
            <w:r>
              <w:rPr>
                <w:color w:val="000000" w:themeColor="text1"/>
                <w:kern w:val="0"/>
                <w:szCs w:val="21"/>
              </w:rPr>
              <w:t>3</w:t>
            </w:r>
            <w:r>
              <w:rPr>
                <w:color w:val="000000" w:themeColor="text1"/>
                <w:kern w:val="0"/>
                <w:szCs w:val="21"/>
              </w:rPr>
              <w:t>名注册安全工程师。</w:t>
            </w:r>
          </w:p>
        </w:tc>
        <w:tc>
          <w:tcPr>
            <w:tcW w:w="2416" w:type="dxa"/>
            <w:vAlign w:val="center"/>
          </w:tcPr>
          <w:p w14:paraId="17556119"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《山东省生产经营单位安全生产主体责任规定》第九条</w:t>
            </w:r>
          </w:p>
        </w:tc>
        <w:tc>
          <w:tcPr>
            <w:tcW w:w="2019" w:type="dxa"/>
            <w:vMerge/>
            <w:vAlign w:val="center"/>
          </w:tcPr>
          <w:p w14:paraId="417ABACC"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1C5CFF3A" w14:textId="77777777" w:rsidR="002D2AF8" w:rsidRDefault="002D2AF8">
            <w:pPr>
              <w:overflowPunct w:val="0"/>
              <w:adjustRightInd w:val="0"/>
              <w:snapToGrid w:val="0"/>
              <w:jc w:val="left"/>
              <w:rPr>
                <w:color w:val="000000" w:themeColor="text1"/>
                <w:kern w:val="0"/>
                <w:szCs w:val="21"/>
              </w:rPr>
            </w:pPr>
          </w:p>
        </w:tc>
      </w:tr>
      <w:tr w:rsidR="002D2AF8" w14:paraId="40797B08" w14:textId="77777777">
        <w:trPr>
          <w:trHeight w:val="510"/>
        </w:trPr>
        <w:tc>
          <w:tcPr>
            <w:tcW w:w="427" w:type="dxa"/>
            <w:vMerge w:val="restart"/>
            <w:vAlign w:val="center"/>
          </w:tcPr>
          <w:p w14:paraId="4C4E5FCF"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75BE5CCA"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矿山单位应当有注册安全工程师从事安全生产管理工作。</w:t>
            </w:r>
          </w:p>
        </w:tc>
        <w:tc>
          <w:tcPr>
            <w:tcW w:w="2416" w:type="dxa"/>
            <w:vAlign w:val="center"/>
          </w:tcPr>
          <w:p w14:paraId="22FAB45C"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《中华人民共和国安全生产法》第二十七条</w:t>
            </w:r>
          </w:p>
        </w:tc>
        <w:tc>
          <w:tcPr>
            <w:tcW w:w="2019" w:type="dxa"/>
            <w:vMerge w:val="restart"/>
            <w:vAlign w:val="center"/>
          </w:tcPr>
          <w:p w14:paraId="06E5F46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安全办公室成员王宝刚为注册安全工程师（其他安全），满足要求。</w:t>
            </w:r>
          </w:p>
        </w:tc>
        <w:tc>
          <w:tcPr>
            <w:tcW w:w="725" w:type="dxa"/>
            <w:vMerge w:val="restart"/>
            <w:vAlign w:val="center"/>
          </w:tcPr>
          <w:p w14:paraId="3EDD079A"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02AEA883" w14:textId="77777777">
        <w:trPr>
          <w:trHeight w:val="510"/>
        </w:trPr>
        <w:tc>
          <w:tcPr>
            <w:tcW w:w="427" w:type="dxa"/>
            <w:vMerge/>
            <w:vAlign w:val="center"/>
          </w:tcPr>
          <w:p w14:paraId="0F71C4D1"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1A98306A"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矿山单位应当有相应专业类别的中级及以上注册安全工程师从事安全生产管理工作。</w:t>
            </w:r>
          </w:p>
        </w:tc>
        <w:tc>
          <w:tcPr>
            <w:tcW w:w="2416" w:type="dxa"/>
            <w:vAlign w:val="center"/>
          </w:tcPr>
          <w:p w14:paraId="5B86059C"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《注册安全工程师分类管理办法》第十二条</w:t>
            </w:r>
          </w:p>
        </w:tc>
        <w:tc>
          <w:tcPr>
            <w:tcW w:w="2019" w:type="dxa"/>
            <w:vMerge/>
            <w:vAlign w:val="center"/>
          </w:tcPr>
          <w:p w14:paraId="3F9206DE"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601E3A47" w14:textId="77777777" w:rsidR="002D2AF8" w:rsidRDefault="002D2AF8">
            <w:pPr>
              <w:overflowPunct w:val="0"/>
              <w:adjustRightInd w:val="0"/>
              <w:snapToGrid w:val="0"/>
              <w:jc w:val="left"/>
              <w:rPr>
                <w:color w:val="000000" w:themeColor="text1"/>
                <w:kern w:val="0"/>
                <w:szCs w:val="21"/>
              </w:rPr>
            </w:pPr>
          </w:p>
        </w:tc>
      </w:tr>
      <w:tr w:rsidR="002D2AF8" w14:paraId="5B8108DC" w14:textId="77777777">
        <w:trPr>
          <w:trHeight w:val="510"/>
        </w:trPr>
        <w:tc>
          <w:tcPr>
            <w:tcW w:w="427" w:type="dxa"/>
            <w:vAlign w:val="center"/>
          </w:tcPr>
          <w:p w14:paraId="01836097"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281D40C6"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国家对注册安全工程师职业合格实行执业注册管理制度，按照专业类别进行注册。取得注册安全工程师职业合格证书的人员，经注册后方可以注册安全工程师名义执业。</w:t>
            </w:r>
          </w:p>
        </w:tc>
        <w:tc>
          <w:tcPr>
            <w:tcW w:w="2416" w:type="dxa"/>
            <w:vAlign w:val="center"/>
          </w:tcPr>
          <w:p w14:paraId="054AB41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《注册安全工程师职业合格制度规定》</w:t>
            </w:r>
          </w:p>
          <w:p w14:paraId="1DEB4D4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第十五条</w:t>
            </w:r>
          </w:p>
        </w:tc>
        <w:tc>
          <w:tcPr>
            <w:tcW w:w="2019" w:type="dxa"/>
            <w:vAlign w:val="center"/>
          </w:tcPr>
          <w:p w14:paraId="66FF7A9C"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注册安全工程师的注册类别是其他安全，聘任单位为</w:t>
            </w:r>
            <w:r>
              <w:rPr>
                <w:rFonts w:hint="eastAsia"/>
                <w:color w:val="000000" w:themeColor="text1"/>
                <w:kern w:val="0"/>
                <w:szCs w:val="21"/>
              </w:rPr>
              <w:t>胜利油田胜兴堵驱新技术开发有限责任公司</w:t>
            </w:r>
            <w:r>
              <w:rPr>
                <w:color w:val="000000" w:themeColor="text1"/>
                <w:kern w:val="0"/>
                <w:szCs w:val="21"/>
              </w:rPr>
              <w:t>，有效期至</w:t>
            </w:r>
            <w:r>
              <w:rPr>
                <w:color w:val="000000" w:themeColor="text1"/>
                <w:kern w:val="0"/>
                <w:szCs w:val="21"/>
              </w:rPr>
              <w:t>2027</w:t>
            </w:r>
            <w:r>
              <w:rPr>
                <w:color w:val="000000" w:themeColor="text1"/>
                <w:kern w:val="0"/>
                <w:szCs w:val="21"/>
              </w:rPr>
              <w:t>年</w:t>
            </w:r>
            <w:r>
              <w:rPr>
                <w:rFonts w:hint="eastAsia"/>
                <w:color w:val="000000" w:themeColor="text1"/>
                <w:kern w:val="0"/>
                <w:szCs w:val="21"/>
              </w:rPr>
              <w:t>4</w:t>
            </w:r>
            <w:r>
              <w:rPr>
                <w:color w:val="000000" w:themeColor="text1"/>
                <w:kern w:val="0"/>
                <w:szCs w:val="21"/>
              </w:rPr>
              <w:t>月</w:t>
            </w:r>
            <w:r>
              <w:rPr>
                <w:rFonts w:hint="eastAsia"/>
                <w:color w:val="000000" w:themeColor="text1"/>
                <w:kern w:val="0"/>
                <w:szCs w:val="21"/>
              </w:rPr>
              <w:t>28</w:t>
            </w:r>
            <w:r>
              <w:rPr>
                <w:color w:val="000000" w:themeColor="text1"/>
                <w:kern w:val="0"/>
                <w:szCs w:val="21"/>
              </w:rPr>
              <w:t>日。</w:t>
            </w:r>
          </w:p>
        </w:tc>
        <w:tc>
          <w:tcPr>
            <w:tcW w:w="725" w:type="dxa"/>
            <w:vAlign w:val="center"/>
          </w:tcPr>
          <w:p w14:paraId="720F998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56CEE696" w14:textId="77777777">
        <w:trPr>
          <w:trHeight w:val="210"/>
        </w:trPr>
        <w:tc>
          <w:tcPr>
            <w:tcW w:w="427" w:type="dxa"/>
            <w:vAlign w:val="center"/>
          </w:tcPr>
          <w:p w14:paraId="003DCAD9"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D9BA206"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注册安全工程师不得同时受聘于两个或两个以上单位执业，不得允许他人以本人名义执业，不得出租出借证书。违反上述规定的，由发证机构撤销其注册证书，</w:t>
            </w:r>
            <w:r>
              <w:rPr>
                <w:color w:val="000000" w:themeColor="text1"/>
                <w:kern w:val="0"/>
                <w:szCs w:val="21"/>
              </w:rPr>
              <w:t>5</w:t>
            </w:r>
            <w:r>
              <w:rPr>
                <w:color w:val="000000" w:themeColor="text1"/>
                <w:kern w:val="0"/>
                <w:szCs w:val="21"/>
              </w:rPr>
              <w:t>年内不予重新注册；构成犯罪的，依法追究刑事责任。</w:t>
            </w:r>
          </w:p>
        </w:tc>
        <w:tc>
          <w:tcPr>
            <w:tcW w:w="2416" w:type="dxa"/>
            <w:vAlign w:val="center"/>
          </w:tcPr>
          <w:p w14:paraId="36A3AD0E"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《注册安全工程师职业合格制度规定》</w:t>
            </w:r>
          </w:p>
          <w:p w14:paraId="4032B107"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第十六条</w:t>
            </w:r>
          </w:p>
        </w:tc>
        <w:tc>
          <w:tcPr>
            <w:tcW w:w="2019" w:type="dxa"/>
            <w:vAlign w:val="center"/>
          </w:tcPr>
          <w:p w14:paraId="73BE233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注册安全工程师只聘任于</w:t>
            </w:r>
            <w:r>
              <w:rPr>
                <w:rFonts w:hint="eastAsia"/>
                <w:color w:val="000000" w:themeColor="text1"/>
                <w:kern w:val="0"/>
                <w:szCs w:val="21"/>
              </w:rPr>
              <w:t>胜利油田胜兴堵驱新技术开发有限责任公司</w:t>
            </w:r>
            <w:r>
              <w:rPr>
                <w:color w:val="000000" w:themeColor="text1"/>
                <w:kern w:val="0"/>
                <w:szCs w:val="21"/>
              </w:rPr>
              <w:t>，有效期至</w:t>
            </w:r>
            <w:r>
              <w:rPr>
                <w:color w:val="000000" w:themeColor="text1"/>
                <w:kern w:val="0"/>
                <w:szCs w:val="21"/>
              </w:rPr>
              <w:t>2027</w:t>
            </w:r>
            <w:r>
              <w:rPr>
                <w:color w:val="000000" w:themeColor="text1"/>
                <w:kern w:val="0"/>
                <w:szCs w:val="21"/>
              </w:rPr>
              <w:t>年</w:t>
            </w:r>
            <w:r>
              <w:rPr>
                <w:rFonts w:hint="eastAsia"/>
                <w:color w:val="000000" w:themeColor="text1"/>
                <w:kern w:val="0"/>
                <w:szCs w:val="21"/>
              </w:rPr>
              <w:t>4</w:t>
            </w:r>
            <w:r>
              <w:rPr>
                <w:color w:val="000000" w:themeColor="text1"/>
                <w:kern w:val="0"/>
                <w:szCs w:val="21"/>
              </w:rPr>
              <w:t>月</w:t>
            </w:r>
            <w:r>
              <w:rPr>
                <w:rFonts w:hint="eastAsia"/>
                <w:color w:val="000000" w:themeColor="text1"/>
                <w:kern w:val="0"/>
                <w:szCs w:val="21"/>
              </w:rPr>
              <w:t>28</w:t>
            </w:r>
            <w:r>
              <w:rPr>
                <w:color w:val="000000" w:themeColor="text1"/>
                <w:kern w:val="0"/>
                <w:szCs w:val="21"/>
              </w:rPr>
              <w:t>日。</w:t>
            </w:r>
          </w:p>
        </w:tc>
        <w:tc>
          <w:tcPr>
            <w:tcW w:w="725" w:type="dxa"/>
            <w:vAlign w:val="center"/>
          </w:tcPr>
          <w:p w14:paraId="6059243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375FCBC9" w14:textId="77777777">
        <w:trPr>
          <w:trHeight w:val="510"/>
        </w:trPr>
        <w:tc>
          <w:tcPr>
            <w:tcW w:w="8522" w:type="dxa"/>
            <w:gridSpan w:val="5"/>
            <w:vAlign w:val="center"/>
          </w:tcPr>
          <w:p w14:paraId="5A70E075" w14:textId="77777777" w:rsidR="002D2AF8" w:rsidRDefault="00000000">
            <w:pPr>
              <w:overflowPunct w:val="0"/>
              <w:adjustRightInd w:val="0"/>
              <w:snapToGrid w:val="0"/>
              <w:jc w:val="center"/>
              <w:rPr>
                <w:b/>
                <w:bCs/>
                <w:color w:val="000000" w:themeColor="text1"/>
                <w:kern w:val="0"/>
                <w:szCs w:val="21"/>
              </w:rPr>
            </w:pPr>
            <w:r>
              <w:rPr>
                <w:b/>
                <w:bCs/>
                <w:color w:val="000000" w:themeColor="text1"/>
                <w:kern w:val="0"/>
                <w:szCs w:val="21"/>
              </w:rPr>
              <w:lastRenderedPageBreak/>
              <w:t>五、人员持证</w:t>
            </w:r>
          </w:p>
        </w:tc>
      </w:tr>
      <w:tr w:rsidR="002D2AF8" w14:paraId="1308A2B1" w14:textId="77777777">
        <w:trPr>
          <w:trHeight w:val="141"/>
        </w:trPr>
        <w:tc>
          <w:tcPr>
            <w:tcW w:w="427" w:type="dxa"/>
            <w:vMerge w:val="restart"/>
            <w:vAlign w:val="center"/>
          </w:tcPr>
          <w:p w14:paraId="7119AB58"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00CF3A32" w14:textId="77777777" w:rsidR="002D2AF8" w:rsidRDefault="00000000">
            <w:pPr>
              <w:overflowPunct w:val="0"/>
              <w:adjustRightInd w:val="0"/>
              <w:snapToGrid w:val="0"/>
              <w:rPr>
                <w:color w:val="000000" w:themeColor="text1"/>
                <w:kern w:val="0"/>
                <w:szCs w:val="21"/>
              </w:rPr>
            </w:pPr>
            <w:r>
              <w:rPr>
                <w:color w:val="000000" w:themeColor="text1"/>
                <w:kern w:val="0"/>
                <w:szCs w:val="21"/>
              </w:rPr>
              <w:t>高危生产经营单位的主要负责人、分管安全生产的负责人或者安全总监、安全生产管理人员，应当按照规定经主管的负有安全生产监督管理职责的部门考核合格。</w:t>
            </w:r>
          </w:p>
        </w:tc>
        <w:tc>
          <w:tcPr>
            <w:tcW w:w="2416" w:type="dxa"/>
            <w:vAlign w:val="center"/>
          </w:tcPr>
          <w:p w14:paraId="28F840F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《山东省安全生产条例》第二十七条</w:t>
            </w:r>
          </w:p>
        </w:tc>
        <w:tc>
          <w:tcPr>
            <w:tcW w:w="2019" w:type="dxa"/>
            <w:vMerge w:val="restart"/>
            <w:vAlign w:val="center"/>
          </w:tcPr>
          <w:p w14:paraId="56E040E8"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主要负责人、专职安全管理人员已经东营市应急管理局考核合格</w:t>
            </w:r>
            <w:r>
              <w:rPr>
                <w:rFonts w:hint="eastAsia"/>
                <w:color w:val="000000" w:themeColor="text1"/>
                <w:kern w:val="0"/>
                <w:szCs w:val="21"/>
              </w:rPr>
              <w:t>，在复审有效期内</w:t>
            </w:r>
            <w:r>
              <w:rPr>
                <w:color w:val="000000" w:themeColor="text1"/>
                <w:kern w:val="0"/>
                <w:szCs w:val="21"/>
              </w:rPr>
              <w:t>。</w:t>
            </w:r>
          </w:p>
        </w:tc>
        <w:tc>
          <w:tcPr>
            <w:tcW w:w="725" w:type="dxa"/>
            <w:vMerge w:val="restart"/>
            <w:vAlign w:val="center"/>
          </w:tcPr>
          <w:p w14:paraId="7426E41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215AF44E" w14:textId="77777777">
        <w:trPr>
          <w:trHeight w:val="510"/>
        </w:trPr>
        <w:tc>
          <w:tcPr>
            <w:tcW w:w="427" w:type="dxa"/>
            <w:vMerge/>
            <w:vAlign w:val="center"/>
          </w:tcPr>
          <w:p w14:paraId="4D562875"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7D5AE744" w14:textId="77777777" w:rsidR="002D2AF8" w:rsidRDefault="00000000">
            <w:pPr>
              <w:overflowPunct w:val="0"/>
              <w:adjustRightInd w:val="0"/>
              <w:snapToGrid w:val="0"/>
              <w:rPr>
                <w:color w:val="000000" w:themeColor="text1"/>
                <w:kern w:val="0"/>
                <w:szCs w:val="21"/>
              </w:rPr>
            </w:pPr>
            <w:r>
              <w:rPr>
                <w:color w:val="000000" w:themeColor="text1"/>
                <w:kern w:val="0"/>
                <w:szCs w:val="21"/>
              </w:rPr>
              <w:t>非煤矿山等生产经营单位主要负责人和安全生产管理人员，自任职之日起</w:t>
            </w:r>
            <w:r>
              <w:rPr>
                <w:color w:val="000000" w:themeColor="text1"/>
                <w:kern w:val="0"/>
                <w:szCs w:val="21"/>
              </w:rPr>
              <w:t>6</w:t>
            </w:r>
            <w:r>
              <w:rPr>
                <w:color w:val="000000" w:themeColor="text1"/>
                <w:kern w:val="0"/>
                <w:szCs w:val="21"/>
              </w:rPr>
              <w:t>个月内，必须经安全生产监管监察部门对其安全生产知识和管理能力考核合格。</w:t>
            </w:r>
          </w:p>
        </w:tc>
        <w:tc>
          <w:tcPr>
            <w:tcW w:w="2416" w:type="dxa"/>
            <w:vAlign w:val="center"/>
          </w:tcPr>
          <w:p w14:paraId="236728F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《生产经营单位安全培训规定》第二十四条</w:t>
            </w:r>
          </w:p>
        </w:tc>
        <w:tc>
          <w:tcPr>
            <w:tcW w:w="2019" w:type="dxa"/>
            <w:vMerge/>
            <w:vAlign w:val="center"/>
          </w:tcPr>
          <w:p w14:paraId="479A8E86"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0F5A96E1" w14:textId="77777777" w:rsidR="002D2AF8" w:rsidRDefault="002D2AF8">
            <w:pPr>
              <w:overflowPunct w:val="0"/>
              <w:adjustRightInd w:val="0"/>
              <w:snapToGrid w:val="0"/>
              <w:jc w:val="left"/>
              <w:rPr>
                <w:color w:val="000000" w:themeColor="text1"/>
                <w:kern w:val="0"/>
                <w:szCs w:val="21"/>
              </w:rPr>
            </w:pPr>
          </w:p>
        </w:tc>
      </w:tr>
      <w:tr w:rsidR="002D2AF8" w14:paraId="73ED4089" w14:textId="77777777">
        <w:trPr>
          <w:trHeight w:val="510"/>
        </w:trPr>
        <w:tc>
          <w:tcPr>
            <w:tcW w:w="427" w:type="dxa"/>
            <w:vMerge/>
            <w:vAlign w:val="center"/>
          </w:tcPr>
          <w:p w14:paraId="395B2183"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78217BDF" w14:textId="77777777" w:rsidR="002D2AF8" w:rsidRDefault="00000000">
            <w:pPr>
              <w:overflowPunct w:val="0"/>
              <w:adjustRightInd w:val="0"/>
              <w:snapToGrid w:val="0"/>
              <w:rPr>
                <w:color w:val="000000" w:themeColor="text1"/>
                <w:kern w:val="0"/>
                <w:szCs w:val="21"/>
              </w:rPr>
            </w:pPr>
            <w:r>
              <w:rPr>
                <w:color w:val="000000" w:themeColor="text1"/>
                <w:kern w:val="0"/>
                <w:szCs w:val="21"/>
              </w:rPr>
              <w:t>主要负责人和安全生产管理人员经安全生产监督管理部门考核合格，取得安全合格证书。</w:t>
            </w:r>
          </w:p>
        </w:tc>
        <w:tc>
          <w:tcPr>
            <w:tcW w:w="2416" w:type="dxa"/>
            <w:vAlign w:val="center"/>
          </w:tcPr>
          <w:p w14:paraId="379A1FA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2EBE5837"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14:paraId="574AEF13"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70C29579" w14:textId="77777777" w:rsidR="002D2AF8" w:rsidRDefault="002D2AF8">
            <w:pPr>
              <w:overflowPunct w:val="0"/>
              <w:adjustRightInd w:val="0"/>
              <w:snapToGrid w:val="0"/>
              <w:jc w:val="left"/>
              <w:rPr>
                <w:color w:val="000000" w:themeColor="text1"/>
                <w:kern w:val="0"/>
                <w:szCs w:val="21"/>
              </w:rPr>
            </w:pPr>
          </w:p>
        </w:tc>
      </w:tr>
      <w:tr w:rsidR="002D2AF8" w14:paraId="0AF3C96B" w14:textId="77777777">
        <w:trPr>
          <w:trHeight w:val="510"/>
        </w:trPr>
        <w:tc>
          <w:tcPr>
            <w:tcW w:w="427" w:type="dxa"/>
            <w:vMerge w:val="restart"/>
            <w:vAlign w:val="center"/>
          </w:tcPr>
          <w:p w14:paraId="6FD1B217"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AAA12F7" w14:textId="77777777" w:rsidR="002D2AF8" w:rsidRDefault="00000000">
            <w:pPr>
              <w:overflowPunct w:val="0"/>
              <w:adjustRightInd w:val="0"/>
              <w:snapToGrid w:val="0"/>
              <w:rPr>
                <w:color w:val="000000" w:themeColor="text1"/>
                <w:kern w:val="0"/>
                <w:szCs w:val="21"/>
              </w:rPr>
            </w:pPr>
            <w:r>
              <w:rPr>
                <w:color w:val="000000" w:themeColor="text1"/>
                <w:kern w:val="0"/>
                <w:szCs w:val="21"/>
              </w:rPr>
              <w:t>特种作业人员应当接受与其所从事的特种作业相应的安全技术理论培训和实际操作培训，取得特种作业相关合格证书后，方可上岗作业。</w:t>
            </w:r>
          </w:p>
        </w:tc>
        <w:tc>
          <w:tcPr>
            <w:tcW w:w="2416" w:type="dxa"/>
            <w:vAlign w:val="center"/>
          </w:tcPr>
          <w:p w14:paraId="49A67C4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《山东省安全生产条例》第二十七条</w:t>
            </w:r>
          </w:p>
        </w:tc>
        <w:tc>
          <w:tcPr>
            <w:tcW w:w="2019" w:type="dxa"/>
            <w:vMerge w:val="restart"/>
            <w:vAlign w:val="center"/>
          </w:tcPr>
          <w:p w14:paraId="12F97A0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低压电工、</w:t>
            </w:r>
            <w:r>
              <w:rPr>
                <w:rFonts w:hint="eastAsia"/>
                <w:color w:val="000000" w:themeColor="text1"/>
                <w:kern w:val="0"/>
                <w:szCs w:val="21"/>
              </w:rPr>
              <w:t>高压电工</w:t>
            </w:r>
            <w:r>
              <w:rPr>
                <w:color w:val="000000" w:themeColor="text1"/>
                <w:kern w:val="0"/>
                <w:szCs w:val="21"/>
              </w:rPr>
              <w:t>、</w:t>
            </w:r>
            <w:r>
              <w:rPr>
                <w:rFonts w:hint="eastAsia"/>
                <w:color w:val="000000" w:themeColor="text1"/>
                <w:kern w:val="0"/>
                <w:szCs w:val="21"/>
              </w:rPr>
              <w:t>焊工、起重机械指挥</w:t>
            </w:r>
            <w:r>
              <w:rPr>
                <w:color w:val="000000" w:themeColor="text1"/>
                <w:kern w:val="0"/>
                <w:szCs w:val="21"/>
              </w:rPr>
              <w:t>等作业人员</w:t>
            </w:r>
            <w:r>
              <w:rPr>
                <w:rFonts w:hint="eastAsia"/>
                <w:color w:val="000000" w:themeColor="text1"/>
                <w:kern w:val="0"/>
                <w:szCs w:val="21"/>
              </w:rPr>
              <w:t>均持有</w:t>
            </w:r>
            <w:r>
              <w:rPr>
                <w:color w:val="000000" w:themeColor="text1"/>
                <w:kern w:val="0"/>
                <w:szCs w:val="21"/>
              </w:rPr>
              <w:t>操作合格证，</w:t>
            </w:r>
            <w:r>
              <w:rPr>
                <w:rFonts w:hint="eastAsia"/>
                <w:color w:val="000000" w:themeColor="text1"/>
                <w:kern w:val="0"/>
                <w:szCs w:val="21"/>
              </w:rPr>
              <w:t>且</w:t>
            </w:r>
            <w:r>
              <w:rPr>
                <w:color w:val="000000" w:themeColor="text1"/>
                <w:kern w:val="0"/>
                <w:szCs w:val="21"/>
              </w:rPr>
              <w:t>均在有效期内。</w:t>
            </w:r>
          </w:p>
        </w:tc>
        <w:tc>
          <w:tcPr>
            <w:tcW w:w="725" w:type="dxa"/>
            <w:vMerge w:val="restart"/>
            <w:vAlign w:val="center"/>
          </w:tcPr>
          <w:p w14:paraId="07CAD25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263F516B" w14:textId="77777777">
        <w:trPr>
          <w:trHeight w:val="510"/>
        </w:trPr>
        <w:tc>
          <w:tcPr>
            <w:tcW w:w="427" w:type="dxa"/>
            <w:vMerge/>
            <w:vAlign w:val="center"/>
          </w:tcPr>
          <w:p w14:paraId="4582CCBC"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45F53159" w14:textId="77777777" w:rsidR="002D2AF8" w:rsidRDefault="00000000">
            <w:pPr>
              <w:overflowPunct w:val="0"/>
              <w:adjustRightInd w:val="0"/>
              <w:snapToGrid w:val="0"/>
              <w:rPr>
                <w:color w:val="000000" w:themeColor="text1"/>
                <w:kern w:val="0"/>
                <w:szCs w:val="21"/>
              </w:rPr>
            </w:pPr>
            <w:r>
              <w:rPr>
                <w:color w:val="000000" w:themeColor="text1"/>
                <w:kern w:val="0"/>
                <w:szCs w:val="21"/>
              </w:rPr>
              <w:t>特种作业人员经有关业务主管部门考核合格，取得特种作业操作合格证书。</w:t>
            </w:r>
          </w:p>
        </w:tc>
        <w:tc>
          <w:tcPr>
            <w:tcW w:w="2416" w:type="dxa"/>
            <w:vAlign w:val="center"/>
          </w:tcPr>
          <w:p w14:paraId="6A72F02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5673292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14:paraId="1AFED773"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3D9C0A2E" w14:textId="77777777" w:rsidR="002D2AF8" w:rsidRDefault="002D2AF8">
            <w:pPr>
              <w:overflowPunct w:val="0"/>
              <w:adjustRightInd w:val="0"/>
              <w:snapToGrid w:val="0"/>
              <w:jc w:val="center"/>
              <w:rPr>
                <w:color w:val="000000" w:themeColor="text1"/>
                <w:kern w:val="0"/>
                <w:szCs w:val="21"/>
              </w:rPr>
            </w:pPr>
          </w:p>
        </w:tc>
      </w:tr>
      <w:tr w:rsidR="002D2AF8" w14:paraId="29E43A99" w14:textId="77777777">
        <w:trPr>
          <w:trHeight w:val="510"/>
        </w:trPr>
        <w:tc>
          <w:tcPr>
            <w:tcW w:w="427" w:type="dxa"/>
            <w:vAlign w:val="center"/>
          </w:tcPr>
          <w:p w14:paraId="66232D04"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E82E6AA" w14:textId="77777777" w:rsidR="002D2AF8" w:rsidRDefault="00000000">
            <w:pPr>
              <w:overflowPunct w:val="0"/>
              <w:adjustRightInd w:val="0"/>
              <w:snapToGrid w:val="0"/>
              <w:rPr>
                <w:color w:val="000000" w:themeColor="text1"/>
                <w:kern w:val="0"/>
                <w:szCs w:val="21"/>
              </w:rPr>
            </w:pPr>
            <w:r>
              <w:rPr>
                <w:color w:val="000000" w:themeColor="text1"/>
                <w:kern w:val="0"/>
                <w:szCs w:val="21"/>
              </w:rPr>
              <w:t>特种设备安全管理人员、检测人员和作业人员应当按照国家有关规定取得相应合格，方可从事相关工作。特种设备安全管理人员、检测人员和作业人员应当严格执行安全技术规范和管理制度，保证特种设备安全。</w:t>
            </w:r>
          </w:p>
        </w:tc>
        <w:tc>
          <w:tcPr>
            <w:tcW w:w="2416" w:type="dxa"/>
            <w:vAlign w:val="center"/>
          </w:tcPr>
          <w:p w14:paraId="2ED7FD66"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《中华人民共和国特种设备安全法》第十四条</w:t>
            </w:r>
          </w:p>
        </w:tc>
        <w:tc>
          <w:tcPr>
            <w:tcW w:w="2019" w:type="dxa"/>
            <w:vAlign w:val="center"/>
          </w:tcPr>
          <w:p w14:paraId="2F20EC6D" w14:textId="77777777" w:rsidR="002D2AF8" w:rsidRDefault="00000000">
            <w:pPr>
              <w:jc w:val="center"/>
              <w:textAlignment w:val="center"/>
              <w:rPr>
                <w:color w:val="000000" w:themeColor="text1"/>
                <w:szCs w:val="21"/>
              </w:rPr>
            </w:pPr>
            <w:r>
              <w:rPr>
                <w:color w:val="000000" w:themeColor="text1"/>
                <w:kern w:val="0"/>
                <w:szCs w:val="21"/>
              </w:rPr>
              <w:t>不涉及</w:t>
            </w:r>
          </w:p>
        </w:tc>
        <w:tc>
          <w:tcPr>
            <w:tcW w:w="725" w:type="dxa"/>
            <w:vAlign w:val="center"/>
          </w:tcPr>
          <w:p w14:paraId="1D1AD82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6DE54439" w14:textId="77777777">
        <w:trPr>
          <w:trHeight w:val="510"/>
        </w:trPr>
        <w:tc>
          <w:tcPr>
            <w:tcW w:w="427" w:type="dxa"/>
            <w:vMerge w:val="restart"/>
            <w:vAlign w:val="center"/>
          </w:tcPr>
          <w:p w14:paraId="33A8C9E9"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D56D0AD" w14:textId="77777777" w:rsidR="002D2AF8" w:rsidRDefault="00000000">
            <w:pPr>
              <w:overflowPunct w:val="0"/>
              <w:adjustRightInd w:val="0"/>
              <w:snapToGrid w:val="0"/>
              <w:rPr>
                <w:color w:val="000000" w:themeColor="text1"/>
                <w:kern w:val="0"/>
                <w:szCs w:val="21"/>
              </w:rPr>
            </w:pPr>
            <w:r>
              <w:rPr>
                <w:color w:val="000000" w:themeColor="text1"/>
                <w:kern w:val="0"/>
                <w:szCs w:val="21"/>
              </w:rPr>
              <w:t>在含硫化氢的油气田进行施工作业和油气生产前，所有生产作业人员包括现场监督人员应接受硫化氢防护的培训，培训应包括课堂培训和现场培训，由有资质的培训机构进行，培训时间应达到相应要求。应对临时人员和其他非定期派遣人员进行硫化氢防护知识的教育。</w:t>
            </w:r>
          </w:p>
        </w:tc>
        <w:tc>
          <w:tcPr>
            <w:tcW w:w="2416" w:type="dxa"/>
            <w:vAlign w:val="center"/>
          </w:tcPr>
          <w:p w14:paraId="36905F4E"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《石油天然气安全规程》（</w:t>
            </w:r>
            <w:r>
              <w:rPr>
                <w:color w:val="000000" w:themeColor="text1"/>
                <w:kern w:val="0"/>
                <w:szCs w:val="21"/>
              </w:rPr>
              <w:t>AQ2012-2007</w:t>
            </w:r>
            <w:r>
              <w:rPr>
                <w:color w:val="000000" w:themeColor="text1"/>
                <w:kern w:val="0"/>
                <w:szCs w:val="21"/>
              </w:rPr>
              <w:t>）</w:t>
            </w:r>
          </w:p>
          <w:p w14:paraId="5BA500E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4.5.1</w:t>
            </w:r>
          </w:p>
        </w:tc>
        <w:tc>
          <w:tcPr>
            <w:tcW w:w="2019" w:type="dxa"/>
            <w:vMerge w:val="restart"/>
            <w:vAlign w:val="center"/>
          </w:tcPr>
          <w:p w14:paraId="641FDE3A"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董事长、</w:t>
            </w:r>
            <w:r>
              <w:rPr>
                <w:color w:val="000000" w:themeColor="text1"/>
                <w:kern w:val="0"/>
                <w:szCs w:val="21"/>
              </w:rPr>
              <w:t>总经理、</w:t>
            </w:r>
            <w:r>
              <w:rPr>
                <w:rFonts w:hint="eastAsia"/>
                <w:color w:val="000000" w:themeColor="text1"/>
                <w:kern w:val="0"/>
                <w:szCs w:val="21"/>
              </w:rPr>
              <w:t>生产副经理、技术副经理、</w:t>
            </w:r>
            <w:r>
              <w:rPr>
                <w:color w:val="000000" w:themeColor="text1"/>
                <w:kern w:val="0"/>
                <w:szCs w:val="21"/>
              </w:rPr>
              <w:t>专职安全管理人员、操作人员均已取得硫化氢防护培训证。</w:t>
            </w:r>
          </w:p>
        </w:tc>
        <w:tc>
          <w:tcPr>
            <w:tcW w:w="725" w:type="dxa"/>
            <w:vMerge w:val="restart"/>
            <w:vAlign w:val="center"/>
          </w:tcPr>
          <w:p w14:paraId="359D482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2BB96C7F" w14:textId="77777777">
        <w:trPr>
          <w:trHeight w:val="510"/>
        </w:trPr>
        <w:tc>
          <w:tcPr>
            <w:tcW w:w="427" w:type="dxa"/>
            <w:vMerge/>
            <w:vAlign w:val="center"/>
          </w:tcPr>
          <w:p w14:paraId="0F7732ED"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AE95715" w14:textId="77777777" w:rsidR="002D2AF8" w:rsidRDefault="00000000">
            <w:pPr>
              <w:overflowPunct w:val="0"/>
              <w:adjustRightInd w:val="0"/>
              <w:snapToGrid w:val="0"/>
              <w:rPr>
                <w:color w:val="000000" w:themeColor="text1"/>
                <w:kern w:val="0"/>
                <w:szCs w:val="21"/>
              </w:rPr>
            </w:pPr>
            <w:r>
              <w:rPr>
                <w:color w:val="000000" w:themeColor="text1"/>
                <w:kern w:val="0"/>
                <w:szCs w:val="21"/>
              </w:rPr>
              <w:t>在含硫化氢环境中的作业人员上岗前都应接受硫化氢防护培训，经考核合格后持证上岗。</w:t>
            </w:r>
          </w:p>
        </w:tc>
        <w:tc>
          <w:tcPr>
            <w:tcW w:w="2416" w:type="dxa"/>
            <w:vAlign w:val="center"/>
          </w:tcPr>
          <w:p w14:paraId="14BEA82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《石油天然气钻井井控技术规范》</w:t>
            </w:r>
          </w:p>
          <w:p w14:paraId="7146C7B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r>
              <w:rPr>
                <w:color w:val="000000" w:themeColor="text1"/>
                <w:kern w:val="0"/>
                <w:szCs w:val="21"/>
              </w:rPr>
              <w:t>GB/T31033-2014</w:t>
            </w:r>
            <w:r>
              <w:rPr>
                <w:color w:val="000000" w:themeColor="text1"/>
                <w:kern w:val="0"/>
                <w:szCs w:val="21"/>
              </w:rPr>
              <w:t>）</w:t>
            </w:r>
          </w:p>
          <w:p w14:paraId="4369DED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10.2.1</w:t>
            </w:r>
          </w:p>
        </w:tc>
        <w:tc>
          <w:tcPr>
            <w:tcW w:w="2019" w:type="dxa"/>
            <w:vMerge/>
            <w:vAlign w:val="center"/>
          </w:tcPr>
          <w:p w14:paraId="4F9628FB"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4EAF0757" w14:textId="77777777" w:rsidR="002D2AF8" w:rsidRDefault="002D2AF8">
            <w:pPr>
              <w:overflowPunct w:val="0"/>
              <w:adjustRightInd w:val="0"/>
              <w:snapToGrid w:val="0"/>
              <w:jc w:val="left"/>
              <w:rPr>
                <w:color w:val="000000" w:themeColor="text1"/>
                <w:kern w:val="0"/>
                <w:szCs w:val="21"/>
              </w:rPr>
            </w:pPr>
          </w:p>
        </w:tc>
      </w:tr>
      <w:tr w:rsidR="002D2AF8" w14:paraId="0B423AE8" w14:textId="77777777">
        <w:trPr>
          <w:trHeight w:val="510"/>
        </w:trPr>
        <w:tc>
          <w:tcPr>
            <w:tcW w:w="427" w:type="dxa"/>
            <w:vMerge w:val="restart"/>
            <w:vAlign w:val="center"/>
          </w:tcPr>
          <w:p w14:paraId="03842074"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7EDDAD39" w14:textId="77777777" w:rsidR="002D2AF8" w:rsidRDefault="00000000">
            <w:pPr>
              <w:overflowPunct w:val="0"/>
              <w:adjustRightInd w:val="0"/>
              <w:snapToGrid w:val="0"/>
              <w:rPr>
                <w:color w:val="000000" w:themeColor="text1"/>
                <w:kern w:val="0"/>
                <w:szCs w:val="21"/>
              </w:rPr>
            </w:pPr>
            <w:r>
              <w:rPr>
                <w:color w:val="000000" w:themeColor="text1"/>
                <w:kern w:val="0"/>
                <w:szCs w:val="21"/>
              </w:rPr>
              <w:t>石油与天然气井的井控操作与管理人员，应接受井控安全技术知识教育，并按本标准进行培训，根据本标准第</w:t>
            </w:r>
            <w:r>
              <w:rPr>
                <w:color w:val="000000" w:themeColor="text1"/>
                <w:kern w:val="0"/>
                <w:szCs w:val="21"/>
              </w:rPr>
              <w:t>3</w:t>
            </w:r>
            <w:r>
              <w:rPr>
                <w:color w:val="000000" w:themeColor="text1"/>
                <w:kern w:val="0"/>
                <w:szCs w:val="21"/>
              </w:rPr>
              <w:t>章井控培训合格证取证范围的人员范围取得井控培训合格证。</w:t>
            </w:r>
          </w:p>
        </w:tc>
        <w:tc>
          <w:tcPr>
            <w:tcW w:w="2416" w:type="dxa"/>
            <w:vMerge w:val="restart"/>
            <w:vAlign w:val="center"/>
          </w:tcPr>
          <w:p w14:paraId="194B4E8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《石油与天然气井井控安全技术考核管理规则》（</w:t>
            </w:r>
            <w:r>
              <w:rPr>
                <w:color w:val="000000" w:themeColor="text1"/>
                <w:kern w:val="0"/>
                <w:szCs w:val="21"/>
              </w:rPr>
              <w:t>SY/T5742-2019</w:t>
            </w:r>
            <w:r>
              <w:rPr>
                <w:color w:val="000000" w:themeColor="text1"/>
                <w:kern w:val="0"/>
                <w:szCs w:val="21"/>
              </w:rPr>
              <w:t>）</w:t>
            </w:r>
          </w:p>
          <w:p w14:paraId="7911785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3.1</w:t>
            </w:r>
            <w:r>
              <w:rPr>
                <w:color w:val="000000" w:themeColor="text1"/>
                <w:kern w:val="0"/>
                <w:szCs w:val="21"/>
              </w:rPr>
              <w:t>、</w:t>
            </w:r>
            <w:r>
              <w:rPr>
                <w:color w:val="000000" w:themeColor="text1"/>
                <w:kern w:val="0"/>
                <w:szCs w:val="21"/>
              </w:rPr>
              <w:t>3.2</w:t>
            </w:r>
            <w:r>
              <w:rPr>
                <w:color w:val="000000" w:themeColor="text1"/>
                <w:kern w:val="0"/>
                <w:szCs w:val="21"/>
              </w:rPr>
              <w:t>、</w:t>
            </w:r>
            <w:r>
              <w:rPr>
                <w:color w:val="000000" w:themeColor="text1"/>
                <w:kern w:val="0"/>
                <w:szCs w:val="21"/>
              </w:rPr>
              <w:t>3.3</w:t>
            </w:r>
            <w:r>
              <w:rPr>
                <w:color w:val="000000" w:themeColor="text1"/>
                <w:kern w:val="0"/>
                <w:szCs w:val="21"/>
              </w:rPr>
              <w:t>、</w:t>
            </w:r>
            <w:r>
              <w:rPr>
                <w:color w:val="000000" w:themeColor="text1"/>
                <w:kern w:val="0"/>
                <w:szCs w:val="21"/>
              </w:rPr>
              <w:t>4.1.1</w:t>
            </w:r>
            <w:r>
              <w:rPr>
                <w:color w:val="000000" w:themeColor="text1"/>
                <w:kern w:val="0"/>
                <w:szCs w:val="21"/>
              </w:rPr>
              <w:t>、</w:t>
            </w:r>
            <w:r>
              <w:rPr>
                <w:color w:val="000000" w:themeColor="text1"/>
                <w:kern w:val="0"/>
                <w:szCs w:val="21"/>
              </w:rPr>
              <w:t>8.2</w:t>
            </w:r>
          </w:p>
        </w:tc>
        <w:tc>
          <w:tcPr>
            <w:tcW w:w="2019" w:type="dxa"/>
            <w:vMerge w:val="restart"/>
            <w:vAlign w:val="center"/>
          </w:tcPr>
          <w:p w14:paraId="2E41E0B8"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董事长、</w:t>
            </w:r>
            <w:r>
              <w:rPr>
                <w:color w:val="000000" w:themeColor="text1"/>
                <w:kern w:val="0"/>
                <w:szCs w:val="21"/>
              </w:rPr>
              <w:t>总经理、</w:t>
            </w:r>
            <w:r>
              <w:rPr>
                <w:rFonts w:hint="eastAsia"/>
                <w:color w:val="000000" w:themeColor="text1"/>
                <w:kern w:val="0"/>
                <w:szCs w:val="21"/>
              </w:rPr>
              <w:t>生产副经理、技术副经理、</w:t>
            </w:r>
            <w:r>
              <w:rPr>
                <w:color w:val="000000" w:themeColor="text1"/>
                <w:kern w:val="0"/>
                <w:szCs w:val="21"/>
              </w:rPr>
              <w:t>专职安全管理人员、操作人员均已取得硫化氢防护培训证。</w:t>
            </w:r>
          </w:p>
        </w:tc>
        <w:tc>
          <w:tcPr>
            <w:tcW w:w="725" w:type="dxa"/>
            <w:vMerge w:val="restart"/>
            <w:vAlign w:val="center"/>
          </w:tcPr>
          <w:p w14:paraId="3056C14C"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676A4C86" w14:textId="77777777">
        <w:trPr>
          <w:trHeight w:val="510"/>
        </w:trPr>
        <w:tc>
          <w:tcPr>
            <w:tcW w:w="427" w:type="dxa"/>
            <w:vMerge/>
            <w:vAlign w:val="center"/>
          </w:tcPr>
          <w:p w14:paraId="06DA95E6"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0AB55434" w14:textId="77777777" w:rsidR="002D2AF8" w:rsidRDefault="00000000">
            <w:pPr>
              <w:overflowPunct w:val="0"/>
              <w:adjustRightInd w:val="0"/>
              <w:snapToGrid w:val="0"/>
              <w:rPr>
                <w:color w:val="000000" w:themeColor="text1"/>
                <w:kern w:val="0"/>
                <w:szCs w:val="21"/>
              </w:rPr>
            </w:pPr>
            <w:r>
              <w:rPr>
                <w:color w:val="000000" w:themeColor="text1"/>
                <w:kern w:val="0"/>
                <w:szCs w:val="21"/>
              </w:rPr>
              <w:t>取得井控培训合格证的人员方可从事井控管理或操作。</w:t>
            </w:r>
          </w:p>
        </w:tc>
        <w:tc>
          <w:tcPr>
            <w:tcW w:w="2416" w:type="dxa"/>
            <w:vMerge/>
            <w:vAlign w:val="center"/>
          </w:tcPr>
          <w:p w14:paraId="696BF27B" w14:textId="77777777" w:rsidR="002D2AF8" w:rsidRDefault="002D2AF8">
            <w:pPr>
              <w:overflowPunct w:val="0"/>
              <w:adjustRightInd w:val="0"/>
              <w:snapToGrid w:val="0"/>
              <w:ind w:rightChars="-38" w:right="-81"/>
              <w:jc w:val="center"/>
              <w:rPr>
                <w:color w:val="000000" w:themeColor="text1"/>
                <w:kern w:val="0"/>
                <w:szCs w:val="21"/>
              </w:rPr>
            </w:pPr>
          </w:p>
        </w:tc>
        <w:tc>
          <w:tcPr>
            <w:tcW w:w="2019" w:type="dxa"/>
            <w:vMerge/>
            <w:vAlign w:val="center"/>
          </w:tcPr>
          <w:p w14:paraId="6D423D3C"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21341DDC" w14:textId="77777777" w:rsidR="002D2AF8" w:rsidRDefault="002D2AF8">
            <w:pPr>
              <w:overflowPunct w:val="0"/>
              <w:adjustRightInd w:val="0"/>
              <w:snapToGrid w:val="0"/>
              <w:jc w:val="left"/>
              <w:rPr>
                <w:color w:val="000000" w:themeColor="text1"/>
                <w:kern w:val="0"/>
                <w:szCs w:val="21"/>
              </w:rPr>
            </w:pPr>
          </w:p>
        </w:tc>
      </w:tr>
      <w:tr w:rsidR="002D2AF8" w14:paraId="3B922FC1" w14:textId="77777777">
        <w:trPr>
          <w:trHeight w:val="510"/>
        </w:trPr>
        <w:tc>
          <w:tcPr>
            <w:tcW w:w="8522" w:type="dxa"/>
            <w:gridSpan w:val="5"/>
            <w:vAlign w:val="center"/>
          </w:tcPr>
          <w:p w14:paraId="74069515" w14:textId="77777777" w:rsidR="002D2AF8" w:rsidRDefault="00000000">
            <w:pPr>
              <w:overflowPunct w:val="0"/>
              <w:adjustRightInd w:val="0"/>
              <w:snapToGrid w:val="0"/>
              <w:jc w:val="center"/>
              <w:rPr>
                <w:b/>
                <w:bCs/>
                <w:color w:val="000000" w:themeColor="text1"/>
                <w:kern w:val="0"/>
                <w:szCs w:val="21"/>
              </w:rPr>
            </w:pPr>
            <w:r>
              <w:rPr>
                <w:rFonts w:hint="eastAsia"/>
                <w:b/>
                <w:bCs/>
                <w:color w:val="000000" w:themeColor="text1"/>
                <w:kern w:val="0"/>
                <w:szCs w:val="21"/>
              </w:rPr>
              <w:t>六</w:t>
            </w:r>
            <w:r>
              <w:rPr>
                <w:b/>
                <w:bCs/>
                <w:color w:val="000000" w:themeColor="text1"/>
                <w:kern w:val="0"/>
                <w:szCs w:val="21"/>
              </w:rPr>
              <w:t>、安全教育培训</w:t>
            </w:r>
          </w:p>
        </w:tc>
      </w:tr>
      <w:tr w:rsidR="002D2AF8" w14:paraId="07A020AE" w14:textId="77777777">
        <w:trPr>
          <w:trHeight w:val="510"/>
        </w:trPr>
        <w:tc>
          <w:tcPr>
            <w:tcW w:w="427" w:type="dxa"/>
            <w:vAlign w:val="center"/>
          </w:tcPr>
          <w:p w14:paraId="723ED2F5"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F2FE4A8"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生产经营单位应当定期对从业人员进行安全生产教育和培训。从业人员未经安全生产教育和培训合格，不得上岗作业。</w:t>
            </w:r>
          </w:p>
        </w:tc>
        <w:tc>
          <w:tcPr>
            <w:tcW w:w="2416" w:type="dxa"/>
            <w:vAlign w:val="center"/>
          </w:tcPr>
          <w:p w14:paraId="1B63F15A"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《山东省安全生产条例》第二十七条</w:t>
            </w:r>
          </w:p>
        </w:tc>
        <w:tc>
          <w:tcPr>
            <w:tcW w:w="2019" w:type="dxa"/>
            <w:vAlign w:val="center"/>
          </w:tcPr>
          <w:p w14:paraId="642EC7F5"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定期对从业人员进行安全生产教育和培训。操作人员均有三证。</w:t>
            </w:r>
          </w:p>
        </w:tc>
        <w:tc>
          <w:tcPr>
            <w:tcW w:w="725" w:type="dxa"/>
            <w:vAlign w:val="center"/>
          </w:tcPr>
          <w:p w14:paraId="71BA000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4DDE97C6" w14:textId="77777777">
        <w:trPr>
          <w:trHeight w:val="510"/>
        </w:trPr>
        <w:tc>
          <w:tcPr>
            <w:tcW w:w="427" w:type="dxa"/>
            <w:vAlign w:val="center"/>
          </w:tcPr>
          <w:p w14:paraId="25126ABC"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4E9578A0"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煤矿、非煤矿山、危险化学品、烟花爆竹、金属冶炼等生产经营单位新上岗的从业人员安全培训时间不得少于</w:t>
            </w:r>
            <w:r>
              <w:rPr>
                <w:color w:val="000000" w:themeColor="text1"/>
                <w:kern w:val="0"/>
                <w:szCs w:val="21"/>
              </w:rPr>
              <w:t>72</w:t>
            </w:r>
            <w:r>
              <w:rPr>
                <w:color w:val="000000" w:themeColor="text1"/>
                <w:kern w:val="0"/>
                <w:szCs w:val="21"/>
              </w:rPr>
              <w:t>学时，每年再培训的时间不得少于</w:t>
            </w:r>
            <w:r>
              <w:rPr>
                <w:color w:val="000000" w:themeColor="text1"/>
                <w:kern w:val="0"/>
                <w:szCs w:val="21"/>
              </w:rPr>
              <w:t>20</w:t>
            </w:r>
            <w:r>
              <w:rPr>
                <w:color w:val="000000" w:themeColor="text1"/>
                <w:kern w:val="0"/>
                <w:szCs w:val="21"/>
              </w:rPr>
              <w:t>学时。</w:t>
            </w:r>
          </w:p>
        </w:tc>
        <w:tc>
          <w:tcPr>
            <w:tcW w:w="2416" w:type="dxa"/>
            <w:vAlign w:val="center"/>
          </w:tcPr>
          <w:p w14:paraId="5741732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《生产经营单位安全培训规定》</w:t>
            </w:r>
          </w:p>
          <w:p w14:paraId="04EBA7FE" w14:textId="77777777" w:rsidR="002D2AF8" w:rsidRDefault="00000000">
            <w:pPr>
              <w:overflowPunct w:val="0"/>
              <w:adjustRightInd w:val="0"/>
              <w:snapToGrid w:val="0"/>
              <w:jc w:val="center"/>
              <w:rPr>
                <w:color w:val="000000" w:themeColor="text1"/>
                <w:kern w:val="0"/>
                <w:szCs w:val="21"/>
                <w:highlight w:val="darkBlue"/>
              </w:rPr>
            </w:pPr>
            <w:r>
              <w:rPr>
                <w:color w:val="000000" w:themeColor="text1"/>
                <w:kern w:val="0"/>
                <w:szCs w:val="21"/>
              </w:rPr>
              <w:t>第十三条</w:t>
            </w:r>
          </w:p>
        </w:tc>
        <w:tc>
          <w:tcPr>
            <w:tcW w:w="2019" w:type="dxa"/>
            <w:vAlign w:val="center"/>
          </w:tcPr>
          <w:p w14:paraId="5F98624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新员工培训时间为</w:t>
            </w:r>
            <w:r>
              <w:rPr>
                <w:color w:val="000000" w:themeColor="text1"/>
                <w:kern w:val="0"/>
                <w:szCs w:val="21"/>
              </w:rPr>
              <w:t>72</w:t>
            </w:r>
            <w:r>
              <w:rPr>
                <w:color w:val="000000" w:themeColor="text1"/>
                <w:kern w:val="0"/>
                <w:szCs w:val="21"/>
              </w:rPr>
              <w:t>学时，每年再培训的时间不低于</w:t>
            </w:r>
            <w:r>
              <w:rPr>
                <w:color w:val="000000" w:themeColor="text1"/>
                <w:kern w:val="0"/>
                <w:szCs w:val="21"/>
              </w:rPr>
              <w:t>20</w:t>
            </w:r>
            <w:r>
              <w:rPr>
                <w:color w:val="000000" w:themeColor="text1"/>
                <w:kern w:val="0"/>
                <w:szCs w:val="21"/>
              </w:rPr>
              <w:t>学时。</w:t>
            </w:r>
          </w:p>
        </w:tc>
        <w:tc>
          <w:tcPr>
            <w:tcW w:w="725" w:type="dxa"/>
            <w:vAlign w:val="center"/>
          </w:tcPr>
          <w:p w14:paraId="740062E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5C22B5F0" w14:textId="77777777">
        <w:trPr>
          <w:trHeight w:val="510"/>
        </w:trPr>
        <w:tc>
          <w:tcPr>
            <w:tcW w:w="427" w:type="dxa"/>
            <w:vAlign w:val="center"/>
          </w:tcPr>
          <w:p w14:paraId="6F7163C3"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C0D3210"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每年年底前，企业主要负责人负责组织制定本单位下一年度安全生产教育和培训计划，并按照计划抓好组织实施。教育培训计划应在本单位公开公示。企业应根据上级安排和自身实际随时追加安全生产培训计划内容。安全生产培训计划应按照企业主要负责人、安全总监、安全管理人员、特种作业人员、其他从业人员等分专业、分层次、分类别、分岗位制定。年度安全生产培训计划应包括培训目的、培训时间、培训内容、参加人员、授课人、学时等。劳务派遣、灵活用工人员应纳入本单位安全生产培训管理范围。不具备培训条件的企业可以委托具备条件的高等院校、职业院校和技工院校或第三方安全生产培训从业单位提供专业培训，保证安全生产培训的责任仍由本单位负责。</w:t>
            </w:r>
          </w:p>
        </w:tc>
        <w:tc>
          <w:tcPr>
            <w:tcW w:w="2416" w:type="dxa"/>
            <w:vMerge w:val="restart"/>
            <w:vAlign w:val="center"/>
          </w:tcPr>
          <w:p w14:paraId="5146845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《山东省人民政府安全生产委员会关于规范和加强安全生产培训考核工作的指导意见》（鲁安发﹝</w:t>
            </w:r>
            <w:r>
              <w:rPr>
                <w:color w:val="000000" w:themeColor="text1"/>
                <w:kern w:val="0"/>
                <w:szCs w:val="21"/>
              </w:rPr>
              <w:t>2022</w:t>
            </w:r>
            <w:r>
              <w:rPr>
                <w:color w:val="000000" w:themeColor="text1"/>
                <w:kern w:val="0"/>
                <w:szCs w:val="21"/>
              </w:rPr>
              <w:t>﹞</w:t>
            </w:r>
            <w:r>
              <w:rPr>
                <w:color w:val="000000" w:themeColor="text1"/>
                <w:kern w:val="0"/>
                <w:szCs w:val="21"/>
              </w:rPr>
              <w:t>6</w:t>
            </w:r>
            <w:r>
              <w:rPr>
                <w:color w:val="000000" w:themeColor="text1"/>
                <w:kern w:val="0"/>
                <w:szCs w:val="21"/>
              </w:rPr>
              <w:t>号）</w:t>
            </w:r>
          </w:p>
        </w:tc>
        <w:tc>
          <w:tcPr>
            <w:tcW w:w="2019" w:type="dxa"/>
            <w:vAlign w:val="center"/>
          </w:tcPr>
          <w:p w14:paraId="194F4F6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已制订全员培训计划，年度培训计划内容包括培训时间、培训目的、参加人员、授课人、学时、培训内容等。</w:t>
            </w:r>
          </w:p>
        </w:tc>
        <w:tc>
          <w:tcPr>
            <w:tcW w:w="725" w:type="dxa"/>
            <w:vAlign w:val="center"/>
          </w:tcPr>
          <w:p w14:paraId="12A4ECF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18AD5244" w14:textId="77777777">
        <w:trPr>
          <w:trHeight w:val="236"/>
        </w:trPr>
        <w:tc>
          <w:tcPr>
            <w:tcW w:w="427" w:type="dxa"/>
            <w:vAlign w:val="center"/>
          </w:tcPr>
          <w:p w14:paraId="3AAA909B"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3C7A4AAC"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企业要如实记录安全培训的时间、内容、参加人员以及考核结果等情况，档案材料应当</w:t>
            </w:r>
            <w:r>
              <w:rPr>
                <w:color w:val="000000" w:themeColor="text1"/>
                <w:kern w:val="0"/>
                <w:szCs w:val="21"/>
              </w:rPr>
              <w:lastRenderedPageBreak/>
              <w:t>完整、准确、系统。</w:t>
            </w:r>
          </w:p>
        </w:tc>
        <w:tc>
          <w:tcPr>
            <w:tcW w:w="2416" w:type="dxa"/>
            <w:vMerge/>
          </w:tcPr>
          <w:p w14:paraId="3A8F8373" w14:textId="77777777" w:rsidR="002D2AF8" w:rsidRDefault="002D2AF8">
            <w:pPr>
              <w:overflowPunct w:val="0"/>
              <w:adjustRightInd w:val="0"/>
              <w:snapToGrid w:val="0"/>
              <w:jc w:val="center"/>
              <w:rPr>
                <w:color w:val="000000" w:themeColor="text1"/>
                <w:kern w:val="0"/>
                <w:szCs w:val="21"/>
                <w:highlight w:val="darkBlue"/>
              </w:rPr>
            </w:pPr>
          </w:p>
        </w:tc>
        <w:tc>
          <w:tcPr>
            <w:tcW w:w="2019" w:type="dxa"/>
            <w:vAlign w:val="center"/>
          </w:tcPr>
          <w:p w14:paraId="2EB299E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如实填写安全培训记录，建立培训档案资料。</w:t>
            </w:r>
          </w:p>
        </w:tc>
        <w:tc>
          <w:tcPr>
            <w:tcW w:w="725" w:type="dxa"/>
            <w:vAlign w:val="center"/>
          </w:tcPr>
          <w:p w14:paraId="14C65B6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5D547B71" w14:textId="77777777">
        <w:trPr>
          <w:trHeight w:val="510"/>
        </w:trPr>
        <w:tc>
          <w:tcPr>
            <w:tcW w:w="8522" w:type="dxa"/>
            <w:gridSpan w:val="5"/>
            <w:vAlign w:val="center"/>
          </w:tcPr>
          <w:p w14:paraId="4C39B7FE" w14:textId="77777777" w:rsidR="002D2AF8" w:rsidRDefault="00000000">
            <w:pPr>
              <w:overflowPunct w:val="0"/>
              <w:adjustRightInd w:val="0"/>
              <w:snapToGrid w:val="0"/>
              <w:jc w:val="center"/>
              <w:rPr>
                <w:b/>
                <w:bCs/>
                <w:color w:val="000000" w:themeColor="text1"/>
                <w:kern w:val="0"/>
                <w:szCs w:val="21"/>
              </w:rPr>
            </w:pPr>
            <w:r>
              <w:rPr>
                <w:rFonts w:hint="eastAsia"/>
                <w:b/>
                <w:bCs/>
                <w:color w:val="000000" w:themeColor="text1"/>
                <w:kern w:val="0"/>
                <w:szCs w:val="21"/>
              </w:rPr>
              <w:t>七</w:t>
            </w:r>
            <w:r>
              <w:rPr>
                <w:b/>
                <w:bCs/>
                <w:color w:val="000000" w:themeColor="text1"/>
                <w:kern w:val="0"/>
                <w:szCs w:val="21"/>
              </w:rPr>
              <w:t>、工伤保险及安全生产责任险</w:t>
            </w:r>
          </w:p>
        </w:tc>
      </w:tr>
      <w:tr w:rsidR="002D2AF8" w14:paraId="4571261B" w14:textId="77777777">
        <w:trPr>
          <w:trHeight w:val="510"/>
        </w:trPr>
        <w:tc>
          <w:tcPr>
            <w:tcW w:w="427" w:type="dxa"/>
            <w:vMerge w:val="restart"/>
            <w:vAlign w:val="center"/>
          </w:tcPr>
          <w:p w14:paraId="0D1074AC"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4B589D10"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生产经营单位应当依法参加工伤保险，为从业人员缴纳工伤保险费。</w:t>
            </w:r>
          </w:p>
        </w:tc>
        <w:tc>
          <w:tcPr>
            <w:tcW w:w="2416" w:type="dxa"/>
            <w:vAlign w:val="center"/>
          </w:tcPr>
          <w:p w14:paraId="218E399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《山东省安全生产条例》第二十四条</w:t>
            </w:r>
          </w:p>
        </w:tc>
        <w:tc>
          <w:tcPr>
            <w:tcW w:w="2019" w:type="dxa"/>
            <w:vMerge w:val="restart"/>
            <w:vAlign w:val="center"/>
          </w:tcPr>
          <w:p w14:paraId="68443A55"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已依法参加工伤保险，为</w:t>
            </w:r>
            <w:r>
              <w:rPr>
                <w:rFonts w:hint="eastAsia"/>
                <w:color w:val="000000" w:themeColor="text1"/>
                <w:kern w:val="0"/>
                <w:szCs w:val="21"/>
              </w:rPr>
              <w:t>胜兴堵驱公司</w:t>
            </w:r>
            <w:r>
              <w:rPr>
                <w:color w:val="000000" w:themeColor="text1"/>
                <w:kern w:val="0"/>
                <w:szCs w:val="21"/>
              </w:rPr>
              <w:t>的从业人员缴纳保险费。</w:t>
            </w:r>
          </w:p>
        </w:tc>
        <w:tc>
          <w:tcPr>
            <w:tcW w:w="725" w:type="dxa"/>
            <w:vMerge w:val="restart"/>
            <w:vAlign w:val="center"/>
          </w:tcPr>
          <w:p w14:paraId="1C7EBEF9"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6BCCBA2C" w14:textId="77777777">
        <w:trPr>
          <w:trHeight w:val="510"/>
        </w:trPr>
        <w:tc>
          <w:tcPr>
            <w:tcW w:w="427" w:type="dxa"/>
            <w:vMerge/>
            <w:vAlign w:val="center"/>
          </w:tcPr>
          <w:p w14:paraId="20CFB6DF"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BA7536A"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依法参加工伤保险，为从业人员缴纳保险费。</w:t>
            </w:r>
          </w:p>
        </w:tc>
        <w:tc>
          <w:tcPr>
            <w:tcW w:w="2416" w:type="dxa"/>
            <w:vAlign w:val="center"/>
          </w:tcPr>
          <w:p w14:paraId="3D37F18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2638E69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14:paraId="6FF1F016"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2F946AAA" w14:textId="77777777" w:rsidR="002D2AF8" w:rsidRDefault="002D2AF8">
            <w:pPr>
              <w:overflowPunct w:val="0"/>
              <w:adjustRightInd w:val="0"/>
              <w:snapToGrid w:val="0"/>
              <w:jc w:val="left"/>
              <w:rPr>
                <w:color w:val="000000" w:themeColor="text1"/>
                <w:kern w:val="0"/>
                <w:szCs w:val="21"/>
              </w:rPr>
            </w:pPr>
          </w:p>
        </w:tc>
      </w:tr>
      <w:tr w:rsidR="002D2AF8" w14:paraId="0D355B88" w14:textId="77777777">
        <w:trPr>
          <w:trHeight w:val="510"/>
        </w:trPr>
        <w:tc>
          <w:tcPr>
            <w:tcW w:w="427" w:type="dxa"/>
            <w:vMerge w:val="restart"/>
            <w:vAlign w:val="center"/>
          </w:tcPr>
          <w:p w14:paraId="280F0F97"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4D5D305"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矿山、交通运输、危险化学品、烟花爆竹、建筑施工、民用爆炸物品、金属冶炼、渔业生产等属于国家规定的高危行业、领域的生产经营单位，应当投保安全生产责任保险。</w:t>
            </w:r>
          </w:p>
        </w:tc>
        <w:tc>
          <w:tcPr>
            <w:tcW w:w="2416" w:type="dxa"/>
            <w:vAlign w:val="center"/>
          </w:tcPr>
          <w:p w14:paraId="7A0D455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《山东省安全生产条例》第二十四条</w:t>
            </w:r>
          </w:p>
        </w:tc>
        <w:tc>
          <w:tcPr>
            <w:tcW w:w="2019" w:type="dxa"/>
            <w:vMerge w:val="restart"/>
            <w:vAlign w:val="center"/>
          </w:tcPr>
          <w:p w14:paraId="6A2B568E"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已投保安全生产责任保险，投保人数为</w:t>
            </w:r>
            <w:r>
              <w:rPr>
                <w:rFonts w:hint="eastAsia"/>
                <w:color w:val="000000" w:themeColor="text1"/>
                <w:kern w:val="0"/>
                <w:szCs w:val="21"/>
              </w:rPr>
              <w:t>60</w:t>
            </w:r>
            <w:r>
              <w:rPr>
                <w:color w:val="000000" w:themeColor="text1"/>
                <w:kern w:val="0"/>
                <w:szCs w:val="21"/>
              </w:rPr>
              <w:t>人，全员投保。</w:t>
            </w:r>
          </w:p>
        </w:tc>
        <w:tc>
          <w:tcPr>
            <w:tcW w:w="725" w:type="dxa"/>
            <w:vMerge w:val="restart"/>
            <w:vAlign w:val="center"/>
          </w:tcPr>
          <w:p w14:paraId="1BA467F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3A34F4CD" w14:textId="77777777">
        <w:trPr>
          <w:trHeight w:val="210"/>
        </w:trPr>
        <w:tc>
          <w:tcPr>
            <w:tcW w:w="427" w:type="dxa"/>
            <w:vMerge/>
            <w:vAlign w:val="center"/>
          </w:tcPr>
          <w:p w14:paraId="530519FE"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05C2F7D9"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煤矿、非煤矿山、危险化学品、烟花爆竹、交通运输、建筑施工、民用爆炸物品、金属冶炼、渔业生产等高危行业领域的生产经营单位应当投保安全生产责任保险。</w:t>
            </w:r>
          </w:p>
        </w:tc>
        <w:tc>
          <w:tcPr>
            <w:tcW w:w="2416" w:type="dxa"/>
            <w:vAlign w:val="center"/>
          </w:tcPr>
          <w:p w14:paraId="23AAF9C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《安全生产责任保险实施办法》</w:t>
            </w:r>
          </w:p>
          <w:p w14:paraId="713C243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14:paraId="2B477B80"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7059A5A7" w14:textId="77777777" w:rsidR="002D2AF8" w:rsidRDefault="002D2AF8">
            <w:pPr>
              <w:overflowPunct w:val="0"/>
              <w:adjustRightInd w:val="0"/>
              <w:snapToGrid w:val="0"/>
              <w:jc w:val="left"/>
              <w:rPr>
                <w:color w:val="000000" w:themeColor="text1"/>
                <w:kern w:val="0"/>
                <w:szCs w:val="21"/>
              </w:rPr>
            </w:pPr>
          </w:p>
        </w:tc>
      </w:tr>
      <w:tr w:rsidR="002D2AF8" w14:paraId="0FED222A" w14:textId="77777777">
        <w:trPr>
          <w:trHeight w:val="510"/>
        </w:trPr>
        <w:tc>
          <w:tcPr>
            <w:tcW w:w="427" w:type="dxa"/>
            <w:vMerge/>
            <w:vAlign w:val="center"/>
          </w:tcPr>
          <w:p w14:paraId="1CA01D23"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458A9830"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生产经营单位投保安全生产责任保险的保障范围应当覆盖全体从业人员。</w:t>
            </w:r>
          </w:p>
        </w:tc>
        <w:tc>
          <w:tcPr>
            <w:tcW w:w="2416" w:type="dxa"/>
            <w:vAlign w:val="center"/>
          </w:tcPr>
          <w:p w14:paraId="70FD466C"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《安全生产责任保险实施办法》</w:t>
            </w:r>
          </w:p>
          <w:p w14:paraId="3F838709"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第十二条</w:t>
            </w:r>
          </w:p>
        </w:tc>
        <w:tc>
          <w:tcPr>
            <w:tcW w:w="2019" w:type="dxa"/>
            <w:vMerge/>
            <w:vAlign w:val="center"/>
          </w:tcPr>
          <w:p w14:paraId="33E02A07"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39B92C81" w14:textId="77777777" w:rsidR="002D2AF8" w:rsidRDefault="002D2AF8">
            <w:pPr>
              <w:overflowPunct w:val="0"/>
              <w:adjustRightInd w:val="0"/>
              <w:snapToGrid w:val="0"/>
              <w:jc w:val="left"/>
              <w:rPr>
                <w:color w:val="000000" w:themeColor="text1"/>
                <w:kern w:val="0"/>
                <w:szCs w:val="21"/>
              </w:rPr>
            </w:pPr>
          </w:p>
        </w:tc>
      </w:tr>
      <w:tr w:rsidR="002D2AF8" w14:paraId="3482D0AB" w14:textId="77777777">
        <w:trPr>
          <w:trHeight w:val="510"/>
        </w:trPr>
        <w:tc>
          <w:tcPr>
            <w:tcW w:w="8522" w:type="dxa"/>
            <w:gridSpan w:val="5"/>
            <w:vAlign w:val="center"/>
          </w:tcPr>
          <w:p w14:paraId="17445BCF" w14:textId="77777777" w:rsidR="002D2AF8" w:rsidRDefault="00000000">
            <w:pPr>
              <w:overflowPunct w:val="0"/>
              <w:adjustRightInd w:val="0"/>
              <w:snapToGrid w:val="0"/>
              <w:jc w:val="center"/>
              <w:rPr>
                <w:b/>
                <w:bCs/>
                <w:color w:val="000000" w:themeColor="text1"/>
                <w:kern w:val="0"/>
                <w:szCs w:val="21"/>
              </w:rPr>
            </w:pPr>
            <w:r>
              <w:rPr>
                <w:rFonts w:hint="eastAsia"/>
                <w:b/>
                <w:bCs/>
                <w:color w:val="000000" w:themeColor="text1"/>
                <w:kern w:val="0"/>
                <w:szCs w:val="21"/>
              </w:rPr>
              <w:t>八</w:t>
            </w:r>
            <w:r>
              <w:rPr>
                <w:b/>
                <w:bCs/>
                <w:color w:val="000000" w:themeColor="text1"/>
                <w:kern w:val="0"/>
                <w:szCs w:val="21"/>
              </w:rPr>
              <w:t>、劳动防护用品配备</w:t>
            </w:r>
          </w:p>
        </w:tc>
      </w:tr>
      <w:tr w:rsidR="002D2AF8" w14:paraId="59702AAC" w14:textId="77777777">
        <w:trPr>
          <w:trHeight w:val="510"/>
        </w:trPr>
        <w:tc>
          <w:tcPr>
            <w:tcW w:w="427" w:type="dxa"/>
            <w:vMerge w:val="restart"/>
            <w:vAlign w:val="center"/>
          </w:tcPr>
          <w:p w14:paraId="198BFA01"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2A02AF96"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明确本单位从业人员配备劳动防护用品的种类和型号，为从业人员无偿提供符合标准的劳动防护用品，督促、检查、教育从业人员正确佩戴和使用，不得以货币形式或者其他物品替代。购买和发放劳动防护用品的情况应当如实记录。</w:t>
            </w:r>
          </w:p>
        </w:tc>
        <w:tc>
          <w:tcPr>
            <w:tcW w:w="2416" w:type="dxa"/>
            <w:vAlign w:val="center"/>
          </w:tcPr>
          <w:p w14:paraId="4416E25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《山东省安全生产条例》第二十五条</w:t>
            </w:r>
          </w:p>
        </w:tc>
        <w:tc>
          <w:tcPr>
            <w:tcW w:w="2019" w:type="dxa"/>
            <w:vMerge w:val="restart"/>
            <w:vAlign w:val="center"/>
          </w:tcPr>
          <w:p w14:paraId="3CF4E237"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已制定防治职业危害的具体措施，并为现场员工配备了防静电工作服（夏、春秋、冬）、工作鞋（棉、单）、安全帽（单、棉）、防护手套、耳塞、护目镜等劳动防护用品。</w:t>
            </w:r>
          </w:p>
        </w:tc>
        <w:tc>
          <w:tcPr>
            <w:tcW w:w="725" w:type="dxa"/>
            <w:vMerge w:val="restart"/>
            <w:vAlign w:val="center"/>
          </w:tcPr>
          <w:p w14:paraId="199738F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62A5905D" w14:textId="77777777">
        <w:trPr>
          <w:trHeight w:val="510"/>
        </w:trPr>
        <w:tc>
          <w:tcPr>
            <w:tcW w:w="427" w:type="dxa"/>
            <w:vMerge/>
            <w:vAlign w:val="center"/>
          </w:tcPr>
          <w:p w14:paraId="3F22005F"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167507F8"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制定防治职业危害的具体措施，并为从业人员配备符合国家标准或者行业标准的劳动防护用品。</w:t>
            </w:r>
          </w:p>
        </w:tc>
        <w:tc>
          <w:tcPr>
            <w:tcW w:w="2416" w:type="dxa"/>
            <w:vAlign w:val="center"/>
          </w:tcPr>
          <w:p w14:paraId="22BF653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239A208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14:paraId="6ADED46D"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01883D55" w14:textId="77777777" w:rsidR="002D2AF8" w:rsidRDefault="002D2AF8">
            <w:pPr>
              <w:overflowPunct w:val="0"/>
              <w:adjustRightInd w:val="0"/>
              <w:snapToGrid w:val="0"/>
              <w:jc w:val="left"/>
              <w:rPr>
                <w:color w:val="000000" w:themeColor="text1"/>
                <w:kern w:val="0"/>
                <w:szCs w:val="21"/>
              </w:rPr>
            </w:pPr>
          </w:p>
        </w:tc>
      </w:tr>
      <w:tr w:rsidR="002D2AF8" w14:paraId="4F469721" w14:textId="77777777">
        <w:trPr>
          <w:trHeight w:val="510"/>
        </w:trPr>
        <w:tc>
          <w:tcPr>
            <w:tcW w:w="427" w:type="dxa"/>
            <w:vAlign w:val="center"/>
          </w:tcPr>
          <w:p w14:paraId="04A01941"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0CF58CE9"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根据作业场所主要危险有害因素及劳动防护用品配备要求，配备劳动防护用品。</w:t>
            </w:r>
          </w:p>
        </w:tc>
        <w:tc>
          <w:tcPr>
            <w:tcW w:w="2416" w:type="dxa"/>
            <w:vAlign w:val="center"/>
          </w:tcPr>
          <w:p w14:paraId="432B8642" w14:textId="77777777" w:rsidR="002D2AF8" w:rsidRDefault="00000000">
            <w:pPr>
              <w:overflowPunct w:val="0"/>
              <w:adjustRightInd w:val="0"/>
              <w:snapToGrid w:val="0"/>
              <w:jc w:val="center"/>
              <w:rPr>
                <w:color w:val="000000" w:themeColor="text1"/>
                <w:kern w:val="0"/>
                <w:szCs w:val="21"/>
              </w:rPr>
            </w:pPr>
            <w:r>
              <w:rPr>
                <w:color w:val="000000" w:themeColor="text1"/>
              </w:rPr>
              <w:t>GB 39800.2-2020</w:t>
            </w:r>
          </w:p>
        </w:tc>
        <w:tc>
          <w:tcPr>
            <w:tcW w:w="2019" w:type="dxa"/>
            <w:vAlign w:val="center"/>
          </w:tcPr>
          <w:p w14:paraId="77CA73FB"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胜兴堵驱公司配备的劳动防护用品能满足要求。</w:t>
            </w:r>
          </w:p>
        </w:tc>
        <w:tc>
          <w:tcPr>
            <w:tcW w:w="725" w:type="dxa"/>
            <w:vAlign w:val="center"/>
          </w:tcPr>
          <w:p w14:paraId="2CD0548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19598871" w14:textId="77777777">
        <w:trPr>
          <w:trHeight w:val="510"/>
        </w:trPr>
        <w:tc>
          <w:tcPr>
            <w:tcW w:w="8522" w:type="dxa"/>
            <w:gridSpan w:val="5"/>
            <w:vAlign w:val="center"/>
          </w:tcPr>
          <w:p w14:paraId="6220A4A7" w14:textId="77777777" w:rsidR="002D2AF8" w:rsidRDefault="00000000">
            <w:pPr>
              <w:overflowPunct w:val="0"/>
              <w:adjustRightInd w:val="0"/>
              <w:snapToGrid w:val="0"/>
              <w:jc w:val="center"/>
              <w:rPr>
                <w:b/>
                <w:bCs/>
                <w:color w:val="000000" w:themeColor="text1"/>
                <w:kern w:val="0"/>
                <w:szCs w:val="21"/>
              </w:rPr>
            </w:pPr>
            <w:r>
              <w:rPr>
                <w:rFonts w:hint="eastAsia"/>
                <w:b/>
                <w:bCs/>
                <w:color w:val="000000" w:themeColor="text1"/>
                <w:kern w:val="0"/>
                <w:szCs w:val="21"/>
              </w:rPr>
              <w:t>九</w:t>
            </w:r>
            <w:r>
              <w:rPr>
                <w:b/>
                <w:bCs/>
                <w:color w:val="000000" w:themeColor="text1"/>
                <w:kern w:val="0"/>
                <w:szCs w:val="21"/>
              </w:rPr>
              <w:t>、设备、设施检测检验</w:t>
            </w:r>
          </w:p>
        </w:tc>
      </w:tr>
      <w:tr w:rsidR="002D2AF8" w14:paraId="5752B206" w14:textId="77777777">
        <w:trPr>
          <w:trHeight w:val="510"/>
        </w:trPr>
        <w:tc>
          <w:tcPr>
            <w:tcW w:w="427" w:type="dxa"/>
            <w:vAlign w:val="center"/>
          </w:tcPr>
          <w:p w14:paraId="1AD40E80"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43D07DC"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特种设备使用单位应当在特种设备投入使用前或者投入使用后三十日内，向负责特种设备安全监督管理的部门办</w:t>
            </w:r>
            <w:r>
              <w:rPr>
                <w:color w:val="000000" w:themeColor="text1"/>
                <w:kern w:val="0"/>
                <w:szCs w:val="21"/>
              </w:rPr>
              <w:lastRenderedPageBreak/>
              <w:t>理使用登记，取得使用登记证书。登记标志应当置于该特种设备的显著位置。</w:t>
            </w:r>
          </w:p>
        </w:tc>
        <w:tc>
          <w:tcPr>
            <w:tcW w:w="2416" w:type="dxa"/>
            <w:vAlign w:val="center"/>
          </w:tcPr>
          <w:p w14:paraId="4463681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lastRenderedPageBreak/>
              <w:t>《中华人民共和国特种设备安全法》第十三条</w:t>
            </w:r>
          </w:p>
        </w:tc>
        <w:tc>
          <w:tcPr>
            <w:tcW w:w="2019" w:type="dxa"/>
            <w:vAlign w:val="center"/>
          </w:tcPr>
          <w:p w14:paraId="349C82FC"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不涉及</w:t>
            </w:r>
          </w:p>
        </w:tc>
        <w:tc>
          <w:tcPr>
            <w:tcW w:w="725" w:type="dxa"/>
            <w:vAlign w:val="center"/>
          </w:tcPr>
          <w:p w14:paraId="7359CE77"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4F43E870" w14:textId="77777777">
        <w:trPr>
          <w:trHeight w:val="510"/>
        </w:trPr>
        <w:tc>
          <w:tcPr>
            <w:tcW w:w="427" w:type="dxa"/>
            <w:vAlign w:val="center"/>
          </w:tcPr>
          <w:p w14:paraId="1A8487B1"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9566046"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特种设备使用单位应当按照安全技术规范的要求，在检验合格有效期届满前一个月向特种设备检验机构提出定期检验要求。</w:t>
            </w:r>
          </w:p>
          <w:p w14:paraId="31B84881"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特种设备检验机构接到定期检验要求后，应当按照安全技术规范的要求及时进行安全性能检验。特种设备使用单位应当将定期检验标志置于该特种设备的显著位置。</w:t>
            </w:r>
          </w:p>
          <w:p w14:paraId="05C245FF"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未经定期检验或者检验不合格的特种设备，不得继续使用。</w:t>
            </w:r>
          </w:p>
        </w:tc>
        <w:tc>
          <w:tcPr>
            <w:tcW w:w="2416" w:type="dxa"/>
            <w:vAlign w:val="center"/>
          </w:tcPr>
          <w:p w14:paraId="090405E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《中华人民共和国特种设备安全法》第四十条</w:t>
            </w:r>
          </w:p>
        </w:tc>
        <w:tc>
          <w:tcPr>
            <w:tcW w:w="2019" w:type="dxa"/>
            <w:vAlign w:val="center"/>
          </w:tcPr>
          <w:p w14:paraId="7A63469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不涉及</w:t>
            </w:r>
          </w:p>
        </w:tc>
        <w:tc>
          <w:tcPr>
            <w:tcW w:w="725" w:type="dxa"/>
            <w:vAlign w:val="center"/>
          </w:tcPr>
          <w:p w14:paraId="4D97AFE6"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096C65E9" w14:textId="77777777">
        <w:trPr>
          <w:trHeight w:val="510"/>
        </w:trPr>
        <w:tc>
          <w:tcPr>
            <w:tcW w:w="427" w:type="dxa"/>
            <w:vAlign w:val="center"/>
          </w:tcPr>
          <w:p w14:paraId="7B390160"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4F6C745"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空气呼吸器应每年检验一次；气瓶应每三年检验一次，其安全使用年限不得超过</w:t>
            </w:r>
            <w:r>
              <w:rPr>
                <w:color w:val="000000" w:themeColor="text1"/>
                <w:kern w:val="0"/>
                <w:szCs w:val="21"/>
              </w:rPr>
              <w:t>15</w:t>
            </w:r>
            <w:r>
              <w:rPr>
                <w:color w:val="000000" w:themeColor="text1"/>
                <w:kern w:val="0"/>
                <w:szCs w:val="21"/>
              </w:rPr>
              <w:t>年。</w:t>
            </w:r>
          </w:p>
        </w:tc>
        <w:tc>
          <w:tcPr>
            <w:tcW w:w="2416" w:type="dxa"/>
            <w:vAlign w:val="center"/>
          </w:tcPr>
          <w:p w14:paraId="1A47849A"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SY/T 6277-2017</w:t>
            </w:r>
          </w:p>
          <w:p w14:paraId="44B6B5F4"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5.1.6.1</w:t>
            </w:r>
          </w:p>
        </w:tc>
        <w:tc>
          <w:tcPr>
            <w:tcW w:w="2019" w:type="dxa"/>
            <w:vAlign w:val="center"/>
          </w:tcPr>
          <w:p w14:paraId="306F1959"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已按时检验，并在检验报告期内。</w:t>
            </w:r>
          </w:p>
        </w:tc>
        <w:tc>
          <w:tcPr>
            <w:tcW w:w="725" w:type="dxa"/>
            <w:vAlign w:val="center"/>
          </w:tcPr>
          <w:p w14:paraId="312C3EA7"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4DFF0C6D" w14:textId="77777777">
        <w:trPr>
          <w:trHeight w:val="666"/>
        </w:trPr>
        <w:tc>
          <w:tcPr>
            <w:tcW w:w="427" w:type="dxa"/>
            <w:vAlign w:val="center"/>
          </w:tcPr>
          <w:p w14:paraId="1E8E5BEF"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669B3D1"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便携式硫化氢气体检测仪每年至少检验一次。</w:t>
            </w:r>
          </w:p>
        </w:tc>
        <w:tc>
          <w:tcPr>
            <w:tcW w:w="2416" w:type="dxa"/>
            <w:vAlign w:val="center"/>
          </w:tcPr>
          <w:p w14:paraId="30244A8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SY/T 6277-2017</w:t>
            </w:r>
          </w:p>
          <w:p w14:paraId="7B4B91E0"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5.2.6</w:t>
            </w:r>
          </w:p>
        </w:tc>
        <w:tc>
          <w:tcPr>
            <w:tcW w:w="2019" w:type="dxa"/>
            <w:vAlign w:val="center"/>
          </w:tcPr>
          <w:p w14:paraId="1D283C1B"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已按时检验，并在检验报告期内。</w:t>
            </w:r>
          </w:p>
        </w:tc>
        <w:tc>
          <w:tcPr>
            <w:tcW w:w="725" w:type="dxa"/>
            <w:vAlign w:val="center"/>
          </w:tcPr>
          <w:p w14:paraId="2B96A9DB"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74AD32D8" w14:textId="77777777">
        <w:trPr>
          <w:trHeight w:val="510"/>
        </w:trPr>
        <w:tc>
          <w:tcPr>
            <w:tcW w:w="427" w:type="dxa"/>
            <w:vAlign w:val="center"/>
          </w:tcPr>
          <w:p w14:paraId="4C8C9195"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47B9CEC1"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危险性较大的设备、设施按照国家有关规定进行定期检测检验。</w:t>
            </w:r>
          </w:p>
        </w:tc>
        <w:tc>
          <w:tcPr>
            <w:tcW w:w="2416" w:type="dxa"/>
            <w:vAlign w:val="center"/>
          </w:tcPr>
          <w:p w14:paraId="3E3DA2D9"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5D9D256A"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Align w:val="center"/>
          </w:tcPr>
          <w:p w14:paraId="70B13164"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已定期检测检验，在有效期内。</w:t>
            </w:r>
          </w:p>
        </w:tc>
        <w:tc>
          <w:tcPr>
            <w:tcW w:w="725" w:type="dxa"/>
            <w:vAlign w:val="center"/>
          </w:tcPr>
          <w:p w14:paraId="58C0BA0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7FC6916E" w14:textId="77777777">
        <w:trPr>
          <w:trHeight w:val="510"/>
        </w:trPr>
        <w:tc>
          <w:tcPr>
            <w:tcW w:w="8522" w:type="dxa"/>
            <w:gridSpan w:val="5"/>
            <w:vAlign w:val="center"/>
          </w:tcPr>
          <w:p w14:paraId="3384914A" w14:textId="77777777" w:rsidR="002D2AF8" w:rsidRDefault="00000000">
            <w:pPr>
              <w:overflowPunct w:val="0"/>
              <w:adjustRightInd w:val="0"/>
              <w:snapToGrid w:val="0"/>
              <w:jc w:val="center"/>
              <w:rPr>
                <w:b/>
                <w:bCs/>
                <w:color w:val="000000" w:themeColor="text1"/>
                <w:kern w:val="0"/>
                <w:szCs w:val="21"/>
              </w:rPr>
            </w:pPr>
            <w:r>
              <w:rPr>
                <w:b/>
                <w:bCs/>
                <w:color w:val="000000" w:themeColor="text1"/>
                <w:kern w:val="0"/>
                <w:szCs w:val="21"/>
              </w:rPr>
              <w:t>十、安全投入</w:t>
            </w:r>
          </w:p>
        </w:tc>
      </w:tr>
      <w:tr w:rsidR="002D2AF8" w14:paraId="22161A94" w14:textId="77777777">
        <w:trPr>
          <w:trHeight w:val="510"/>
        </w:trPr>
        <w:tc>
          <w:tcPr>
            <w:tcW w:w="427" w:type="dxa"/>
            <w:vAlign w:val="center"/>
          </w:tcPr>
          <w:p w14:paraId="7FC62916"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70232235"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安全生产费用提取比例按照营业收入</w:t>
            </w:r>
            <w:r>
              <w:rPr>
                <w:color w:val="000000" w:themeColor="text1"/>
                <w:kern w:val="0"/>
                <w:szCs w:val="21"/>
              </w:rPr>
              <w:t>2.5%</w:t>
            </w:r>
            <w:r>
              <w:rPr>
                <w:color w:val="000000" w:themeColor="text1"/>
                <w:kern w:val="0"/>
                <w:szCs w:val="21"/>
              </w:rPr>
              <w:t>的比例提取。</w:t>
            </w:r>
          </w:p>
        </w:tc>
        <w:tc>
          <w:tcPr>
            <w:tcW w:w="2416" w:type="dxa"/>
            <w:vAlign w:val="center"/>
          </w:tcPr>
          <w:p w14:paraId="0EE436C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《企业安全生产费用提取和使用管理办法》</w:t>
            </w:r>
          </w:p>
          <w:p w14:paraId="64163CF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第七条</w:t>
            </w:r>
          </w:p>
        </w:tc>
        <w:tc>
          <w:tcPr>
            <w:tcW w:w="2019" w:type="dxa"/>
            <w:vAlign w:val="center"/>
          </w:tcPr>
          <w:p w14:paraId="442CE2C9"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安全生产费用提取比例符合要求。</w:t>
            </w:r>
          </w:p>
        </w:tc>
        <w:tc>
          <w:tcPr>
            <w:tcW w:w="725" w:type="dxa"/>
            <w:vAlign w:val="center"/>
          </w:tcPr>
          <w:p w14:paraId="09050ED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78E2087F" w14:textId="77777777">
        <w:trPr>
          <w:trHeight w:val="510"/>
        </w:trPr>
        <w:tc>
          <w:tcPr>
            <w:tcW w:w="427" w:type="dxa"/>
            <w:vAlign w:val="center"/>
          </w:tcPr>
          <w:p w14:paraId="45067183"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233D8EF3"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企业提取的安全费用应当专户核算，按规定范围安排使用，不得挤占、挪用。年度结余资金结转下年度使用，当年计提安全费用不足的，超出部分按正常成本费用渠道列支。</w:t>
            </w:r>
          </w:p>
          <w:p w14:paraId="0BA1CA63"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主要承担安全管理责任的集团公司经过履行内部决策程序，可以对所属企业提取的安全费用按照一定比例集中管理，统筹使用。</w:t>
            </w:r>
          </w:p>
        </w:tc>
        <w:tc>
          <w:tcPr>
            <w:tcW w:w="2416" w:type="dxa"/>
            <w:vAlign w:val="center"/>
          </w:tcPr>
          <w:p w14:paraId="58DDDDBA"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《企业安全生产费用提取和使用管理办法》</w:t>
            </w:r>
          </w:p>
          <w:p w14:paraId="5290176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第二十七条</w:t>
            </w:r>
          </w:p>
        </w:tc>
        <w:tc>
          <w:tcPr>
            <w:tcW w:w="2019" w:type="dxa"/>
            <w:vAlign w:val="center"/>
          </w:tcPr>
          <w:p w14:paraId="7CDE239A"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安全费用使用专户核算。</w:t>
            </w:r>
          </w:p>
        </w:tc>
        <w:tc>
          <w:tcPr>
            <w:tcW w:w="725" w:type="dxa"/>
            <w:vAlign w:val="center"/>
          </w:tcPr>
          <w:p w14:paraId="7108C7B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2B150325" w14:textId="77777777">
        <w:trPr>
          <w:trHeight w:val="222"/>
        </w:trPr>
        <w:tc>
          <w:tcPr>
            <w:tcW w:w="427" w:type="dxa"/>
            <w:vAlign w:val="center"/>
          </w:tcPr>
          <w:p w14:paraId="126CF4B0"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78F3C3D9"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生产经营单位应当确保本单位具备安全生产条件所必需的资金投入，安全生产资金投入纳入年度生产经营计划和财务预算，不得挪作他用，并专项用于下列安全生产事项：（一）完善、改造和维护安全</w:t>
            </w:r>
            <w:r>
              <w:rPr>
                <w:color w:val="000000" w:themeColor="text1"/>
                <w:kern w:val="0"/>
                <w:szCs w:val="21"/>
              </w:rPr>
              <w:lastRenderedPageBreak/>
              <w:t>防护及监督管理设施设备支出；</w:t>
            </w:r>
          </w:p>
          <w:p w14:paraId="3AAD59B6"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（二）配备、维护、保养应急救援器材、设备和物资支出，制定应急预案和组织应急演练支出；</w:t>
            </w:r>
          </w:p>
          <w:p w14:paraId="27577AF4"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（三）开展重大危险源和事故隐患评估、监控和整改支出；</w:t>
            </w:r>
          </w:p>
          <w:p w14:paraId="6214A254"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（四）安全生产评估检查、专家咨询和标准化建设支出；</w:t>
            </w:r>
          </w:p>
          <w:p w14:paraId="4CA4597D"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（五）配备和更新现场作业人员安全防护用品支出；</w:t>
            </w:r>
          </w:p>
          <w:p w14:paraId="5809FC9B"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（六）安全生产宣传、教育、培训支出；</w:t>
            </w:r>
          </w:p>
          <w:p w14:paraId="122CAB3D"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（七）安全生产适用的新技术、新标准、新工艺、新装备的推广应用支出；</w:t>
            </w:r>
          </w:p>
          <w:p w14:paraId="56B21056"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（八）安全设施及特种设备检测检验支出；</w:t>
            </w:r>
          </w:p>
          <w:p w14:paraId="08299088"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（九）参加安全生产责任保险支出；</w:t>
            </w:r>
          </w:p>
          <w:p w14:paraId="3D9A6A5A"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（十）其他与安全生产直接相关的支出。</w:t>
            </w:r>
          </w:p>
        </w:tc>
        <w:tc>
          <w:tcPr>
            <w:tcW w:w="2416" w:type="dxa"/>
            <w:vAlign w:val="center"/>
          </w:tcPr>
          <w:p w14:paraId="67EEDA5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lastRenderedPageBreak/>
              <w:t>《山东省生产经营单位安全生产主体责任规定》第十七条</w:t>
            </w:r>
          </w:p>
        </w:tc>
        <w:tc>
          <w:tcPr>
            <w:tcW w:w="2019" w:type="dxa"/>
            <w:vAlign w:val="center"/>
          </w:tcPr>
          <w:p w14:paraId="513ACE56"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安全投入计划中列明安全生产费用用于完善、改造和维护安全防护设施设备和重大安全隐患治理支出；完善应急救援技术装备、</w:t>
            </w:r>
            <w:r>
              <w:rPr>
                <w:color w:val="000000" w:themeColor="text1"/>
                <w:kern w:val="0"/>
                <w:szCs w:val="21"/>
              </w:rPr>
              <w:lastRenderedPageBreak/>
              <w:t>设施配置及维护保养支出，事故逃生和应急演练支出；安全生产检查、评价、咨询、标准化建设支出；配备和更新现场作业人员安全防护用品支出；安全生产宣传、教育、培训支出；安全设施检测检验支出；应急器械、应急药品支出；安全生产责任保险支出及其他与安全生产直接相关的支出。</w:t>
            </w:r>
          </w:p>
        </w:tc>
        <w:tc>
          <w:tcPr>
            <w:tcW w:w="725" w:type="dxa"/>
            <w:vAlign w:val="center"/>
          </w:tcPr>
          <w:p w14:paraId="580AA2D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lastRenderedPageBreak/>
              <w:t>√</w:t>
            </w:r>
          </w:p>
        </w:tc>
      </w:tr>
      <w:tr w:rsidR="002D2AF8" w14:paraId="3C334D98" w14:textId="77777777">
        <w:trPr>
          <w:trHeight w:val="510"/>
        </w:trPr>
        <w:tc>
          <w:tcPr>
            <w:tcW w:w="8522" w:type="dxa"/>
            <w:gridSpan w:val="5"/>
            <w:vAlign w:val="center"/>
          </w:tcPr>
          <w:p w14:paraId="60266666" w14:textId="77777777" w:rsidR="002D2AF8" w:rsidRDefault="00000000">
            <w:pPr>
              <w:overflowPunct w:val="0"/>
              <w:adjustRightInd w:val="0"/>
              <w:snapToGrid w:val="0"/>
              <w:jc w:val="center"/>
              <w:rPr>
                <w:b/>
                <w:bCs/>
                <w:color w:val="000000" w:themeColor="text1"/>
                <w:kern w:val="0"/>
                <w:szCs w:val="21"/>
              </w:rPr>
            </w:pPr>
            <w:r>
              <w:rPr>
                <w:b/>
                <w:bCs/>
                <w:color w:val="000000" w:themeColor="text1"/>
                <w:kern w:val="0"/>
                <w:szCs w:val="21"/>
              </w:rPr>
              <w:t>十</w:t>
            </w:r>
            <w:r>
              <w:rPr>
                <w:rFonts w:hint="eastAsia"/>
                <w:b/>
                <w:bCs/>
                <w:color w:val="000000" w:themeColor="text1"/>
                <w:kern w:val="0"/>
                <w:szCs w:val="21"/>
              </w:rPr>
              <w:t>一</w:t>
            </w:r>
            <w:r>
              <w:rPr>
                <w:b/>
                <w:bCs/>
                <w:color w:val="000000" w:themeColor="text1"/>
                <w:kern w:val="0"/>
                <w:szCs w:val="21"/>
              </w:rPr>
              <w:t>、应急管理</w:t>
            </w:r>
          </w:p>
        </w:tc>
      </w:tr>
      <w:tr w:rsidR="002D2AF8" w14:paraId="5EBA6485" w14:textId="77777777">
        <w:trPr>
          <w:trHeight w:val="510"/>
        </w:trPr>
        <w:tc>
          <w:tcPr>
            <w:tcW w:w="427" w:type="dxa"/>
            <w:vMerge w:val="restart"/>
            <w:vAlign w:val="center"/>
          </w:tcPr>
          <w:p w14:paraId="17348156"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54526DCC"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根据有关法律、法规、规章和相关标准，结合本单位组织管理体系、生产规模和可能发生的事故特点，与相关预案保持衔接，确立本单位的应急预案体系，编制相应的应急预案，并体现自救互救和先期处置等特点。</w:t>
            </w:r>
          </w:p>
        </w:tc>
        <w:tc>
          <w:tcPr>
            <w:tcW w:w="2416" w:type="dxa"/>
            <w:vAlign w:val="center"/>
          </w:tcPr>
          <w:p w14:paraId="794B15BB"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《生产安全事故应急预案管理办法》</w:t>
            </w:r>
          </w:p>
          <w:p w14:paraId="508D92FB"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第十二条</w:t>
            </w:r>
          </w:p>
        </w:tc>
        <w:tc>
          <w:tcPr>
            <w:tcW w:w="2019" w:type="dxa"/>
            <w:vAlign w:val="center"/>
          </w:tcPr>
          <w:p w14:paraId="624C7E53" w14:textId="77777777" w:rsidR="002D2AF8" w:rsidRDefault="00000000">
            <w:pPr>
              <w:overflowPunct w:val="0"/>
              <w:adjustRightInd w:val="0"/>
              <w:snapToGrid w:val="0"/>
              <w:jc w:val="center"/>
              <w:rPr>
                <w:color w:val="000000" w:themeColor="text1"/>
                <w:kern w:val="0"/>
                <w:szCs w:val="21"/>
              </w:rPr>
            </w:pPr>
            <w:r>
              <w:rPr>
                <w:rFonts w:hint="eastAsia"/>
                <w:color w:val="000000" w:themeColor="text1"/>
                <w:kern w:val="0"/>
                <w:szCs w:val="21"/>
              </w:rPr>
              <w:t>胜兴堵驱公司</w:t>
            </w:r>
            <w:r>
              <w:rPr>
                <w:color w:val="000000" w:themeColor="text1"/>
                <w:kern w:val="0"/>
                <w:szCs w:val="21"/>
              </w:rPr>
              <w:t>已编制相应的应急预案。</w:t>
            </w:r>
          </w:p>
        </w:tc>
        <w:tc>
          <w:tcPr>
            <w:tcW w:w="725" w:type="dxa"/>
            <w:vAlign w:val="center"/>
          </w:tcPr>
          <w:p w14:paraId="2B97198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3B8C83B7" w14:textId="77777777">
        <w:trPr>
          <w:trHeight w:val="510"/>
        </w:trPr>
        <w:tc>
          <w:tcPr>
            <w:tcW w:w="427" w:type="dxa"/>
            <w:vMerge/>
            <w:vAlign w:val="center"/>
          </w:tcPr>
          <w:p w14:paraId="2FAF296B"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DD4C54F"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的应急预案体系主要由综合应急预案、专项应急预案和现场处置方案构成。生产经营单位应根据法律、法规和相关标准，结合本单位组织管理体系、生产规模、和可能发生的事故特点，科学合理建立本单位的应急预案体系，并注意与其他类别应急预案相衔接。</w:t>
            </w:r>
          </w:p>
        </w:tc>
        <w:tc>
          <w:tcPr>
            <w:tcW w:w="2416" w:type="dxa"/>
            <w:vAlign w:val="center"/>
          </w:tcPr>
          <w:p w14:paraId="16A266EE"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GB/T29639-2020</w:t>
            </w:r>
          </w:p>
          <w:p w14:paraId="6F537C6B"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5.1</w:t>
            </w:r>
          </w:p>
        </w:tc>
        <w:tc>
          <w:tcPr>
            <w:tcW w:w="2019" w:type="dxa"/>
            <w:vAlign w:val="center"/>
          </w:tcPr>
          <w:p w14:paraId="70D90B6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应急预案体系主要由综合应急预案和现场处置方案构成。</w:t>
            </w:r>
          </w:p>
        </w:tc>
        <w:tc>
          <w:tcPr>
            <w:tcW w:w="725" w:type="dxa"/>
            <w:vAlign w:val="center"/>
          </w:tcPr>
          <w:p w14:paraId="51977C68"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75FFC008" w14:textId="77777777">
        <w:trPr>
          <w:trHeight w:val="510"/>
        </w:trPr>
        <w:tc>
          <w:tcPr>
            <w:tcW w:w="427" w:type="dxa"/>
            <w:vAlign w:val="center"/>
          </w:tcPr>
          <w:p w14:paraId="18A5C678"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2ABBABE8"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矿山、金属冶炼企业和易燃易爆物品、危险化学品的生产、经营（带储存设施的，下同）、储存、运输企业，以及使用危险化学品达到国家规定数量</w:t>
            </w:r>
            <w:r>
              <w:rPr>
                <w:color w:val="000000" w:themeColor="text1"/>
                <w:kern w:val="0"/>
                <w:szCs w:val="21"/>
              </w:rPr>
              <w:lastRenderedPageBreak/>
              <w:t>的化工企业、烟花爆竹生产、批发经营企业和中型规模以上的其他生产经营单位，应当对本单位编制的应急预案进行评审，并形成书面评审纪要。</w:t>
            </w:r>
          </w:p>
        </w:tc>
        <w:tc>
          <w:tcPr>
            <w:tcW w:w="2416" w:type="dxa"/>
            <w:vAlign w:val="center"/>
          </w:tcPr>
          <w:p w14:paraId="7CBEB39A"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lastRenderedPageBreak/>
              <w:t>《生产安全事故应急预案管理办法》</w:t>
            </w:r>
          </w:p>
          <w:p w14:paraId="3AFD105C"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第十二条</w:t>
            </w:r>
          </w:p>
        </w:tc>
        <w:tc>
          <w:tcPr>
            <w:tcW w:w="2019" w:type="dxa"/>
            <w:vAlign w:val="center"/>
          </w:tcPr>
          <w:p w14:paraId="1969652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已对预案进行评审，出具评审意见。</w:t>
            </w:r>
          </w:p>
        </w:tc>
        <w:tc>
          <w:tcPr>
            <w:tcW w:w="725" w:type="dxa"/>
            <w:vAlign w:val="center"/>
          </w:tcPr>
          <w:p w14:paraId="7B5B3B5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78DE1571" w14:textId="77777777">
        <w:trPr>
          <w:trHeight w:val="510"/>
        </w:trPr>
        <w:tc>
          <w:tcPr>
            <w:tcW w:w="427" w:type="dxa"/>
            <w:vAlign w:val="center"/>
          </w:tcPr>
          <w:p w14:paraId="6F76EDDC"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409013F9"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易燃易爆物品、危险化学品等危险物品的生产、经营、储存、运输单位，矿山、金属冶炼、城市轨道交通运营、建筑施工单位，以及宾馆、商场、娱乐场所、旅游景区等人员密集场所经营单位，应当在应急预案公布之日起</w:t>
            </w:r>
            <w:r>
              <w:rPr>
                <w:color w:val="000000" w:themeColor="text1"/>
                <w:kern w:val="0"/>
                <w:szCs w:val="21"/>
              </w:rPr>
              <w:t>20</w:t>
            </w:r>
            <w:r>
              <w:rPr>
                <w:color w:val="000000" w:themeColor="text1"/>
                <w:kern w:val="0"/>
                <w:szCs w:val="21"/>
              </w:rPr>
              <w:t>个工作日内，按照分级属地原则，向县级以上人民政府应急管理部门和其他负有安全生产监督管理职责的部门进行备案，并依法向社会公布。</w:t>
            </w:r>
          </w:p>
        </w:tc>
        <w:tc>
          <w:tcPr>
            <w:tcW w:w="2416" w:type="dxa"/>
            <w:vAlign w:val="center"/>
          </w:tcPr>
          <w:p w14:paraId="725B0574"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《生产安全事故应急预案管理办法》</w:t>
            </w:r>
          </w:p>
          <w:p w14:paraId="28ED36B7"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第二十六条</w:t>
            </w:r>
          </w:p>
        </w:tc>
        <w:tc>
          <w:tcPr>
            <w:tcW w:w="2019" w:type="dxa"/>
            <w:vAlign w:val="center"/>
          </w:tcPr>
          <w:p w14:paraId="2F58E2D3"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编制的应急预案已于</w:t>
            </w:r>
            <w:r>
              <w:rPr>
                <w:color w:val="000000" w:themeColor="text1"/>
                <w:kern w:val="0"/>
                <w:szCs w:val="21"/>
              </w:rPr>
              <w:t>2022</w:t>
            </w:r>
            <w:r>
              <w:rPr>
                <w:color w:val="000000" w:themeColor="text1"/>
                <w:kern w:val="0"/>
                <w:szCs w:val="21"/>
              </w:rPr>
              <w:t>年</w:t>
            </w:r>
            <w:r>
              <w:rPr>
                <w:color w:val="000000" w:themeColor="text1"/>
                <w:kern w:val="0"/>
                <w:szCs w:val="21"/>
              </w:rPr>
              <w:t>4</w:t>
            </w:r>
            <w:r>
              <w:rPr>
                <w:color w:val="000000" w:themeColor="text1"/>
                <w:kern w:val="0"/>
                <w:szCs w:val="21"/>
              </w:rPr>
              <w:t>月</w:t>
            </w:r>
            <w:r>
              <w:rPr>
                <w:color w:val="000000" w:themeColor="text1"/>
                <w:kern w:val="0"/>
                <w:szCs w:val="21"/>
              </w:rPr>
              <w:t>15</w:t>
            </w:r>
            <w:r>
              <w:rPr>
                <w:color w:val="000000" w:themeColor="text1"/>
                <w:kern w:val="0"/>
                <w:szCs w:val="21"/>
              </w:rPr>
              <w:t>日在东营市垦利区应急管理局备案</w:t>
            </w:r>
            <w:r>
              <w:rPr>
                <w:rFonts w:hint="eastAsia"/>
                <w:color w:val="000000" w:themeColor="text1"/>
                <w:kern w:val="0"/>
                <w:szCs w:val="21"/>
              </w:rPr>
              <w:t>，</w:t>
            </w:r>
            <w:r>
              <w:rPr>
                <w:color w:val="000000" w:themeColor="text1"/>
                <w:kern w:val="0"/>
                <w:szCs w:val="21"/>
              </w:rPr>
              <w:t>备案编号：</w:t>
            </w:r>
            <w:r>
              <w:rPr>
                <w:color w:val="000000" w:themeColor="text1"/>
                <w:kern w:val="0"/>
                <w:szCs w:val="21"/>
              </w:rPr>
              <w:t>GM370503-2022-07</w:t>
            </w:r>
            <w:r>
              <w:rPr>
                <w:color w:val="000000" w:themeColor="text1"/>
                <w:kern w:val="0"/>
                <w:szCs w:val="21"/>
              </w:rPr>
              <w:t>。</w:t>
            </w:r>
          </w:p>
        </w:tc>
        <w:tc>
          <w:tcPr>
            <w:tcW w:w="725" w:type="dxa"/>
            <w:vAlign w:val="center"/>
          </w:tcPr>
          <w:p w14:paraId="0002720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36E0DB1F" w14:textId="77777777">
        <w:trPr>
          <w:trHeight w:val="510"/>
        </w:trPr>
        <w:tc>
          <w:tcPr>
            <w:tcW w:w="427" w:type="dxa"/>
            <w:vAlign w:val="center"/>
          </w:tcPr>
          <w:p w14:paraId="7AE97D25"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A72EE33"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高危和人员密集单位应当每半年至少组织</w:t>
            </w:r>
            <w:r>
              <w:rPr>
                <w:color w:val="000000" w:themeColor="text1"/>
                <w:kern w:val="0"/>
                <w:szCs w:val="21"/>
              </w:rPr>
              <w:t>1</w:t>
            </w:r>
            <w:r>
              <w:rPr>
                <w:color w:val="000000" w:themeColor="text1"/>
                <w:kern w:val="0"/>
                <w:szCs w:val="21"/>
              </w:rPr>
              <w:t>次综合或者专项应急预案演练，每</w:t>
            </w:r>
            <w:r>
              <w:rPr>
                <w:color w:val="000000" w:themeColor="text1"/>
                <w:kern w:val="0"/>
                <w:szCs w:val="21"/>
              </w:rPr>
              <w:t>2</w:t>
            </w:r>
            <w:r>
              <w:rPr>
                <w:color w:val="000000" w:themeColor="text1"/>
                <w:kern w:val="0"/>
                <w:szCs w:val="21"/>
              </w:rPr>
              <w:t>年对所有专项应急预案至少组织</w:t>
            </w:r>
            <w:r>
              <w:rPr>
                <w:color w:val="000000" w:themeColor="text1"/>
                <w:kern w:val="0"/>
                <w:szCs w:val="21"/>
              </w:rPr>
              <w:t>1</w:t>
            </w:r>
            <w:r>
              <w:rPr>
                <w:color w:val="000000" w:themeColor="text1"/>
                <w:kern w:val="0"/>
                <w:szCs w:val="21"/>
              </w:rPr>
              <w:t>次演练，每半年对所有现场处置方案至少组织</w:t>
            </w:r>
            <w:r>
              <w:rPr>
                <w:color w:val="000000" w:themeColor="text1"/>
                <w:kern w:val="0"/>
                <w:szCs w:val="21"/>
              </w:rPr>
              <w:t>1</w:t>
            </w:r>
            <w:r>
              <w:rPr>
                <w:color w:val="000000" w:themeColor="text1"/>
                <w:kern w:val="0"/>
                <w:szCs w:val="21"/>
              </w:rPr>
              <w:t>次演练。</w:t>
            </w:r>
          </w:p>
        </w:tc>
        <w:tc>
          <w:tcPr>
            <w:tcW w:w="2416" w:type="dxa"/>
            <w:vAlign w:val="center"/>
          </w:tcPr>
          <w:p w14:paraId="5628FAC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《山东省生产安全事故应急办法》</w:t>
            </w:r>
          </w:p>
          <w:p w14:paraId="7D2AC0B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第十三条</w:t>
            </w:r>
          </w:p>
        </w:tc>
        <w:tc>
          <w:tcPr>
            <w:tcW w:w="2019" w:type="dxa"/>
            <w:vAlign w:val="center"/>
          </w:tcPr>
          <w:p w14:paraId="6C2F6346"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演练频次符合要求。</w:t>
            </w:r>
          </w:p>
        </w:tc>
        <w:tc>
          <w:tcPr>
            <w:tcW w:w="725" w:type="dxa"/>
            <w:vAlign w:val="center"/>
          </w:tcPr>
          <w:p w14:paraId="710062F2"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465DE5C4" w14:textId="77777777">
        <w:trPr>
          <w:trHeight w:val="510"/>
        </w:trPr>
        <w:tc>
          <w:tcPr>
            <w:tcW w:w="427" w:type="dxa"/>
            <w:vAlign w:val="center"/>
          </w:tcPr>
          <w:p w14:paraId="6B42FBD1"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03C36CAD"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应急预案演练结束后，应急预案演练组织单位应当对应急预案演练效果进行评估，撰写应急预案演练评估报告，分析存在的问题，并对应急预案提出修订意见。</w:t>
            </w:r>
          </w:p>
        </w:tc>
        <w:tc>
          <w:tcPr>
            <w:tcW w:w="2416" w:type="dxa"/>
            <w:vAlign w:val="center"/>
          </w:tcPr>
          <w:p w14:paraId="7B2CE41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《生产安全事故应急预案管理办法》</w:t>
            </w:r>
          </w:p>
          <w:p w14:paraId="0438206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第三十四条</w:t>
            </w:r>
          </w:p>
        </w:tc>
        <w:tc>
          <w:tcPr>
            <w:tcW w:w="2019" w:type="dxa"/>
            <w:vAlign w:val="center"/>
          </w:tcPr>
          <w:p w14:paraId="783ED5D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有演练小结、存在问题及整改措施。</w:t>
            </w:r>
          </w:p>
        </w:tc>
        <w:tc>
          <w:tcPr>
            <w:tcW w:w="725" w:type="dxa"/>
            <w:vAlign w:val="center"/>
          </w:tcPr>
          <w:p w14:paraId="1D9DB60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2F1BA024" w14:textId="77777777">
        <w:trPr>
          <w:trHeight w:val="510"/>
        </w:trPr>
        <w:tc>
          <w:tcPr>
            <w:tcW w:w="427" w:type="dxa"/>
            <w:vMerge w:val="restart"/>
            <w:vAlign w:val="center"/>
          </w:tcPr>
          <w:p w14:paraId="1B447044"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2B938EEF"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生产经营单位应当建立应急救援组织，配备相应的应急救援器材及装备。不具备单独建立专业应急救援队伍的规模较小的生产经营单位，应当与邻近建有专业救援队伍的企业或者单位签订救援协议，或者联合建立专业应急救援队伍。</w:t>
            </w:r>
          </w:p>
        </w:tc>
        <w:tc>
          <w:tcPr>
            <w:tcW w:w="2416" w:type="dxa"/>
            <w:vAlign w:val="center"/>
          </w:tcPr>
          <w:p w14:paraId="56DF436F"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《山东省生产经营单位安全生产主体责任规定》</w:t>
            </w:r>
          </w:p>
          <w:p w14:paraId="4E2AE6A5"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第二十三条</w:t>
            </w:r>
          </w:p>
        </w:tc>
        <w:tc>
          <w:tcPr>
            <w:tcW w:w="2019" w:type="dxa"/>
            <w:vMerge w:val="restart"/>
            <w:vAlign w:val="center"/>
          </w:tcPr>
          <w:p w14:paraId="5EDF224E"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已建立事故应急救援组织，配备必要的应急救援器材、设备；与相关单位签订了救援协议。</w:t>
            </w:r>
          </w:p>
        </w:tc>
        <w:tc>
          <w:tcPr>
            <w:tcW w:w="725" w:type="dxa"/>
            <w:vMerge w:val="restart"/>
            <w:vAlign w:val="center"/>
          </w:tcPr>
          <w:p w14:paraId="3133E66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w:t>
            </w:r>
          </w:p>
        </w:tc>
      </w:tr>
      <w:tr w:rsidR="002D2AF8" w14:paraId="49BB2ACF" w14:textId="77777777">
        <w:trPr>
          <w:trHeight w:val="510"/>
        </w:trPr>
        <w:tc>
          <w:tcPr>
            <w:tcW w:w="427" w:type="dxa"/>
            <w:vMerge/>
            <w:vAlign w:val="center"/>
          </w:tcPr>
          <w:p w14:paraId="51DB55ED" w14:textId="77777777" w:rsidR="002D2AF8" w:rsidRDefault="002D2AF8">
            <w:pPr>
              <w:numPr>
                <w:ilvl w:val="0"/>
                <w:numId w:val="18"/>
              </w:numPr>
              <w:overflowPunct w:val="0"/>
              <w:adjustRightInd w:val="0"/>
              <w:snapToGrid w:val="0"/>
              <w:jc w:val="center"/>
              <w:rPr>
                <w:color w:val="000000" w:themeColor="text1"/>
                <w:kern w:val="0"/>
                <w:szCs w:val="21"/>
              </w:rPr>
            </w:pPr>
          </w:p>
        </w:tc>
        <w:tc>
          <w:tcPr>
            <w:tcW w:w="2935" w:type="dxa"/>
            <w:vAlign w:val="center"/>
          </w:tcPr>
          <w:p w14:paraId="667C3E8F" w14:textId="77777777" w:rsidR="002D2AF8" w:rsidRDefault="00000000">
            <w:pPr>
              <w:overflowPunct w:val="0"/>
              <w:adjustRightInd w:val="0"/>
              <w:snapToGrid w:val="0"/>
              <w:jc w:val="left"/>
              <w:rPr>
                <w:color w:val="000000" w:themeColor="text1"/>
                <w:kern w:val="0"/>
                <w:szCs w:val="21"/>
              </w:rPr>
            </w:pPr>
            <w:r>
              <w:rPr>
                <w:color w:val="000000" w:themeColor="text1"/>
                <w:kern w:val="0"/>
                <w:szCs w:val="21"/>
              </w:rPr>
              <w:t>建立事故应急救援组织，配备必要的应急救援器材、设备；生产规模较小可以不建立事故应急救援组织的，应当指定兼职的应急救援人员，并与邻近的矿山救护队或者其他应急救援组织签订救护协议。</w:t>
            </w:r>
          </w:p>
        </w:tc>
        <w:tc>
          <w:tcPr>
            <w:tcW w:w="2416" w:type="dxa"/>
            <w:vAlign w:val="center"/>
          </w:tcPr>
          <w:p w14:paraId="4778EF81"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《非煤矿矿山企业安全生产许可证实施办法》</w:t>
            </w:r>
          </w:p>
          <w:p w14:paraId="058915DD" w14:textId="77777777" w:rsidR="002D2AF8" w:rsidRDefault="00000000">
            <w:pPr>
              <w:overflowPunct w:val="0"/>
              <w:adjustRightInd w:val="0"/>
              <w:snapToGrid w:val="0"/>
              <w:jc w:val="center"/>
              <w:rPr>
                <w:color w:val="000000" w:themeColor="text1"/>
                <w:kern w:val="0"/>
                <w:szCs w:val="21"/>
              </w:rPr>
            </w:pPr>
            <w:r>
              <w:rPr>
                <w:color w:val="000000" w:themeColor="text1"/>
                <w:kern w:val="0"/>
                <w:szCs w:val="21"/>
              </w:rPr>
              <w:t>第六条</w:t>
            </w:r>
          </w:p>
        </w:tc>
        <w:tc>
          <w:tcPr>
            <w:tcW w:w="2019" w:type="dxa"/>
            <w:vMerge/>
            <w:vAlign w:val="center"/>
          </w:tcPr>
          <w:p w14:paraId="77186545" w14:textId="77777777" w:rsidR="002D2AF8" w:rsidRDefault="002D2AF8">
            <w:pPr>
              <w:overflowPunct w:val="0"/>
              <w:adjustRightInd w:val="0"/>
              <w:snapToGrid w:val="0"/>
              <w:jc w:val="center"/>
              <w:rPr>
                <w:color w:val="000000" w:themeColor="text1"/>
                <w:kern w:val="0"/>
                <w:szCs w:val="21"/>
              </w:rPr>
            </w:pPr>
          </w:p>
        </w:tc>
        <w:tc>
          <w:tcPr>
            <w:tcW w:w="725" w:type="dxa"/>
            <w:vMerge/>
            <w:vAlign w:val="center"/>
          </w:tcPr>
          <w:p w14:paraId="7DF20BC9" w14:textId="77777777" w:rsidR="002D2AF8" w:rsidRDefault="002D2AF8">
            <w:pPr>
              <w:overflowPunct w:val="0"/>
              <w:adjustRightInd w:val="0"/>
              <w:snapToGrid w:val="0"/>
              <w:jc w:val="left"/>
              <w:rPr>
                <w:color w:val="000000" w:themeColor="text1"/>
                <w:kern w:val="0"/>
                <w:szCs w:val="21"/>
              </w:rPr>
            </w:pPr>
          </w:p>
        </w:tc>
      </w:tr>
    </w:tbl>
    <w:p w14:paraId="2C662CBB" w14:textId="77777777" w:rsidR="002D2AF8"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rPr>
        <w:lastRenderedPageBreak/>
        <w:t>评价小结：安全检查表共列出</w:t>
      </w:r>
      <w:r>
        <w:rPr>
          <w:rFonts w:hint="eastAsia"/>
          <w:color w:val="000000" w:themeColor="text1"/>
          <w:sz w:val="28"/>
        </w:rPr>
        <w:t>37</w:t>
      </w:r>
      <w:r>
        <w:rPr>
          <w:color w:val="000000" w:themeColor="text1"/>
          <w:sz w:val="28"/>
        </w:rPr>
        <w:t>项检查内容，</w:t>
      </w:r>
      <w:r>
        <w:rPr>
          <w:rFonts w:hint="eastAsia"/>
          <w:color w:val="000000" w:themeColor="text1"/>
          <w:sz w:val="28"/>
        </w:rPr>
        <w:t>37</w:t>
      </w:r>
      <w:r>
        <w:rPr>
          <w:color w:val="000000" w:themeColor="text1"/>
          <w:sz w:val="28"/>
        </w:rPr>
        <w:t>项符合，</w:t>
      </w:r>
      <w:r>
        <w:rPr>
          <w:rFonts w:hint="eastAsia"/>
          <w:color w:val="000000" w:themeColor="text1"/>
          <w:sz w:val="28"/>
        </w:rPr>
        <w:t>无</w:t>
      </w:r>
      <w:r>
        <w:rPr>
          <w:color w:val="000000" w:themeColor="text1"/>
          <w:sz w:val="28"/>
        </w:rPr>
        <w:t>不符合</w:t>
      </w:r>
      <w:r>
        <w:rPr>
          <w:rFonts w:hint="eastAsia"/>
          <w:color w:val="000000" w:themeColor="text1"/>
          <w:sz w:val="28"/>
        </w:rPr>
        <w:t>项</w:t>
      </w:r>
      <w:r>
        <w:rPr>
          <w:color w:val="000000" w:themeColor="text1"/>
          <w:sz w:val="28"/>
          <w:szCs w:val="28"/>
        </w:rPr>
        <w:t>。</w:t>
      </w:r>
    </w:p>
    <w:p w14:paraId="66CEBA21" w14:textId="77777777" w:rsidR="002D2AF8" w:rsidRDefault="00000000">
      <w:pPr>
        <w:rPr>
          <w:rFonts w:eastAsia="楷体_GB2312"/>
          <w:b/>
          <w:color w:val="000000" w:themeColor="text1"/>
          <w:sz w:val="36"/>
          <w:szCs w:val="36"/>
        </w:rPr>
      </w:pPr>
      <w:r>
        <w:rPr>
          <w:rFonts w:eastAsia="楷体_GB2312"/>
          <w:b/>
          <w:color w:val="000000" w:themeColor="text1"/>
          <w:sz w:val="36"/>
          <w:szCs w:val="36"/>
        </w:rPr>
        <w:br w:type="page"/>
      </w:r>
    </w:p>
    <w:p w14:paraId="23C766AC" w14:textId="77777777" w:rsidR="002D2AF8" w:rsidRDefault="00000000">
      <w:pPr>
        <w:pStyle w:val="10"/>
        <w:keepNext w:val="0"/>
        <w:adjustRightInd w:val="0"/>
        <w:snapToGrid w:val="0"/>
        <w:spacing w:line="360" w:lineRule="auto"/>
        <w:rPr>
          <w:rFonts w:eastAsia="楷体_GB2312"/>
          <w:b/>
          <w:color w:val="000000" w:themeColor="text1"/>
          <w:sz w:val="36"/>
          <w:szCs w:val="36"/>
        </w:rPr>
      </w:pPr>
      <w:bookmarkStart w:id="112" w:name="_Toc21347"/>
      <w:r>
        <w:rPr>
          <w:rFonts w:eastAsia="楷体_GB2312"/>
          <w:b/>
          <w:color w:val="000000" w:themeColor="text1"/>
          <w:sz w:val="36"/>
          <w:szCs w:val="36"/>
        </w:rPr>
        <w:lastRenderedPageBreak/>
        <w:t xml:space="preserve">6 </w:t>
      </w:r>
      <w:r>
        <w:rPr>
          <w:rFonts w:eastAsia="楷体_GB2312"/>
          <w:b/>
          <w:color w:val="000000" w:themeColor="text1"/>
          <w:sz w:val="36"/>
          <w:szCs w:val="36"/>
        </w:rPr>
        <w:t>安全对策措施与管理建议</w:t>
      </w:r>
      <w:bookmarkEnd w:id="110"/>
      <w:bookmarkEnd w:id="112"/>
    </w:p>
    <w:p w14:paraId="33BA906E" w14:textId="77777777" w:rsidR="002D2AF8" w:rsidRDefault="00000000">
      <w:pPr>
        <w:pStyle w:val="20"/>
        <w:keepNext w:val="0"/>
        <w:keepLines w:val="0"/>
        <w:adjustRightInd w:val="0"/>
        <w:snapToGrid w:val="0"/>
        <w:spacing w:before="0" w:after="0" w:line="360" w:lineRule="auto"/>
        <w:rPr>
          <w:rFonts w:ascii="Times New Roman" w:eastAsia="楷体_GB2312" w:hAnsi="Times New Roman"/>
          <w:color w:val="000000" w:themeColor="text1"/>
          <w:sz w:val="28"/>
          <w:szCs w:val="28"/>
        </w:rPr>
      </w:pPr>
      <w:bookmarkStart w:id="113" w:name="_Toc21600"/>
      <w:bookmarkStart w:id="114" w:name="_Toc281310754"/>
      <w:r>
        <w:rPr>
          <w:rFonts w:ascii="Times New Roman" w:hAnsi="Times New Roman"/>
          <w:b w:val="0"/>
          <w:bCs/>
          <w:color w:val="000000" w:themeColor="text1"/>
          <w:szCs w:val="32"/>
        </w:rPr>
        <w:t xml:space="preserve">6.1 </w:t>
      </w:r>
      <w:r>
        <w:rPr>
          <w:rFonts w:ascii="Times New Roman" w:hAnsi="Times New Roman"/>
          <w:b w:val="0"/>
          <w:bCs/>
          <w:color w:val="000000" w:themeColor="text1"/>
          <w:szCs w:val="32"/>
        </w:rPr>
        <w:t>安全对策措施</w:t>
      </w:r>
      <w:bookmarkEnd w:id="113"/>
      <w:bookmarkEnd w:id="114"/>
    </w:p>
    <w:p w14:paraId="17438B6E"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本次评价中发现的尚未完善或不符合要求的内容需整改如下：</w:t>
      </w:r>
    </w:p>
    <w:p w14:paraId="1548A8AC"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rFonts w:hint="eastAsia"/>
          <w:color w:val="000000" w:themeColor="text1"/>
          <w:sz w:val="28"/>
          <w:szCs w:val="28"/>
        </w:rPr>
        <w:t>存在问题：</w:t>
      </w:r>
      <w:r>
        <w:rPr>
          <w:color w:val="000000" w:themeColor="text1"/>
          <w:sz w:val="28"/>
          <w:szCs w:val="28"/>
        </w:rPr>
        <w:t>配液罐未安装液位计。</w:t>
      </w:r>
    </w:p>
    <w:p w14:paraId="1F7B7A52"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整改建议：所有配液罐应</w:t>
      </w:r>
      <w:r>
        <w:rPr>
          <w:color w:val="000000" w:themeColor="text1"/>
          <w:sz w:val="28"/>
          <w:szCs w:val="28"/>
        </w:rPr>
        <w:t>安装液位计。</w:t>
      </w:r>
    </w:p>
    <w:p w14:paraId="5F10593B"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rFonts w:hint="eastAsia"/>
          <w:color w:val="000000" w:themeColor="text1"/>
          <w:sz w:val="28"/>
          <w:szCs w:val="28"/>
        </w:rPr>
        <w:t>存在问题：</w:t>
      </w:r>
      <w:r>
        <w:rPr>
          <w:color w:val="000000" w:themeColor="text1"/>
          <w:sz w:val="28"/>
          <w:szCs w:val="28"/>
        </w:rPr>
        <w:t>现场警示标志设置不全，缺少</w:t>
      </w:r>
      <w:r>
        <w:rPr>
          <w:color w:val="000000" w:themeColor="text1"/>
          <w:sz w:val="28"/>
          <w:szCs w:val="28"/>
        </w:rPr>
        <w:t>“</w:t>
      </w:r>
      <w:r>
        <w:rPr>
          <w:color w:val="000000" w:themeColor="text1"/>
          <w:sz w:val="28"/>
          <w:szCs w:val="28"/>
        </w:rPr>
        <w:t>当心井喷</w:t>
      </w:r>
      <w:r>
        <w:rPr>
          <w:color w:val="000000" w:themeColor="text1"/>
          <w:sz w:val="28"/>
          <w:szCs w:val="28"/>
        </w:rPr>
        <w:t>”</w:t>
      </w:r>
      <w:r>
        <w:rPr>
          <w:color w:val="000000" w:themeColor="text1"/>
          <w:sz w:val="28"/>
          <w:szCs w:val="28"/>
        </w:rPr>
        <w:t>，</w:t>
      </w:r>
      <w:r>
        <w:rPr>
          <w:color w:val="000000" w:themeColor="text1"/>
          <w:sz w:val="28"/>
          <w:szCs w:val="28"/>
        </w:rPr>
        <w:t>“</w:t>
      </w:r>
      <w:r>
        <w:rPr>
          <w:color w:val="000000" w:themeColor="text1"/>
          <w:sz w:val="28"/>
          <w:szCs w:val="28"/>
        </w:rPr>
        <w:t>当心中毒</w:t>
      </w:r>
      <w:r>
        <w:rPr>
          <w:color w:val="000000" w:themeColor="text1"/>
          <w:sz w:val="28"/>
          <w:szCs w:val="28"/>
        </w:rPr>
        <w:t>”</w:t>
      </w:r>
      <w:r>
        <w:rPr>
          <w:color w:val="000000" w:themeColor="text1"/>
          <w:sz w:val="28"/>
          <w:szCs w:val="28"/>
        </w:rPr>
        <w:t>等安全警示标志。</w:t>
      </w:r>
    </w:p>
    <w:p w14:paraId="113C042E"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整改建议：应根据《井下作业安全规程》（</w:t>
      </w:r>
      <w:r>
        <w:rPr>
          <w:rFonts w:hint="eastAsia"/>
          <w:color w:val="000000" w:themeColor="text1"/>
          <w:sz w:val="28"/>
          <w:szCs w:val="28"/>
        </w:rPr>
        <w:t>SY/T5727-2020</w:t>
      </w:r>
      <w:r>
        <w:rPr>
          <w:rFonts w:hint="eastAsia"/>
          <w:color w:val="000000" w:themeColor="text1"/>
          <w:sz w:val="28"/>
          <w:szCs w:val="28"/>
        </w:rPr>
        <w:t>）里面的相关内容，增加</w:t>
      </w:r>
      <w:r>
        <w:rPr>
          <w:color w:val="000000" w:themeColor="text1"/>
          <w:sz w:val="28"/>
          <w:szCs w:val="28"/>
        </w:rPr>
        <w:t>“</w:t>
      </w:r>
      <w:r>
        <w:rPr>
          <w:color w:val="000000" w:themeColor="text1"/>
          <w:sz w:val="28"/>
          <w:szCs w:val="28"/>
        </w:rPr>
        <w:t>当心井喷</w:t>
      </w:r>
      <w:r>
        <w:rPr>
          <w:color w:val="000000" w:themeColor="text1"/>
          <w:sz w:val="28"/>
          <w:szCs w:val="28"/>
        </w:rPr>
        <w:t>”</w:t>
      </w:r>
      <w:r>
        <w:rPr>
          <w:color w:val="000000" w:themeColor="text1"/>
          <w:sz w:val="28"/>
          <w:szCs w:val="28"/>
        </w:rPr>
        <w:t>，</w:t>
      </w:r>
      <w:r>
        <w:rPr>
          <w:color w:val="000000" w:themeColor="text1"/>
          <w:sz w:val="28"/>
          <w:szCs w:val="28"/>
        </w:rPr>
        <w:t>“</w:t>
      </w:r>
      <w:r>
        <w:rPr>
          <w:color w:val="000000" w:themeColor="text1"/>
          <w:sz w:val="28"/>
          <w:szCs w:val="28"/>
        </w:rPr>
        <w:t>当心中毒</w:t>
      </w:r>
      <w:r>
        <w:rPr>
          <w:color w:val="000000" w:themeColor="text1"/>
          <w:sz w:val="28"/>
          <w:szCs w:val="28"/>
        </w:rPr>
        <w:t>”</w:t>
      </w:r>
      <w:r>
        <w:rPr>
          <w:color w:val="000000" w:themeColor="text1"/>
          <w:sz w:val="28"/>
          <w:szCs w:val="28"/>
        </w:rPr>
        <w:t>等安全警示标志。</w:t>
      </w:r>
    </w:p>
    <w:p w14:paraId="467900B9"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rFonts w:hint="eastAsia"/>
          <w:color w:val="000000" w:themeColor="text1"/>
          <w:sz w:val="28"/>
          <w:szCs w:val="28"/>
        </w:rPr>
        <w:t>存在问题：</w:t>
      </w:r>
      <w:r>
        <w:rPr>
          <w:color w:val="000000" w:themeColor="text1"/>
          <w:sz w:val="28"/>
          <w:szCs w:val="28"/>
        </w:rPr>
        <w:t>配电箱门未设专人管理。</w:t>
      </w:r>
    </w:p>
    <w:p w14:paraId="2B1D92E6"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整改建议：</w:t>
      </w:r>
      <w:r>
        <w:rPr>
          <w:color w:val="000000" w:themeColor="text1"/>
          <w:sz w:val="28"/>
          <w:szCs w:val="28"/>
        </w:rPr>
        <w:t>配电箱门</w:t>
      </w:r>
      <w:r>
        <w:rPr>
          <w:rFonts w:hint="eastAsia"/>
          <w:color w:val="000000" w:themeColor="text1"/>
          <w:sz w:val="28"/>
          <w:szCs w:val="28"/>
        </w:rPr>
        <w:t>应</w:t>
      </w:r>
      <w:r>
        <w:rPr>
          <w:color w:val="000000" w:themeColor="text1"/>
          <w:sz w:val="28"/>
          <w:szCs w:val="28"/>
        </w:rPr>
        <w:t>设专人管理。</w:t>
      </w:r>
    </w:p>
    <w:p w14:paraId="2899454B"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rFonts w:hint="eastAsia"/>
          <w:color w:val="000000" w:themeColor="text1"/>
          <w:sz w:val="28"/>
          <w:szCs w:val="28"/>
        </w:rPr>
        <w:t>存在问题：</w:t>
      </w:r>
      <w:r>
        <w:rPr>
          <w:color w:val="000000" w:themeColor="text1"/>
          <w:sz w:val="28"/>
          <w:szCs w:val="28"/>
        </w:rPr>
        <w:t>配电箱未见定期检查和维修记录。</w:t>
      </w:r>
    </w:p>
    <w:p w14:paraId="1B040984"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整改建议：配电箱应由持证电工定期进行检查和维修。</w:t>
      </w:r>
    </w:p>
    <w:p w14:paraId="04EDDA6F" w14:textId="77777777" w:rsidR="002D2AF8" w:rsidRDefault="00000000">
      <w:pPr>
        <w:adjustRightInd w:val="0"/>
        <w:snapToGrid w:val="0"/>
        <w:spacing w:line="360" w:lineRule="auto"/>
        <w:ind w:firstLineChars="200" w:firstLine="566"/>
        <w:rPr>
          <w:bCs/>
          <w:color w:val="000000" w:themeColor="text1"/>
          <w:szCs w:val="32"/>
        </w:rPr>
      </w:pPr>
      <w:r>
        <w:rPr>
          <w:color w:val="000000" w:themeColor="text1"/>
          <w:sz w:val="28"/>
          <w:szCs w:val="28"/>
        </w:rPr>
        <w:t>企业整改情况见第</w:t>
      </w:r>
      <w:r>
        <w:rPr>
          <w:color w:val="000000" w:themeColor="text1"/>
          <w:sz w:val="28"/>
          <w:szCs w:val="28"/>
        </w:rPr>
        <w:t>7</w:t>
      </w:r>
      <w:r>
        <w:rPr>
          <w:color w:val="000000" w:themeColor="text1"/>
          <w:sz w:val="28"/>
          <w:szCs w:val="28"/>
        </w:rPr>
        <w:t>章隐患整改复查情况。</w:t>
      </w:r>
      <w:bookmarkStart w:id="115" w:name="_Toc281310755"/>
    </w:p>
    <w:p w14:paraId="33E180C2" w14:textId="77777777" w:rsidR="002D2AF8" w:rsidRDefault="00000000">
      <w:pPr>
        <w:pStyle w:val="20"/>
        <w:keepNext w:val="0"/>
        <w:keepLines w:val="0"/>
        <w:adjustRightInd w:val="0"/>
        <w:snapToGrid w:val="0"/>
        <w:spacing w:before="0" w:after="0" w:line="360" w:lineRule="auto"/>
        <w:rPr>
          <w:rFonts w:ascii="Times New Roman" w:hAnsi="Times New Roman"/>
          <w:b w:val="0"/>
          <w:bCs/>
          <w:color w:val="000000" w:themeColor="text1"/>
          <w:szCs w:val="32"/>
        </w:rPr>
      </w:pPr>
      <w:bookmarkStart w:id="116" w:name="_Toc3952"/>
      <w:r>
        <w:rPr>
          <w:rFonts w:ascii="Times New Roman" w:hAnsi="Times New Roman"/>
          <w:b w:val="0"/>
          <w:bCs/>
          <w:color w:val="000000" w:themeColor="text1"/>
          <w:szCs w:val="32"/>
        </w:rPr>
        <w:t xml:space="preserve">6.2 </w:t>
      </w:r>
      <w:r>
        <w:rPr>
          <w:rFonts w:ascii="Times New Roman" w:hAnsi="Times New Roman"/>
          <w:b w:val="0"/>
          <w:bCs/>
          <w:color w:val="000000" w:themeColor="text1"/>
          <w:szCs w:val="32"/>
        </w:rPr>
        <w:t>安全管理建议</w:t>
      </w:r>
      <w:bookmarkEnd w:id="115"/>
      <w:bookmarkEnd w:id="116"/>
    </w:p>
    <w:p w14:paraId="6D15614C"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针对本次评价中发现的问题，提出以下建议措施：</w:t>
      </w:r>
    </w:p>
    <w:p w14:paraId="6842A41B"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1.</w:t>
      </w:r>
      <w:r>
        <w:rPr>
          <w:color w:val="000000" w:themeColor="text1"/>
          <w:sz w:val="28"/>
          <w:szCs w:val="28"/>
        </w:rPr>
        <w:t>值班房内配置</w:t>
      </w:r>
      <w:r>
        <w:rPr>
          <w:rFonts w:hint="eastAsia"/>
          <w:color w:val="000000" w:themeColor="text1"/>
          <w:sz w:val="28"/>
          <w:szCs w:val="28"/>
        </w:rPr>
        <w:t>的</w:t>
      </w:r>
      <w:r>
        <w:rPr>
          <w:color w:val="000000" w:themeColor="text1"/>
          <w:sz w:val="28"/>
          <w:szCs w:val="28"/>
        </w:rPr>
        <w:t>应急药箱和药品，</w:t>
      </w:r>
      <w:r>
        <w:rPr>
          <w:rFonts w:hint="eastAsia"/>
          <w:color w:val="000000" w:themeColor="text1"/>
          <w:sz w:val="28"/>
          <w:szCs w:val="28"/>
        </w:rPr>
        <w:t>应</w:t>
      </w:r>
      <w:r>
        <w:rPr>
          <w:color w:val="000000" w:themeColor="text1"/>
          <w:sz w:val="28"/>
          <w:szCs w:val="28"/>
        </w:rPr>
        <w:t>做好药品台账，注明药品名称、生产日期、有效期</w:t>
      </w:r>
      <w:r>
        <w:rPr>
          <w:rFonts w:hint="eastAsia"/>
          <w:color w:val="000000" w:themeColor="text1"/>
          <w:sz w:val="28"/>
          <w:szCs w:val="28"/>
        </w:rPr>
        <w:t>，以便对用完或过期的药品及时补充和更换</w:t>
      </w:r>
      <w:r>
        <w:rPr>
          <w:color w:val="000000" w:themeColor="text1"/>
          <w:sz w:val="28"/>
          <w:szCs w:val="28"/>
        </w:rPr>
        <w:t>。</w:t>
      </w:r>
    </w:p>
    <w:p w14:paraId="5F9E979E"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2.</w:t>
      </w:r>
      <w:r>
        <w:rPr>
          <w:color w:val="000000" w:themeColor="text1"/>
          <w:sz w:val="28"/>
          <w:szCs w:val="28"/>
        </w:rPr>
        <w:t>井下作业施工现场的记录应完整，齐全。</w:t>
      </w:r>
    </w:p>
    <w:p w14:paraId="622B733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3.</w:t>
      </w:r>
      <w:r>
        <w:rPr>
          <w:color w:val="000000" w:themeColor="text1"/>
          <w:sz w:val="28"/>
          <w:szCs w:val="28"/>
        </w:rPr>
        <w:t>定期组织接触职业病危害因素的员工进行职业病体检，完善职业健康监护档案。</w:t>
      </w:r>
    </w:p>
    <w:p w14:paraId="37F1127A"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4.</w:t>
      </w:r>
      <w:r>
        <w:rPr>
          <w:color w:val="000000" w:themeColor="text1"/>
          <w:sz w:val="28"/>
          <w:szCs w:val="28"/>
        </w:rPr>
        <w:t>应加强对作业人员的培训取证工作，定期组织教育、练兵、应急演练等活动，以提高员工的安全意识和岗位操作技能。此外应掌握新入职员工与证书即将到期的员工的情况，及时进行相应岗位的</w:t>
      </w:r>
      <w:r>
        <w:rPr>
          <w:color w:val="000000" w:themeColor="text1"/>
          <w:sz w:val="28"/>
          <w:szCs w:val="28"/>
        </w:rPr>
        <w:lastRenderedPageBreak/>
        <w:t>培训并在取得相应资格证书后再安排进入井场作业。</w:t>
      </w:r>
    </w:p>
    <w:p w14:paraId="365E9CF3"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5.</w:t>
      </w:r>
      <w:r>
        <w:rPr>
          <w:color w:val="000000" w:themeColor="text1"/>
          <w:sz w:val="28"/>
          <w:szCs w:val="28"/>
        </w:rPr>
        <w:t>加强施工现场电气设备、设施的定期安全检查维修工作，做好检查记录。</w:t>
      </w:r>
    </w:p>
    <w:p w14:paraId="66B7ECD1"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6.</w:t>
      </w:r>
      <w:r>
        <w:rPr>
          <w:color w:val="000000" w:themeColor="text1"/>
          <w:sz w:val="28"/>
          <w:szCs w:val="28"/>
        </w:rPr>
        <w:t>做好应急救援预案的演练记录，演练后，对预案进行评估，找出存在不足和缺陷</w:t>
      </w:r>
      <w:r>
        <w:rPr>
          <w:rFonts w:hint="eastAsia"/>
          <w:color w:val="000000" w:themeColor="text1"/>
          <w:sz w:val="28"/>
          <w:szCs w:val="28"/>
        </w:rPr>
        <w:t>，对应急预案定期进行修订</w:t>
      </w:r>
      <w:r>
        <w:rPr>
          <w:color w:val="000000" w:themeColor="text1"/>
          <w:sz w:val="28"/>
          <w:szCs w:val="28"/>
        </w:rPr>
        <w:t>。</w:t>
      </w:r>
    </w:p>
    <w:p w14:paraId="39050643"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7.</w:t>
      </w:r>
      <w:r>
        <w:rPr>
          <w:color w:val="000000" w:themeColor="text1"/>
          <w:sz w:val="28"/>
          <w:szCs w:val="28"/>
        </w:rPr>
        <w:t>加强现场有毒有害气体的检测（如</w:t>
      </w:r>
      <w:r>
        <w:rPr>
          <w:color w:val="000000" w:themeColor="text1"/>
          <w:sz w:val="28"/>
          <w:szCs w:val="28"/>
        </w:rPr>
        <w:t>H</w:t>
      </w:r>
      <w:r>
        <w:rPr>
          <w:color w:val="000000" w:themeColor="text1"/>
          <w:sz w:val="28"/>
          <w:szCs w:val="28"/>
          <w:vertAlign w:val="subscript"/>
        </w:rPr>
        <w:t>2</w:t>
      </w:r>
      <w:r>
        <w:rPr>
          <w:color w:val="000000" w:themeColor="text1"/>
          <w:sz w:val="28"/>
          <w:szCs w:val="28"/>
        </w:rPr>
        <w:t>S</w:t>
      </w:r>
      <w:r>
        <w:rPr>
          <w:color w:val="000000" w:themeColor="text1"/>
          <w:sz w:val="28"/>
          <w:szCs w:val="28"/>
        </w:rPr>
        <w:t>），并做详细记录。</w:t>
      </w:r>
    </w:p>
    <w:p w14:paraId="10CE073E"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8</w:t>
      </w:r>
      <w:r>
        <w:rPr>
          <w:color w:val="000000" w:themeColor="text1"/>
          <w:sz w:val="28"/>
          <w:szCs w:val="28"/>
        </w:rPr>
        <w:t>.</w:t>
      </w:r>
      <w:r>
        <w:rPr>
          <w:color w:val="000000" w:themeColor="text1"/>
          <w:sz w:val="28"/>
          <w:szCs w:val="28"/>
        </w:rPr>
        <w:t>对施工作业设备设施进行进行定期检测、探伤及更新，对气体检测</w:t>
      </w:r>
      <w:r>
        <w:rPr>
          <w:rFonts w:hint="eastAsia"/>
          <w:color w:val="000000" w:themeColor="text1"/>
          <w:sz w:val="28"/>
          <w:szCs w:val="28"/>
        </w:rPr>
        <w:t>报警</w:t>
      </w:r>
      <w:r>
        <w:rPr>
          <w:color w:val="000000" w:themeColor="text1"/>
          <w:sz w:val="28"/>
          <w:szCs w:val="28"/>
        </w:rPr>
        <w:t>仪和正压</w:t>
      </w:r>
      <w:r>
        <w:rPr>
          <w:rFonts w:hint="eastAsia"/>
          <w:color w:val="000000" w:themeColor="text1"/>
          <w:sz w:val="28"/>
          <w:szCs w:val="28"/>
        </w:rPr>
        <w:t>式空气</w:t>
      </w:r>
      <w:r>
        <w:rPr>
          <w:color w:val="000000" w:themeColor="text1"/>
          <w:sz w:val="28"/>
          <w:szCs w:val="28"/>
        </w:rPr>
        <w:t>呼吸器等防护设施定期校验，保证设备设施和防护仪器完好可靠。</w:t>
      </w:r>
    </w:p>
    <w:p w14:paraId="4AF89344"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9</w:t>
      </w:r>
      <w:r>
        <w:rPr>
          <w:color w:val="000000" w:themeColor="text1"/>
          <w:sz w:val="28"/>
          <w:szCs w:val="28"/>
        </w:rPr>
        <w:t>.</w:t>
      </w:r>
      <w:r>
        <w:rPr>
          <w:color w:val="000000" w:themeColor="text1"/>
          <w:sz w:val="28"/>
          <w:szCs w:val="28"/>
        </w:rPr>
        <w:t>完善安全生产风险分级管控制度，定期进行安全生产风险排查，对排查出的风险点按照危险性确定风险等级，对风险点进行公告警示，并采取相应的风险管控措施，实现风险的动态管理。</w:t>
      </w:r>
    </w:p>
    <w:p w14:paraId="3D3664F4"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10.</w:t>
      </w:r>
      <w:r>
        <w:rPr>
          <w:rFonts w:hint="eastAsia"/>
          <w:color w:val="000000" w:themeColor="text1"/>
          <w:sz w:val="28"/>
          <w:szCs w:val="28"/>
        </w:rPr>
        <w:t>所有作业人员必须参加“晨会”，并由本人在会议记录上签名。“晨会”主要内容、员工签到等资料应齐全并存档备查。</w:t>
      </w:r>
    </w:p>
    <w:p w14:paraId="6ACBC8E4" w14:textId="77777777" w:rsidR="002D2AF8" w:rsidRDefault="00000000">
      <w:pPr>
        <w:rPr>
          <w:rFonts w:eastAsia="楷体_GB2312"/>
          <w:b/>
          <w:color w:val="000000" w:themeColor="text1"/>
          <w:sz w:val="36"/>
          <w:szCs w:val="36"/>
        </w:rPr>
      </w:pPr>
      <w:bookmarkStart w:id="117" w:name="_Toc299030734"/>
      <w:bookmarkStart w:id="118" w:name="_Toc297764496"/>
      <w:bookmarkStart w:id="119" w:name="_Toc281310756"/>
      <w:r>
        <w:rPr>
          <w:rFonts w:eastAsia="楷体_GB2312"/>
          <w:b/>
          <w:color w:val="000000" w:themeColor="text1"/>
          <w:sz w:val="36"/>
          <w:szCs w:val="36"/>
        </w:rPr>
        <w:br w:type="page"/>
      </w:r>
    </w:p>
    <w:p w14:paraId="26E6D462" w14:textId="77777777" w:rsidR="002D2AF8" w:rsidRDefault="00000000">
      <w:pPr>
        <w:pStyle w:val="10"/>
        <w:keepNext w:val="0"/>
        <w:adjustRightInd w:val="0"/>
        <w:snapToGrid w:val="0"/>
        <w:spacing w:line="360" w:lineRule="auto"/>
        <w:rPr>
          <w:rFonts w:eastAsia="楷体_GB2312"/>
          <w:b/>
          <w:color w:val="000000" w:themeColor="text1"/>
          <w:sz w:val="36"/>
          <w:szCs w:val="36"/>
        </w:rPr>
      </w:pPr>
      <w:bookmarkStart w:id="120" w:name="_Toc10718"/>
      <w:r>
        <w:rPr>
          <w:rFonts w:eastAsia="楷体_GB2312"/>
          <w:b/>
          <w:color w:val="000000" w:themeColor="text1"/>
          <w:sz w:val="36"/>
          <w:szCs w:val="36"/>
        </w:rPr>
        <w:lastRenderedPageBreak/>
        <w:t xml:space="preserve">7 </w:t>
      </w:r>
      <w:r>
        <w:rPr>
          <w:rFonts w:eastAsia="楷体_GB2312"/>
          <w:b/>
          <w:color w:val="000000" w:themeColor="text1"/>
          <w:sz w:val="36"/>
          <w:szCs w:val="36"/>
        </w:rPr>
        <w:t>隐患整改复查情况</w:t>
      </w:r>
      <w:bookmarkEnd w:id="117"/>
      <w:bookmarkEnd w:id="118"/>
      <w:bookmarkEnd w:id="120"/>
    </w:p>
    <w:p w14:paraId="006E6954"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企业接受了本评价组提出的整改建议，对存在的问题进行了整改，本评价组对企业整改情况进行了现场复查，整改复查情况见表：</w:t>
      </w:r>
    </w:p>
    <w:tbl>
      <w:tblPr>
        <w:tblW w:w="9199"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01"/>
        <w:gridCol w:w="3170"/>
        <w:gridCol w:w="4394"/>
        <w:gridCol w:w="1134"/>
      </w:tblGrid>
      <w:tr w:rsidR="002D2AF8" w14:paraId="160EF7FF" w14:textId="77777777">
        <w:trPr>
          <w:trHeight w:val="397"/>
          <w:tblHeader/>
          <w:jc w:val="center"/>
        </w:trPr>
        <w:tc>
          <w:tcPr>
            <w:tcW w:w="501" w:type="dxa"/>
            <w:vAlign w:val="center"/>
          </w:tcPr>
          <w:p w14:paraId="26CB780F" w14:textId="77777777" w:rsidR="002D2AF8" w:rsidRDefault="00000000">
            <w:pPr>
              <w:adjustRightInd w:val="0"/>
              <w:snapToGrid w:val="0"/>
              <w:jc w:val="center"/>
              <w:rPr>
                <w:b/>
                <w:bCs/>
                <w:color w:val="000000" w:themeColor="text1"/>
                <w:szCs w:val="21"/>
              </w:rPr>
            </w:pPr>
            <w:r>
              <w:rPr>
                <w:b/>
                <w:bCs/>
                <w:color w:val="000000" w:themeColor="text1"/>
                <w:szCs w:val="21"/>
              </w:rPr>
              <w:t>序号</w:t>
            </w:r>
          </w:p>
        </w:tc>
        <w:tc>
          <w:tcPr>
            <w:tcW w:w="3170" w:type="dxa"/>
            <w:vAlign w:val="center"/>
          </w:tcPr>
          <w:p w14:paraId="66C9A84C" w14:textId="77777777" w:rsidR="002D2AF8" w:rsidRDefault="00000000">
            <w:pPr>
              <w:adjustRightInd w:val="0"/>
              <w:snapToGrid w:val="0"/>
              <w:jc w:val="center"/>
              <w:rPr>
                <w:b/>
                <w:bCs/>
                <w:color w:val="000000" w:themeColor="text1"/>
                <w:szCs w:val="21"/>
              </w:rPr>
            </w:pPr>
            <w:r>
              <w:rPr>
                <w:b/>
                <w:bCs/>
                <w:color w:val="000000" w:themeColor="text1"/>
                <w:szCs w:val="21"/>
              </w:rPr>
              <w:t>存在问题</w:t>
            </w:r>
          </w:p>
        </w:tc>
        <w:tc>
          <w:tcPr>
            <w:tcW w:w="4394" w:type="dxa"/>
            <w:vAlign w:val="center"/>
          </w:tcPr>
          <w:p w14:paraId="614A5093" w14:textId="77777777" w:rsidR="002D2AF8" w:rsidRDefault="00000000">
            <w:pPr>
              <w:adjustRightInd w:val="0"/>
              <w:snapToGrid w:val="0"/>
              <w:jc w:val="center"/>
              <w:rPr>
                <w:b/>
                <w:bCs/>
                <w:color w:val="000000" w:themeColor="text1"/>
                <w:szCs w:val="21"/>
              </w:rPr>
            </w:pPr>
            <w:r>
              <w:rPr>
                <w:b/>
                <w:bCs/>
                <w:color w:val="000000" w:themeColor="text1"/>
                <w:szCs w:val="21"/>
              </w:rPr>
              <w:t>整改情况</w:t>
            </w:r>
          </w:p>
        </w:tc>
        <w:tc>
          <w:tcPr>
            <w:tcW w:w="1134" w:type="dxa"/>
            <w:vAlign w:val="center"/>
          </w:tcPr>
          <w:p w14:paraId="7B01FB34" w14:textId="77777777" w:rsidR="002D2AF8" w:rsidRDefault="00000000">
            <w:pPr>
              <w:adjustRightInd w:val="0"/>
              <w:snapToGrid w:val="0"/>
              <w:jc w:val="center"/>
              <w:rPr>
                <w:b/>
                <w:bCs/>
                <w:color w:val="000000" w:themeColor="text1"/>
                <w:szCs w:val="21"/>
              </w:rPr>
            </w:pPr>
            <w:r>
              <w:rPr>
                <w:b/>
                <w:bCs/>
                <w:color w:val="000000" w:themeColor="text1"/>
                <w:szCs w:val="21"/>
              </w:rPr>
              <w:t>整改结果</w:t>
            </w:r>
          </w:p>
        </w:tc>
      </w:tr>
      <w:tr w:rsidR="002D2AF8" w14:paraId="78A4A335" w14:textId="77777777">
        <w:trPr>
          <w:cantSplit/>
          <w:trHeight w:val="3304"/>
          <w:jc w:val="center"/>
        </w:trPr>
        <w:tc>
          <w:tcPr>
            <w:tcW w:w="501" w:type="dxa"/>
            <w:vAlign w:val="center"/>
          </w:tcPr>
          <w:p w14:paraId="574CC01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1</w:t>
            </w:r>
          </w:p>
        </w:tc>
        <w:tc>
          <w:tcPr>
            <w:tcW w:w="3170" w:type="dxa"/>
            <w:vAlign w:val="center"/>
          </w:tcPr>
          <w:p w14:paraId="3671ECA7"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配液罐未安装液位计。</w:t>
            </w:r>
          </w:p>
        </w:tc>
        <w:tc>
          <w:tcPr>
            <w:tcW w:w="4394" w:type="dxa"/>
            <w:vAlign w:val="center"/>
          </w:tcPr>
          <w:p w14:paraId="4B908248" w14:textId="77777777" w:rsidR="002D2AF8" w:rsidRDefault="00000000">
            <w:pPr>
              <w:pStyle w:val="Default"/>
              <w:rPr>
                <w:rFonts w:ascii="Times New Roman" w:eastAsia="宋体" w:hAnsi="Times New Roman" w:cs="Times New Roman"/>
                <w:color w:val="000000" w:themeColor="text1"/>
              </w:rPr>
            </w:pPr>
            <w:r>
              <w:rPr>
                <w:rFonts w:ascii="Times New Roman" w:eastAsia="宋体" w:hAnsi="Times New Roman" w:cs="Times New Roman" w:hint="eastAsia"/>
                <w:color w:val="000000" w:themeColor="text1"/>
              </w:rPr>
              <w:t>已安装液位显示装置。</w:t>
            </w:r>
            <w:r>
              <w:rPr>
                <w:rFonts w:ascii="Calibri" w:eastAsia="宋体" w:cs="Times New Roman"/>
                <w:noProof/>
                <w:color w:val="000000" w:themeColor="text1"/>
                <w:kern w:val="2"/>
                <w:sz w:val="21"/>
                <w:szCs w:val="22"/>
                <w:lang w:bidi="ar"/>
              </w:rPr>
              <w:drawing>
                <wp:inline distT="0" distB="0" distL="114300" distR="114300" wp14:anchorId="55B29608" wp14:editId="3F329815">
                  <wp:extent cx="2689225" cy="1896745"/>
                  <wp:effectExtent l="0" t="0" r="8255" b="8255"/>
                  <wp:docPr id="147" name="图片 1" descr="C:\Users\lenovo\Desktop\微信图片_20220929090341.jpg微信图片_202209290903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1" descr="C:\Users\lenovo\Desktop\微信图片_20220929090341.jpg微信图片_20220929090341"/>
                          <pic:cNvPicPr>
                            <a:picLocks noChangeAspect="1"/>
                          </pic:cNvPicPr>
                        </pic:nvPicPr>
                        <pic:blipFill>
                          <a:blip r:embed="rId33"/>
                          <a:srcRect/>
                          <a:stretch>
                            <a:fillRect/>
                          </a:stretch>
                        </pic:blipFill>
                        <pic:spPr>
                          <a:xfrm>
                            <a:off x="0" y="0"/>
                            <a:ext cx="2689225" cy="1896745"/>
                          </a:xfrm>
                          <a:prstGeom prst="rect">
                            <a:avLst/>
                          </a:prstGeom>
                          <a:noFill/>
                          <a:ln>
                            <a:noFill/>
                          </a:ln>
                        </pic:spPr>
                      </pic:pic>
                    </a:graphicData>
                  </a:graphic>
                </wp:inline>
              </w:drawing>
            </w:r>
          </w:p>
        </w:tc>
        <w:tc>
          <w:tcPr>
            <w:tcW w:w="1134" w:type="dxa"/>
            <w:vAlign w:val="center"/>
          </w:tcPr>
          <w:p w14:paraId="01E2E62B"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2D2AF8" w14:paraId="49C0B277" w14:textId="77777777">
        <w:trPr>
          <w:cantSplit/>
          <w:trHeight w:val="397"/>
          <w:jc w:val="center"/>
        </w:trPr>
        <w:tc>
          <w:tcPr>
            <w:tcW w:w="501" w:type="dxa"/>
            <w:vAlign w:val="center"/>
          </w:tcPr>
          <w:p w14:paraId="5F16332C"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2</w:t>
            </w:r>
          </w:p>
        </w:tc>
        <w:tc>
          <w:tcPr>
            <w:tcW w:w="3170" w:type="dxa"/>
            <w:vAlign w:val="center"/>
          </w:tcPr>
          <w:p w14:paraId="71B606C2" w14:textId="77777777" w:rsidR="002D2AF8" w:rsidRDefault="00000000">
            <w:pPr>
              <w:pStyle w:val="aff4"/>
              <w:spacing w:line="240" w:lineRule="auto"/>
              <w:ind w:firstLine="0"/>
              <w:rPr>
                <w:color w:val="000000" w:themeColor="text1"/>
              </w:rPr>
            </w:pPr>
            <w:r>
              <w:rPr>
                <w:color w:val="000000" w:themeColor="text1"/>
                <w:sz w:val="21"/>
                <w:szCs w:val="21"/>
              </w:rPr>
              <w:t>现场警示标志设置不全，缺少</w:t>
            </w:r>
            <w:r>
              <w:rPr>
                <w:color w:val="000000" w:themeColor="text1"/>
                <w:sz w:val="21"/>
                <w:szCs w:val="21"/>
              </w:rPr>
              <w:t>“</w:t>
            </w:r>
            <w:r>
              <w:rPr>
                <w:color w:val="000000" w:themeColor="text1"/>
                <w:sz w:val="21"/>
                <w:szCs w:val="21"/>
              </w:rPr>
              <w:t>当心井喷</w:t>
            </w:r>
            <w:r>
              <w:rPr>
                <w:color w:val="000000" w:themeColor="text1"/>
                <w:sz w:val="21"/>
                <w:szCs w:val="21"/>
              </w:rPr>
              <w:t>”</w:t>
            </w:r>
            <w:r>
              <w:rPr>
                <w:color w:val="000000" w:themeColor="text1"/>
                <w:sz w:val="21"/>
                <w:szCs w:val="21"/>
              </w:rPr>
              <w:t>，</w:t>
            </w:r>
            <w:r>
              <w:rPr>
                <w:color w:val="000000" w:themeColor="text1"/>
                <w:sz w:val="21"/>
                <w:szCs w:val="21"/>
              </w:rPr>
              <w:t>“</w:t>
            </w:r>
            <w:r>
              <w:rPr>
                <w:color w:val="000000" w:themeColor="text1"/>
                <w:sz w:val="21"/>
                <w:szCs w:val="21"/>
              </w:rPr>
              <w:t>当心中毒</w:t>
            </w:r>
            <w:r>
              <w:rPr>
                <w:color w:val="000000" w:themeColor="text1"/>
                <w:sz w:val="21"/>
                <w:szCs w:val="21"/>
              </w:rPr>
              <w:t>”</w:t>
            </w:r>
            <w:r>
              <w:rPr>
                <w:color w:val="000000" w:themeColor="text1"/>
                <w:sz w:val="21"/>
                <w:szCs w:val="21"/>
              </w:rPr>
              <w:t>等安全警示标志。</w:t>
            </w:r>
          </w:p>
        </w:tc>
        <w:tc>
          <w:tcPr>
            <w:tcW w:w="4394" w:type="dxa"/>
            <w:vAlign w:val="center"/>
          </w:tcPr>
          <w:p w14:paraId="6F2E3044" w14:textId="77777777" w:rsidR="002D2AF8" w:rsidRDefault="00000000">
            <w:pPr>
              <w:pStyle w:val="aff4"/>
              <w:spacing w:line="240" w:lineRule="auto"/>
              <w:ind w:firstLine="0"/>
              <w:rPr>
                <w:color w:val="000000" w:themeColor="text1"/>
                <w:sz w:val="21"/>
                <w:szCs w:val="21"/>
              </w:rPr>
            </w:pPr>
            <w:r>
              <w:rPr>
                <w:rFonts w:hint="eastAsia"/>
                <w:color w:val="000000" w:themeColor="text1"/>
                <w:sz w:val="21"/>
                <w:szCs w:val="21"/>
              </w:rPr>
              <w:t>已增设</w:t>
            </w:r>
            <w:r>
              <w:rPr>
                <w:color w:val="000000" w:themeColor="text1"/>
                <w:sz w:val="21"/>
                <w:szCs w:val="21"/>
              </w:rPr>
              <w:t>“</w:t>
            </w:r>
            <w:r>
              <w:rPr>
                <w:color w:val="000000" w:themeColor="text1"/>
                <w:sz w:val="21"/>
                <w:szCs w:val="21"/>
              </w:rPr>
              <w:t>当心井喷</w:t>
            </w:r>
            <w:r>
              <w:rPr>
                <w:color w:val="000000" w:themeColor="text1"/>
                <w:sz w:val="21"/>
                <w:szCs w:val="21"/>
              </w:rPr>
              <w:t>”</w:t>
            </w:r>
            <w:r>
              <w:rPr>
                <w:color w:val="000000" w:themeColor="text1"/>
                <w:sz w:val="21"/>
                <w:szCs w:val="21"/>
              </w:rPr>
              <w:t>，</w:t>
            </w:r>
            <w:r>
              <w:rPr>
                <w:color w:val="000000" w:themeColor="text1"/>
                <w:sz w:val="21"/>
                <w:szCs w:val="21"/>
              </w:rPr>
              <w:t>“</w:t>
            </w:r>
            <w:r>
              <w:rPr>
                <w:color w:val="000000" w:themeColor="text1"/>
                <w:sz w:val="21"/>
                <w:szCs w:val="21"/>
              </w:rPr>
              <w:t>当心中毒</w:t>
            </w:r>
            <w:r>
              <w:rPr>
                <w:color w:val="000000" w:themeColor="text1"/>
                <w:sz w:val="21"/>
                <w:szCs w:val="21"/>
              </w:rPr>
              <w:t>”</w:t>
            </w:r>
            <w:r>
              <w:rPr>
                <w:color w:val="000000" w:themeColor="text1"/>
                <w:sz w:val="21"/>
                <w:szCs w:val="21"/>
              </w:rPr>
              <w:t>等安全警示标志。</w:t>
            </w:r>
          </w:p>
          <w:p w14:paraId="59FEA134" w14:textId="77777777" w:rsidR="002D2AF8" w:rsidRDefault="00000000">
            <w:pPr>
              <w:pStyle w:val="aff4"/>
              <w:spacing w:line="240" w:lineRule="auto"/>
              <w:ind w:firstLine="0"/>
              <w:rPr>
                <w:color w:val="000000" w:themeColor="text1"/>
              </w:rPr>
            </w:pPr>
            <w:r>
              <w:rPr>
                <w:rFonts w:ascii="Calibri" w:hAnsi="Calibri" w:hint="eastAsia"/>
                <w:noProof/>
                <w:color w:val="000000" w:themeColor="text1"/>
                <w:sz w:val="21"/>
                <w:szCs w:val="22"/>
                <w:lang w:bidi="ar"/>
              </w:rPr>
              <w:drawing>
                <wp:inline distT="0" distB="0" distL="114300" distR="114300" wp14:anchorId="13013C0B" wp14:editId="31692061">
                  <wp:extent cx="2532380" cy="2421255"/>
                  <wp:effectExtent l="0" t="0" r="12700" b="1905"/>
                  <wp:docPr id="148" name="图片 2" descr="C:\Users\lenovo\Desktop\QQ图片20221031141123.jpgQQ图片20221031141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2" descr="C:\Users\lenovo\Desktop\QQ图片20221031141123.jpgQQ图片20221031141123"/>
                          <pic:cNvPicPr>
                            <a:picLocks noChangeAspect="1"/>
                          </pic:cNvPicPr>
                        </pic:nvPicPr>
                        <pic:blipFill>
                          <a:blip r:embed="rId34"/>
                          <a:srcRect/>
                          <a:stretch>
                            <a:fillRect/>
                          </a:stretch>
                        </pic:blipFill>
                        <pic:spPr>
                          <a:xfrm>
                            <a:off x="0" y="0"/>
                            <a:ext cx="2532380" cy="2421255"/>
                          </a:xfrm>
                          <a:prstGeom prst="rect">
                            <a:avLst/>
                          </a:prstGeom>
                          <a:noFill/>
                          <a:ln>
                            <a:noFill/>
                          </a:ln>
                        </pic:spPr>
                      </pic:pic>
                    </a:graphicData>
                  </a:graphic>
                </wp:inline>
              </w:drawing>
            </w:r>
          </w:p>
        </w:tc>
        <w:tc>
          <w:tcPr>
            <w:tcW w:w="1134" w:type="dxa"/>
            <w:vAlign w:val="center"/>
          </w:tcPr>
          <w:p w14:paraId="187B3583"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2D2AF8" w14:paraId="35F54D16" w14:textId="77777777">
        <w:trPr>
          <w:cantSplit/>
          <w:trHeight w:val="397"/>
          <w:jc w:val="center"/>
        </w:trPr>
        <w:tc>
          <w:tcPr>
            <w:tcW w:w="501" w:type="dxa"/>
            <w:vAlign w:val="center"/>
          </w:tcPr>
          <w:p w14:paraId="008B4AD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3</w:t>
            </w:r>
          </w:p>
        </w:tc>
        <w:tc>
          <w:tcPr>
            <w:tcW w:w="3170" w:type="dxa"/>
            <w:vAlign w:val="center"/>
          </w:tcPr>
          <w:p w14:paraId="7AC2B1C8"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配电箱门未设专人管理。</w:t>
            </w:r>
          </w:p>
          <w:p w14:paraId="1A2B2EC9" w14:textId="77777777" w:rsidR="002D2AF8" w:rsidRDefault="00000000">
            <w:pPr>
              <w:adjustRightInd w:val="0"/>
              <w:snapToGrid w:val="0"/>
              <w:spacing w:beforeLines="20" w:before="65" w:afterLines="20" w:after="65"/>
              <w:rPr>
                <w:color w:val="000000" w:themeColor="text1"/>
                <w:szCs w:val="21"/>
              </w:rPr>
            </w:pPr>
            <w:r>
              <w:rPr>
                <w:rFonts w:hint="eastAsia"/>
                <w:noProof/>
                <w:color w:val="000000" w:themeColor="text1"/>
                <w:szCs w:val="22"/>
                <w:lang w:bidi="ar"/>
              </w:rPr>
              <w:drawing>
                <wp:inline distT="0" distB="0" distL="114300" distR="114300" wp14:anchorId="290BED6D" wp14:editId="49A02D50">
                  <wp:extent cx="1883410" cy="1699260"/>
                  <wp:effectExtent l="0" t="0" r="6350" b="7620"/>
                  <wp:docPr id="149" name="图片 3" descr="75ade6fc53eb0f26572502c282509f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 name="图片 3" descr="75ade6fc53eb0f26572502c282509fa"/>
                          <pic:cNvPicPr>
                            <a:picLocks noChangeAspect="1"/>
                          </pic:cNvPicPr>
                        </pic:nvPicPr>
                        <pic:blipFill>
                          <a:blip r:embed="rId35"/>
                          <a:stretch>
                            <a:fillRect/>
                          </a:stretch>
                        </pic:blipFill>
                        <pic:spPr>
                          <a:xfrm>
                            <a:off x="0" y="0"/>
                            <a:ext cx="1883410" cy="1699260"/>
                          </a:xfrm>
                          <a:prstGeom prst="rect">
                            <a:avLst/>
                          </a:prstGeom>
                          <a:noFill/>
                          <a:ln>
                            <a:noFill/>
                          </a:ln>
                        </pic:spPr>
                      </pic:pic>
                    </a:graphicData>
                  </a:graphic>
                </wp:inline>
              </w:drawing>
            </w:r>
          </w:p>
        </w:tc>
        <w:tc>
          <w:tcPr>
            <w:tcW w:w="4394" w:type="dxa"/>
            <w:vAlign w:val="center"/>
          </w:tcPr>
          <w:p w14:paraId="05AE8E0B" w14:textId="77777777" w:rsidR="002D2AF8" w:rsidRDefault="00000000">
            <w:pPr>
              <w:adjustRightInd w:val="0"/>
              <w:snapToGrid w:val="0"/>
              <w:spacing w:beforeLines="20" w:before="65" w:afterLines="20" w:after="65"/>
              <w:rPr>
                <w:color w:val="000000" w:themeColor="text1"/>
              </w:rPr>
            </w:pPr>
            <w:r>
              <w:rPr>
                <w:rFonts w:hint="eastAsia"/>
                <w:color w:val="000000" w:themeColor="text1"/>
              </w:rPr>
              <w:t>已安排电工专人负责。</w:t>
            </w:r>
          </w:p>
          <w:p w14:paraId="148BF83E" w14:textId="77777777" w:rsidR="002D2AF8" w:rsidRDefault="00000000">
            <w:pPr>
              <w:adjustRightInd w:val="0"/>
              <w:snapToGrid w:val="0"/>
              <w:spacing w:beforeLines="20" w:before="65" w:afterLines="20" w:after="65"/>
              <w:rPr>
                <w:color w:val="000000" w:themeColor="text1"/>
              </w:rPr>
            </w:pPr>
            <w:r>
              <w:rPr>
                <w:rFonts w:hint="eastAsia"/>
                <w:noProof/>
                <w:color w:val="000000" w:themeColor="text1"/>
              </w:rPr>
              <w:drawing>
                <wp:inline distT="0" distB="0" distL="114300" distR="114300" wp14:anchorId="20F7312D" wp14:editId="46266064">
                  <wp:extent cx="2583180" cy="1765935"/>
                  <wp:effectExtent l="0" t="0" r="7620" b="1905"/>
                  <wp:docPr id="150" name="图片 4" descr="C:\Users\lenovo\Desktop\微信图片_20221101202740.jpg微信图片_202211012027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4" descr="C:\Users\lenovo\Desktop\微信图片_20221101202740.jpg微信图片_20221101202740"/>
                          <pic:cNvPicPr>
                            <a:picLocks noChangeAspect="1"/>
                          </pic:cNvPicPr>
                        </pic:nvPicPr>
                        <pic:blipFill>
                          <a:blip r:embed="rId36"/>
                          <a:srcRect/>
                          <a:stretch>
                            <a:fillRect/>
                          </a:stretch>
                        </pic:blipFill>
                        <pic:spPr>
                          <a:xfrm>
                            <a:off x="0" y="0"/>
                            <a:ext cx="2583180" cy="1765935"/>
                          </a:xfrm>
                          <a:prstGeom prst="rect">
                            <a:avLst/>
                          </a:prstGeom>
                          <a:noFill/>
                          <a:ln>
                            <a:noFill/>
                          </a:ln>
                        </pic:spPr>
                      </pic:pic>
                    </a:graphicData>
                  </a:graphic>
                </wp:inline>
              </w:drawing>
            </w:r>
          </w:p>
        </w:tc>
        <w:tc>
          <w:tcPr>
            <w:tcW w:w="1134" w:type="dxa"/>
            <w:vAlign w:val="center"/>
          </w:tcPr>
          <w:p w14:paraId="58BF177F"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2D2AF8" w14:paraId="76A07DF1" w14:textId="77777777">
        <w:trPr>
          <w:cantSplit/>
          <w:trHeight w:val="397"/>
          <w:jc w:val="center"/>
        </w:trPr>
        <w:tc>
          <w:tcPr>
            <w:tcW w:w="501" w:type="dxa"/>
            <w:vAlign w:val="center"/>
          </w:tcPr>
          <w:p w14:paraId="1E9B18B1"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lastRenderedPageBreak/>
              <w:t>4.</w:t>
            </w:r>
          </w:p>
        </w:tc>
        <w:tc>
          <w:tcPr>
            <w:tcW w:w="3170" w:type="dxa"/>
            <w:vAlign w:val="center"/>
          </w:tcPr>
          <w:p w14:paraId="3F0EEDA8" w14:textId="77777777" w:rsidR="002D2AF8" w:rsidRDefault="00000000">
            <w:pPr>
              <w:adjustRightInd w:val="0"/>
              <w:snapToGrid w:val="0"/>
              <w:spacing w:beforeLines="20" w:before="65" w:afterLines="20" w:after="65"/>
              <w:rPr>
                <w:color w:val="000000" w:themeColor="text1"/>
                <w:szCs w:val="21"/>
              </w:rPr>
            </w:pPr>
            <w:r>
              <w:rPr>
                <w:color w:val="000000" w:themeColor="text1"/>
                <w:szCs w:val="21"/>
              </w:rPr>
              <w:t>配电箱未见定期检查和维修记录。</w:t>
            </w:r>
          </w:p>
        </w:tc>
        <w:tc>
          <w:tcPr>
            <w:tcW w:w="4394" w:type="dxa"/>
            <w:vAlign w:val="center"/>
          </w:tcPr>
          <w:p w14:paraId="3AC01814" w14:textId="77777777" w:rsidR="002D2AF8" w:rsidRDefault="00000000">
            <w:pPr>
              <w:adjustRightInd w:val="0"/>
              <w:snapToGrid w:val="0"/>
              <w:spacing w:beforeLines="20" w:before="65" w:afterLines="20" w:after="65"/>
              <w:rPr>
                <w:color w:val="000000" w:themeColor="text1"/>
                <w:szCs w:val="21"/>
              </w:rPr>
            </w:pPr>
            <w:r>
              <w:rPr>
                <w:rFonts w:hint="eastAsia"/>
                <w:color w:val="000000" w:themeColor="text1"/>
              </w:rPr>
              <w:t>已完善</w:t>
            </w:r>
            <w:r>
              <w:rPr>
                <w:color w:val="000000" w:themeColor="text1"/>
                <w:szCs w:val="21"/>
              </w:rPr>
              <w:t>定期检查和维修记录。</w:t>
            </w:r>
          </w:p>
          <w:p w14:paraId="76688D21" w14:textId="77777777" w:rsidR="002D2AF8" w:rsidRDefault="00000000">
            <w:pPr>
              <w:adjustRightInd w:val="0"/>
              <w:snapToGrid w:val="0"/>
              <w:spacing w:beforeLines="20" w:before="65" w:afterLines="20" w:after="65"/>
              <w:rPr>
                <w:color w:val="000000" w:themeColor="text1"/>
              </w:rPr>
            </w:pPr>
            <w:r>
              <w:rPr>
                <w:noProof/>
                <w:color w:val="000000" w:themeColor="text1"/>
                <w:szCs w:val="21"/>
              </w:rPr>
              <w:drawing>
                <wp:inline distT="0" distB="0" distL="114300" distR="114300" wp14:anchorId="494CBC63" wp14:editId="1FE3F690">
                  <wp:extent cx="2621915" cy="2276475"/>
                  <wp:effectExtent l="0" t="0" r="14605" b="9525"/>
                  <wp:docPr id="151" name="图片 5" descr="C:\Users\lenovo\Desktop\闫桂明现场配电设施检查维修记录_1.tif闫桂明现场配电设施检查维修记录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 name="图片 5" descr="C:\Users\lenovo\Desktop\闫桂明现场配电设施检查维修记录_1.tif闫桂明现场配电设施检查维修记录_1"/>
                          <pic:cNvPicPr>
                            <a:picLocks noChangeAspect="1"/>
                          </pic:cNvPicPr>
                        </pic:nvPicPr>
                        <pic:blipFill>
                          <a:blip r:embed="rId37"/>
                          <a:srcRect/>
                          <a:stretch>
                            <a:fillRect/>
                          </a:stretch>
                        </pic:blipFill>
                        <pic:spPr>
                          <a:xfrm>
                            <a:off x="0" y="0"/>
                            <a:ext cx="2621915" cy="2276475"/>
                          </a:xfrm>
                          <a:prstGeom prst="rect">
                            <a:avLst/>
                          </a:prstGeom>
                          <a:noFill/>
                          <a:ln>
                            <a:noFill/>
                          </a:ln>
                        </pic:spPr>
                      </pic:pic>
                    </a:graphicData>
                  </a:graphic>
                </wp:inline>
              </w:drawing>
            </w:r>
          </w:p>
        </w:tc>
        <w:tc>
          <w:tcPr>
            <w:tcW w:w="1134" w:type="dxa"/>
            <w:vAlign w:val="center"/>
          </w:tcPr>
          <w:p w14:paraId="23FB3156" w14:textId="77777777" w:rsidR="002D2AF8" w:rsidRDefault="00000000">
            <w:pPr>
              <w:adjustRightInd w:val="0"/>
              <w:snapToGrid w:val="0"/>
              <w:spacing w:beforeLines="20" w:before="65" w:afterLines="20" w:after="65"/>
              <w:jc w:val="center"/>
              <w:rPr>
                <w:color w:val="000000" w:themeColor="text1"/>
                <w:szCs w:val="21"/>
              </w:rPr>
            </w:pPr>
            <w:r>
              <w:rPr>
                <w:color w:val="000000" w:themeColor="text1"/>
                <w:szCs w:val="21"/>
              </w:rPr>
              <w:t>符合要求</w:t>
            </w:r>
          </w:p>
        </w:tc>
      </w:tr>
      <w:tr w:rsidR="002D2AF8" w14:paraId="244B3311" w14:textId="77777777">
        <w:trPr>
          <w:cantSplit/>
          <w:trHeight w:val="2063"/>
          <w:jc w:val="center"/>
        </w:trPr>
        <w:tc>
          <w:tcPr>
            <w:tcW w:w="9199" w:type="dxa"/>
            <w:gridSpan w:val="4"/>
            <w:vAlign w:val="center"/>
          </w:tcPr>
          <w:p w14:paraId="060C6E41" w14:textId="77777777" w:rsidR="002D2AF8" w:rsidRDefault="00000000">
            <w:pPr>
              <w:adjustRightInd w:val="0"/>
              <w:snapToGrid w:val="0"/>
              <w:jc w:val="left"/>
              <w:rPr>
                <w:color w:val="000000" w:themeColor="text1"/>
                <w:szCs w:val="21"/>
              </w:rPr>
            </w:pPr>
            <w:r>
              <w:rPr>
                <w:color w:val="000000" w:themeColor="text1"/>
                <w:szCs w:val="21"/>
              </w:rPr>
              <w:t>评价单位检查人员（签字）：</w:t>
            </w:r>
          </w:p>
          <w:p w14:paraId="25EE7614" w14:textId="77777777" w:rsidR="002D2AF8" w:rsidRDefault="00000000">
            <w:pPr>
              <w:adjustRightInd w:val="0"/>
              <w:snapToGrid w:val="0"/>
              <w:ind w:right="420"/>
              <w:jc w:val="right"/>
              <w:rPr>
                <w:color w:val="000000" w:themeColor="text1"/>
                <w:szCs w:val="21"/>
              </w:rPr>
            </w:pPr>
            <w:r>
              <w:rPr>
                <w:color w:val="000000" w:themeColor="text1"/>
                <w:szCs w:val="21"/>
              </w:rPr>
              <w:t>2022</w:t>
            </w:r>
            <w:r>
              <w:rPr>
                <w:color w:val="000000" w:themeColor="text1"/>
                <w:szCs w:val="21"/>
              </w:rPr>
              <w:t>年</w:t>
            </w:r>
            <w:r>
              <w:rPr>
                <w:rFonts w:hint="eastAsia"/>
                <w:color w:val="000000" w:themeColor="text1"/>
                <w:szCs w:val="21"/>
              </w:rPr>
              <w:t>10</w:t>
            </w:r>
            <w:r>
              <w:rPr>
                <w:color w:val="000000" w:themeColor="text1"/>
                <w:szCs w:val="21"/>
              </w:rPr>
              <w:t>月</w:t>
            </w:r>
            <w:r>
              <w:rPr>
                <w:rFonts w:hint="eastAsia"/>
                <w:color w:val="000000" w:themeColor="text1"/>
                <w:szCs w:val="21"/>
              </w:rPr>
              <w:t>8</w:t>
            </w:r>
            <w:r>
              <w:rPr>
                <w:color w:val="000000" w:themeColor="text1"/>
                <w:szCs w:val="21"/>
              </w:rPr>
              <w:t>日</w:t>
            </w:r>
          </w:p>
          <w:p w14:paraId="48349529" w14:textId="77777777" w:rsidR="002D2AF8" w:rsidRDefault="00000000">
            <w:pPr>
              <w:adjustRightInd w:val="0"/>
              <w:snapToGrid w:val="0"/>
              <w:ind w:right="420"/>
              <w:jc w:val="right"/>
              <w:rPr>
                <w:color w:val="000000" w:themeColor="text1"/>
                <w:szCs w:val="21"/>
              </w:rPr>
            </w:pPr>
            <w:r>
              <w:rPr>
                <w:color w:val="000000" w:themeColor="text1"/>
                <w:szCs w:val="21"/>
              </w:rPr>
              <w:t>（单位盖章）</w:t>
            </w:r>
          </w:p>
        </w:tc>
      </w:tr>
      <w:tr w:rsidR="002D2AF8" w14:paraId="1BD3D9A9" w14:textId="77777777">
        <w:trPr>
          <w:cantSplit/>
          <w:trHeight w:val="2438"/>
          <w:jc w:val="center"/>
        </w:trPr>
        <w:tc>
          <w:tcPr>
            <w:tcW w:w="9199" w:type="dxa"/>
            <w:gridSpan w:val="4"/>
            <w:vAlign w:val="center"/>
          </w:tcPr>
          <w:p w14:paraId="73F2DF9A" w14:textId="77777777" w:rsidR="002D2AF8" w:rsidRDefault="00000000">
            <w:pPr>
              <w:adjustRightInd w:val="0"/>
              <w:snapToGrid w:val="0"/>
              <w:jc w:val="left"/>
              <w:rPr>
                <w:color w:val="000000" w:themeColor="text1"/>
                <w:szCs w:val="21"/>
              </w:rPr>
            </w:pPr>
            <w:r>
              <w:rPr>
                <w:color w:val="000000" w:themeColor="text1"/>
                <w:szCs w:val="21"/>
              </w:rPr>
              <w:t>被评价单位主要负责人确认（签字）：</w:t>
            </w:r>
          </w:p>
          <w:p w14:paraId="4778FB46" w14:textId="77777777" w:rsidR="002D2AF8" w:rsidRDefault="002D2AF8">
            <w:pPr>
              <w:adjustRightInd w:val="0"/>
              <w:snapToGrid w:val="0"/>
              <w:ind w:right="420"/>
              <w:jc w:val="right"/>
              <w:rPr>
                <w:color w:val="000000" w:themeColor="text1"/>
                <w:szCs w:val="21"/>
              </w:rPr>
            </w:pPr>
          </w:p>
          <w:p w14:paraId="074C8EAA" w14:textId="77777777" w:rsidR="002D2AF8" w:rsidRDefault="00000000">
            <w:pPr>
              <w:adjustRightInd w:val="0"/>
              <w:snapToGrid w:val="0"/>
              <w:ind w:right="420"/>
              <w:jc w:val="right"/>
              <w:rPr>
                <w:color w:val="000000" w:themeColor="text1"/>
                <w:szCs w:val="21"/>
              </w:rPr>
            </w:pPr>
            <w:r>
              <w:rPr>
                <w:color w:val="000000" w:themeColor="text1"/>
                <w:szCs w:val="21"/>
              </w:rPr>
              <w:t>2022</w:t>
            </w:r>
            <w:r>
              <w:rPr>
                <w:color w:val="000000" w:themeColor="text1"/>
                <w:szCs w:val="21"/>
              </w:rPr>
              <w:t>年</w:t>
            </w:r>
            <w:r>
              <w:rPr>
                <w:rFonts w:hint="eastAsia"/>
                <w:color w:val="000000" w:themeColor="text1"/>
                <w:szCs w:val="21"/>
              </w:rPr>
              <w:t>10</w:t>
            </w:r>
            <w:r>
              <w:rPr>
                <w:color w:val="000000" w:themeColor="text1"/>
                <w:szCs w:val="21"/>
              </w:rPr>
              <w:t>月</w:t>
            </w:r>
            <w:r>
              <w:rPr>
                <w:rFonts w:hint="eastAsia"/>
                <w:color w:val="000000" w:themeColor="text1"/>
                <w:szCs w:val="21"/>
              </w:rPr>
              <w:t>8</w:t>
            </w:r>
            <w:r>
              <w:rPr>
                <w:color w:val="000000" w:themeColor="text1"/>
                <w:szCs w:val="21"/>
              </w:rPr>
              <w:t>日</w:t>
            </w:r>
          </w:p>
          <w:p w14:paraId="1F09C842" w14:textId="77777777" w:rsidR="002D2AF8" w:rsidRDefault="00000000">
            <w:pPr>
              <w:adjustRightInd w:val="0"/>
              <w:snapToGrid w:val="0"/>
              <w:ind w:right="420"/>
              <w:jc w:val="right"/>
              <w:rPr>
                <w:color w:val="000000" w:themeColor="text1"/>
                <w:szCs w:val="21"/>
              </w:rPr>
            </w:pPr>
            <w:r>
              <w:rPr>
                <w:color w:val="000000" w:themeColor="text1"/>
                <w:szCs w:val="21"/>
              </w:rPr>
              <w:t>（单位盖章）</w:t>
            </w:r>
          </w:p>
          <w:p w14:paraId="55543DCE" w14:textId="77777777" w:rsidR="002D2AF8" w:rsidRDefault="002D2AF8">
            <w:pPr>
              <w:adjustRightInd w:val="0"/>
              <w:snapToGrid w:val="0"/>
              <w:jc w:val="right"/>
              <w:rPr>
                <w:color w:val="000000" w:themeColor="text1"/>
                <w:szCs w:val="21"/>
              </w:rPr>
            </w:pPr>
          </w:p>
        </w:tc>
      </w:tr>
    </w:tbl>
    <w:p w14:paraId="2951E95C" w14:textId="77777777" w:rsidR="002D2AF8" w:rsidRDefault="00000000">
      <w:pPr>
        <w:rPr>
          <w:rFonts w:eastAsia="楷体_GB2312"/>
          <w:b/>
          <w:color w:val="000000" w:themeColor="text1"/>
          <w:sz w:val="36"/>
          <w:szCs w:val="36"/>
        </w:rPr>
      </w:pPr>
      <w:r>
        <w:rPr>
          <w:rFonts w:eastAsia="楷体_GB2312"/>
          <w:b/>
          <w:color w:val="000000" w:themeColor="text1"/>
          <w:sz w:val="36"/>
          <w:szCs w:val="36"/>
        </w:rPr>
        <w:br w:type="page"/>
      </w:r>
    </w:p>
    <w:p w14:paraId="46723468" w14:textId="77777777" w:rsidR="002D2AF8" w:rsidRDefault="00000000">
      <w:pPr>
        <w:adjustRightInd w:val="0"/>
        <w:snapToGrid w:val="0"/>
        <w:spacing w:line="360" w:lineRule="auto"/>
        <w:jc w:val="center"/>
        <w:outlineLvl w:val="0"/>
        <w:rPr>
          <w:rFonts w:eastAsia="楷体_GB2312"/>
          <w:b/>
          <w:color w:val="000000" w:themeColor="text1"/>
          <w:sz w:val="36"/>
          <w:szCs w:val="36"/>
        </w:rPr>
      </w:pPr>
      <w:bookmarkStart w:id="121" w:name="_Toc15794"/>
      <w:bookmarkStart w:id="122" w:name="_Toc9893"/>
      <w:r>
        <w:rPr>
          <w:rFonts w:eastAsia="楷体_GB2312"/>
          <w:b/>
          <w:color w:val="000000" w:themeColor="text1"/>
          <w:sz w:val="36"/>
          <w:szCs w:val="36"/>
        </w:rPr>
        <w:lastRenderedPageBreak/>
        <w:t xml:space="preserve">8 </w:t>
      </w:r>
      <w:r>
        <w:rPr>
          <w:rFonts w:eastAsia="楷体_GB2312"/>
          <w:b/>
          <w:color w:val="000000" w:themeColor="text1"/>
          <w:sz w:val="36"/>
          <w:szCs w:val="36"/>
        </w:rPr>
        <w:t>安全生产条件及重大安全风险隐患分析评价</w:t>
      </w:r>
      <w:bookmarkEnd w:id="121"/>
      <w:bookmarkEnd w:id="122"/>
    </w:p>
    <w:p w14:paraId="26514649" w14:textId="77777777" w:rsidR="002D2AF8" w:rsidRDefault="00000000">
      <w:pPr>
        <w:pStyle w:val="20"/>
        <w:keepNext w:val="0"/>
        <w:keepLines w:val="0"/>
        <w:adjustRightInd w:val="0"/>
        <w:snapToGrid w:val="0"/>
        <w:spacing w:before="0" w:after="0" w:line="360" w:lineRule="auto"/>
        <w:rPr>
          <w:rFonts w:ascii="Times New Roman" w:hAnsi="Times New Roman"/>
          <w:color w:val="000000" w:themeColor="text1"/>
          <w:sz w:val="28"/>
          <w:szCs w:val="28"/>
        </w:rPr>
      </w:pPr>
      <w:bookmarkStart w:id="123" w:name="_Toc32585"/>
      <w:bookmarkStart w:id="124" w:name="_Toc27692"/>
      <w:r>
        <w:rPr>
          <w:rFonts w:ascii="Times New Roman" w:hAnsi="Times New Roman"/>
          <w:b w:val="0"/>
          <w:bCs/>
          <w:color w:val="000000" w:themeColor="text1"/>
          <w:szCs w:val="32"/>
        </w:rPr>
        <w:t xml:space="preserve">8.1 </w:t>
      </w:r>
      <w:r>
        <w:rPr>
          <w:rFonts w:ascii="Times New Roman" w:hAnsi="Times New Roman"/>
          <w:b w:val="0"/>
          <w:bCs/>
          <w:color w:val="000000" w:themeColor="text1"/>
          <w:szCs w:val="32"/>
        </w:rPr>
        <w:t>安全生产条件分析</w:t>
      </w:r>
      <w:bookmarkEnd w:id="123"/>
      <w:bookmarkEnd w:id="124"/>
    </w:p>
    <w:p w14:paraId="17022375"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根据</w:t>
      </w:r>
      <w:r>
        <w:rPr>
          <w:color w:val="000000" w:themeColor="text1"/>
          <w:sz w:val="28"/>
        </w:rPr>
        <w:t>《非煤矿矿山企业安全生产许可证实施办法》（国家安全生产监督管理总局令</w:t>
      </w:r>
      <w:r>
        <w:rPr>
          <w:color w:val="000000" w:themeColor="text1"/>
          <w:sz w:val="28"/>
        </w:rPr>
        <w:t>[2009]</w:t>
      </w:r>
      <w:r>
        <w:rPr>
          <w:color w:val="000000" w:themeColor="text1"/>
          <w:sz w:val="28"/>
        </w:rPr>
        <w:t>第</w:t>
      </w:r>
      <w:r>
        <w:rPr>
          <w:color w:val="000000" w:themeColor="text1"/>
          <w:sz w:val="28"/>
        </w:rPr>
        <w:t>20</w:t>
      </w:r>
      <w:r>
        <w:rPr>
          <w:color w:val="000000" w:themeColor="text1"/>
          <w:sz w:val="28"/>
        </w:rPr>
        <w:t>号，</w:t>
      </w:r>
      <w:r>
        <w:rPr>
          <w:color w:val="000000" w:themeColor="text1"/>
          <w:sz w:val="28"/>
        </w:rPr>
        <w:t>2015</w:t>
      </w:r>
      <w:r>
        <w:rPr>
          <w:color w:val="000000" w:themeColor="text1"/>
          <w:sz w:val="28"/>
        </w:rPr>
        <w:t>修订版）</w:t>
      </w:r>
      <w:r>
        <w:rPr>
          <w:color w:val="000000" w:themeColor="text1"/>
          <w:sz w:val="28"/>
          <w:szCs w:val="28"/>
        </w:rPr>
        <w:t>、《山东省非煤矿矿山企业安全生产许可证实施方案》（鲁安监发</w:t>
      </w:r>
      <w:r>
        <w:rPr>
          <w:color w:val="000000" w:themeColor="text1"/>
          <w:sz w:val="28"/>
          <w:szCs w:val="28"/>
        </w:rPr>
        <w:t>[2009]133</w:t>
      </w:r>
      <w:r>
        <w:rPr>
          <w:color w:val="000000" w:themeColor="text1"/>
          <w:sz w:val="28"/>
          <w:szCs w:val="28"/>
        </w:rPr>
        <w:t>号）和本报告第</w:t>
      </w:r>
      <w:r>
        <w:rPr>
          <w:color w:val="000000" w:themeColor="text1"/>
          <w:sz w:val="28"/>
          <w:szCs w:val="28"/>
        </w:rPr>
        <w:t>5</w:t>
      </w:r>
      <w:r>
        <w:rPr>
          <w:color w:val="000000" w:themeColor="text1"/>
          <w:sz w:val="28"/>
          <w:szCs w:val="28"/>
        </w:rPr>
        <w:t>、</w:t>
      </w:r>
      <w:r>
        <w:rPr>
          <w:color w:val="000000" w:themeColor="text1"/>
          <w:sz w:val="28"/>
          <w:szCs w:val="28"/>
        </w:rPr>
        <w:t>6</w:t>
      </w:r>
      <w:r>
        <w:rPr>
          <w:color w:val="000000" w:themeColor="text1"/>
          <w:sz w:val="28"/>
          <w:szCs w:val="28"/>
        </w:rPr>
        <w:t>、</w:t>
      </w:r>
      <w:r>
        <w:rPr>
          <w:color w:val="000000" w:themeColor="text1"/>
          <w:sz w:val="28"/>
          <w:szCs w:val="28"/>
        </w:rPr>
        <w:t>7</w:t>
      </w:r>
      <w:r>
        <w:rPr>
          <w:color w:val="000000" w:themeColor="text1"/>
          <w:sz w:val="28"/>
          <w:szCs w:val="28"/>
        </w:rPr>
        <w:t>章的安全检查表的详细检查情况、安全对策措施和隐患整改复查情况，对</w:t>
      </w:r>
      <w:r>
        <w:rPr>
          <w:rFonts w:hint="eastAsia"/>
          <w:color w:val="000000" w:themeColor="text1"/>
          <w:sz w:val="28"/>
          <w:szCs w:val="28"/>
        </w:rPr>
        <w:t>胜利油田胜兴堵驱新技术开发有限责任公司</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调剖等项目是否具备非煤矿矿山企业的安全生产条件进行评价，评价结果汇总如下，见下表</w:t>
      </w:r>
      <w:r>
        <w:rPr>
          <w:color w:val="000000" w:themeColor="text1"/>
          <w:sz w:val="28"/>
          <w:szCs w:val="28"/>
        </w:rPr>
        <w:t>8-1</w:t>
      </w:r>
      <w:r>
        <w:rPr>
          <w:color w:val="000000" w:themeColor="text1"/>
          <w:sz w:val="28"/>
          <w:szCs w:val="28"/>
        </w:rPr>
        <w:t>。</w:t>
      </w:r>
    </w:p>
    <w:p w14:paraId="4816F72D" w14:textId="77777777" w:rsidR="002D2AF8" w:rsidRDefault="00000000">
      <w:pPr>
        <w:adjustRightInd w:val="0"/>
        <w:snapToGrid w:val="0"/>
        <w:spacing w:line="360" w:lineRule="auto"/>
        <w:jc w:val="center"/>
        <w:rPr>
          <w:b/>
          <w:color w:val="000000" w:themeColor="text1"/>
          <w:sz w:val="24"/>
          <w:szCs w:val="28"/>
        </w:rPr>
      </w:pPr>
      <w:r>
        <w:rPr>
          <w:b/>
          <w:color w:val="000000" w:themeColor="text1"/>
          <w:sz w:val="24"/>
          <w:szCs w:val="28"/>
        </w:rPr>
        <w:t>表</w:t>
      </w:r>
      <w:r>
        <w:rPr>
          <w:b/>
          <w:color w:val="000000" w:themeColor="text1"/>
          <w:sz w:val="24"/>
          <w:szCs w:val="28"/>
        </w:rPr>
        <w:t xml:space="preserve">8-1 </w:t>
      </w:r>
      <w:r>
        <w:rPr>
          <w:b/>
          <w:color w:val="000000" w:themeColor="text1"/>
          <w:sz w:val="24"/>
          <w:szCs w:val="28"/>
        </w:rPr>
        <w:t>非煤矿矿山企业安全生产许可证安全生产条件评价表</w:t>
      </w:r>
    </w:p>
    <w:tbl>
      <w:tblPr>
        <w:tblW w:w="837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501"/>
        <w:gridCol w:w="3750"/>
        <w:gridCol w:w="3375"/>
        <w:gridCol w:w="752"/>
      </w:tblGrid>
      <w:tr w:rsidR="002D2AF8" w14:paraId="2D03DE36" w14:textId="77777777">
        <w:trPr>
          <w:tblHeader/>
          <w:jc w:val="center"/>
        </w:trPr>
        <w:tc>
          <w:tcPr>
            <w:tcW w:w="501" w:type="dxa"/>
            <w:vAlign w:val="center"/>
          </w:tcPr>
          <w:p w14:paraId="3415519D" w14:textId="77777777" w:rsidR="002D2AF8" w:rsidRDefault="00000000">
            <w:pPr>
              <w:adjustRightInd w:val="0"/>
              <w:snapToGrid w:val="0"/>
              <w:jc w:val="center"/>
              <w:rPr>
                <w:b/>
                <w:color w:val="000000" w:themeColor="text1"/>
              </w:rPr>
            </w:pPr>
            <w:r>
              <w:rPr>
                <w:b/>
                <w:color w:val="000000" w:themeColor="text1"/>
              </w:rPr>
              <w:t>序号</w:t>
            </w:r>
          </w:p>
        </w:tc>
        <w:tc>
          <w:tcPr>
            <w:tcW w:w="3750" w:type="dxa"/>
            <w:vAlign w:val="center"/>
          </w:tcPr>
          <w:p w14:paraId="30E8CCD4" w14:textId="77777777" w:rsidR="002D2AF8" w:rsidRDefault="00000000">
            <w:pPr>
              <w:adjustRightInd w:val="0"/>
              <w:snapToGrid w:val="0"/>
              <w:jc w:val="center"/>
              <w:rPr>
                <w:b/>
                <w:color w:val="000000" w:themeColor="text1"/>
              </w:rPr>
            </w:pPr>
            <w:r>
              <w:rPr>
                <w:b/>
                <w:color w:val="000000" w:themeColor="text1"/>
              </w:rPr>
              <w:t>安全生产条件</w:t>
            </w:r>
          </w:p>
        </w:tc>
        <w:tc>
          <w:tcPr>
            <w:tcW w:w="3375" w:type="dxa"/>
            <w:tcMar>
              <w:top w:w="0" w:type="dxa"/>
              <w:left w:w="28" w:type="dxa"/>
              <w:bottom w:w="0" w:type="dxa"/>
              <w:right w:w="28" w:type="dxa"/>
            </w:tcMar>
            <w:vAlign w:val="center"/>
          </w:tcPr>
          <w:p w14:paraId="6E069DDB" w14:textId="77777777" w:rsidR="002D2AF8" w:rsidRDefault="00000000">
            <w:pPr>
              <w:adjustRightInd w:val="0"/>
              <w:snapToGrid w:val="0"/>
              <w:jc w:val="center"/>
              <w:rPr>
                <w:b/>
                <w:color w:val="000000" w:themeColor="text1"/>
              </w:rPr>
            </w:pPr>
            <w:r>
              <w:rPr>
                <w:b/>
                <w:color w:val="000000" w:themeColor="text1"/>
              </w:rPr>
              <w:t>实际情况</w:t>
            </w:r>
          </w:p>
        </w:tc>
        <w:tc>
          <w:tcPr>
            <w:tcW w:w="752" w:type="dxa"/>
            <w:vAlign w:val="center"/>
          </w:tcPr>
          <w:p w14:paraId="0EE2C748" w14:textId="77777777" w:rsidR="002D2AF8" w:rsidRDefault="00000000">
            <w:pPr>
              <w:adjustRightInd w:val="0"/>
              <w:snapToGrid w:val="0"/>
              <w:jc w:val="center"/>
              <w:rPr>
                <w:b/>
                <w:color w:val="000000" w:themeColor="text1"/>
              </w:rPr>
            </w:pPr>
            <w:r>
              <w:rPr>
                <w:b/>
                <w:color w:val="000000" w:themeColor="text1"/>
              </w:rPr>
              <w:t>审查结果</w:t>
            </w:r>
          </w:p>
        </w:tc>
      </w:tr>
      <w:tr w:rsidR="002D2AF8" w14:paraId="445AF009" w14:textId="77777777">
        <w:trPr>
          <w:jc w:val="center"/>
        </w:trPr>
        <w:tc>
          <w:tcPr>
            <w:tcW w:w="501" w:type="dxa"/>
            <w:tcMar>
              <w:top w:w="57" w:type="dxa"/>
              <w:left w:w="28" w:type="dxa"/>
              <w:bottom w:w="57" w:type="dxa"/>
              <w:right w:w="28" w:type="dxa"/>
            </w:tcMar>
            <w:vAlign w:val="center"/>
          </w:tcPr>
          <w:p w14:paraId="08709B48" w14:textId="77777777" w:rsidR="002D2AF8" w:rsidRDefault="00000000">
            <w:pPr>
              <w:adjustRightInd w:val="0"/>
              <w:snapToGrid w:val="0"/>
              <w:jc w:val="center"/>
              <w:rPr>
                <w:color w:val="000000" w:themeColor="text1"/>
              </w:rPr>
            </w:pPr>
            <w:r>
              <w:rPr>
                <w:color w:val="000000" w:themeColor="text1"/>
              </w:rPr>
              <w:t>1</w:t>
            </w:r>
          </w:p>
        </w:tc>
        <w:tc>
          <w:tcPr>
            <w:tcW w:w="3750" w:type="dxa"/>
            <w:tcMar>
              <w:top w:w="57" w:type="dxa"/>
              <w:left w:w="28" w:type="dxa"/>
              <w:bottom w:w="57" w:type="dxa"/>
              <w:right w:w="28" w:type="dxa"/>
            </w:tcMar>
            <w:vAlign w:val="center"/>
          </w:tcPr>
          <w:p w14:paraId="6301CE94" w14:textId="77777777" w:rsidR="002D2AF8" w:rsidRDefault="00000000">
            <w:pPr>
              <w:adjustRightInd w:val="0"/>
              <w:snapToGrid w:val="0"/>
              <w:rPr>
                <w:color w:val="000000" w:themeColor="text1"/>
              </w:rPr>
            </w:pPr>
            <w:r>
              <w:rPr>
                <w:color w:val="000000" w:themeColor="text1"/>
              </w:rPr>
              <w:t>建立健全主要负责人、分管负责人、安全生产管理人员、职能部门、岗位安全生产责任制；制定安全检查制度、职业危害预防制度、安全教育培训制度、生产安全事故管理制度、重大危险源监控和重大隐患整改制度、设备安全管理制度、安全生产档案管理制度、安全生产奖惩制度等规章制度；制定作业安全规程和各工种操作规程。</w:t>
            </w:r>
          </w:p>
        </w:tc>
        <w:tc>
          <w:tcPr>
            <w:tcW w:w="3375" w:type="dxa"/>
            <w:tcMar>
              <w:top w:w="0" w:type="dxa"/>
              <w:left w:w="28" w:type="dxa"/>
              <w:bottom w:w="0" w:type="dxa"/>
              <w:right w:w="28" w:type="dxa"/>
            </w:tcMar>
            <w:vAlign w:val="center"/>
          </w:tcPr>
          <w:p w14:paraId="575EF129" w14:textId="77777777" w:rsidR="002D2AF8" w:rsidRDefault="00000000">
            <w:pPr>
              <w:adjustRightInd w:val="0"/>
              <w:snapToGrid w:val="0"/>
              <w:rPr>
                <w:color w:val="000000" w:themeColor="text1"/>
              </w:rPr>
            </w:pPr>
            <w:r>
              <w:rPr>
                <w:rFonts w:hint="eastAsia"/>
                <w:color w:val="000000" w:themeColor="text1"/>
                <w:kern w:val="0"/>
                <w:szCs w:val="21"/>
              </w:rPr>
              <w:t>胜兴堵驱公司</w:t>
            </w:r>
            <w:r>
              <w:rPr>
                <w:color w:val="000000" w:themeColor="text1"/>
                <w:kern w:val="0"/>
                <w:szCs w:val="21"/>
              </w:rPr>
              <w:t>已建立领导层安全生产生产责任制、各部门岗位安全生产责任制等全员安全生产责任制；制定了安全检查制度，职业卫生及职业性健康检查管理制度，安全教育培训制度，生产安全事故报告、调查及处理管理制度，设备、设施安全管理制度，安全生产档案管理制度，安全生产奖惩制度，安全生产会议制度，安全生产费用提取和使用管理制度等</w:t>
            </w:r>
            <w:r>
              <w:rPr>
                <w:color w:val="000000" w:themeColor="text1"/>
                <w:kern w:val="0"/>
                <w:szCs w:val="21"/>
              </w:rPr>
              <w:t>3</w:t>
            </w:r>
            <w:r>
              <w:rPr>
                <w:rFonts w:hint="eastAsia"/>
                <w:color w:val="000000" w:themeColor="text1"/>
                <w:kern w:val="0"/>
                <w:szCs w:val="21"/>
              </w:rPr>
              <w:t>4</w:t>
            </w:r>
            <w:r>
              <w:rPr>
                <w:color w:val="000000" w:themeColor="text1"/>
                <w:kern w:val="0"/>
                <w:szCs w:val="21"/>
              </w:rPr>
              <w:t>项安全管理制度；制定了通用安全操作规程、施工工艺安全操作规程、设备设施安全操作规程。</w:t>
            </w:r>
          </w:p>
        </w:tc>
        <w:tc>
          <w:tcPr>
            <w:tcW w:w="752" w:type="dxa"/>
            <w:vAlign w:val="center"/>
          </w:tcPr>
          <w:p w14:paraId="70569339" w14:textId="77777777" w:rsidR="002D2AF8" w:rsidRDefault="00000000">
            <w:pPr>
              <w:adjustRightInd w:val="0"/>
              <w:snapToGrid w:val="0"/>
              <w:jc w:val="center"/>
              <w:rPr>
                <w:color w:val="000000" w:themeColor="text1"/>
              </w:rPr>
            </w:pPr>
            <w:r>
              <w:rPr>
                <w:color w:val="000000" w:themeColor="text1"/>
              </w:rPr>
              <w:t>符合要求</w:t>
            </w:r>
          </w:p>
        </w:tc>
      </w:tr>
      <w:tr w:rsidR="002D2AF8" w14:paraId="5C67DF70" w14:textId="77777777">
        <w:trPr>
          <w:jc w:val="center"/>
        </w:trPr>
        <w:tc>
          <w:tcPr>
            <w:tcW w:w="501" w:type="dxa"/>
            <w:tcMar>
              <w:top w:w="57" w:type="dxa"/>
              <w:left w:w="28" w:type="dxa"/>
              <w:bottom w:w="57" w:type="dxa"/>
              <w:right w:w="28" w:type="dxa"/>
            </w:tcMar>
            <w:vAlign w:val="center"/>
          </w:tcPr>
          <w:p w14:paraId="6FB76CB2" w14:textId="77777777" w:rsidR="002D2AF8" w:rsidRDefault="00000000">
            <w:pPr>
              <w:adjustRightInd w:val="0"/>
              <w:snapToGrid w:val="0"/>
              <w:jc w:val="center"/>
              <w:rPr>
                <w:color w:val="000000" w:themeColor="text1"/>
              </w:rPr>
            </w:pPr>
            <w:r>
              <w:rPr>
                <w:color w:val="000000" w:themeColor="text1"/>
              </w:rPr>
              <w:t>2</w:t>
            </w:r>
          </w:p>
        </w:tc>
        <w:tc>
          <w:tcPr>
            <w:tcW w:w="3750" w:type="dxa"/>
            <w:tcMar>
              <w:top w:w="57" w:type="dxa"/>
              <w:left w:w="28" w:type="dxa"/>
              <w:bottom w:w="57" w:type="dxa"/>
              <w:right w:w="28" w:type="dxa"/>
            </w:tcMar>
            <w:vAlign w:val="center"/>
          </w:tcPr>
          <w:p w14:paraId="6AD1EA4A" w14:textId="77777777" w:rsidR="002D2AF8" w:rsidRDefault="00000000">
            <w:pPr>
              <w:adjustRightInd w:val="0"/>
              <w:snapToGrid w:val="0"/>
              <w:rPr>
                <w:color w:val="000000" w:themeColor="text1"/>
              </w:rPr>
            </w:pPr>
            <w:r>
              <w:rPr>
                <w:color w:val="000000" w:themeColor="text1"/>
              </w:rPr>
              <w:t>安全投入符合安全生产要求，依照国家有关规定足额提取安全生产费用。</w:t>
            </w:r>
          </w:p>
        </w:tc>
        <w:tc>
          <w:tcPr>
            <w:tcW w:w="3375" w:type="dxa"/>
            <w:tcMar>
              <w:top w:w="0" w:type="dxa"/>
              <w:left w:w="28" w:type="dxa"/>
              <w:bottom w:w="0" w:type="dxa"/>
              <w:right w:w="28" w:type="dxa"/>
            </w:tcMar>
            <w:vAlign w:val="center"/>
          </w:tcPr>
          <w:p w14:paraId="1215FC04" w14:textId="77777777" w:rsidR="002D2AF8" w:rsidRDefault="00000000">
            <w:pPr>
              <w:adjustRightInd w:val="0"/>
              <w:snapToGrid w:val="0"/>
              <w:rPr>
                <w:color w:val="000000" w:themeColor="text1"/>
              </w:rPr>
            </w:pPr>
            <w:r>
              <w:rPr>
                <w:rFonts w:hint="eastAsia"/>
                <w:color w:val="000000" w:themeColor="text1"/>
              </w:rPr>
              <w:t>设有安全费用专用户头，并</w:t>
            </w:r>
            <w:r>
              <w:rPr>
                <w:color w:val="000000" w:themeColor="text1"/>
              </w:rPr>
              <w:t>建立年度安全费用提取计划，按照计划计提安全费用，建立有安全费用台账，提取比例不低于工程产值的</w:t>
            </w:r>
            <w:r>
              <w:rPr>
                <w:color w:val="000000" w:themeColor="text1"/>
              </w:rPr>
              <w:t>2.5%</w:t>
            </w:r>
            <w:r>
              <w:rPr>
                <w:color w:val="000000" w:themeColor="text1"/>
              </w:rPr>
              <w:t>。</w:t>
            </w:r>
          </w:p>
        </w:tc>
        <w:tc>
          <w:tcPr>
            <w:tcW w:w="752" w:type="dxa"/>
            <w:vAlign w:val="center"/>
          </w:tcPr>
          <w:p w14:paraId="7071E4EA" w14:textId="77777777" w:rsidR="002D2AF8" w:rsidRDefault="00000000">
            <w:pPr>
              <w:adjustRightInd w:val="0"/>
              <w:snapToGrid w:val="0"/>
              <w:jc w:val="center"/>
              <w:rPr>
                <w:color w:val="000000" w:themeColor="text1"/>
              </w:rPr>
            </w:pPr>
            <w:r>
              <w:rPr>
                <w:color w:val="000000" w:themeColor="text1"/>
              </w:rPr>
              <w:t>符合要求</w:t>
            </w:r>
          </w:p>
        </w:tc>
      </w:tr>
      <w:tr w:rsidR="002D2AF8" w14:paraId="7D153ECE" w14:textId="77777777">
        <w:trPr>
          <w:jc w:val="center"/>
        </w:trPr>
        <w:tc>
          <w:tcPr>
            <w:tcW w:w="501" w:type="dxa"/>
            <w:tcMar>
              <w:top w:w="57" w:type="dxa"/>
              <w:left w:w="28" w:type="dxa"/>
              <w:bottom w:w="57" w:type="dxa"/>
              <w:right w:w="28" w:type="dxa"/>
            </w:tcMar>
            <w:vAlign w:val="center"/>
          </w:tcPr>
          <w:p w14:paraId="17F3C466" w14:textId="77777777" w:rsidR="002D2AF8" w:rsidRDefault="00000000">
            <w:pPr>
              <w:adjustRightInd w:val="0"/>
              <w:snapToGrid w:val="0"/>
              <w:jc w:val="center"/>
              <w:rPr>
                <w:color w:val="000000" w:themeColor="text1"/>
              </w:rPr>
            </w:pPr>
            <w:r>
              <w:rPr>
                <w:color w:val="000000" w:themeColor="text1"/>
              </w:rPr>
              <w:t>3</w:t>
            </w:r>
          </w:p>
        </w:tc>
        <w:tc>
          <w:tcPr>
            <w:tcW w:w="3750" w:type="dxa"/>
            <w:tcMar>
              <w:top w:w="57" w:type="dxa"/>
              <w:left w:w="28" w:type="dxa"/>
              <w:bottom w:w="57" w:type="dxa"/>
              <w:right w:w="28" w:type="dxa"/>
            </w:tcMar>
            <w:vAlign w:val="center"/>
          </w:tcPr>
          <w:p w14:paraId="7DC2486E" w14:textId="77777777" w:rsidR="002D2AF8" w:rsidRDefault="00000000">
            <w:pPr>
              <w:adjustRightInd w:val="0"/>
              <w:snapToGrid w:val="0"/>
              <w:rPr>
                <w:color w:val="000000" w:themeColor="text1"/>
              </w:rPr>
            </w:pPr>
            <w:r>
              <w:rPr>
                <w:color w:val="000000" w:themeColor="text1"/>
              </w:rPr>
              <w:t>设置安全生产管理机构，或者配备专职安全生产管理人员。</w:t>
            </w:r>
          </w:p>
        </w:tc>
        <w:tc>
          <w:tcPr>
            <w:tcW w:w="3375" w:type="dxa"/>
            <w:tcMar>
              <w:top w:w="0" w:type="dxa"/>
              <w:left w:w="28" w:type="dxa"/>
              <w:bottom w:w="0" w:type="dxa"/>
              <w:right w:w="28" w:type="dxa"/>
            </w:tcMar>
            <w:vAlign w:val="center"/>
          </w:tcPr>
          <w:p w14:paraId="216199D3" w14:textId="77777777" w:rsidR="002D2AF8" w:rsidRDefault="00000000">
            <w:pPr>
              <w:adjustRightInd w:val="0"/>
              <w:snapToGrid w:val="0"/>
              <w:rPr>
                <w:color w:val="000000" w:themeColor="text1"/>
              </w:rPr>
            </w:pPr>
            <w:r>
              <w:rPr>
                <w:color w:val="000000" w:themeColor="text1"/>
              </w:rPr>
              <w:t>已变更为安全</w:t>
            </w:r>
            <w:r>
              <w:rPr>
                <w:rFonts w:hint="eastAsia"/>
                <w:color w:val="000000" w:themeColor="text1"/>
              </w:rPr>
              <w:t>办公室</w:t>
            </w:r>
            <w:r>
              <w:rPr>
                <w:color w:val="000000" w:themeColor="text1"/>
              </w:rPr>
              <w:t>作为本公司的安全生产管理机构，并配有</w:t>
            </w:r>
            <w:r>
              <w:rPr>
                <w:rFonts w:hint="eastAsia"/>
                <w:color w:val="000000" w:themeColor="text1"/>
              </w:rPr>
              <w:t>3</w:t>
            </w:r>
            <w:r>
              <w:rPr>
                <w:color w:val="000000" w:themeColor="text1"/>
              </w:rPr>
              <w:t>名专职安全生产管理人员。</w:t>
            </w:r>
          </w:p>
        </w:tc>
        <w:tc>
          <w:tcPr>
            <w:tcW w:w="752" w:type="dxa"/>
            <w:vAlign w:val="center"/>
          </w:tcPr>
          <w:p w14:paraId="385702DA" w14:textId="77777777" w:rsidR="002D2AF8" w:rsidRDefault="00000000">
            <w:pPr>
              <w:adjustRightInd w:val="0"/>
              <w:snapToGrid w:val="0"/>
              <w:jc w:val="center"/>
              <w:rPr>
                <w:color w:val="000000" w:themeColor="text1"/>
              </w:rPr>
            </w:pPr>
            <w:r>
              <w:rPr>
                <w:color w:val="000000" w:themeColor="text1"/>
              </w:rPr>
              <w:t>符合要求</w:t>
            </w:r>
          </w:p>
        </w:tc>
      </w:tr>
      <w:tr w:rsidR="002D2AF8" w14:paraId="0F8973D3" w14:textId="77777777">
        <w:trPr>
          <w:jc w:val="center"/>
        </w:trPr>
        <w:tc>
          <w:tcPr>
            <w:tcW w:w="501" w:type="dxa"/>
            <w:tcMar>
              <w:top w:w="57" w:type="dxa"/>
              <w:left w:w="28" w:type="dxa"/>
              <w:bottom w:w="57" w:type="dxa"/>
              <w:right w:w="28" w:type="dxa"/>
            </w:tcMar>
            <w:vAlign w:val="center"/>
          </w:tcPr>
          <w:p w14:paraId="33176E55" w14:textId="77777777" w:rsidR="002D2AF8" w:rsidRDefault="00000000">
            <w:pPr>
              <w:adjustRightInd w:val="0"/>
              <w:snapToGrid w:val="0"/>
              <w:jc w:val="center"/>
              <w:rPr>
                <w:color w:val="000000" w:themeColor="text1"/>
              </w:rPr>
            </w:pPr>
            <w:r>
              <w:rPr>
                <w:color w:val="000000" w:themeColor="text1"/>
              </w:rPr>
              <w:t>4</w:t>
            </w:r>
          </w:p>
        </w:tc>
        <w:tc>
          <w:tcPr>
            <w:tcW w:w="3750" w:type="dxa"/>
            <w:tcMar>
              <w:top w:w="57" w:type="dxa"/>
              <w:left w:w="28" w:type="dxa"/>
              <w:bottom w:w="57" w:type="dxa"/>
              <w:right w:w="28" w:type="dxa"/>
            </w:tcMar>
            <w:vAlign w:val="center"/>
          </w:tcPr>
          <w:p w14:paraId="24F07258" w14:textId="77777777" w:rsidR="002D2AF8" w:rsidRDefault="00000000">
            <w:pPr>
              <w:adjustRightInd w:val="0"/>
              <w:snapToGrid w:val="0"/>
              <w:rPr>
                <w:color w:val="000000" w:themeColor="text1"/>
              </w:rPr>
            </w:pPr>
            <w:r>
              <w:rPr>
                <w:color w:val="000000" w:themeColor="text1"/>
              </w:rPr>
              <w:t>主要负责人和安全生产管理人员经安全生产监督管理部门考核合格，取得安全合格证书。</w:t>
            </w:r>
          </w:p>
        </w:tc>
        <w:tc>
          <w:tcPr>
            <w:tcW w:w="3375" w:type="dxa"/>
            <w:tcMar>
              <w:top w:w="0" w:type="dxa"/>
              <w:left w:w="28" w:type="dxa"/>
              <w:bottom w:w="0" w:type="dxa"/>
              <w:right w:w="28" w:type="dxa"/>
            </w:tcMar>
            <w:vAlign w:val="center"/>
          </w:tcPr>
          <w:p w14:paraId="375F6E0A" w14:textId="77777777" w:rsidR="002D2AF8" w:rsidRDefault="00000000">
            <w:pPr>
              <w:adjustRightInd w:val="0"/>
              <w:snapToGrid w:val="0"/>
              <w:rPr>
                <w:color w:val="000000" w:themeColor="text1"/>
              </w:rPr>
            </w:pPr>
            <w:r>
              <w:rPr>
                <w:color w:val="000000" w:themeColor="text1"/>
              </w:rPr>
              <w:t>主要负责人和安全生产管理人员经东营市应急管理局考核合格，取得安全合格证书。</w:t>
            </w:r>
          </w:p>
        </w:tc>
        <w:tc>
          <w:tcPr>
            <w:tcW w:w="752" w:type="dxa"/>
            <w:vAlign w:val="center"/>
          </w:tcPr>
          <w:p w14:paraId="630D47D4" w14:textId="77777777" w:rsidR="002D2AF8" w:rsidRDefault="00000000">
            <w:pPr>
              <w:adjustRightInd w:val="0"/>
              <w:snapToGrid w:val="0"/>
              <w:jc w:val="center"/>
              <w:rPr>
                <w:color w:val="000000" w:themeColor="text1"/>
              </w:rPr>
            </w:pPr>
            <w:r>
              <w:rPr>
                <w:color w:val="000000" w:themeColor="text1"/>
              </w:rPr>
              <w:t>符合要求</w:t>
            </w:r>
          </w:p>
        </w:tc>
      </w:tr>
      <w:tr w:rsidR="002D2AF8" w14:paraId="544A8B4E" w14:textId="77777777">
        <w:trPr>
          <w:jc w:val="center"/>
        </w:trPr>
        <w:tc>
          <w:tcPr>
            <w:tcW w:w="501" w:type="dxa"/>
            <w:tcMar>
              <w:top w:w="57" w:type="dxa"/>
              <w:left w:w="28" w:type="dxa"/>
              <w:bottom w:w="57" w:type="dxa"/>
              <w:right w:w="28" w:type="dxa"/>
            </w:tcMar>
            <w:vAlign w:val="center"/>
          </w:tcPr>
          <w:p w14:paraId="272D1708" w14:textId="77777777" w:rsidR="002D2AF8" w:rsidRDefault="00000000">
            <w:pPr>
              <w:adjustRightInd w:val="0"/>
              <w:snapToGrid w:val="0"/>
              <w:jc w:val="center"/>
              <w:rPr>
                <w:color w:val="000000" w:themeColor="text1"/>
              </w:rPr>
            </w:pPr>
            <w:r>
              <w:rPr>
                <w:color w:val="000000" w:themeColor="text1"/>
              </w:rPr>
              <w:t>5</w:t>
            </w:r>
          </w:p>
        </w:tc>
        <w:tc>
          <w:tcPr>
            <w:tcW w:w="3750" w:type="dxa"/>
            <w:tcMar>
              <w:top w:w="57" w:type="dxa"/>
              <w:left w:w="28" w:type="dxa"/>
              <w:bottom w:w="57" w:type="dxa"/>
              <w:right w:w="28" w:type="dxa"/>
            </w:tcMar>
            <w:vAlign w:val="center"/>
          </w:tcPr>
          <w:p w14:paraId="07D95C49" w14:textId="77777777" w:rsidR="002D2AF8" w:rsidRDefault="00000000">
            <w:pPr>
              <w:adjustRightInd w:val="0"/>
              <w:snapToGrid w:val="0"/>
              <w:rPr>
                <w:color w:val="000000" w:themeColor="text1"/>
              </w:rPr>
            </w:pPr>
            <w:r>
              <w:rPr>
                <w:color w:val="000000" w:themeColor="text1"/>
              </w:rPr>
              <w:t>特种作业人员经有关业务主管部门考核合格，取得特种作业操作合格证书。</w:t>
            </w:r>
          </w:p>
        </w:tc>
        <w:tc>
          <w:tcPr>
            <w:tcW w:w="3375" w:type="dxa"/>
            <w:tcMar>
              <w:top w:w="0" w:type="dxa"/>
              <w:left w:w="28" w:type="dxa"/>
              <w:bottom w:w="0" w:type="dxa"/>
              <w:right w:w="28" w:type="dxa"/>
            </w:tcMar>
            <w:vAlign w:val="center"/>
          </w:tcPr>
          <w:p w14:paraId="38B60FD9" w14:textId="77777777" w:rsidR="002D2AF8" w:rsidRDefault="00000000">
            <w:pPr>
              <w:overflowPunct w:val="0"/>
              <w:adjustRightInd w:val="0"/>
              <w:snapToGrid w:val="0"/>
              <w:jc w:val="left"/>
              <w:rPr>
                <w:color w:val="000000" w:themeColor="text1"/>
              </w:rPr>
            </w:pPr>
            <w:r>
              <w:rPr>
                <w:color w:val="000000" w:themeColor="text1"/>
                <w:kern w:val="0"/>
                <w:szCs w:val="21"/>
              </w:rPr>
              <w:t>低压电工、高</w:t>
            </w:r>
            <w:r>
              <w:rPr>
                <w:rFonts w:hint="eastAsia"/>
                <w:color w:val="000000" w:themeColor="text1"/>
                <w:kern w:val="0"/>
                <w:szCs w:val="21"/>
              </w:rPr>
              <w:t>压电工</w:t>
            </w:r>
            <w:r>
              <w:rPr>
                <w:color w:val="000000" w:themeColor="text1"/>
                <w:kern w:val="0"/>
                <w:szCs w:val="21"/>
              </w:rPr>
              <w:t>、</w:t>
            </w:r>
            <w:r>
              <w:rPr>
                <w:rFonts w:hint="eastAsia"/>
                <w:color w:val="000000" w:themeColor="text1"/>
                <w:kern w:val="0"/>
                <w:szCs w:val="21"/>
              </w:rPr>
              <w:t>焊工、起重机械指挥</w:t>
            </w:r>
            <w:r>
              <w:rPr>
                <w:color w:val="000000" w:themeColor="text1"/>
                <w:kern w:val="0"/>
                <w:szCs w:val="21"/>
              </w:rPr>
              <w:t>等作业人员持有操作合格证，均在有效期内。</w:t>
            </w:r>
          </w:p>
        </w:tc>
        <w:tc>
          <w:tcPr>
            <w:tcW w:w="752" w:type="dxa"/>
            <w:vAlign w:val="center"/>
          </w:tcPr>
          <w:p w14:paraId="3B8ABB91" w14:textId="77777777" w:rsidR="002D2AF8" w:rsidRDefault="00000000">
            <w:pPr>
              <w:adjustRightInd w:val="0"/>
              <w:snapToGrid w:val="0"/>
              <w:jc w:val="center"/>
              <w:rPr>
                <w:color w:val="000000" w:themeColor="text1"/>
              </w:rPr>
            </w:pPr>
            <w:r>
              <w:rPr>
                <w:color w:val="000000" w:themeColor="text1"/>
              </w:rPr>
              <w:t>符合要求</w:t>
            </w:r>
          </w:p>
        </w:tc>
      </w:tr>
      <w:tr w:rsidR="002D2AF8" w14:paraId="702FD47A" w14:textId="77777777">
        <w:trPr>
          <w:jc w:val="center"/>
        </w:trPr>
        <w:tc>
          <w:tcPr>
            <w:tcW w:w="501" w:type="dxa"/>
            <w:tcMar>
              <w:top w:w="57" w:type="dxa"/>
              <w:left w:w="28" w:type="dxa"/>
              <w:bottom w:w="57" w:type="dxa"/>
              <w:right w:w="28" w:type="dxa"/>
            </w:tcMar>
            <w:vAlign w:val="center"/>
          </w:tcPr>
          <w:p w14:paraId="4ACF232D" w14:textId="77777777" w:rsidR="002D2AF8" w:rsidRDefault="00000000">
            <w:pPr>
              <w:adjustRightInd w:val="0"/>
              <w:snapToGrid w:val="0"/>
              <w:jc w:val="center"/>
              <w:rPr>
                <w:color w:val="000000" w:themeColor="text1"/>
              </w:rPr>
            </w:pPr>
            <w:r>
              <w:rPr>
                <w:color w:val="000000" w:themeColor="text1"/>
              </w:rPr>
              <w:lastRenderedPageBreak/>
              <w:t>6</w:t>
            </w:r>
          </w:p>
        </w:tc>
        <w:tc>
          <w:tcPr>
            <w:tcW w:w="3750" w:type="dxa"/>
            <w:tcMar>
              <w:top w:w="57" w:type="dxa"/>
              <w:left w:w="28" w:type="dxa"/>
              <w:bottom w:w="57" w:type="dxa"/>
              <w:right w:w="28" w:type="dxa"/>
            </w:tcMar>
            <w:vAlign w:val="center"/>
          </w:tcPr>
          <w:p w14:paraId="07854826" w14:textId="77777777" w:rsidR="002D2AF8" w:rsidRDefault="00000000">
            <w:pPr>
              <w:adjustRightInd w:val="0"/>
              <w:snapToGrid w:val="0"/>
              <w:rPr>
                <w:color w:val="000000" w:themeColor="text1"/>
              </w:rPr>
            </w:pPr>
            <w:r>
              <w:rPr>
                <w:color w:val="000000" w:themeColor="text1"/>
              </w:rPr>
              <w:t>其他从业人员依照规定接受安全生产教育和培训，并经考试合格。</w:t>
            </w:r>
          </w:p>
        </w:tc>
        <w:tc>
          <w:tcPr>
            <w:tcW w:w="3375" w:type="dxa"/>
            <w:tcMar>
              <w:top w:w="0" w:type="dxa"/>
              <w:left w:w="28" w:type="dxa"/>
              <w:bottom w:w="0" w:type="dxa"/>
              <w:right w:w="28" w:type="dxa"/>
            </w:tcMar>
            <w:vAlign w:val="center"/>
          </w:tcPr>
          <w:p w14:paraId="1F2D8245" w14:textId="77777777" w:rsidR="002D2AF8" w:rsidRDefault="00000000">
            <w:pPr>
              <w:adjustRightInd w:val="0"/>
              <w:snapToGrid w:val="0"/>
              <w:rPr>
                <w:color w:val="000000" w:themeColor="text1"/>
              </w:rPr>
            </w:pPr>
            <w:r>
              <w:rPr>
                <w:color w:val="000000" w:themeColor="text1"/>
              </w:rPr>
              <w:t>其他从业人员均已取得三证上岗作业。</w:t>
            </w:r>
          </w:p>
        </w:tc>
        <w:tc>
          <w:tcPr>
            <w:tcW w:w="752" w:type="dxa"/>
            <w:vAlign w:val="center"/>
          </w:tcPr>
          <w:p w14:paraId="2FEB47D7" w14:textId="77777777" w:rsidR="002D2AF8" w:rsidRDefault="00000000">
            <w:pPr>
              <w:adjustRightInd w:val="0"/>
              <w:snapToGrid w:val="0"/>
              <w:jc w:val="center"/>
              <w:rPr>
                <w:color w:val="000000" w:themeColor="text1"/>
              </w:rPr>
            </w:pPr>
            <w:r>
              <w:rPr>
                <w:color w:val="000000" w:themeColor="text1"/>
              </w:rPr>
              <w:t>符合要求</w:t>
            </w:r>
          </w:p>
        </w:tc>
      </w:tr>
      <w:tr w:rsidR="002D2AF8" w14:paraId="7AD86AB5" w14:textId="77777777">
        <w:trPr>
          <w:jc w:val="center"/>
        </w:trPr>
        <w:tc>
          <w:tcPr>
            <w:tcW w:w="501" w:type="dxa"/>
            <w:tcMar>
              <w:top w:w="57" w:type="dxa"/>
              <w:left w:w="28" w:type="dxa"/>
              <w:bottom w:w="57" w:type="dxa"/>
              <w:right w:w="28" w:type="dxa"/>
            </w:tcMar>
            <w:vAlign w:val="center"/>
          </w:tcPr>
          <w:p w14:paraId="75F73032" w14:textId="77777777" w:rsidR="002D2AF8" w:rsidRDefault="00000000">
            <w:pPr>
              <w:adjustRightInd w:val="0"/>
              <w:snapToGrid w:val="0"/>
              <w:jc w:val="center"/>
              <w:rPr>
                <w:color w:val="000000" w:themeColor="text1"/>
              </w:rPr>
            </w:pPr>
            <w:r>
              <w:rPr>
                <w:color w:val="000000" w:themeColor="text1"/>
              </w:rPr>
              <w:t>7</w:t>
            </w:r>
          </w:p>
        </w:tc>
        <w:tc>
          <w:tcPr>
            <w:tcW w:w="3750" w:type="dxa"/>
            <w:tcMar>
              <w:top w:w="57" w:type="dxa"/>
              <w:left w:w="28" w:type="dxa"/>
              <w:bottom w:w="57" w:type="dxa"/>
              <w:right w:w="28" w:type="dxa"/>
            </w:tcMar>
            <w:vAlign w:val="center"/>
          </w:tcPr>
          <w:p w14:paraId="2700F350" w14:textId="77777777" w:rsidR="002D2AF8" w:rsidRDefault="00000000">
            <w:pPr>
              <w:adjustRightInd w:val="0"/>
              <w:snapToGrid w:val="0"/>
              <w:rPr>
                <w:color w:val="000000" w:themeColor="text1"/>
              </w:rPr>
            </w:pPr>
            <w:r>
              <w:rPr>
                <w:color w:val="000000" w:themeColor="text1"/>
              </w:rPr>
              <w:t>依法参加工伤保险，为从业人员缴纳保险费。</w:t>
            </w:r>
          </w:p>
        </w:tc>
        <w:tc>
          <w:tcPr>
            <w:tcW w:w="3375" w:type="dxa"/>
            <w:tcMar>
              <w:top w:w="0" w:type="dxa"/>
              <w:left w:w="28" w:type="dxa"/>
              <w:bottom w:w="0" w:type="dxa"/>
              <w:right w:w="28" w:type="dxa"/>
            </w:tcMar>
            <w:vAlign w:val="center"/>
          </w:tcPr>
          <w:p w14:paraId="6A83155C" w14:textId="77777777" w:rsidR="002D2AF8" w:rsidRDefault="00000000">
            <w:pPr>
              <w:adjustRightInd w:val="0"/>
              <w:snapToGrid w:val="0"/>
              <w:rPr>
                <w:color w:val="000000" w:themeColor="text1"/>
              </w:rPr>
            </w:pPr>
            <w:r>
              <w:rPr>
                <w:color w:val="000000" w:themeColor="text1"/>
              </w:rPr>
              <w:t>已依法参加工伤保险，为从业人员缴纳保险费。</w:t>
            </w:r>
          </w:p>
        </w:tc>
        <w:tc>
          <w:tcPr>
            <w:tcW w:w="752" w:type="dxa"/>
            <w:vAlign w:val="center"/>
          </w:tcPr>
          <w:p w14:paraId="41D74755" w14:textId="77777777" w:rsidR="002D2AF8" w:rsidRDefault="00000000">
            <w:pPr>
              <w:adjustRightInd w:val="0"/>
              <w:snapToGrid w:val="0"/>
              <w:jc w:val="center"/>
              <w:rPr>
                <w:color w:val="000000" w:themeColor="text1"/>
              </w:rPr>
            </w:pPr>
            <w:r>
              <w:rPr>
                <w:color w:val="000000" w:themeColor="text1"/>
              </w:rPr>
              <w:t>符合要求</w:t>
            </w:r>
          </w:p>
        </w:tc>
      </w:tr>
      <w:tr w:rsidR="002D2AF8" w14:paraId="1909899B" w14:textId="77777777">
        <w:trPr>
          <w:jc w:val="center"/>
        </w:trPr>
        <w:tc>
          <w:tcPr>
            <w:tcW w:w="501" w:type="dxa"/>
            <w:tcMar>
              <w:top w:w="57" w:type="dxa"/>
              <w:left w:w="28" w:type="dxa"/>
              <w:bottom w:w="57" w:type="dxa"/>
              <w:right w:w="28" w:type="dxa"/>
            </w:tcMar>
            <w:vAlign w:val="center"/>
          </w:tcPr>
          <w:p w14:paraId="5B8291FF" w14:textId="77777777" w:rsidR="002D2AF8" w:rsidRDefault="00000000">
            <w:pPr>
              <w:adjustRightInd w:val="0"/>
              <w:snapToGrid w:val="0"/>
              <w:jc w:val="center"/>
              <w:rPr>
                <w:color w:val="000000" w:themeColor="text1"/>
              </w:rPr>
            </w:pPr>
            <w:r>
              <w:rPr>
                <w:color w:val="000000" w:themeColor="text1"/>
              </w:rPr>
              <w:t>8</w:t>
            </w:r>
          </w:p>
        </w:tc>
        <w:tc>
          <w:tcPr>
            <w:tcW w:w="3750" w:type="dxa"/>
            <w:tcMar>
              <w:top w:w="57" w:type="dxa"/>
              <w:left w:w="28" w:type="dxa"/>
              <w:bottom w:w="57" w:type="dxa"/>
              <w:right w:w="28" w:type="dxa"/>
            </w:tcMar>
            <w:vAlign w:val="center"/>
          </w:tcPr>
          <w:p w14:paraId="3B27C15F" w14:textId="77777777" w:rsidR="002D2AF8" w:rsidRDefault="00000000">
            <w:pPr>
              <w:adjustRightInd w:val="0"/>
              <w:snapToGrid w:val="0"/>
              <w:rPr>
                <w:color w:val="000000" w:themeColor="text1"/>
              </w:rPr>
            </w:pPr>
            <w:r>
              <w:rPr>
                <w:color w:val="000000" w:themeColor="text1"/>
              </w:rPr>
              <w:t>制定防治职业危害的具体措施，并为从业人员配备符合国家标准或者行业标准的劳动防护用品。</w:t>
            </w:r>
          </w:p>
        </w:tc>
        <w:tc>
          <w:tcPr>
            <w:tcW w:w="3375" w:type="dxa"/>
            <w:tcMar>
              <w:top w:w="0" w:type="dxa"/>
              <w:left w:w="28" w:type="dxa"/>
              <w:bottom w:w="0" w:type="dxa"/>
              <w:right w:w="28" w:type="dxa"/>
            </w:tcMar>
            <w:vAlign w:val="center"/>
          </w:tcPr>
          <w:p w14:paraId="7F323C44" w14:textId="77777777" w:rsidR="002D2AF8" w:rsidRDefault="00000000">
            <w:pPr>
              <w:adjustRightInd w:val="0"/>
              <w:snapToGrid w:val="0"/>
              <w:rPr>
                <w:color w:val="000000" w:themeColor="text1"/>
              </w:rPr>
            </w:pPr>
            <w:r>
              <w:rPr>
                <w:color w:val="000000" w:themeColor="text1"/>
              </w:rPr>
              <w:t>制定职业卫生及职业性健康检查管理制度，并为从业人员按照国家标准发放工衣、工鞋、安全帽、</w:t>
            </w:r>
            <w:r>
              <w:rPr>
                <w:rFonts w:hint="eastAsia"/>
                <w:color w:val="000000" w:themeColor="text1"/>
              </w:rPr>
              <w:t>耳塞</w:t>
            </w:r>
            <w:r>
              <w:rPr>
                <w:color w:val="000000" w:themeColor="text1"/>
              </w:rPr>
              <w:t>等。</w:t>
            </w:r>
          </w:p>
        </w:tc>
        <w:tc>
          <w:tcPr>
            <w:tcW w:w="752" w:type="dxa"/>
            <w:vAlign w:val="center"/>
          </w:tcPr>
          <w:p w14:paraId="453EE5FA" w14:textId="77777777" w:rsidR="002D2AF8" w:rsidRDefault="00000000">
            <w:pPr>
              <w:adjustRightInd w:val="0"/>
              <w:snapToGrid w:val="0"/>
              <w:jc w:val="center"/>
              <w:rPr>
                <w:color w:val="000000" w:themeColor="text1"/>
                <w:szCs w:val="21"/>
              </w:rPr>
            </w:pPr>
            <w:r>
              <w:rPr>
                <w:color w:val="000000" w:themeColor="text1"/>
                <w:szCs w:val="21"/>
              </w:rPr>
              <w:t>符合要求</w:t>
            </w:r>
          </w:p>
        </w:tc>
      </w:tr>
      <w:tr w:rsidR="002D2AF8" w14:paraId="0A96CE8C" w14:textId="77777777">
        <w:trPr>
          <w:jc w:val="center"/>
        </w:trPr>
        <w:tc>
          <w:tcPr>
            <w:tcW w:w="501" w:type="dxa"/>
            <w:tcMar>
              <w:top w:w="57" w:type="dxa"/>
              <w:left w:w="28" w:type="dxa"/>
              <w:bottom w:w="57" w:type="dxa"/>
              <w:right w:w="28" w:type="dxa"/>
            </w:tcMar>
            <w:vAlign w:val="center"/>
          </w:tcPr>
          <w:p w14:paraId="1DF0B45C" w14:textId="77777777" w:rsidR="002D2AF8" w:rsidRDefault="00000000">
            <w:pPr>
              <w:adjustRightInd w:val="0"/>
              <w:snapToGrid w:val="0"/>
              <w:jc w:val="center"/>
              <w:rPr>
                <w:color w:val="000000" w:themeColor="text1"/>
              </w:rPr>
            </w:pPr>
            <w:r>
              <w:rPr>
                <w:color w:val="000000" w:themeColor="text1"/>
              </w:rPr>
              <w:t>9</w:t>
            </w:r>
          </w:p>
        </w:tc>
        <w:tc>
          <w:tcPr>
            <w:tcW w:w="3750" w:type="dxa"/>
            <w:tcMar>
              <w:top w:w="57" w:type="dxa"/>
              <w:left w:w="28" w:type="dxa"/>
              <w:bottom w:w="57" w:type="dxa"/>
              <w:right w:w="28" w:type="dxa"/>
            </w:tcMar>
            <w:vAlign w:val="center"/>
          </w:tcPr>
          <w:p w14:paraId="3643F7FA" w14:textId="77777777" w:rsidR="002D2AF8" w:rsidRDefault="00000000">
            <w:pPr>
              <w:adjustRightInd w:val="0"/>
              <w:snapToGrid w:val="0"/>
              <w:rPr>
                <w:color w:val="000000" w:themeColor="text1"/>
              </w:rPr>
            </w:pPr>
            <w:r>
              <w:rPr>
                <w:color w:val="000000" w:themeColor="text1"/>
              </w:rPr>
              <w:t>新建、改建、扩建工程项目依法进行安全评价，其安全设施经验收合格。</w:t>
            </w:r>
          </w:p>
        </w:tc>
        <w:tc>
          <w:tcPr>
            <w:tcW w:w="3375" w:type="dxa"/>
            <w:tcMar>
              <w:top w:w="0" w:type="dxa"/>
              <w:left w:w="28" w:type="dxa"/>
              <w:bottom w:w="0" w:type="dxa"/>
              <w:right w:w="28" w:type="dxa"/>
            </w:tcMar>
            <w:vAlign w:val="center"/>
          </w:tcPr>
          <w:p w14:paraId="688D0164" w14:textId="77777777" w:rsidR="002D2AF8" w:rsidRDefault="00000000">
            <w:pPr>
              <w:adjustRightInd w:val="0"/>
              <w:snapToGrid w:val="0"/>
              <w:rPr>
                <w:color w:val="000000" w:themeColor="text1"/>
              </w:rPr>
            </w:pPr>
            <w:r>
              <w:rPr>
                <w:color w:val="000000" w:themeColor="text1"/>
              </w:rPr>
              <w:t>不涉及此项。</w:t>
            </w:r>
          </w:p>
        </w:tc>
        <w:tc>
          <w:tcPr>
            <w:tcW w:w="752" w:type="dxa"/>
            <w:vAlign w:val="center"/>
          </w:tcPr>
          <w:p w14:paraId="047B55CA" w14:textId="77777777" w:rsidR="002D2AF8" w:rsidRDefault="00000000">
            <w:pPr>
              <w:adjustRightInd w:val="0"/>
              <w:snapToGrid w:val="0"/>
              <w:jc w:val="center"/>
              <w:rPr>
                <w:color w:val="000000" w:themeColor="text1"/>
              </w:rPr>
            </w:pPr>
            <w:r>
              <w:rPr>
                <w:color w:val="000000" w:themeColor="text1"/>
              </w:rPr>
              <w:t>--</w:t>
            </w:r>
          </w:p>
        </w:tc>
      </w:tr>
      <w:tr w:rsidR="002D2AF8" w14:paraId="2E37BECE" w14:textId="77777777">
        <w:trPr>
          <w:jc w:val="center"/>
        </w:trPr>
        <w:tc>
          <w:tcPr>
            <w:tcW w:w="501" w:type="dxa"/>
            <w:tcMar>
              <w:top w:w="57" w:type="dxa"/>
              <w:left w:w="28" w:type="dxa"/>
              <w:bottom w:w="57" w:type="dxa"/>
              <w:right w:w="28" w:type="dxa"/>
            </w:tcMar>
            <w:vAlign w:val="center"/>
          </w:tcPr>
          <w:p w14:paraId="567E921F" w14:textId="77777777" w:rsidR="002D2AF8" w:rsidRDefault="00000000">
            <w:pPr>
              <w:adjustRightInd w:val="0"/>
              <w:snapToGrid w:val="0"/>
              <w:jc w:val="center"/>
              <w:rPr>
                <w:color w:val="000000" w:themeColor="text1"/>
              </w:rPr>
            </w:pPr>
            <w:r>
              <w:rPr>
                <w:color w:val="000000" w:themeColor="text1"/>
              </w:rPr>
              <w:t>10</w:t>
            </w:r>
          </w:p>
        </w:tc>
        <w:tc>
          <w:tcPr>
            <w:tcW w:w="3750" w:type="dxa"/>
            <w:tcMar>
              <w:top w:w="57" w:type="dxa"/>
              <w:left w:w="28" w:type="dxa"/>
              <w:bottom w:w="57" w:type="dxa"/>
              <w:right w:w="28" w:type="dxa"/>
            </w:tcMar>
            <w:vAlign w:val="center"/>
          </w:tcPr>
          <w:p w14:paraId="50B8911E" w14:textId="77777777" w:rsidR="002D2AF8" w:rsidRDefault="00000000">
            <w:pPr>
              <w:adjustRightInd w:val="0"/>
              <w:snapToGrid w:val="0"/>
              <w:rPr>
                <w:color w:val="000000" w:themeColor="text1"/>
              </w:rPr>
            </w:pPr>
            <w:r>
              <w:rPr>
                <w:color w:val="000000" w:themeColor="text1"/>
              </w:rPr>
              <w:t>危险性较大的设备、设施按照国家有关规定进行定期检测检验。</w:t>
            </w:r>
          </w:p>
        </w:tc>
        <w:tc>
          <w:tcPr>
            <w:tcW w:w="3375" w:type="dxa"/>
            <w:tcMar>
              <w:top w:w="0" w:type="dxa"/>
              <w:left w:w="28" w:type="dxa"/>
              <w:bottom w:w="0" w:type="dxa"/>
              <w:right w:w="28" w:type="dxa"/>
            </w:tcMar>
            <w:vAlign w:val="center"/>
          </w:tcPr>
          <w:p w14:paraId="53A40E47" w14:textId="77777777" w:rsidR="002D2AF8" w:rsidRDefault="00000000">
            <w:pPr>
              <w:adjustRightInd w:val="0"/>
              <w:snapToGrid w:val="0"/>
              <w:rPr>
                <w:color w:val="000000" w:themeColor="text1"/>
              </w:rPr>
            </w:pPr>
            <w:r>
              <w:rPr>
                <w:rFonts w:hint="eastAsia"/>
                <w:color w:val="000000" w:themeColor="text1"/>
              </w:rPr>
              <w:t>胜兴堵驱公司高压管汇、安全阀</w:t>
            </w:r>
            <w:r>
              <w:rPr>
                <w:color w:val="000000" w:themeColor="text1"/>
              </w:rPr>
              <w:t>按照国家有关规定进行定期检测检验。</w:t>
            </w:r>
          </w:p>
        </w:tc>
        <w:tc>
          <w:tcPr>
            <w:tcW w:w="752" w:type="dxa"/>
            <w:vAlign w:val="center"/>
          </w:tcPr>
          <w:p w14:paraId="57C4A696" w14:textId="77777777" w:rsidR="002D2AF8" w:rsidRDefault="00000000">
            <w:pPr>
              <w:adjustRightInd w:val="0"/>
              <w:snapToGrid w:val="0"/>
              <w:jc w:val="center"/>
              <w:rPr>
                <w:color w:val="000000" w:themeColor="text1"/>
              </w:rPr>
            </w:pPr>
            <w:r>
              <w:rPr>
                <w:color w:val="000000" w:themeColor="text1"/>
              </w:rPr>
              <w:t>符合要求</w:t>
            </w:r>
          </w:p>
        </w:tc>
      </w:tr>
      <w:tr w:rsidR="002D2AF8" w14:paraId="64A4FA24" w14:textId="77777777">
        <w:trPr>
          <w:jc w:val="center"/>
        </w:trPr>
        <w:tc>
          <w:tcPr>
            <w:tcW w:w="501" w:type="dxa"/>
            <w:tcMar>
              <w:top w:w="57" w:type="dxa"/>
              <w:left w:w="28" w:type="dxa"/>
              <w:bottom w:w="57" w:type="dxa"/>
              <w:right w:w="28" w:type="dxa"/>
            </w:tcMar>
            <w:vAlign w:val="center"/>
          </w:tcPr>
          <w:p w14:paraId="2B9FB769" w14:textId="77777777" w:rsidR="002D2AF8" w:rsidRDefault="00000000">
            <w:pPr>
              <w:adjustRightInd w:val="0"/>
              <w:snapToGrid w:val="0"/>
              <w:jc w:val="center"/>
              <w:rPr>
                <w:color w:val="000000" w:themeColor="text1"/>
              </w:rPr>
            </w:pPr>
            <w:r>
              <w:rPr>
                <w:color w:val="000000" w:themeColor="text1"/>
              </w:rPr>
              <w:t>11</w:t>
            </w:r>
          </w:p>
        </w:tc>
        <w:tc>
          <w:tcPr>
            <w:tcW w:w="3750" w:type="dxa"/>
            <w:tcMar>
              <w:top w:w="57" w:type="dxa"/>
              <w:left w:w="28" w:type="dxa"/>
              <w:bottom w:w="57" w:type="dxa"/>
              <w:right w:w="28" w:type="dxa"/>
            </w:tcMar>
            <w:vAlign w:val="center"/>
          </w:tcPr>
          <w:p w14:paraId="294BF111" w14:textId="77777777" w:rsidR="002D2AF8" w:rsidRDefault="00000000">
            <w:pPr>
              <w:adjustRightInd w:val="0"/>
              <w:snapToGrid w:val="0"/>
              <w:rPr>
                <w:color w:val="000000" w:themeColor="text1"/>
              </w:rPr>
            </w:pPr>
            <w:r>
              <w:rPr>
                <w:color w:val="000000" w:themeColor="text1"/>
              </w:rPr>
              <w:t>制定事故应急救援预案，建立事故应急救援组织，配备必要的应急救援器材、设备；生产规模较小可以不建立事故应急救援组织的，应当指定兼职的应急救援人员，并与邻近的矿山救护队或者其他应急救援组织签订救护协议。</w:t>
            </w:r>
          </w:p>
        </w:tc>
        <w:tc>
          <w:tcPr>
            <w:tcW w:w="3375" w:type="dxa"/>
            <w:tcMar>
              <w:top w:w="0" w:type="dxa"/>
              <w:left w:w="28" w:type="dxa"/>
              <w:bottom w:w="0" w:type="dxa"/>
              <w:right w:w="28" w:type="dxa"/>
            </w:tcMar>
            <w:vAlign w:val="center"/>
          </w:tcPr>
          <w:p w14:paraId="616BDC4F" w14:textId="77777777" w:rsidR="002D2AF8" w:rsidRDefault="00000000">
            <w:pPr>
              <w:adjustRightInd w:val="0"/>
              <w:snapToGrid w:val="0"/>
              <w:rPr>
                <w:color w:val="000000" w:themeColor="text1"/>
              </w:rPr>
            </w:pPr>
            <w:r>
              <w:rPr>
                <w:color w:val="000000" w:themeColor="text1"/>
                <w:kern w:val="0"/>
                <w:szCs w:val="21"/>
              </w:rPr>
              <w:t>编制的应急预案已于</w:t>
            </w:r>
            <w:r>
              <w:rPr>
                <w:color w:val="000000" w:themeColor="text1"/>
                <w:kern w:val="0"/>
                <w:szCs w:val="21"/>
              </w:rPr>
              <w:t>2022</w:t>
            </w:r>
            <w:r>
              <w:rPr>
                <w:color w:val="000000" w:themeColor="text1"/>
                <w:kern w:val="0"/>
                <w:szCs w:val="21"/>
              </w:rPr>
              <w:t>年</w:t>
            </w:r>
            <w:r>
              <w:rPr>
                <w:color w:val="000000" w:themeColor="text1"/>
                <w:kern w:val="0"/>
                <w:szCs w:val="21"/>
              </w:rPr>
              <w:t>4</w:t>
            </w:r>
            <w:r>
              <w:rPr>
                <w:color w:val="000000" w:themeColor="text1"/>
                <w:kern w:val="0"/>
                <w:szCs w:val="21"/>
              </w:rPr>
              <w:t>月</w:t>
            </w:r>
            <w:r>
              <w:rPr>
                <w:color w:val="000000" w:themeColor="text1"/>
                <w:kern w:val="0"/>
                <w:szCs w:val="21"/>
              </w:rPr>
              <w:t>15</w:t>
            </w:r>
            <w:r>
              <w:rPr>
                <w:color w:val="000000" w:themeColor="text1"/>
                <w:kern w:val="0"/>
                <w:szCs w:val="21"/>
              </w:rPr>
              <w:t>日在东营市垦利区应急管理局备案，备案编号：</w:t>
            </w:r>
            <w:r>
              <w:rPr>
                <w:color w:val="000000" w:themeColor="text1"/>
                <w:kern w:val="0"/>
                <w:szCs w:val="21"/>
              </w:rPr>
              <w:t>GM370503-2022-07</w:t>
            </w:r>
            <w:r>
              <w:rPr>
                <w:color w:val="000000" w:themeColor="text1"/>
                <w:kern w:val="0"/>
                <w:szCs w:val="21"/>
              </w:rPr>
              <w:t>。建立</w:t>
            </w:r>
            <w:r>
              <w:rPr>
                <w:color w:val="000000" w:themeColor="text1"/>
              </w:rPr>
              <w:t>事故应急救援组织，配备必要的应急救援器材、设备。与</w:t>
            </w:r>
            <w:r>
              <w:rPr>
                <w:rFonts w:hint="eastAsia"/>
                <w:color w:val="000000" w:themeColor="text1"/>
              </w:rPr>
              <w:t>东营东方化学工业有限公司、东营市垦利区胜坨镇消防站、东营市东营区中心医院</w:t>
            </w:r>
            <w:r>
              <w:rPr>
                <w:color w:val="000000" w:themeColor="text1"/>
              </w:rPr>
              <w:t>签订救护协议。</w:t>
            </w:r>
          </w:p>
        </w:tc>
        <w:tc>
          <w:tcPr>
            <w:tcW w:w="752" w:type="dxa"/>
            <w:vAlign w:val="center"/>
          </w:tcPr>
          <w:p w14:paraId="01EFB951" w14:textId="77777777" w:rsidR="002D2AF8" w:rsidRDefault="00000000">
            <w:pPr>
              <w:adjustRightInd w:val="0"/>
              <w:snapToGrid w:val="0"/>
              <w:jc w:val="center"/>
              <w:rPr>
                <w:color w:val="000000" w:themeColor="text1"/>
              </w:rPr>
            </w:pPr>
            <w:r>
              <w:rPr>
                <w:color w:val="000000" w:themeColor="text1"/>
              </w:rPr>
              <w:t>符合要求</w:t>
            </w:r>
          </w:p>
        </w:tc>
      </w:tr>
      <w:tr w:rsidR="002D2AF8" w14:paraId="6ABFF249" w14:textId="77777777">
        <w:trPr>
          <w:jc w:val="center"/>
        </w:trPr>
        <w:tc>
          <w:tcPr>
            <w:tcW w:w="501" w:type="dxa"/>
            <w:tcMar>
              <w:top w:w="57" w:type="dxa"/>
              <w:left w:w="28" w:type="dxa"/>
              <w:bottom w:w="57" w:type="dxa"/>
              <w:right w:w="28" w:type="dxa"/>
            </w:tcMar>
            <w:vAlign w:val="center"/>
          </w:tcPr>
          <w:p w14:paraId="281D2D3F" w14:textId="77777777" w:rsidR="002D2AF8" w:rsidRDefault="00000000">
            <w:pPr>
              <w:adjustRightInd w:val="0"/>
              <w:snapToGrid w:val="0"/>
              <w:jc w:val="center"/>
              <w:rPr>
                <w:color w:val="000000" w:themeColor="text1"/>
              </w:rPr>
            </w:pPr>
            <w:r>
              <w:rPr>
                <w:color w:val="000000" w:themeColor="text1"/>
              </w:rPr>
              <w:t>12</w:t>
            </w:r>
          </w:p>
        </w:tc>
        <w:tc>
          <w:tcPr>
            <w:tcW w:w="3750" w:type="dxa"/>
            <w:tcMar>
              <w:top w:w="57" w:type="dxa"/>
              <w:left w:w="28" w:type="dxa"/>
              <w:bottom w:w="57" w:type="dxa"/>
              <w:right w:w="28" w:type="dxa"/>
            </w:tcMar>
            <w:vAlign w:val="center"/>
          </w:tcPr>
          <w:p w14:paraId="025D7F2A" w14:textId="77777777" w:rsidR="002D2AF8" w:rsidRDefault="00000000">
            <w:pPr>
              <w:adjustRightInd w:val="0"/>
              <w:snapToGrid w:val="0"/>
              <w:rPr>
                <w:color w:val="000000" w:themeColor="text1"/>
              </w:rPr>
            </w:pPr>
            <w:r>
              <w:rPr>
                <w:color w:val="000000" w:themeColor="text1"/>
              </w:rPr>
              <w:t>符合有关国家标准、行业标准规定的其他条件。</w:t>
            </w:r>
          </w:p>
        </w:tc>
        <w:tc>
          <w:tcPr>
            <w:tcW w:w="3375" w:type="dxa"/>
            <w:tcMar>
              <w:top w:w="0" w:type="dxa"/>
              <w:left w:w="28" w:type="dxa"/>
              <w:bottom w:w="0" w:type="dxa"/>
              <w:right w:w="28" w:type="dxa"/>
            </w:tcMar>
            <w:vAlign w:val="center"/>
          </w:tcPr>
          <w:p w14:paraId="57E4275A" w14:textId="77777777" w:rsidR="002D2AF8" w:rsidRDefault="00000000">
            <w:pPr>
              <w:adjustRightInd w:val="0"/>
              <w:snapToGrid w:val="0"/>
              <w:rPr>
                <w:color w:val="000000" w:themeColor="text1"/>
              </w:rPr>
            </w:pPr>
            <w:r>
              <w:rPr>
                <w:color w:val="000000" w:themeColor="text1"/>
              </w:rPr>
              <w:t>具有有关国家标准、行业标准规定的其他条件。</w:t>
            </w:r>
          </w:p>
        </w:tc>
        <w:tc>
          <w:tcPr>
            <w:tcW w:w="752" w:type="dxa"/>
            <w:vAlign w:val="center"/>
          </w:tcPr>
          <w:p w14:paraId="66C69145" w14:textId="77777777" w:rsidR="002D2AF8" w:rsidRDefault="00000000">
            <w:pPr>
              <w:adjustRightInd w:val="0"/>
              <w:snapToGrid w:val="0"/>
              <w:jc w:val="center"/>
              <w:rPr>
                <w:color w:val="000000" w:themeColor="text1"/>
              </w:rPr>
            </w:pPr>
            <w:r>
              <w:rPr>
                <w:color w:val="000000" w:themeColor="text1"/>
              </w:rPr>
              <w:t>符合要求</w:t>
            </w:r>
          </w:p>
        </w:tc>
      </w:tr>
    </w:tbl>
    <w:p w14:paraId="60BEBBC6" w14:textId="77777777" w:rsidR="002D2AF8" w:rsidRDefault="00000000">
      <w:pPr>
        <w:adjustRightInd w:val="0"/>
        <w:snapToGrid w:val="0"/>
        <w:spacing w:beforeLines="50" w:before="162" w:line="360" w:lineRule="auto"/>
        <w:ind w:firstLineChars="200" w:firstLine="566"/>
        <w:rPr>
          <w:color w:val="000000" w:themeColor="text1"/>
          <w:sz w:val="28"/>
          <w:szCs w:val="28"/>
        </w:rPr>
      </w:pPr>
      <w:r>
        <w:rPr>
          <w:color w:val="000000" w:themeColor="text1"/>
          <w:sz w:val="28"/>
          <w:szCs w:val="28"/>
        </w:rPr>
        <w:t>评价小结：</w:t>
      </w:r>
    </w:p>
    <w:p w14:paraId="1036924B" w14:textId="77777777" w:rsidR="002D2AF8" w:rsidRDefault="00000000">
      <w:pPr>
        <w:adjustRightInd w:val="0"/>
        <w:snapToGrid w:val="0"/>
        <w:spacing w:line="360" w:lineRule="auto"/>
        <w:ind w:firstLineChars="200" w:firstLine="566"/>
        <w:rPr>
          <w:color w:val="000000" w:themeColor="text1"/>
          <w:sz w:val="28"/>
          <w:szCs w:val="28"/>
        </w:rPr>
        <w:sectPr w:rsidR="002D2AF8">
          <w:footerReference w:type="default" r:id="rId38"/>
          <w:pgSz w:w="11906" w:h="16838"/>
          <w:pgMar w:top="1440" w:right="1803" w:bottom="1440" w:left="1803" w:header="850" w:footer="992" w:gutter="0"/>
          <w:cols w:space="0"/>
          <w:docGrid w:type="linesAndChars" w:linePitch="325" w:charSpace="577"/>
        </w:sectPr>
      </w:pPr>
      <w:r>
        <w:rPr>
          <w:color w:val="000000" w:themeColor="text1"/>
          <w:sz w:val="28"/>
          <w:szCs w:val="28"/>
        </w:rPr>
        <w:t>经过现场检查和评价，该企业涉及的井下作业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调剖等项目取证安全生产条件有</w:t>
      </w:r>
      <w:r>
        <w:rPr>
          <w:color w:val="000000" w:themeColor="text1"/>
          <w:sz w:val="28"/>
          <w:szCs w:val="28"/>
        </w:rPr>
        <w:t>11</w:t>
      </w:r>
      <w:r>
        <w:rPr>
          <w:color w:val="000000" w:themeColor="text1"/>
          <w:sz w:val="28"/>
          <w:szCs w:val="28"/>
        </w:rPr>
        <w:t>项检查项为符合，无不符合项，</w:t>
      </w:r>
      <w:r>
        <w:rPr>
          <w:color w:val="000000" w:themeColor="text1"/>
          <w:sz w:val="28"/>
          <w:szCs w:val="28"/>
        </w:rPr>
        <w:t>1</w:t>
      </w:r>
      <w:r>
        <w:rPr>
          <w:color w:val="000000" w:themeColor="text1"/>
          <w:sz w:val="28"/>
          <w:szCs w:val="28"/>
        </w:rPr>
        <w:t>项检查项为不涉及，因此</w:t>
      </w:r>
      <w:r>
        <w:rPr>
          <w:rFonts w:hint="eastAsia"/>
          <w:color w:val="000000" w:themeColor="text1"/>
          <w:sz w:val="28"/>
          <w:szCs w:val="28"/>
        </w:rPr>
        <w:t>胜利油田胜兴堵驱新技术开发有限责任公司</w:t>
      </w:r>
      <w:r>
        <w:rPr>
          <w:bCs/>
          <w:color w:val="000000" w:themeColor="text1"/>
          <w:sz w:val="28"/>
        </w:rPr>
        <w:t>具备</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w:t>
      </w:r>
      <w:r>
        <w:rPr>
          <w:bCs/>
          <w:color w:val="000000" w:themeColor="text1"/>
          <w:sz w:val="28"/>
        </w:rPr>
        <w:t>项目的安全生产条件</w:t>
      </w:r>
      <w:r>
        <w:rPr>
          <w:color w:val="000000" w:themeColor="text1"/>
          <w:sz w:val="28"/>
          <w:szCs w:val="28"/>
        </w:rPr>
        <w:t>。</w:t>
      </w:r>
    </w:p>
    <w:p w14:paraId="18970849" w14:textId="77777777" w:rsidR="002D2AF8" w:rsidRDefault="00000000">
      <w:pPr>
        <w:adjustRightInd w:val="0"/>
        <w:snapToGrid w:val="0"/>
        <w:spacing w:line="360" w:lineRule="auto"/>
        <w:ind w:firstLineChars="200" w:firstLine="488"/>
        <w:jc w:val="center"/>
        <w:rPr>
          <w:b/>
          <w:color w:val="000000" w:themeColor="text1"/>
          <w:sz w:val="24"/>
          <w:szCs w:val="28"/>
        </w:rPr>
      </w:pPr>
      <w:r>
        <w:rPr>
          <w:b/>
          <w:color w:val="000000" w:themeColor="text1"/>
          <w:sz w:val="24"/>
          <w:szCs w:val="28"/>
        </w:rPr>
        <w:lastRenderedPageBreak/>
        <w:t>表</w:t>
      </w:r>
      <w:r>
        <w:rPr>
          <w:b/>
          <w:color w:val="000000" w:themeColor="text1"/>
          <w:sz w:val="24"/>
          <w:szCs w:val="28"/>
        </w:rPr>
        <w:t xml:space="preserve">8-2 </w:t>
      </w:r>
      <w:r>
        <w:rPr>
          <w:b/>
          <w:color w:val="000000" w:themeColor="text1"/>
          <w:sz w:val="24"/>
          <w:szCs w:val="28"/>
        </w:rPr>
        <w:t>非煤矿矿山企业安全生产许可证审查书</w:t>
      </w:r>
    </w:p>
    <w:tbl>
      <w:tblPr>
        <w:tblW w:w="4797"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342"/>
        <w:gridCol w:w="2067"/>
        <w:gridCol w:w="2902"/>
        <w:gridCol w:w="859"/>
      </w:tblGrid>
      <w:tr w:rsidR="002D2AF8" w14:paraId="78AF106A" w14:textId="77777777">
        <w:trPr>
          <w:tblHeader/>
          <w:jc w:val="center"/>
        </w:trPr>
        <w:tc>
          <w:tcPr>
            <w:tcW w:w="1433" w:type="pct"/>
            <w:vAlign w:val="center"/>
          </w:tcPr>
          <w:p w14:paraId="7525A578" w14:textId="77777777" w:rsidR="002D2AF8" w:rsidRDefault="00000000">
            <w:pPr>
              <w:adjustRightInd w:val="0"/>
              <w:snapToGrid w:val="0"/>
              <w:spacing w:beforeLines="20" w:before="65" w:afterLines="20" w:after="65"/>
              <w:jc w:val="center"/>
              <w:rPr>
                <w:b/>
                <w:bCs/>
                <w:color w:val="000000" w:themeColor="text1"/>
              </w:rPr>
            </w:pPr>
            <w:r>
              <w:rPr>
                <w:b/>
                <w:bCs/>
                <w:color w:val="000000" w:themeColor="text1"/>
              </w:rPr>
              <w:t>审查内容</w:t>
            </w:r>
          </w:p>
        </w:tc>
        <w:tc>
          <w:tcPr>
            <w:tcW w:w="1264" w:type="pct"/>
            <w:tcMar>
              <w:top w:w="0" w:type="dxa"/>
              <w:left w:w="28" w:type="dxa"/>
              <w:bottom w:w="0" w:type="dxa"/>
              <w:right w:w="28" w:type="dxa"/>
            </w:tcMar>
            <w:vAlign w:val="center"/>
          </w:tcPr>
          <w:p w14:paraId="4049DB57" w14:textId="77777777" w:rsidR="002D2AF8" w:rsidRDefault="00000000">
            <w:pPr>
              <w:adjustRightInd w:val="0"/>
              <w:snapToGrid w:val="0"/>
              <w:spacing w:beforeLines="20" w:before="65" w:afterLines="20" w:after="65"/>
              <w:jc w:val="center"/>
              <w:rPr>
                <w:b/>
                <w:bCs/>
                <w:color w:val="000000" w:themeColor="text1"/>
              </w:rPr>
            </w:pPr>
            <w:r>
              <w:rPr>
                <w:b/>
                <w:bCs/>
                <w:color w:val="000000" w:themeColor="text1"/>
              </w:rPr>
              <w:t>审查方法</w:t>
            </w:r>
          </w:p>
        </w:tc>
        <w:tc>
          <w:tcPr>
            <w:tcW w:w="1775" w:type="pct"/>
            <w:vAlign w:val="center"/>
          </w:tcPr>
          <w:p w14:paraId="6C705E10" w14:textId="77777777" w:rsidR="002D2AF8" w:rsidRDefault="00000000">
            <w:pPr>
              <w:adjustRightInd w:val="0"/>
              <w:snapToGrid w:val="0"/>
              <w:spacing w:beforeLines="20" w:before="65" w:afterLines="20" w:after="65"/>
              <w:jc w:val="center"/>
              <w:rPr>
                <w:b/>
                <w:bCs/>
                <w:color w:val="000000" w:themeColor="text1"/>
              </w:rPr>
            </w:pPr>
            <w:r>
              <w:rPr>
                <w:b/>
                <w:bCs/>
                <w:color w:val="000000" w:themeColor="text1"/>
              </w:rPr>
              <w:t>实际情况</w:t>
            </w:r>
          </w:p>
        </w:tc>
        <w:tc>
          <w:tcPr>
            <w:tcW w:w="526" w:type="pct"/>
            <w:vAlign w:val="center"/>
          </w:tcPr>
          <w:p w14:paraId="2DD57444" w14:textId="77777777" w:rsidR="002D2AF8" w:rsidRDefault="00000000">
            <w:pPr>
              <w:adjustRightInd w:val="0"/>
              <w:snapToGrid w:val="0"/>
              <w:spacing w:beforeLines="20" w:before="65" w:afterLines="20" w:after="65"/>
              <w:jc w:val="center"/>
              <w:rPr>
                <w:b/>
                <w:bCs/>
                <w:color w:val="000000" w:themeColor="text1"/>
              </w:rPr>
            </w:pPr>
            <w:r>
              <w:rPr>
                <w:b/>
                <w:bCs/>
                <w:color w:val="000000" w:themeColor="text1"/>
              </w:rPr>
              <w:t>评价</w:t>
            </w:r>
          </w:p>
          <w:p w14:paraId="70DA1045" w14:textId="77777777" w:rsidR="002D2AF8" w:rsidRDefault="00000000">
            <w:pPr>
              <w:adjustRightInd w:val="0"/>
              <w:snapToGrid w:val="0"/>
              <w:spacing w:beforeLines="20" w:before="65" w:afterLines="20" w:after="65"/>
              <w:jc w:val="center"/>
              <w:rPr>
                <w:b/>
                <w:bCs/>
                <w:color w:val="000000" w:themeColor="text1"/>
              </w:rPr>
            </w:pPr>
            <w:r>
              <w:rPr>
                <w:b/>
                <w:bCs/>
                <w:color w:val="000000" w:themeColor="text1"/>
              </w:rPr>
              <w:t>结果</w:t>
            </w:r>
          </w:p>
        </w:tc>
      </w:tr>
      <w:tr w:rsidR="002D2AF8" w14:paraId="1EAFAC43" w14:textId="77777777">
        <w:trPr>
          <w:trHeight w:val="1942"/>
          <w:jc w:val="center"/>
        </w:trPr>
        <w:tc>
          <w:tcPr>
            <w:tcW w:w="1433" w:type="pct"/>
            <w:tcMar>
              <w:top w:w="57" w:type="dxa"/>
              <w:left w:w="28" w:type="dxa"/>
              <w:bottom w:w="57" w:type="dxa"/>
              <w:right w:w="28" w:type="dxa"/>
            </w:tcMar>
            <w:vAlign w:val="center"/>
          </w:tcPr>
          <w:p w14:paraId="6F159B54" w14:textId="77777777" w:rsidR="002D2AF8" w:rsidRDefault="00000000">
            <w:pPr>
              <w:adjustRightInd w:val="0"/>
              <w:snapToGrid w:val="0"/>
              <w:spacing w:beforeLines="20" w:before="65" w:afterLines="20" w:after="65"/>
              <w:rPr>
                <w:color w:val="000000" w:themeColor="text1"/>
              </w:rPr>
            </w:pPr>
            <w:r>
              <w:rPr>
                <w:color w:val="000000" w:themeColor="text1"/>
              </w:rPr>
              <w:t>1.</w:t>
            </w:r>
            <w:r>
              <w:rPr>
                <w:color w:val="000000" w:themeColor="text1"/>
              </w:rPr>
              <w:t>工商营业执照复印件。</w:t>
            </w:r>
          </w:p>
        </w:tc>
        <w:tc>
          <w:tcPr>
            <w:tcW w:w="1264" w:type="pct"/>
            <w:tcMar>
              <w:top w:w="0" w:type="dxa"/>
              <w:left w:w="28" w:type="dxa"/>
              <w:bottom w:w="0" w:type="dxa"/>
              <w:right w:w="28" w:type="dxa"/>
            </w:tcMar>
            <w:vAlign w:val="center"/>
          </w:tcPr>
          <w:p w14:paraId="2AF4EA37" w14:textId="77777777" w:rsidR="002D2AF8" w:rsidRDefault="00000000">
            <w:pPr>
              <w:adjustRightInd w:val="0"/>
              <w:snapToGrid w:val="0"/>
              <w:spacing w:beforeLines="20" w:before="65" w:afterLines="20" w:after="65"/>
              <w:rPr>
                <w:color w:val="000000" w:themeColor="text1"/>
              </w:rPr>
            </w:pPr>
            <w:r>
              <w:rPr>
                <w:color w:val="000000" w:themeColor="text1"/>
              </w:rPr>
              <w:t>审查工商营业执照登记名称是否与申请单位名称一致；经营范围是否与申请许可范围相符；是否在有效期并进行年检。</w:t>
            </w:r>
          </w:p>
        </w:tc>
        <w:tc>
          <w:tcPr>
            <w:tcW w:w="1775" w:type="pct"/>
            <w:vAlign w:val="center"/>
          </w:tcPr>
          <w:p w14:paraId="10CA0DD6" w14:textId="77777777" w:rsidR="002D2AF8" w:rsidRDefault="00000000">
            <w:pPr>
              <w:adjustRightInd w:val="0"/>
              <w:snapToGrid w:val="0"/>
              <w:spacing w:beforeLines="20" w:before="65" w:afterLines="20" w:after="65"/>
              <w:rPr>
                <w:color w:val="000000" w:themeColor="text1"/>
              </w:rPr>
            </w:pPr>
            <w:r>
              <w:rPr>
                <w:color w:val="000000" w:themeColor="text1"/>
              </w:rPr>
              <w:t>单位名称一致，营业执照经营范围中的</w:t>
            </w:r>
            <w:r>
              <w:rPr>
                <w:color w:val="000000" w:themeColor="text1"/>
              </w:rPr>
              <w:t>“</w:t>
            </w:r>
            <w:r>
              <w:rPr>
                <w:color w:val="000000" w:themeColor="text1"/>
              </w:rPr>
              <w:t>堵水剂、驱油剂的现场施工；堵水剂、驱油剂产品的技术开发、转让、服务；油水井测试、技术服务；</w:t>
            </w:r>
            <w:r>
              <w:rPr>
                <w:color w:val="000000" w:themeColor="text1"/>
              </w:rPr>
              <w:t>”</w:t>
            </w:r>
            <w:r>
              <w:rPr>
                <w:color w:val="000000" w:themeColor="text1"/>
              </w:rPr>
              <w:t>与申请许可范围</w:t>
            </w:r>
            <w:r>
              <w:rPr>
                <w:color w:val="000000" w:themeColor="text1"/>
              </w:rPr>
              <w:t>“</w:t>
            </w:r>
            <w:r>
              <w:rPr>
                <w:color w:val="000000" w:themeColor="text1"/>
              </w:rPr>
              <w:t>井下作业</w:t>
            </w:r>
            <w:r>
              <w:rPr>
                <w:color w:val="000000" w:themeColor="text1"/>
              </w:rPr>
              <w:t>-</w:t>
            </w:r>
            <w:r>
              <w:rPr>
                <w:color w:val="000000" w:themeColor="text1"/>
              </w:rPr>
              <w:t>测试、堵水</w:t>
            </w:r>
            <w:r>
              <w:rPr>
                <w:color w:val="000000" w:themeColor="text1"/>
              </w:rPr>
              <w:t>/</w:t>
            </w:r>
            <w:r>
              <w:rPr>
                <w:color w:val="000000" w:themeColor="text1"/>
              </w:rPr>
              <w:t>调剖等</w:t>
            </w:r>
            <w:r>
              <w:rPr>
                <w:color w:val="000000" w:themeColor="text1"/>
              </w:rPr>
              <w:t>”</w:t>
            </w:r>
            <w:r>
              <w:rPr>
                <w:color w:val="000000" w:themeColor="text1"/>
              </w:rPr>
              <w:t>相符，在有效期内并进行年检。</w:t>
            </w:r>
          </w:p>
        </w:tc>
        <w:tc>
          <w:tcPr>
            <w:tcW w:w="526" w:type="pct"/>
            <w:vAlign w:val="center"/>
          </w:tcPr>
          <w:p w14:paraId="328173A7"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2B3EAE41"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30E371B7" w14:textId="77777777">
        <w:trPr>
          <w:jc w:val="center"/>
        </w:trPr>
        <w:tc>
          <w:tcPr>
            <w:tcW w:w="1433" w:type="pct"/>
            <w:tcMar>
              <w:top w:w="57" w:type="dxa"/>
              <w:left w:w="28" w:type="dxa"/>
              <w:bottom w:w="57" w:type="dxa"/>
              <w:right w:w="28" w:type="dxa"/>
            </w:tcMar>
            <w:vAlign w:val="center"/>
          </w:tcPr>
          <w:p w14:paraId="5470461A" w14:textId="77777777" w:rsidR="002D2AF8" w:rsidRDefault="00000000">
            <w:pPr>
              <w:adjustRightInd w:val="0"/>
              <w:snapToGrid w:val="0"/>
              <w:spacing w:beforeLines="20" w:before="65" w:afterLines="20" w:after="65"/>
              <w:rPr>
                <w:color w:val="000000" w:themeColor="text1"/>
              </w:rPr>
            </w:pPr>
            <w:r>
              <w:rPr>
                <w:color w:val="000000" w:themeColor="text1"/>
              </w:rPr>
              <w:t>2.</w:t>
            </w:r>
            <w:r>
              <w:rPr>
                <w:color w:val="000000" w:themeColor="text1"/>
              </w:rPr>
              <w:t>采矿许可证（地质勘查资质证书、矿山工程施工相关资质证书）复印件。</w:t>
            </w:r>
          </w:p>
        </w:tc>
        <w:tc>
          <w:tcPr>
            <w:tcW w:w="1264" w:type="pct"/>
            <w:tcMar>
              <w:top w:w="0" w:type="dxa"/>
              <w:left w:w="28" w:type="dxa"/>
              <w:bottom w:w="0" w:type="dxa"/>
              <w:right w:w="28" w:type="dxa"/>
            </w:tcMar>
            <w:vAlign w:val="center"/>
          </w:tcPr>
          <w:p w14:paraId="723E4363" w14:textId="77777777" w:rsidR="002D2AF8" w:rsidRDefault="00000000">
            <w:pPr>
              <w:adjustRightInd w:val="0"/>
              <w:snapToGrid w:val="0"/>
              <w:spacing w:beforeLines="20" w:before="65" w:afterLines="20" w:after="65"/>
              <w:rPr>
                <w:color w:val="000000" w:themeColor="text1"/>
              </w:rPr>
            </w:pPr>
            <w:r>
              <w:rPr>
                <w:color w:val="000000" w:themeColor="text1"/>
              </w:rPr>
              <w:t>审查证书是否在有效期内。</w:t>
            </w:r>
          </w:p>
        </w:tc>
        <w:tc>
          <w:tcPr>
            <w:tcW w:w="1775" w:type="pct"/>
            <w:vAlign w:val="center"/>
          </w:tcPr>
          <w:p w14:paraId="59AC150A" w14:textId="77777777" w:rsidR="002D2AF8" w:rsidRDefault="00000000">
            <w:pPr>
              <w:adjustRightInd w:val="0"/>
              <w:snapToGrid w:val="0"/>
              <w:spacing w:beforeLines="20" w:before="65" w:afterLines="20" w:after="65"/>
              <w:rPr>
                <w:color w:val="000000" w:themeColor="text1"/>
              </w:rPr>
            </w:pPr>
            <w:r>
              <w:rPr>
                <w:color w:val="000000" w:themeColor="text1"/>
              </w:rPr>
              <w:t>不涉及此项。</w:t>
            </w:r>
          </w:p>
        </w:tc>
        <w:tc>
          <w:tcPr>
            <w:tcW w:w="526" w:type="pct"/>
            <w:vAlign w:val="center"/>
          </w:tcPr>
          <w:p w14:paraId="39B00603" w14:textId="77777777" w:rsidR="002D2AF8" w:rsidRDefault="00000000">
            <w:pPr>
              <w:adjustRightInd w:val="0"/>
              <w:snapToGrid w:val="0"/>
              <w:spacing w:beforeLines="20" w:before="65" w:afterLines="20" w:after="65"/>
              <w:jc w:val="center"/>
              <w:rPr>
                <w:color w:val="000000" w:themeColor="text1"/>
              </w:rPr>
            </w:pPr>
            <w:r>
              <w:rPr>
                <w:color w:val="000000" w:themeColor="text1"/>
              </w:rPr>
              <w:t>--</w:t>
            </w:r>
          </w:p>
        </w:tc>
      </w:tr>
      <w:tr w:rsidR="002D2AF8" w14:paraId="2899167E" w14:textId="77777777">
        <w:trPr>
          <w:jc w:val="center"/>
        </w:trPr>
        <w:tc>
          <w:tcPr>
            <w:tcW w:w="1433" w:type="pct"/>
            <w:tcMar>
              <w:top w:w="57" w:type="dxa"/>
              <w:left w:w="28" w:type="dxa"/>
              <w:bottom w:w="57" w:type="dxa"/>
              <w:right w:w="28" w:type="dxa"/>
            </w:tcMar>
            <w:vAlign w:val="center"/>
          </w:tcPr>
          <w:p w14:paraId="208E3E0B" w14:textId="77777777" w:rsidR="002D2AF8" w:rsidRDefault="00000000">
            <w:pPr>
              <w:adjustRightInd w:val="0"/>
              <w:snapToGrid w:val="0"/>
              <w:spacing w:beforeLines="20" w:before="65" w:afterLines="20" w:after="65"/>
              <w:rPr>
                <w:color w:val="000000" w:themeColor="text1"/>
              </w:rPr>
            </w:pPr>
            <w:r>
              <w:rPr>
                <w:color w:val="000000" w:themeColor="text1"/>
              </w:rPr>
              <w:t>3.</w:t>
            </w:r>
            <w:r>
              <w:rPr>
                <w:color w:val="000000" w:themeColor="text1"/>
              </w:rPr>
              <w:t>主要负责人、分管负责人、安全生产管理人员、职能部门、岗位安全生产责任制。</w:t>
            </w:r>
          </w:p>
        </w:tc>
        <w:tc>
          <w:tcPr>
            <w:tcW w:w="1264" w:type="pct"/>
            <w:tcMar>
              <w:top w:w="0" w:type="dxa"/>
              <w:left w:w="28" w:type="dxa"/>
              <w:bottom w:w="0" w:type="dxa"/>
              <w:right w:w="28" w:type="dxa"/>
            </w:tcMar>
            <w:vAlign w:val="center"/>
          </w:tcPr>
          <w:p w14:paraId="0BEEE731" w14:textId="77777777" w:rsidR="002D2AF8" w:rsidRDefault="00000000">
            <w:pPr>
              <w:adjustRightInd w:val="0"/>
              <w:snapToGrid w:val="0"/>
              <w:spacing w:beforeLines="20" w:before="65" w:afterLines="20" w:after="65"/>
              <w:rPr>
                <w:color w:val="000000" w:themeColor="text1"/>
              </w:rPr>
            </w:pPr>
            <w:r>
              <w:rPr>
                <w:color w:val="000000" w:themeColor="text1"/>
              </w:rPr>
              <w:t>审查各项安全生产责任制是否健全。</w:t>
            </w:r>
          </w:p>
        </w:tc>
        <w:tc>
          <w:tcPr>
            <w:tcW w:w="1775" w:type="pct"/>
            <w:vAlign w:val="center"/>
          </w:tcPr>
          <w:p w14:paraId="6728094E" w14:textId="77777777" w:rsidR="002D2AF8" w:rsidRDefault="00000000">
            <w:pPr>
              <w:adjustRightInd w:val="0"/>
              <w:snapToGrid w:val="0"/>
              <w:spacing w:beforeLines="20" w:before="65" w:afterLines="20" w:after="65"/>
              <w:rPr>
                <w:color w:val="000000" w:themeColor="text1"/>
              </w:rPr>
            </w:pPr>
            <w:r>
              <w:rPr>
                <w:rFonts w:hint="eastAsia"/>
                <w:color w:val="000000" w:themeColor="text1"/>
                <w:kern w:val="0"/>
                <w:szCs w:val="21"/>
              </w:rPr>
              <w:t>胜兴堵驱公司</w:t>
            </w:r>
            <w:r>
              <w:rPr>
                <w:color w:val="000000" w:themeColor="text1"/>
                <w:kern w:val="0"/>
                <w:szCs w:val="21"/>
              </w:rPr>
              <w:t>已建立领导层安全生产职责、各部门岗位安全生产职责等全员安全生产责任制。</w:t>
            </w:r>
          </w:p>
        </w:tc>
        <w:tc>
          <w:tcPr>
            <w:tcW w:w="526" w:type="pct"/>
            <w:vAlign w:val="center"/>
          </w:tcPr>
          <w:p w14:paraId="05F9F29F"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60DD65D9"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628407FD" w14:textId="77777777">
        <w:trPr>
          <w:jc w:val="center"/>
        </w:trPr>
        <w:tc>
          <w:tcPr>
            <w:tcW w:w="1433" w:type="pct"/>
            <w:tcMar>
              <w:top w:w="57" w:type="dxa"/>
              <w:left w:w="28" w:type="dxa"/>
              <w:bottom w:w="57" w:type="dxa"/>
              <w:right w:w="28" w:type="dxa"/>
            </w:tcMar>
            <w:vAlign w:val="center"/>
          </w:tcPr>
          <w:p w14:paraId="14009F64" w14:textId="77777777" w:rsidR="002D2AF8" w:rsidRDefault="00000000">
            <w:pPr>
              <w:adjustRightInd w:val="0"/>
              <w:snapToGrid w:val="0"/>
              <w:spacing w:beforeLines="20" w:before="65" w:afterLines="20" w:after="65"/>
              <w:rPr>
                <w:color w:val="000000" w:themeColor="text1"/>
              </w:rPr>
            </w:pPr>
            <w:r>
              <w:rPr>
                <w:color w:val="000000" w:themeColor="text1"/>
              </w:rPr>
              <w:t>4.</w:t>
            </w:r>
            <w:r>
              <w:rPr>
                <w:color w:val="000000" w:themeColor="text1"/>
              </w:rPr>
              <w:t>安全生产规章制度目录清单；作业安全规程和各工种操作规程目录清单。</w:t>
            </w:r>
          </w:p>
        </w:tc>
        <w:tc>
          <w:tcPr>
            <w:tcW w:w="1264" w:type="pct"/>
            <w:tcMar>
              <w:top w:w="0" w:type="dxa"/>
              <w:left w:w="28" w:type="dxa"/>
              <w:bottom w:w="0" w:type="dxa"/>
              <w:right w:w="28" w:type="dxa"/>
            </w:tcMar>
            <w:vAlign w:val="center"/>
          </w:tcPr>
          <w:p w14:paraId="76EF7AF8" w14:textId="77777777" w:rsidR="002D2AF8" w:rsidRDefault="00000000">
            <w:pPr>
              <w:adjustRightInd w:val="0"/>
              <w:snapToGrid w:val="0"/>
              <w:spacing w:beforeLines="20" w:before="65" w:afterLines="20" w:after="65"/>
              <w:rPr>
                <w:color w:val="000000" w:themeColor="text1"/>
              </w:rPr>
            </w:pPr>
            <w:r>
              <w:rPr>
                <w:color w:val="000000" w:themeColor="text1"/>
              </w:rPr>
              <w:t>审查各项规章制度、作业安全规程、操作规程是否健全。</w:t>
            </w:r>
          </w:p>
        </w:tc>
        <w:tc>
          <w:tcPr>
            <w:tcW w:w="1775" w:type="pct"/>
            <w:vAlign w:val="center"/>
          </w:tcPr>
          <w:p w14:paraId="5C4D6C69" w14:textId="77777777" w:rsidR="002D2AF8" w:rsidRDefault="00000000">
            <w:pPr>
              <w:adjustRightInd w:val="0"/>
              <w:snapToGrid w:val="0"/>
              <w:spacing w:beforeLines="20" w:before="65" w:afterLines="20" w:after="65"/>
              <w:rPr>
                <w:color w:val="000000" w:themeColor="text1"/>
              </w:rPr>
            </w:pPr>
            <w:r>
              <w:rPr>
                <w:color w:val="000000" w:themeColor="text1"/>
                <w:kern w:val="0"/>
                <w:szCs w:val="21"/>
              </w:rPr>
              <w:t>制定了安全检查制度，职业卫生及职业性健康检查管理制度，安全教育培训制度，生产安全事故报告、调查及处理管理制度，设备、设施安全管理制度，安全生产档案管理制度，安全生产奖惩制度，安全生产会议制度，安全生产费用提取和使用管理制度等</w:t>
            </w:r>
            <w:r>
              <w:rPr>
                <w:color w:val="000000" w:themeColor="text1"/>
                <w:kern w:val="0"/>
                <w:szCs w:val="21"/>
              </w:rPr>
              <w:t>34</w:t>
            </w:r>
            <w:r>
              <w:rPr>
                <w:color w:val="000000" w:themeColor="text1"/>
                <w:kern w:val="0"/>
                <w:szCs w:val="21"/>
              </w:rPr>
              <w:t>项安全管理制度；制定了通用安全操作规程、施工工艺安全操作规程、设备设施安全操作规程。</w:t>
            </w:r>
          </w:p>
        </w:tc>
        <w:tc>
          <w:tcPr>
            <w:tcW w:w="526" w:type="pct"/>
            <w:vAlign w:val="center"/>
          </w:tcPr>
          <w:p w14:paraId="2144DCC7"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69D66F98"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27A90713" w14:textId="77777777">
        <w:trPr>
          <w:jc w:val="center"/>
        </w:trPr>
        <w:tc>
          <w:tcPr>
            <w:tcW w:w="1433" w:type="pct"/>
            <w:tcMar>
              <w:top w:w="57" w:type="dxa"/>
              <w:left w:w="28" w:type="dxa"/>
              <w:bottom w:w="57" w:type="dxa"/>
              <w:right w:w="28" w:type="dxa"/>
            </w:tcMar>
            <w:vAlign w:val="center"/>
          </w:tcPr>
          <w:p w14:paraId="7E3352B8" w14:textId="77777777" w:rsidR="002D2AF8" w:rsidRDefault="00000000">
            <w:pPr>
              <w:adjustRightInd w:val="0"/>
              <w:snapToGrid w:val="0"/>
              <w:spacing w:beforeLines="20" w:before="65" w:afterLines="20" w:after="65"/>
              <w:rPr>
                <w:color w:val="000000" w:themeColor="text1"/>
              </w:rPr>
            </w:pPr>
            <w:r>
              <w:rPr>
                <w:color w:val="000000" w:themeColor="text1"/>
              </w:rPr>
              <w:t>5.</w:t>
            </w:r>
            <w:r>
              <w:rPr>
                <w:color w:val="000000" w:themeColor="text1"/>
              </w:rPr>
              <w:t>设置安全生产管理机构或者配备专职安全生产管理人员的文件复印件。</w:t>
            </w:r>
          </w:p>
        </w:tc>
        <w:tc>
          <w:tcPr>
            <w:tcW w:w="1264" w:type="pct"/>
            <w:tcMar>
              <w:top w:w="0" w:type="dxa"/>
              <w:left w:w="28" w:type="dxa"/>
              <w:bottom w:w="0" w:type="dxa"/>
              <w:right w:w="28" w:type="dxa"/>
            </w:tcMar>
            <w:vAlign w:val="center"/>
          </w:tcPr>
          <w:p w14:paraId="11F94692" w14:textId="77777777" w:rsidR="002D2AF8" w:rsidRDefault="00000000">
            <w:pPr>
              <w:adjustRightInd w:val="0"/>
              <w:snapToGrid w:val="0"/>
              <w:spacing w:beforeLines="20" w:before="65" w:afterLines="20" w:after="65"/>
              <w:rPr>
                <w:color w:val="000000" w:themeColor="text1"/>
              </w:rPr>
            </w:pPr>
            <w:r>
              <w:rPr>
                <w:color w:val="000000" w:themeColor="text1"/>
              </w:rPr>
              <w:t>审查文件是否有效。</w:t>
            </w:r>
          </w:p>
        </w:tc>
        <w:tc>
          <w:tcPr>
            <w:tcW w:w="1775" w:type="pct"/>
            <w:vAlign w:val="center"/>
          </w:tcPr>
          <w:p w14:paraId="23150DE8" w14:textId="77777777" w:rsidR="002D2AF8" w:rsidRDefault="00000000">
            <w:pPr>
              <w:overflowPunct w:val="0"/>
              <w:adjustRightInd w:val="0"/>
              <w:snapToGrid w:val="0"/>
              <w:jc w:val="left"/>
              <w:rPr>
                <w:color w:val="000000" w:themeColor="text1"/>
              </w:rPr>
            </w:pPr>
            <w:r>
              <w:rPr>
                <w:color w:val="000000" w:themeColor="text1"/>
              </w:rPr>
              <w:t>按照规定设立安全</w:t>
            </w:r>
            <w:r>
              <w:rPr>
                <w:rFonts w:hint="eastAsia"/>
                <w:color w:val="000000" w:themeColor="text1"/>
              </w:rPr>
              <w:t>办公室</w:t>
            </w:r>
            <w:r>
              <w:rPr>
                <w:color w:val="000000" w:themeColor="text1"/>
              </w:rPr>
              <w:t>作为本公司的安全生产管理机构，并配有</w:t>
            </w:r>
            <w:r>
              <w:rPr>
                <w:rFonts w:hint="eastAsia"/>
                <w:color w:val="000000" w:themeColor="text1"/>
              </w:rPr>
              <w:t>3</w:t>
            </w:r>
            <w:r>
              <w:rPr>
                <w:color w:val="000000" w:themeColor="text1"/>
              </w:rPr>
              <w:t>名专职安全生产管理人员。</w:t>
            </w:r>
          </w:p>
        </w:tc>
        <w:tc>
          <w:tcPr>
            <w:tcW w:w="526" w:type="pct"/>
            <w:vAlign w:val="center"/>
          </w:tcPr>
          <w:p w14:paraId="79C33FF7"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5279D9E5"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7121178B" w14:textId="77777777">
        <w:trPr>
          <w:jc w:val="center"/>
        </w:trPr>
        <w:tc>
          <w:tcPr>
            <w:tcW w:w="1433" w:type="pct"/>
            <w:tcMar>
              <w:top w:w="57" w:type="dxa"/>
              <w:left w:w="28" w:type="dxa"/>
              <w:bottom w:w="57" w:type="dxa"/>
              <w:right w:w="28" w:type="dxa"/>
            </w:tcMar>
            <w:vAlign w:val="center"/>
          </w:tcPr>
          <w:p w14:paraId="1A81386D" w14:textId="77777777" w:rsidR="002D2AF8" w:rsidRDefault="00000000">
            <w:pPr>
              <w:adjustRightInd w:val="0"/>
              <w:snapToGrid w:val="0"/>
              <w:spacing w:beforeLines="20" w:before="65" w:afterLines="20" w:after="65"/>
              <w:rPr>
                <w:color w:val="000000" w:themeColor="text1"/>
              </w:rPr>
            </w:pPr>
            <w:r>
              <w:rPr>
                <w:color w:val="000000" w:themeColor="text1"/>
              </w:rPr>
              <w:t>6.</w:t>
            </w:r>
            <w:r>
              <w:rPr>
                <w:color w:val="000000" w:themeColor="text1"/>
              </w:rPr>
              <w:t>主要负责人和安全生产管理人员安全合格证书复印件。</w:t>
            </w:r>
          </w:p>
        </w:tc>
        <w:tc>
          <w:tcPr>
            <w:tcW w:w="1264" w:type="pct"/>
            <w:tcMar>
              <w:top w:w="0" w:type="dxa"/>
              <w:left w:w="28" w:type="dxa"/>
              <w:bottom w:w="0" w:type="dxa"/>
              <w:right w:w="28" w:type="dxa"/>
            </w:tcMar>
            <w:vAlign w:val="center"/>
          </w:tcPr>
          <w:p w14:paraId="6A5E5CE0" w14:textId="77777777" w:rsidR="002D2AF8" w:rsidRDefault="00000000">
            <w:pPr>
              <w:adjustRightInd w:val="0"/>
              <w:snapToGrid w:val="0"/>
              <w:spacing w:beforeLines="20" w:before="65" w:afterLines="20" w:after="65"/>
              <w:rPr>
                <w:color w:val="000000" w:themeColor="text1"/>
              </w:rPr>
            </w:pPr>
            <w:r>
              <w:rPr>
                <w:color w:val="000000" w:themeColor="text1"/>
              </w:rPr>
              <w:t>审查安全合格证书是否在有效期内。</w:t>
            </w:r>
          </w:p>
        </w:tc>
        <w:tc>
          <w:tcPr>
            <w:tcW w:w="1775" w:type="pct"/>
            <w:vAlign w:val="center"/>
          </w:tcPr>
          <w:p w14:paraId="411DEED1" w14:textId="77777777" w:rsidR="002D2AF8" w:rsidRDefault="00000000">
            <w:pPr>
              <w:adjustRightInd w:val="0"/>
              <w:snapToGrid w:val="0"/>
              <w:spacing w:beforeLines="20" w:before="65" w:afterLines="20" w:after="65"/>
              <w:rPr>
                <w:color w:val="000000" w:themeColor="text1"/>
              </w:rPr>
            </w:pPr>
            <w:r>
              <w:rPr>
                <w:color w:val="000000" w:themeColor="text1"/>
              </w:rPr>
              <w:t>主要负责人和安全生产管理人员安全合格证书均在有效期内。</w:t>
            </w:r>
          </w:p>
        </w:tc>
        <w:tc>
          <w:tcPr>
            <w:tcW w:w="526" w:type="pct"/>
            <w:vAlign w:val="center"/>
          </w:tcPr>
          <w:p w14:paraId="345FA1EA"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53D36D9E"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45CC5B06" w14:textId="77777777">
        <w:trPr>
          <w:jc w:val="center"/>
        </w:trPr>
        <w:tc>
          <w:tcPr>
            <w:tcW w:w="1433" w:type="pct"/>
            <w:tcMar>
              <w:top w:w="57" w:type="dxa"/>
              <w:left w:w="28" w:type="dxa"/>
              <w:bottom w:w="57" w:type="dxa"/>
              <w:right w:w="28" w:type="dxa"/>
            </w:tcMar>
            <w:vAlign w:val="center"/>
          </w:tcPr>
          <w:p w14:paraId="1D9124D6" w14:textId="77777777" w:rsidR="002D2AF8" w:rsidRDefault="00000000">
            <w:pPr>
              <w:adjustRightInd w:val="0"/>
              <w:snapToGrid w:val="0"/>
              <w:spacing w:beforeLines="20" w:before="65" w:afterLines="20" w:after="65"/>
              <w:rPr>
                <w:color w:val="000000" w:themeColor="text1"/>
              </w:rPr>
            </w:pPr>
            <w:r>
              <w:rPr>
                <w:color w:val="000000" w:themeColor="text1"/>
              </w:rPr>
              <w:t>7.</w:t>
            </w:r>
            <w:r>
              <w:rPr>
                <w:color w:val="000000" w:themeColor="text1"/>
              </w:rPr>
              <w:t>特种作业人员操作合格证书复印件。</w:t>
            </w:r>
          </w:p>
        </w:tc>
        <w:tc>
          <w:tcPr>
            <w:tcW w:w="1264" w:type="pct"/>
            <w:tcMar>
              <w:top w:w="0" w:type="dxa"/>
              <w:left w:w="28" w:type="dxa"/>
              <w:bottom w:w="0" w:type="dxa"/>
              <w:right w:w="28" w:type="dxa"/>
            </w:tcMar>
            <w:vAlign w:val="center"/>
          </w:tcPr>
          <w:p w14:paraId="643EEA99" w14:textId="77777777" w:rsidR="002D2AF8" w:rsidRDefault="00000000">
            <w:pPr>
              <w:adjustRightInd w:val="0"/>
              <w:snapToGrid w:val="0"/>
              <w:spacing w:beforeLines="20" w:before="65" w:afterLines="20" w:after="65"/>
              <w:rPr>
                <w:color w:val="000000" w:themeColor="text1"/>
              </w:rPr>
            </w:pPr>
            <w:r>
              <w:rPr>
                <w:color w:val="000000" w:themeColor="text1"/>
              </w:rPr>
              <w:t>审查特种作业人员操作合格证书是否在有效期内。</w:t>
            </w:r>
          </w:p>
        </w:tc>
        <w:tc>
          <w:tcPr>
            <w:tcW w:w="1775" w:type="pct"/>
            <w:vAlign w:val="center"/>
          </w:tcPr>
          <w:p w14:paraId="5CBAED03" w14:textId="77777777" w:rsidR="002D2AF8" w:rsidRDefault="00000000">
            <w:pPr>
              <w:adjustRightInd w:val="0"/>
              <w:snapToGrid w:val="0"/>
              <w:spacing w:beforeLines="20" w:before="65" w:afterLines="20" w:after="65"/>
              <w:rPr>
                <w:color w:val="000000" w:themeColor="text1"/>
              </w:rPr>
            </w:pPr>
            <w:r>
              <w:rPr>
                <w:color w:val="000000" w:themeColor="text1"/>
              </w:rPr>
              <w:t>特种作业人员操作合格证书均在有效期内。</w:t>
            </w:r>
          </w:p>
        </w:tc>
        <w:tc>
          <w:tcPr>
            <w:tcW w:w="526" w:type="pct"/>
            <w:vAlign w:val="center"/>
          </w:tcPr>
          <w:p w14:paraId="0A23687B"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0B6BE8BD"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2A63343B" w14:textId="77777777">
        <w:trPr>
          <w:jc w:val="center"/>
        </w:trPr>
        <w:tc>
          <w:tcPr>
            <w:tcW w:w="1433" w:type="pct"/>
            <w:tcMar>
              <w:top w:w="57" w:type="dxa"/>
              <w:left w:w="28" w:type="dxa"/>
              <w:bottom w:w="57" w:type="dxa"/>
              <w:right w:w="28" w:type="dxa"/>
            </w:tcMar>
            <w:vAlign w:val="center"/>
          </w:tcPr>
          <w:p w14:paraId="4BCCD024" w14:textId="77777777" w:rsidR="002D2AF8" w:rsidRDefault="00000000">
            <w:pPr>
              <w:adjustRightInd w:val="0"/>
              <w:snapToGrid w:val="0"/>
              <w:spacing w:beforeLines="20" w:before="65" w:afterLines="20" w:after="65"/>
              <w:rPr>
                <w:color w:val="000000" w:themeColor="text1"/>
              </w:rPr>
            </w:pPr>
            <w:r>
              <w:rPr>
                <w:color w:val="000000" w:themeColor="text1"/>
              </w:rPr>
              <w:lastRenderedPageBreak/>
              <w:t>8.</w:t>
            </w:r>
            <w:r>
              <w:rPr>
                <w:color w:val="000000" w:themeColor="text1"/>
              </w:rPr>
              <w:t>足额提取安全生产费用、缴纳并存储安全生产风险抵押金的证明材料。</w:t>
            </w:r>
          </w:p>
        </w:tc>
        <w:tc>
          <w:tcPr>
            <w:tcW w:w="1264" w:type="pct"/>
            <w:tcMar>
              <w:top w:w="0" w:type="dxa"/>
              <w:left w:w="28" w:type="dxa"/>
              <w:bottom w:w="0" w:type="dxa"/>
              <w:right w:w="28" w:type="dxa"/>
            </w:tcMar>
            <w:vAlign w:val="center"/>
          </w:tcPr>
          <w:p w14:paraId="0B59E28D" w14:textId="77777777" w:rsidR="002D2AF8" w:rsidRDefault="00000000">
            <w:pPr>
              <w:adjustRightInd w:val="0"/>
              <w:snapToGrid w:val="0"/>
              <w:spacing w:beforeLines="20" w:before="65" w:afterLines="20" w:after="65"/>
              <w:rPr>
                <w:color w:val="000000" w:themeColor="text1"/>
              </w:rPr>
            </w:pPr>
            <w:r>
              <w:rPr>
                <w:color w:val="000000" w:themeColor="text1"/>
              </w:rPr>
              <w:t>审查证明材料是否有效。</w:t>
            </w:r>
          </w:p>
        </w:tc>
        <w:tc>
          <w:tcPr>
            <w:tcW w:w="1775" w:type="pct"/>
            <w:vAlign w:val="center"/>
          </w:tcPr>
          <w:p w14:paraId="1254FD2A" w14:textId="77777777" w:rsidR="002D2AF8" w:rsidRDefault="00000000">
            <w:pPr>
              <w:adjustRightInd w:val="0"/>
              <w:snapToGrid w:val="0"/>
              <w:spacing w:beforeLines="20" w:before="65" w:afterLines="20" w:after="65"/>
              <w:rPr>
                <w:color w:val="000000" w:themeColor="text1"/>
              </w:rPr>
            </w:pPr>
            <w:r>
              <w:rPr>
                <w:color w:val="000000" w:themeColor="text1"/>
              </w:rPr>
              <w:t>建立</w:t>
            </w:r>
            <w:r>
              <w:rPr>
                <w:rFonts w:hint="eastAsia"/>
                <w:color w:val="000000" w:themeColor="text1"/>
              </w:rPr>
              <w:t>有</w:t>
            </w:r>
            <w:r>
              <w:rPr>
                <w:color w:val="000000" w:themeColor="text1"/>
              </w:rPr>
              <w:t>年度安全费用提取计划，按照计划计提安全费用，建立有安全费用台账，提取比例不低于工程产值的</w:t>
            </w:r>
            <w:r>
              <w:rPr>
                <w:color w:val="000000" w:themeColor="text1"/>
              </w:rPr>
              <w:t>2.5%</w:t>
            </w:r>
            <w:r>
              <w:rPr>
                <w:color w:val="000000" w:themeColor="text1"/>
              </w:rPr>
              <w:t>，并建立专户使用。</w:t>
            </w:r>
          </w:p>
        </w:tc>
        <w:tc>
          <w:tcPr>
            <w:tcW w:w="526" w:type="pct"/>
            <w:vAlign w:val="center"/>
          </w:tcPr>
          <w:p w14:paraId="6180E1BD"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2860F351"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1784259E" w14:textId="77777777">
        <w:trPr>
          <w:jc w:val="center"/>
        </w:trPr>
        <w:tc>
          <w:tcPr>
            <w:tcW w:w="1433" w:type="pct"/>
            <w:tcMar>
              <w:top w:w="57" w:type="dxa"/>
              <w:left w:w="28" w:type="dxa"/>
              <w:bottom w:w="57" w:type="dxa"/>
              <w:right w:w="28" w:type="dxa"/>
            </w:tcMar>
            <w:vAlign w:val="center"/>
          </w:tcPr>
          <w:p w14:paraId="3AD7920D" w14:textId="77777777" w:rsidR="002D2AF8" w:rsidRDefault="00000000">
            <w:pPr>
              <w:adjustRightInd w:val="0"/>
              <w:snapToGrid w:val="0"/>
              <w:spacing w:beforeLines="20" w:before="65" w:afterLines="20" w:after="65"/>
              <w:rPr>
                <w:color w:val="000000" w:themeColor="text1"/>
              </w:rPr>
            </w:pPr>
            <w:r>
              <w:rPr>
                <w:color w:val="000000" w:themeColor="text1"/>
              </w:rPr>
              <w:t>9.</w:t>
            </w:r>
            <w:r>
              <w:rPr>
                <w:color w:val="000000" w:themeColor="text1"/>
              </w:rPr>
              <w:t>为从业人员缴纳工伤保险费的证明材料；因特殊情况不能办理工伤保险的，可以出具办理安全生产责任保险或者雇主责任保险的证明材料。</w:t>
            </w:r>
          </w:p>
        </w:tc>
        <w:tc>
          <w:tcPr>
            <w:tcW w:w="1264" w:type="pct"/>
            <w:tcMar>
              <w:top w:w="0" w:type="dxa"/>
              <w:left w:w="28" w:type="dxa"/>
              <w:bottom w:w="0" w:type="dxa"/>
              <w:right w:w="28" w:type="dxa"/>
            </w:tcMar>
            <w:vAlign w:val="center"/>
          </w:tcPr>
          <w:p w14:paraId="7B0AD5A9" w14:textId="77777777" w:rsidR="002D2AF8" w:rsidRDefault="00000000">
            <w:pPr>
              <w:adjustRightInd w:val="0"/>
              <w:snapToGrid w:val="0"/>
              <w:spacing w:beforeLines="20" w:before="65" w:afterLines="20" w:after="65"/>
              <w:rPr>
                <w:color w:val="000000" w:themeColor="text1"/>
              </w:rPr>
            </w:pPr>
            <w:r>
              <w:rPr>
                <w:color w:val="000000" w:themeColor="text1"/>
              </w:rPr>
              <w:t>审查证明材料是否有效。</w:t>
            </w:r>
          </w:p>
        </w:tc>
        <w:tc>
          <w:tcPr>
            <w:tcW w:w="1775" w:type="pct"/>
            <w:vAlign w:val="center"/>
          </w:tcPr>
          <w:p w14:paraId="69B3A589" w14:textId="77777777" w:rsidR="002D2AF8" w:rsidRDefault="00000000">
            <w:pPr>
              <w:adjustRightInd w:val="0"/>
              <w:snapToGrid w:val="0"/>
              <w:spacing w:beforeLines="20" w:before="65" w:afterLines="20" w:after="65"/>
              <w:rPr>
                <w:color w:val="000000" w:themeColor="text1"/>
              </w:rPr>
            </w:pPr>
            <w:r>
              <w:rPr>
                <w:rFonts w:hint="eastAsia"/>
                <w:color w:val="000000" w:themeColor="text1"/>
              </w:rPr>
              <w:t>法</w:t>
            </w:r>
            <w:r>
              <w:rPr>
                <w:color w:val="000000" w:themeColor="text1"/>
              </w:rPr>
              <w:t>人</w:t>
            </w:r>
            <w:r>
              <w:rPr>
                <w:rFonts w:hint="eastAsia"/>
                <w:color w:val="000000" w:themeColor="text1"/>
              </w:rPr>
              <w:t>（董事长）</w:t>
            </w:r>
            <w:r>
              <w:rPr>
                <w:color w:val="000000" w:themeColor="text1"/>
              </w:rPr>
              <w:t>在</w:t>
            </w:r>
            <w:r>
              <w:rPr>
                <w:rFonts w:hint="eastAsia"/>
                <w:color w:val="000000" w:themeColor="text1"/>
              </w:rPr>
              <w:t>胜利油田胜兴集团有限责任公司缴纳工伤保险，</w:t>
            </w:r>
            <w:r>
              <w:rPr>
                <w:rFonts w:hint="eastAsia"/>
                <w:color w:val="000000" w:themeColor="text1"/>
              </w:rPr>
              <w:t>40</w:t>
            </w:r>
            <w:r>
              <w:rPr>
                <w:rFonts w:hint="eastAsia"/>
                <w:color w:val="000000" w:themeColor="text1"/>
              </w:rPr>
              <w:t>人在胜利油田胜兴堵驱新技术开发有限责任公司缴纳工伤保险，借用胜利采油厂</w:t>
            </w:r>
            <w:r>
              <w:rPr>
                <w:rFonts w:hint="eastAsia"/>
                <w:color w:val="000000" w:themeColor="text1"/>
              </w:rPr>
              <w:t>19</w:t>
            </w:r>
            <w:r>
              <w:rPr>
                <w:rFonts w:hint="eastAsia"/>
                <w:color w:val="000000" w:themeColor="text1"/>
              </w:rPr>
              <w:t>人，借用人员在胜利采油厂</w:t>
            </w:r>
            <w:r>
              <w:rPr>
                <w:color w:val="000000" w:themeColor="text1"/>
              </w:rPr>
              <w:t>缴纳工伤保险。</w:t>
            </w:r>
          </w:p>
        </w:tc>
        <w:tc>
          <w:tcPr>
            <w:tcW w:w="526" w:type="pct"/>
            <w:vAlign w:val="center"/>
          </w:tcPr>
          <w:p w14:paraId="2BE25D66"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2625E9B9"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2A1E6F34" w14:textId="77777777">
        <w:trPr>
          <w:jc w:val="center"/>
        </w:trPr>
        <w:tc>
          <w:tcPr>
            <w:tcW w:w="1433" w:type="pct"/>
            <w:tcMar>
              <w:top w:w="57" w:type="dxa"/>
              <w:left w:w="28" w:type="dxa"/>
              <w:bottom w:w="57" w:type="dxa"/>
              <w:right w:w="28" w:type="dxa"/>
            </w:tcMar>
            <w:vAlign w:val="center"/>
          </w:tcPr>
          <w:p w14:paraId="43A3D5D8" w14:textId="77777777" w:rsidR="002D2AF8" w:rsidRDefault="00000000">
            <w:pPr>
              <w:adjustRightInd w:val="0"/>
              <w:snapToGrid w:val="0"/>
              <w:spacing w:beforeLines="20" w:before="65" w:afterLines="20" w:after="65"/>
              <w:rPr>
                <w:color w:val="000000" w:themeColor="text1"/>
              </w:rPr>
            </w:pPr>
            <w:r>
              <w:rPr>
                <w:color w:val="000000" w:themeColor="text1"/>
              </w:rPr>
              <w:t>10.</w:t>
            </w:r>
            <w:r>
              <w:rPr>
                <w:color w:val="000000" w:themeColor="text1"/>
              </w:rPr>
              <w:t>危险性较大的设备、设施由具备相应资质的检测检验机构出具合格的检测检验报告。</w:t>
            </w:r>
          </w:p>
        </w:tc>
        <w:tc>
          <w:tcPr>
            <w:tcW w:w="1264" w:type="pct"/>
            <w:tcMar>
              <w:top w:w="0" w:type="dxa"/>
              <w:left w:w="28" w:type="dxa"/>
              <w:bottom w:w="0" w:type="dxa"/>
              <w:right w:w="28" w:type="dxa"/>
            </w:tcMar>
            <w:vAlign w:val="center"/>
          </w:tcPr>
          <w:p w14:paraId="7F4FA930" w14:textId="77777777" w:rsidR="002D2AF8" w:rsidRDefault="00000000">
            <w:pPr>
              <w:adjustRightInd w:val="0"/>
              <w:snapToGrid w:val="0"/>
              <w:spacing w:beforeLines="20" w:before="65" w:afterLines="20" w:after="65"/>
              <w:rPr>
                <w:color w:val="000000" w:themeColor="text1"/>
              </w:rPr>
            </w:pPr>
            <w:r>
              <w:rPr>
                <w:color w:val="000000" w:themeColor="text1"/>
              </w:rPr>
              <w:t>审查检测检验报告是否由有资质的单位出具，是否在有效期内。</w:t>
            </w:r>
          </w:p>
        </w:tc>
        <w:tc>
          <w:tcPr>
            <w:tcW w:w="4829" w:type="dxa"/>
            <w:vAlign w:val="center"/>
          </w:tcPr>
          <w:p w14:paraId="2E1AA1F5" w14:textId="77777777" w:rsidR="002D2AF8" w:rsidRDefault="00000000">
            <w:pPr>
              <w:adjustRightInd w:val="0"/>
              <w:snapToGrid w:val="0"/>
              <w:rPr>
                <w:color w:val="000000" w:themeColor="text1"/>
              </w:rPr>
            </w:pPr>
            <w:r>
              <w:rPr>
                <w:rFonts w:hint="eastAsia"/>
                <w:color w:val="000000" w:themeColor="text1"/>
              </w:rPr>
              <w:t>高压管汇、安全阀等</w:t>
            </w:r>
            <w:r>
              <w:rPr>
                <w:color w:val="000000" w:themeColor="text1"/>
              </w:rPr>
              <w:t>由具备相应资质的检测检验机构出具合格的检测检验报告。</w:t>
            </w:r>
          </w:p>
        </w:tc>
        <w:tc>
          <w:tcPr>
            <w:tcW w:w="526" w:type="pct"/>
            <w:vAlign w:val="center"/>
          </w:tcPr>
          <w:p w14:paraId="4EC3EFDF"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4DD61CDF"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4D42FA57" w14:textId="77777777">
        <w:trPr>
          <w:jc w:val="center"/>
        </w:trPr>
        <w:tc>
          <w:tcPr>
            <w:tcW w:w="1433" w:type="pct"/>
            <w:tcMar>
              <w:top w:w="57" w:type="dxa"/>
              <w:left w:w="28" w:type="dxa"/>
              <w:bottom w:w="57" w:type="dxa"/>
              <w:right w:w="28" w:type="dxa"/>
            </w:tcMar>
            <w:vAlign w:val="center"/>
          </w:tcPr>
          <w:p w14:paraId="6C9CEFB6" w14:textId="77777777" w:rsidR="002D2AF8" w:rsidRDefault="00000000">
            <w:pPr>
              <w:adjustRightInd w:val="0"/>
              <w:snapToGrid w:val="0"/>
              <w:spacing w:beforeLines="20" w:before="65" w:afterLines="20" w:after="65"/>
              <w:rPr>
                <w:color w:val="000000" w:themeColor="text1"/>
              </w:rPr>
            </w:pPr>
            <w:r>
              <w:rPr>
                <w:color w:val="000000" w:themeColor="text1"/>
              </w:rPr>
              <w:t>11.</w:t>
            </w:r>
            <w:r>
              <w:rPr>
                <w:color w:val="000000" w:themeColor="text1"/>
              </w:rPr>
              <w:t>事故应急救援预案，设立事故应急救援组织的文件或者与矿山救护队、其他应急救援组织签订的救护协议。</w:t>
            </w:r>
          </w:p>
        </w:tc>
        <w:tc>
          <w:tcPr>
            <w:tcW w:w="1264" w:type="pct"/>
            <w:tcMar>
              <w:top w:w="0" w:type="dxa"/>
              <w:left w:w="28" w:type="dxa"/>
              <w:bottom w:w="0" w:type="dxa"/>
              <w:right w:w="28" w:type="dxa"/>
            </w:tcMar>
            <w:vAlign w:val="center"/>
          </w:tcPr>
          <w:p w14:paraId="5BA50071" w14:textId="77777777" w:rsidR="002D2AF8" w:rsidRDefault="00000000">
            <w:pPr>
              <w:adjustRightInd w:val="0"/>
              <w:snapToGrid w:val="0"/>
              <w:spacing w:beforeLines="20" w:before="65" w:afterLines="20" w:after="65"/>
              <w:rPr>
                <w:color w:val="000000" w:themeColor="text1"/>
              </w:rPr>
            </w:pPr>
            <w:r>
              <w:rPr>
                <w:color w:val="000000" w:themeColor="text1"/>
              </w:rPr>
              <w:t>审查是否编制应急救援预案，相关文件或者协议是否有效。</w:t>
            </w:r>
          </w:p>
        </w:tc>
        <w:tc>
          <w:tcPr>
            <w:tcW w:w="4829" w:type="dxa"/>
            <w:vAlign w:val="center"/>
          </w:tcPr>
          <w:p w14:paraId="640EDB78" w14:textId="77777777" w:rsidR="002D2AF8" w:rsidRDefault="00000000">
            <w:pPr>
              <w:adjustRightInd w:val="0"/>
              <w:snapToGrid w:val="0"/>
              <w:rPr>
                <w:color w:val="000000" w:themeColor="text1"/>
              </w:rPr>
            </w:pPr>
            <w:r>
              <w:rPr>
                <w:color w:val="000000" w:themeColor="text1"/>
                <w:kern w:val="0"/>
                <w:szCs w:val="21"/>
              </w:rPr>
              <w:t>编制的应急预案已于</w:t>
            </w:r>
            <w:r>
              <w:rPr>
                <w:color w:val="000000" w:themeColor="text1"/>
                <w:kern w:val="0"/>
                <w:szCs w:val="21"/>
              </w:rPr>
              <w:t>2022</w:t>
            </w:r>
            <w:r>
              <w:rPr>
                <w:color w:val="000000" w:themeColor="text1"/>
                <w:kern w:val="0"/>
                <w:szCs w:val="21"/>
              </w:rPr>
              <w:t>年</w:t>
            </w:r>
            <w:r>
              <w:rPr>
                <w:color w:val="000000" w:themeColor="text1"/>
                <w:kern w:val="0"/>
                <w:szCs w:val="21"/>
              </w:rPr>
              <w:t>4</w:t>
            </w:r>
            <w:r>
              <w:rPr>
                <w:color w:val="000000" w:themeColor="text1"/>
                <w:kern w:val="0"/>
                <w:szCs w:val="21"/>
              </w:rPr>
              <w:t>月</w:t>
            </w:r>
            <w:r>
              <w:rPr>
                <w:color w:val="000000" w:themeColor="text1"/>
                <w:kern w:val="0"/>
                <w:szCs w:val="21"/>
              </w:rPr>
              <w:t>15</w:t>
            </w:r>
            <w:r>
              <w:rPr>
                <w:color w:val="000000" w:themeColor="text1"/>
                <w:kern w:val="0"/>
                <w:szCs w:val="21"/>
              </w:rPr>
              <w:t>日在东营市垦利区应急管理局备案，备案编号：</w:t>
            </w:r>
            <w:r>
              <w:rPr>
                <w:color w:val="000000" w:themeColor="text1"/>
                <w:kern w:val="0"/>
                <w:szCs w:val="21"/>
              </w:rPr>
              <w:t>GM370503-2022-07</w:t>
            </w:r>
            <w:r>
              <w:rPr>
                <w:color w:val="000000" w:themeColor="text1"/>
                <w:kern w:val="0"/>
                <w:szCs w:val="21"/>
              </w:rPr>
              <w:t>。建立事故应急救援组织，配备必要的应急救援器材、设备。与东营东方化学工业有限公司、东营市垦利区胜坨镇消防站、东营市东营区中心医院签订救护协议。</w:t>
            </w:r>
          </w:p>
        </w:tc>
        <w:tc>
          <w:tcPr>
            <w:tcW w:w="526" w:type="pct"/>
            <w:vAlign w:val="center"/>
          </w:tcPr>
          <w:p w14:paraId="2906846E" w14:textId="77777777" w:rsidR="002D2AF8" w:rsidRDefault="00000000">
            <w:pPr>
              <w:adjustRightInd w:val="0"/>
              <w:snapToGrid w:val="0"/>
              <w:spacing w:beforeLines="20" w:before="65" w:afterLines="20" w:after="65"/>
              <w:jc w:val="center"/>
              <w:rPr>
                <w:color w:val="000000" w:themeColor="text1"/>
              </w:rPr>
            </w:pPr>
            <w:r>
              <w:rPr>
                <w:color w:val="000000" w:themeColor="text1"/>
              </w:rPr>
              <w:t>符合</w:t>
            </w:r>
          </w:p>
          <w:p w14:paraId="7A1330C5" w14:textId="77777777" w:rsidR="002D2AF8" w:rsidRDefault="00000000">
            <w:pPr>
              <w:adjustRightInd w:val="0"/>
              <w:snapToGrid w:val="0"/>
              <w:spacing w:beforeLines="20" w:before="65" w:afterLines="20" w:after="65"/>
              <w:jc w:val="center"/>
              <w:rPr>
                <w:color w:val="000000" w:themeColor="text1"/>
              </w:rPr>
            </w:pPr>
            <w:r>
              <w:rPr>
                <w:color w:val="000000" w:themeColor="text1"/>
              </w:rPr>
              <w:t>要求</w:t>
            </w:r>
          </w:p>
        </w:tc>
      </w:tr>
      <w:tr w:rsidR="002D2AF8" w14:paraId="621CF98C" w14:textId="77777777">
        <w:trPr>
          <w:jc w:val="center"/>
        </w:trPr>
        <w:tc>
          <w:tcPr>
            <w:tcW w:w="1433" w:type="pct"/>
            <w:tcMar>
              <w:top w:w="57" w:type="dxa"/>
              <w:left w:w="28" w:type="dxa"/>
              <w:bottom w:w="57" w:type="dxa"/>
              <w:right w:w="28" w:type="dxa"/>
            </w:tcMar>
            <w:vAlign w:val="center"/>
          </w:tcPr>
          <w:p w14:paraId="1D8AB05A" w14:textId="77777777" w:rsidR="002D2AF8" w:rsidRDefault="00000000">
            <w:pPr>
              <w:adjustRightInd w:val="0"/>
              <w:snapToGrid w:val="0"/>
              <w:spacing w:beforeLines="20" w:before="65" w:afterLines="20" w:after="65"/>
              <w:rPr>
                <w:color w:val="000000" w:themeColor="text1"/>
              </w:rPr>
            </w:pPr>
            <w:r>
              <w:rPr>
                <w:color w:val="000000" w:themeColor="text1"/>
              </w:rPr>
              <w:t>12.</w:t>
            </w:r>
            <w:r>
              <w:rPr>
                <w:color w:val="000000" w:themeColor="text1"/>
              </w:rPr>
              <w:t>矿山建设项目安全设施经安全生产监督管理部门验收合格的证明材料。</w:t>
            </w:r>
          </w:p>
        </w:tc>
        <w:tc>
          <w:tcPr>
            <w:tcW w:w="1264" w:type="pct"/>
            <w:tcMar>
              <w:top w:w="0" w:type="dxa"/>
              <w:left w:w="28" w:type="dxa"/>
              <w:bottom w:w="0" w:type="dxa"/>
              <w:right w:w="28" w:type="dxa"/>
            </w:tcMar>
            <w:vAlign w:val="center"/>
          </w:tcPr>
          <w:p w14:paraId="6C9C30E1" w14:textId="77777777" w:rsidR="002D2AF8" w:rsidRDefault="00000000">
            <w:pPr>
              <w:adjustRightInd w:val="0"/>
              <w:snapToGrid w:val="0"/>
              <w:spacing w:beforeLines="20" w:before="65" w:afterLines="20" w:after="65"/>
              <w:rPr>
                <w:color w:val="000000" w:themeColor="text1"/>
              </w:rPr>
            </w:pPr>
            <w:r>
              <w:rPr>
                <w:color w:val="000000" w:themeColor="text1"/>
              </w:rPr>
              <w:t>审查验收批复文件是否由具备相应审批权限的安全监管部门出具。</w:t>
            </w:r>
          </w:p>
        </w:tc>
        <w:tc>
          <w:tcPr>
            <w:tcW w:w="1775" w:type="pct"/>
            <w:vAlign w:val="center"/>
          </w:tcPr>
          <w:p w14:paraId="3F0C0CD1" w14:textId="77777777" w:rsidR="002D2AF8" w:rsidRDefault="00000000">
            <w:pPr>
              <w:adjustRightInd w:val="0"/>
              <w:snapToGrid w:val="0"/>
              <w:spacing w:beforeLines="20" w:before="65" w:afterLines="20" w:after="65"/>
              <w:rPr>
                <w:color w:val="000000" w:themeColor="text1"/>
              </w:rPr>
            </w:pPr>
            <w:r>
              <w:rPr>
                <w:color w:val="000000" w:themeColor="text1"/>
              </w:rPr>
              <w:t>不涉及此项。</w:t>
            </w:r>
          </w:p>
        </w:tc>
        <w:tc>
          <w:tcPr>
            <w:tcW w:w="526" w:type="pct"/>
            <w:vAlign w:val="center"/>
          </w:tcPr>
          <w:p w14:paraId="4C54891D" w14:textId="77777777" w:rsidR="002D2AF8" w:rsidRDefault="00000000">
            <w:pPr>
              <w:adjustRightInd w:val="0"/>
              <w:snapToGrid w:val="0"/>
              <w:spacing w:beforeLines="20" w:before="65" w:afterLines="20" w:after="65"/>
              <w:jc w:val="center"/>
              <w:rPr>
                <w:color w:val="000000" w:themeColor="text1"/>
              </w:rPr>
            </w:pPr>
            <w:r>
              <w:rPr>
                <w:color w:val="000000" w:themeColor="text1"/>
              </w:rPr>
              <w:t>--</w:t>
            </w:r>
          </w:p>
        </w:tc>
      </w:tr>
      <w:tr w:rsidR="002D2AF8" w14:paraId="2EAD0D2B" w14:textId="77777777">
        <w:trPr>
          <w:jc w:val="center"/>
        </w:trPr>
        <w:tc>
          <w:tcPr>
            <w:tcW w:w="1433" w:type="pct"/>
            <w:tcMar>
              <w:top w:w="57" w:type="dxa"/>
              <w:left w:w="28" w:type="dxa"/>
              <w:bottom w:w="57" w:type="dxa"/>
              <w:right w:w="28" w:type="dxa"/>
            </w:tcMar>
            <w:vAlign w:val="center"/>
          </w:tcPr>
          <w:p w14:paraId="0C9E4BCD" w14:textId="77777777" w:rsidR="002D2AF8" w:rsidRDefault="00000000">
            <w:pPr>
              <w:adjustRightInd w:val="0"/>
              <w:snapToGrid w:val="0"/>
              <w:spacing w:beforeLines="20" w:before="65" w:afterLines="20" w:after="65"/>
              <w:rPr>
                <w:color w:val="000000" w:themeColor="text1"/>
              </w:rPr>
            </w:pPr>
            <w:r>
              <w:rPr>
                <w:color w:val="000000" w:themeColor="text1"/>
              </w:rPr>
              <w:t>13.</w:t>
            </w:r>
            <w:r>
              <w:rPr>
                <w:color w:val="000000" w:themeColor="text1"/>
              </w:rPr>
              <w:t>爆破作业单位许可证复印件。</w:t>
            </w:r>
          </w:p>
        </w:tc>
        <w:tc>
          <w:tcPr>
            <w:tcW w:w="1264" w:type="pct"/>
            <w:tcMar>
              <w:top w:w="0" w:type="dxa"/>
              <w:left w:w="28" w:type="dxa"/>
              <w:bottom w:w="0" w:type="dxa"/>
              <w:right w:w="28" w:type="dxa"/>
            </w:tcMar>
            <w:vAlign w:val="center"/>
          </w:tcPr>
          <w:p w14:paraId="2FCEA614" w14:textId="77777777" w:rsidR="002D2AF8" w:rsidRDefault="00000000">
            <w:pPr>
              <w:adjustRightInd w:val="0"/>
              <w:snapToGrid w:val="0"/>
              <w:spacing w:beforeLines="20" w:before="65" w:afterLines="20" w:after="65"/>
              <w:rPr>
                <w:color w:val="000000" w:themeColor="text1"/>
              </w:rPr>
            </w:pPr>
            <w:r>
              <w:rPr>
                <w:color w:val="000000" w:themeColor="text1"/>
              </w:rPr>
              <w:t>审查证件是否有效。</w:t>
            </w:r>
          </w:p>
        </w:tc>
        <w:tc>
          <w:tcPr>
            <w:tcW w:w="1775" w:type="pct"/>
            <w:vAlign w:val="center"/>
          </w:tcPr>
          <w:p w14:paraId="25C6265B" w14:textId="77777777" w:rsidR="002D2AF8" w:rsidRDefault="00000000">
            <w:pPr>
              <w:adjustRightInd w:val="0"/>
              <w:snapToGrid w:val="0"/>
              <w:spacing w:beforeLines="20" w:before="65" w:afterLines="20" w:after="65"/>
              <w:rPr>
                <w:color w:val="000000" w:themeColor="text1"/>
              </w:rPr>
            </w:pPr>
            <w:r>
              <w:rPr>
                <w:color w:val="000000" w:themeColor="text1"/>
              </w:rPr>
              <w:t>不涉及此项。</w:t>
            </w:r>
          </w:p>
        </w:tc>
        <w:tc>
          <w:tcPr>
            <w:tcW w:w="526" w:type="pct"/>
            <w:vAlign w:val="center"/>
          </w:tcPr>
          <w:p w14:paraId="3DBA49C6" w14:textId="77777777" w:rsidR="002D2AF8" w:rsidRDefault="00000000">
            <w:pPr>
              <w:adjustRightInd w:val="0"/>
              <w:snapToGrid w:val="0"/>
              <w:spacing w:beforeLines="20" w:before="65" w:afterLines="20" w:after="65"/>
              <w:jc w:val="center"/>
              <w:rPr>
                <w:color w:val="000000" w:themeColor="text1"/>
              </w:rPr>
            </w:pPr>
            <w:r>
              <w:rPr>
                <w:color w:val="000000" w:themeColor="text1"/>
              </w:rPr>
              <w:t>--</w:t>
            </w:r>
          </w:p>
        </w:tc>
      </w:tr>
    </w:tbl>
    <w:p w14:paraId="3FDEF51A" w14:textId="77777777" w:rsidR="002D2AF8" w:rsidRDefault="00000000">
      <w:pPr>
        <w:adjustRightInd w:val="0"/>
        <w:snapToGrid w:val="0"/>
        <w:spacing w:line="360" w:lineRule="auto"/>
        <w:ind w:firstLineChars="200" w:firstLine="426"/>
        <w:rPr>
          <w:color w:val="000000" w:themeColor="text1"/>
          <w:szCs w:val="21"/>
        </w:rPr>
      </w:pPr>
      <w:r>
        <w:rPr>
          <w:color w:val="000000" w:themeColor="text1"/>
          <w:szCs w:val="21"/>
        </w:rPr>
        <w:t>注：非煤矿矿山企业总部申请安全生产许可证，需审查第</w:t>
      </w:r>
      <w:r>
        <w:rPr>
          <w:color w:val="000000" w:themeColor="text1"/>
          <w:szCs w:val="21"/>
        </w:rPr>
        <w:t>1</w:t>
      </w:r>
      <w:r>
        <w:rPr>
          <w:color w:val="000000" w:themeColor="text1"/>
          <w:szCs w:val="21"/>
        </w:rPr>
        <w:t>、</w:t>
      </w:r>
      <w:r>
        <w:rPr>
          <w:color w:val="000000" w:themeColor="text1"/>
          <w:szCs w:val="21"/>
        </w:rPr>
        <w:t>3</w:t>
      </w:r>
      <w:r>
        <w:rPr>
          <w:color w:val="000000" w:themeColor="text1"/>
          <w:szCs w:val="21"/>
        </w:rPr>
        <w:t>、</w:t>
      </w:r>
      <w:r>
        <w:rPr>
          <w:color w:val="000000" w:themeColor="text1"/>
          <w:szCs w:val="21"/>
        </w:rPr>
        <w:t>4</w:t>
      </w:r>
      <w:r>
        <w:rPr>
          <w:color w:val="000000" w:themeColor="text1"/>
          <w:szCs w:val="21"/>
        </w:rPr>
        <w:t>、</w:t>
      </w:r>
      <w:r>
        <w:rPr>
          <w:color w:val="000000" w:themeColor="text1"/>
          <w:szCs w:val="21"/>
        </w:rPr>
        <w:t>5</w:t>
      </w:r>
      <w:r>
        <w:rPr>
          <w:color w:val="000000" w:themeColor="text1"/>
          <w:szCs w:val="21"/>
        </w:rPr>
        <w:t>、</w:t>
      </w:r>
      <w:r>
        <w:rPr>
          <w:color w:val="000000" w:themeColor="text1"/>
          <w:szCs w:val="21"/>
        </w:rPr>
        <w:t>6</w:t>
      </w:r>
      <w:r>
        <w:rPr>
          <w:color w:val="000000" w:themeColor="text1"/>
          <w:szCs w:val="21"/>
        </w:rPr>
        <w:t>项；金属非金属矿山企业申请安全生产许可证，需审查第</w:t>
      </w:r>
      <w:r>
        <w:rPr>
          <w:color w:val="000000" w:themeColor="text1"/>
          <w:szCs w:val="21"/>
        </w:rPr>
        <w:t>1-12</w:t>
      </w:r>
      <w:r>
        <w:rPr>
          <w:color w:val="000000" w:themeColor="text1"/>
          <w:szCs w:val="21"/>
        </w:rPr>
        <w:t>项，如果该单位从事爆破作业，还需审查第</w:t>
      </w:r>
      <w:r>
        <w:rPr>
          <w:color w:val="000000" w:themeColor="text1"/>
          <w:szCs w:val="21"/>
        </w:rPr>
        <w:t>13</w:t>
      </w:r>
      <w:r>
        <w:rPr>
          <w:color w:val="000000" w:themeColor="text1"/>
          <w:szCs w:val="21"/>
        </w:rPr>
        <w:t>项；尾矿库申请安全生产许可证，需审查第</w:t>
      </w:r>
      <w:r>
        <w:rPr>
          <w:color w:val="000000" w:themeColor="text1"/>
          <w:szCs w:val="21"/>
        </w:rPr>
        <w:t>1</w:t>
      </w:r>
      <w:r>
        <w:rPr>
          <w:color w:val="000000" w:themeColor="text1"/>
          <w:szCs w:val="21"/>
        </w:rPr>
        <w:t>、</w:t>
      </w:r>
      <w:r>
        <w:rPr>
          <w:color w:val="000000" w:themeColor="text1"/>
          <w:szCs w:val="21"/>
        </w:rPr>
        <w:t>3</w:t>
      </w:r>
      <w:r>
        <w:rPr>
          <w:color w:val="000000" w:themeColor="text1"/>
          <w:szCs w:val="21"/>
        </w:rPr>
        <w:t>、</w:t>
      </w:r>
      <w:r>
        <w:rPr>
          <w:color w:val="000000" w:themeColor="text1"/>
          <w:szCs w:val="21"/>
        </w:rPr>
        <w:t>4</w:t>
      </w:r>
      <w:r>
        <w:rPr>
          <w:color w:val="000000" w:themeColor="text1"/>
          <w:szCs w:val="21"/>
        </w:rPr>
        <w:t>、</w:t>
      </w:r>
      <w:r>
        <w:rPr>
          <w:color w:val="000000" w:themeColor="text1"/>
          <w:szCs w:val="21"/>
        </w:rPr>
        <w:t>5</w:t>
      </w:r>
      <w:r>
        <w:rPr>
          <w:color w:val="000000" w:themeColor="text1"/>
          <w:szCs w:val="21"/>
        </w:rPr>
        <w:t>、</w:t>
      </w:r>
      <w:r>
        <w:rPr>
          <w:color w:val="000000" w:themeColor="text1"/>
          <w:szCs w:val="21"/>
        </w:rPr>
        <w:t>6</w:t>
      </w:r>
      <w:r>
        <w:rPr>
          <w:color w:val="000000" w:themeColor="text1"/>
          <w:szCs w:val="21"/>
        </w:rPr>
        <w:t>、</w:t>
      </w:r>
      <w:r>
        <w:rPr>
          <w:color w:val="000000" w:themeColor="text1"/>
          <w:szCs w:val="21"/>
        </w:rPr>
        <w:t>7</w:t>
      </w:r>
      <w:r>
        <w:rPr>
          <w:color w:val="000000" w:themeColor="text1"/>
          <w:szCs w:val="21"/>
        </w:rPr>
        <w:t>、</w:t>
      </w:r>
      <w:r>
        <w:rPr>
          <w:color w:val="000000" w:themeColor="text1"/>
          <w:szCs w:val="21"/>
        </w:rPr>
        <w:t>8</w:t>
      </w:r>
      <w:r>
        <w:rPr>
          <w:color w:val="000000" w:themeColor="text1"/>
          <w:szCs w:val="21"/>
        </w:rPr>
        <w:t>、</w:t>
      </w:r>
      <w:r>
        <w:rPr>
          <w:color w:val="000000" w:themeColor="text1"/>
          <w:szCs w:val="21"/>
        </w:rPr>
        <w:t>9</w:t>
      </w:r>
      <w:r>
        <w:rPr>
          <w:color w:val="000000" w:themeColor="text1"/>
          <w:szCs w:val="21"/>
        </w:rPr>
        <w:t>、</w:t>
      </w:r>
      <w:r>
        <w:rPr>
          <w:color w:val="000000" w:themeColor="text1"/>
          <w:szCs w:val="21"/>
        </w:rPr>
        <w:t>10</w:t>
      </w:r>
      <w:r>
        <w:rPr>
          <w:color w:val="000000" w:themeColor="text1"/>
          <w:szCs w:val="21"/>
        </w:rPr>
        <w:t>、</w:t>
      </w:r>
      <w:r>
        <w:rPr>
          <w:color w:val="000000" w:themeColor="text1"/>
          <w:szCs w:val="21"/>
        </w:rPr>
        <w:t>11</w:t>
      </w:r>
      <w:r>
        <w:rPr>
          <w:color w:val="000000" w:themeColor="text1"/>
          <w:szCs w:val="21"/>
        </w:rPr>
        <w:t>、</w:t>
      </w:r>
      <w:r>
        <w:rPr>
          <w:color w:val="000000" w:themeColor="text1"/>
          <w:szCs w:val="21"/>
        </w:rPr>
        <w:t>12</w:t>
      </w:r>
      <w:r>
        <w:rPr>
          <w:color w:val="000000" w:themeColor="text1"/>
          <w:szCs w:val="21"/>
        </w:rPr>
        <w:t>项；地质勘探单位和采掘施工企业申请安全生产许可证，需审查第</w:t>
      </w:r>
      <w:r>
        <w:rPr>
          <w:color w:val="000000" w:themeColor="text1"/>
          <w:szCs w:val="21"/>
        </w:rPr>
        <w:t>1</w:t>
      </w:r>
      <w:r>
        <w:rPr>
          <w:color w:val="000000" w:themeColor="text1"/>
          <w:szCs w:val="21"/>
        </w:rPr>
        <w:t>、</w:t>
      </w:r>
      <w:r>
        <w:rPr>
          <w:color w:val="000000" w:themeColor="text1"/>
          <w:szCs w:val="21"/>
        </w:rPr>
        <w:t>2</w:t>
      </w:r>
      <w:r>
        <w:rPr>
          <w:color w:val="000000" w:themeColor="text1"/>
          <w:szCs w:val="21"/>
        </w:rPr>
        <w:t>、</w:t>
      </w:r>
      <w:r>
        <w:rPr>
          <w:color w:val="000000" w:themeColor="text1"/>
          <w:szCs w:val="21"/>
        </w:rPr>
        <w:t>3</w:t>
      </w:r>
      <w:r>
        <w:rPr>
          <w:color w:val="000000" w:themeColor="text1"/>
          <w:szCs w:val="21"/>
        </w:rPr>
        <w:t>、</w:t>
      </w:r>
      <w:r>
        <w:rPr>
          <w:color w:val="000000" w:themeColor="text1"/>
          <w:szCs w:val="21"/>
        </w:rPr>
        <w:t>4</w:t>
      </w:r>
      <w:r>
        <w:rPr>
          <w:color w:val="000000" w:themeColor="text1"/>
          <w:szCs w:val="21"/>
        </w:rPr>
        <w:t>、</w:t>
      </w:r>
      <w:r>
        <w:rPr>
          <w:color w:val="000000" w:themeColor="text1"/>
          <w:szCs w:val="21"/>
        </w:rPr>
        <w:t>5</w:t>
      </w:r>
      <w:r>
        <w:rPr>
          <w:color w:val="000000" w:themeColor="text1"/>
          <w:szCs w:val="21"/>
        </w:rPr>
        <w:t>、</w:t>
      </w:r>
      <w:r>
        <w:rPr>
          <w:color w:val="000000" w:themeColor="text1"/>
          <w:szCs w:val="21"/>
        </w:rPr>
        <w:t>6</w:t>
      </w:r>
      <w:r>
        <w:rPr>
          <w:color w:val="000000" w:themeColor="text1"/>
          <w:szCs w:val="21"/>
        </w:rPr>
        <w:t>、</w:t>
      </w:r>
      <w:r>
        <w:rPr>
          <w:color w:val="000000" w:themeColor="text1"/>
          <w:szCs w:val="21"/>
        </w:rPr>
        <w:t>7</w:t>
      </w:r>
      <w:r>
        <w:rPr>
          <w:color w:val="000000" w:themeColor="text1"/>
          <w:szCs w:val="21"/>
        </w:rPr>
        <w:t>、</w:t>
      </w:r>
      <w:r>
        <w:rPr>
          <w:color w:val="000000" w:themeColor="text1"/>
          <w:szCs w:val="21"/>
        </w:rPr>
        <w:t>9</w:t>
      </w:r>
      <w:r>
        <w:rPr>
          <w:color w:val="000000" w:themeColor="text1"/>
          <w:szCs w:val="21"/>
        </w:rPr>
        <w:t>、</w:t>
      </w:r>
      <w:r>
        <w:rPr>
          <w:color w:val="000000" w:themeColor="text1"/>
          <w:szCs w:val="21"/>
        </w:rPr>
        <w:t>10</w:t>
      </w:r>
      <w:r>
        <w:rPr>
          <w:color w:val="000000" w:themeColor="text1"/>
          <w:szCs w:val="21"/>
        </w:rPr>
        <w:t>、</w:t>
      </w:r>
      <w:r>
        <w:rPr>
          <w:color w:val="000000" w:themeColor="text1"/>
          <w:szCs w:val="21"/>
        </w:rPr>
        <w:t>11</w:t>
      </w:r>
      <w:r>
        <w:rPr>
          <w:color w:val="000000" w:themeColor="text1"/>
          <w:szCs w:val="21"/>
        </w:rPr>
        <w:t>项，如果该单位从事爆破作业，还需审查第</w:t>
      </w:r>
      <w:r>
        <w:rPr>
          <w:color w:val="000000" w:themeColor="text1"/>
          <w:szCs w:val="21"/>
        </w:rPr>
        <w:t>13</w:t>
      </w:r>
      <w:r>
        <w:rPr>
          <w:color w:val="000000" w:themeColor="text1"/>
          <w:szCs w:val="21"/>
        </w:rPr>
        <w:t>项；石油天然气勘探、开发生产和储运（陆上采油气、海上采油气、物探、钻井、测井、录井、井下作业、油田建设、海油工程、储运）单位申请安全生产许可证，需审查第</w:t>
      </w:r>
      <w:r>
        <w:rPr>
          <w:color w:val="000000" w:themeColor="text1"/>
          <w:szCs w:val="21"/>
        </w:rPr>
        <w:t>1</w:t>
      </w:r>
      <w:r>
        <w:rPr>
          <w:color w:val="000000" w:themeColor="text1"/>
          <w:szCs w:val="21"/>
        </w:rPr>
        <w:t>、</w:t>
      </w:r>
      <w:r>
        <w:rPr>
          <w:color w:val="000000" w:themeColor="text1"/>
          <w:szCs w:val="21"/>
        </w:rPr>
        <w:t>3</w:t>
      </w:r>
      <w:r>
        <w:rPr>
          <w:color w:val="000000" w:themeColor="text1"/>
          <w:szCs w:val="21"/>
        </w:rPr>
        <w:t>、</w:t>
      </w:r>
      <w:r>
        <w:rPr>
          <w:color w:val="000000" w:themeColor="text1"/>
          <w:szCs w:val="21"/>
        </w:rPr>
        <w:t>4</w:t>
      </w:r>
      <w:r>
        <w:rPr>
          <w:color w:val="000000" w:themeColor="text1"/>
          <w:szCs w:val="21"/>
        </w:rPr>
        <w:t>、</w:t>
      </w:r>
      <w:r>
        <w:rPr>
          <w:color w:val="000000" w:themeColor="text1"/>
          <w:szCs w:val="21"/>
        </w:rPr>
        <w:t>5</w:t>
      </w:r>
      <w:r>
        <w:rPr>
          <w:color w:val="000000" w:themeColor="text1"/>
          <w:szCs w:val="21"/>
        </w:rPr>
        <w:t>、</w:t>
      </w:r>
      <w:r>
        <w:rPr>
          <w:color w:val="000000" w:themeColor="text1"/>
          <w:szCs w:val="21"/>
        </w:rPr>
        <w:t>6</w:t>
      </w:r>
      <w:r>
        <w:rPr>
          <w:color w:val="000000" w:themeColor="text1"/>
          <w:szCs w:val="21"/>
        </w:rPr>
        <w:t>、</w:t>
      </w:r>
      <w:r>
        <w:rPr>
          <w:color w:val="000000" w:themeColor="text1"/>
          <w:szCs w:val="21"/>
        </w:rPr>
        <w:t>7</w:t>
      </w:r>
      <w:r>
        <w:rPr>
          <w:color w:val="000000" w:themeColor="text1"/>
          <w:szCs w:val="21"/>
        </w:rPr>
        <w:t>、</w:t>
      </w:r>
      <w:r>
        <w:rPr>
          <w:color w:val="000000" w:themeColor="text1"/>
          <w:szCs w:val="21"/>
        </w:rPr>
        <w:t>8</w:t>
      </w:r>
      <w:r>
        <w:rPr>
          <w:color w:val="000000" w:themeColor="text1"/>
          <w:szCs w:val="21"/>
        </w:rPr>
        <w:t>、</w:t>
      </w:r>
      <w:r>
        <w:rPr>
          <w:color w:val="000000" w:themeColor="text1"/>
          <w:szCs w:val="21"/>
        </w:rPr>
        <w:t>9</w:t>
      </w:r>
      <w:r>
        <w:rPr>
          <w:color w:val="000000" w:themeColor="text1"/>
          <w:szCs w:val="21"/>
        </w:rPr>
        <w:t>、</w:t>
      </w:r>
      <w:r>
        <w:rPr>
          <w:color w:val="000000" w:themeColor="text1"/>
          <w:szCs w:val="21"/>
        </w:rPr>
        <w:t>10</w:t>
      </w:r>
      <w:r>
        <w:rPr>
          <w:color w:val="000000" w:themeColor="text1"/>
          <w:szCs w:val="21"/>
        </w:rPr>
        <w:t>、</w:t>
      </w:r>
      <w:r>
        <w:rPr>
          <w:color w:val="000000" w:themeColor="text1"/>
          <w:szCs w:val="21"/>
        </w:rPr>
        <w:t>11</w:t>
      </w:r>
      <w:r>
        <w:rPr>
          <w:color w:val="000000" w:themeColor="text1"/>
          <w:szCs w:val="21"/>
        </w:rPr>
        <w:lastRenderedPageBreak/>
        <w:t>项（其中陆上采油气、海上采油气单位需增加审查第</w:t>
      </w:r>
      <w:r>
        <w:rPr>
          <w:color w:val="000000" w:themeColor="text1"/>
          <w:szCs w:val="21"/>
        </w:rPr>
        <w:t>2</w:t>
      </w:r>
      <w:r>
        <w:rPr>
          <w:color w:val="000000" w:themeColor="text1"/>
          <w:szCs w:val="21"/>
        </w:rPr>
        <w:t>、</w:t>
      </w:r>
      <w:r>
        <w:rPr>
          <w:color w:val="000000" w:themeColor="text1"/>
          <w:szCs w:val="21"/>
        </w:rPr>
        <w:t>12</w:t>
      </w:r>
      <w:r>
        <w:rPr>
          <w:color w:val="000000" w:themeColor="text1"/>
          <w:szCs w:val="21"/>
        </w:rPr>
        <w:t>项，储运单位需增加审查第</w:t>
      </w:r>
      <w:r>
        <w:rPr>
          <w:color w:val="000000" w:themeColor="text1"/>
          <w:szCs w:val="21"/>
        </w:rPr>
        <w:t>12</w:t>
      </w:r>
      <w:r>
        <w:rPr>
          <w:color w:val="000000" w:themeColor="text1"/>
          <w:szCs w:val="21"/>
        </w:rPr>
        <w:t>项）。</w:t>
      </w:r>
    </w:p>
    <w:p w14:paraId="676DAF0C"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评价小结：</w:t>
      </w:r>
    </w:p>
    <w:p w14:paraId="75E15FEF"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经过现场检查和评价，该企业涉及的井下作业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调剖、等项目有</w:t>
      </w:r>
      <w:r>
        <w:rPr>
          <w:color w:val="000000" w:themeColor="text1"/>
          <w:sz w:val="28"/>
          <w:szCs w:val="28"/>
        </w:rPr>
        <w:t>10</w:t>
      </w:r>
      <w:r>
        <w:rPr>
          <w:color w:val="000000" w:themeColor="text1"/>
          <w:sz w:val="28"/>
          <w:szCs w:val="28"/>
        </w:rPr>
        <w:t>项审查项为符合，无不符合项，</w:t>
      </w:r>
      <w:r>
        <w:rPr>
          <w:color w:val="000000" w:themeColor="text1"/>
          <w:sz w:val="28"/>
          <w:szCs w:val="28"/>
        </w:rPr>
        <w:t>3</w:t>
      </w:r>
      <w:r>
        <w:rPr>
          <w:color w:val="000000" w:themeColor="text1"/>
          <w:sz w:val="28"/>
          <w:szCs w:val="28"/>
        </w:rPr>
        <w:t>项审查项为不涉及，因此</w:t>
      </w:r>
      <w:r>
        <w:rPr>
          <w:rFonts w:hint="eastAsia"/>
          <w:bCs/>
          <w:color w:val="000000" w:themeColor="text1"/>
          <w:sz w:val="28"/>
        </w:rPr>
        <w:t>胜利油田胜兴堵驱新技术开发有限责任公司</w:t>
      </w:r>
      <w:r>
        <w:rPr>
          <w:bCs/>
          <w:color w:val="000000" w:themeColor="text1"/>
          <w:sz w:val="28"/>
        </w:rPr>
        <w:t>井下作业</w:t>
      </w:r>
      <w:r>
        <w:rPr>
          <w:bCs/>
          <w:color w:val="000000" w:themeColor="text1"/>
          <w:sz w:val="28"/>
        </w:rPr>
        <w:t>-</w:t>
      </w:r>
      <w:r>
        <w:rPr>
          <w:color w:val="000000" w:themeColor="text1"/>
          <w:sz w:val="28"/>
          <w:szCs w:val="28"/>
        </w:rPr>
        <w:t>测试、堵水</w:t>
      </w:r>
      <w:r>
        <w:rPr>
          <w:color w:val="000000" w:themeColor="text1"/>
          <w:sz w:val="28"/>
          <w:szCs w:val="28"/>
        </w:rPr>
        <w:t>/</w:t>
      </w:r>
      <w:r>
        <w:rPr>
          <w:color w:val="000000" w:themeColor="text1"/>
          <w:sz w:val="28"/>
          <w:szCs w:val="28"/>
        </w:rPr>
        <w:t>调剖等</w:t>
      </w:r>
      <w:r>
        <w:rPr>
          <w:bCs/>
          <w:color w:val="000000" w:themeColor="text1"/>
          <w:sz w:val="28"/>
        </w:rPr>
        <w:t>项目的审查条件符合要求</w:t>
      </w:r>
      <w:r>
        <w:rPr>
          <w:color w:val="000000" w:themeColor="text1"/>
          <w:sz w:val="28"/>
          <w:szCs w:val="28"/>
        </w:rPr>
        <w:t>。</w:t>
      </w:r>
      <w:bookmarkStart w:id="125" w:name="_Toc32451"/>
      <w:bookmarkStart w:id="126" w:name="_Toc12531"/>
    </w:p>
    <w:p w14:paraId="622A4856" w14:textId="77777777" w:rsidR="002D2AF8" w:rsidRDefault="00000000">
      <w:pPr>
        <w:adjustRightInd w:val="0"/>
        <w:snapToGrid w:val="0"/>
        <w:spacing w:line="360" w:lineRule="auto"/>
        <w:outlineLvl w:val="1"/>
        <w:rPr>
          <w:rFonts w:eastAsia="黑体"/>
          <w:bCs/>
          <w:color w:val="000000" w:themeColor="text1"/>
          <w:sz w:val="32"/>
          <w:szCs w:val="32"/>
        </w:rPr>
      </w:pPr>
      <w:bookmarkStart w:id="127" w:name="_Toc12008"/>
      <w:r>
        <w:rPr>
          <w:rFonts w:eastAsia="黑体"/>
          <w:bCs/>
          <w:color w:val="000000" w:themeColor="text1"/>
          <w:sz w:val="32"/>
          <w:szCs w:val="32"/>
        </w:rPr>
        <w:t>8.2</w:t>
      </w:r>
      <w:bookmarkEnd w:id="125"/>
      <w:r>
        <w:rPr>
          <w:rFonts w:eastAsia="黑体"/>
          <w:bCs/>
          <w:color w:val="000000" w:themeColor="text1"/>
          <w:sz w:val="32"/>
          <w:szCs w:val="32"/>
        </w:rPr>
        <w:t xml:space="preserve"> </w:t>
      </w:r>
      <w:r>
        <w:rPr>
          <w:rFonts w:eastAsia="黑体"/>
          <w:bCs/>
          <w:color w:val="000000" w:themeColor="text1"/>
          <w:sz w:val="32"/>
          <w:szCs w:val="32"/>
        </w:rPr>
        <w:t>重大安全风险隐患分析</w:t>
      </w:r>
      <w:bookmarkEnd w:id="126"/>
      <w:bookmarkEnd w:id="127"/>
    </w:p>
    <w:p w14:paraId="0B25F678" w14:textId="77777777" w:rsidR="002D2AF8" w:rsidRDefault="00000000">
      <w:pPr>
        <w:pStyle w:val="affff3"/>
        <w:adjustRightInd w:val="0"/>
        <w:snapToGrid w:val="0"/>
        <w:spacing w:beforeLines="0"/>
        <w:ind w:firstLine="566"/>
        <w:jc w:val="both"/>
        <w:rPr>
          <w:color w:val="000000" w:themeColor="text1"/>
        </w:rPr>
      </w:pPr>
      <w:r>
        <w:rPr>
          <w:color w:val="000000" w:themeColor="text1"/>
        </w:rPr>
        <w:t>根据《重点行业领域重大安全风险隐患清单》（鲁安发</w:t>
      </w:r>
      <w:r>
        <w:rPr>
          <w:color w:val="000000" w:themeColor="text1"/>
        </w:rPr>
        <w:t>[2022]11</w:t>
      </w:r>
      <w:r>
        <w:rPr>
          <w:color w:val="000000" w:themeColor="text1"/>
        </w:rPr>
        <w:t>号），对本项目是否涉及重大安全风险隐患判定情况如下：</w:t>
      </w:r>
    </w:p>
    <w:p w14:paraId="4A6D0A4C" w14:textId="77777777" w:rsidR="002D2AF8" w:rsidRDefault="00000000">
      <w:pPr>
        <w:adjustRightInd w:val="0"/>
        <w:snapToGrid w:val="0"/>
        <w:spacing w:line="360" w:lineRule="auto"/>
        <w:jc w:val="center"/>
        <w:rPr>
          <w:b/>
          <w:color w:val="000000" w:themeColor="text1"/>
          <w:sz w:val="24"/>
        </w:rPr>
      </w:pPr>
      <w:r>
        <w:rPr>
          <w:b/>
          <w:color w:val="000000" w:themeColor="text1"/>
          <w:sz w:val="24"/>
        </w:rPr>
        <w:t>表</w:t>
      </w:r>
      <w:r>
        <w:rPr>
          <w:b/>
          <w:color w:val="000000" w:themeColor="text1"/>
          <w:sz w:val="24"/>
        </w:rPr>
        <w:t xml:space="preserve">8-3  </w:t>
      </w:r>
      <w:r>
        <w:rPr>
          <w:b/>
          <w:color w:val="000000" w:themeColor="text1"/>
          <w:sz w:val="24"/>
        </w:rPr>
        <w:t>重大安全风险隐患判定表</w:t>
      </w:r>
    </w:p>
    <w:tbl>
      <w:tblPr>
        <w:tblW w:w="0" w:type="auto"/>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701"/>
        <w:gridCol w:w="4975"/>
        <w:gridCol w:w="2840"/>
      </w:tblGrid>
      <w:tr w:rsidR="002D2AF8" w14:paraId="299F17D1" w14:textId="77777777">
        <w:trPr>
          <w:tblHeader/>
        </w:trPr>
        <w:tc>
          <w:tcPr>
            <w:tcW w:w="738" w:type="dxa"/>
            <w:vAlign w:val="center"/>
          </w:tcPr>
          <w:p w14:paraId="5430E1FF" w14:textId="77777777" w:rsidR="002D2AF8" w:rsidRDefault="00000000">
            <w:pPr>
              <w:adjustRightInd w:val="0"/>
              <w:snapToGrid w:val="0"/>
              <w:spacing w:beforeLines="20" w:before="65" w:afterLines="20" w:after="65"/>
              <w:jc w:val="center"/>
              <w:rPr>
                <w:b/>
                <w:snapToGrid w:val="0"/>
                <w:color w:val="000000" w:themeColor="text1"/>
                <w:szCs w:val="21"/>
              </w:rPr>
            </w:pPr>
            <w:r>
              <w:rPr>
                <w:b/>
                <w:snapToGrid w:val="0"/>
                <w:color w:val="000000" w:themeColor="text1"/>
                <w:szCs w:val="21"/>
              </w:rPr>
              <w:t>序号</w:t>
            </w:r>
          </w:p>
        </w:tc>
        <w:tc>
          <w:tcPr>
            <w:tcW w:w="5528" w:type="dxa"/>
            <w:vAlign w:val="center"/>
          </w:tcPr>
          <w:p w14:paraId="725ACC0D" w14:textId="77777777" w:rsidR="002D2AF8" w:rsidRDefault="00000000">
            <w:pPr>
              <w:adjustRightInd w:val="0"/>
              <w:snapToGrid w:val="0"/>
              <w:spacing w:beforeLines="20" w:before="65" w:afterLines="20" w:after="65"/>
              <w:jc w:val="center"/>
              <w:rPr>
                <w:b/>
                <w:snapToGrid w:val="0"/>
                <w:color w:val="000000" w:themeColor="text1"/>
                <w:szCs w:val="21"/>
              </w:rPr>
            </w:pPr>
            <w:r>
              <w:rPr>
                <w:b/>
                <w:snapToGrid w:val="0"/>
                <w:color w:val="000000" w:themeColor="text1"/>
                <w:szCs w:val="21"/>
              </w:rPr>
              <w:t>重大安全风险隐患判定标准</w:t>
            </w:r>
          </w:p>
        </w:tc>
        <w:tc>
          <w:tcPr>
            <w:tcW w:w="3134" w:type="dxa"/>
            <w:vAlign w:val="center"/>
          </w:tcPr>
          <w:p w14:paraId="2052F574" w14:textId="77777777" w:rsidR="002D2AF8" w:rsidRDefault="00000000">
            <w:pPr>
              <w:adjustRightInd w:val="0"/>
              <w:snapToGrid w:val="0"/>
              <w:spacing w:beforeLines="20" w:before="65" w:afterLines="20" w:after="65"/>
              <w:jc w:val="center"/>
              <w:rPr>
                <w:b/>
                <w:snapToGrid w:val="0"/>
                <w:color w:val="000000" w:themeColor="text1"/>
                <w:szCs w:val="21"/>
              </w:rPr>
            </w:pPr>
            <w:r>
              <w:rPr>
                <w:b/>
                <w:snapToGrid w:val="0"/>
                <w:color w:val="000000" w:themeColor="text1"/>
                <w:szCs w:val="21"/>
              </w:rPr>
              <w:t>实际情况</w:t>
            </w:r>
          </w:p>
        </w:tc>
      </w:tr>
      <w:tr w:rsidR="002D2AF8" w14:paraId="7A1CCD97" w14:textId="77777777">
        <w:tc>
          <w:tcPr>
            <w:tcW w:w="738" w:type="dxa"/>
            <w:vAlign w:val="center"/>
          </w:tcPr>
          <w:p w14:paraId="57617B00"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w:t>
            </w:r>
          </w:p>
        </w:tc>
        <w:tc>
          <w:tcPr>
            <w:tcW w:w="5528" w:type="dxa"/>
            <w:vAlign w:val="center"/>
          </w:tcPr>
          <w:p w14:paraId="51B8932E" w14:textId="77777777" w:rsidR="002D2AF8" w:rsidRDefault="00000000">
            <w:pPr>
              <w:adjustRightInd w:val="0"/>
              <w:snapToGrid w:val="0"/>
              <w:spacing w:beforeLines="20" w:before="65" w:afterLines="20" w:after="65"/>
              <w:rPr>
                <w:bCs/>
                <w:snapToGrid w:val="0"/>
                <w:color w:val="000000" w:themeColor="text1"/>
                <w:szCs w:val="21"/>
              </w:rPr>
            </w:pPr>
            <w:r>
              <w:rPr>
                <w:b/>
                <w:snapToGrid w:val="0"/>
                <w:color w:val="000000" w:themeColor="text1"/>
                <w:szCs w:val="21"/>
              </w:rPr>
              <w:t>主要负责人和安全生产管理人员安全风险隐患：</w:t>
            </w:r>
            <w:r>
              <w:rPr>
                <w:bCs/>
                <w:snapToGrid w:val="0"/>
                <w:color w:val="000000" w:themeColor="text1"/>
                <w:szCs w:val="21"/>
              </w:rPr>
              <w:t>未按要求配备主要负责人和安全生产管理人员，或者主要负责人和安全生产管理人员未依法经考核合格。</w:t>
            </w:r>
          </w:p>
        </w:tc>
        <w:tc>
          <w:tcPr>
            <w:tcW w:w="3134" w:type="dxa"/>
            <w:vAlign w:val="center"/>
          </w:tcPr>
          <w:p w14:paraId="30F31FEE" w14:textId="77777777" w:rsidR="002D2AF8" w:rsidRDefault="00000000">
            <w:pPr>
              <w:pStyle w:val="afc"/>
              <w:adjustRightInd w:val="0"/>
              <w:snapToGrid w:val="0"/>
              <w:spacing w:after="0" w:line="240" w:lineRule="auto"/>
              <w:ind w:firstLine="0"/>
              <w:rPr>
                <w:color w:val="000000" w:themeColor="text1"/>
              </w:rPr>
            </w:pPr>
            <w:r>
              <w:rPr>
                <w:color w:val="000000" w:themeColor="text1"/>
                <w:spacing w:val="0"/>
                <w:w w:val="100"/>
                <w:sz w:val="21"/>
                <w:szCs w:val="21"/>
              </w:rPr>
              <w:t>企业已按照要求配备有主要负责人和专职安全生产管理人员</w:t>
            </w:r>
            <w:r>
              <w:rPr>
                <w:rFonts w:hint="eastAsia"/>
                <w:color w:val="000000" w:themeColor="text1"/>
                <w:spacing w:val="0"/>
                <w:w w:val="100"/>
                <w:sz w:val="21"/>
                <w:szCs w:val="21"/>
              </w:rPr>
              <w:t>3</w:t>
            </w:r>
            <w:r>
              <w:rPr>
                <w:color w:val="000000" w:themeColor="text1"/>
                <w:spacing w:val="0"/>
                <w:w w:val="100"/>
                <w:sz w:val="21"/>
                <w:szCs w:val="21"/>
              </w:rPr>
              <w:t>名，主要负责人和专职安全生产管理人员已取得安全合格证</w:t>
            </w:r>
            <w:r>
              <w:rPr>
                <w:color w:val="000000" w:themeColor="text1"/>
                <w:spacing w:val="0"/>
                <w:w w:val="100"/>
                <w:kern w:val="0"/>
                <w:sz w:val="21"/>
                <w:szCs w:val="21"/>
              </w:rPr>
              <w:t>，</w:t>
            </w:r>
            <w:r>
              <w:rPr>
                <w:b/>
                <w:bCs/>
                <w:color w:val="000000" w:themeColor="text1"/>
                <w:spacing w:val="0"/>
                <w:w w:val="100"/>
                <w:kern w:val="0"/>
                <w:sz w:val="21"/>
                <w:szCs w:val="21"/>
              </w:rPr>
              <w:t>符合要求。</w:t>
            </w:r>
          </w:p>
        </w:tc>
      </w:tr>
      <w:tr w:rsidR="002D2AF8" w14:paraId="37767E57" w14:textId="77777777">
        <w:tc>
          <w:tcPr>
            <w:tcW w:w="738" w:type="dxa"/>
            <w:vAlign w:val="center"/>
          </w:tcPr>
          <w:p w14:paraId="3E081BC8"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w:t>
            </w:r>
          </w:p>
        </w:tc>
        <w:tc>
          <w:tcPr>
            <w:tcW w:w="5528" w:type="dxa"/>
            <w:vAlign w:val="center"/>
          </w:tcPr>
          <w:p w14:paraId="581EA04C"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技术管理机构安全风险隐患：</w:t>
            </w:r>
            <w:r>
              <w:rPr>
                <w:bCs/>
                <w:snapToGrid w:val="0"/>
                <w:color w:val="000000" w:themeColor="text1"/>
                <w:kern w:val="0"/>
                <w:szCs w:val="21"/>
              </w:rPr>
              <w:t>未按规定设立管理机构，或者管理机构未足额配备相关专业专职技术人员。</w:t>
            </w:r>
          </w:p>
        </w:tc>
        <w:tc>
          <w:tcPr>
            <w:tcW w:w="3134" w:type="dxa"/>
            <w:vAlign w:val="center"/>
          </w:tcPr>
          <w:p w14:paraId="29F858E1"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2D2AF8" w14:paraId="13B6FB2E" w14:textId="77777777">
        <w:tc>
          <w:tcPr>
            <w:tcW w:w="738" w:type="dxa"/>
            <w:vAlign w:val="center"/>
          </w:tcPr>
          <w:p w14:paraId="57D997D6"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3</w:t>
            </w:r>
          </w:p>
        </w:tc>
        <w:tc>
          <w:tcPr>
            <w:tcW w:w="5528" w:type="dxa"/>
            <w:vAlign w:val="center"/>
          </w:tcPr>
          <w:p w14:paraId="51A2CA7A"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从业人员安全风险隐患：</w:t>
            </w:r>
            <w:r>
              <w:rPr>
                <w:bCs/>
                <w:snapToGrid w:val="0"/>
                <w:color w:val="000000" w:themeColor="text1"/>
                <w:kern w:val="0"/>
                <w:szCs w:val="21"/>
              </w:rPr>
              <w:t>从业人员未经安全培训合格，特种作业人员未持证上岗。</w:t>
            </w:r>
          </w:p>
        </w:tc>
        <w:tc>
          <w:tcPr>
            <w:tcW w:w="3134" w:type="dxa"/>
            <w:vAlign w:val="center"/>
          </w:tcPr>
          <w:p w14:paraId="6D3E8D13"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从业人员</w:t>
            </w:r>
            <w:r>
              <w:rPr>
                <w:rFonts w:hint="eastAsia"/>
                <w:color w:val="000000" w:themeColor="text1"/>
                <w:spacing w:val="0"/>
                <w:w w:val="100"/>
                <w:kern w:val="0"/>
                <w:sz w:val="21"/>
                <w:szCs w:val="21"/>
              </w:rPr>
              <w:t>经本企业安全教育培训，并</w:t>
            </w:r>
            <w:r>
              <w:rPr>
                <w:color w:val="000000" w:themeColor="text1"/>
                <w:spacing w:val="0"/>
                <w:w w:val="100"/>
                <w:kern w:val="0"/>
                <w:sz w:val="21"/>
                <w:szCs w:val="21"/>
              </w:rPr>
              <w:t>持有三证，</w:t>
            </w:r>
            <w:r>
              <w:rPr>
                <w:bCs/>
                <w:snapToGrid w:val="0"/>
                <w:color w:val="000000" w:themeColor="text1"/>
                <w:spacing w:val="0"/>
                <w:w w:val="100"/>
                <w:kern w:val="0"/>
                <w:sz w:val="21"/>
                <w:szCs w:val="21"/>
              </w:rPr>
              <w:t>特种作业人员持证上岗。</w:t>
            </w:r>
            <w:r>
              <w:rPr>
                <w:b/>
                <w:snapToGrid w:val="0"/>
                <w:color w:val="000000" w:themeColor="text1"/>
                <w:spacing w:val="0"/>
                <w:w w:val="100"/>
                <w:kern w:val="0"/>
                <w:sz w:val="21"/>
                <w:szCs w:val="21"/>
              </w:rPr>
              <w:t>符合要求。</w:t>
            </w:r>
          </w:p>
        </w:tc>
      </w:tr>
      <w:tr w:rsidR="002D2AF8" w14:paraId="50FDD508" w14:textId="77777777">
        <w:tc>
          <w:tcPr>
            <w:tcW w:w="738" w:type="dxa"/>
            <w:vAlign w:val="center"/>
          </w:tcPr>
          <w:p w14:paraId="6DCECF20"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4</w:t>
            </w:r>
          </w:p>
        </w:tc>
        <w:tc>
          <w:tcPr>
            <w:tcW w:w="5528" w:type="dxa"/>
            <w:vAlign w:val="center"/>
          </w:tcPr>
          <w:p w14:paraId="31ED0067"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责任制度安全风险隐患：</w:t>
            </w:r>
            <w:r>
              <w:rPr>
                <w:bCs/>
                <w:snapToGrid w:val="0"/>
                <w:color w:val="000000" w:themeColor="text1"/>
                <w:kern w:val="0"/>
                <w:szCs w:val="21"/>
              </w:rPr>
              <w:t>未建立与岗位相匹配的全员安全生产责任制或者未制定实施生产安全事故隐患排查治理制度。</w:t>
            </w:r>
          </w:p>
        </w:tc>
        <w:tc>
          <w:tcPr>
            <w:tcW w:w="3134" w:type="dxa"/>
            <w:vAlign w:val="center"/>
          </w:tcPr>
          <w:p w14:paraId="6C3539F8"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已建立</w:t>
            </w:r>
            <w:r>
              <w:rPr>
                <w:bCs/>
                <w:snapToGrid w:val="0"/>
                <w:color w:val="000000" w:themeColor="text1"/>
                <w:spacing w:val="0"/>
                <w:w w:val="100"/>
                <w:kern w:val="0"/>
                <w:sz w:val="21"/>
                <w:szCs w:val="21"/>
              </w:rPr>
              <w:t>与岗位相匹配的全员安全生产责任制，并制定事故隐患排查治理制度。</w:t>
            </w:r>
            <w:r>
              <w:rPr>
                <w:b/>
                <w:snapToGrid w:val="0"/>
                <w:color w:val="000000" w:themeColor="text1"/>
                <w:spacing w:val="0"/>
                <w:w w:val="100"/>
                <w:kern w:val="0"/>
                <w:sz w:val="21"/>
                <w:szCs w:val="21"/>
              </w:rPr>
              <w:t>符合要求。</w:t>
            </w:r>
          </w:p>
        </w:tc>
      </w:tr>
      <w:tr w:rsidR="002D2AF8" w14:paraId="0E748EAD" w14:textId="77777777">
        <w:tc>
          <w:tcPr>
            <w:tcW w:w="738" w:type="dxa"/>
            <w:vAlign w:val="center"/>
          </w:tcPr>
          <w:p w14:paraId="34E26A26"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5</w:t>
            </w:r>
          </w:p>
        </w:tc>
        <w:tc>
          <w:tcPr>
            <w:tcW w:w="5528" w:type="dxa"/>
            <w:vAlign w:val="center"/>
          </w:tcPr>
          <w:p w14:paraId="6D0F1044"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操作规程安全风险隐患：</w:t>
            </w:r>
            <w:r>
              <w:rPr>
                <w:bCs/>
                <w:snapToGrid w:val="0"/>
                <w:color w:val="000000" w:themeColor="text1"/>
                <w:kern w:val="0"/>
                <w:szCs w:val="21"/>
              </w:rPr>
              <w:t>未制定实施与岗位相匹配的操作规程。</w:t>
            </w:r>
          </w:p>
        </w:tc>
        <w:tc>
          <w:tcPr>
            <w:tcW w:w="3134" w:type="dxa"/>
            <w:vAlign w:val="center"/>
          </w:tcPr>
          <w:p w14:paraId="75EFE015"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已制定实施与岗位相匹配的操作规程。</w:t>
            </w:r>
            <w:r>
              <w:rPr>
                <w:b/>
                <w:bCs/>
                <w:color w:val="000000" w:themeColor="text1"/>
                <w:spacing w:val="0"/>
                <w:w w:val="100"/>
                <w:kern w:val="0"/>
                <w:sz w:val="21"/>
                <w:szCs w:val="21"/>
              </w:rPr>
              <w:t>符合要求。</w:t>
            </w:r>
          </w:p>
        </w:tc>
      </w:tr>
      <w:tr w:rsidR="002D2AF8" w14:paraId="7DDDDA55" w14:textId="77777777">
        <w:tc>
          <w:tcPr>
            <w:tcW w:w="738" w:type="dxa"/>
            <w:vAlign w:val="center"/>
          </w:tcPr>
          <w:p w14:paraId="28923EDE"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6</w:t>
            </w:r>
          </w:p>
        </w:tc>
        <w:tc>
          <w:tcPr>
            <w:tcW w:w="5528" w:type="dxa"/>
            <w:vAlign w:val="center"/>
          </w:tcPr>
          <w:p w14:paraId="0D829116"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w:t>
            </w:r>
            <w:r>
              <w:rPr>
                <w:b/>
                <w:snapToGrid w:val="0"/>
                <w:color w:val="000000" w:themeColor="text1"/>
                <w:kern w:val="0"/>
                <w:szCs w:val="21"/>
              </w:rPr>
              <w:t>三同时</w:t>
            </w:r>
            <w:r>
              <w:rPr>
                <w:b/>
                <w:snapToGrid w:val="0"/>
                <w:color w:val="000000" w:themeColor="text1"/>
                <w:kern w:val="0"/>
                <w:szCs w:val="21"/>
              </w:rPr>
              <w:t>”</w:t>
            </w:r>
            <w:r>
              <w:rPr>
                <w:b/>
                <w:snapToGrid w:val="0"/>
                <w:color w:val="000000" w:themeColor="text1"/>
                <w:kern w:val="0"/>
                <w:szCs w:val="21"/>
              </w:rPr>
              <w:t>安全风险隐患：</w:t>
            </w:r>
            <w:r>
              <w:rPr>
                <w:bCs/>
                <w:snapToGrid w:val="0"/>
                <w:color w:val="000000" w:themeColor="text1"/>
                <w:kern w:val="0"/>
                <w:szCs w:val="21"/>
              </w:rPr>
              <w:t>不严格履行建设项目安全设施</w:t>
            </w:r>
            <w:r>
              <w:rPr>
                <w:bCs/>
                <w:snapToGrid w:val="0"/>
                <w:color w:val="000000" w:themeColor="text1"/>
                <w:kern w:val="0"/>
                <w:szCs w:val="21"/>
              </w:rPr>
              <w:t>“</w:t>
            </w:r>
            <w:r>
              <w:rPr>
                <w:bCs/>
                <w:snapToGrid w:val="0"/>
                <w:color w:val="000000" w:themeColor="text1"/>
                <w:kern w:val="0"/>
                <w:szCs w:val="21"/>
              </w:rPr>
              <w:t>三同时</w:t>
            </w:r>
            <w:r>
              <w:rPr>
                <w:bCs/>
                <w:snapToGrid w:val="0"/>
                <w:color w:val="000000" w:themeColor="text1"/>
                <w:kern w:val="0"/>
                <w:szCs w:val="21"/>
              </w:rPr>
              <w:t>”</w:t>
            </w:r>
            <w:r>
              <w:rPr>
                <w:bCs/>
                <w:snapToGrid w:val="0"/>
                <w:color w:val="000000" w:themeColor="text1"/>
                <w:kern w:val="0"/>
                <w:szCs w:val="21"/>
              </w:rPr>
              <w:t>制度，不按批准的安全设施设计建设、生产，安全生产许可证有效期满未办理延期手续。</w:t>
            </w:r>
          </w:p>
        </w:tc>
        <w:tc>
          <w:tcPr>
            <w:tcW w:w="3134" w:type="dxa"/>
            <w:vAlign w:val="center"/>
          </w:tcPr>
          <w:p w14:paraId="6504A293"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2D2AF8" w14:paraId="1C73AA57" w14:textId="77777777">
        <w:tc>
          <w:tcPr>
            <w:tcW w:w="738" w:type="dxa"/>
            <w:vAlign w:val="center"/>
          </w:tcPr>
          <w:p w14:paraId="430DF586"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7</w:t>
            </w:r>
          </w:p>
        </w:tc>
        <w:tc>
          <w:tcPr>
            <w:tcW w:w="5528" w:type="dxa"/>
            <w:vAlign w:val="center"/>
          </w:tcPr>
          <w:p w14:paraId="0990FF42"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整合矿山安全风险隐患：</w:t>
            </w:r>
            <w:r>
              <w:rPr>
                <w:bCs/>
                <w:snapToGrid w:val="0"/>
                <w:color w:val="000000" w:themeColor="text1"/>
                <w:kern w:val="0"/>
                <w:szCs w:val="21"/>
              </w:rPr>
              <w:t>整合后的矿山管理不规范，纳入整合的生产系统仍然</w:t>
            </w:r>
            <w:r>
              <w:rPr>
                <w:bCs/>
                <w:snapToGrid w:val="0"/>
                <w:color w:val="000000" w:themeColor="text1"/>
                <w:kern w:val="0"/>
                <w:szCs w:val="21"/>
              </w:rPr>
              <w:t>“</w:t>
            </w:r>
            <w:r>
              <w:rPr>
                <w:bCs/>
                <w:snapToGrid w:val="0"/>
                <w:color w:val="000000" w:themeColor="text1"/>
                <w:kern w:val="0"/>
                <w:szCs w:val="21"/>
              </w:rPr>
              <w:t>各自为政</w:t>
            </w:r>
            <w:r>
              <w:rPr>
                <w:bCs/>
                <w:snapToGrid w:val="0"/>
                <w:color w:val="000000" w:themeColor="text1"/>
                <w:kern w:val="0"/>
                <w:szCs w:val="21"/>
              </w:rPr>
              <w:t>”</w:t>
            </w:r>
            <w:r>
              <w:rPr>
                <w:bCs/>
                <w:snapToGrid w:val="0"/>
                <w:color w:val="000000" w:themeColor="text1"/>
                <w:kern w:val="0"/>
                <w:szCs w:val="21"/>
              </w:rPr>
              <w:t>。</w:t>
            </w:r>
          </w:p>
        </w:tc>
        <w:tc>
          <w:tcPr>
            <w:tcW w:w="3134" w:type="dxa"/>
            <w:vAlign w:val="center"/>
          </w:tcPr>
          <w:p w14:paraId="1A9D37D5"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2D2AF8" w14:paraId="40B51CAC" w14:textId="77777777">
        <w:tc>
          <w:tcPr>
            <w:tcW w:w="738" w:type="dxa"/>
            <w:vAlign w:val="center"/>
          </w:tcPr>
          <w:p w14:paraId="1C5A9BC8"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8</w:t>
            </w:r>
          </w:p>
        </w:tc>
        <w:tc>
          <w:tcPr>
            <w:tcW w:w="5528" w:type="dxa"/>
            <w:vAlign w:val="center"/>
          </w:tcPr>
          <w:p w14:paraId="5B1708C5"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基建矿山安全风险隐患：</w:t>
            </w:r>
            <w:r>
              <w:rPr>
                <w:bCs/>
                <w:snapToGrid w:val="0"/>
                <w:color w:val="000000" w:themeColor="text1"/>
                <w:kern w:val="0"/>
                <w:szCs w:val="21"/>
              </w:rPr>
              <w:t>未按规定合理编制基建工程进度计划，未明确优先贯通安全出口和尽快形成主要供电、通风、排水系统的要求。竖井、斜井、斜坡道</w:t>
            </w:r>
            <w:r>
              <w:rPr>
                <w:bCs/>
                <w:snapToGrid w:val="0"/>
                <w:color w:val="000000" w:themeColor="text1"/>
                <w:kern w:val="0"/>
                <w:szCs w:val="21"/>
              </w:rPr>
              <w:lastRenderedPageBreak/>
              <w:t>等施工到底后，未按规定集中在一个中段贯通。</w:t>
            </w:r>
          </w:p>
        </w:tc>
        <w:tc>
          <w:tcPr>
            <w:tcW w:w="3134" w:type="dxa"/>
            <w:vAlign w:val="center"/>
          </w:tcPr>
          <w:p w14:paraId="1DB8417D"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lastRenderedPageBreak/>
              <w:t>此项不涉及。</w:t>
            </w:r>
          </w:p>
        </w:tc>
      </w:tr>
      <w:tr w:rsidR="002D2AF8" w14:paraId="4E8AAA8C" w14:textId="77777777">
        <w:tc>
          <w:tcPr>
            <w:tcW w:w="738" w:type="dxa"/>
            <w:vAlign w:val="center"/>
          </w:tcPr>
          <w:p w14:paraId="7F19B82A"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9</w:t>
            </w:r>
          </w:p>
        </w:tc>
        <w:tc>
          <w:tcPr>
            <w:tcW w:w="5528" w:type="dxa"/>
            <w:vAlign w:val="center"/>
          </w:tcPr>
          <w:p w14:paraId="18BB209E"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停产停建矿山安全风险隐患：</w:t>
            </w:r>
            <w:r>
              <w:rPr>
                <w:bCs/>
                <w:snapToGrid w:val="0"/>
                <w:color w:val="000000" w:themeColor="text1"/>
                <w:kern w:val="0"/>
                <w:szCs w:val="21"/>
              </w:rPr>
              <w:t>未制定落实停产停建期间安全风险管控措施，或者以设备调试、检修和设施维修等为由组织建设或生产。</w:t>
            </w:r>
          </w:p>
        </w:tc>
        <w:tc>
          <w:tcPr>
            <w:tcW w:w="3134" w:type="dxa"/>
            <w:vAlign w:val="center"/>
          </w:tcPr>
          <w:p w14:paraId="5DDEFC87"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2D2AF8" w14:paraId="1A891BCF" w14:textId="77777777">
        <w:tc>
          <w:tcPr>
            <w:tcW w:w="738" w:type="dxa"/>
            <w:vAlign w:val="center"/>
          </w:tcPr>
          <w:p w14:paraId="38BD9F17"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10</w:t>
            </w:r>
          </w:p>
        </w:tc>
        <w:tc>
          <w:tcPr>
            <w:tcW w:w="5528" w:type="dxa"/>
            <w:vAlign w:val="center"/>
          </w:tcPr>
          <w:p w14:paraId="5D8D1437" w14:textId="77777777" w:rsidR="002D2AF8" w:rsidRDefault="00000000">
            <w:pPr>
              <w:adjustRightInd w:val="0"/>
              <w:snapToGrid w:val="0"/>
              <w:spacing w:beforeLines="20" w:before="65" w:afterLines="20" w:after="65"/>
              <w:rPr>
                <w:b/>
                <w:snapToGrid w:val="0"/>
                <w:color w:val="000000" w:themeColor="text1"/>
                <w:kern w:val="0"/>
                <w:szCs w:val="21"/>
              </w:rPr>
            </w:pPr>
            <w:r>
              <w:rPr>
                <w:b/>
                <w:snapToGrid w:val="0"/>
                <w:color w:val="000000" w:themeColor="text1"/>
                <w:kern w:val="0"/>
                <w:szCs w:val="21"/>
              </w:rPr>
              <w:t>动火作业安全风险隐患：</w:t>
            </w:r>
            <w:r>
              <w:rPr>
                <w:bCs/>
                <w:snapToGrid w:val="0"/>
                <w:color w:val="000000" w:themeColor="text1"/>
                <w:kern w:val="0"/>
                <w:szCs w:val="21"/>
              </w:rPr>
              <w:t>未按照要求制定动火作业管理和审批制度，或者制度未有效执行。</w:t>
            </w:r>
          </w:p>
        </w:tc>
        <w:tc>
          <w:tcPr>
            <w:tcW w:w="3134" w:type="dxa"/>
            <w:vAlign w:val="center"/>
          </w:tcPr>
          <w:p w14:paraId="084D5A2D"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2D2AF8" w14:paraId="5E5A6E7A" w14:textId="77777777">
        <w:tc>
          <w:tcPr>
            <w:tcW w:w="738" w:type="dxa"/>
            <w:vAlign w:val="center"/>
          </w:tcPr>
          <w:p w14:paraId="18FC952A"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11</w:t>
            </w:r>
          </w:p>
        </w:tc>
        <w:tc>
          <w:tcPr>
            <w:tcW w:w="5528" w:type="dxa"/>
            <w:vAlign w:val="center"/>
          </w:tcPr>
          <w:p w14:paraId="2CF3323E" w14:textId="77777777" w:rsidR="002D2AF8" w:rsidRDefault="00000000">
            <w:pPr>
              <w:adjustRightInd w:val="0"/>
              <w:snapToGrid w:val="0"/>
              <w:spacing w:beforeLines="20" w:before="65" w:afterLines="20" w:after="65"/>
              <w:rPr>
                <w:b/>
                <w:snapToGrid w:val="0"/>
                <w:color w:val="000000" w:themeColor="text1"/>
                <w:kern w:val="0"/>
                <w:szCs w:val="21"/>
              </w:rPr>
            </w:pPr>
            <w:r>
              <w:rPr>
                <w:b/>
                <w:snapToGrid w:val="0"/>
                <w:color w:val="000000" w:themeColor="text1"/>
                <w:kern w:val="0"/>
                <w:szCs w:val="21"/>
              </w:rPr>
              <w:t>图纸管理安全风险隐患：</w:t>
            </w:r>
            <w:r>
              <w:rPr>
                <w:bCs/>
                <w:snapToGrid w:val="0"/>
                <w:color w:val="000000" w:themeColor="text1"/>
                <w:kern w:val="0"/>
                <w:szCs w:val="21"/>
              </w:rPr>
              <w:t>未及时填绘图纸，或者现状图与实际严重不符。</w:t>
            </w:r>
          </w:p>
        </w:tc>
        <w:tc>
          <w:tcPr>
            <w:tcW w:w="3134" w:type="dxa"/>
            <w:vAlign w:val="center"/>
          </w:tcPr>
          <w:p w14:paraId="08DB4107"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此项不涉及。</w:t>
            </w:r>
          </w:p>
        </w:tc>
      </w:tr>
      <w:tr w:rsidR="002D2AF8" w14:paraId="270B47D5" w14:textId="77777777">
        <w:tc>
          <w:tcPr>
            <w:tcW w:w="738" w:type="dxa"/>
            <w:vAlign w:val="center"/>
          </w:tcPr>
          <w:p w14:paraId="4E4D1C5B"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12</w:t>
            </w:r>
          </w:p>
        </w:tc>
        <w:tc>
          <w:tcPr>
            <w:tcW w:w="5528" w:type="dxa"/>
            <w:vAlign w:val="center"/>
          </w:tcPr>
          <w:p w14:paraId="7F45A752"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应急预案安全风险隐患：</w:t>
            </w:r>
            <w:r>
              <w:rPr>
                <w:bCs/>
                <w:snapToGrid w:val="0"/>
                <w:color w:val="000000" w:themeColor="text1"/>
                <w:kern w:val="0"/>
                <w:szCs w:val="21"/>
              </w:rPr>
              <w:t>未按要求编制符合实际的综</w:t>
            </w:r>
            <w:r>
              <w:rPr>
                <w:bCs/>
                <w:snapToGrid w:val="0"/>
                <w:color w:val="000000" w:themeColor="text1"/>
                <w:kern w:val="0"/>
                <w:szCs w:val="21"/>
              </w:rPr>
              <w:t xml:space="preserve"> </w:t>
            </w:r>
            <w:r>
              <w:rPr>
                <w:bCs/>
                <w:snapToGrid w:val="0"/>
                <w:color w:val="000000" w:themeColor="text1"/>
                <w:kern w:val="0"/>
                <w:szCs w:val="21"/>
              </w:rPr>
              <w:t>合应急预案、专项应急预案和现场处置方案，或者预案未进行评审、公布、备案。</w:t>
            </w:r>
          </w:p>
        </w:tc>
        <w:tc>
          <w:tcPr>
            <w:tcW w:w="3134" w:type="dxa"/>
            <w:vAlign w:val="center"/>
          </w:tcPr>
          <w:p w14:paraId="2E30F3F2" w14:textId="77777777" w:rsidR="002D2AF8" w:rsidRDefault="00000000">
            <w:pPr>
              <w:pStyle w:val="afc"/>
              <w:adjustRightInd w:val="0"/>
              <w:snapToGrid w:val="0"/>
              <w:spacing w:after="0" w:line="240" w:lineRule="auto"/>
              <w:ind w:firstLine="0"/>
              <w:rPr>
                <w:color w:val="000000" w:themeColor="text1"/>
                <w:spacing w:val="0"/>
                <w:w w:val="100"/>
                <w:kern w:val="0"/>
                <w:sz w:val="21"/>
                <w:szCs w:val="21"/>
              </w:rPr>
            </w:pPr>
            <w:r>
              <w:rPr>
                <w:color w:val="000000" w:themeColor="text1"/>
                <w:spacing w:val="0"/>
                <w:w w:val="100"/>
                <w:kern w:val="0"/>
                <w:sz w:val="21"/>
                <w:szCs w:val="21"/>
              </w:rPr>
              <w:t>已编制应急预案并</w:t>
            </w:r>
            <w:r>
              <w:rPr>
                <w:rFonts w:hint="eastAsia"/>
                <w:color w:val="000000" w:themeColor="text1"/>
                <w:spacing w:val="0"/>
                <w:w w:val="100"/>
                <w:kern w:val="0"/>
                <w:sz w:val="21"/>
                <w:szCs w:val="21"/>
              </w:rPr>
              <w:t>在东营市垦利</w:t>
            </w:r>
            <w:r>
              <w:rPr>
                <w:color w:val="000000" w:themeColor="text1"/>
                <w:spacing w:val="0"/>
                <w:w w:val="100"/>
                <w:kern w:val="0"/>
                <w:sz w:val="21"/>
                <w:szCs w:val="21"/>
              </w:rPr>
              <w:t>区应急管理</w:t>
            </w:r>
            <w:r>
              <w:rPr>
                <w:rFonts w:hint="eastAsia"/>
                <w:color w:val="000000" w:themeColor="text1"/>
                <w:spacing w:val="0"/>
                <w:w w:val="100"/>
                <w:kern w:val="0"/>
                <w:sz w:val="21"/>
                <w:szCs w:val="21"/>
              </w:rPr>
              <w:t>局</w:t>
            </w:r>
            <w:r>
              <w:rPr>
                <w:color w:val="000000" w:themeColor="text1"/>
                <w:spacing w:val="0"/>
                <w:w w:val="100"/>
                <w:kern w:val="0"/>
                <w:sz w:val="21"/>
                <w:szCs w:val="21"/>
              </w:rPr>
              <w:t>备案。</w:t>
            </w:r>
            <w:r>
              <w:rPr>
                <w:b/>
                <w:bCs/>
                <w:color w:val="000000" w:themeColor="text1"/>
                <w:spacing w:val="0"/>
                <w:w w:val="100"/>
                <w:kern w:val="0"/>
                <w:sz w:val="21"/>
                <w:szCs w:val="21"/>
              </w:rPr>
              <w:t>符合要求。</w:t>
            </w:r>
          </w:p>
        </w:tc>
      </w:tr>
      <w:tr w:rsidR="002D2AF8" w14:paraId="21297FB0" w14:textId="77777777">
        <w:tc>
          <w:tcPr>
            <w:tcW w:w="738" w:type="dxa"/>
            <w:vAlign w:val="center"/>
          </w:tcPr>
          <w:p w14:paraId="76CF83B4"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13</w:t>
            </w:r>
          </w:p>
        </w:tc>
        <w:tc>
          <w:tcPr>
            <w:tcW w:w="5528" w:type="dxa"/>
            <w:vAlign w:val="center"/>
          </w:tcPr>
          <w:p w14:paraId="11FC7B9E"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应急救援体系安全风险隐患：</w:t>
            </w:r>
            <w:r>
              <w:rPr>
                <w:bCs/>
                <w:snapToGrid w:val="0"/>
                <w:color w:val="000000" w:themeColor="text1"/>
                <w:kern w:val="0"/>
                <w:szCs w:val="21"/>
              </w:rPr>
              <w:t>未建立应急救援队伍，</w:t>
            </w:r>
            <w:r>
              <w:rPr>
                <w:bCs/>
                <w:snapToGrid w:val="0"/>
                <w:color w:val="000000" w:themeColor="text1"/>
                <w:kern w:val="0"/>
                <w:szCs w:val="21"/>
              </w:rPr>
              <w:t xml:space="preserve"> </w:t>
            </w:r>
          </w:p>
          <w:p w14:paraId="1E1F0D2E" w14:textId="77777777" w:rsidR="002D2AF8" w:rsidRDefault="00000000">
            <w:pPr>
              <w:adjustRightInd w:val="0"/>
              <w:snapToGrid w:val="0"/>
              <w:spacing w:beforeLines="20" w:before="65" w:afterLines="20" w:after="65"/>
              <w:rPr>
                <w:b/>
                <w:snapToGrid w:val="0"/>
                <w:color w:val="000000" w:themeColor="text1"/>
                <w:kern w:val="0"/>
                <w:szCs w:val="21"/>
              </w:rPr>
            </w:pPr>
            <w:r>
              <w:rPr>
                <w:bCs/>
                <w:snapToGrid w:val="0"/>
                <w:color w:val="000000" w:themeColor="text1"/>
                <w:kern w:val="0"/>
                <w:szCs w:val="21"/>
              </w:rPr>
              <w:t>未按规定定期组织开展应急演练。</w:t>
            </w:r>
          </w:p>
        </w:tc>
        <w:tc>
          <w:tcPr>
            <w:tcW w:w="3134" w:type="dxa"/>
            <w:vAlign w:val="center"/>
          </w:tcPr>
          <w:p w14:paraId="28495AB4"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已</w:t>
            </w:r>
            <w:r>
              <w:rPr>
                <w:bCs/>
                <w:snapToGrid w:val="0"/>
                <w:color w:val="000000" w:themeColor="text1"/>
                <w:kern w:val="0"/>
                <w:szCs w:val="21"/>
              </w:rPr>
              <w:t>建立应急救援队伍，并按规定定期组织开展应急演练。</w:t>
            </w:r>
            <w:r>
              <w:rPr>
                <w:b/>
                <w:bCs/>
                <w:color w:val="000000" w:themeColor="text1"/>
                <w:kern w:val="0"/>
                <w:szCs w:val="21"/>
              </w:rPr>
              <w:t>符合要求。</w:t>
            </w:r>
          </w:p>
        </w:tc>
      </w:tr>
      <w:tr w:rsidR="002D2AF8" w14:paraId="4A368F8F" w14:textId="77777777">
        <w:tc>
          <w:tcPr>
            <w:tcW w:w="738" w:type="dxa"/>
            <w:vAlign w:val="center"/>
          </w:tcPr>
          <w:p w14:paraId="501443AD"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14</w:t>
            </w:r>
          </w:p>
        </w:tc>
        <w:tc>
          <w:tcPr>
            <w:tcW w:w="5528" w:type="dxa"/>
            <w:vAlign w:val="center"/>
          </w:tcPr>
          <w:p w14:paraId="34751B4A"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设备检测检验安全风险隐患：</w:t>
            </w:r>
            <w:r>
              <w:rPr>
                <w:bCs/>
                <w:snapToGrid w:val="0"/>
                <w:color w:val="000000" w:themeColor="text1"/>
                <w:kern w:val="0"/>
                <w:szCs w:val="21"/>
              </w:rPr>
              <w:t>涉及人身安全、危险性较大的设备设施未按照相关规定进行检测检验，或者使用检测检验不合格的设备设施。</w:t>
            </w:r>
          </w:p>
        </w:tc>
        <w:tc>
          <w:tcPr>
            <w:tcW w:w="3134" w:type="dxa"/>
            <w:vAlign w:val="center"/>
          </w:tcPr>
          <w:p w14:paraId="0BA4BEC0"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设备设施</w:t>
            </w:r>
            <w:r>
              <w:rPr>
                <w:bCs/>
                <w:snapToGrid w:val="0"/>
                <w:color w:val="000000" w:themeColor="text1"/>
                <w:kern w:val="0"/>
                <w:szCs w:val="21"/>
              </w:rPr>
              <w:t>按照相关规定进行检测检验。</w:t>
            </w:r>
            <w:r>
              <w:rPr>
                <w:b/>
                <w:bCs/>
                <w:color w:val="000000" w:themeColor="text1"/>
                <w:kern w:val="0"/>
                <w:szCs w:val="21"/>
              </w:rPr>
              <w:t>符合要求。</w:t>
            </w:r>
          </w:p>
        </w:tc>
      </w:tr>
      <w:tr w:rsidR="002D2AF8" w14:paraId="3D39E97E" w14:textId="77777777">
        <w:tc>
          <w:tcPr>
            <w:tcW w:w="738" w:type="dxa"/>
            <w:vAlign w:val="center"/>
          </w:tcPr>
          <w:p w14:paraId="2A2E498D"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15</w:t>
            </w:r>
          </w:p>
        </w:tc>
        <w:tc>
          <w:tcPr>
            <w:tcW w:w="5528" w:type="dxa"/>
            <w:vAlign w:val="center"/>
          </w:tcPr>
          <w:p w14:paraId="4CC86F94"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淘汰落后工艺设备安全风险隐患：</w:t>
            </w:r>
            <w:r>
              <w:rPr>
                <w:bCs/>
                <w:snapToGrid w:val="0"/>
                <w:color w:val="000000" w:themeColor="text1"/>
                <w:kern w:val="0"/>
                <w:szCs w:val="21"/>
              </w:rPr>
              <w:t>使用禁止使用的设备及工艺目录列出的工艺、设备。</w:t>
            </w:r>
          </w:p>
        </w:tc>
        <w:tc>
          <w:tcPr>
            <w:tcW w:w="3134" w:type="dxa"/>
            <w:vAlign w:val="center"/>
          </w:tcPr>
          <w:p w14:paraId="406D53F0"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未使用</w:t>
            </w:r>
            <w:r>
              <w:rPr>
                <w:bCs/>
                <w:snapToGrid w:val="0"/>
                <w:color w:val="000000" w:themeColor="text1"/>
                <w:kern w:val="0"/>
                <w:szCs w:val="21"/>
              </w:rPr>
              <w:t>禁止使用的设备及工艺目录列出的工艺、设备。</w:t>
            </w:r>
            <w:r>
              <w:rPr>
                <w:b/>
                <w:bCs/>
                <w:color w:val="000000" w:themeColor="text1"/>
                <w:kern w:val="0"/>
                <w:szCs w:val="21"/>
              </w:rPr>
              <w:t>符合要求。</w:t>
            </w:r>
          </w:p>
        </w:tc>
      </w:tr>
      <w:tr w:rsidR="002D2AF8" w14:paraId="15F247B3" w14:textId="77777777">
        <w:tc>
          <w:tcPr>
            <w:tcW w:w="738" w:type="dxa"/>
            <w:vAlign w:val="center"/>
          </w:tcPr>
          <w:p w14:paraId="71BF4F4D"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16</w:t>
            </w:r>
          </w:p>
        </w:tc>
        <w:tc>
          <w:tcPr>
            <w:tcW w:w="5528" w:type="dxa"/>
            <w:vAlign w:val="center"/>
          </w:tcPr>
          <w:p w14:paraId="53523695"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采空区及周边老窑安全风险隐患：</w:t>
            </w:r>
            <w:r>
              <w:rPr>
                <w:bCs/>
                <w:snapToGrid w:val="0"/>
                <w:color w:val="000000" w:themeColor="text1"/>
                <w:kern w:val="0"/>
                <w:szCs w:val="21"/>
              </w:rPr>
              <w:t>未查明遗留采空区、悬顶采空区、历史上形成的采空区以及周边废弃矿井（井筒）分布、积水等基本情况，或者未采取有效措施进行治理。</w:t>
            </w:r>
          </w:p>
        </w:tc>
        <w:tc>
          <w:tcPr>
            <w:tcW w:w="3134" w:type="dxa"/>
            <w:vAlign w:val="center"/>
          </w:tcPr>
          <w:p w14:paraId="1404C47A"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09C443E5" w14:textId="77777777">
        <w:tc>
          <w:tcPr>
            <w:tcW w:w="738" w:type="dxa"/>
            <w:vAlign w:val="center"/>
          </w:tcPr>
          <w:p w14:paraId="0AB56D88"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17</w:t>
            </w:r>
          </w:p>
        </w:tc>
        <w:tc>
          <w:tcPr>
            <w:tcW w:w="5528" w:type="dxa"/>
            <w:vAlign w:val="center"/>
          </w:tcPr>
          <w:p w14:paraId="6D37A32A"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水文地质安全风险隐患：</w:t>
            </w:r>
            <w:r>
              <w:rPr>
                <w:bCs/>
                <w:snapToGrid w:val="0"/>
                <w:color w:val="000000" w:themeColor="text1"/>
                <w:kern w:val="0"/>
                <w:szCs w:val="21"/>
              </w:rPr>
              <w:t>未查明地下含水体、地下岩</w:t>
            </w:r>
            <w:r>
              <w:rPr>
                <w:bCs/>
                <w:snapToGrid w:val="0"/>
                <w:color w:val="000000" w:themeColor="text1"/>
                <w:kern w:val="0"/>
                <w:szCs w:val="21"/>
              </w:rPr>
              <w:t xml:space="preserve"> </w:t>
            </w:r>
          </w:p>
          <w:p w14:paraId="0A7B7B45" w14:textId="77777777" w:rsidR="002D2AF8" w:rsidRDefault="00000000">
            <w:pPr>
              <w:adjustRightInd w:val="0"/>
              <w:snapToGrid w:val="0"/>
              <w:spacing w:beforeLines="20" w:before="65" w:afterLines="20" w:after="65"/>
              <w:rPr>
                <w:b/>
                <w:snapToGrid w:val="0"/>
                <w:color w:val="000000" w:themeColor="text1"/>
                <w:kern w:val="0"/>
                <w:szCs w:val="21"/>
              </w:rPr>
            </w:pPr>
            <w:r>
              <w:rPr>
                <w:bCs/>
                <w:snapToGrid w:val="0"/>
                <w:color w:val="000000" w:themeColor="text1"/>
                <w:kern w:val="0"/>
                <w:szCs w:val="21"/>
              </w:rPr>
              <w:t>溶、地表水体和地质勘探钻孔、工程施工钻孔、防治水工程有关情况，或者未采取有效措施进行治理。</w:t>
            </w:r>
          </w:p>
        </w:tc>
        <w:tc>
          <w:tcPr>
            <w:tcW w:w="3134" w:type="dxa"/>
            <w:vAlign w:val="center"/>
          </w:tcPr>
          <w:p w14:paraId="3E34C708"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49883E16" w14:textId="77777777">
        <w:tc>
          <w:tcPr>
            <w:tcW w:w="738" w:type="dxa"/>
            <w:vAlign w:val="center"/>
          </w:tcPr>
          <w:p w14:paraId="496D4E54"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18</w:t>
            </w:r>
          </w:p>
        </w:tc>
        <w:tc>
          <w:tcPr>
            <w:tcW w:w="5528" w:type="dxa"/>
            <w:vAlign w:val="center"/>
          </w:tcPr>
          <w:p w14:paraId="0162D7D1"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地压灾害风险隐患：</w:t>
            </w:r>
            <w:r>
              <w:rPr>
                <w:bCs/>
                <w:snapToGrid w:val="0"/>
                <w:color w:val="000000" w:themeColor="text1"/>
                <w:kern w:val="0"/>
                <w:szCs w:val="21"/>
              </w:rPr>
              <w:t>未查明矿区主要地质构造、地压</w:t>
            </w:r>
            <w:r>
              <w:rPr>
                <w:bCs/>
                <w:snapToGrid w:val="0"/>
                <w:color w:val="000000" w:themeColor="text1"/>
                <w:kern w:val="0"/>
                <w:szCs w:val="21"/>
              </w:rPr>
              <w:t xml:space="preserve"> </w:t>
            </w:r>
          </w:p>
          <w:p w14:paraId="47FE2499" w14:textId="77777777" w:rsidR="002D2AF8"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活动区域，或者未采取有效措施进行治理。</w:t>
            </w:r>
          </w:p>
        </w:tc>
        <w:tc>
          <w:tcPr>
            <w:tcW w:w="3134" w:type="dxa"/>
            <w:vAlign w:val="center"/>
          </w:tcPr>
          <w:p w14:paraId="7BCED9D8"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1E161DFA" w14:textId="77777777">
        <w:tc>
          <w:tcPr>
            <w:tcW w:w="738" w:type="dxa"/>
            <w:vAlign w:val="center"/>
          </w:tcPr>
          <w:p w14:paraId="0AC2AD55"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19</w:t>
            </w:r>
          </w:p>
        </w:tc>
        <w:tc>
          <w:tcPr>
            <w:tcW w:w="5528" w:type="dxa"/>
            <w:vAlign w:val="center"/>
          </w:tcPr>
          <w:p w14:paraId="69805976"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火灾安全风险隐患：</w:t>
            </w:r>
            <w:r>
              <w:rPr>
                <w:bCs/>
                <w:snapToGrid w:val="0"/>
                <w:color w:val="000000" w:themeColor="text1"/>
                <w:kern w:val="0"/>
                <w:szCs w:val="21"/>
              </w:rPr>
              <w:t>未查明矿石自燃倾向性以及井下</w:t>
            </w:r>
            <w:r>
              <w:rPr>
                <w:bCs/>
                <w:snapToGrid w:val="0"/>
                <w:color w:val="000000" w:themeColor="text1"/>
                <w:kern w:val="0"/>
                <w:szCs w:val="21"/>
              </w:rPr>
              <w:t xml:space="preserve"> </w:t>
            </w:r>
          </w:p>
          <w:p w14:paraId="7BF4FDEC" w14:textId="77777777" w:rsidR="002D2AF8"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木支护、油料电缆等非阻燃材料分布和使用情况，或者未采取有效措施进行治理。</w:t>
            </w:r>
          </w:p>
        </w:tc>
        <w:tc>
          <w:tcPr>
            <w:tcW w:w="3134" w:type="dxa"/>
            <w:vAlign w:val="center"/>
          </w:tcPr>
          <w:p w14:paraId="00BE42D2"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72AAF941" w14:textId="77777777">
        <w:tc>
          <w:tcPr>
            <w:tcW w:w="738" w:type="dxa"/>
            <w:vAlign w:val="center"/>
          </w:tcPr>
          <w:p w14:paraId="5188AF53"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20</w:t>
            </w:r>
          </w:p>
        </w:tc>
        <w:tc>
          <w:tcPr>
            <w:tcW w:w="5528" w:type="dxa"/>
            <w:vAlign w:val="center"/>
          </w:tcPr>
          <w:p w14:paraId="03BAEEA4"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保安矿柱安全风险隐患：</w:t>
            </w:r>
            <w:r>
              <w:rPr>
                <w:bCs/>
                <w:snapToGrid w:val="0"/>
                <w:color w:val="000000" w:themeColor="text1"/>
                <w:kern w:val="0"/>
                <w:szCs w:val="21"/>
              </w:rPr>
              <w:t>未按规定或设计留设保安矿</w:t>
            </w:r>
            <w:r>
              <w:rPr>
                <w:bCs/>
                <w:snapToGrid w:val="0"/>
                <w:color w:val="000000" w:themeColor="text1"/>
                <w:kern w:val="0"/>
                <w:szCs w:val="21"/>
              </w:rPr>
              <w:t xml:space="preserve"> </w:t>
            </w:r>
          </w:p>
          <w:p w14:paraId="3561BF87" w14:textId="77777777" w:rsidR="002D2AF8"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柱，或者擅自开采保安矿柱。</w:t>
            </w:r>
          </w:p>
        </w:tc>
        <w:tc>
          <w:tcPr>
            <w:tcW w:w="3134" w:type="dxa"/>
            <w:vAlign w:val="center"/>
          </w:tcPr>
          <w:p w14:paraId="01FD6F7E"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4AD57A57" w14:textId="77777777">
        <w:tc>
          <w:tcPr>
            <w:tcW w:w="738" w:type="dxa"/>
            <w:vAlign w:val="center"/>
          </w:tcPr>
          <w:p w14:paraId="24293392"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21</w:t>
            </w:r>
          </w:p>
        </w:tc>
        <w:tc>
          <w:tcPr>
            <w:tcW w:w="5528" w:type="dxa"/>
            <w:vAlign w:val="center"/>
          </w:tcPr>
          <w:p w14:paraId="5BAC234E"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排水系统安全风险隐患：</w:t>
            </w:r>
            <w:r>
              <w:rPr>
                <w:bCs/>
                <w:snapToGrid w:val="0"/>
                <w:color w:val="000000" w:themeColor="text1"/>
                <w:kern w:val="0"/>
                <w:szCs w:val="21"/>
              </w:rPr>
              <w:t>未按照设计和规程要求建</w:t>
            </w:r>
            <w:r>
              <w:rPr>
                <w:bCs/>
                <w:snapToGrid w:val="0"/>
                <w:color w:val="000000" w:themeColor="text1"/>
                <w:kern w:val="0"/>
                <w:szCs w:val="21"/>
              </w:rPr>
              <w:t xml:space="preserve"> </w:t>
            </w:r>
          </w:p>
          <w:p w14:paraId="75D35B2C" w14:textId="77777777" w:rsidR="002D2AF8"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立排水系统，或者排水系统不完好、不可靠。</w:t>
            </w:r>
          </w:p>
        </w:tc>
        <w:tc>
          <w:tcPr>
            <w:tcW w:w="3134" w:type="dxa"/>
            <w:vAlign w:val="center"/>
          </w:tcPr>
          <w:p w14:paraId="485DA025"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75CD7A5C" w14:textId="77777777">
        <w:tc>
          <w:tcPr>
            <w:tcW w:w="738" w:type="dxa"/>
            <w:vAlign w:val="center"/>
          </w:tcPr>
          <w:p w14:paraId="7AC33FB5"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22</w:t>
            </w:r>
          </w:p>
        </w:tc>
        <w:tc>
          <w:tcPr>
            <w:tcW w:w="5528" w:type="dxa"/>
            <w:vAlign w:val="center"/>
          </w:tcPr>
          <w:p w14:paraId="2F6FF65F"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探放水安全风险隐患：</w:t>
            </w:r>
            <w:r>
              <w:rPr>
                <w:bCs/>
                <w:snapToGrid w:val="0"/>
                <w:color w:val="000000" w:themeColor="text1"/>
                <w:kern w:val="0"/>
                <w:szCs w:val="21"/>
              </w:rPr>
              <w:t>未制定并落实探放水制度，</w:t>
            </w:r>
            <w:r>
              <w:rPr>
                <w:bCs/>
                <w:snapToGrid w:val="0"/>
                <w:color w:val="000000" w:themeColor="text1"/>
                <w:kern w:val="0"/>
                <w:szCs w:val="21"/>
              </w:rPr>
              <w:t xml:space="preserve"> </w:t>
            </w:r>
          </w:p>
          <w:p w14:paraId="754B5879" w14:textId="77777777" w:rsidR="002D2AF8"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或者未落实</w:t>
            </w:r>
            <w:r>
              <w:rPr>
                <w:bCs/>
                <w:snapToGrid w:val="0"/>
                <w:color w:val="000000" w:themeColor="text1"/>
                <w:kern w:val="0"/>
                <w:szCs w:val="21"/>
              </w:rPr>
              <w:t>“</w:t>
            </w:r>
            <w:r>
              <w:rPr>
                <w:bCs/>
                <w:snapToGrid w:val="0"/>
                <w:color w:val="000000" w:themeColor="text1"/>
                <w:kern w:val="0"/>
                <w:szCs w:val="21"/>
              </w:rPr>
              <w:t>防、堵、疏、排、截</w:t>
            </w:r>
            <w:r>
              <w:rPr>
                <w:bCs/>
                <w:snapToGrid w:val="0"/>
                <w:color w:val="000000" w:themeColor="text1"/>
                <w:kern w:val="0"/>
                <w:szCs w:val="21"/>
              </w:rPr>
              <w:t>”</w:t>
            </w:r>
            <w:r>
              <w:rPr>
                <w:bCs/>
                <w:snapToGrid w:val="0"/>
                <w:color w:val="000000" w:themeColor="text1"/>
                <w:kern w:val="0"/>
                <w:szCs w:val="21"/>
              </w:rPr>
              <w:t>和</w:t>
            </w:r>
            <w:r>
              <w:rPr>
                <w:bCs/>
                <w:snapToGrid w:val="0"/>
                <w:color w:val="000000" w:themeColor="text1"/>
                <w:kern w:val="0"/>
                <w:szCs w:val="21"/>
              </w:rPr>
              <w:t>“</w:t>
            </w:r>
            <w:r>
              <w:rPr>
                <w:bCs/>
                <w:snapToGrid w:val="0"/>
                <w:color w:val="000000" w:themeColor="text1"/>
                <w:kern w:val="0"/>
                <w:szCs w:val="21"/>
              </w:rPr>
              <w:t>三专两探一撤</w:t>
            </w:r>
            <w:r>
              <w:rPr>
                <w:bCs/>
                <w:snapToGrid w:val="0"/>
                <w:color w:val="000000" w:themeColor="text1"/>
                <w:kern w:val="0"/>
                <w:szCs w:val="21"/>
              </w:rPr>
              <w:t>”</w:t>
            </w:r>
            <w:r>
              <w:rPr>
                <w:bCs/>
                <w:snapToGrid w:val="0"/>
                <w:color w:val="000000" w:themeColor="text1"/>
                <w:kern w:val="0"/>
                <w:szCs w:val="21"/>
              </w:rPr>
              <w:t>等措施。</w:t>
            </w:r>
          </w:p>
        </w:tc>
        <w:tc>
          <w:tcPr>
            <w:tcW w:w="3134" w:type="dxa"/>
            <w:vAlign w:val="center"/>
          </w:tcPr>
          <w:p w14:paraId="668E2279"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2923CE19" w14:textId="77777777">
        <w:tc>
          <w:tcPr>
            <w:tcW w:w="738" w:type="dxa"/>
            <w:vAlign w:val="center"/>
          </w:tcPr>
          <w:p w14:paraId="66DC05AB"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23</w:t>
            </w:r>
          </w:p>
        </w:tc>
        <w:tc>
          <w:tcPr>
            <w:tcW w:w="5528" w:type="dxa"/>
            <w:vAlign w:val="center"/>
          </w:tcPr>
          <w:p w14:paraId="21D260D7"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通风系统安全风险隐患：</w:t>
            </w:r>
            <w:r>
              <w:rPr>
                <w:bCs/>
                <w:snapToGrid w:val="0"/>
                <w:color w:val="000000" w:themeColor="text1"/>
                <w:kern w:val="0"/>
                <w:szCs w:val="21"/>
              </w:rPr>
              <w:t>未按要求建立机械通风系</w:t>
            </w:r>
            <w:r>
              <w:rPr>
                <w:bCs/>
                <w:snapToGrid w:val="0"/>
                <w:color w:val="000000" w:themeColor="text1"/>
                <w:kern w:val="0"/>
                <w:szCs w:val="21"/>
              </w:rPr>
              <w:lastRenderedPageBreak/>
              <w:t>统、安装通风构筑物。未按规定安装主要通风机和局部通风机，或者风速、风量、风质不符合标准。</w:t>
            </w:r>
          </w:p>
        </w:tc>
        <w:tc>
          <w:tcPr>
            <w:tcW w:w="3134" w:type="dxa"/>
            <w:vAlign w:val="center"/>
          </w:tcPr>
          <w:p w14:paraId="1ED9EB47"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lastRenderedPageBreak/>
              <w:t>此项不涉及。</w:t>
            </w:r>
          </w:p>
        </w:tc>
      </w:tr>
      <w:tr w:rsidR="002D2AF8" w14:paraId="33BD675F" w14:textId="77777777">
        <w:tc>
          <w:tcPr>
            <w:tcW w:w="738" w:type="dxa"/>
            <w:vAlign w:val="center"/>
          </w:tcPr>
          <w:p w14:paraId="5DA65D9C"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24</w:t>
            </w:r>
          </w:p>
        </w:tc>
        <w:tc>
          <w:tcPr>
            <w:tcW w:w="5528" w:type="dxa"/>
            <w:vAlign w:val="center"/>
          </w:tcPr>
          <w:p w14:paraId="52622348" w14:textId="77777777" w:rsidR="002D2AF8" w:rsidRDefault="00000000">
            <w:pPr>
              <w:adjustRightInd w:val="0"/>
              <w:snapToGrid w:val="0"/>
              <w:spacing w:beforeLines="20" w:before="65" w:afterLines="20" w:after="65"/>
              <w:rPr>
                <w:b/>
                <w:snapToGrid w:val="0"/>
                <w:color w:val="000000" w:themeColor="text1"/>
                <w:kern w:val="0"/>
                <w:szCs w:val="21"/>
              </w:rPr>
            </w:pPr>
            <w:r>
              <w:rPr>
                <w:b/>
                <w:snapToGrid w:val="0"/>
                <w:color w:val="000000" w:themeColor="text1"/>
                <w:kern w:val="0"/>
                <w:szCs w:val="21"/>
              </w:rPr>
              <w:t>提升系统安全风险隐患：</w:t>
            </w:r>
            <w:r>
              <w:rPr>
                <w:bCs/>
                <w:snapToGrid w:val="0"/>
                <w:color w:val="000000" w:themeColor="text1"/>
                <w:kern w:val="0"/>
                <w:szCs w:val="21"/>
              </w:rPr>
              <w:t>罐笼、安全门、摇台（托台）、阻车器等未与提升机信号实现连锁，提升信号未与提升机控制闭锁。斜井未按规定设置常闭式防跑车装置、阻车器或挡车栏、躲避硐室、轨道防滑装置等设施。</w:t>
            </w:r>
          </w:p>
        </w:tc>
        <w:tc>
          <w:tcPr>
            <w:tcW w:w="3134" w:type="dxa"/>
            <w:vAlign w:val="center"/>
          </w:tcPr>
          <w:p w14:paraId="19F0536E"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6BAD1187" w14:textId="77777777">
        <w:tc>
          <w:tcPr>
            <w:tcW w:w="738" w:type="dxa"/>
            <w:vAlign w:val="center"/>
          </w:tcPr>
          <w:p w14:paraId="04337B23"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25</w:t>
            </w:r>
          </w:p>
        </w:tc>
        <w:tc>
          <w:tcPr>
            <w:tcW w:w="5528" w:type="dxa"/>
            <w:vAlign w:val="center"/>
          </w:tcPr>
          <w:p w14:paraId="4607961A" w14:textId="77777777" w:rsidR="002D2AF8" w:rsidRDefault="00000000">
            <w:pPr>
              <w:adjustRightInd w:val="0"/>
              <w:snapToGrid w:val="0"/>
              <w:spacing w:beforeLines="20" w:before="65" w:afterLines="20" w:after="65"/>
              <w:rPr>
                <w:b/>
                <w:snapToGrid w:val="0"/>
                <w:color w:val="000000" w:themeColor="text1"/>
                <w:kern w:val="0"/>
                <w:szCs w:val="21"/>
              </w:rPr>
            </w:pPr>
            <w:r>
              <w:rPr>
                <w:b/>
                <w:snapToGrid w:val="0"/>
                <w:color w:val="000000" w:themeColor="text1"/>
                <w:kern w:val="0"/>
                <w:szCs w:val="21"/>
              </w:rPr>
              <w:t>露天矿山安全风险隐患：</w:t>
            </w:r>
            <w:r>
              <w:rPr>
                <w:bCs/>
                <w:snapToGrid w:val="0"/>
                <w:color w:val="000000" w:themeColor="text1"/>
                <w:kern w:val="0"/>
                <w:szCs w:val="21"/>
              </w:rPr>
              <w:t>未按规定采用自上而下、分台阶或者分层的方式进行开采。或者工作帮坡角、台阶（分层）高度等开采参数不符合设计或标准要求。</w:t>
            </w:r>
          </w:p>
        </w:tc>
        <w:tc>
          <w:tcPr>
            <w:tcW w:w="3134" w:type="dxa"/>
            <w:vAlign w:val="center"/>
          </w:tcPr>
          <w:p w14:paraId="2C16399D"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7FBE8CE1" w14:textId="77777777">
        <w:tc>
          <w:tcPr>
            <w:tcW w:w="738" w:type="dxa"/>
            <w:vAlign w:val="center"/>
          </w:tcPr>
          <w:p w14:paraId="69864B8C"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26</w:t>
            </w:r>
          </w:p>
        </w:tc>
        <w:tc>
          <w:tcPr>
            <w:tcW w:w="5528" w:type="dxa"/>
            <w:vAlign w:val="center"/>
          </w:tcPr>
          <w:p w14:paraId="600D1C17"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尾矿库安全风险隐患：</w:t>
            </w:r>
            <w:r>
              <w:rPr>
                <w:bCs/>
                <w:snapToGrid w:val="0"/>
                <w:color w:val="000000" w:themeColor="text1"/>
                <w:kern w:val="0"/>
                <w:szCs w:val="21"/>
              </w:rPr>
              <w:t>尾矿库坝高、库容、坡比、</w:t>
            </w:r>
            <w:r>
              <w:rPr>
                <w:bCs/>
                <w:snapToGrid w:val="0"/>
                <w:color w:val="000000" w:themeColor="text1"/>
                <w:kern w:val="0"/>
                <w:szCs w:val="21"/>
              </w:rPr>
              <w:t xml:space="preserve"> </w:t>
            </w:r>
          </w:p>
          <w:p w14:paraId="71FB7D36" w14:textId="77777777" w:rsidR="002D2AF8" w:rsidRDefault="00000000">
            <w:pPr>
              <w:adjustRightInd w:val="0"/>
              <w:snapToGrid w:val="0"/>
              <w:spacing w:beforeLines="20" w:before="65" w:afterLines="20" w:after="65"/>
              <w:rPr>
                <w:b/>
                <w:snapToGrid w:val="0"/>
                <w:color w:val="000000" w:themeColor="text1"/>
                <w:kern w:val="0"/>
                <w:szCs w:val="21"/>
              </w:rPr>
            </w:pPr>
            <w:r>
              <w:rPr>
                <w:bCs/>
                <w:snapToGrid w:val="0"/>
                <w:color w:val="000000" w:themeColor="text1"/>
                <w:kern w:val="0"/>
                <w:szCs w:val="21"/>
              </w:rPr>
              <w:t>安全超高、干滩长度、浸润线埋深以及堆积坝上升速率等参数不符合设计或标准要求，未按规定对坝体稳定性进行评估、对排洪系统进行检查。</w:t>
            </w:r>
          </w:p>
        </w:tc>
        <w:tc>
          <w:tcPr>
            <w:tcW w:w="3134" w:type="dxa"/>
            <w:vAlign w:val="center"/>
          </w:tcPr>
          <w:p w14:paraId="57FF7F2C"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5628FC43" w14:textId="77777777">
        <w:tc>
          <w:tcPr>
            <w:tcW w:w="738" w:type="dxa"/>
            <w:vAlign w:val="center"/>
          </w:tcPr>
          <w:p w14:paraId="4C2F8208"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27</w:t>
            </w:r>
          </w:p>
        </w:tc>
        <w:tc>
          <w:tcPr>
            <w:tcW w:w="5528" w:type="dxa"/>
            <w:vAlign w:val="center"/>
          </w:tcPr>
          <w:p w14:paraId="559C5521"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应急电源安全风险隐患：</w:t>
            </w:r>
            <w:r>
              <w:rPr>
                <w:bCs/>
                <w:snapToGrid w:val="0"/>
                <w:color w:val="000000" w:themeColor="text1"/>
                <w:kern w:val="0"/>
                <w:szCs w:val="21"/>
              </w:rPr>
              <w:t>矿山未按规定配备应急电</w:t>
            </w:r>
            <w:r>
              <w:rPr>
                <w:bCs/>
                <w:snapToGrid w:val="0"/>
                <w:color w:val="000000" w:themeColor="text1"/>
                <w:kern w:val="0"/>
                <w:szCs w:val="21"/>
              </w:rPr>
              <w:t xml:space="preserve"> </w:t>
            </w:r>
          </w:p>
          <w:p w14:paraId="697AC63A" w14:textId="77777777" w:rsidR="002D2AF8" w:rsidRDefault="00000000">
            <w:pPr>
              <w:adjustRightInd w:val="0"/>
              <w:snapToGrid w:val="0"/>
              <w:spacing w:beforeLines="20" w:before="65" w:afterLines="20" w:after="65"/>
              <w:rPr>
                <w:bCs/>
                <w:snapToGrid w:val="0"/>
                <w:color w:val="000000" w:themeColor="text1"/>
                <w:kern w:val="0"/>
                <w:szCs w:val="21"/>
              </w:rPr>
            </w:pPr>
            <w:r>
              <w:rPr>
                <w:bCs/>
                <w:snapToGrid w:val="0"/>
                <w:color w:val="000000" w:themeColor="text1"/>
                <w:kern w:val="0"/>
                <w:szCs w:val="21"/>
              </w:rPr>
              <w:t>源，一级负荷未按规定采用双回路或双电源供电。</w:t>
            </w:r>
          </w:p>
        </w:tc>
        <w:tc>
          <w:tcPr>
            <w:tcW w:w="3134" w:type="dxa"/>
            <w:vAlign w:val="center"/>
          </w:tcPr>
          <w:p w14:paraId="261386D9"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r w:rsidR="002D2AF8" w14:paraId="5BDE5D0D" w14:textId="77777777">
        <w:tc>
          <w:tcPr>
            <w:tcW w:w="738" w:type="dxa"/>
            <w:vAlign w:val="center"/>
          </w:tcPr>
          <w:p w14:paraId="7D62707A" w14:textId="77777777" w:rsidR="002D2AF8" w:rsidRDefault="00000000">
            <w:pPr>
              <w:adjustRightInd w:val="0"/>
              <w:snapToGrid w:val="0"/>
              <w:spacing w:beforeLines="20" w:before="65" w:afterLines="20" w:after="65"/>
              <w:jc w:val="center"/>
              <w:rPr>
                <w:bCs/>
                <w:snapToGrid w:val="0"/>
                <w:color w:val="000000" w:themeColor="text1"/>
                <w:szCs w:val="21"/>
              </w:rPr>
            </w:pPr>
            <w:r>
              <w:rPr>
                <w:bCs/>
                <w:snapToGrid w:val="0"/>
                <w:color w:val="000000" w:themeColor="text1"/>
                <w:szCs w:val="21"/>
              </w:rPr>
              <w:t>28</w:t>
            </w:r>
          </w:p>
        </w:tc>
        <w:tc>
          <w:tcPr>
            <w:tcW w:w="5528" w:type="dxa"/>
            <w:vAlign w:val="center"/>
          </w:tcPr>
          <w:p w14:paraId="4481E5DE" w14:textId="77777777" w:rsidR="002D2AF8" w:rsidRDefault="00000000">
            <w:pPr>
              <w:adjustRightInd w:val="0"/>
              <w:snapToGrid w:val="0"/>
              <w:spacing w:beforeLines="20" w:before="65" w:afterLines="20" w:after="65"/>
              <w:rPr>
                <w:bCs/>
                <w:snapToGrid w:val="0"/>
                <w:color w:val="000000" w:themeColor="text1"/>
                <w:kern w:val="0"/>
                <w:szCs w:val="21"/>
              </w:rPr>
            </w:pPr>
            <w:r>
              <w:rPr>
                <w:b/>
                <w:snapToGrid w:val="0"/>
                <w:color w:val="000000" w:themeColor="text1"/>
                <w:kern w:val="0"/>
                <w:szCs w:val="21"/>
              </w:rPr>
              <w:t>外包工程安全风险隐患：</w:t>
            </w:r>
            <w:r>
              <w:rPr>
                <w:bCs/>
                <w:snapToGrid w:val="0"/>
                <w:color w:val="000000" w:themeColor="text1"/>
                <w:kern w:val="0"/>
                <w:szCs w:val="21"/>
              </w:rPr>
              <w:t>外包工程未实行</w:t>
            </w:r>
            <w:r>
              <w:rPr>
                <w:bCs/>
                <w:snapToGrid w:val="0"/>
                <w:color w:val="000000" w:themeColor="text1"/>
                <w:kern w:val="0"/>
                <w:szCs w:val="21"/>
              </w:rPr>
              <w:t>“</w:t>
            </w:r>
            <w:r>
              <w:rPr>
                <w:bCs/>
                <w:snapToGrid w:val="0"/>
                <w:color w:val="000000" w:themeColor="text1"/>
                <w:kern w:val="0"/>
                <w:szCs w:val="21"/>
              </w:rPr>
              <w:t>五统一</w:t>
            </w:r>
            <w:r>
              <w:rPr>
                <w:bCs/>
                <w:snapToGrid w:val="0"/>
                <w:color w:val="000000" w:themeColor="text1"/>
                <w:kern w:val="0"/>
                <w:szCs w:val="21"/>
              </w:rPr>
              <w:t>”</w:t>
            </w:r>
            <w:r>
              <w:rPr>
                <w:bCs/>
                <w:snapToGrid w:val="0"/>
                <w:color w:val="000000" w:themeColor="text1"/>
                <w:kern w:val="0"/>
                <w:szCs w:val="21"/>
              </w:rPr>
              <w:t>管理，非法分包、转包。项目部未按规定设置管理机构、配备安全管理人员和技术人员。</w:t>
            </w:r>
          </w:p>
        </w:tc>
        <w:tc>
          <w:tcPr>
            <w:tcW w:w="3134" w:type="dxa"/>
            <w:vAlign w:val="center"/>
          </w:tcPr>
          <w:p w14:paraId="465C3EB4" w14:textId="77777777" w:rsidR="002D2AF8" w:rsidRDefault="00000000">
            <w:pPr>
              <w:adjustRightInd w:val="0"/>
              <w:snapToGrid w:val="0"/>
              <w:spacing w:beforeLines="20" w:before="65" w:afterLines="20" w:after="65"/>
              <w:rPr>
                <w:color w:val="000000" w:themeColor="text1"/>
                <w:kern w:val="0"/>
                <w:szCs w:val="21"/>
              </w:rPr>
            </w:pPr>
            <w:r>
              <w:rPr>
                <w:color w:val="000000" w:themeColor="text1"/>
                <w:kern w:val="0"/>
                <w:szCs w:val="21"/>
              </w:rPr>
              <w:t>此项不涉及。</w:t>
            </w:r>
          </w:p>
        </w:tc>
      </w:tr>
    </w:tbl>
    <w:p w14:paraId="7CA49782" w14:textId="77777777" w:rsidR="002D2AF8" w:rsidRDefault="00000000">
      <w:pPr>
        <w:pStyle w:val="affff3"/>
        <w:adjustRightInd w:val="0"/>
        <w:snapToGrid w:val="0"/>
        <w:spacing w:before="162"/>
        <w:ind w:firstLine="566"/>
        <w:jc w:val="both"/>
        <w:rPr>
          <w:color w:val="000000" w:themeColor="text1"/>
        </w:rPr>
      </w:pPr>
      <w:r>
        <w:rPr>
          <w:color w:val="000000" w:themeColor="text1"/>
        </w:rPr>
        <w:t>经分析，该项目不存在《重点行业领域重大安全风险隐患清单》（鲁安发</w:t>
      </w:r>
      <w:r>
        <w:rPr>
          <w:color w:val="000000" w:themeColor="text1"/>
        </w:rPr>
        <w:t>[2022]11</w:t>
      </w:r>
      <w:r>
        <w:rPr>
          <w:color w:val="000000" w:themeColor="text1"/>
        </w:rPr>
        <w:t>号）规定的重大安全风险隐患。</w:t>
      </w:r>
    </w:p>
    <w:p w14:paraId="5155439F" w14:textId="77777777" w:rsidR="002D2AF8" w:rsidRDefault="00000000">
      <w:pPr>
        <w:rPr>
          <w:rFonts w:eastAsia="楷体_GB2312"/>
          <w:b/>
          <w:color w:val="000000" w:themeColor="text1"/>
          <w:sz w:val="36"/>
          <w:szCs w:val="36"/>
        </w:rPr>
      </w:pPr>
      <w:r>
        <w:rPr>
          <w:rFonts w:eastAsia="楷体_GB2312"/>
          <w:b/>
          <w:color w:val="000000" w:themeColor="text1"/>
          <w:sz w:val="36"/>
          <w:szCs w:val="36"/>
        </w:rPr>
        <w:br w:type="page"/>
      </w:r>
    </w:p>
    <w:p w14:paraId="4F100C18" w14:textId="77777777" w:rsidR="002D2AF8" w:rsidRDefault="00000000">
      <w:pPr>
        <w:pStyle w:val="10"/>
        <w:keepNext w:val="0"/>
        <w:adjustRightInd w:val="0"/>
        <w:snapToGrid w:val="0"/>
        <w:spacing w:line="360" w:lineRule="auto"/>
        <w:rPr>
          <w:rFonts w:eastAsia="楷体_GB2312"/>
          <w:b/>
          <w:color w:val="000000" w:themeColor="text1"/>
          <w:sz w:val="36"/>
          <w:szCs w:val="36"/>
        </w:rPr>
      </w:pPr>
      <w:bookmarkStart w:id="128" w:name="_Toc16409"/>
      <w:bookmarkStart w:id="129" w:name="_Toc875"/>
      <w:bookmarkEnd w:id="119"/>
      <w:r>
        <w:rPr>
          <w:rFonts w:eastAsia="楷体_GB2312"/>
          <w:b/>
          <w:color w:val="000000" w:themeColor="text1"/>
          <w:sz w:val="36"/>
          <w:szCs w:val="36"/>
        </w:rPr>
        <w:lastRenderedPageBreak/>
        <w:t xml:space="preserve">9 </w:t>
      </w:r>
      <w:r>
        <w:rPr>
          <w:rFonts w:eastAsia="楷体_GB2312"/>
          <w:b/>
          <w:color w:val="000000" w:themeColor="text1"/>
          <w:sz w:val="36"/>
          <w:szCs w:val="36"/>
        </w:rPr>
        <w:t>安全现状评价结论</w:t>
      </w:r>
      <w:bookmarkEnd w:id="128"/>
      <w:bookmarkEnd w:id="129"/>
    </w:p>
    <w:p w14:paraId="35ACCCAF" w14:textId="77777777" w:rsidR="002D2AF8" w:rsidRDefault="00000000">
      <w:pPr>
        <w:adjustRightInd w:val="0"/>
        <w:snapToGrid w:val="0"/>
        <w:spacing w:line="360" w:lineRule="auto"/>
        <w:ind w:firstLine="573"/>
        <w:rPr>
          <w:color w:val="000000" w:themeColor="text1"/>
          <w:sz w:val="28"/>
          <w:szCs w:val="28"/>
        </w:rPr>
      </w:pPr>
      <w:r>
        <w:rPr>
          <w:color w:val="000000" w:themeColor="text1"/>
          <w:sz w:val="28"/>
          <w:szCs w:val="28"/>
        </w:rPr>
        <w:t>根据</w:t>
      </w:r>
      <w:r>
        <w:rPr>
          <w:rFonts w:hint="eastAsia"/>
          <w:color w:val="000000" w:themeColor="text1"/>
          <w:sz w:val="28"/>
          <w:szCs w:val="28"/>
        </w:rPr>
        <w:t>胜利油田胜兴堵驱新技术开发有限责任公司</w:t>
      </w:r>
      <w:r>
        <w:rPr>
          <w:color w:val="000000" w:themeColor="text1"/>
          <w:sz w:val="28"/>
          <w:szCs w:val="28"/>
        </w:rPr>
        <w:t>提供的有关资料，本次评价在主要危险、有害因素辨识、分析的基础上，依据国家有关法律、法规、技术标准的要求，运用安全检查表等评价方法，对本项目进行了安全现状评价，得出以下评价结论：</w:t>
      </w:r>
    </w:p>
    <w:p w14:paraId="413538DB"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调剖等施工过程中，涉及的主要危险、有害物质有：原油、天然气、硫化氢、化学助剂、</w:t>
      </w:r>
      <w:r>
        <w:rPr>
          <w:rFonts w:hint="eastAsia"/>
          <w:color w:val="000000" w:themeColor="text1"/>
          <w:sz w:val="28"/>
          <w:szCs w:val="28"/>
        </w:rPr>
        <w:t>高压水</w:t>
      </w:r>
      <w:r>
        <w:rPr>
          <w:color w:val="000000" w:themeColor="text1"/>
          <w:sz w:val="28"/>
          <w:szCs w:val="28"/>
        </w:rPr>
        <w:t>等。</w:t>
      </w:r>
    </w:p>
    <w:p w14:paraId="31D2F6E3" w14:textId="77777777" w:rsidR="002D2AF8" w:rsidRDefault="00000000">
      <w:pPr>
        <w:tabs>
          <w:tab w:val="left" w:pos="0"/>
          <w:tab w:val="left" w:pos="1080"/>
        </w:tabs>
        <w:adjustRightInd w:val="0"/>
        <w:snapToGrid w:val="0"/>
        <w:spacing w:line="360" w:lineRule="auto"/>
        <w:ind w:firstLineChars="200" w:firstLine="566"/>
        <w:rPr>
          <w:color w:val="000000" w:themeColor="text1"/>
          <w:sz w:val="28"/>
          <w:szCs w:val="28"/>
        </w:rPr>
      </w:pPr>
      <w:r>
        <w:rPr>
          <w:color w:val="000000" w:themeColor="text1"/>
          <w:sz w:val="28"/>
          <w:szCs w:val="28"/>
        </w:rPr>
        <w:t>主要危险、有害因素有：火灾爆炸、井喷及井喷失控、中毒和窒息、物体打击、机械伤害、触电、车辆伤害、高处坠落、起重伤害等。</w:t>
      </w:r>
    </w:p>
    <w:p w14:paraId="05562754"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主要有害因素有：噪声危害、毒物危害和振动危害。</w:t>
      </w:r>
    </w:p>
    <w:p w14:paraId="552F7238" w14:textId="77777777" w:rsidR="002D2AF8" w:rsidRDefault="00000000">
      <w:pPr>
        <w:adjustRightInd w:val="0"/>
        <w:snapToGrid w:val="0"/>
        <w:spacing w:line="360" w:lineRule="auto"/>
        <w:ind w:firstLineChars="200" w:firstLine="566"/>
        <w:rPr>
          <w:color w:val="000000" w:themeColor="text1"/>
          <w:sz w:val="28"/>
          <w:szCs w:val="28"/>
        </w:rPr>
      </w:pPr>
      <w:r>
        <w:rPr>
          <w:color w:val="000000" w:themeColor="text1"/>
          <w:sz w:val="28"/>
          <w:szCs w:val="28"/>
        </w:rPr>
        <w:t>自然灾害有：雷电袭击、大风、高温、低温、暴雨灾害、地震灾害等。</w:t>
      </w:r>
    </w:p>
    <w:p w14:paraId="183DAABC" w14:textId="77777777" w:rsidR="002D2AF8" w:rsidRDefault="00000000">
      <w:pPr>
        <w:adjustRightInd w:val="0"/>
        <w:snapToGrid w:val="0"/>
        <w:spacing w:line="360" w:lineRule="auto"/>
        <w:ind w:firstLineChars="200" w:firstLine="566"/>
        <w:rPr>
          <w:color w:val="000000" w:themeColor="text1"/>
          <w:sz w:val="28"/>
          <w:szCs w:val="28"/>
        </w:rPr>
      </w:pPr>
      <w:r>
        <w:rPr>
          <w:rFonts w:hint="eastAsia"/>
          <w:color w:val="000000" w:themeColor="text1"/>
          <w:sz w:val="28"/>
          <w:szCs w:val="28"/>
        </w:rPr>
        <w:t>胜利油田胜兴堵驱新技术开发有限责任公司</w:t>
      </w:r>
      <w:r>
        <w:rPr>
          <w:color w:val="000000" w:themeColor="text1"/>
          <w:sz w:val="28"/>
          <w:szCs w:val="28"/>
        </w:rPr>
        <w:t>井下作业项目不构成危险化学品重大危险源。</w:t>
      </w:r>
    </w:p>
    <w:p w14:paraId="10CBA05A" w14:textId="77777777" w:rsidR="002D2AF8" w:rsidRDefault="00000000">
      <w:pPr>
        <w:adjustRightInd w:val="0"/>
        <w:snapToGrid w:val="0"/>
        <w:spacing w:line="360" w:lineRule="auto"/>
        <w:ind w:firstLine="573"/>
        <w:rPr>
          <w:color w:val="000000" w:themeColor="text1"/>
          <w:sz w:val="28"/>
        </w:rPr>
      </w:pPr>
      <w:r>
        <w:rPr>
          <w:rFonts w:hint="eastAsia"/>
          <w:color w:val="000000" w:themeColor="text1"/>
          <w:sz w:val="28"/>
          <w:szCs w:val="28"/>
        </w:rPr>
        <w:t>胜利油田胜兴堵驱新技术开发有限责任公司</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调剖等项目在其营业范围内。其</w:t>
      </w:r>
      <w:r>
        <w:rPr>
          <w:rFonts w:hint="eastAsia"/>
          <w:color w:val="000000" w:themeColor="text1"/>
          <w:sz w:val="28"/>
          <w:szCs w:val="28"/>
        </w:rPr>
        <w:t>法人（董事长）、</w:t>
      </w:r>
      <w:r>
        <w:rPr>
          <w:color w:val="000000" w:themeColor="text1"/>
          <w:sz w:val="28"/>
        </w:rPr>
        <w:t>主要负责人（</w:t>
      </w:r>
      <w:r>
        <w:rPr>
          <w:rFonts w:hint="eastAsia"/>
          <w:color w:val="000000" w:themeColor="text1"/>
          <w:sz w:val="28"/>
        </w:rPr>
        <w:t>总经理</w:t>
      </w:r>
      <w:r>
        <w:rPr>
          <w:color w:val="000000" w:themeColor="text1"/>
          <w:sz w:val="28"/>
        </w:rPr>
        <w:t>）、安全管理人员经培训并考核合格，持有安全合格证。与</w:t>
      </w:r>
      <w:r>
        <w:rPr>
          <w:color w:val="000000" w:themeColor="text1"/>
          <w:sz w:val="28"/>
          <w:szCs w:val="28"/>
        </w:rPr>
        <w:t>井下作业</w:t>
      </w:r>
      <w:r>
        <w:rPr>
          <w:color w:val="000000" w:themeColor="text1"/>
          <w:sz w:val="28"/>
          <w:szCs w:val="28"/>
        </w:rPr>
        <w:t>-</w:t>
      </w:r>
      <w:r>
        <w:rPr>
          <w:color w:val="000000" w:themeColor="text1"/>
          <w:sz w:val="28"/>
          <w:szCs w:val="28"/>
        </w:rPr>
        <w:t>测试、堵水</w:t>
      </w:r>
      <w:r>
        <w:rPr>
          <w:color w:val="000000" w:themeColor="text1"/>
          <w:sz w:val="28"/>
          <w:szCs w:val="28"/>
        </w:rPr>
        <w:t>/</w:t>
      </w:r>
      <w:r>
        <w:rPr>
          <w:color w:val="000000" w:themeColor="text1"/>
          <w:sz w:val="28"/>
          <w:szCs w:val="28"/>
        </w:rPr>
        <w:t>调剖等相关的特种作业人员持证上岗，</w:t>
      </w:r>
      <w:r>
        <w:rPr>
          <w:color w:val="000000" w:themeColor="text1"/>
          <w:sz w:val="28"/>
        </w:rPr>
        <w:t>均在复审有效期内；操作人员均经过</w:t>
      </w:r>
      <w:r>
        <w:rPr>
          <w:color w:val="000000" w:themeColor="text1"/>
          <w:sz w:val="28"/>
        </w:rPr>
        <w:t>HSE</w:t>
      </w:r>
      <w:r>
        <w:rPr>
          <w:color w:val="000000" w:themeColor="text1"/>
          <w:sz w:val="28"/>
        </w:rPr>
        <w:t>、硫化氢防护、井控培训合格后，持证上岗；部分管理人员也根据有关规范要求，分别取得</w:t>
      </w:r>
      <w:r>
        <w:rPr>
          <w:color w:val="000000" w:themeColor="text1"/>
          <w:sz w:val="28"/>
        </w:rPr>
        <w:t>HSE</w:t>
      </w:r>
      <w:r>
        <w:rPr>
          <w:color w:val="000000" w:themeColor="text1"/>
          <w:sz w:val="28"/>
        </w:rPr>
        <w:t>、硫化氢防护、井控等证件。</w:t>
      </w:r>
    </w:p>
    <w:p w14:paraId="6ED35D0E" w14:textId="77777777" w:rsidR="002D2AF8" w:rsidRDefault="00000000">
      <w:pPr>
        <w:adjustRightInd w:val="0"/>
        <w:snapToGrid w:val="0"/>
        <w:spacing w:line="360" w:lineRule="auto"/>
        <w:ind w:firstLine="573"/>
        <w:rPr>
          <w:color w:val="000000" w:themeColor="text1"/>
          <w:sz w:val="28"/>
        </w:rPr>
      </w:pPr>
      <w:r>
        <w:rPr>
          <w:rFonts w:hint="eastAsia"/>
          <w:color w:val="000000" w:themeColor="text1"/>
          <w:sz w:val="28"/>
          <w:szCs w:val="28"/>
        </w:rPr>
        <w:t>胜兴堵驱公司</w:t>
      </w:r>
      <w:r>
        <w:rPr>
          <w:color w:val="000000" w:themeColor="text1"/>
          <w:sz w:val="28"/>
        </w:rPr>
        <w:t>按要求设置安全生产管理机构，并配备专职安全管理人员；建立健全本单位法人</w:t>
      </w:r>
      <w:r>
        <w:rPr>
          <w:rFonts w:hint="eastAsia"/>
          <w:color w:val="000000" w:themeColor="text1"/>
          <w:sz w:val="28"/>
        </w:rPr>
        <w:t>（董事长）、</w:t>
      </w:r>
      <w:r>
        <w:rPr>
          <w:color w:val="000000" w:themeColor="text1"/>
          <w:sz w:val="28"/>
        </w:rPr>
        <w:t>主要负责人（</w:t>
      </w:r>
      <w:r>
        <w:rPr>
          <w:rFonts w:hint="eastAsia"/>
          <w:color w:val="000000" w:themeColor="text1"/>
          <w:sz w:val="28"/>
        </w:rPr>
        <w:t>总经理</w:t>
      </w:r>
      <w:r>
        <w:rPr>
          <w:color w:val="000000" w:themeColor="text1"/>
          <w:sz w:val="28"/>
        </w:rPr>
        <w:t>）、</w:t>
      </w:r>
      <w:r>
        <w:rPr>
          <w:color w:val="000000" w:themeColor="text1"/>
          <w:sz w:val="28"/>
        </w:rPr>
        <w:lastRenderedPageBreak/>
        <w:t>其他负责人、职能部门负责人、生产班组负责人、一般从业人员等全体人员的安全生产责任制；安全管理制度和安全操作规程齐全；制定有应急救援预案并备案，建立了应急救援组织，配备有必要的应急救援器材、设备，制定有应急演练计划，并按照演练计划进行演练、评估。</w:t>
      </w:r>
    </w:p>
    <w:p w14:paraId="3DA5E36A" w14:textId="77777777" w:rsidR="002D2AF8" w:rsidRDefault="00000000">
      <w:pPr>
        <w:adjustRightInd w:val="0"/>
        <w:snapToGrid w:val="0"/>
        <w:spacing w:line="360" w:lineRule="auto"/>
        <w:ind w:firstLine="573"/>
        <w:rPr>
          <w:color w:val="000000" w:themeColor="text1"/>
          <w:sz w:val="28"/>
        </w:rPr>
      </w:pPr>
      <w:r>
        <w:rPr>
          <w:rFonts w:hint="eastAsia"/>
          <w:color w:val="000000" w:themeColor="text1"/>
          <w:sz w:val="28"/>
        </w:rPr>
        <w:t>胜兴堵驱公司</w:t>
      </w:r>
      <w:r>
        <w:rPr>
          <w:color w:val="000000" w:themeColor="text1"/>
          <w:sz w:val="28"/>
        </w:rPr>
        <w:t>依法提取安全生产费用并使用；依法参加工伤保险，为从业人员缴纳工伤保险和安全生产责任险；按规定为从业人员配备符合国家标准要求的劳动防护用品；定期对危险性较大的设备设施、安全设施及附件等进行检测检验。</w:t>
      </w:r>
    </w:p>
    <w:p w14:paraId="201220C4" w14:textId="77777777" w:rsidR="002D2AF8" w:rsidRDefault="00000000">
      <w:pPr>
        <w:adjustRightInd w:val="0"/>
        <w:snapToGrid w:val="0"/>
        <w:spacing w:line="360" w:lineRule="auto"/>
        <w:ind w:firstLine="570"/>
        <w:rPr>
          <w:b/>
          <w:color w:val="000000" w:themeColor="text1"/>
          <w:sz w:val="28"/>
        </w:rPr>
      </w:pPr>
      <w:r>
        <w:rPr>
          <w:b/>
          <w:color w:val="000000" w:themeColor="text1"/>
          <w:sz w:val="28"/>
        </w:rPr>
        <w:t>综上所述，</w:t>
      </w:r>
      <w:r>
        <w:rPr>
          <w:rFonts w:hint="eastAsia"/>
          <w:b/>
          <w:color w:val="000000" w:themeColor="text1"/>
          <w:sz w:val="28"/>
        </w:rPr>
        <w:t>胜利油田胜兴堵驱新技术开发有限责任公司</w:t>
      </w:r>
      <w:r>
        <w:rPr>
          <w:b/>
          <w:bCs/>
          <w:color w:val="000000" w:themeColor="text1"/>
          <w:sz w:val="28"/>
          <w:szCs w:val="28"/>
        </w:rPr>
        <w:t>井下作业</w:t>
      </w:r>
      <w:r>
        <w:rPr>
          <w:b/>
          <w:bCs/>
          <w:color w:val="000000" w:themeColor="text1"/>
          <w:sz w:val="28"/>
          <w:szCs w:val="28"/>
        </w:rPr>
        <w:t>-</w:t>
      </w:r>
      <w:r>
        <w:rPr>
          <w:b/>
          <w:bCs/>
          <w:color w:val="000000" w:themeColor="text1"/>
          <w:sz w:val="28"/>
          <w:szCs w:val="28"/>
        </w:rPr>
        <w:t>测试、堵水</w:t>
      </w:r>
      <w:r>
        <w:rPr>
          <w:b/>
          <w:bCs/>
          <w:color w:val="000000" w:themeColor="text1"/>
          <w:sz w:val="28"/>
          <w:szCs w:val="28"/>
        </w:rPr>
        <w:t>/</w:t>
      </w:r>
      <w:r>
        <w:rPr>
          <w:b/>
          <w:bCs/>
          <w:color w:val="000000" w:themeColor="text1"/>
          <w:sz w:val="28"/>
          <w:szCs w:val="28"/>
        </w:rPr>
        <w:t>调剖</w:t>
      </w:r>
      <w:r>
        <w:rPr>
          <w:b/>
          <w:bCs/>
          <w:color w:val="000000" w:themeColor="text1"/>
          <w:sz w:val="28"/>
        </w:rPr>
        <w:t>项目具备法律法规、标准规范规定的安全生产条件。</w:t>
      </w:r>
    </w:p>
    <w:p w14:paraId="727FCF13" w14:textId="77777777" w:rsidR="002D2AF8" w:rsidRDefault="00000000">
      <w:pPr>
        <w:adjustRightInd w:val="0"/>
        <w:snapToGrid w:val="0"/>
        <w:spacing w:line="360" w:lineRule="auto"/>
        <w:ind w:firstLine="573"/>
      </w:pPr>
      <w:r>
        <w:rPr>
          <w:rFonts w:hint="eastAsia"/>
          <w:color w:val="000000" w:themeColor="text1"/>
          <w:sz w:val="28"/>
          <w:szCs w:val="28"/>
        </w:rPr>
        <w:t>胜利油田胜兴堵驱新技术开发有限责任公司</w:t>
      </w:r>
      <w:r>
        <w:rPr>
          <w:color w:val="000000" w:themeColor="text1"/>
          <w:sz w:val="28"/>
          <w:szCs w:val="28"/>
        </w:rPr>
        <w:t>还应落实本次安全评价所提出的安全建议措施，在以后的生产运行过程中，应严格执行各项安全管理制度，落实安全生产责任制，严格遵守各项安全操作规程，持续保持安全生产条件，从组织、管理、制度、人员等各个层面确保安全生产。</w:t>
      </w:r>
    </w:p>
    <w:sectPr w:rsidR="002D2AF8">
      <w:footerReference w:type="default" r:id="rId39"/>
      <w:pgSz w:w="11906" w:h="16838"/>
      <w:pgMar w:top="1440" w:right="1803" w:bottom="1440" w:left="1803" w:header="850" w:footer="992" w:gutter="0"/>
      <w:cols w:space="0"/>
      <w:docGrid w:type="linesAndChars" w:linePitch="325" w:charSpace="57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7F7ADA" w14:textId="77777777" w:rsidR="00510BC9" w:rsidRDefault="00510BC9">
      <w:r>
        <w:separator/>
      </w:r>
    </w:p>
  </w:endnote>
  <w:endnote w:type="continuationSeparator" w:id="0">
    <w:p w14:paraId="283AA521" w14:textId="77777777" w:rsidR="00510BC9" w:rsidRDefault="00510B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default"/>
    <w:sig w:usb0="E1002EFF" w:usb1="C000605B" w:usb2="00000029" w:usb3="00000000" w:csb0="200101FF" w:csb1="2028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swiss"/>
    <w:pitch w:val="default"/>
    <w:sig w:usb0="00000000" w:usb1="00000000" w:usb2="0000003F" w:usb3="00000000" w:csb0="003F01FF" w:csb1="00000000"/>
  </w:font>
  <w:font w:name="Tms Rmn">
    <w:panose1 w:val="02020603040505020304"/>
    <w:charset w:val="00"/>
    <w:family w:val="roman"/>
    <w:pitch w:val="default"/>
    <w:sig w:usb0="00000000" w:usb1="00000000" w:usb2="00000000" w:usb3="00000000" w:csb0="00000001" w:csb1="00000000"/>
  </w:font>
  <w:font w:name="Garamond">
    <w:panose1 w:val="02020404030301010803"/>
    <w:charset w:val="00"/>
    <w:family w:val="roman"/>
    <w:pitch w:val="default"/>
    <w:sig w:usb0="00000287" w:usb1="00000000" w:usb2="00000000" w:usb3="00000000" w:csb0="0000009F" w:csb1="DFD70000"/>
  </w:font>
  <w:font w:name="仿宋_GB2312">
    <w:altName w:val="仿宋"/>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C81722" w14:textId="77777777" w:rsidR="002D2AF8" w:rsidRDefault="00000000">
    <w:pPr>
      <w:pStyle w:val="af4"/>
      <w:framePr w:wrap="around" w:vAnchor="text" w:hAnchor="margin" w:xAlign="right" w:y="1"/>
      <w:ind w:firstLine="560"/>
      <w:rPr>
        <w:rStyle w:val="aff"/>
      </w:rPr>
    </w:pPr>
    <w:r>
      <w:rPr>
        <w:rStyle w:val="aff"/>
      </w:rPr>
      <w:fldChar w:fldCharType="begin"/>
    </w:r>
    <w:r>
      <w:rPr>
        <w:rStyle w:val="aff"/>
      </w:rPr>
      <w:instrText xml:space="preserve">PAGE  </w:instrText>
    </w:r>
    <w:r>
      <w:rPr>
        <w:rStyle w:val="aff"/>
      </w:rPr>
      <w:fldChar w:fldCharType="separate"/>
    </w:r>
    <w:r>
      <w:rPr>
        <w:rStyle w:val="aff"/>
      </w:rPr>
      <w:t>2</w:t>
    </w:r>
    <w:r>
      <w:rPr>
        <w:rStyle w:val="aff"/>
      </w:rPr>
      <w:fldChar w:fldCharType="end"/>
    </w:r>
  </w:p>
  <w:p w14:paraId="1F2C36CA" w14:textId="77777777" w:rsidR="002D2AF8" w:rsidRDefault="002D2AF8">
    <w:pPr>
      <w:pStyle w:val="af4"/>
      <w:ind w:right="360" w:firstLine="44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83F1C" w14:textId="77777777" w:rsidR="002D2AF8" w:rsidRDefault="002D2AF8">
    <w:pPr>
      <w:pStyle w:val="af4"/>
      <w:ind w:firstLine="44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AF9455" w14:textId="77777777" w:rsidR="002D2AF8" w:rsidRDefault="002D2AF8">
    <w:pPr>
      <w:pStyle w:val="af4"/>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A71244" w14:textId="77777777" w:rsidR="002D2AF8" w:rsidRDefault="002D2AF8">
    <w:pPr>
      <w:pStyle w:val="af4"/>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A45293" w14:textId="77777777" w:rsidR="002D2AF8" w:rsidRDefault="002D2AF8">
    <w:pPr>
      <w:pStyle w:val="af4"/>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AD6DCE1" w14:textId="77777777" w:rsidR="002D2AF8" w:rsidRDefault="00000000">
    <w:pPr>
      <w:pStyle w:val="af4"/>
      <w:jc w:val="center"/>
      <w:rPr>
        <w:sz w:val="24"/>
        <w:szCs w:val="24"/>
      </w:rPr>
    </w:pPr>
    <w:r>
      <w:rPr>
        <w:sz w:val="24"/>
        <w:szCs w:val="24"/>
      </w:rPr>
      <w:pict w14:anchorId="2B0D1BD1">
        <v:shapetype id="_x0000_t202" coordsize="21600,21600" o:spt="202" path="m,l,21600r21600,l21600,xe">
          <v:stroke joinstyle="miter"/>
          <v:path gradientshapeok="t" o:connecttype="rect"/>
        </v:shapetype>
        <v:shape id="_x0000_s1032" type="#_x0000_t202" style="position:absolute;left:0;text-align:left;margin-left:0;margin-top:0;width:2in;height:2in;z-index:251662336;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filled="f" stroked="f" strokeweight=".5pt">
          <v:textbox style="mso-fit-shape-to-text:t" inset="0,0,0,0">
            <w:txbxContent>
              <w:p w14:paraId="667E3134" w14:textId="77777777" w:rsidR="002D2AF8" w:rsidRDefault="00000000">
                <w:pPr>
                  <w:pStyle w:val="af4"/>
                  <w:jc w:val="center"/>
                </w:pPr>
                <w:r>
                  <w:fldChar w:fldCharType="begin"/>
                </w:r>
                <w:r>
                  <w:instrText>PAGE   \* MERGEFORMAT</w:instrText>
                </w:r>
                <w:r>
                  <w:fldChar w:fldCharType="separate"/>
                </w:r>
                <w:r>
                  <w:rPr>
                    <w:lang w:val="zh-CN"/>
                  </w:rPr>
                  <w:t>1</w:t>
                </w:r>
                <w:r>
                  <w:rPr>
                    <w:lang w:val="zh-CN"/>
                  </w:rPr>
                  <w:fldChar w:fldCharType="end"/>
                </w:r>
              </w:p>
            </w:txbxContent>
          </v:textbox>
          <w10:wrap anchorx="margin"/>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2DD75D" w14:textId="77777777" w:rsidR="002D2AF8" w:rsidRDefault="00000000">
    <w:pPr>
      <w:pStyle w:val="af4"/>
      <w:jc w:val="center"/>
    </w:pPr>
    <w:r>
      <w:pict w14:anchorId="30F0F4C6">
        <v:shapetype id="_x0000_t202" coordsize="21600,21600" o:spt="202" path="m,l,21600r21600,l21600,xe">
          <v:stroke joinstyle="miter"/>
          <v:path gradientshapeok="t" o:connecttype="rect"/>
        </v:shapetype>
        <v:shape id="_x0000_s1030" type="#_x0000_t202" style="position:absolute;left:0;text-align:left;margin-left:0;margin-top:0;width:2in;height:2in;z-index:251659264;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TTZk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lNNmTICAABjBAAADgAAAAAAAAABACAAAAAfAQAAZHJzL2Uyb0RvYy54bWxQSwUG&#10;AAAAAAYABgBZAQAAwwUAAAAA&#10;" filled="f" stroked="f" strokeweight=".5pt">
          <v:textbox style="mso-fit-shape-to-text:t" inset="0,0,0,0">
            <w:txbxContent>
              <w:p w14:paraId="39DF23F1" w14:textId="77777777" w:rsidR="002D2AF8" w:rsidRDefault="00000000">
                <w:pPr>
                  <w:pStyle w:val="af4"/>
                  <w:jc w:val="center"/>
                </w:pPr>
                <w:r>
                  <w:fldChar w:fldCharType="begin"/>
                </w:r>
                <w:r>
                  <w:instrText>PAGE   \* MERGEFORMAT</w:instrText>
                </w:r>
                <w:r>
                  <w:fldChar w:fldCharType="separate"/>
                </w:r>
                <w:r>
                  <w:rPr>
                    <w:lang w:val="zh-CN"/>
                  </w:rPr>
                  <w:t>184</w:t>
                </w:r>
                <w:r>
                  <w:rPr>
                    <w:lang w:val="zh-CN"/>
                  </w:rPr>
                  <w:fldChar w:fldCharType="end"/>
                </w:r>
              </w:p>
            </w:txbxContent>
          </v:textbox>
          <w10:wrap anchorx="margin"/>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4AA41" w14:textId="77777777" w:rsidR="002D2AF8" w:rsidRDefault="00000000">
    <w:pPr>
      <w:pStyle w:val="af4"/>
      <w:jc w:val="center"/>
    </w:pPr>
    <w:r>
      <w:pict w14:anchorId="26EB0D39">
        <v:shapetype id="_x0000_t202" coordsize="21600,21600" o:spt="202" path="m,l,21600r21600,l21600,xe">
          <v:stroke joinstyle="miter"/>
          <v:path gradientshapeok="t" o:connecttype="rect"/>
        </v:shapetype>
        <v:shape id="_x0000_s1029" type="#_x0000_t202" style="position:absolute;left:0;text-align:left;margin-left:0;margin-top:0;width:51.3pt;height:23.65pt;z-index:251661312;mso-position-horizontal:center;mso-position-horizontal-relative:margin;mso-width-relative:page;mso-height-relative:page" o:gfxdata="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AAAAABk&#10;cnMvUEsBAhQAFAAAAAgAh07iQMFBdrXTAAAABAEAAA8AAAAAAAAAAQAgAAAAIgAAAGRycy9kb3du&#10;cmV2LnhtbFBLAQIUABQAAAAIAIdO4kAPiThCPQIAAHEEAAAOAAAAAAAAAAEAIAAAACIBAABkcnMv&#10;ZTJvRG9jLnhtbFBLBQYAAAAABgAGAFkBAADRBQAAAAA=&#10;" filled="f" stroked="f" strokeweight=".5pt">
          <v:textbox inset="0,0,0,0">
            <w:txbxContent>
              <w:p w14:paraId="0C3131A4" w14:textId="77777777" w:rsidR="002D2AF8" w:rsidRDefault="00000000">
                <w:pPr>
                  <w:pStyle w:val="af4"/>
                  <w:jc w:val="center"/>
                </w:pPr>
                <w:r>
                  <w:fldChar w:fldCharType="begin"/>
                </w:r>
                <w:r>
                  <w:instrText>PAGE   \* MERGEFORMAT</w:instrText>
                </w:r>
                <w:r>
                  <w:fldChar w:fldCharType="separate"/>
                </w:r>
                <w:r>
                  <w:rPr>
                    <w:lang w:val="zh-CN"/>
                  </w:rPr>
                  <w:t>25</w:t>
                </w:r>
                <w:r>
                  <w:rPr>
                    <w:lang w:val="zh-CN"/>
                  </w:rPr>
                  <w:t>0</w:t>
                </w:r>
                <w:r>
                  <w:rPr>
                    <w:lang w:val="zh-CN"/>
                  </w:rPr>
                  <w:fldChar w:fldCharType="end"/>
                </w:r>
              </w:p>
            </w:txbxContent>
          </v:textbox>
          <w10:wrap anchorx="margin"/>
        </v:shape>
      </w:pic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6F66AC" w14:textId="77777777" w:rsidR="002D2AF8" w:rsidRDefault="00000000">
    <w:pPr>
      <w:pStyle w:val="af4"/>
      <w:jc w:val="center"/>
    </w:pPr>
    <w:r>
      <w:pict w14:anchorId="22670D83">
        <v:shapetype id="_x0000_t202" coordsize="21600,21600" o:spt="202" path="m,l,21600r21600,l21600,xe">
          <v:stroke joinstyle="miter"/>
          <v:path gradientshapeok="t" o:connecttype="rect"/>
        </v:shapetype>
        <v:shape id="_x0000_s1027" type="#_x0000_t202" style="position:absolute;left:0;text-align:left;margin-left:0;margin-top:0;width:2in;height:2in;z-index:251660288;mso-wrap-style:none;mso-position-horizontal:center;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R3mOY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1HeY5jICAABjBAAADgAAAAAAAAABACAAAAAfAQAAZHJzL2Uyb0RvYy54bWxQSwUG&#10;AAAAAAYABgBZAQAAwwUAAAAA&#10;" filled="f" stroked="f" strokeweight=".5pt">
          <v:textbox style="mso-fit-shape-to-text:t" inset="0,0,0,0">
            <w:txbxContent>
              <w:p w14:paraId="71694058" w14:textId="77777777" w:rsidR="002D2AF8" w:rsidRDefault="00000000">
                <w:pPr>
                  <w:pStyle w:val="af4"/>
                  <w:jc w:val="center"/>
                </w:pPr>
                <w:r>
                  <w:fldChar w:fldCharType="begin"/>
                </w:r>
                <w:r>
                  <w:instrText>PAGE   \* MERGEFORMAT</w:instrText>
                </w:r>
                <w:r>
                  <w:fldChar w:fldCharType="separate"/>
                </w:r>
                <w:r>
                  <w:rPr>
                    <w:lang w:val="zh-CN"/>
                  </w:rPr>
                  <w:t>361</w:t>
                </w:r>
                <w:r>
                  <w:rPr>
                    <w:lang w:val="zh-CN"/>
                  </w:rPr>
                  <w:fldChar w:fldCharType="end"/>
                </w:r>
              </w:p>
            </w:txbxContent>
          </v:textbox>
          <w10:wrap anchorx="margin"/>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018B545" w14:textId="77777777" w:rsidR="00510BC9" w:rsidRDefault="00510BC9">
      <w:r>
        <w:separator/>
      </w:r>
    </w:p>
  </w:footnote>
  <w:footnote w:type="continuationSeparator" w:id="0">
    <w:p w14:paraId="11D9CAE7" w14:textId="77777777" w:rsidR="00510BC9" w:rsidRDefault="00510B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459EAF" w14:textId="77777777" w:rsidR="002D2AF8" w:rsidRDefault="002D2AF8">
    <w:pPr>
      <w:pStyle w:val="af6"/>
      <w:ind w:firstLine="44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4EBA80A" w14:textId="77777777" w:rsidR="002D2AF8" w:rsidRDefault="002D2AF8">
    <w:pPr>
      <w:pStyle w:val="af6"/>
      <w:ind w:firstLine="44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00384" w14:textId="77777777" w:rsidR="002D2AF8" w:rsidRDefault="00000000">
    <w:pPr>
      <w:pStyle w:val="af6"/>
    </w:pPr>
    <w:r>
      <w:rPr>
        <w:rFonts w:hint="eastAsia"/>
      </w:rPr>
      <w:t>胜利油田胜兴堵驱新技术开发有限责任公司井下作业项目</w:t>
    </w:r>
    <w:r>
      <w:rPr>
        <w:rFonts w:hint="eastAsia"/>
      </w:rPr>
      <w:t xml:space="preserve"> </w:t>
    </w:r>
    <w:r>
      <w:rPr>
        <w:rFonts w:hint="eastAsia"/>
      </w:rPr>
      <w:t>安全现状评价</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8E5407" w14:textId="77777777" w:rsidR="002D2AF8" w:rsidRDefault="00000000">
    <w:pPr>
      <w:pStyle w:val="af6"/>
    </w:pPr>
    <w:r>
      <w:rPr>
        <w:rFonts w:hint="eastAsia"/>
        <w:sz w:val="21"/>
        <w:szCs w:val="21"/>
      </w:rPr>
      <w:t>胜利油田胜兴堵驱新技术开发有限责任公司井下作业项目安全现状评价报告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BD01AA71"/>
    <w:multiLevelType w:val="multilevel"/>
    <w:tmpl w:val="BD01AA71"/>
    <w:lvl w:ilvl="0">
      <w:start w:val="1"/>
      <w:numFmt w:val="decimal"/>
      <w:lvlText w:val="%1"/>
      <w:lvlJc w:val="left"/>
      <w:pPr>
        <w:tabs>
          <w:tab w:val="left" w:pos="0"/>
        </w:tabs>
        <w:ind w:left="0" w:firstLine="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 w15:restartNumberingAfterBreak="0">
    <w:nsid w:val="EA21B047"/>
    <w:multiLevelType w:val="multilevel"/>
    <w:tmpl w:val="EA21B047"/>
    <w:lvl w:ilvl="0">
      <w:start w:val="1"/>
      <w:numFmt w:val="decimal"/>
      <w:lvlText w:val="(%1)"/>
      <w:lvlJc w:val="left"/>
      <w:pPr>
        <w:tabs>
          <w:tab w:val="left" w:pos="312"/>
        </w:tabs>
      </w:pPr>
    </w:lvl>
    <w:lvl w:ilvl="1">
      <w:start w:val="1"/>
      <w:numFmt w:val="decimal"/>
      <w:lvlText w:val=""/>
      <w:lvlJc w:val="left"/>
    </w:lvl>
    <w:lvl w:ilvl="2">
      <w:start w:val="1"/>
      <w:numFmt w:val="decimal"/>
      <w:lvlText w:val=""/>
      <w:lvlJc w:val="left"/>
    </w:lvl>
    <w:lvl w:ilvl="3">
      <w:start w:val="1"/>
      <w:numFmt w:val="decimal"/>
      <w:lvlText w:val=""/>
      <w:lvlJc w:val="left"/>
    </w:lvl>
    <w:lvl w:ilvl="4">
      <w:start w:val="1"/>
      <w:numFmt w:val="decimal"/>
      <w:lvlText w:val=""/>
      <w:lvlJc w:val="left"/>
    </w:lvl>
    <w:lvl w:ilvl="5">
      <w:start w:val="1"/>
      <w:numFmt w:val="decimal"/>
      <w:lvlText w:val=""/>
      <w:lvlJc w:val="left"/>
    </w:lvl>
    <w:lvl w:ilvl="6">
      <w:start w:val="1"/>
      <w:numFmt w:val="decimal"/>
      <w:lvlText w:val=""/>
      <w:lvlJc w:val="left"/>
    </w:lvl>
    <w:lvl w:ilvl="7">
      <w:start w:val="1"/>
      <w:numFmt w:val="decimal"/>
      <w:lvlText w:val=""/>
      <w:lvlJc w:val="left"/>
    </w:lvl>
    <w:lvl w:ilvl="8">
      <w:start w:val="1"/>
      <w:numFmt w:val="decimal"/>
      <w:lvlText w:val=""/>
      <w:lvlJc w:val="left"/>
    </w:lvl>
  </w:abstractNum>
  <w:abstractNum w:abstractNumId="2" w15:restartNumberingAfterBreak="0">
    <w:nsid w:val="ECB1AAC6"/>
    <w:multiLevelType w:val="singleLevel"/>
    <w:tmpl w:val="ECB1AAC6"/>
    <w:lvl w:ilvl="0">
      <w:start w:val="1"/>
      <w:numFmt w:val="lowerLetter"/>
      <w:lvlText w:val="%1)"/>
      <w:lvlJc w:val="left"/>
      <w:pPr>
        <w:tabs>
          <w:tab w:val="left" w:pos="312"/>
        </w:tabs>
      </w:pPr>
    </w:lvl>
  </w:abstractNum>
  <w:abstractNum w:abstractNumId="3" w15:restartNumberingAfterBreak="0">
    <w:nsid w:val="F5B70CB4"/>
    <w:multiLevelType w:val="singleLevel"/>
    <w:tmpl w:val="F5B70CB4"/>
    <w:lvl w:ilvl="0">
      <w:start w:val="1"/>
      <w:numFmt w:val="decimal"/>
      <w:suff w:val="space"/>
      <w:lvlText w:val="%1."/>
      <w:lvlJc w:val="left"/>
    </w:lvl>
  </w:abstractNum>
  <w:abstractNum w:abstractNumId="4" w15:restartNumberingAfterBreak="0">
    <w:nsid w:val="081B2C76"/>
    <w:multiLevelType w:val="multilevel"/>
    <w:tmpl w:val="081B2C76"/>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 w15:restartNumberingAfterBreak="0">
    <w:nsid w:val="157F6B35"/>
    <w:multiLevelType w:val="multilevel"/>
    <w:tmpl w:val="157F6B35"/>
    <w:lvl w:ilvl="0">
      <w:start w:val="1"/>
      <w:numFmt w:val="decimal"/>
      <w:lvlText w:val="%1"/>
      <w:lvlJc w:val="left"/>
      <w:pPr>
        <w:tabs>
          <w:tab w:val="left" w:pos="0"/>
        </w:tabs>
        <w:ind w:left="0" w:firstLine="0"/>
      </w:pPr>
      <w:rPr>
        <w:rFonts w:ascii="宋体" w:eastAsia="宋体" w:hAnsi="宋体" w:hint="eastAsia"/>
      </w:rPr>
    </w:lvl>
    <w:lvl w:ilvl="1">
      <w:start w:val="1"/>
      <w:numFmt w:val="lowerLetter"/>
      <w:lvlText w:val="%2)"/>
      <w:lvlJc w:val="left"/>
      <w:pPr>
        <w:tabs>
          <w:tab w:val="left" w:pos="840"/>
        </w:tabs>
        <w:ind w:left="840" w:hanging="420"/>
      </w:pPr>
      <w:rPr>
        <w:rFonts w:ascii="Times New Roman" w:hAnsi="Times New Roman" w:cs="Times New Roman" w:hint="default"/>
      </w:rPr>
    </w:lvl>
    <w:lvl w:ilvl="2">
      <w:start w:val="1"/>
      <w:numFmt w:val="lowerRoman"/>
      <w:lvlText w:val="%3."/>
      <w:lvlJc w:val="right"/>
      <w:pPr>
        <w:tabs>
          <w:tab w:val="left" w:pos="1260"/>
        </w:tabs>
        <w:ind w:left="1260" w:hanging="420"/>
      </w:pPr>
      <w:rPr>
        <w:rFonts w:ascii="Times New Roman" w:hAnsi="Times New Roman" w:cs="Times New Roman" w:hint="default"/>
      </w:rPr>
    </w:lvl>
    <w:lvl w:ilvl="3">
      <w:start w:val="1"/>
      <w:numFmt w:val="decimal"/>
      <w:lvlText w:val="%4."/>
      <w:lvlJc w:val="left"/>
      <w:pPr>
        <w:tabs>
          <w:tab w:val="left" w:pos="1680"/>
        </w:tabs>
        <w:ind w:left="1680" w:hanging="420"/>
      </w:pPr>
      <w:rPr>
        <w:rFonts w:ascii="Times New Roman" w:hAnsi="Times New Roman" w:cs="Times New Roman" w:hint="default"/>
      </w:rPr>
    </w:lvl>
    <w:lvl w:ilvl="4">
      <w:start w:val="1"/>
      <w:numFmt w:val="lowerLetter"/>
      <w:lvlText w:val="%5)"/>
      <w:lvlJc w:val="left"/>
      <w:pPr>
        <w:tabs>
          <w:tab w:val="left" w:pos="2100"/>
        </w:tabs>
        <w:ind w:left="2100" w:hanging="420"/>
      </w:pPr>
      <w:rPr>
        <w:rFonts w:ascii="Times New Roman" w:hAnsi="Times New Roman" w:cs="Times New Roman" w:hint="default"/>
      </w:rPr>
    </w:lvl>
    <w:lvl w:ilvl="5">
      <w:start w:val="1"/>
      <w:numFmt w:val="lowerRoman"/>
      <w:lvlText w:val="%6."/>
      <w:lvlJc w:val="right"/>
      <w:pPr>
        <w:tabs>
          <w:tab w:val="left" w:pos="2520"/>
        </w:tabs>
        <w:ind w:left="2520" w:hanging="420"/>
      </w:pPr>
      <w:rPr>
        <w:rFonts w:ascii="Times New Roman" w:hAnsi="Times New Roman" w:cs="Times New Roman" w:hint="default"/>
      </w:rPr>
    </w:lvl>
    <w:lvl w:ilvl="6">
      <w:start w:val="1"/>
      <w:numFmt w:val="decimal"/>
      <w:lvlText w:val="%7."/>
      <w:lvlJc w:val="left"/>
      <w:pPr>
        <w:tabs>
          <w:tab w:val="left" w:pos="2940"/>
        </w:tabs>
        <w:ind w:left="2940" w:hanging="420"/>
      </w:pPr>
      <w:rPr>
        <w:rFonts w:ascii="Times New Roman" w:hAnsi="Times New Roman" w:cs="Times New Roman" w:hint="default"/>
      </w:rPr>
    </w:lvl>
    <w:lvl w:ilvl="7">
      <w:start w:val="1"/>
      <w:numFmt w:val="lowerLetter"/>
      <w:lvlText w:val="%8)"/>
      <w:lvlJc w:val="left"/>
      <w:pPr>
        <w:tabs>
          <w:tab w:val="left" w:pos="3360"/>
        </w:tabs>
        <w:ind w:left="3360" w:hanging="420"/>
      </w:pPr>
      <w:rPr>
        <w:rFonts w:ascii="Times New Roman" w:hAnsi="Times New Roman" w:cs="Times New Roman" w:hint="default"/>
      </w:rPr>
    </w:lvl>
    <w:lvl w:ilvl="8">
      <w:start w:val="1"/>
      <w:numFmt w:val="lowerRoman"/>
      <w:lvlText w:val="%9."/>
      <w:lvlJc w:val="right"/>
      <w:pPr>
        <w:tabs>
          <w:tab w:val="left" w:pos="3780"/>
        </w:tabs>
        <w:ind w:left="3780" w:hanging="420"/>
      </w:pPr>
      <w:rPr>
        <w:rFonts w:ascii="Times New Roman" w:hAnsi="Times New Roman" w:cs="Times New Roman" w:hint="default"/>
      </w:rPr>
    </w:lvl>
  </w:abstractNum>
  <w:abstractNum w:abstractNumId="6" w15:restartNumberingAfterBreak="0">
    <w:nsid w:val="185C2D08"/>
    <w:multiLevelType w:val="multilevel"/>
    <w:tmpl w:val="185C2D08"/>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7" w15:restartNumberingAfterBreak="0">
    <w:nsid w:val="1A322263"/>
    <w:multiLevelType w:val="multilevel"/>
    <w:tmpl w:val="1A322263"/>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8" w15:restartNumberingAfterBreak="0">
    <w:nsid w:val="1D6138BB"/>
    <w:multiLevelType w:val="multilevel"/>
    <w:tmpl w:val="1D6138BB"/>
    <w:lvl w:ilvl="0">
      <w:start w:val="1"/>
      <w:numFmt w:val="decimal"/>
      <w:lvlText w:val="%1"/>
      <w:lvlJc w:val="center"/>
      <w:pPr>
        <w:tabs>
          <w:tab w:val="left" w:pos="0"/>
        </w:tabs>
        <w:ind w:left="0" w:firstLine="0"/>
      </w:pPr>
      <w:rPr>
        <w:rFonts w:ascii="宋体" w:eastAsia="宋体" w:hAnsi="宋体" w:cs="Times New Roman" w:hint="eastAsia"/>
      </w:rPr>
    </w:lvl>
    <w:lvl w:ilvl="1">
      <w:start w:val="1"/>
      <w:numFmt w:val="decimal"/>
      <w:lvlText w:val="%1.%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2356"/>
        </w:tabs>
        <w:ind w:left="1984" w:hanging="708"/>
      </w:pPr>
      <w:rPr>
        <w:rFonts w:hint="eastAsia"/>
      </w:rPr>
    </w:lvl>
    <w:lvl w:ilvl="4">
      <w:start w:val="1"/>
      <w:numFmt w:val="decimal"/>
      <w:lvlText w:val="%1.%2.%3.%4.%5"/>
      <w:lvlJc w:val="left"/>
      <w:pPr>
        <w:tabs>
          <w:tab w:val="left" w:pos="2781"/>
        </w:tabs>
        <w:ind w:left="2551" w:hanging="850"/>
      </w:pPr>
      <w:rPr>
        <w:rFonts w:hint="eastAsia"/>
      </w:rPr>
    </w:lvl>
    <w:lvl w:ilvl="5">
      <w:start w:val="1"/>
      <w:numFmt w:val="decimal"/>
      <w:lvlText w:val="%1.%2.%3.%4.%5.%6"/>
      <w:lvlJc w:val="left"/>
      <w:pPr>
        <w:tabs>
          <w:tab w:val="left" w:pos="3566"/>
        </w:tabs>
        <w:ind w:left="3260" w:hanging="1134"/>
      </w:pPr>
      <w:rPr>
        <w:rFonts w:hint="eastAsia"/>
      </w:rPr>
    </w:lvl>
    <w:lvl w:ilvl="6">
      <w:start w:val="1"/>
      <w:numFmt w:val="decimal"/>
      <w:lvlText w:val="%1.%2.%3.%4.%5.%6.%7"/>
      <w:lvlJc w:val="left"/>
      <w:pPr>
        <w:tabs>
          <w:tab w:val="left" w:pos="3991"/>
        </w:tabs>
        <w:ind w:left="3827" w:hanging="1276"/>
      </w:pPr>
      <w:rPr>
        <w:rFonts w:hint="eastAsia"/>
      </w:rPr>
    </w:lvl>
    <w:lvl w:ilvl="7">
      <w:start w:val="1"/>
      <w:numFmt w:val="decimal"/>
      <w:lvlText w:val="%1.%2.%3.%4.%5.%6.%7.%8"/>
      <w:lvlJc w:val="left"/>
      <w:pPr>
        <w:tabs>
          <w:tab w:val="left" w:pos="4776"/>
        </w:tabs>
        <w:ind w:left="4394" w:hanging="1418"/>
      </w:pPr>
      <w:rPr>
        <w:rFonts w:hint="eastAsia"/>
      </w:rPr>
    </w:lvl>
    <w:lvl w:ilvl="8">
      <w:start w:val="1"/>
      <w:numFmt w:val="decimal"/>
      <w:lvlText w:val="%1.%2.%3.%4.%5.%6.%7.%8.%9"/>
      <w:lvlJc w:val="left"/>
      <w:pPr>
        <w:tabs>
          <w:tab w:val="left" w:pos="5562"/>
        </w:tabs>
        <w:ind w:left="5102" w:hanging="1700"/>
      </w:pPr>
      <w:rPr>
        <w:rFonts w:hint="eastAsia"/>
      </w:rPr>
    </w:lvl>
  </w:abstractNum>
  <w:abstractNum w:abstractNumId="9" w15:restartNumberingAfterBreak="0">
    <w:nsid w:val="282C49B3"/>
    <w:multiLevelType w:val="multilevel"/>
    <w:tmpl w:val="282C49B3"/>
    <w:lvl w:ilvl="0">
      <w:start w:val="1"/>
      <w:numFmt w:val="decimalEnclosedCircle"/>
      <w:pStyle w:val="1"/>
      <w:lvlText w:val="%1"/>
      <w:lvlJc w:val="left"/>
      <w:pPr>
        <w:tabs>
          <w:tab w:val="left" w:pos="821"/>
        </w:tabs>
        <w:ind w:left="821" w:hanging="360"/>
      </w:pPr>
      <w:rPr>
        <w:rFonts w:hint="eastAsia"/>
      </w:rPr>
    </w:lvl>
    <w:lvl w:ilvl="1">
      <w:start w:val="1"/>
      <w:numFmt w:val="lowerLetter"/>
      <w:lvlText w:val="%2)"/>
      <w:lvlJc w:val="left"/>
      <w:pPr>
        <w:tabs>
          <w:tab w:val="left" w:pos="1301"/>
        </w:tabs>
        <w:ind w:left="1301" w:hanging="420"/>
      </w:pPr>
    </w:lvl>
    <w:lvl w:ilvl="2">
      <w:start w:val="1"/>
      <w:numFmt w:val="lowerRoman"/>
      <w:lvlText w:val="%3."/>
      <w:lvlJc w:val="right"/>
      <w:pPr>
        <w:tabs>
          <w:tab w:val="left" w:pos="1721"/>
        </w:tabs>
        <w:ind w:left="1721" w:hanging="420"/>
      </w:pPr>
    </w:lvl>
    <w:lvl w:ilvl="3">
      <w:start w:val="1"/>
      <w:numFmt w:val="decimal"/>
      <w:lvlText w:val="%4."/>
      <w:lvlJc w:val="left"/>
      <w:pPr>
        <w:tabs>
          <w:tab w:val="left" w:pos="2141"/>
        </w:tabs>
        <w:ind w:left="2141" w:hanging="420"/>
      </w:pPr>
    </w:lvl>
    <w:lvl w:ilvl="4">
      <w:start w:val="1"/>
      <w:numFmt w:val="lowerLetter"/>
      <w:lvlText w:val="%5)"/>
      <w:lvlJc w:val="left"/>
      <w:pPr>
        <w:tabs>
          <w:tab w:val="left" w:pos="2561"/>
        </w:tabs>
        <w:ind w:left="2561" w:hanging="420"/>
      </w:pPr>
    </w:lvl>
    <w:lvl w:ilvl="5">
      <w:start w:val="1"/>
      <w:numFmt w:val="lowerRoman"/>
      <w:lvlText w:val="%6."/>
      <w:lvlJc w:val="right"/>
      <w:pPr>
        <w:tabs>
          <w:tab w:val="left" w:pos="2981"/>
        </w:tabs>
        <w:ind w:left="2981" w:hanging="420"/>
      </w:pPr>
    </w:lvl>
    <w:lvl w:ilvl="6">
      <w:start w:val="1"/>
      <w:numFmt w:val="decimal"/>
      <w:lvlText w:val="%7."/>
      <w:lvlJc w:val="left"/>
      <w:pPr>
        <w:tabs>
          <w:tab w:val="left" w:pos="3401"/>
        </w:tabs>
        <w:ind w:left="3401" w:hanging="420"/>
      </w:pPr>
    </w:lvl>
    <w:lvl w:ilvl="7">
      <w:start w:val="1"/>
      <w:numFmt w:val="lowerLetter"/>
      <w:lvlText w:val="%8)"/>
      <w:lvlJc w:val="left"/>
      <w:pPr>
        <w:tabs>
          <w:tab w:val="left" w:pos="3821"/>
        </w:tabs>
        <w:ind w:left="3821" w:hanging="420"/>
      </w:pPr>
    </w:lvl>
    <w:lvl w:ilvl="8">
      <w:start w:val="1"/>
      <w:numFmt w:val="lowerRoman"/>
      <w:lvlText w:val="%9."/>
      <w:lvlJc w:val="right"/>
      <w:pPr>
        <w:tabs>
          <w:tab w:val="left" w:pos="4241"/>
        </w:tabs>
        <w:ind w:left="4241" w:hanging="420"/>
      </w:pPr>
    </w:lvl>
  </w:abstractNum>
  <w:abstractNum w:abstractNumId="10" w15:restartNumberingAfterBreak="0">
    <w:nsid w:val="3CAE20DE"/>
    <w:multiLevelType w:val="multilevel"/>
    <w:tmpl w:val="3CAE20DE"/>
    <w:lvl w:ilvl="0">
      <w:start w:val="1"/>
      <w:numFmt w:val="decimal"/>
      <w:suff w:val="nothing"/>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1" w15:restartNumberingAfterBreak="0">
    <w:nsid w:val="4106B7CD"/>
    <w:multiLevelType w:val="singleLevel"/>
    <w:tmpl w:val="4106B7CD"/>
    <w:lvl w:ilvl="0">
      <w:start w:val="1"/>
      <w:numFmt w:val="decimal"/>
      <w:lvlText w:val="%1."/>
      <w:lvlJc w:val="left"/>
      <w:pPr>
        <w:tabs>
          <w:tab w:val="left" w:pos="312"/>
        </w:tabs>
      </w:pPr>
    </w:lvl>
  </w:abstractNum>
  <w:abstractNum w:abstractNumId="12" w15:restartNumberingAfterBreak="0">
    <w:nsid w:val="4AC8E19C"/>
    <w:multiLevelType w:val="singleLevel"/>
    <w:tmpl w:val="4AC8E19C"/>
    <w:lvl w:ilvl="0">
      <w:start w:val="12"/>
      <w:numFmt w:val="upperLetter"/>
      <w:suff w:val="nothing"/>
      <w:lvlText w:val="%1、"/>
      <w:lvlJc w:val="left"/>
    </w:lvl>
  </w:abstractNum>
  <w:abstractNum w:abstractNumId="13" w15:restartNumberingAfterBreak="0">
    <w:nsid w:val="578F4838"/>
    <w:multiLevelType w:val="multilevel"/>
    <w:tmpl w:val="578F4838"/>
    <w:lvl w:ilvl="0">
      <w:start w:val="1"/>
      <w:numFmt w:val="decimal"/>
      <w:suff w:val="nothing"/>
      <w:lvlText w:val="%1."/>
      <w:lvlJc w:val="left"/>
      <w:pPr>
        <w:ind w:left="737" w:hanging="177"/>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rPr>
        <w:rFonts w:hint="eastAsia"/>
      </w:rPr>
    </w:lvl>
    <w:lvl w:ilvl="3">
      <w:start w:val="1"/>
      <w:numFmt w:val="decimal"/>
      <w:lvlText w:val="%4."/>
      <w:lvlJc w:val="left"/>
      <w:pPr>
        <w:ind w:left="2240" w:hanging="420"/>
      </w:pPr>
      <w:rPr>
        <w:rFonts w:hint="eastAsia"/>
      </w:rPr>
    </w:lvl>
    <w:lvl w:ilvl="4">
      <w:start w:val="1"/>
      <w:numFmt w:val="lowerLetter"/>
      <w:lvlText w:val="%5)"/>
      <w:lvlJc w:val="left"/>
      <w:pPr>
        <w:ind w:left="2660" w:hanging="420"/>
      </w:pPr>
      <w:rPr>
        <w:rFonts w:hint="eastAsia"/>
      </w:rPr>
    </w:lvl>
    <w:lvl w:ilvl="5">
      <w:start w:val="1"/>
      <w:numFmt w:val="lowerRoman"/>
      <w:lvlText w:val="%6."/>
      <w:lvlJc w:val="right"/>
      <w:pPr>
        <w:ind w:left="3080" w:hanging="420"/>
      </w:pPr>
      <w:rPr>
        <w:rFonts w:hint="eastAsia"/>
      </w:rPr>
    </w:lvl>
    <w:lvl w:ilvl="6">
      <w:start w:val="1"/>
      <w:numFmt w:val="decimal"/>
      <w:lvlText w:val="%7."/>
      <w:lvlJc w:val="left"/>
      <w:pPr>
        <w:ind w:left="3500" w:hanging="420"/>
      </w:pPr>
      <w:rPr>
        <w:rFonts w:hint="eastAsia"/>
      </w:rPr>
    </w:lvl>
    <w:lvl w:ilvl="7">
      <w:start w:val="1"/>
      <w:numFmt w:val="lowerLetter"/>
      <w:lvlText w:val="%8)"/>
      <w:lvlJc w:val="left"/>
      <w:pPr>
        <w:ind w:left="3920" w:hanging="420"/>
      </w:pPr>
      <w:rPr>
        <w:rFonts w:hint="eastAsia"/>
      </w:rPr>
    </w:lvl>
    <w:lvl w:ilvl="8">
      <w:start w:val="1"/>
      <w:numFmt w:val="lowerRoman"/>
      <w:lvlText w:val="%9."/>
      <w:lvlJc w:val="right"/>
      <w:pPr>
        <w:ind w:left="4340" w:hanging="420"/>
      </w:pPr>
      <w:rPr>
        <w:rFonts w:hint="eastAsia"/>
      </w:rPr>
    </w:lvl>
  </w:abstractNum>
  <w:abstractNum w:abstractNumId="14" w15:restartNumberingAfterBreak="0">
    <w:nsid w:val="59BB18A3"/>
    <w:multiLevelType w:val="multilevel"/>
    <w:tmpl w:val="59BB18A3"/>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5" w15:restartNumberingAfterBreak="0">
    <w:nsid w:val="59F9B4C1"/>
    <w:multiLevelType w:val="singleLevel"/>
    <w:tmpl w:val="59F9B4C1"/>
    <w:lvl w:ilvl="0">
      <w:start w:val="1"/>
      <w:numFmt w:val="lowerLetter"/>
      <w:lvlText w:val="%1)"/>
      <w:lvlJc w:val="left"/>
      <w:pPr>
        <w:tabs>
          <w:tab w:val="left" w:pos="312"/>
        </w:tabs>
      </w:pPr>
    </w:lvl>
  </w:abstractNum>
  <w:abstractNum w:abstractNumId="16" w15:restartNumberingAfterBreak="0">
    <w:nsid w:val="67D11B0D"/>
    <w:multiLevelType w:val="multilevel"/>
    <w:tmpl w:val="67D11B0D"/>
    <w:lvl w:ilvl="0">
      <w:start w:val="1"/>
      <w:numFmt w:val="decimalEnclosedCircle"/>
      <w:pStyle w:val="Achievement"/>
      <w:lvlText w:val="%1"/>
      <w:lvlJc w:val="left"/>
      <w:pPr>
        <w:tabs>
          <w:tab w:val="left" w:pos="821"/>
        </w:tabs>
        <w:ind w:left="821" w:hanging="360"/>
      </w:pPr>
      <w:rPr>
        <w:rFonts w:hint="eastAsia"/>
      </w:rPr>
    </w:lvl>
    <w:lvl w:ilvl="1">
      <w:start w:val="1"/>
      <w:numFmt w:val="lowerLetter"/>
      <w:lvlText w:val="%2)"/>
      <w:lvlJc w:val="left"/>
      <w:pPr>
        <w:tabs>
          <w:tab w:val="left" w:pos="1301"/>
        </w:tabs>
        <w:ind w:left="1301" w:hanging="420"/>
      </w:pPr>
    </w:lvl>
    <w:lvl w:ilvl="2">
      <w:start w:val="1"/>
      <w:numFmt w:val="lowerRoman"/>
      <w:lvlText w:val="%3."/>
      <w:lvlJc w:val="right"/>
      <w:pPr>
        <w:tabs>
          <w:tab w:val="left" w:pos="1721"/>
        </w:tabs>
        <w:ind w:left="1721" w:hanging="420"/>
      </w:pPr>
    </w:lvl>
    <w:lvl w:ilvl="3">
      <w:start w:val="1"/>
      <w:numFmt w:val="decimal"/>
      <w:lvlText w:val="%4."/>
      <w:lvlJc w:val="left"/>
      <w:pPr>
        <w:tabs>
          <w:tab w:val="left" w:pos="2141"/>
        </w:tabs>
        <w:ind w:left="2141" w:hanging="420"/>
      </w:pPr>
    </w:lvl>
    <w:lvl w:ilvl="4">
      <w:start w:val="1"/>
      <w:numFmt w:val="lowerLetter"/>
      <w:lvlText w:val="%5)"/>
      <w:lvlJc w:val="left"/>
      <w:pPr>
        <w:tabs>
          <w:tab w:val="left" w:pos="2561"/>
        </w:tabs>
        <w:ind w:left="2561" w:hanging="420"/>
      </w:pPr>
    </w:lvl>
    <w:lvl w:ilvl="5">
      <w:start w:val="1"/>
      <w:numFmt w:val="lowerRoman"/>
      <w:lvlText w:val="%6."/>
      <w:lvlJc w:val="right"/>
      <w:pPr>
        <w:tabs>
          <w:tab w:val="left" w:pos="2981"/>
        </w:tabs>
        <w:ind w:left="2981" w:hanging="420"/>
      </w:pPr>
    </w:lvl>
    <w:lvl w:ilvl="6">
      <w:start w:val="1"/>
      <w:numFmt w:val="decimal"/>
      <w:lvlText w:val="%7."/>
      <w:lvlJc w:val="left"/>
      <w:pPr>
        <w:tabs>
          <w:tab w:val="left" w:pos="3401"/>
        </w:tabs>
        <w:ind w:left="3401" w:hanging="420"/>
      </w:pPr>
    </w:lvl>
    <w:lvl w:ilvl="7">
      <w:start w:val="1"/>
      <w:numFmt w:val="lowerLetter"/>
      <w:lvlText w:val="%8)"/>
      <w:lvlJc w:val="left"/>
      <w:pPr>
        <w:tabs>
          <w:tab w:val="left" w:pos="3821"/>
        </w:tabs>
        <w:ind w:left="3821" w:hanging="420"/>
      </w:pPr>
    </w:lvl>
    <w:lvl w:ilvl="8">
      <w:start w:val="1"/>
      <w:numFmt w:val="lowerRoman"/>
      <w:lvlText w:val="%9."/>
      <w:lvlJc w:val="right"/>
      <w:pPr>
        <w:tabs>
          <w:tab w:val="left" w:pos="4241"/>
        </w:tabs>
        <w:ind w:left="4241" w:hanging="420"/>
      </w:pPr>
    </w:lvl>
  </w:abstractNum>
  <w:abstractNum w:abstractNumId="17" w15:restartNumberingAfterBreak="0">
    <w:nsid w:val="70DF7B76"/>
    <w:multiLevelType w:val="multilevel"/>
    <w:tmpl w:val="70DF7B76"/>
    <w:lvl w:ilvl="0">
      <w:start w:val="1"/>
      <w:numFmt w:val="decimal"/>
      <w:lvlText w:val="%1."/>
      <w:lvlJc w:val="left"/>
      <w:pPr>
        <w:ind w:left="980" w:hanging="420"/>
      </w:pPr>
      <w:rPr>
        <w:rFonts w:hint="default"/>
      </w:rPr>
    </w:lvl>
    <w:lvl w:ilvl="1">
      <w:start w:val="1"/>
      <w:numFmt w:val="decimal"/>
      <w:lvlText w:val="%2、"/>
      <w:lvlJc w:val="left"/>
      <w:pPr>
        <w:ind w:left="1700" w:hanging="720"/>
      </w:pPr>
      <w:rPr>
        <w:rFonts w:hint="default"/>
      </w:r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num w:numId="1" w16cid:durableId="1698383167">
    <w:abstractNumId w:val="16"/>
  </w:num>
  <w:num w:numId="2" w16cid:durableId="805050316">
    <w:abstractNumId w:val="9"/>
  </w:num>
  <w:num w:numId="3" w16cid:durableId="950287851">
    <w:abstractNumId w:val="17"/>
  </w:num>
  <w:num w:numId="4" w16cid:durableId="1546023954">
    <w:abstractNumId w:val="4"/>
  </w:num>
  <w:num w:numId="5" w16cid:durableId="2068524440">
    <w:abstractNumId w:val="14"/>
  </w:num>
  <w:num w:numId="6" w16cid:durableId="653988469">
    <w:abstractNumId w:val="10"/>
  </w:num>
  <w:num w:numId="7" w16cid:durableId="678120829">
    <w:abstractNumId w:val="7"/>
  </w:num>
  <w:num w:numId="8" w16cid:durableId="63914816">
    <w:abstractNumId w:val="13"/>
  </w:num>
  <w:num w:numId="9" w16cid:durableId="674841745">
    <w:abstractNumId w:val="6"/>
  </w:num>
  <w:num w:numId="10" w16cid:durableId="1118256270">
    <w:abstractNumId w:val="3"/>
  </w:num>
  <w:num w:numId="11" w16cid:durableId="1217742542">
    <w:abstractNumId w:val="11"/>
  </w:num>
  <w:num w:numId="12" w16cid:durableId="292180979">
    <w:abstractNumId w:val="12"/>
  </w:num>
  <w:num w:numId="13" w16cid:durableId="1253471195">
    <w:abstractNumId w:val="0"/>
  </w:num>
  <w:num w:numId="14" w16cid:durableId="1070687434">
    <w:abstractNumId w:val="2"/>
  </w:num>
  <w:num w:numId="15" w16cid:durableId="1233350671">
    <w:abstractNumId w:val="1"/>
  </w:num>
  <w:num w:numId="16" w16cid:durableId="368148103">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332536477">
    <w:abstractNumId w:val="15"/>
  </w:num>
  <w:num w:numId="18" w16cid:durableId="12370876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hideSpellingErrors/>
  <w:proofState w:spelling="clean"/>
  <w:defaultTabStop w:val="420"/>
  <w:drawingGridHorizontalSpacing w:val="106"/>
  <w:drawingGridVerticalSpacing w:val="162"/>
  <w:displayHorizontalDrawingGridEvery w:val="2"/>
  <w:displayVerticalDrawingGridEvery w:val="2"/>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ODE5NTc4YzVmY2UyMDliZDY0OTYwM2FiYTc4Mjg1MjIifQ=="/>
  </w:docVars>
  <w:rsids>
    <w:rsidRoot w:val="00172A27"/>
    <w:rsid w:val="000001C0"/>
    <w:rsid w:val="000002D0"/>
    <w:rsid w:val="0000032A"/>
    <w:rsid w:val="00000390"/>
    <w:rsid w:val="00000392"/>
    <w:rsid w:val="000009B1"/>
    <w:rsid w:val="000020F1"/>
    <w:rsid w:val="00002A96"/>
    <w:rsid w:val="00002EEC"/>
    <w:rsid w:val="00002F23"/>
    <w:rsid w:val="000037D9"/>
    <w:rsid w:val="00003D5F"/>
    <w:rsid w:val="0000405A"/>
    <w:rsid w:val="00004824"/>
    <w:rsid w:val="000054D6"/>
    <w:rsid w:val="000062A3"/>
    <w:rsid w:val="000063CE"/>
    <w:rsid w:val="000066D6"/>
    <w:rsid w:val="00007350"/>
    <w:rsid w:val="000074D3"/>
    <w:rsid w:val="00007ABF"/>
    <w:rsid w:val="00007CA4"/>
    <w:rsid w:val="000100A1"/>
    <w:rsid w:val="00010B3E"/>
    <w:rsid w:val="000112B5"/>
    <w:rsid w:val="00012536"/>
    <w:rsid w:val="00012884"/>
    <w:rsid w:val="0001370A"/>
    <w:rsid w:val="000137DB"/>
    <w:rsid w:val="00013B73"/>
    <w:rsid w:val="00013BCD"/>
    <w:rsid w:val="00013BD3"/>
    <w:rsid w:val="00013F67"/>
    <w:rsid w:val="000140AE"/>
    <w:rsid w:val="00014187"/>
    <w:rsid w:val="000143AE"/>
    <w:rsid w:val="000148D7"/>
    <w:rsid w:val="00014CA5"/>
    <w:rsid w:val="00014CFD"/>
    <w:rsid w:val="00015470"/>
    <w:rsid w:val="0001599A"/>
    <w:rsid w:val="00015CF6"/>
    <w:rsid w:val="00015D27"/>
    <w:rsid w:val="000168E4"/>
    <w:rsid w:val="00016EF4"/>
    <w:rsid w:val="0001746A"/>
    <w:rsid w:val="00017541"/>
    <w:rsid w:val="000179A3"/>
    <w:rsid w:val="00020823"/>
    <w:rsid w:val="0002113E"/>
    <w:rsid w:val="00021E38"/>
    <w:rsid w:val="00022397"/>
    <w:rsid w:val="000225B1"/>
    <w:rsid w:val="00022A70"/>
    <w:rsid w:val="00022E0E"/>
    <w:rsid w:val="00022EFA"/>
    <w:rsid w:val="000235A0"/>
    <w:rsid w:val="0002387A"/>
    <w:rsid w:val="00023D3F"/>
    <w:rsid w:val="00023DBA"/>
    <w:rsid w:val="000244BD"/>
    <w:rsid w:val="000244D3"/>
    <w:rsid w:val="0002476B"/>
    <w:rsid w:val="00024D25"/>
    <w:rsid w:val="000250FA"/>
    <w:rsid w:val="00025306"/>
    <w:rsid w:val="00025D85"/>
    <w:rsid w:val="0002684A"/>
    <w:rsid w:val="000271D6"/>
    <w:rsid w:val="000274F0"/>
    <w:rsid w:val="0002770A"/>
    <w:rsid w:val="000277A2"/>
    <w:rsid w:val="00027B52"/>
    <w:rsid w:val="00027D64"/>
    <w:rsid w:val="00030344"/>
    <w:rsid w:val="0003194A"/>
    <w:rsid w:val="00031EA4"/>
    <w:rsid w:val="00031F73"/>
    <w:rsid w:val="000325D7"/>
    <w:rsid w:val="000325FB"/>
    <w:rsid w:val="00032743"/>
    <w:rsid w:val="00032FF0"/>
    <w:rsid w:val="00032FFD"/>
    <w:rsid w:val="000332E2"/>
    <w:rsid w:val="000341A1"/>
    <w:rsid w:val="00034AE4"/>
    <w:rsid w:val="00034CF3"/>
    <w:rsid w:val="00034FDE"/>
    <w:rsid w:val="000353D1"/>
    <w:rsid w:val="00035A7A"/>
    <w:rsid w:val="000363E5"/>
    <w:rsid w:val="0003654F"/>
    <w:rsid w:val="0003674E"/>
    <w:rsid w:val="000367FD"/>
    <w:rsid w:val="00036D80"/>
    <w:rsid w:val="00036E06"/>
    <w:rsid w:val="00037351"/>
    <w:rsid w:val="000374AF"/>
    <w:rsid w:val="00037D13"/>
    <w:rsid w:val="0004030D"/>
    <w:rsid w:val="00040750"/>
    <w:rsid w:val="00040DD0"/>
    <w:rsid w:val="00040E01"/>
    <w:rsid w:val="000413E4"/>
    <w:rsid w:val="00042249"/>
    <w:rsid w:val="00042510"/>
    <w:rsid w:val="00044127"/>
    <w:rsid w:val="00044687"/>
    <w:rsid w:val="00044C5B"/>
    <w:rsid w:val="00044D35"/>
    <w:rsid w:val="00044EF9"/>
    <w:rsid w:val="000455DB"/>
    <w:rsid w:val="00045653"/>
    <w:rsid w:val="000457AC"/>
    <w:rsid w:val="00046CAE"/>
    <w:rsid w:val="00046F86"/>
    <w:rsid w:val="0004785F"/>
    <w:rsid w:val="00047F10"/>
    <w:rsid w:val="0005009A"/>
    <w:rsid w:val="00050263"/>
    <w:rsid w:val="00050D31"/>
    <w:rsid w:val="00051226"/>
    <w:rsid w:val="00051235"/>
    <w:rsid w:val="00051AFE"/>
    <w:rsid w:val="00051C37"/>
    <w:rsid w:val="00052080"/>
    <w:rsid w:val="00052373"/>
    <w:rsid w:val="00052725"/>
    <w:rsid w:val="00052A96"/>
    <w:rsid w:val="000536C0"/>
    <w:rsid w:val="00053B8A"/>
    <w:rsid w:val="00053FE3"/>
    <w:rsid w:val="000540B6"/>
    <w:rsid w:val="000541FC"/>
    <w:rsid w:val="00054A9E"/>
    <w:rsid w:val="00054B46"/>
    <w:rsid w:val="00054F36"/>
    <w:rsid w:val="00055640"/>
    <w:rsid w:val="0005704D"/>
    <w:rsid w:val="00061178"/>
    <w:rsid w:val="00061463"/>
    <w:rsid w:val="00061529"/>
    <w:rsid w:val="000620EA"/>
    <w:rsid w:val="000621DC"/>
    <w:rsid w:val="00062406"/>
    <w:rsid w:val="00062478"/>
    <w:rsid w:val="000627DB"/>
    <w:rsid w:val="00062C17"/>
    <w:rsid w:val="00063029"/>
    <w:rsid w:val="00063B7D"/>
    <w:rsid w:val="00063CDC"/>
    <w:rsid w:val="00064655"/>
    <w:rsid w:val="00064759"/>
    <w:rsid w:val="00064797"/>
    <w:rsid w:val="0006530F"/>
    <w:rsid w:val="000654B0"/>
    <w:rsid w:val="00065736"/>
    <w:rsid w:val="00065F70"/>
    <w:rsid w:val="00066305"/>
    <w:rsid w:val="00066331"/>
    <w:rsid w:val="00067116"/>
    <w:rsid w:val="000671CC"/>
    <w:rsid w:val="000675D8"/>
    <w:rsid w:val="000675D9"/>
    <w:rsid w:val="0006770D"/>
    <w:rsid w:val="0007052B"/>
    <w:rsid w:val="00070C74"/>
    <w:rsid w:val="00070CBF"/>
    <w:rsid w:val="00070ED0"/>
    <w:rsid w:val="00070F7A"/>
    <w:rsid w:val="00070FD9"/>
    <w:rsid w:val="000710B9"/>
    <w:rsid w:val="000711BD"/>
    <w:rsid w:val="00071741"/>
    <w:rsid w:val="000717FD"/>
    <w:rsid w:val="000726D3"/>
    <w:rsid w:val="00072B52"/>
    <w:rsid w:val="00072E37"/>
    <w:rsid w:val="00073076"/>
    <w:rsid w:val="00073195"/>
    <w:rsid w:val="00073931"/>
    <w:rsid w:val="00073D90"/>
    <w:rsid w:val="00074046"/>
    <w:rsid w:val="0007496B"/>
    <w:rsid w:val="00074983"/>
    <w:rsid w:val="00074DA4"/>
    <w:rsid w:val="00074E58"/>
    <w:rsid w:val="00075272"/>
    <w:rsid w:val="00075801"/>
    <w:rsid w:val="00075A2F"/>
    <w:rsid w:val="00075A33"/>
    <w:rsid w:val="00075B28"/>
    <w:rsid w:val="00076441"/>
    <w:rsid w:val="00076B1E"/>
    <w:rsid w:val="000776D5"/>
    <w:rsid w:val="00077EB1"/>
    <w:rsid w:val="000800A7"/>
    <w:rsid w:val="00080156"/>
    <w:rsid w:val="00080D11"/>
    <w:rsid w:val="000815F0"/>
    <w:rsid w:val="00081908"/>
    <w:rsid w:val="0008204D"/>
    <w:rsid w:val="00082316"/>
    <w:rsid w:val="00082480"/>
    <w:rsid w:val="00082A33"/>
    <w:rsid w:val="00082D72"/>
    <w:rsid w:val="0008447C"/>
    <w:rsid w:val="00084EAB"/>
    <w:rsid w:val="00085383"/>
    <w:rsid w:val="0008543C"/>
    <w:rsid w:val="000854B8"/>
    <w:rsid w:val="00085548"/>
    <w:rsid w:val="00085C0D"/>
    <w:rsid w:val="00086355"/>
    <w:rsid w:val="0008644F"/>
    <w:rsid w:val="00086480"/>
    <w:rsid w:val="000866F2"/>
    <w:rsid w:val="00086B4F"/>
    <w:rsid w:val="00087352"/>
    <w:rsid w:val="000877AC"/>
    <w:rsid w:val="00087B63"/>
    <w:rsid w:val="00087D86"/>
    <w:rsid w:val="0009041F"/>
    <w:rsid w:val="00090451"/>
    <w:rsid w:val="00090660"/>
    <w:rsid w:val="00090A9A"/>
    <w:rsid w:val="00090B7A"/>
    <w:rsid w:val="00090DB7"/>
    <w:rsid w:val="00091414"/>
    <w:rsid w:val="00091A9F"/>
    <w:rsid w:val="00092138"/>
    <w:rsid w:val="00094A0B"/>
    <w:rsid w:val="00094E9E"/>
    <w:rsid w:val="00094FBB"/>
    <w:rsid w:val="000951B9"/>
    <w:rsid w:val="00095494"/>
    <w:rsid w:val="0009598B"/>
    <w:rsid w:val="00095A15"/>
    <w:rsid w:val="00095AD4"/>
    <w:rsid w:val="00095F6C"/>
    <w:rsid w:val="00096451"/>
    <w:rsid w:val="000966CF"/>
    <w:rsid w:val="000978B0"/>
    <w:rsid w:val="000A0093"/>
    <w:rsid w:val="000A0BEE"/>
    <w:rsid w:val="000A10FB"/>
    <w:rsid w:val="000A191B"/>
    <w:rsid w:val="000A1AED"/>
    <w:rsid w:val="000A1CDC"/>
    <w:rsid w:val="000A201F"/>
    <w:rsid w:val="000A23E1"/>
    <w:rsid w:val="000A2471"/>
    <w:rsid w:val="000A257B"/>
    <w:rsid w:val="000A27BE"/>
    <w:rsid w:val="000A2889"/>
    <w:rsid w:val="000A2A31"/>
    <w:rsid w:val="000A2FF9"/>
    <w:rsid w:val="000A53EB"/>
    <w:rsid w:val="000A5723"/>
    <w:rsid w:val="000A5AF2"/>
    <w:rsid w:val="000A5DBA"/>
    <w:rsid w:val="000A6AF7"/>
    <w:rsid w:val="000A6E82"/>
    <w:rsid w:val="000A6F56"/>
    <w:rsid w:val="000A705E"/>
    <w:rsid w:val="000A7AC7"/>
    <w:rsid w:val="000B0235"/>
    <w:rsid w:val="000B052F"/>
    <w:rsid w:val="000B063A"/>
    <w:rsid w:val="000B08B2"/>
    <w:rsid w:val="000B1371"/>
    <w:rsid w:val="000B2538"/>
    <w:rsid w:val="000B2B2D"/>
    <w:rsid w:val="000B2BEE"/>
    <w:rsid w:val="000B38DB"/>
    <w:rsid w:val="000B3A4E"/>
    <w:rsid w:val="000B3F45"/>
    <w:rsid w:val="000B401D"/>
    <w:rsid w:val="000B4466"/>
    <w:rsid w:val="000B4D29"/>
    <w:rsid w:val="000B5156"/>
    <w:rsid w:val="000B630F"/>
    <w:rsid w:val="000B725D"/>
    <w:rsid w:val="000B7EC1"/>
    <w:rsid w:val="000B7F76"/>
    <w:rsid w:val="000C08C9"/>
    <w:rsid w:val="000C0A86"/>
    <w:rsid w:val="000C0ED4"/>
    <w:rsid w:val="000C133C"/>
    <w:rsid w:val="000C15C3"/>
    <w:rsid w:val="000C1D8B"/>
    <w:rsid w:val="000C2606"/>
    <w:rsid w:val="000C2993"/>
    <w:rsid w:val="000C2ED7"/>
    <w:rsid w:val="000C2EF0"/>
    <w:rsid w:val="000C303C"/>
    <w:rsid w:val="000C321D"/>
    <w:rsid w:val="000C456B"/>
    <w:rsid w:val="000C46D8"/>
    <w:rsid w:val="000C4E20"/>
    <w:rsid w:val="000C5497"/>
    <w:rsid w:val="000C5B38"/>
    <w:rsid w:val="000C5B3F"/>
    <w:rsid w:val="000C5FD1"/>
    <w:rsid w:val="000C668A"/>
    <w:rsid w:val="000C679D"/>
    <w:rsid w:val="000C710D"/>
    <w:rsid w:val="000C7196"/>
    <w:rsid w:val="000C72DC"/>
    <w:rsid w:val="000C7990"/>
    <w:rsid w:val="000C7F4E"/>
    <w:rsid w:val="000D0ADE"/>
    <w:rsid w:val="000D0BC6"/>
    <w:rsid w:val="000D12F2"/>
    <w:rsid w:val="000D3471"/>
    <w:rsid w:val="000D35B8"/>
    <w:rsid w:val="000D4930"/>
    <w:rsid w:val="000D4C0F"/>
    <w:rsid w:val="000D528B"/>
    <w:rsid w:val="000D55ED"/>
    <w:rsid w:val="000D5861"/>
    <w:rsid w:val="000D58BC"/>
    <w:rsid w:val="000D5925"/>
    <w:rsid w:val="000D64BA"/>
    <w:rsid w:val="000D6543"/>
    <w:rsid w:val="000D6EAC"/>
    <w:rsid w:val="000D774C"/>
    <w:rsid w:val="000D7AA5"/>
    <w:rsid w:val="000E0A26"/>
    <w:rsid w:val="000E0B90"/>
    <w:rsid w:val="000E0ECD"/>
    <w:rsid w:val="000E1217"/>
    <w:rsid w:val="000E12D0"/>
    <w:rsid w:val="000E2066"/>
    <w:rsid w:val="000E2E2C"/>
    <w:rsid w:val="000E352B"/>
    <w:rsid w:val="000E3563"/>
    <w:rsid w:val="000E3773"/>
    <w:rsid w:val="000E4405"/>
    <w:rsid w:val="000E4BFE"/>
    <w:rsid w:val="000E50F0"/>
    <w:rsid w:val="000E5264"/>
    <w:rsid w:val="000E5297"/>
    <w:rsid w:val="000E532F"/>
    <w:rsid w:val="000E55E3"/>
    <w:rsid w:val="000E5661"/>
    <w:rsid w:val="000E572D"/>
    <w:rsid w:val="000E5C15"/>
    <w:rsid w:val="000E679C"/>
    <w:rsid w:val="000E6FE2"/>
    <w:rsid w:val="000E7063"/>
    <w:rsid w:val="000E74E0"/>
    <w:rsid w:val="000E7BB8"/>
    <w:rsid w:val="000E7EDC"/>
    <w:rsid w:val="000F03ED"/>
    <w:rsid w:val="000F08FB"/>
    <w:rsid w:val="000F0951"/>
    <w:rsid w:val="000F0CCD"/>
    <w:rsid w:val="000F104D"/>
    <w:rsid w:val="000F113B"/>
    <w:rsid w:val="000F1972"/>
    <w:rsid w:val="000F242D"/>
    <w:rsid w:val="000F25F4"/>
    <w:rsid w:val="000F26FB"/>
    <w:rsid w:val="000F2AC7"/>
    <w:rsid w:val="000F374E"/>
    <w:rsid w:val="000F3893"/>
    <w:rsid w:val="000F42AC"/>
    <w:rsid w:val="000F43FB"/>
    <w:rsid w:val="000F44CC"/>
    <w:rsid w:val="000F4A23"/>
    <w:rsid w:val="000F5159"/>
    <w:rsid w:val="000F5210"/>
    <w:rsid w:val="000F5581"/>
    <w:rsid w:val="000F660D"/>
    <w:rsid w:val="000F74D0"/>
    <w:rsid w:val="000F77CE"/>
    <w:rsid w:val="000F7CA4"/>
    <w:rsid w:val="000F7E5B"/>
    <w:rsid w:val="000F7FB5"/>
    <w:rsid w:val="0010068B"/>
    <w:rsid w:val="00100D67"/>
    <w:rsid w:val="00101032"/>
    <w:rsid w:val="00101F1A"/>
    <w:rsid w:val="00101F9C"/>
    <w:rsid w:val="001023B7"/>
    <w:rsid w:val="001028AC"/>
    <w:rsid w:val="00103229"/>
    <w:rsid w:val="001033FF"/>
    <w:rsid w:val="001034DE"/>
    <w:rsid w:val="00103EAF"/>
    <w:rsid w:val="001047AA"/>
    <w:rsid w:val="00106058"/>
    <w:rsid w:val="00106BB9"/>
    <w:rsid w:val="00107042"/>
    <w:rsid w:val="001071C4"/>
    <w:rsid w:val="001074EC"/>
    <w:rsid w:val="00107798"/>
    <w:rsid w:val="0011004B"/>
    <w:rsid w:val="001100E9"/>
    <w:rsid w:val="00110458"/>
    <w:rsid w:val="00110666"/>
    <w:rsid w:val="001109B4"/>
    <w:rsid w:val="00110B03"/>
    <w:rsid w:val="0011122F"/>
    <w:rsid w:val="00111901"/>
    <w:rsid w:val="00111D5B"/>
    <w:rsid w:val="00111D8F"/>
    <w:rsid w:val="001120CE"/>
    <w:rsid w:val="0011243B"/>
    <w:rsid w:val="00112450"/>
    <w:rsid w:val="00112AB6"/>
    <w:rsid w:val="00112BBC"/>
    <w:rsid w:val="00112C8D"/>
    <w:rsid w:val="00112ECF"/>
    <w:rsid w:val="00112FCF"/>
    <w:rsid w:val="00113571"/>
    <w:rsid w:val="00113938"/>
    <w:rsid w:val="00114334"/>
    <w:rsid w:val="001143CC"/>
    <w:rsid w:val="001144E6"/>
    <w:rsid w:val="001144F7"/>
    <w:rsid w:val="00114B87"/>
    <w:rsid w:val="00114CDB"/>
    <w:rsid w:val="00114D62"/>
    <w:rsid w:val="00115247"/>
    <w:rsid w:val="00115397"/>
    <w:rsid w:val="00115419"/>
    <w:rsid w:val="00115BB7"/>
    <w:rsid w:val="00115F71"/>
    <w:rsid w:val="001160FC"/>
    <w:rsid w:val="00117610"/>
    <w:rsid w:val="00117CCF"/>
    <w:rsid w:val="001200C3"/>
    <w:rsid w:val="00120E70"/>
    <w:rsid w:val="00120F8D"/>
    <w:rsid w:val="00121796"/>
    <w:rsid w:val="0012186E"/>
    <w:rsid w:val="0012209F"/>
    <w:rsid w:val="001220E3"/>
    <w:rsid w:val="001228E4"/>
    <w:rsid w:val="00122CDD"/>
    <w:rsid w:val="00122F96"/>
    <w:rsid w:val="0012328D"/>
    <w:rsid w:val="0012371D"/>
    <w:rsid w:val="0012381E"/>
    <w:rsid w:val="00123D74"/>
    <w:rsid w:val="00123E4A"/>
    <w:rsid w:val="00123F9A"/>
    <w:rsid w:val="00124212"/>
    <w:rsid w:val="001247D5"/>
    <w:rsid w:val="00124890"/>
    <w:rsid w:val="00124A48"/>
    <w:rsid w:val="00124FFA"/>
    <w:rsid w:val="0012544E"/>
    <w:rsid w:val="00125507"/>
    <w:rsid w:val="00125751"/>
    <w:rsid w:val="00125C38"/>
    <w:rsid w:val="001265FF"/>
    <w:rsid w:val="00126DC7"/>
    <w:rsid w:val="00127352"/>
    <w:rsid w:val="00127649"/>
    <w:rsid w:val="00127A2A"/>
    <w:rsid w:val="00127A9F"/>
    <w:rsid w:val="00127B0F"/>
    <w:rsid w:val="00130A1B"/>
    <w:rsid w:val="00130F36"/>
    <w:rsid w:val="00131ABF"/>
    <w:rsid w:val="00131E54"/>
    <w:rsid w:val="00131F02"/>
    <w:rsid w:val="00132310"/>
    <w:rsid w:val="00133E40"/>
    <w:rsid w:val="00133F81"/>
    <w:rsid w:val="0013448B"/>
    <w:rsid w:val="00134691"/>
    <w:rsid w:val="001346E8"/>
    <w:rsid w:val="0013485C"/>
    <w:rsid w:val="00134924"/>
    <w:rsid w:val="001351F8"/>
    <w:rsid w:val="00135E33"/>
    <w:rsid w:val="001364E8"/>
    <w:rsid w:val="0013657F"/>
    <w:rsid w:val="00136709"/>
    <w:rsid w:val="001368FC"/>
    <w:rsid w:val="00136AB0"/>
    <w:rsid w:val="00136B2D"/>
    <w:rsid w:val="00136B8A"/>
    <w:rsid w:val="001377B0"/>
    <w:rsid w:val="00137813"/>
    <w:rsid w:val="00137854"/>
    <w:rsid w:val="00137BC6"/>
    <w:rsid w:val="00140148"/>
    <w:rsid w:val="0014042A"/>
    <w:rsid w:val="001407AA"/>
    <w:rsid w:val="00140905"/>
    <w:rsid w:val="00140EDD"/>
    <w:rsid w:val="0014181F"/>
    <w:rsid w:val="0014190C"/>
    <w:rsid w:val="001428C5"/>
    <w:rsid w:val="00142952"/>
    <w:rsid w:val="00142B5C"/>
    <w:rsid w:val="00142CC5"/>
    <w:rsid w:val="001436C0"/>
    <w:rsid w:val="001438B7"/>
    <w:rsid w:val="00143F1E"/>
    <w:rsid w:val="00144042"/>
    <w:rsid w:val="001440C7"/>
    <w:rsid w:val="00144425"/>
    <w:rsid w:val="00144FB2"/>
    <w:rsid w:val="00145422"/>
    <w:rsid w:val="00145ED3"/>
    <w:rsid w:val="00145F48"/>
    <w:rsid w:val="00146F4E"/>
    <w:rsid w:val="00147118"/>
    <w:rsid w:val="00147EE1"/>
    <w:rsid w:val="001509BE"/>
    <w:rsid w:val="00150A34"/>
    <w:rsid w:val="00150E2C"/>
    <w:rsid w:val="00151379"/>
    <w:rsid w:val="0015151E"/>
    <w:rsid w:val="00152A37"/>
    <w:rsid w:val="00152EA2"/>
    <w:rsid w:val="001530E2"/>
    <w:rsid w:val="00153D4E"/>
    <w:rsid w:val="00154850"/>
    <w:rsid w:val="00154B6F"/>
    <w:rsid w:val="00154CFA"/>
    <w:rsid w:val="001552DE"/>
    <w:rsid w:val="001553A4"/>
    <w:rsid w:val="00155763"/>
    <w:rsid w:val="00155E81"/>
    <w:rsid w:val="00155FFB"/>
    <w:rsid w:val="001569C6"/>
    <w:rsid w:val="00157049"/>
    <w:rsid w:val="0015730D"/>
    <w:rsid w:val="001573B4"/>
    <w:rsid w:val="00157EBE"/>
    <w:rsid w:val="001609BA"/>
    <w:rsid w:val="001610E8"/>
    <w:rsid w:val="0016240F"/>
    <w:rsid w:val="00162481"/>
    <w:rsid w:val="001624A2"/>
    <w:rsid w:val="001628AC"/>
    <w:rsid w:val="00162D08"/>
    <w:rsid w:val="00163325"/>
    <w:rsid w:val="001633DA"/>
    <w:rsid w:val="00163A4F"/>
    <w:rsid w:val="00163BB2"/>
    <w:rsid w:val="00163C19"/>
    <w:rsid w:val="0016490E"/>
    <w:rsid w:val="00164FF7"/>
    <w:rsid w:val="00165400"/>
    <w:rsid w:val="0016554B"/>
    <w:rsid w:val="00165F5D"/>
    <w:rsid w:val="00166125"/>
    <w:rsid w:val="0016634B"/>
    <w:rsid w:val="001663F3"/>
    <w:rsid w:val="00166E1C"/>
    <w:rsid w:val="00167158"/>
    <w:rsid w:val="00170A1A"/>
    <w:rsid w:val="0017100A"/>
    <w:rsid w:val="00171357"/>
    <w:rsid w:val="00171E95"/>
    <w:rsid w:val="001720F7"/>
    <w:rsid w:val="0017288C"/>
    <w:rsid w:val="001728D5"/>
    <w:rsid w:val="00172A27"/>
    <w:rsid w:val="001733C5"/>
    <w:rsid w:val="00173910"/>
    <w:rsid w:val="00173FBC"/>
    <w:rsid w:val="00174529"/>
    <w:rsid w:val="001745DA"/>
    <w:rsid w:val="00175013"/>
    <w:rsid w:val="0017710D"/>
    <w:rsid w:val="001773AC"/>
    <w:rsid w:val="00177CD7"/>
    <w:rsid w:val="00177D43"/>
    <w:rsid w:val="00180066"/>
    <w:rsid w:val="001802BE"/>
    <w:rsid w:val="001806BE"/>
    <w:rsid w:val="00181144"/>
    <w:rsid w:val="001813CB"/>
    <w:rsid w:val="00181750"/>
    <w:rsid w:val="00181AB7"/>
    <w:rsid w:val="00181C2B"/>
    <w:rsid w:val="00182699"/>
    <w:rsid w:val="001834D3"/>
    <w:rsid w:val="00183616"/>
    <w:rsid w:val="00183700"/>
    <w:rsid w:val="00183EB9"/>
    <w:rsid w:val="001845BA"/>
    <w:rsid w:val="0018463C"/>
    <w:rsid w:val="00184B68"/>
    <w:rsid w:val="00185590"/>
    <w:rsid w:val="0018618F"/>
    <w:rsid w:val="00186479"/>
    <w:rsid w:val="00186AAE"/>
    <w:rsid w:val="00186B13"/>
    <w:rsid w:val="00186B44"/>
    <w:rsid w:val="00186BB7"/>
    <w:rsid w:val="00186CAF"/>
    <w:rsid w:val="00187A27"/>
    <w:rsid w:val="0019053C"/>
    <w:rsid w:val="001906F9"/>
    <w:rsid w:val="0019095B"/>
    <w:rsid w:val="00190BD9"/>
    <w:rsid w:val="00190BE2"/>
    <w:rsid w:val="00190FEE"/>
    <w:rsid w:val="00191A1A"/>
    <w:rsid w:val="00192514"/>
    <w:rsid w:val="00192F03"/>
    <w:rsid w:val="00193754"/>
    <w:rsid w:val="0019411B"/>
    <w:rsid w:val="00194264"/>
    <w:rsid w:val="001944D1"/>
    <w:rsid w:val="00194C8A"/>
    <w:rsid w:val="001951DC"/>
    <w:rsid w:val="00195408"/>
    <w:rsid w:val="0019556E"/>
    <w:rsid w:val="001956E1"/>
    <w:rsid w:val="00195EB3"/>
    <w:rsid w:val="00196E4C"/>
    <w:rsid w:val="00196FCE"/>
    <w:rsid w:val="001971E5"/>
    <w:rsid w:val="0019760E"/>
    <w:rsid w:val="00197818"/>
    <w:rsid w:val="00197BC2"/>
    <w:rsid w:val="001A001A"/>
    <w:rsid w:val="001A03CC"/>
    <w:rsid w:val="001A042A"/>
    <w:rsid w:val="001A1384"/>
    <w:rsid w:val="001A1A7A"/>
    <w:rsid w:val="001A1DE5"/>
    <w:rsid w:val="001A23FC"/>
    <w:rsid w:val="001A25D0"/>
    <w:rsid w:val="001A2919"/>
    <w:rsid w:val="001A2F16"/>
    <w:rsid w:val="001A3630"/>
    <w:rsid w:val="001A3B54"/>
    <w:rsid w:val="001A3D6F"/>
    <w:rsid w:val="001A3FD7"/>
    <w:rsid w:val="001A4600"/>
    <w:rsid w:val="001A481A"/>
    <w:rsid w:val="001A4EBF"/>
    <w:rsid w:val="001A4FD0"/>
    <w:rsid w:val="001A562D"/>
    <w:rsid w:val="001A5744"/>
    <w:rsid w:val="001A59FD"/>
    <w:rsid w:val="001A6180"/>
    <w:rsid w:val="001A72AB"/>
    <w:rsid w:val="001A72E5"/>
    <w:rsid w:val="001A78F5"/>
    <w:rsid w:val="001A7CBC"/>
    <w:rsid w:val="001A7FA1"/>
    <w:rsid w:val="001B0013"/>
    <w:rsid w:val="001B05D6"/>
    <w:rsid w:val="001B074C"/>
    <w:rsid w:val="001B07D6"/>
    <w:rsid w:val="001B08BF"/>
    <w:rsid w:val="001B1726"/>
    <w:rsid w:val="001B2112"/>
    <w:rsid w:val="001B25C7"/>
    <w:rsid w:val="001B261B"/>
    <w:rsid w:val="001B2EAB"/>
    <w:rsid w:val="001B306E"/>
    <w:rsid w:val="001B3C72"/>
    <w:rsid w:val="001B4298"/>
    <w:rsid w:val="001B4482"/>
    <w:rsid w:val="001B5E9C"/>
    <w:rsid w:val="001B6169"/>
    <w:rsid w:val="001B71AD"/>
    <w:rsid w:val="001B767A"/>
    <w:rsid w:val="001B77DD"/>
    <w:rsid w:val="001C000C"/>
    <w:rsid w:val="001C00CF"/>
    <w:rsid w:val="001C0161"/>
    <w:rsid w:val="001C059F"/>
    <w:rsid w:val="001C0662"/>
    <w:rsid w:val="001C0D86"/>
    <w:rsid w:val="001C12EE"/>
    <w:rsid w:val="001C16DC"/>
    <w:rsid w:val="001C1B30"/>
    <w:rsid w:val="001C1F03"/>
    <w:rsid w:val="001C2255"/>
    <w:rsid w:val="001C2384"/>
    <w:rsid w:val="001C28B4"/>
    <w:rsid w:val="001C2CF8"/>
    <w:rsid w:val="001C3321"/>
    <w:rsid w:val="001C3849"/>
    <w:rsid w:val="001C3BDC"/>
    <w:rsid w:val="001C3C1F"/>
    <w:rsid w:val="001C49A3"/>
    <w:rsid w:val="001C50CB"/>
    <w:rsid w:val="001C5AE1"/>
    <w:rsid w:val="001C5C60"/>
    <w:rsid w:val="001C5F27"/>
    <w:rsid w:val="001C6A7F"/>
    <w:rsid w:val="001C6BBF"/>
    <w:rsid w:val="001C72FD"/>
    <w:rsid w:val="001C7436"/>
    <w:rsid w:val="001C76BF"/>
    <w:rsid w:val="001C7794"/>
    <w:rsid w:val="001C7DB0"/>
    <w:rsid w:val="001D03E0"/>
    <w:rsid w:val="001D0513"/>
    <w:rsid w:val="001D075B"/>
    <w:rsid w:val="001D092D"/>
    <w:rsid w:val="001D0A28"/>
    <w:rsid w:val="001D0F47"/>
    <w:rsid w:val="001D1962"/>
    <w:rsid w:val="001D1BB4"/>
    <w:rsid w:val="001D2A13"/>
    <w:rsid w:val="001D3296"/>
    <w:rsid w:val="001D37AB"/>
    <w:rsid w:val="001D3ABB"/>
    <w:rsid w:val="001D3C97"/>
    <w:rsid w:val="001D3DEA"/>
    <w:rsid w:val="001D41A2"/>
    <w:rsid w:val="001D4D9C"/>
    <w:rsid w:val="001D50F7"/>
    <w:rsid w:val="001D5619"/>
    <w:rsid w:val="001D608A"/>
    <w:rsid w:val="001D6956"/>
    <w:rsid w:val="001D7264"/>
    <w:rsid w:val="001D72E3"/>
    <w:rsid w:val="001D7431"/>
    <w:rsid w:val="001D7BA5"/>
    <w:rsid w:val="001E0061"/>
    <w:rsid w:val="001E00B8"/>
    <w:rsid w:val="001E0390"/>
    <w:rsid w:val="001E0ACD"/>
    <w:rsid w:val="001E1059"/>
    <w:rsid w:val="001E10C5"/>
    <w:rsid w:val="001E16C5"/>
    <w:rsid w:val="001E1BCD"/>
    <w:rsid w:val="001E276A"/>
    <w:rsid w:val="001E2D8B"/>
    <w:rsid w:val="001E331A"/>
    <w:rsid w:val="001E3702"/>
    <w:rsid w:val="001E37CF"/>
    <w:rsid w:val="001E394D"/>
    <w:rsid w:val="001E3F86"/>
    <w:rsid w:val="001E419C"/>
    <w:rsid w:val="001E43F8"/>
    <w:rsid w:val="001E6864"/>
    <w:rsid w:val="001E68A5"/>
    <w:rsid w:val="001E6BF3"/>
    <w:rsid w:val="001E78BD"/>
    <w:rsid w:val="001E79E9"/>
    <w:rsid w:val="001F0863"/>
    <w:rsid w:val="001F0901"/>
    <w:rsid w:val="001F09CB"/>
    <w:rsid w:val="001F0BD3"/>
    <w:rsid w:val="001F21C4"/>
    <w:rsid w:val="001F229F"/>
    <w:rsid w:val="001F24FB"/>
    <w:rsid w:val="001F28B3"/>
    <w:rsid w:val="001F2D6A"/>
    <w:rsid w:val="001F2E33"/>
    <w:rsid w:val="001F337B"/>
    <w:rsid w:val="001F392B"/>
    <w:rsid w:val="001F3BAE"/>
    <w:rsid w:val="001F4388"/>
    <w:rsid w:val="001F469E"/>
    <w:rsid w:val="001F4DF0"/>
    <w:rsid w:val="001F52AB"/>
    <w:rsid w:val="001F560B"/>
    <w:rsid w:val="001F584E"/>
    <w:rsid w:val="001F5EF6"/>
    <w:rsid w:val="001F649F"/>
    <w:rsid w:val="001F6A5A"/>
    <w:rsid w:val="001F7A59"/>
    <w:rsid w:val="001F7CEF"/>
    <w:rsid w:val="001F7D24"/>
    <w:rsid w:val="00200219"/>
    <w:rsid w:val="00200845"/>
    <w:rsid w:val="00200E17"/>
    <w:rsid w:val="00201263"/>
    <w:rsid w:val="00201304"/>
    <w:rsid w:val="0020191E"/>
    <w:rsid w:val="00201964"/>
    <w:rsid w:val="00201CE1"/>
    <w:rsid w:val="00201FB1"/>
    <w:rsid w:val="00202076"/>
    <w:rsid w:val="00202C09"/>
    <w:rsid w:val="00202C0D"/>
    <w:rsid w:val="0020456A"/>
    <w:rsid w:val="00204A33"/>
    <w:rsid w:val="00204EB0"/>
    <w:rsid w:val="00204F3F"/>
    <w:rsid w:val="002050D6"/>
    <w:rsid w:val="00205C1A"/>
    <w:rsid w:val="00206C83"/>
    <w:rsid w:val="002071E4"/>
    <w:rsid w:val="002074CB"/>
    <w:rsid w:val="0020755E"/>
    <w:rsid w:val="002078A7"/>
    <w:rsid w:val="00210421"/>
    <w:rsid w:val="00210A21"/>
    <w:rsid w:val="00210D55"/>
    <w:rsid w:val="00210ED2"/>
    <w:rsid w:val="0021234B"/>
    <w:rsid w:val="0021256F"/>
    <w:rsid w:val="0021278F"/>
    <w:rsid w:val="00212967"/>
    <w:rsid w:val="00212FE5"/>
    <w:rsid w:val="00213755"/>
    <w:rsid w:val="00214145"/>
    <w:rsid w:val="00214331"/>
    <w:rsid w:val="00214C99"/>
    <w:rsid w:val="00214CDE"/>
    <w:rsid w:val="002154EA"/>
    <w:rsid w:val="00215A0E"/>
    <w:rsid w:val="00215ABE"/>
    <w:rsid w:val="00215C16"/>
    <w:rsid w:val="00215E54"/>
    <w:rsid w:val="002160F0"/>
    <w:rsid w:val="002165A5"/>
    <w:rsid w:val="00216AC0"/>
    <w:rsid w:val="0021700F"/>
    <w:rsid w:val="002171AB"/>
    <w:rsid w:val="002171CA"/>
    <w:rsid w:val="00217F57"/>
    <w:rsid w:val="0022186D"/>
    <w:rsid w:val="00221CE6"/>
    <w:rsid w:val="00221DA1"/>
    <w:rsid w:val="00221EEE"/>
    <w:rsid w:val="00221F28"/>
    <w:rsid w:val="002225A1"/>
    <w:rsid w:val="002228F1"/>
    <w:rsid w:val="00222BA7"/>
    <w:rsid w:val="00222E6C"/>
    <w:rsid w:val="00222F59"/>
    <w:rsid w:val="002237EC"/>
    <w:rsid w:val="002241C0"/>
    <w:rsid w:val="00224439"/>
    <w:rsid w:val="00224708"/>
    <w:rsid w:val="002249EF"/>
    <w:rsid w:val="00224B20"/>
    <w:rsid w:val="00224DB3"/>
    <w:rsid w:val="00224FC7"/>
    <w:rsid w:val="0022577B"/>
    <w:rsid w:val="00225D00"/>
    <w:rsid w:val="002260D6"/>
    <w:rsid w:val="00226190"/>
    <w:rsid w:val="0022668D"/>
    <w:rsid w:val="00226C88"/>
    <w:rsid w:val="00226CB4"/>
    <w:rsid w:val="00227154"/>
    <w:rsid w:val="0022723E"/>
    <w:rsid w:val="00227373"/>
    <w:rsid w:val="00227C8A"/>
    <w:rsid w:val="002309D2"/>
    <w:rsid w:val="00230E34"/>
    <w:rsid w:val="00230F6B"/>
    <w:rsid w:val="00231012"/>
    <w:rsid w:val="0023139B"/>
    <w:rsid w:val="002313B1"/>
    <w:rsid w:val="0023156D"/>
    <w:rsid w:val="002315FB"/>
    <w:rsid w:val="00231D4D"/>
    <w:rsid w:val="0023219A"/>
    <w:rsid w:val="002325DB"/>
    <w:rsid w:val="00232AC7"/>
    <w:rsid w:val="00232CD4"/>
    <w:rsid w:val="002332AE"/>
    <w:rsid w:val="00233614"/>
    <w:rsid w:val="0023389B"/>
    <w:rsid w:val="00233A79"/>
    <w:rsid w:val="00233DFE"/>
    <w:rsid w:val="00233F2F"/>
    <w:rsid w:val="00234753"/>
    <w:rsid w:val="002349CA"/>
    <w:rsid w:val="00234D76"/>
    <w:rsid w:val="00235085"/>
    <w:rsid w:val="00235AFA"/>
    <w:rsid w:val="00235CF4"/>
    <w:rsid w:val="0023698F"/>
    <w:rsid w:val="00236B3D"/>
    <w:rsid w:val="00237942"/>
    <w:rsid w:val="00240004"/>
    <w:rsid w:val="0024028F"/>
    <w:rsid w:val="00240589"/>
    <w:rsid w:val="002407A0"/>
    <w:rsid w:val="00240A33"/>
    <w:rsid w:val="00240C9F"/>
    <w:rsid w:val="0024126C"/>
    <w:rsid w:val="0024144B"/>
    <w:rsid w:val="0024192F"/>
    <w:rsid w:val="00241ADF"/>
    <w:rsid w:val="00241F83"/>
    <w:rsid w:val="0024237D"/>
    <w:rsid w:val="0024243B"/>
    <w:rsid w:val="00242A88"/>
    <w:rsid w:val="00243102"/>
    <w:rsid w:val="00243747"/>
    <w:rsid w:val="00243A5F"/>
    <w:rsid w:val="00243D75"/>
    <w:rsid w:val="00244311"/>
    <w:rsid w:val="00244911"/>
    <w:rsid w:val="00246583"/>
    <w:rsid w:val="00247D36"/>
    <w:rsid w:val="00250226"/>
    <w:rsid w:val="0025026D"/>
    <w:rsid w:val="00250366"/>
    <w:rsid w:val="0025045E"/>
    <w:rsid w:val="00250980"/>
    <w:rsid w:val="002522E4"/>
    <w:rsid w:val="00252BB2"/>
    <w:rsid w:val="002530C4"/>
    <w:rsid w:val="002532FF"/>
    <w:rsid w:val="00253EBE"/>
    <w:rsid w:val="00254917"/>
    <w:rsid w:val="00254A10"/>
    <w:rsid w:val="00254BEE"/>
    <w:rsid w:val="00254DA4"/>
    <w:rsid w:val="00254EFA"/>
    <w:rsid w:val="0025569E"/>
    <w:rsid w:val="002557A7"/>
    <w:rsid w:val="002567D0"/>
    <w:rsid w:val="00256B98"/>
    <w:rsid w:val="0025703D"/>
    <w:rsid w:val="002573E9"/>
    <w:rsid w:val="00257421"/>
    <w:rsid w:val="00257898"/>
    <w:rsid w:val="00257A4C"/>
    <w:rsid w:val="00257D53"/>
    <w:rsid w:val="00257E3D"/>
    <w:rsid w:val="002602FA"/>
    <w:rsid w:val="0026032E"/>
    <w:rsid w:val="002603E6"/>
    <w:rsid w:val="00260ACD"/>
    <w:rsid w:val="00260DD2"/>
    <w:rsid w:val="00261D38"/>
    <w:rsid w:val="002628D7"/>
    <w:rsid w:val="0026297F"/>
    <w:rsid w:val="00262F12"/>
    <w:rsid w:val="00263286"/>
    <w:rsid w:val="00263789"/>
    <w:rsid w:val="00263864"/>
    <w:rsid w:val="00263DD2"/>
    <w:rsid w:val="002641EE"/>
    <w:rsid w:val="002646AA"/>
    <w:rsid w:val="00264A33"/>
    <w:rsid w:val="00264A87"/>
    <w:rsid w:val="00265928"/>
    <w:rsid w:val="002659B5"/>
    <w:rsid w:val="00265BF5"/>
    <w:rsid w:val="00266B0F"/>
    <w:rsid w:val="002676D0"/>
    <w:rsid w:val="00267978"/>
    <w:rsid w:val="00267A0D"/>
    <w:rsid w:val="0027020A"/>
    <w:rsid w:val="002705EE"/>
    <w:rsid w:val="00270A50"/>
    <w:rsid w:val="0027175C"/>
    <w:rsid w:val="00272013"/>
    <w:rsid w:val="0027236A"/>
    <w:rsid w:val="00272595"/>
    <w:rsid w:val="00272B35"/>
    <w:rsid w:val="00272DD8"/>
    <w:rsid w:val="00272E80"/>
    <w:rsid w:val="00272F5B"/>
    <w:rsid w:val="002734EF"/>
    <w:rsid w:val="00273859"/>
    <w:rsid w:val="00274EB3"/>
    <w:rsid w:val="0027516D"/>
    <w:rsid w:val="00275181"/>
    <w:rsid w:val="0027523D"/>
    <w:rsid w:val="00275374"/>
    <w:rsid w:val="002754C6"/>
    <w:rsid w:val="00275ECB"/>
    <w:rsid w:val="00275F13"/>
    <w:rsid w:val="00276B82"/>
    <w:rsid w:val="002770B4"/>
    <w:rsid w:val="002774DD"/>
    <w:rsid w:val="00277615"/>
    <w:rsid w:val="00277BAE"/>
    <w:rsid w:val="00280154"/>
    <w:rsid w:val="002803CF"/>
    <w:rsid w:val="002803E8"/>
    <w:rsid w:val="002809A0"/>
    <w:rsid w:val="00280C0A"/>
    <w:rsid w:val="00281778"/>
    <w:rsid w:val="0028237F"/>
    <w:rsid w:val="00282389"/>
    <w:rsid w:val="00282F9E"/>
    <w:rsid w:val="002840D4"/>
    <w:rsid w:val="00284A8D"/>
    <w:rsid w:val="00284ECE"/>
    <w:rsid w:val="00284F84"/>
    <w:rsid w:val="002858D7"/>
    <w:rsid w:val="00285C6A"/>
    <w:rsid w:val="002861BC"/>
    <w:rsid w:val="00286B44"/>
    <w:rsid w:val="00287A15"/>
    <w:rsid w:val="00287EEC"/>
    <w:rsid w:val="002900B2"/>
    <w:rsid w:val="0029023E"/>
    <w:rsid w:val="002902D6"/>
    <w:rsid w:val="0029047C"/>
    <w:rsid w:val="002904C0"/>
    <w:rsid w:val="00290651"/>
    <w:rsid w:val="00290951"/>
    <w:rsid w:val="00290E98"/>
    <w:rsid w:val="0029152A"/>
    <w:rsid w:val="002915F9"/>
    <w:rsid w:val="00291875"/>
    <w:rsid w:val="00291EE3"/>
    <w:rsid w:val="00292DB1"/>
    <w:rsid w:val="00293325"/>
    <w:rsid w:val="00293A4F"/>
    <w:rsid w:val="00294222"/>
    <w:rsid w:val="00294BC5"/>
    <w:rsid w:val="00294FBD"/>
    <w:rsid w:val="0029520F"/>
    <w:rsid w:val="0029573A"/>
    <w:rsid w:val="00295E19"/>
    <w:rsid w:val="00295F97"/>
    <w:rsid w:val="0029682E"/>
    <w:rsid w:val="00296B70"/>
    <w:rsid w:val="00296BA3"/>
    <w:rsid w:val="00296F6A"/>
    <w:rsid w:val="0029732F"/>
    <w:rsid w:val="002A0326"/>
    <w:rsid w:val="002A0E2D"/>
    <w:rsid w:val="002A10AD"/>
    <w:rsid w:val="002A13B1"/>
    <w:rsid w:val="002A17A9"/>
    <w:rsid w:val="002A2531"/>
    <w:rsid w:val="002A2E3B"/>
    <w:rsid w:val="002A3448"/>
    <w:rsid w:val="002A3576"/>
    <w:rsid w:val="002A38A2"/>
    <w:rsid w:val="002A3A02"/>
    <w:rsid w:val="002A4148"/>
    <w:rsid w:val="002A43F0"/>
    <w:rsid w:val="002A4562"/>
    <w:rsid w:val="002A4A68"/>
    <w:rsid w:val="002A4C55"/>
    <w:rsid w:val="002A5095"/>
    <w:rsid w:val="002A55EF"/>
    <w:rsid w:val="002A5636"/>
    <w:rsid w:val="002A5793"/>
    <w:rsid w:val="002A5DDE"/>
    <w:rsid w:val="002A5F95"/>
    <w:rsid w:val="002A60BD"/>
    <w:rsid w:val="002A65F8"/>
    <w:rsid w:val="002A682F"/>
    <w:rsid w:val="002A7391"/>
    <w:rsid w:val="002A7742"/>
    <w:rsid w:val="002A7C2C"/>
    <w:rsid w:val="002B0092"/>
    <w:rsid w:val="002B0FB2"/>
    <w:rsid w:val="002B1057"/>
    <w:rsid w:val="002B15A1"/>
    <w:rsid w:val="002B18E3"/>
    <w:rsid w:val="002B1A39"/>
    <w:rsid w:val="002B1C5A"/>
    <w:rsid w:val="002B1D44"/>
    <w:rsid w:val="002B278D"/>
    <w:rsid w:val="002B2C2A"/>
    <w:rsid w:val="002B2DED"/>
    <w:rsid w:val="002B3789"/>
    <w:rsid w:val="002B3932"/>
    <w:rsid w:val="002B3EF5"/>
    <w:rsid w:val="002B3F3A"/>
    <w:rsid w:val="002B419E"/>
    <w:rsid w:val="002B420D"/>
    <w:rsid w:val="002B450F"/>
    <w:rsid w:val="002B47EB"/>
    <w:rsid w:val="002B495E"/>
    <w:rsid w:val="002B4A68"/>
    <w:rsid w:val="002B4D93"/>
    <w:rsid w:val="002B540B"/>
    <w:rsid w:val="002B5DEA"/>
    <w:rsid w:val="002B6EDC"/>
    <w:rsid w:val="002B77BC"/>
    <w:rsid w:val="002B79E2"/>
    <w:rsid w:val="002B7B4E"/>
    <w:rsid w:val="002C0491"/>
    <w:rsid w:val="002C04DA"/>
    <w:rsid w:val="002C07BA"/>
    <w:rsid w:val="002C1809"/>
    <w:rsid w:val="002C1865"/>
    <w:rsid w:val="002C1D6E"/>
    <w:rsid w:val="002C210F"/>
    <w:rsid w:val="002C260E"/>
    <w:rsid w:val="002C3B3D"/>
    <w:rsid w:val="002C3FB1"/>
    <w:rsid w:val="002C4466"/>
    <w:rsid w:val="002C503D"/>
    <w:rsid w:val="002C58CB"/>
    <w:rsid w:val="002C618A"/>
    <w:rsid w:val="002C62E0"/>
    <w:rsid w:val="002C6309"/>
    <w:rsid w:val="002C6F9D"/>
    <w:rsid w:val="002C7498"/>
    <w:rsid w:val="002C7FF1"/>
    <w:rsid w:val="002D045D"/>
    <w:rsid w:val="002D1375"/>
    <w:rsid w:val="002D150D"/>
    <w:rsid w:val="002D1799"/>
    <w:rsid w:val="002D1D11"/>
    <w:rsid w:val="002D24FF"/>
    <w:rsid w:val="002D2AF8"/>
    <w:rsid w:val="002D2DB0"/>
    <w:rsid w:val="002D31ED"/>
    <w:rsid w:val="002D3BAB"/>
    <w:rsid w:val="002D401C"/>
    <w:rsid w:val="002D4B91"/>
    <w:rsid w:val="002D4E72"/>
    <w:rsid w:val="002D4FF3"/>
    <w:rsid w:val="002D56DD"/>
    <w:rsid w:val="002D6290"/>
    <w:rsid w:val="002D68A8"/>
    <w:rsid w:val="002D73D4"/>
    <w:rsid w:val="002D7447"/>
    <w:rsid w:val="002D75E6"/>
    <w:rsid w:val="002D7FE5"/>
    <w:rsid w:val="002E0E40"/>
    <w:rsid w:val="002E0F9D"/>
    <w:rsid w:val="002E178E"/>
    <w:rsid w:val="002E1D81"/>
    <w:rsid w:val="002E280F"/>
    <w:rsid w:val="002E29C0"/>
    <w:rsid w:val="002E2D30"/>
    <w:rsid w:val="002E2E66"/>
    <w:rsid w:val="002E496E"/>
    <w:rsid w:val="002E59D5"/>
    <w:rsid w:val="002E5AEB"/>
    <w:rsid w:val="002E5B4E"/>
    <w:rsid w:val="002E69EA"/>
    <w:rsid w:val="002E7297"/>
    <w:rsid w:val="002E7716"/>
    <w:rsid w:val="002E77B7"/>
    <w:rsid w:val="002F006F"/>
    <w:rsid w:val="002F0944"/>
    <w:rsid w:val="002F0F74"/>
    <w:rsid w:val="002F1153"/>
    <w:rsid w:val="002F13CA"/>
    <w:rsid w:val="002F199E"/>
    <w:rsid w:val="002F1C90"/>
    <w:rsid w:val="002F26F3"/>
    <w:rsid w:val="002F2A59"/>
    <w:rsid w:val="002F2D00"/>
    <w:rsid w:val="002F312F"/>
    <w:rsid w:val="002F3CBC"/>
    <w:rsid w:val="002F4AE7"/>
    <w:rsid w:val="002F4CAB"/>
    <w:rsid w:val="002F4E20"/>
    <w:rsid w:val="002F4EF1"/>
    <w:rsid w:val="002F57FC"/>
    <w:rsid w:val="002F5BCA"/>
    <w:rsid w:val="002F6BF9"/>
    <w:rsid w:val="002F75B4"/>
    <w:rsid w:val="003005EB"/>
    <w:rsid w:val="00300605"/>
    <w:rsid w:val="00301465"/>
    <w:rsid w:val="00301508"/>
    <w:rsid w:val="00301CE8"/>
    <w:rsid w:val="003028E1"/>
    <w:rsid w:val="00302F21"/>
    <w:rsid w:val="00303125"/>
    <w:rsid w:val="0030326A"/>
    <w:rsid w:val="00303533"/>
    <w:rsid w:val="00303874"/>
    <w:rsid w:val="00303D26"/>
    <w:rsid w:val="00304074"/>
    <w:rsid w:val="00304C9C"/>
    <w:rsid w:val="00305632"/>
    <w:rsid w:val="00305F94"/>
    <w:rsid w:val="003063CF"/>
    <w:rsid w:val="003067D2"/>
    <w:rsid w:val="00306B99"/>
    <w:rsid w:val="00306F2E"/>
    <w:rsid w:val="00307E41"/>
    <w:rsid w:val="00310010"/>
    <w:rsid w:val="00310266"/>
    <w:rsid w:val="00311BF0"/>
    <w:rsid w:val="00311E06"/>
    <w:rsid w:val="00311E6A"/>
    <w:rsid w:val="00312808"/>
    <w:rsid w:val="0031282C"/>
    <w:rsid w:val="003128A5"/>
    <w:rsid w:val="003136B5"/>
    <w:rsid w:val="00313B7C"/>
    <w:rsid w:val="00314340"/>
    <w:rsid w:val="003145E7"/>
    <w:rsid w:val="0031475B"/>
    <w:rsid w:val="003148C5"/>
    <w:rsid w:val="00314927"/>
    <w:rsid w:val="003154FB"/>
    <w:rsid w:val="00315535"/>
    <w:rsid w:val="003155FD"/>
    <w:rsid w:val="00315E45"/>
    <w:rsid w:val="0031604C"/>
    <w:rsid w:val="00317A19"/>
    <w:rsid w:val="00317B9F"/>
    <w:rsid w:val="00317DAF"/>
    <w:rsid w:val="003200EA"/>
    <w:rsid w:val="003208B8"/>
    <w:rsid w:val="00320976"/>
    <w:rsid w:val="00320CA7"/>
    <w:rsid w:val="003210F0"/>
    <w:rsid w:val="00321568"/>
    <w:rsid w:val="00321D42"/>
    <w:rsid w:val="00322257"/>
    <w:rsid w:val="00323196"/>
    <w:rsid w:val="0032346A"/>
    <w:rsid w:val="00323540"/>
    <w:rsid w:val="00324106"/>
    <w:rsid w:val="00324273"/>
    <w:rsid w:val="00324318"/>
    <w:rsid w:val="00324324"/>
    <w:rsid w:val="003246E6"/>
    <w:rsid w:val="00324FEB"/>
    <w:rsid w:val="00325D54"/>
    <w:rsid w:val="0032615C"/>
    <w:rsid w:val="00326A54"/>
    <w:rsid w:val="00326CA4"/>
    <w:rsid w:val="00326F2E"/>
    <w:rsid w:val="00327254"/>
    <w:rsid w:val="0032799D"/>
    <w:rsid w:val="00330412"/>
    <w:rsid w:val="00331239"/>
    <w:rsid w:val="00331329"/>
    <w:rsid w:val="00331775"/>
    <w:rsid w:val="00331833"/>
    <w:rsid w:val="003325B2"/>
    <w:rsid w:val="00333076"/>
    <w:rsid w:val="003331BF"/>
    <w:rsid w:val="00333737"/>
    <w:rsid w:val="00333DC6"/>
    <w:rsid w:val="00334165"/>
    <w:rsid w:val="00334AC5"/>
    <w:rsid w:val="00334E09"/>
    <w:rsid w:val="00334E36"/>
    <w:rsid w:val="003351F7"/>
    <w:rsid w:val="00335A26"/>
    <w:rsid w:val="00335CEC"/>
    <w:rsid w:val="00335D20"/>
    <w:rsid w:val="00335F8B"/>
    <w:rsid w:val="00336FC6"/>
    <w:rsid w:val="003374AC"/>
    <w:rsid w:val="003378D9"/>
    <w:rsid w:val="00337C57"/>
    <w:rsid w:val="00337EC5"/>
    <w:rsid w:val="00340329"/>
    <w:rsid w:val="0034034A"/>
    <w:rsid w:val="0034080D"/>
    <w:rsid w:val="00340A2D"/>
    <w:rsid w:val="003414C2"/>
    <w:rsid w:val="003417A8"/>
    <w:rsid w:val="00341AF8"/>
    <w:rsid w:val="00341CB5"/>
    <w:rsid w:val="00342D05"/>
    <w:rsid w:val="003430DB"/>
    <w:rsid w:val="003439E7"/>
    <w:rsid w:val="00343B87"/>
    <w:rsid w:val="00344250"/>
    <w:rsid w:val="003445ED"/>
    <w:rsid w:val="00344AD6"/>
    <w:rsid w:val="0034534C"/>
    <w:rsid w:val="003456DE"/>
    <w:rsid w:val="00345894"/>
    <w:rsid w:val="00345A6B"/>
    <w:rsid w:val="00345F49"/>
    <w:rsid w:val="00346325"/>
    <w:rsid w:val="00346911"/>
    <w:rsid w:val="0034695B"/>
    <w:rsid w:val="00346E94"/>
    <w:rsid w:val="00346FA8"/>
    <w:rsid w:val="00347471"/>
    <w:rsid w:val="00347974"/>
    <w:rsid w:val="00347A78"/>
    <w:rsid w:val="00347E0E"/>
    <w:rsid w:val="0035138D"/>
    <w:rsid w:val="00351838"/>
    <w:rsid w:val="00351CE9"/>
    <w:rsid w:val="003522CD"/>
    <w:rsid w:val="00353930"/>
    <w:rsid w:val="0035408F"/>
    <w:rsid w:val="00354280"/>
    <w:rsid w:val="00355530"/>
    <w:rsid w:val="00356506"/>
    <w:rsid w:val="003565BF"/>
    <w:rsid w:val="00356AAE"/>
    <w:rsid w:val="003578B7"/>
    <w:rsid w:val="00357F04"/>
    <w:rsid w:val="003600E3"/>
    <w:rsid w:val="0036017B"/>
    <w:rsid w:val="003605E5"/>
    <w:rsid w:val="00360C1C"/>
    <w:rsid w:val="00361244"/>
    <w:rsid w:val="00361683"/>
    <w:rsid w:val="00361CF9"/>
    <w:rsid w:val="00361E6A"/>
    <w:rsid w:val="003620C9"/>
    <w:rsid w:val="00362AB5"/>
    <w:rsid w:val="00362C40"/>
    <w:rsid w:val="00364C61"/>
    <w:rsid w:val="00364E45"/>
    <w:rsid w:val="00365243"/>
    <w:rsid w:val="003658B2"/>
    <w:rsid w:val="003660C3"/>
    <w:rsid w:val="00366502"/>
    <w:rsid w:val="00367448"/>
    <w:rsid w:val="003674A3"/>
    <w:rsid w:val="0036760C"/>
    <w:rsid w:val="00367FE0"/>
    <w:rsid w:val="00370844"/>
    <w:rsid w:val="003710E3"/>
    <w:rsid w:val="00371FB8"/>
    <w:rsid w:val="00372232"/>
    <w:rsid w:val="0037326C"/>
    <w:rsid w:val="00373C98"/>
    <w:rsid w:val="00373F67"/>
    <w:rsid w:val="003741F9"/>
    <w:rsid w:val="003745FE"/>
    <w:rsid w:val="00374812"/>
    <w:rsid w:val="003760DB"/>
    <w:rsid w:val="00376598"/>
    <w:rsid w:val="003767F2"/>
    <w:rsid w:val="003777A0"/>
    <w:rsid w:val="003778C0"/>
    <w:rsid w:val="00377940"/>
    <w:rsid w:val="00377F86"/>
    <w:rsid w:val="00380173"/>
    <w:rsid w:val="0038082B"/>
    <w:rsid w:val="003808AB"/>
    <w:rsid w:val="003815E0"/>
    <w:rsid w:val="00381918"/>
    <w:rsid w:val="00381B07"/>
    <w:rsid w:val="00381B8F"/>
    <w:rsid w:val="0038226A"/>
    <w:rsid w:val="00382F4A"/>
    <w:rsid w:val="003833C9"/>
    <w:rsid w:val="00383B64"/>
    <w:rsid w:val="003843EC"/>
    <w:rsid w:val="003843F4"/>
    <w:rsid w:val="0038492A"/>
    <w:rsid w:val="00384B7D"/>
    <w:rsid w:val="0038507B"/>
    <w:rsid w:val="00385318"/>
    <w:rsid w:val="003858C2"/>
    <w:rsid w:val="00385969"/>
    <w:rsid w:val="00385A1D"/>
    <w:rsid w:val="00385A6F"/>
    <w:rsid w:val="00386191"/>
    <w:rsid w:val="00386A48"/>
    <w:rsid w:val="0038700B"/>
    <w:rsid w:val="003872D2"/>
    <w:rsid w:val="003872E5"/>
    <w:rsid w:val="00387B5D"/>
    <w:rsid w:val="00387DAA"/>
    <w:rsid w:val="00387EFD"/>
    <w:rsid w:val="00390B8B"/>
    <w:rsid w:val="00390D99"/>
    <w:rsid w:val="003922D2"/>
    <w:rsid w:val="00393370"/>
    <w:rsid w:val="003933BC"/>
    <w:rsid w:val="00393E8D"/>
    <w:rsid w:val="00394397"/>
    <w:rsid w:val="00394F8D"/>
    <w:rsid w:val="00395E91"/>
    <w:rsid w:val="00396283"/>
    <w:rsid w:val="00396635"/>
    <w:rsid w:val="00396AD7"/>
    <w:rsid w:val="00396CB2"/>
    <w:rsid w:val="00397ABA"/>
    <w:rsid w:val="003A0651"/>
    <w:rsid w:val="003A0B6E"/>
    <w:rsid w:val="003A0D8B"/>
    <w:rsid w:val="003A0FBF"/>
    <w:rsid w:val="003A1959"/>
    <w:rsid w:val="003A1DB9"/>
    <w:rsid w:val="003A1EF7"/>
    <w:rsid w:val="003A2069"/>
    <w:rsid w:val="003A3A3D"/>
    <w:rsid w:val="003A3FA7"/>
    <w:rsid w:val="003A49CB"/>
    <w:rsid w:val="003A504C"/>
    <w:rsid w:val="003A525A"/>
    <w:rsid w:val="003A52A2"/>
    <w:rsid w:val="003A5B2E"/>
    <w:rsid w:val="003A5CF6"/>
    <w:rsid w:val="003A601A"/>
    <w:rsid w:val="003A6110"/>
    <w:rsid w:val="003A6971"/>
    <w:rsid w:val="003A6D9C"/>
    <w:rsid w:val="003A6E43"/>
    <w:rsid w:val="003A70AE"/>
    <w:rsid w:val="003A78AE"/>
    <w:rsid w:val="003A7B54"/>
    <w:rsid w:val="003A7BC6"/>
    <w:rsid w:val="003B0246"/>
    <w:rsid w:val="003B086C"/>
    <w:rsid w:val="003B0B52"/>
    <w:rsid w:val="003B10A8"/>
    <w:rsid w:val="003B141F"/>
    <w:rsid w:val="003B165B"/>
    <w:rsid w:val="003B203D"/>
    <w:rsid w:val="003B2A88"/>
    <w:rsid w:val="003B2C8B"/>
    <w:rsid w:val="003B3201"/>
    <w:rsid w:val="003B3D52"/>
    <w:rsid w:val="003B417B"/>
    <w:rsid w:val="003B44EA"/>
    <w:rsid w:val="003B4F7B"/>
    <w:rsid w:val="003B522D"/>
    <w:rsid w:val="003B5586"/>
    <w:rsid w:val="003B5A32"/>
    <w:rsid w:val="003B5BD9"/>
    <w:rsid w:val="003B704B"/>
    <w:rsid w:val="003B76BA"/>
    <w:rsid w:val="003B7F09"/>
    <w:rsid w:val="003C04DE"/>
    <w:rsid w:val="003C0B0A"/>
    <w:rsid w:val="003C0E61"/>
    <w:rsid w:val="003C12BC"/>
    <w:rsid w:val="003C13B7"/>
    <w:rsid w:val="003C13C0"/>
    <w:rsid w:val="003C145A"/>
    <w:rsid w:val="003C1B1E"/>
    <w:rsid w:val="003C253B"/>
    <w:rsid w:val="003C2CD9"/>
    <w:rsid w:val="003C2E78"/>
    <w:rsid w:val="003C2FBF"/>
    <w:rsid w:val="003C3273"/>
    <w:rsid w:val="003C3A71"/>
    <w:rsid w:val="003C3ED2"/>
    <w:rsid w:val="003C4497"/>
    <w:rsid w:val="003C4852"/>
    <w:rsid w:val="003C4879"/>
    <w:rsid w:val="003C4E2E"/>
    <w:rsid w:val="003C511B"/>
    <w:rsid w:val="003C5B40"/>
    <w:rsid w:val="003C60A0"/>
    <w:rsid w:val="003C636F"/>
    <w:rsid w:val="003C63C0"/>
    <w:rsid w:val="003C7360"/>
    <w:rsid w:val="003C77D1"/>
    <w:rsid w:val="003C7901"/>
    <w:rsid w:val="003D050A"/>
    <w:rsid w:val="003D054E"/>
    <w:rsid w:val="003D06C2"/>
    <w:rsid w:val="003D0849"/>
    <w:rsid w:val="003D1872"/>
    <w:rsid w:val="003D1D98"/>
    <w:rsid w:val="003D1DDC"/>
    <w:rsid w:val="003D26FE"/>
    <w:rsid w:val="003D270D"/>
    <w:rsid w:val="003D29DE"/>
    <w:rsid w:val="003D3637"/>
    <w:rsid w:val="003D36AC"/>
    <w:rsid w:val="003D3BA4"/>
    <w:rsid w:val="003D4146"/>
    <w:rsid w:val="003D416D"/>
    <w:rsid w:val="003D4716"/>
    <w:rsid w:val="003D4804"/>
    <w:rsid w:val="003D4853"/>
    <w:rsid w:val="003D499C"/>
    <w:rsid w:val="003D4A1C"/>
    <w:rsid w:val="003D4AA0"/>
    <w:rsid w:val="003D52A8"/>
    <w:rsid w:val="003D5529"/>
    <w:rsid w:val="003D596D"/>
    <w:rsid w:val="003D5F8D"/>
    <w:rsid w:val="003D603E"/>
    <w:rsid w:val="003D6195"/>
    <w:rsid w:val="003D669F"/>
    <w:rsid w:val="003D69C7"/>
    <w:rsid w:val="003D6BD4"/>
    <w:rsid w:val="003D6BF6"/>
    <w:rsid w:val="003D7197"/>
    <w:rsid w:val="003D757E"/>
    <w:rsid w:val="003D7A5B"/>
    <w:rsid w:val="003D7FD4"/>
    <w:rsid w:val="003E0146"/>
    <w:rsid w:val="003E0228"/>
    <w:rsid w:val="003E02E9"/>
    <w:rsid w:val="003E0652"/>
    <w:rsid w:val="003E082D"/>
    <w:rsid w:val="003E09EF"/>
    <w:rsid w:val="003E10C3"/>
    <w:rsid w:val="003E215D"/>
    <w:rsid w:val="003E24EF"/>
    <w:rsid w:val="003E35B8"/>
    <w:rsid w:val="003E51A1"/>
    <w:rsid w:val="003E525A"/>
    <w:rsid w:val="003E585E"/>
    <w:rsid w:val="003E6865"/>
    <w:rsid w:val="003E6BB0"/>
    <w:rsid w:val="003E7300"/>
    <w:rsid w:val="003E740E"/>
    <w:rsid w:val="003E75A4"/>
    <w:rsid w:val="003E7ABA"/>
    <w:rsid w:val="003E7D19"/>
    <w:rsid w:val="003F0657"/>
    <w:rsid w:val="003F06B2"/>
    <w:rsid w:val="003F0A0C"/>
    <w:rsid w:val="003F0E4C"/>
    <w:rsid w:val="003F1208"/>
    <w:rsid w:val="003F1280"/>
    <w:rsid w:val="003F13A2"/>
    <w:rsid w:val="003F1557"/>
    <w:rsid w:val="003F19BE"/>
    <w:rsid w:val="003F1A96"/>
    <w:rsid w:val="003F1CBD"/>
    <w:rsid w:val="003F1D54"/>
    <w:rsid w:val="003F1E2D"/>
    <w:rsid w:val="003F3108"/>
    <w:rsid w:val="003F3363"/>
    <w:rsid w:val="003F34AF"/>
    <w:rsid w:val="003F3B61"/>
    <w:rsid w:val="003F3C73"/>
    <w:rsid w:val="003F3CDC"/>
    <w:rsid w:val="003F3EC2"/>
    <w:rsid w:val="003F4170"/>
    <w:rsid w:val="003F489D"/>
    <w:rsid w:val="003F49B4"/>
    <w:rsid w:val="003F4A4F"/>
    <w:rsid w:val="003F5925"/>
    <w:rsid w:val="003F6291"/>
    <w:rsid w:val="003F6353"/>
    <w:rsid w:val="003F63C4"/>
    <w:rsid w:val="003F6AE2"/>
    <w:rsid w:val="003F6FA3"/>
    <w:rsid w:val="003F7336"/>
    <w:rsid w:val="003F782F"/>
    <w:rsid w:val="003F7B56"/>
    <w:rsid w:val="003F7DFB"/>
    <w:rsid w:val="004001E2"/>
    <w:rsid w:val="00400B1D"/>
    <w:rsid w:val="00400B57"/>
    <w:rsid w:val="00400B61"/>
    <w:rsid w:val="00402582"/>
    <w:rsid w:val="00402672"/>
    <w:rsid w:val="00402FDC"/>
    <w:rsid w:val="004030DD"/>
    <w:rsid w:val="0040359A"/>
    <w:rsid w:val="00403686"/>
    <w:rsid w:val="00404604"/>
    <w:rsid w:val="00404E26"/>
    <w:rsid w:val="00404F7C"/>
    <w:rsid w:val="00405131"/>
    <w:rsid w:val="0040645D"/>
    <w:rsid w:val="00406488"/>
    <w:rsid w:val="004076C5"/>
    <w:rsid w:val="00407BE2"/>
    <w:rsid w:val="00410855"/>
    <w:rsid w:val="00410A11"/>
    <w:rsid w:val="00410FA7"/>
    <w:rsid w:val="004120E7"/>
    <w:rsid w:val="00412169"/>
    <w:rsid w:val="004121EB"/>
    <w:rsid w:val="004127D9"/>
    <w:rsid w:val="00412894"/>
    <w:rsid w:val="004129AD"/>
    <w:rsid w:val="00412AC3"/>
    <w:rsid w:val="004133F9"/>
    <w:rsid w:val="00413EFE"/>
    <w:rsid w:val="00414514"/>
    <w:rsid w:val="00414B1F"/>
    <w:rsid w:val="00414B5B"/>
    <w:rsid w:val="004153CD"/>
    <w:rsid w:val="004157F6"/>
    <w:rsid w:val="004158F5"/>
    <w:rsid w:val="004161BD"/>
    <w:rsid w:val="004164A6"/>
    <w:rsid w:val="004169A4"/>
    <w:rsid w:val="00416CA4"/>
    <w:rsid w:val="00416E04"/>
    <w:rsid w:val="004173CF"/>
    <w:rsid w:val="004175B7"/>
    <w:rsid w:val="004179E6"/>
    <w:rsid w:val="00417C16"/>
    <w:rsid w:val="00420668"/>
    <w:rsid w:val="0042068D"/>
    <w:rsid w:val="004209C2"/>
    <w:rsid w:val="00420AEC"/>
    <w:rsid w:val="0042129C"/>
    <w:rsid w:val="00421475"/>
    <w:rsid w:val="0042198D"/>
    <w:rsid w:val="004219E6"/>
    <w:rsid w:val="00423934"/>
    <w:rsid w:val="00423ACA"/>
    <w:rsid w:val="00423C4E"/>
    <w:rsid w:val="00423D7B"/>
    <w:rsid w:val="00423D85"/>
    <w:rsid w:val="00424198"/>
    <w:rsid w:val="00424389"/>
    <w:rsid w:val="00424DC6"/>
    <w:rsid w:val="0042511F"/>
    <w:rsid w:val="0042529B"/>
    <w:rsid w:val="00425575"/>
    <w:rsid w:val="00425707"/>
    <w:rsid w:val="004258C5"/>
    <w:rsid w:val="00425DE6"/>
    <w:rsid w:val="00425E29"/>
    <w:rsid w:val="00426250"/>
    <w:rsid w:val="004269BB"/>
    <w:rsid w:val="00426F5F"/>
    <w:rsid w:val="00427385"/>
    <w:rsid w:val="004273E5"/>
    <w:rsid w:val="0042790E"/>
    <w:rsid w:val="00427A54"/>
    <w:rsid w:val="00427E80"/>
    <w:rsid w:val="00430382"/>
    <w:rsid w:val="004315EB"/>
    <w:rsid w:val="004316E3"/>
    <w:rsid w:val="00431BFA"/>
    <w:rsid w:val="00431C31"/>
    <w:rsid w:val="00432085"/>
    <w:rsid w:val="00432468"/>
    <w:rsid w:val="00433231"/>
    <w:rsid w:val="004338D0"/>
    <w:rsid w:val="00433931"/>
    <w:rsid w:val="004339B1"/>
    <w:rsid w:val="00433A55"/>
    <w:rsid w:val="00433B65"/>
    <w:rsid w:val="00433E16"/>
    <w:rsid w:val="00434E61"/>
    <w:rsid w:val="00435D60"/>
    <w:rsid w:val="00435DEC"/>
    <w:rsid w:val="0043690F"/>
    <w:rsid w:val="00436A3B"/>
    <w:rsid w:val="00436AE1"/>
    <w:rsid w:val="0043713B"/>
    <w:rsid w:val="00437887"/>
    <w:rsid w:val="00437BBF"/>
    <w:rsid w:val="00437D24"/>
    <w:rsid w:val="00437DA3"/>
    <w:rsid w:val="00440426"/>
    <w:rsid w:val="00440765"/>
    <w:rsid w:val="00441444"/>
    <w:rsid w:val="004417FD"/>
    <w:rsid w:val="004426E3"/>
    <w:rsid w:val="004429C3"/>
    <w:rsid w:val="00442A78"/>
    <w:rsid w:val="00442DD7"/>
    <w:rsid w:val="004433D3"/>
    <w:rsid w:val="0044402F"/>
    <w:rsid w:val="00444CF2"/>
    <w:rsid w:val="0044534A"/>
    <w:rsid w:val="00445648"/>
    <w:rsid w:val="0044603E"/>
    <w:rsid w:val="004461B0"/>
    <w:rsid w:val="004466BA"/>
    <w:rsid w:val="00446DCB"/>
    <w:rsid w:val="00447DBA"/>
    <w:rsid w:val="00450123"/>
    <w:rsid w:val="0045041F"/>
    <w:rsid w:val="00450AFB"/>
    <w:rsid w:val="004514A1"/>
    <w:rsid w:val="00452822"/>
    <w:rsid w:val="00452D45"/>
    <w:rsid w:val="00453238"/>
    <w:rsid w:val="00453546"/>
    <w:rsid w:val="00453895"/>
    <w:rsid w:val="004543BB"/>
    <w:rsid w:val="00454922"/>
    <w:rsid w:val="00454C57"/>
    <w:rsid w:val="00455834"/>
    <w:rsid w:val="00455EFE"/>
    <w:rsid w:val="0045694F"/>
    <w:rsid w:val="00456FA9"/>
    <w:rsid w:val="00457021"/>
    <w:rsid w:val="004574C9"/>
    <w:rsid w:val="004606FF"/>
    <w:rsid w:val="004607EC"/>
    <w:rsid w:val="00460B86"/>
    <w:rsid w:val="00460E30"/>
    <w:rsid w:val="0046106B"/>
    <w:rsid w:val="00461112"/>
    <w:rsid w:val="00461275"/>
    <w:rsid w:val="004612AB"/>
    <w:rsid w:val="00461D76"/>
    <w:rsid w:val="00461E02"/>
    <w:rsid w:val="00461F21"/>
    <w:rsid w:val="0046227C"/>
    <w:rsid w:val="004629B0"/>
    <w:rsid w:val="00462BA7"/>
    <w:rsid w:val="00462CD0"/>
    <w:rsid w:val="00463918"/>
    <w:rsid w:val="00463A2C"/>
    <w:rsid w:val="00463AE0"/>
    <w:rsid w:val="00463CD9"/>
    <w:rsid w:val="0046440F"/>
    <w:rsid w:val="0046501F"/>
    <w:rsid w:val="004667E7"/>
    <w:rsid w:val="00467163"/>
    <w:rsid w:val="00467449"/>
    <w:rsid w:val="004676B7"/>
    <w:rsid w:val="004677E9"/>
    <w:rsid w:val="00467875"/>
    <w:rsid w:val="00467EC2"/>
    <w:rsid w:val="004701A2"/>
    <w:rsid w:val="004705C0"/>
    <w:rsid w:val="00471005"/>
    <w:rsid w:val="004710AE"/>
    <w:rsid w:val="0047120B"/>
    <w:rsid w:val="00471338"/>
    <w:rsid w:val="004715C5"/>
    <w:rsid w:val="0047173B"/>
    <w:rsid w:val="004719F7"/>
    <w:rsid w:val="00471E74"/>
    <w:rsid w:val="004721FF"/>
    <w:rsid w:val="00472C67"/>
    <w:rsid w:val="00472F5B"/>
    <w:rsid w:val="004734F3"/>
    <w:rsid w:val="00473B5A"/>
    <w:rsid w:val="00473FFC"/>
    <w:rsid w:val="00474D46"/>
    <w:rsid w:val="004755A2"/>
    <w:rsid w:val="0047575A"/>
    <w:rsid w:val="00475A72"/>
    <w:rsid w:val="00475FDC"/>
    <w:rsid w:val="00476416"/>
    <w:rsid w:val="00476422"/>
    <w:rsid w:val="00476ACE"/>
    <w:rsid w:val="00476E68"/>
    <w:rsid w:val="00476EBB"/>
    <w:rsid w:val="004771F1"/>
    <w:rsid w:val="004776D4"/>
    <w:rsid w:val="00477F49"/>
    <w:rsid w:val="00480109"/>
    <w:rsid w:val="004808AC"/>
    <w:rsid w:val="00480AB2"/>
    <w:rsid w:val="0048106B"/>
    <w:rsid w:val="004813FA"/>
    <w:rsid w:val="00481C8A"/>
    <w:rsid w:val="00481CD2"/>
    <w:rsid w:val="00481D3D"/>
    <w:rsid w:val="00481ED4"/>
    <w:rsid w:val="00481F5E"/>
    <w:rsid w:val="004822A5"/>
    <w:rsid w:val="0048251C"/>
    <w:rsid w:val="00482B46"/>
    <w:rsid w:val="00482CC9"/>
    <w:rsid w:val="00482DB2"/>
    <w:rsid w:val="00483624"/>
    <w:rsid w:val="0048370A"/>
    <w:rsid w:val="00483C79"/>
    <w:rsid w:val="004844BC"/>
    <w:rsid w:val="004845BB"/>
    <w:rsid w:val="00484815"/>
    <w:rsid w:val="00484BB9"/>
    <w:rsid w:val="00485581"/>
    <w:rsid w:val="00485B72"/>
    <w:rsid w:val="00485EB1"/>
    <w:rsid w:val="0048620A"/>
    <w:rsid w:val="0048674C"/>
    <w:rsid w:val="00486D82"/>
    <w:rsid w:val="00486D8B"/>
    <w:rsid w:val="00486FE1"/>
    <w:rsid w:val="004879C7"/>
    <w:rsid w:val="00490D5B"/>
    <w:rsid w:val="004911B4"/>
    <w:rsid w:val="00491A5E"/>
    <w:rsid w:val="00491B0F"/>
    <w:rsid w:val="00492FA1"/>
    <w:rsid w:val="004936DB"/>
    <w:rsid w:val="00494B0D"/>
    <w:rsid w:val="0049565D"/>
    <w:rsid w:val="004958E6"/>
    <w:rsid w:val="00495948"/>
    <w:rsid w:val="00496A05"/>
    <w:rsid w:val="00496D84"/>
    <w:rsid w:val="00496D9B"/>
    <w:rsid w:val="00496E3E"/>
    <w:rsid w:val="00497463"/>
    <w:rsid w:val="00497889"/>
    <w:rsid w:val="004A0277"/>
    <w:rsid w:val="004A0850"/>
    <w:rsid w:val="004A0A49"/>
    <w:rsid w:val="004A25CD"/>
    <w:rsid w:val="004A2A16"/>
    <w:rsid w:val="004A2D9B"/>
    <w:rsid w:val="004A3627"/>
    <w:rsid w:val="004A39E6"/>
    <w:rsid w:val="004A3FDD"/>
    <w:rsid w:val="004A4066"/>
    <w:rsid w:val="004A4191"/>
    <w:rsid w:val="004A4BB1"/>
    <w:rsid w:val="004A581C"/>
    <w:rsid w:val="004A6708"/>
    <w:rsid w:val="004A77A6"/>
    <w:rsid w:val="004B0BDD"/>
    <w:rsid w:val="004B13F1"/>
    <w:rsid w:val="004B189C"/>
    <w:rsid w:val="004B25F9"/>
    <w:rsid w:val="004B29F2"/>
    <w:rsid w:val="004B2C6E"/>
    <w:rsid w:val="004B2C87"/>
    <w:rsid w:val="004B3760"/>
    <w:rsid w:val="004B3ED9"/>
    <w:rsid w:val="004B417D"/>
    <w:rsid w:val="004B4422"/>
    <w:rsid w:val="004B4498"/>
    <w:rsid w:val="004B4F47"/>
    <w:rsid w:val="004B589B"/>
    <w:rsid w:val="004B5DB4"/>
    <w:rsid w:val="004B601A"/>
    <w:rsid w:val="004B6142"/>
    <w:rsid w:val="004B6563"/>
    <w:rsid w:val="004B6DE6"/>
    <w:rsid w:val="004B7425"/>
    <w:rsid w:val="004B76BE"/>
    <w:rsid w:val="004B79E1"/>
    <w:rsid w:val="004B7A32"/>
    <w:rsid w:val="004C07B2"/>
    <w:rsid w:val="004C09F8"/>
    <w:rsid w:val="004C0A70"/>
    <w:rsid w:val="004C10B3"/>
    <w:rsid w:val="004C1336"/>
    <w:rsid w:val="004C1BB4"/>
    <w:rsid w:val="004C1EE1"/>
    <w:rsid w:val="004C1F58"/>
    <w:rsid w:val="004C2151"/>
    <w:rsid w:val="004C283C"/>
    <w:rsid w:val="004C2CE1"/>
    <w:rsid w:val="004C3B2B"/>
    <w:rsid w:val="004C3C78"/>
    <w:rsid w:val="004C3FA9"/>
    <w:rsid w:val="004C402A"/>
    <w:rsid w:val="004C452A"/>
    <w:rsid w:val="004C4787"/>
    <w:rsid w:val="004C4843"/>
    <w:rsid w:val="004C4AAF"/>
    <w:rsid w:val="004C4B6A"/>
    <w:rsid w:val="004C4F9A"/>
    <w:rsid w:val="004C52F3"/>
    <w:rsid w:val="004C54E2"/>
    <w:rsid w:val="004C57D1"/>
    <w:rsid w:val="004C5800"/>
    <w:rsid w:val="004C5C4F"/>
    <w:rsid w:val="004C5D79"/>
    <w:rsid w:val="004C5D87"/>
    <w:rsid w:val="004C6344"/>
    <w:rsid w:val="004C642B"/>
    <w:rsid w:val="004C6ADF"/>
    <w:rsid w:val="004C76CE"/>
    <w:rsid w:val="004C7A3D"/>
    <w:rsid w:val="004C7B96"/>
    <w:rsid w:val="004C7E10"/>
    <w:rsid w:val="004D028E"/>
    <w:rsid w:val="004D037A"/>
    <w:rsid w:val="004D03DD"/>
    <w:rsid w:val="004D076F"/>
    <w:rsid w:val="004D1A85"/>
    <w:rsid w:val="004D23D2"/>
    <w:rsid w:val="004D4ADA"/>
    <w:rsid w:val="004D4D9B"/>
    <w:rsid w:val="004D500C"/>
    <w:rsid w:val="004D567D"/>
    <w:rsid w:val="004D5695"/>
    <w:rsid w:val="004D5B93"/>
    <w:rsid w:val="004D5DC1"/>
    <w:rsid w:val="004D5EB5"/>
    <w:rsid w:val="004D61B7"/>
    <w:rsid w:val="004D71A7"/>
    <w:rsid w:val="004D74E4"/>
    <w:rsid w:val="004D7B70"/>
    <w:rsid w:val="004E0211"/>
    <w:rsid w:val="004E0AF2"/>
    <w:rsid w:val="004E0FBC"/>
    <w:rsid w:val="004E114E"/>
    <w:rsid w:val="004E23DE"/>
    <w:rsid w:val="004E2A2A"/>
    <w:rsid w:val="004E2C6E"/>
    <w:rsid w:val="004E30C7"/>
    <w:rsid w:val="004E3446"/>
    <w:rsid w:val="004E352E"/>
    <w:rsid w:val="004E35EB"/>
    <w:rsid w:val="004E3621"/>
    <w:rsid w:val="004E4321"/>
    <w:rsid w:val="004E4348"/>
    <w:rsid w:val="004E44F4"/>
    <w:rsid w:val="004E5883"/>
    <w:rsid w:val="004E5B31"/>
    <w:rsid w:val="004E611C"/>
    <w:rsid w:val="004E6E94"/>
    <w:rsid w:val="004E6F29"/>
    <w:rsid w:val="004E6F38"/>
    <w:rsid w:val="004E738D"/>
    <w:rsid w:val="004E759F"/>
    <w:rsid w:val="004E7F50"/>
    <w:rsid w:val="004F0058"/>
    <w:rsid w:val="004F0E81"/>
    <w:rsid w:val="004F159B"/>
    <w:rsid w:val="004F17E5"/>
    <w:rsid w:val="004F1A7D"/>
    <w:rsid w:val="004F3093"/>
    <w:rsid w:val="004F39EA"/>
    <w:rsid w:val="004F3C89"/>
    <w:rsid w:val="004F3CFE"/>
    <w:rsid w:val="004F3ED3"/>
    <w:rsid w:val="004F498D"/>
    <w:rsid w:val="004F4A81"/>
    <w:rsid w:val="004F4CED"/>
    <w:rsid w:val="004F4DD3"/>
    <w:rsid w:val="004F595C"/>
    <w:rsid w:val="004F5B34"/>
    <w:rsid w:val="004F5EDB"/>
    <w:rsid w:val="004F5FFD"/>
    <w:rsid w:val="004F6584"/>
    <w:rsid w:val="004F67D8"/>
    <w:rsid w:val="004F6ABE"/>
    <w:rsid w:val="004F6CA6"/>
    <w:rsid w:val="004F75DA"/>
    <w:rsid w:val="00500062"/>
    <w:rsid w:val="00500255"/>
    <w:rsid w:val="0050064C"/>
    <w:rsid w:val="005008D5"/>
    <w:rsid w:val="0050099B"/>
    <w:rsid w:val="00500A1E"/>
    <w:rsid w:val="0050148B"/>
    <w:rsid w:val="005020B7"/>
    <w:rsid w:val="00502670"/>
    <w:rsid w:val="005033BD"/>
    <w:rsid w:val="00504320"/>
    <w:rsid w:val="00504605"/>
    <w:rsid w:val="00504708"/>
    <w:rsid w:val="005048C5"/>
    <w:rsid w:val="00504A69"/>
    <w:rsid w:val="005055E6"/>
    <w:rsid w:val="00505A7B"/>
    <w:rsid w:val="00505F20"/>
    <w:rsid w:val="00506122"/>
    <w:rsid w:val="00506CD3"/>
    <w:rsid w:val="00506D78"/>
    <w:rsid w:val="005074DA"/>
    <w:rsid w:val="00507941"/>
    <w:rsid w:val="00507BCB"/>
    <w:rsid w:val="00507CEA"/>
    <w:rsid w:val="00507FF3"/>
    <w:rsid w:val="00510043"/>
    <w:rsid w:val="0051012A"/>
    <w:rsid w:val="005108ED"/>
    <w:rsid w:val="00510BC9"/>
    <w:rsid w:val="00510FD3"/>
    <w:rsid w:val="00511CC7"/>
    <w:rsid w:val="0051243D"/>
    <w:rsid w:val="005124B1"/>
    <w:rsid w:val="00512DEE"/>
    <w:rsid w:val="00512E66"/>
    <w:rsid w:val="0051321B"/>
    <w:rsid w:val="0051377B"/>
    <w:rsid w:val="005139ED"/>
    <w:rsid w:val="00513E73"/>
    <w:rsid w:val="00514F67"/>
    <w:rsid w:val="005151A6"/>
    <w:rsid w:val="005157B9"/>
    <w:rsid w:val="00515868"/>
    <w:rsid w:val="00516458"/>
    <w:rsid w:val="00516625"/>
    <w:rsid w:val="0051697D"/>
    <w:rsid w:val="00516CBD"/>
    <w:rsid w:val="00517231"/>
    <w:rsid w:val="00517519"/>
    <w:rsid w:val="00517B1E"/>
    <w:rsid w:val="005201D7"/>
    <w:rsid w:val="00520256"/>
    <w:rsid w:val="0052042D"/>
    <w:rsid w:val="00520A1C"/>
    <w:rsid w:val="00520CB3"/>
    <w:rsid w:val="00520D9B"/>
    <w:rsid w:val="00520FB8"/>
    <w:rsid w:val="00521291"/>
    <w:rsid w:val="00521748"/>
    <w:rsid w:val="00521AEF"/>
    <w:rsid w:val="00521ED7"/>
    <w:rsid w:val="0052233C"/>
    <w:rsid w:val="005225F7"/>
    <w:rsid w:val="005225F9"/>
    <w:rsid w:val="00522E81"/>
    <w:rsid w:val="0052344B"/>
    <w:rsid w:val="005239BC"/>
    <w:rsid w:val="00523DAB"/>
    <w:rsid w:val="0052444F"/>
    <w:rsid w:val="005246C6"/>
    <w:rsid w:val="00524E53"/>
    <w:rsid w:val="00525B7F"/>
    <w:rsid w:val="00526BF0"/>
    <w:rsid w:val="00526E2C"/>
    <w:rsid w:val="00527249"/>
    <w:rsid w:val="0052743A"/>
    <w:rsid w:val="00531F36"/>
    <w:rsid w:val="0053200B"/>
    <w:rsid w:val="005322D4"/>
    <w:rsid w:val="0053237F"/>
    <w:rsid w:val="00533113"/>
    <w:rsid w:val="00533793"/>
    <w:rsid w:val="00533A00"/>
    <w:rsid w:val="00534405"/>
    <w:rsid w:val="00534588"/>
    <w:rsid w:val="00534A57"/>
    <w:rsid w:val="00534E8E"/>
    <w:rsid w:val="005351C5"/>
    <w:rsid w:val="00535857"/>
    <w:rsid w:val="005359FF"/>
    <w:rsid w:val="0053626C"/>
    <w:rsid w:val="005364B9"/>
    <w:rsid w:val="00536EA5"/>
    <w:rsid w:val="005371D4"/>
    <w:rsid w:val="00537F34"/>
    <w:rsid w:val="0054041E"/>
    <w:rsid w:val="005406A3"/>
    <w:rsid w:val="00541274"/>
    <w:rsid w:val="005415B9"/>
    <w:rsid w:val="00541E0F"/>
    <w:rsid w:val="00542588"/>
    <w:rsid w:val="005425A1"/>
    <w:rsid w:val="005425AC"/>
    <w:rsid w:val="00542728"/>
    <w:rsid w:val="00542E21"/>
    <w:rsid w:val="00542E4B"/>
    <w:rsid w:val="00544151"/>
    <w:rsid w:val="00544C4E"/>
    <w:rsid w:val="00545ACF"/>
    <w:rsid w:val="00546194"/>
    <w:rsid w:val="0054636E"/>
    <w:rsid w:val="00546568"/>
    <w:rsid w:val="00547423"/>
    <w:rsid w:val="00547CF7"/>
    <w:rsid w:val="00547D7D"/>
    <w:rsid w:val="005500BB"/>
    <w:rsid w:val="00550BFF"/>
    <w:rsid w:val="00550C41"/>
    <w:rsid w:val="00550E82"/>
    <w:rsid w:val="005511A5"/>
    <w:rsid w:val="00551293"/>
    <w:rsid w:val="0055179C"/>
    <w:rsid w:val="00551B40"/>
    <w:rsid w:val="0055211E"/>
    <w:rsid w:val="0055357B"/>
    <w:rsid w:val="00553675"/>
    <w:rsid w:val="00553DBB"/>
    <w:rsid w:val="00554920"/>
    <w:rsid w:val="00554AC7"/>
    <w:rsid w:val="00555FAD"/>
    <w:rsid w:val="005560E5"/>
    <w:rsid w:val="0055666F"/>
    <w:rsid w:val="005566F7"/>
    <w:rsid w:val="00556A62"/>
    <w:rsid w:val="00556B84"/>
    <w:rsid w:val="00556C23"/>
    <w:rsid w:val="00557CFB"/>
    <w:rsid w:val="00560152"/>
    <w:rsid w:val="00560268"/>
    <w:rsid w:val="00560EAD"/>
    <w:rsid w:val="00561175"/>
    <w:rsid w:val="00562475"/>
    <w:rsid w:val="00562523"/>
    <w:rsid w:val="00562737"/>
    <w:rsid w:val="00562794"/>
    <w:rsid w:val="00563209"/>
    <w:rsid w:val="0056355C"/>
    <w:rsid w:val="00563872"/>
    <w:rsid w:val="00563943"/>
    <w:rsid w:val="00563D3B"/>
    <w:rsid w:val="00564521"/>
    <w:rsid w:val="00564955"/>
    <w:rsid w:val="00566168"/>
    <w:rsid w:val="005669B2"/>
    <w:rsid w:val="00566A41"/>
    <w:rsid w:val="00566B16"/>
    <w:rsid w:val="00566E5B"/>
    <w:rsid w:val="00566E77"/>
    <w:rsid w:val="0056717E"/>
    <w:rsid w:val="005677BC"/>
    <w:rsid w:val="005678C8"/>
    <w:rsid w:val="005704DD"/>
    <w:rsid w:val="005715AA"/>
    <w:rsid w:val="00571E91"/>
    <w:rsid w:val="0057201D"/>
    <w:rsid w:val="0057246E"/>
    <w:rsid w:val="0057257B"/>
    <w:rsid w:val="005728A9"/>
    <w:rsid w:val="00572B4D"/>
    <w:rsid w:val="00572D13"/>
    <w:rsid w:val="005731BB"/>
    <w:rsid w:val="00573436"/>
    <w:rsid w:val="005742AC"/>
    <w:rsid w:val="0057471B"/>
    <w:rsid w:val="00574AE3"/>
    <w:rsid w:val="00574BF4"/>
    <w:rsid w:val="00575373"/>
    <w:rsid w:val="00575385"/>
    <w:rsid w:val="005755D3"/>
    <w:rsid w:val="00575819"/>
    <w:rsid w:val="00575C02"/>
    <w:rsid w:val="00575E25"/>
    <w:rsid w:val="00575EA1"/>
    <w:rsid w:val="0057646E"/>
    <w:rsid w:val="00577BBF"/>
    <w:rsid w:val="005801C5"/>
    <w:rsid w:val="0058081A"/>
    <w:rsid w:val="005809E4"/>
    <w:rsid w:val="00580BEF"/>
    <w:rsid w:val="0058158E"/>
    <w:rsid w:val="00581696"/>
    <w:rsid w:val="005816BA"/>
    <w:rsid w:val="005817DC"/>
    <w:rsid w:val="00581AE7"/>
    <w:rsid w:val="00581F94"/>
    <w:rsid w:val="0058294E"/>
    <w:rsid w:val="00582DBE"/>
    <w:rsid w:val="00582F22"/>
    <w:rsid w:val="005838E2"/>
    <w:rsid w:val="00585536"/>
    <w:rsid w:val="00585697"/>
    <w:rsid w:val="005857AD"/>
    <w:rsid w:val="00586108"/>
    <w:rsid w:val="005862DF"/>
    <w:rsid w:val="0058678D"/>
    <w:rsid w:val="005868F0"/>
    <w:rsid w:val="00586CFF"/>
    <w:rsid w:val="005871F6"/>
    <w:rsid w:val="00587377"/>
    <w:rsid w:val="00590878"/>
    <w:rsid w:val="00590EA1"/>
    <w:rsid w:val="00590FF3"/>
    <w:rsid w:val="00591334"/>
    <w:rsid w:val="005914A0"/>
    <w:rsid w:val="00591903"/>
    <w:rsid w:val="00591C33"/>
    <w:rsid w:val="00592274"/>
    <w:rsid w:val="0059288F"/>
    <w:rsid w:val="00592B20"/>
    <w:rsid w:val="0059340E"/>
    <w:rsid w:val="00593858"/>
    <w:rsid w:val="00593862"/>
    <w:rsid w:val="00594664"/>
    <w:rsid w:val="005947F4"/>
    <w:rsid w:val="00594AD5"/>
    <w:rsid w:val="005952AE"/>
    <w:rsid w:val="0059685F"/>
    <w:rsid w:val="005A0978"/>
    <w:rsid w:val="005A0A43"/>
    <w:rsid w:val="005A14B3"/>
    <w:rsid w:val="005A1A5F"/>
    <w:rsid w:val="005A20AF"/>
    <w:rsid w:val="005A23AC"/>
    <w:rsid w:val="005A2837"/>
    <w:rsid w:val="005A2861"/>
    <w:rsid w:val="005A30A5"/>
    <w:rsid w:val="005A4A6E"/>
    <w:rsid w:val="005A4D63"/>
    <w:rsid w:val="005A510E"/>
    <w:rsid w:val="005A53ED"/>
    <w:rsid w:val="005A57C3"/>
    <w:rsid w:val="005A5F38"/>
    <w:rsid w:val="005A6065"/>
    <w:rsid w:val="005A6156"/>
    <w:rsid w:val="005A62F1"/>
    <w:rsid w:val="005A662E"/>
    <w:rsid w:val="005A6E79"/>
    <w:rsid w:val="005A7FB4"/>
    <w:rsid w:val="005B030E"/>
    <w:rsid w:val="005B0407"/>
    <w:rsid w:val="005B0458"/>
    <w:rsid w:val="005B0771"/>
    <w:rsid w:val="005B0B99"/>
    <w:rsid w:val="005B12E4"/>
    <w:rsid w:val="005B1987"/>
    <w:rsid w:val="005B1F1F"/>
    <w:rsid w:val="005B2097"/>
    <w:rsid w:val="005B2375"/>
    <w:rsid w:val="005B2861"/>
    <w:rsid w:val="005B302E"/>
    <w:rsid w:val="005B37A2"/>
    <w:rsid w:val="005B3817"/>
    <w:rsid w:val="005B382B"/>
    <w:rsid w:val="005B38B0"/>
    <w:rsid w:val="005B3F80"/>
    <w:rsid w:val="005B410E"/>
    <w:rsid w:val="005B45EA"/>
    <w:rsid w:val="005B4978"/>
    <w:rsid w:val="005B5231"/>
    <w:rsid w:val="005B55E1"/>
    <w:rsid w:val="005B5945"/>
    <w:rsid w:val="005B5A9A"/>
    <w:rsid w:val="005B6A23"/>
    <w:rsid w:val="005B6A68"/>
    <w:rsid w:val="005B7248"/>
    <w:rsid w:val="005B7C57"/>
    <w:rsid w:val="005B7F90"/>
    <w:rsid w:val="005C080B"/>
    <w:rsid w:val="005C0EA0"/>
    <w:rsid w:val="005C1021"/>
    <w:rsid w:val="005C13AE"/>
    <w:rsid w:val="005C1401"/>
    <w:rsid w:val="005C16CA"/>
    <w:rsid w:val="005C1BB0"/>
    <w:rsid w:val="005C24AC"/>
    <w:rsid w:val="005C277C"/>
    <w:rsid w:val="005C2968"/>
    <w:rsid w:val="005C34F1"/>
    <w:rsid w:val="005C4014"/>
    <w:rsid w:val="005C4064"/>
    <w:rsid w:val="005C40A9"/>
    <w:rsid w:val="005C4227"/>
    <w:rsid w:val="005C4CA9"/>
    <w:rsid w:val="005C64A4"/>
    <w:rsid w:val="005C66D5"/>
    <w:rsid w:val="005C6A6B"/>
    <w:rsid w:val="005C6CB5"/>
    <w:rsid w:val="005C6DB3"/>
    <w:rsid w:val="005C7360"/>
    <w:rsid w:val="005C7454"/>
    <w:rsid w:val="005C764F"/>
    <w:rsid w:val="005D011E"/>
    <w:rsid w:val="005D03C1"/>
    <w:rsid w:val="005D16DE"/>
    <w:rsid w:val="005D1B5F"/>
    <w:rsid w:val="005D2199"/>
    <w:rsid w:val="005D22CA"/>
    <w:rsid w:val="005D2CB4"/>
    <w:rsid w:val="005D2EB3"/>
    <w:rsid w:val="005D360B"/>
    <w:rsid w:val="005D3BB0"/>
    <w:rsid w:val="005D499F"/>
    <w:rsid w:val="005D4A47"/>
    <w:rsid w:val="005D4C3A"/>
    <w:rsid w:val="005D4F42"/>
    <w:rsid w:val="005D507E"/>
    <w:rsid w:val="005D570E"/>
    <w:rsid w:val="005D5C32"/>
    <w:rsid w:val="005D5EB5"/>
    <w:rsid w:val="005D61AE"/>
    <w:rsid w:val="005D6270"/>
    <w:rsid w:val="005D65EE"/>
    <w:rsid w:val="005D6965"/>
    <w:rsid w:val="005D6AD8"/>
    <w:rsid w:val="005D6DFD"/>
    <w:rsid w:val="005D7004"/>
    <w:rsid w:val="005D7933"/>
    <w:rsid w:val="005D7D2B"/>
    <w:rsid w:val="005D7ECC"/>
    <w:rsid w:val="005D7F13"/>
    <w:rsid w:val="005E07D3"/>
    <w:rsid w:val="005E0BC1"/>
    <w:rsid w:val="005E1575"/>
    <w:rsid w:val="005E1ACF"/>
    <w:rsid w:val="005E1BB9"/>
    <w:rsid w:val="005E259E"/>
    <w:rsid w:val="005E2E02"/>
    <w:rsid w:val="005E3461"/>
    <w:rsid w:val="005E3DE0"/>
    <w:rsid w:val="005E4499"/>
    <w:rsid w:val="005E4896"/>
    <w:rsid w:val="005E4C3C"/>
    <w:rsid w:val="005E53D1"/>
    <w:rsid w:val="005E55D0"/>
    <w:rsid w:val="005E5797"/>
    <w:rsid w:val="005E5980"/>
    <w:rsid w:val="005E6307"/>
    <w:rsid w:val="005E670E"/>
    <w:rsid w:val="005E6E81"/>
    <w:rsid w:val="005E7D3E"/>
    <w:rsid w:val="005F029A"/>
    <w:rsid w:val="005F0322"/>
    <w:rsid w:val="005F19FF"/>
    <w:rsid w:val="005F1D92"/>
    <w:rsid w:val="005F2007"/>
    <w:rsid w:val="005F2858"/>
    <w:rsid w:val="005F28AA"/>
    <w:rsid w:val="005F3A30"/>
    <w:rsid w:val="005F3A4B"/>
    <w:rsid w:val="005F4B00"/>
    <w:rsid w:val="005F5024"/>
    <w:rsid w:val="005F5497"/>
    <w:rsid w:val="005F5D67"/>
    <w:rsid w:val="005F62AE"/>
    <w:rsid w:val="005F7261"/>
    <w:rsid w:val="005F7605"/>
    <w:rsid w:val="005F770D"/>
    <w:rsid w:val="00601E6B"/>
    <w:rsid w:val="0060216E"/>
    <w:rsid w:val="0060287D"/>
    <w:rsid w:val="00602B5A"/>
    <w:rsid w:val="006033BE"/>
    <w:rsid w:val="00603FE2"/>
    <w:rsid w:val="0060452F"/>
    <w:rsid w:val="0060479E"/>
    <w:rsid w:val="00604819"/>
    <w:rsid w:val="0060559E"/>
    <w:rsid w:val="00605E37"/>
    <w:rsid w:val="00606097"/>
    <w:rsid w:val="006063F7"/>
    <w:rsid w:val="006064FF"/>
    <w:rsid w:val="006070C3"/>
    <w:rsid w:val="00607A2E"/>
    <w:rsid w:val="00607D9F"/>
    <w:rsid w:val="0061022B"/>
    <w:rsid w:val="00610314"/>
    <w:rsid w:val="00611531"/>
    <w:rsid w:val="0061177F"/>
    <w:rsid w:val="00611C04"/>
    <w:rsid w:val="00611EFB"/>
    <w:rsid w:val="0061255B"/>
    <w:rsid w:val="006125B0"/>
    <w:rsid w:val="00613BE5"/>
    <w:rsid w:val="00613D02"/>
    <w:rsid w:val="00613F55"/>
    <w:rsid w:val="00614D9D"/>
    <w:rsid w:val="00615AC1"/>
    <w:rsid w:val="00615E55"/>
    <w:rsid w:val="00616061"/>
    <w:rsid w:val="00616239"/>
    <w:rsid w:val="0061643B"/>
    <w:rsid w:val="006164F7"/>
    <w:rsid w:val="00616E22"/>
    <w:rsid w:val="0061751B"/>
    <w:rsid w:val="006176A4"/>
    <w:rsid w:val="0062063A"/>
    <w:rsid w:val="00620734"/>
    <w:rsid w:val="00620765"/>
    <w:rsid w:val="00620B48"/>
    <w:rsid w:val="00620B64"/>
    <w:rsid w:val="00620BE8"/>
    <w:rsid w:val="00620D94"/>
    <w:rsid w:val="00621056"/>
    <w:rsid w:val="00621D8A"/>
    <w:rsid w:val="00622198"/>
    <w:rsid w:val="006228CB"/>
    <w:rsid w:val="00622A23"/>
    <w:rsid w:val="00622DC8"/>
    <w:rsid w:val="00622F95"/>
    <w:rsid w:val="0062316B"/>
    <w:rsid w:val="00623218"/>
    <w:rsid w:val="00623DBF"/>
    <w:rsid w:val="006240F3"/>
    <w:rsid w:val="006246F6"/>
    <w:rsid w:val="0062493C"/>
    <w:rsid w:val="00625077"/>
    <w:rsid w:val="006258FD"/>
    <w:rsid w:val="006265B5"/>
    <w:rsid w:val="006266E1"/>
    <w:rsid w:val="00626C26"/>
    <w:rsid w:val="0063056F"/>
    <w:rsid w:val="00630894"/>
    <w:rsid w:val="00630AA0"/>
    <w:rsid w:val="00631BF1"/>
    <w:rsid w:val="0063260C"/>
    <w:rsid w:val="006326A2"/>
    <w:rsid w:val="006333D6"/>
    <w:rsid w:val="00634379"/>
    <w:rsid w:val="0063488B"/>
    <w:rsid w:val="00634932"/>
    <w:rsid w:val="00634EC9"/>
    <w:rsid w:val="00635016"/>
    <w:rsid w:val="0063524A"/>
    <w:rsid w:val="00636096"/>
    <w:rsid w:val="00636240"/>
    <w:rsid w:val="00636A4D"/>
    <w:rsid w:val="00636C1A"/>
    <w:rsid w:val="0063765D"/>
    <w:rsid w:val="00637C70"/>
    <w:rsid w:val="00640005"/>
    <w:rsid w:val="00640043"/>
    <w:rsid w:val="00641176"/>
    <w:rsid w:val="006421D8"/>
    <w:rsid w:val="00642334"/>
    <w:rsid w:val="006429CE"/>
    <w:rsid w:val="00642B27"/>
    <w:rsid w:val="006435A0"/>
    <w:rsid w:val="00644508"/>
    <w:rsid w:val="0064477C"/>
    <w:rsid w:val="0064553B"/>
    <w:rsid w:val="006455FD"/>
    <w:rsid w:val="006460F2"/>
    <w:rsid w:val="006469E6"/>
    <w:rsid w:val="00646D93"/>
    <w:rsid w:val="006470F6"/>
    <w:rsid w:val="00647461"/>
    <w:rsid w:val="00650231"/>
    <w:rsid w:val="0065076D"/>
    <w:rsid w:val="00650940"/>
    <w:rsid w:val="00651191"/>
    <w:rsid w:val="0065126C"/>
    <w:rsid w:val="00651C6F"/>
    <w:rsid w:val="00652727"/>
    <w:rsid w:val="00652ABA"/>
    <w:rsid w:val="00652BDF"/>
    <w:rsid w:val="0065312E"/>
    <w:rsid w:val="00654983"/>
    <w:rsid w:val="00654FED"/>
    <w:rsid w:val="0065546B"/>
    <w:rsid w:val="00655890"/>
    <w:rsid w:val="00655E24"/>
    <w:rsid w:val="0065629F"/>
    <w:rsid w:val="00656828"/>
    <w:rsid w:val="00656923"/>
    <w:rsid w:val="006569D9"/>
    <w:rsid w:val="00656A80"/>
    <w:rsid w:val="00656F5A"/>
    <w:rsid w:val="00657717"/>
    <w:rsid w:val="00657DA1"/>
    <w:rsid w:val="006600CB"/>
    <w:rsid w:val="006603BF"/>
    <w:rsid w:val="0066134D"/>
    <w:rsid w:val="006617FE"/>
    <w:rsid w:val="006618FF"/>
    <w:rsid w:val="006619C6"/>
    <w:rsid w:val="006622D1"/>
    <w:rsid w:val="00662E36"/>
    <w:rsid w:val="006630EB"/>
    <w:rsid w:val="00663AC7"/>
    <w:rsid w:val="00663B38"/>
    <w:rsid w:val="00663C42"/>
    <w:rsid w:val="00664459"/>
    <w:rsid w:val="00664465"/>
    <w:rsid w:val="00664FE3"/>
    <w:rsid w:val="00665325"/>
    <w:rsid w:val="0066555B"/>
    <w:rsid w:val="006658A7"/>
    <w:rsid w:val="00665BD1"/>
    <w:rsid w:val="00665D70"/>
    <w:rsid w:val="00665F3F"/>
    <w:rsid w:val="006662FE"/>
    <w:rsid w:val="00666398"/>
    <w:rsid w:val="00666E41"/>
    <w:rsid w:val="00667057"/>
    <w:rsid w:val="00667082"/>
    <w:rsid w:val="00667D70"/>
    <w:rsid w:val="00667EC9"/>
    <w:rsid w:val="006700C4"/>
    <w:rsid w:val="00670534"/>
    <w:rsid w:val="006705BF"/>
    <w:rsid w:val="0067066A"/>
    <w:rsid w:val="006708F1"/>
    <w:rsid w:val="00670F17"/>
    <w:rsid w:val="00670F44"/>
    <w:rsid w:val="00670F9C"/>
    <w:rsid w:val="006710BB"/>
    <w:rsid w:val="00671F05"/>
    <w:rsid w:val="00671F2D"/>
    <w:rsid w:val="00672027"/>
    <w:rsid w:val="0067219A"/>
    <w:rsid w:val="0067245D"/>
    <w:rsid w:val="006725FA"/>
    <w:rsid w:val="006730E9"/>
    <w:rsid w:val="00673645"/>
    <w:rsid w:val="006739DE"/>
    <w:rsid w:val="00673B38"/>
    <w:rsid w:val="00674231"/>
    <w:rsid w:val="00674354"/>
    <w:rsid w:val="006751C4"/>
    <w:rsid w:val="00675712"/>
    <w:rsid w:val="00675E84"/>
    <w:rsid w:val="00676249"/>
    <w:rsid w:val="0067663E"/>
    <w:rsid w:val="0067682A"/>
    <w:rsid w:val="0067748A"/>
    <w:rsid w:val="00677970"/>
    <w:rsid w:val="006805B3"/>
    <w:rsid w:val="006808D6"/>
    <w:rsid w:val="00680BF0"/>
    <w:rsid w:val="00680D79"/>
    <w:rsid w:val="00682269"/>
    <w:rsid w:val="00682977"/>
    <w:rsid w:val="00682C3E"/>
    <w:rsid w:val="00682E0A"/>
    <w:rsid w:val="00683247"/>
    <w:rsid w:val="0068377E"/>
    <w:rsid w:val="0068395F"/>
    <w:rsid w:val="006846BD"/>
    <w:rsid w:val="00684B14"/>
    <w:rsid w:val="00684C86"/>
    <w:rsid w:val="00685562"/>
    <w:rsid w:val="006857D5"/>
    <w:rsid w:val="00685D0F"/>
    <w:rsid w:val="00685F47"/>
    <w:rsid w:val="00686641"/>
    <w:rsid w:val="00686653"/>
    <w:rsid w:val="006868AC"/>
    <w:rsid w:val="006869D3"/>
    <w:rsid w:val="00686C77"/>
    <w:rsid w:val="00686E5B"/>
    <w:rsid w:val="0068716A"/>
    <w:rsid w:val="00687472"/>
    <w:rsid w:val="00687803"/>
    <w:rsid w:val="00687EC0"/>
    <w:rsid w:val="00687F88"/>
    <w:rsid w:val="00690EFF"/>
    <w:rsid w:val="00692825"/>
    <w:rsid w:val="00692892"/>
    <w:rsid w:val="00693107"/>
    <w:rsid w:val="006933DD"/>
    <w:rsid w:val="006936FA"/>
    <w:rsid w:val="00693CDE"/>
    <w:rsid w:val="00693E94"/>
    <w:rsid w:val="00694F72"/>
    <w:rsid w:val="00695239"/>
    <w:rsid w:val="006958E8"/>
    <w:rsid w:val="00695BC3"/>
    <w:rsid w:val="0069626E"/>
    <w:rsid w:val="00696B02"/>
    <w:rsid w:val="00696BA5"/>
    <w:rsid w:val="00696E0C"/>
    <w:rsid w:val="00697401"/>
    <w:rsid w:val="00697570"/>
    <w:rsid w:val="0069783F"/>
    <w:rsid w:val="006A0BB1"/>
    <w:rsid w:val="006A0D55"/>
    <w:rsid w:val="006A125C"/>
    <w:rsid w:val="006A13D0"/>
    <w:rsid w:val="006A26FB"/>
    <w:rsid w:val="006A2729"/>
    <w:rsid w:val="006A2B2B"/>
    <w:rsid w:val="006A2EBA"/>
    <w:rsid w:val="006A2F56"/>
    <w:rsid w:val="006A3D89"/>
    <w:rsid w:val="006A3E5E"/>
    <w:rsid w:val="006A4625"/>
    <w:rsid w:val="006A4C24"/>
    <w:rsid w:val="006A53D9"/>
    <w:rsid w:val="006A5665"/>
    <w:rsid w:val="006A5944"/>
    <w:rsid w:val="006A5B6C"/>
    <w:rsid w:val="006A5D2E"/>
    <w:rsid w:val="006A6958"/>
    <w:rsid w:val="006A6A6B"/>
    <w:rsid w:val="006A6B75"/>
    <w:rsid w:val="006A798A"/>
    <w:rsid w:val="006A7B26"/>
    <w:rsid w:val="006A7C3B"/>
    <w:rsid w:val="006A7C7A"/>
    <w:rsid w:val="006B055E"/>
    <w:rsid w:val="006B06D5"/>
    <w:rsid w:val="006B0F4D"/>
    <w:rsid w:val="006B0FE6"/>
    <w:rsid w:val="006B1AA5"/>
    <w:rsid w:val="006B2E77"/>
    <w:rsid w:val="006B3834"/>
    <w:rsid w:val="006B3D62"/>
    <w:rsid w:val="006B4BEF"/>
    <w:rsid w:val="006B4FCF"/>
    <w:rsid w:val="006B5036"/>
    <w:rsid w:val="006B54BB"/>
    <w:rsid w:val="006B5824"/>
    <w:rsid w:val="006B5DD2"/>
    <w:rsid w:val="006B6A31"/>
    <w:rsid w:val="006B6D24"/>
    <w:rsid w:val="006B6E80"/>
    <w:rsid w:val="006B7368"/>
    <w:rsid w:val="006B7924"/>
    <w:rsid w:val="006B7DE2"/>
    <w:rsid w:val="006C12EA"/>
    <w:rsid w:val="006C1815"/>
    <w:rsid w:val="006C1F97"/>
    <w:rsid w:val="006C2089"/>
    <w:rsid w:val="006C25D9"/>
    <w:rsid w:val="006C293C"/>
    <w:rsid w:val="006C298C"/>
    <w:rsid w:val="006C2E6B"/>
    <w:rsid w:val="006C3005"/>
    <w:rsid w:val="006C39C8"/>
    <w:rsid w:val="006C41C3"/>
    <w:rsid w:val="006C41E8"/>
    <w:rsid w:val="006C47B7"/>
    <w:rsid w:val="006C4B49"/>
    <w:rsid w:val="006C4E16"/>
    <w:rsid w:val="006C606D"/>
    <w:rsid w:val="006C648E"/>
    <w:rsid w:val="006C65CE"/>
    <w:rsid w:val="006C6C63"/>
    <w:rsid w:val="006C7124"/>
    <w:rsid w:val="006C7317"/>
    <w:rsid w:val="006C7999"/>
    <w:rsid w:val="006D07F8"/>
    <w:rsid w:val="006D0859"/>
    <w:rsid w:val="006D0C33"/>
    <w:rsid w:val="006D0DD1"/>
    <w:rsid w:val="006D0ECD"/>
    <w:rsid w:val="006D10B1"/>
    <w:rsid w:val="006D10D7"/>
    <w:rsid w:val="006D13EB"/>
    <w:rsid w:val="006D16A6"/>
    <w:rsid w:val="006D1823"/>
    <w:rsid w:val="006D1FAB"/>
    <w:rsid w:val="006D22CB"/>
    <w:rsid w:val="006D24BD"/>
    <w:rsid w:val="006D2BEE"/>
    <w:rsid w:val="006D3142"/>
    <w:rsid w:val="006D47CE"/>
    <w:rsid w:val="006D506D"/>
    <w:rsid w:val="006D52B6"/>
    <w:rsid w:val="006D5580"/>
    <w:rsid w:val="006D5679"/>
    <w:rsid w:val="006D5F2F"/>
    <w:rsid w:val="006D6079"/>
    <w:rsid w:val="006D6818"/>
    <w:rsid w:val="006D6952"/>
    <w:rsid w:val="006D73E9"/>
    <w:rsid w:val="006D77D4"/>
    <w:rsid w:val="006D79DB"/>
    <w:rsid w:val="006D7C7D"/>
    <w:rsid w:val="006D7E2E"/>
    <w:rsid w:val="006E01B5"/>
    <w:rsid w:val="006E0732"/>
    <w:rsid w:val="006E0D67"/>
    <w:rsid w:val="006E0FCB"/>
    <w:rsid w:val="006E2522"/>
    <w:rsid w:val="006E278B"/>
    <w:rsid w:val="006E2BF7"/>
    <w:rsid w:val="006E2CDF"/>
    <w:rsid w:val="006E2F73"/>
    <w:rsid w:val="006E3115"/>
    <w:rsid w:val="006E3515"/>
    <w:rsid w:val="006E3A01"/>
    <w:rsid w:val="006E3EEE"/>
    <w:rsid w:val="006E3FF3"/>
    <w:rsid w:val="006E4248"/>
    <w:rsid w:val="006E427A"/>
    <w:rsid w:val="006E4CDD"/>
    <w:rsid w:val="006E4E38"/>
    <w:rsid w:val="006E500F"/>
    <w:rsid w:val="006E5572"/>
    <w:rsid w:val="006E5770"/>
    <w:rsid w:val="006E60CA"/>
    <w:rsid w:val="006E6402"/>
    <w:rsid w:val="006E6536"/>
    <w:rsid w:val="006E6FDD"/>
    <w:rsid w:val="006E7261"/>
    <w:rsid w:val="006E7732"/>
    <w:rsid w:val="006E77A4"/>
    <w:rsid w:val="006E7A34"/>
    <w:rsid w:val="006F0871"/>
    <w:rsid w:val="006F0FB3"/>
    <w:rsid w:val="006F1294"/>
    <w:rsid w:val="006F13F9"/>
    <w:rsid w:val="006F144F"/>
    <w:rsid w:val="006F14A6"/>
    <w:rsid w:val="006F154A"/>
    <w:rsid w:val="006F1D22"/>
    <w:rsid w:val="006F1E38"/>
    <w:rsid w:val="006F210D"/>
    <w:rsid w:val="006F2B5C"/>
    <w:rsid w:val="006F46FA"/>
    <w:rsid w:val="006F575C"/>
    <w:rsid w:val="006F5804"/>
    <w:rsid w:val="006F5982"/>
    <w:rsid w:val="006F71CB"/>
    <w:rsid w:val="006F74AA"/>
    <w:rsid w:val="006F7B93"/>
    <w:rsid w:val="006F7C70"/>
    <w:rsid w:val="006F7D02"/>
    <w:rsid w:val="006F7EA4"/>
    <w:rsid w:val="00701278"/>
    <w:rsid w:val="007013AC"/>
    <w:rsid w:val="00701618"/>
    <w:rsid w:val="007016BE"/>
    <w:rsid w:val="00701AA1"/>
    <w:rsid w:val="00701C56"/>
    <w:rsid w:val="0070202F"/>
    <w:rsid w:val="0070211E"/>
    <w:rsid w:val="0070309A"/>
    <w:rsid w:val="007036DE"/>
    <w:rsid w:val="00704D4C"/>
    <w:rsid w:val="00705A14"/>
    <w:rsid w:val="00705A37"/>
    <w:rsid w:val="00705A73"/>
    <w:rsid w:val="007061E1"/>
    <w:rsid w:val="007064E0"/>
    <w:rsid w:val="007065F6"/>
    <w:rsid w:val="0070772D"/>
    <w:rsid w:val="007078F5"/>
    <w:rsid w:val="00707A1B"/>
    <w:rsid w:val="00710443"/>
    <w:rsid w:val="00710A73"/>
    <w:rsid w:val="00710E7C"/>
    <w:rsid w:val="00711021"/>
    <w:rsid w:val="0071142A"/>
    <w:rsid w:val="0071163E"/>
    <w:rsid w:val="00711A9E"/>
    <w:rsid w:val="0071275A"/>
    <w:rsid w:val="00712940"/>
    <w:rsid w:val="00712B12"/>
    <w:rsid w:val="00712D0E"/>
    <w:rsid w:val="007137AB"/>
    <w:rsid w:val="00714E9C"/>
    <w:rsid w:val="007156BD"/>
    <w:rsid w:val="00715DA4"/>
    <w:rsid w:val="0071666E"/>
    <w:rsid w:val="00717778"/>
    <w:rsid w:val="00717875"/>
    <w:rsid w:val="00717950"/>
    <w:rsid w:val="00717BBD"/>
    <w:rsid w:val="00717DEA"/>
    <w:rsid w:val="00717F0F"/>
    <w:rsid w:val="00720175"/>
    <w:rsid w:val="00720776"/>
    <w:rsid w:val="00720B66"/>
    <w:rsid w:val="00721000"/>
    <w:rsid w:val="00721668"/>
    <w:rsid w:val="00721AF9"/>
    <w:rsid w:val="00721BEC"/>
    <w:rsid w:val="00722624"/>
    <w:rsid w:val="0072281D"/>
    <w:rsid w:val="00722D55"/>
    <w:rsid w:val="007231B0"/>
    <w:rsid w:val="00723966"/>
    <w:rsid w:val="00723BE3"/>
    <w:rsid w:val="00723CB9"/>
    <w:rsid w:val="00724D2F"/>
    <w:rsid w:val="00725EC1"/>
    <w:rsid w:val="00725FA5"/>
    <w:rsid w:val="0072635C"/>
    <w:rsid w:val="007269A5"/>
    <w:rsid w:val="00727080"/>
    <w:rsid w:val="007274B3"/>
    <w:rsid w:val="00727BEE"/>
    <w:rsid w:val="00727CC0"/>
    <w:rsid w:val="0073070B"/>
    <w:rsid w:val="007308C6"/>
    <w:rsid w:val="00731323"/>
    <w:rsid w:val="00731561"/>
    <w:rsid w:val="007315FC"/>
    <w:rsid w:val="00731643"/>
    <w:rsid w:val="0073383D"/>
    <w:rsid w:val="00733B08"/>
    <w:rsid w:val="00734DDF"/>
    <w:rsid w:val="00735187"/>
    <w:rsid w:val="00735448"/>
    <w:rsid w:val="00735C14"/>
    <w:rsid w:val="00735E3F"/>
    <w:rsid w:val="00735F03"/>
    <w:rsid w:val="00736FB9"/>
    <w:rsid w:val="00737057"/>
    <w:rsid w:val="007372C0"/>
    <w:rsid w:val="007402BD"/>
    <w:rsid w:val="00740E71"/>
    <w:rsid w:val="0074150F"/>
    <w:rsid w:val="007418C5"/>
    <w:rsid w:val="00741938"/>
    <w:rsid w:val="007419FA"/>
    <w:rsid w:val="00741ADC"/>
    <w:rsid w:val="00741BA4"/>
    <w:rsid w:val="00741F5D"/>
    <w:rsid w:val="00742F61"/>
    <w:rsid w:val="00743329"/>
    <w:rsid w:val="0074380D"/>
    <w:rsid w:val="007438E3"/>
    <w:rsid w:val="0074394F"/>
    <w:rsid w:val="007449BF"/>
    <w:rsid w:val="0074532D"/>
    <w:rsid w:val="007457C1"/>
    <w:rsid w:val="00745C38"/>
    <w:rsid w:val="00745D0B"/>
    <w:rsid w:val="00746515"/>
    <w:rsid w:val="0074667F"/>
    <w:rsid w:val="00746BAF"/>
    <w:rsid w:val="0074741E"/>
    <w:rsid w:val="0074774B"/>
    <w:rsid w:val="007508C2"/>
    <w:rsid w:val="007510B3"/>
    <w:rsid w:val="007514A8"/>
    <w:rsid w:val="00751A3B"/>
    <w:rsid w:val="00751BBE"/>
    <w:rsid w:val="00751C0B"/>
    <w:rsid w:val="00752403"/>
    <w:rsid w:val="00752BEC"/>
    <w:rsid w:val="00752C26"/>
    <w:rsid w:val="00753194"/>
    <w:rsid w:val="00753676"/>
    <w:rsid w:val="00753CE7"/>
    <w:rsid w:val="007543C2"/>
    <w:rsid w:val="0075528F"/>
    <w:rsid w:val="007556D3"/>
    <w:rsid w:val="00755717"/>
    <w:rsid w:val="00755AA4"/>
    <w:rsid w:val="00755B74"/>
    <w:rsid w:val="00755DB5"/>
    <w:rsid w:val="00755EAC"/>
    <w:rsid w:val="007561B7"/>
    <w:rsid w:val="00757E25"/>
    <w:rsid w:val="00757EF7"/>
    <w:rsid w:val="007609F5"/>
    <w:rsid w:val="00761D86"/>
    <w:rsid w:val="00761D92"/>
    <w:rsid w:val="0076267C"/>
    <w:rsid w:val="00762D83"/>
    <w:rsid w:val="00762DFF"/>
    <w:rsid w:val="007631AC"/>
    <w:rsid w:val="0076365B"/>
    <w:rsid w:val="00763664"/>
    <w:rsid w:val="00764291"/>
    <w:rsid w:val="0076440D"/>
    <w:rsid w:val="00764A2B"/>
    <w:rsid w:val="00764C82"/>
    <w:rsid w:val="00764DCC"/>
    <w:rsid w:val="00764E43"/>
    <w:rsid w:val="00765339"/>
    <w:rsid w:val="007656C2"/>
    <w:rsid w:val="00765E1F"/>
    <w:rsid w:val="007666A7"/>
    <w:rsid w:val="007666C0"/>
    <w:rsid w:val="00767C4D"/>
    <w:rsid w:val="00770512"/>
    <w:rsid w:val="007705D1"/>
    <w:rsid w:val="007706C6"/>
    <w:rsid w:val="007706CE"/>
    <w:rsid w:val="007720F8"/>
    <w:rsid w:val="00773349"/>
    <w:rsid w:val="00773FE8"/>
    <w:rsid w:val="007744D5"/>
    <w:rsid w:val="007747B1"/>
    <w:rsid w:val="00774CF2"/>
    <w:rsid w:val="00774D3A"/>
    <w:rsid w:val="00774DD7"/>
    <w:rsid w:val="00774E99"/>
    <w:rsid w:val="0077506C"/>
    <w:rsid w:val="0077531D"/>
    <w:rsid w:val="00775432"/>
    <w:rsid w:val="007754B0"/>
    <w:rsid w:val="00775667"/>
    <w:rsid w:val="007756E0"/>
    <w:rsid w:val="007759FC"/>
    <w:rsid w:val="007761B4"/>
    <w:rsid w:val="00776343"/>
    <w:rsid w:val="007763E9"/>
    <w:rsid w:val="0077656E"/>
    <w:rsid w:val="00776B9E"/>
    <w:rsid w:val="00776E81"/>
    <w:rsid w:val="00777035"/>
    <w:rsid w:val="0077724E"/>
    <w:rsid w:val="0077754C"/>
    <w:rsid w:val="0077760A"/>
    <w:rsid w:val="00777C46"/>
    <w:rsid w:val="00780455"/>
    <w:rsid w:val="007807B4"/>
    <w:rsid w:val="00780962"/>
    <w:rsid w:val="00780F79"/>
    <w:rsid w:val="0078162A"/>
    <w:rsid w:val="0078170E"/>
    <w:rsid w:val="007818AD"/>
    <w:rsid w:val="00782994"/>
    <w:rsid w:val="00782B77"/>
    <w:rsid w:val="00782EA9"/>
    <w:rsid w:val="00783857"/>
    <w:rsid w:val="00784C26"/>
    <w:rsid w:val="00785163"/>
    <w:rsid w:val="007851E1"/>
    <w:rsid w:val="0078569A"/>
    <w:rsid w:val="007857F6"/>
    <w:rsid w:val="00785C08"/>
    <w:rsid w:val="00785DDD"/>
    <w:rsid w:val="0079059B"/>
    <w:rsid w:val="007906A1"/>
    <w:rsid w:val="00790991"/>
    <w:rsid w:val="00791B86"/>
    <w:rsid w:val="00791DA6"/>
    <w:rsid w:val="00791FB0"/>
    <w:rsid w:val="00791FD6"/>
    <w:rsid w:val="00792164"/>
    <w:rsid w:val="00792FB0"/>
    <w:rsid w:val="0079334F"/>
    <w:rsid w:val="0079344A"/>
    <w:rsid w:val="00793F5D"/>
    <w:rsid w:val="007941D5"/>
    <w:rsid w:val="00794227"/>
    <w:rsid w:val="00794886"/>
    <w:rsid w:val="00795327"/>
    <w:rsid w:val="007956C4"/>
    <w:rsid w:val="00795B4E"/>
    <w:rsid w:val="00795EF3"/>
    <w:rsid w:val="00795F90"/>
    <w:rsid w:val="00796372"/>
    <w:rsid w:val="0079687C"/>
    <w:rsid w:val="007968DE"/>
    <w:rsid w:val="00796AFB"/>
    <w:rsid w:val="007977DE"/>
    <w:rsid w:val="00797CB8"/>
    <w:rsid w:val="00797CE2"/>
    <w:rsid w:val="007A00E1"/>
    <w:rsid w:val="007A0949"/>
    <w:rsid w:val="007A0A62"/>
    <w:rsid w:val="007A0D29"/>
    <w:rsid w:val="007A0F9E"/>
    <w:rsid w:val="007A1011"/>
    <w:rsid w:val="007A12F8"/>
    <w:rsid w:val="007A154E"/>
    <w:rsid w:val="007A193F"/>
    <w:rsid w:val="007A1AFD"/>
    <w:rsid w:val="007A297B"/>
    <w:rsid w:val="007A2BCA"/>
    <w:rsid w:val="007A3926"/>
    <w:rsid w:val="007A4052"/>
    <w:rsid w:val="007A437F"/>
    <w:rsid w:val="007A4907"/>
    <w:rsid w:val="007A51CB"/>
    <w:rsid w:val="007A5523"/>
    <w:rsid w:val="007A5B3D"/>
    <w:rsid w:val="007A5D24"/>
    <w:rsid w:val="007A6F99"/>
    <w:rsid w:val="007A734E"/>
    <w:rsid w:val="007A7404"/>
    <w:rsid w:val="007A77D1"/>
    <w:rsid w:val="007A793D"/>
    <w:rsid w:val="007B02AB"/>
    <w:rsid w:val="007B0560"/>
    <w:rsid w:val="007B12D1"/>
    <w:rsid w:val="007B12DA"/>
    <w:rsid w:val="007B1455"/>
    <w:rsid w:val="007B15F3"/>
    <w:rsid w:val="007B1829"/>
    <w:rsid w:val="007B216A"/>
    <w:rsid w:val="007B2294"/>
    <w:rsid w:val="007B256A"/>
    <w:rsid w:val="007B260C"/>
    <w:rsid w:val="007B2773"/>
    <w:rsid w:val="007B41FF"/>
    <w:rsid w:val="007B4283"/>
    <w:rsid w:val="007B4ED5"/>
    <w:rsid w:val="007B50FE"/>
    <w:rsid w:val="007B57C8"/>
    <w:rsid w:val="007B60E8"/>
    <w:rsid w:val="007B6335"/>
    <w:rsid w:val="007B6C5B"/>
    <w:rsid w:val="007B6D47"/>
    <w:rsid w:val="007B6E59"/>
    <w:rsid w:val="007B6EAF"/>
    <w:rsid w:val="007B7F75"/>
    <w:rsid w:val="007C0283"/>
    <w:rsid w:val="007C03B3"/>
    <w:rsid w:val="007C0AE5"/>
    <w:rsid w:val="007C0CA5"/>
    <w:rsid w:val="007C1D5D"/>
    <w:rsid w:val="007C21F1"/>
    <w:rsid w:val="007C2AD1"/>
    <w:rsid w:val="007C3349"/>
    <w:rsid w:val="007C45E0"/>
    <w:rsid w:val="007C4692"/>
    <w:rsid w:val="007C46BF"/>
    <w:rsid w:val="007C4C46"/>
    <w:rsid w:val="007C5096"/>
    <w:rsid w:val="007C57BD"/>
    <w:rsid w:val="007C5D23"/>
    <w:rsid w:val="007C6075"/>
    <w:rsid w:val="007C60E7"/>
    <w:rsid w:val="007C6191"/>
    <w:rsid w:val="007C63CF"/>
    <w:rsid w:val="007C662C"/>
    <w:rsid w:val="007C6EF1"/>
    <w:rsid w:val="007C725E"/>
    <w:rsid w:val="007C7A1B"/>
    <w:rsid w:val="007C7DC2"/>
    <w:rsid w:val="007D0682"/>
    <w:rsid w:val="007D0AD8"/>
    <w:rsid w:val="007D0DAA"/>
    <w:rsid w:val="007D0E19"/>
    <w:rsid w:val="007D1848"/>
    <w:rsid w:val="007D1935"/>
    <w:rsid w:val="007D1BBF"/>
    <w:rsid w:val="007D1BFF"/>
    <w:rsid w:val="007D1D09"/>
    <w:rsid w:val="007D1D29"/>
    <w:rsid w:val="007D2074"/>
    <w:rsid w:val="007D20BA"/>
    <w:rsid w:val="007D20E9"/>
    <w:rsid w:val="007D2587"/>
    <w:rsid w:val="007D2B76"/>
    <w:rsid w:val="007D2F93"/>
    <w:rsid w:val="007D354F"/>
    <w:rsid w:val="007D3F47"/>
    <w:rsid w:val="007D459B"/>
    <w:rsid w:val="007D45A1"/>
    <w:rsid w:val="007D54A2"/>
    <w:rsid w:val="007D56C2"/>
    <w:rsid w:val="007D57F4"/>
    <w:rsid w:val="007D60FB"/>
    <w:rsid w:val="007D650F"/>
    <w:rsid w:val="007D6B2A"/>
    <w:rsid w:val="007D6D77"/>
    <w:rsid w:val="007D702F"/>
    <w:rsid w:val="007D7984"/>
    <w:rsid w:val="007D7C1D"/>
    <w:rsid w:val="007E03FD"/>
    <w:rsid w:val="007E04C7"/>
    <w:rsid w:val="007E0D0E"/>
    <w:rsid w:val="007E2A6B"/>
    <w:rsid w:val="007E2B6D"/>
    <w:rsid w:val="007E2D70"/>
    <w:rsid w:val="007E2D78"/>
    <w:rsid w:val="007E3014"/>
    <w:rsid w:val="007E3AA5"/>
    <w:rsid w:val="007E3C12"/>
    <w:rsid w:val="007E40D8"/>
    <w:rsid w:val="007E49C1"/>
    <w:rsid w:val="007E5FB9"/>
    <w:rsid w:val="007E5FF9"/>
    <w:rsid w:val="007E60EC"/>
    <w:rsid w:val="007E6F38"/>
    <w:rsid w:val="007E7481"/>
    <w:rsid w:val="007E77FD"/>
    <w:rsid w:val="007E798C"/>
    <w:rsid w:val="007E7A98"/>
    <w:rsid w:val="007E7CB0"/>
    <w:rsid w:val="007E7E26"/>
    <w:rsid w:val="007F013B"/>
    <w:rsid w:val="007F06BC"/>
    <w:rsid w:val="007F089F"/>
    <w:rsid w:val="007F0BA5"/>
    <w:rsid w:val="007F0C5D"/>
    <w:rsid w:val="007F0F15"/>
    <w:rsid w:val="007F0F55"/>
    <w:rsid w:val="007F1008"/>
    <w:rsid w:val="007F146C"/>
    <w:rsid w:val="007F1800"/>
    <w:rsid w:val="007F1AAC"/>
    <w:rsid w:val="007F1BFB"/>
    <w:rsid w:val="007F2CAB"/>
    <w:rsid w:val="007F30A2"/>
    <w:rsid w:val="007F3602"/>
    <w:rsid w:val="007F3B73"/>
    <w:rsid w:val="007F3FA6"/>
    <w:rsid w:val="007F47DB"/>
    <w:rsid w:val="007F4B15"/>
    <w:rsid w:val="007F50DA"/>
    <w:rsid w:val="007F568C"/>
    <w:rsid w:val="007F56D1"/>
    <w:rsid w:val="007F5A2B"/>
    <w:rsid w:val="007F64FA"/>
    <w:rsid w:val="007F6E28"/>
    <w:rsid w:val="007F7574"/>
    <w:rsid w:val="007F7FCF"/>
    <w:rsid w:val="00800CA7"/>
    <w:rsid w:val="00801507"/>
    <w:rsid w:val="00801B0D"/>
    <w:rsid w:val="00801B4F"/>
    <w:rsid w:val="008022DA"/>
    <w:rsid w:val="00802777"/>
    <w:rsid w:val="00802BC0"/>
    <w:rsid w:val="008031B5"/>
    <w:rsid w:val="00803829"/>
    <w:rsid w:val="0080482B"/>
    <w:rsid w:val="0080542E"/>
    <w:rsid w:val="0080543F"/>
    <w:rsid w:val="008056CA"/>
    <w:rsid w:val="008067BC"/>
    <w:rsid w:val="00807293"/>
    <w:rsid w:val="008100FD"/>
    <w:rsid w:val="008102F4"/>
    <w:rsid w:val="00810A91"/>
    <w:rsid w:val="00811DED"/>
    <w:rsid w:val="008120BC"/>
    <w:rsid w:val="0081239A"/>
    <w:rsid w:val="008125C6"/>
    <w:rsid w:val="00813067"/>
    <w:rsid w:val="00813B60"/>
    <w:rsid w:val="00813CF1"/>
    <w:rsid w:val="00813F4C"/>
    <w:rsid w:val="0081414F"/>
    <w:rsid w:val="008141F1"/>
    <w:rsid w:val="008151D0"/>
    <w:rsid w:val="00815221"/>
    <w:rsid w:val="008154B8"/>
    <w:rsid w:val="00815FC7"/>
    <w:rsid w:val="0081630E"/>
    <w:rsid w:val="008167EE"/>
    <w:rsid w:val="00816AA9"/>
    <w:rsid w:val="00816FB9"/>
    <w:rsid w:val="0081730F"/>
    <w:rsid w:val="0082015A"/>
    <w:rsid w:val="00820E11"/>
    <w:rsid w:val="008218C9"/>
    <w:rsid w:val="0082190B"/>
    <w:rsid w:val="00821950"/>
    <w:rsid w:val="008220AE"/>
    <w:rsid w:val="008222B0"/>
    <w:rsid w:val="00822994"/>
    <w:rsid w:val="00822A0A"/>
    <w:rsid w:val="00822DE8"/>
    <w:rsid w:val="008233FE"/>
    <w:rsid w:val="00823A01"/>
    <w:rsid w:val="00823C48"/>
    <w:rsid w:val="0082406F"/>
    <w:rsid w:val="00824935"/>
    <w:rsid w:val="00824D3A"/>
    <w:rsid w:val="00824EC3"/>
    <w:rsid w:val="00825102"/>
    <w:rsid w:val="008254A3"/>
    <w:rsid w:val="00825652"/>
    <w:rsid w:val="00826689"/>
    <w:rsid w:val="00826A49"/>
    <w:rsid w:val="00826BF1"/>
    <w:rsid w:val="00826FFA"/>
    <w:rsid w:val="00830138"/>
    <w:rsid w:val="00830C75"/>
    <w:rsid w:val="0083173B"/>
    <w:rsid w:val="0083192F"/>
    <w:rsid w:val="00831996"/>
    <w:rsid w:val="00831DA1"/>
    <w:rsid w:val="008327B8"/>
    <w:rsid w:val="00832C48"/>
    <w:rsid w:val="00832FD1"/>
    <w:rsid w:val="00832FD6"/>
    <w:rsid w:val="00833377"/>
    <w:rsid w:val="008333B6"/>
    <w:rsid w:val="00833549"/>
    <w:rsid w:val="008347D3"/>
    <w:rsid w:val="00834C30"/>
    <w:rsid w:val="00835112"/>
    <w:rsid w:val="00835294"/>
    <w:rsid w:val="008354D5"/>
    <w:rsid w:val="0083561D"/>
    <w:rsid w:val="00835EDD"/>
    <w:rsid w:val="0083662F"/>
    <w:rsid w:val="00836899"/>
    <w:rsid w:val="00837355"/>
    <w:rsid w:val="008373DB"/>
    <w:rsid w:val="008378AF"/>
    <w:rsid w:val="0084002B"/>
    <w:rsid w:val="00840156"/>
    <w:rsid w:val="00840317"/>
    <w:rsid w:val="00840626"/>
    <w:rsid w:val="0084083A"/>
    <w:rsid w:val="00840AF4"/>
    <w:rsid w:val="00840B26"/>
    <w:rsid w:val="008417AD"/>
    <w:rsid w:val="00841C86"/>
    <w:rsid w:val="00842481"/>
    <w:rsid w:val="0084261E"/>
    <w:rsid w:val="00842668"/>
    <w:rsid w:val="008430B7"/>
    <w:rsid w:val="0084325D"/>
    <w:rsid w:val="008435CB"/>
    <w:rsid w:val="008437D3"/>
    <w:rsid w:val="00843831"/>
    <w:rsid w:val="0084389A"/>
    <w:rsid w:val="00843CE7"/>
    <w:rsid w:val="00843F4C"/>
    <w:rsid w:val="00844552"/>
    <w:rsid w:val="0084590D"/>
    <w:rsid w:val="00845E60"/>
    <w:rsid w:val="008463FC"/>
    <w:rsid w:val="00846E52"/>
    <w:rsid w:val="00846F29"/>
    <w:rsid w:val="00847E22"/>
    <w:rsid w:val="008501C2"/>
    <w:rsid w:val="008505E2"/>
    <w:rsid w:val="00850ECC"/>
    <w:rsid w:val="00850EF6"/>
    <w:rsid w:val="00850F4E"/>
    <w:rsid w:val="00851E94"/>
    <w:rsid w:val="00851EBF"/>
    <w:rsid w:val="0085237A"/>
    <w:rsid w:val="00852887"/>
    <w:rsid w:val="00852920"/>
    <w:rsid w:val="00853063"/>
    <w:rsid w:val="0085368C"/>
    <w:rsid w:val="00853BD3"/>
    <w:rsid w:val="00853FF4"/>
    <w:rsid w:val="008543DA"/>
    <w:rsid w:val="00854551"/>
    <w:rsid w:val="0085455E"/>
    <w:rsid w:val="0085471A"/>
    <w:rsid w:val="00855071"/>
    <w:rsid w:val="008556CF"/>
    <w:rsid w:val="00855942"/>
    <w:rsid w:val="00856258"/>
    <w:rsid w:val="00856816"/>
    <w:rsid w:val="0085725E"/>
    <w:rsid w:val="00857DFC"/>
    <w:rsid w:val="008609D8"/>
    <w:rsid w:val="00860A2B"/>
    <w:rsid w:val="00860FB6"/>
    <w:rsid w:val="00860FBE"/>
    <w:rsid w:val="00861066"/>
    <w:rsid w:val="008616D9"/>
    <w:rsid w:val="00862768"/>
    <w:rsid w:val="00862879"/>
    <w:rsid w:val="008628E9"/>
    <w:rsid w:val="00862A7F"/>
    <w:rsid w:val="00863259"/>
    <w:rsid w:val="008646E5"/>
    <w:rsid w:val="0086527F"/>
    <w:rsid w:val="00865C02"/>
    <w:rsid w:val="008660ED"/>
    <w:rsid w:val="008661F4"/>
    <w:rsid w:val="0086678D"/>
    <w:rsid w:val="008668B5"/>
    <w:rsid w:val="00866A58"/>
    <w:rsid w:val="00866F9F"/>
    <w:rsid w:val="00870799"/>
    <w:rsid w:val="0087085B"/>
    <w:rsid w:val="00870A35"/>
    <w:rsid w:val="00872024"/>
    <w:rsid w:val="008723C1"/>
    <w:rsid w:val="00872753"/>
    <w:rsid w:val="00873CD8"/>
    <w:rsid w:val="008741B0"/>
    <w:rsid w:val="008750AF"/>
    <w:rsid w:val="008753D3"/>
    <w:rsid w:val="0087564B"/>
    <w:rsid w:val="00875708"/>
    <w:rsid w:val="00875BE3"/>
    <w:rsid w:val="008765B2"/>
    <w:rsid w:val="008765EB"/>
    <w:rsid w:val="00876A63"/>
    <w:rsid w:val="00876AC0"/>
    <w:rsid w:val="00876F3C"/>
    <w:rsid w:val="00876F96"/>
    <w:rsid w:val="00877560"/>
    <w:rsid w:val="008779DA"/>
    <w:rsid w:val="00877BEE"/>
    <w:rsid w:val="00877F0C"/>
    <w:rsid w:val="00877FF5"/>
    <w:rsid w:val="00880AF5"/>
    <w:rsid w:val="0088120F"/>
    <w:rsid w:val="0088181F"/>
    <w:rsid w:val="00882291"/>
    <w:rsid w:val="00882569"/>
    <w:rsid w:val="008826C4"/>
    <w:rsid w:val="0088289C"/>
    <w:rsid w:val="00882C6E"/>
    <w:rsid w:val="00882DAA"/>
    <w:rsid w:val="00883366"/>
    <w:rsid w:val="0088359D"/>
    <w:rsid w:val="0088393D"/>
    <w:rsid w:val="00883F93"/>
    <w:rsid w:val="00884B45"/>
    <w:rsid w:val="00884B7A"/>
    <w:rsid w:val="00886C34"/>
    <w:rsid w:val="008874CD"/>
    <w:rsid w:val="00887846"/>
    <w:rsid w:val="008879D0"/>
    <w:rsid w:val="00887DBA"/>
    <w:rsid w:val="0089050B"/>
    <w:rsid w:val="00890FD4"/>
    <w:rsid w:val="008912AB"/>
    <w:rsid w:val="008915A7"/>
    <w:rsid w:val="008918B6"/>
    <w:rsid w:val="00892A2C"/>
    <w:rsid w:val="00892C65"/>
    <w:rsid w:val="00893AB7"/>
    <w:rsid w:val="00894A41"/>
    <w:rsid w:val="00895B2F"/>
    <w:rsid w:val="00895F7B"/>
    <w:rsid w:val="008962CF"/>
    <w:rsid w:val="00896A30"/>
    <w:rsid w:val="008A0032"/>
    <w:rsid w:val="008A06BF"/>
    <w:rsid w:val="008A0936"/>
    <w:rsid w:val="008A0BF0"/>
    <w:rsid w:val="008A0F87"/>
    <w:rsid w:val="008A100E"/>
    <w:rsid w:val="008A110D"/>
    <w:rsid w:val="008A11A0"/>
    <w:rsid w:val="008A19F6"/>
    <w:rsid w:val="008A1A0A"/>
    <w:rsid w:val="008A1CE9"/>
    <w:rsid w:val="008A2AE0"/>
    <w:rsid w:val="008A2C6F"/>
    <w:rsid w:val="008A2EA3"/>
    <w:rsid w:val="008A3019"/>
    <w:rsid w:val="008A35A0"/>
    <w:rsid w:val="008A3B2A"/>
    <w:rsid w:val="008A3BAA"/>
    <w:rsid w:val="008A505A"/>
    <w:rsid w:val="008A514F"/>
    <w:rsid w:val="008A532E"/>
    <w:rsid w:val="008A5459"/>
    <w:rsid w:val="008A56C8"/>
    <w:rsid w:val="008A5B5F"/>
    <w:rsid w:val="008A5DBB"/>
    <w:rsid w:val="008A6488"/>
    <w:rsid w:val="008A64DE"/>
    <w:rsid w:val="008A77DC"/>
    <w:rsid w:val="008A78AE"/>
    <w:rsid w:val="008A7FD2"/>
    <w:rsid w:val="008B029A"/>
    <w:rsid w:val="008B03EE"/>
    <w:rsid w:val="008B0A80"/>
    <w:rsid w:val="008B18FC"/>
    <w:rsid w:val="008B1916"/>
    <w:rsid w:val="008B1E71"/>
    <w:rsid w:val="008B2D3B"/>
    <w:rsid w:val="008B378C"/>
    <w:rsid w:val="008B379C"/>
    <w:rsid w:val="008B3A65"/>
    <w:rsid w:val="008B3D23"/>
    <w:rsid w:val="008B44B4"/>
    <w:rsid w:val="008B52F2"/>
    <w:rsid w:val="008B588A"/>
    <w:rsid w:val="008B5DE1"/>
    <w:rsid w:val="008B6025"/>
    <w:rsid w:val="008B6470"/>
    <w:rsid w:val="008B6869"/>
    <w:rsid w:val="008B6D0A"/>
    <w:rsid w:val="008B6F96"/>
    <w:rsid w:val="008B7150"/>
    <w:rsid w:val="008B7240"/>
    <w:rsid w:val="008B77DF"/>
    <w:rsid w:val="008B7C67"/>
    <w:rsid w:val="008C0196"/>
    <w:rsid w:val="008C01AE"/>
    <w:rsid w:val="008C0201"/>
    <w:rsid w:val="008C09DE"/>
    <w:rsid w:val="008C0C03"/>
    <w:rsid w:val="008C18E9"/>
    <w:rsid w:val="008C1F0E"/>
    <w:rsid w:val="008C2294"/>
    <w:rsid w:val="008C2367"/>
    <w:rsid w:val="008C27A7"/>
    <w:rsid w:val="008C2948"/>
    <w:rsid w:val="008C2F02"/>
    <w:rsid w:val="008C2F3D"/>
    <w:rsid w:val="008C38D4"/>
    <w:rsid w:val="008C3C96"/>
    <w:rsid w:val="008C4301"/>
    <w:rsid w:val="008C4355"/>
    <w:rsid w:val="008C63C5"/>
    <w:rsid w:val="008C66DE"/>
    <w:rsid w:val="008C6853"/>
    <w:rsid w:val="008C7033"/>
    <w:rsid w:val="008C756E"/>
    <w:rsid w:val="008C75E2"/>
    <w:rsid w:val="008C7B40"/>
    <w:rsid w:val="008C7B6E"/>
    <w:rsid w:val="008D00BD"/>
    <w:rsid w:val="008D0207"/>
    <w:rsid w:val="008D0D4A"/>
    <w:rsid w:val="008D102A"/>
    <w:rsid w:val="008D122D"/>
    <w:rsid w:val="008D153D"/>
    <w:rsid w:val="008D185C"/>
    <w:rsid w:val="008D1B58"/>
    <w:rsid w:val="008D213C"/>
    <w:rsid w:val="008D224C"/>
    <w:rsid w:val="008D2D9A"/>
    <w:rsid w:val="008D36D9"/>
    <w:rsid w:val="008D3983"/>
    <w:rsid w:val="008D3B28"/>
    <w:rsid w:val="008D3C26"/>
    <w:rsid w:val="008D3D4C"/>
    <w:rsid w:val="008D3E5F"/>
    <w:rsid w:val="008D4BAB"/>
    <w:rsid w:val="008D5608"/>
    <w:rsid w:val="008D5755"/>
    <w:rsid w:val="008D58AA"/>
    <w:rsid w:val="008D6395"/>
    <w:rsid w:val="008D6453"/>
    <w:rsid w:val="008D68F4"/>
    <w:rsid w:val="008D6BBF"/>
    <w:rsid w:val="008D7112"/>
    <w:rsid w:val="008D7246"/>
    <w:rsid w:val="008D75B8"/>
    <w:rsid w:val="008D794D"/>
    <w:rsid w:val="008D7A54"/>
    <w:rsid w:val="008D7DB6"/>
    <w:rsid w:val="008D7E80"/>
    <w:rsid w:val="008E07C7"/>
    <w:rsid w:val="008E0A80"/>
    <w:rsid w:val="008E0A98"/>
    <w:rsid w:val="008E0F31"/>
    <w:rsid w:val="008E10FE"/>
    <w:rsid w:val="008E11FC"/>
    <w:rsid w:val="008E12B7"/>
    <w:rsid w:val="008E148F"/>
    <w:rsid w:val="008E156C"/>
    <w:rsid w:val="008E2972"/>
    <w:rsid w:val="008E2AF0"/>
    <w:rsid w:val="008E2BD5"/>
    <w:rsid w:val="008E334F"/>
    <w:rsid w:val="008E34D4"/>
    <w:rsid w:val="008E3520"/>
    <w:rsid w:val="008E38E8"/>
    <w:rsid w:val="008E3D2A"/>
    <w:rsid w:val="008E425B"/>
    <w:rsid w:val="008E4571"/>
    <w:rsid w:val="008E4856"/>
    <w:rsid w:val="008E4D84"/>
    <w:rsid w:val="008E54F2"/>
    <w:rsid w:val="008E6298"/>
    <w:rsid w:val="008E679F"/>
    <w:rsid w:val="008E715E"/>
    <w:rsid w:val="008E71B9"/>
    <w:rsid w:val="008E77FC"/>
    <w:rsid w:val="008E7E69"/>
    <w:rsid w:val="008F02D0"/>
    <w:rsid w:val="008F16EF"/>
    <w:rsid w:val="008F1DB8"/>
    <w:rsid w:val="008F1DFF"/>
    <w:rsid w:val="008F1ED1"/>
    <w:rsid w:val="008F239A"/>
    <w:rsid w:val="008F26BF"/>
    <w:rsid w:val="008F2AD8"/>
    <w:rsid w:val="008F2DEA"/>
    <w:rsid w:val="008F2EAA"/>
    <w:rsid w:val="008F33B9"/>
    <w:rsid w:val="008F396D"/>
    <w:rsid w:val="008F441B"/>
    <w:rsid w:val="008F48DB"/>
    <w:rsid w:val="008F4E9E"/>
    <w:rsid w:val="008F4EBE"/>
    <w:rsid w:val="008F4FAC"/>
    <w:rsid w:val="008F606F"/>
    <w:rsid w:val="008F623B"/>
    <w:rsid w:val="008F696D"/>
    <w:rsid w:val="008F69F6"/>
    <w:rsid w:val="008F6F89"/>
    <w:rsid w:val="008F73B0"/>
    <w:rsid w:val="008F7CC0"/>
    <w:rsid w:val="008F7D8C"/>
    <w:rsid w:val="009008D9"/>
    <w:rsid w:val="00900ACF"/>
    <w:rsid w:val="00900B67"/>
    <w:rsid w:val="009010B4"/>
    <w:rsid w:val="009012FF"/>
    <w:rsid w:val="00901BB4"/>
    <w:rsid w:val="00901E90"/>
    <w:rsid w:val="00901F04"/>
    <w:rsid w:val="0090240A"/>
    <w:rsid w:val="00902BA6"/>
    <w:rsid w:val="00902E69"/>
    <w:rsid w:val="00903715"/>
    <w:rsid w:val="00903CD9"/>
    <w:rsid w:val="00903D75"/>
    <w:rsid w:val="00903F1E"/>
    <w:rsid w:val="00904C6F"/>
    <w:rsid w:val="009059CA"/>
    <w:rsid w:val="00905DBE"/>
    <w:rsid w:val="00906DE2"/>
    <w:rsid w:val="00907C1C"/>
    <w:rsid w:val="00910988"/>
    <w:rsid w:val="00910A20"/>
    <w:rsid w:val="00910D26"/>
    <w:rsid w:val="0091154E"/>
    <w:rsid w:val="00911EF2"/>
    <w:rsid w:val="00911FB6"/>
    <w:rsid w:val="0091234F"/>
    <w:rsid w:val="0091267A"/>
    <w:rsid w:val="00912B0F"/>
    <w:rsid w:val="009135CB"/>
    <w:rsid w:val="00913CB9"/>
    <w:rsid w:val="00913F23"/>
    <w:rsid w:val="00915627"/>
    <w:rsid w:val="0091628A"/>
    <w:rsid w:val="00916B90"/>
    <w:rsid w:val="00916C2D"/>
    <w:rsid w:val="00916CC7"/>
    <w:rsid w:val="0091705E"/>
    <w:rsid w:val="00917112"/>
    <w:rsid w:val="009171F9"/>
    <w:rsid w:val="0091729C"/>
    <w:rsid w:val="009172DB"/>
    <w:rsid w:val="00917E68"/>
    <w:rsid w:val="0092062C"/>
    <w:rsid w:val="00921B0C"/>
    <w:rsid w:val="00922450"/>
    <w:rsid w:val="00922C1F"/>
    <w:rsid w:val="00922EAF"/>
    <w:rsid w:val="009230DC"/>
    <w:rsid w:val="00924587"/>
    <w:rsid w:val="009245FA"/>
    <w:rsid w:val="009253AF"/>
    <w:rsid w:val="00926934"/>
    <w:rsid w:val="009269ED"/>
    <w:rsid w:val="00926B75"/>
    <w:rsid w:val="00926E39"/>
    <w:rsid w:val="00926F45"/>
    <w:rsid w:val="009272E3"/>
    <w:rsid w:val="00927DBD"/>
    <w:rsid w:val="00927E1F"/>
    <w:rsid w:val="009303FC"/>
    <w:rsid w:val="009309D1"/>
    <w:rsid w:val="00930B6B"/>
    <w:rsid w:val="00930C57"/>
    <w:rsid w:val="00930C58"/>
    <w:rsid w:val="00930F43"/>
    <w:rsid w:val="00931517"/>
    <w:rsid w:val="0093195B"/>
    <w:rsid w:val="00931AE0"/>
    <w:rsid w:val="00931C36"/>
    <w:rsid w:val="00931E5D"/>
    <w:rsid w:val="0093219F"/>
    <w:rsid w:val="00932225"/>
    <w:rsid w:val="0093266A"/>
    <w:rsid w:val="00933321"/>
    <w:rsid w:val="00933A5B"/>
    <w:rsid w:val="009342AC"/>
    <w:rsid w:val="009348CE"/>
    <w:rsid w:val="00934F3F"/>
    <w:rsid w:val="0093549B"/>
    <w:rsid w:val="009356F2"/>
    <w:rsid w:val="00935BFE"/>
    <w:rsid w:val="00935D73"/>
    <w:rsid w:val="00935D8C"/>
    <w:rsid w:val="00936C8C"/>
    <w:rsid w:val="009377A2"/>
    <w:rsid w:val="00937A32"/>
    <w:rsid w:val="00937BEB"/>
    <w:rsid w:val="00940120"/>
    <w:rsid w:val="00940894"/>
    <w:rsid w:val="00940D87"/>
    <w:rsid w:val="00940FFB"/>
    <w:rsid w:val="00941007"/>
    <w:rsid w:val="009411AA"/>
    <w:rsid w:val="00941259"/>
    <w:rsid w:val="0094125F"/>
    <w:rsid w:val="00941269"/>
    <w:rsid w:val="00941863"/>
    <w:rsid w:val="00941B54"/>
    <w:rsid w:val="00941E88"/>
    <w:rsid w:val="009427C3"/>
    <w:rsid w:val="009439C6"/>
    <w:rsid w:val="00943CD3"/>
    <w:rsid w:val="00944320"/>
    <w:rsid w:val="00944A56"/>
    <w:rsid w:val="00944BD5"/>
    <w:rsid w:val="0094514D"/>
    <w:rsid w:val="009451EE"/>
    <w:rsid w:val="00945527"/>
    <w:rsid w:val="0094600A"/>
    <w:rsid w:val="00946EBE"/>
    <w:rsid w:val="00947600"/>
    <w:rsid w:val="00947B43"/>
    <w:rsid w:val="00947B83"/>
    <w:rsid w:val="00950410"/>
    <w:rsid w:val="00950D8F"/>
    <w:rsid w:val="00950DAC"/>
    <w:rsid w:val="0095151F"/>
    <w:rsid w:val="00951988"/>
    <w:rsid w:val="00951E80"/>
    <w:rsid w:val="00951F99"/>
    <w:rsid w:val="00952936"/>
    <w:rsid w:val="009531C0"/>
    <w:rsid w:val="00953FE3"/>
    <w:rsid w:val="00954027"/>
    <w:rsid w:val="00954395"/>
    <w:rsid w:val="009543D3"/>
    <w:rsid w:val="00954452"/>
    <w:rsid w:val="009548B0"/>
    <w:rsid w:val="00954B81"/>
    <w:rsid w:val="00955752"/>
    <w:rsid w:val="00955AB0"/>
    <w:rsid w:val="00955BF2"/>
    <w:rsid w:val="009560A4"/>
    <w:rsid w:val="0095612F"/>
    <w:rsid w:val="00956941"/>
    <w:rsid w:val="00956AA0"/>
    <w:rsid w:val="00956DF2"/>
    <w:rsid w:val="00957CC6"/>
    <w:rsid w:val="0096077B"/>
    <w:rsid w:val="009607D2"/>
    <w:rsid w:val="0096089B"/>
    <w:rsid w:val="00960961"/>
    <w:rsid w:val="00960A41"/>
    <w:rsid w:val="00960CC6"/>
    <w:rsid w:val="00961B96"/>
    <w:rsid w:val="00962917"/>
    <w:rsid w:val="00962A6B"/>
    <w:rsid w:val="00963191"/>
    <w:rsid w:val="009634AF"/>
    <w:rsid w:val="00963799"/>
    <w:rsid w:val="00963B63"/>
    <w:rsid w:val="00963FF5"/>
    <w:rsid w:val="009643CF"/>
    <w:rsid w:val="00964982"/>
    <w:rsid w:val="00964E00"/>
    <w:rsid w:val="0096591D"/>
    <w:rsid w:val="009668DD"/>
    <w:rsid w:val="00966C64"/>
    <w:rsid w:val="00967660"/>
    <w:rsid w:val="00967A75"/>
    <w:rsid w:val="00967E10"/>
    <w:rsid w:val="00967ED8"/>
    <w:rsid w:val="009711C1"/>
    <w:rsid w:val="009711F5"/>
    <w:rsid w:val="00971708"/>
    <w:rsid w:val="00971BDF"/>
    <w:rsid w:val="00971EE7"/>
    <w:rsid w:val="00971F3B"/>
    <w:rsid w:val="009729C2"/>
    <w:rsid w:val="00972BFE"/>
    <w:rsid w:val="00972CA2"/>
    <w:rsid w:val="00973EFD"/>
    <w:rsid w:val="009741FC"/>
    <w:rsid w:val="009742FD"/>
    <w:rsid w:val="0097497B"/>
    <w:rsid w:val="00974C65"/>
    <w:rsid w:val="00975386"/>
    <w:rsid w:val="009755F2"/>
    <w:rsid w:val="00975690"/>
    <w:rsid w:val="00975B79"/>
    <w:rsid w:val="00975F64"/>
    <w:rsid w:val="00976502"/>
    <w:rsid w:val="00976727"/>
    <w:rsid w:val="009770EF"/>
    <w:rsid w:val="00977C0E"/>
    <w:rsid w:val="00977C27"/>
    <w:rsid w:val="00977E7B"/>
    <w:rsid w:val="00977F3D"/>
    <w:rsid w:val="0098044D"/>
    <w:rsid w:val="00980571"/>
    <w:rsid w:val="00980C61"/>
    <w:rsid w:val="00980FA9"/>
    <w:rsid w:val="009812BD"/>
    <w:rsid w:val="00981302"/>
    <w:rsid w:val="009816F9"/>
    <w:rsid w:val="00981855"/>
    <w:rsid w:val="00982090"/>
    <w:rsid w:val="00982686"/>
    <w:rsid w:val="00983717"/>
    <w:rsid w:val="009843A1"/>
    <w:rsid w:val="00985003"/>
    <w:rsid w:val="009854F4"/>
    <w:rsid w:val="00985544"/>
    <w:rsid w:val="009856E0"/>
    <w:rsid w:val="00985D44"/>
    <w:rsid w:val="00985E3D"/>
    <w:rsid w:val="00985F44"/>
    <w:rsid w:val="009860F4"/>
    <w:rsid w:val="009868B9"/>
    <w:rsid w:val="00986A08"/>
    <w:rsid w:val="00987381"/>
    <w:rsid w:val="00987675"/>
    <w:rsid w:val="009879F9"/>
    <w:rsid w:val="009901DF"/>
    <w:rsid w:val="0099058A"/>
    <w:rsid w:val="009912CF"/>
    <w:rsid w:val="009921B8"/>
    <w:rsid w:val="0099221C"/>
    <w:rsid w:val="009924DC"/>
    <w:rsid w:val="009929DF"/>
    <w:rsid w:val="00992DBC"/>
    <w:rsid w:val="00992EB8"/>
    <w:rsid w:val="009932DD"/>
    <w:rsid w:val="00993303"/>
    <w:rsid w:val="00993C5A"/>
    <w:rsid w:val="00993EE0"/>
    <w:rsid w:val="0099407C"/>
    <w:rsid w:val="0099424D"/>
    <w:rsid w:val="00994865"/>
    <w:rsid w:val="0099497A"/>
    <w:rsid w:val="0099537C"/>
    <w:rsid w:val="009956F9"/>
    <w:rsid w:val="0099616F"/>
    <w:rsid w:val="009962AC"/>
    <w:rsid w:val="009962C5"/>
    <w:rsid w:val="0099651E"/>
    <w:rsid w:val="0099658C"/>
    <w:rsid w:val="00996A9E"/>
    <w:rsid w:val="00996FA7"/>
    <w:rsid w:val="0099755F"/>
    <w:rsid w:val="0099766B"/>
    <w:rsid w:val="009A0386"/>
    <w:rsid w:val="009A0708"/>
    <w:rsid w:val="009A0FCA"/>
    <w:rsid w:val="009A1741"/>
    <w:rsid w:val="009A19E6"/>
    <w:rsid w:val="009A2021"/>
    <w:rsid w:val="009A255C"/>
    <w:rsid w:val="009A2604"/>
    <w:rsid w:val="009A2618"/>
    <w:rsid w:val="009A27A3"/>
    <w:rsid w:val="009A2C89"/>
    <w:rsid w:val="009A3658"/>
    <w:rsid w:val="009A372E"/>
    <w:rsid w:val="009A3FB8"/>
    <w:rsid w:val="009A4567"/>
    <w:rsid w:val="009A4EC1"/>
    <w:rsid w:val="009A5765"/>
    <w:rsid w:val="009A578E"/>
    <w:rsid w:val="009A5BB5"/>
    <w:rsid w:val="009A63F1"/>
    <w:rsid w:val="009A696F"/>
    <w:rsid w:val="009A7176"/>
    <w:rsid w:val="009A783B"/>
    <w:rsid w:val="009A7B96"/>
    <w:rsid w:val="009B03E3"/>
    <w:rsid w:val="009B09F9"/>
    <w:rsid w:val="009B0ADA"/>
    <w:rsid w:val="009B0B0B"/>
    <w:rsid w:val="009B0CEA"/>
    <w:rsid w:val="009B0DF3"/>
    <w:rsid w:val="009B1402"/>
    <w:rsid w:val="009B1C10"/>
    <w:rsid w:val="009B1FFB"/>
    <w:rsid w:val="009B2A61"/>
    <w:rsid w:val="009B2CFD"/>
    <w:rsid w:val="009B31EB"/>
    <w:rsid w:val="009B34E1"/>
    <w:rsid w:val="009B4773"/>
    <w:rsid w:val="009B478D"/>
    <w:rsid w:val="009B48AC"/>
    <w:rsid w:val="009B5FF0"/>
    <w:rsid w:val="009B6091"/>
    <w:rsid w:val="009B6584"/>
    <w:rsid w:val="009B6B38"/>
    <w:rsid w:val="009B6D89"/>
    <w:rsid w:val="009B6DDF"/>
    <w:rsid w:val="009B6F9E"/>
    <w:rsid w:val="009B7F94"/>
    <w:rsid w:val="009C03B3"/>
    <w:rsid w:val="009C0A14"/>
    <w:rsid w:val="009C0AFE"/>
    <w:rsid w:val="009C0FD8"/>
    <w:rsid w:val="009C1197"/>
    <w:rsid w:val="009C1448"/>
    <w:rsid w:val="009C159A"/>
    <w:rsid w:val="009C1AAB"/>
    <w:rsid w:val="009C217D"/>
    <w:rsid w:val="009C2571"/>
    <w:rsid w:val="009C2DE7"/>
    <w:rsid w:val="009C33EE"/>
    <w:rsid w:val="009C41D2"/>
    <w:rsid w:val="009C4787"/>
    <w:rsid w:val="009C4818"/>
    <w:rsid w:val="009C4A44"/>
    <w:rsid w:val="009C51BA"/>
    <w:rsid w:val="009C52D3"/>
    <w:rsid w:val="009C5D38"/>
    <w:rsid w:val="009C6879"/>
    <w:rsid w:val="009C6F95"/>
    <w:rsid w:val="009C7919"/>
    <w:rsid w:val="009D0256"/>
    <w:rsid w:val="009D0388"/>
    <w:rsid w:val="009D04D9"/>
    <w:rsid w:val="009D1593"/>
    <w:rsid w:val="009D1774"/>
    <w:rsid w:val="009D1A32"/>
    <w:rsid w:val="009D203F"/>
    <w:rsid w:val="009D20A7"/>
    <w:rsid w:val="009D224F"/>
    <w:rsid w:val="009D2D59"/>
    <w:rsid w:val="009D2D7A"/>
    <w:rsid w:val="009D322C"/>
    <w:rsid w:val="009D3529"/>
    <w:rsid w:val="009D354C"/>
    <w:rsid w:val="009D41DF"/>
    <w:rsid w:val="009D421D"/>
    <w:rsid w:val="009D4403"/>
    <w:rsid w:val="009D4F06"/>
    <w:rsid w:val="009D5259"/>
    <w:rsid w:val="009D5895"/>
    <w:rsid w:val="009D5AF8"/>
    <w:rsid w:val="009D6B12"/>
    <w:rsid w:val="009D6C20"/>
    <w:rsid w:val="009D6DCA"/>
    <w:rsid w:val="009D7555"/>
    <w:rsid w:val="009E02CA"/>
    <w:rsid w:val="009E02EC"/>
    <w:rsid w:val="009E0340"/>
    <w:rsid w:val="009E0670"/>
    <w:rsid w:val="009E0B48"/>
    <w:rsid w:val="009E0BA2"/>
    <w:rsid w:val="009E0DAE"/>
    <w:rsid w:val="009E0DB5"/>
    <w:rsid w:val="009E0F64"/>
    <w:rsid w:val="009E194D"/>
    <w:rsid w:val="009E1ACB"/>
    <w:rsid w:val="009E2274"/>
    <w:rsid w:val="009E22AF"/>
    <w:rsid w:val="009E25B9"/>
    <w:rsid w:val="009E29F2"/>
    <w:rsid w:val="009E307B"/>
    <w:rsid w:val="009E37A9"/>
    <w:rsid w:val="009E39BF"/>
    <w:rsid w:val="009E3C86"/>
    <w:rsid w:val="009E438B"/>
    <w:rsid w:val="009E4A57"/>
    <w:rsid w:val="009E4F65"/>
    <w:rsid w:val="009E5005"/>
    <w:rsid w:val="009E549B"/>
    <w:rsid w:val="009E5E3F"/>
    <w:rsid w:val="009E665A"/>
    <w:rsid w:val="009E70DF"/>
    <w:rsid w:val="009E7BA8"/>
    <w:rsid w:val="009E7E6E"/>
    <w:rsid w:val="009E7E7B"/>
    <w:rsid w:val="009E7F68"/>
    <w:rsid w:val="009F0800"/>
    <w:rsid w:val="009F09D7"/>
    <w:rsid w:val="009F0E58"/>
    <w:rsid w:val="009F1120"/>
    <w:rsid w:val="009F1507"/>
    <w:rsid w:val="009F2D1B"/>
    <w:rsid w:val="009F2F9B"/>
    <w:rsid w:val="009F3055"/>
    <w:rsid w:val="009F35BC"/>
    <w:rsid w:val="009F3CFD"/>
    <w:rsid w:val="009F4A49"/>
    <w:rsid w:val="009F4BBE"/>
    <w:rsid w:val="009F50AB"/>
    <w:rsid w:val="009F50D3"/>
    <w:rsid w:val="009F6B94"/>
    <w:rsid w:val="009F6BE4"/>
    <w:rsid w:val="009F75FD"/>
    <w:rsid w:val="009F7712"/>
    <w:rsid w:val="009F7B63"/>
    <w:rsid w:val="009F7DC0"/>
    <w:rsid w:val="009F7F12"/>
    <w:rsid w:val="009F7FB7"/>
    <w:rsid w:val="00A00248"/>
    <w:rsid w:val="00A0080B"/>
    <w:rsid w:val="00A00BA0"/>
    <w:rsid w:val="00A00CDE"/>
    <w:rsid w:val="00A00D92"/>
    <w:rsid w:val="00A00F5E"/>
    <w:rsid w:val="00A0138C"/>
    <w:rsid w:val="00A021D3"/>
    <w:rsid w:val="00A02663"/>
    <w:rsid w:val="00A030CB"/>
    <w:rsid w:val="00A03695"/>
    <w:rsid w:val="00A0379A"/>
    <w:rsid w:val="00A03C34"/>
    <w:rsid w:val="00A04237"/>
    <w:rsid w:val="00A04399"/>
    <w:rsid w:val="00A04725"/>
    <w:rsid w:val="00A05147"/>
    <w:rsid w:val="00A05202"/>
    <w:rsid w:val="00A056F4"/>
    <w:rsid w:val="00A05993"/>
    <w:rsid w:val="00A0599D"/>
    <w:rsid w:val="00A05F0F"/>
    <w:rsid w:val="00A06A40"/>
    <w:rsid w:val="00A06B07"/>
    <w:rsid w:val="00A06B7C"/>
    <w:rsid w:val="00A1071D"/>
    <w:rsid w:val="00A10BDF"/>
    <w:rsid w:val="00A11074"/>
    <w:rsid w:val="00A11EA2"/>
    <w:rsid w:val="00A12194"/>
    <w:rsid w:val="00A12547"/>
    <w:rsid w:val="00A1257C"/>
    <w:rsid w:val="00A12648"/>
    <w:rsid w:val="00A132E6"/>
    <w:rsid w:val="00A13AE2"/>
    <w:rsid w:val="00A143EE"/>
    <w:rsid w:val="00A14C8E"/>
    <w:rsid w:val="00A152BA"/>
    <w:rsid w:val="00A15711"/>
    <w:rsid w:val="00A15819"/>
    <w:rsid w:val="00A16A79"/>
    <w:rsid w:val="00A1714E"/>
    <w:rsid w:val="00A173F9"/>
    <w:rsid w:val="00A17525"/>
    <w:rsid w:val="00A17699"/>
    <w:rsid w:val="00A17759"/>
    <w:rsid w:val="00A17946"/>
    <w:rsid w:val="00A17B60"/>
    <w:rsid w:val="00A20115"/>
    <w:rsid w:val="00A212B2"/>
    <w:rsid w:val="00A21AFE"/>
    <w:rsid w:val="00A22371"/>
    <w:rsid w:val="00A224EE"/>
    <w:rsid w:val="00A225BB"/>
    <w:rsid w:val="00A22BE7"/>
    <w:rsid w:val="00A233E6"/>
    <w:rsid w:val="00A23BE0"/>
    <w:rsid w:val="00A23E0E"/>
    <w:rsid w:val="00A23EA2"/>
    <w:rsid w:val="00A23F42"/>
    <w:rsid w:val="00A23FBB"/>
    <w:rsid w:val="00A243DF"/>
    <w:rsid w:val="00A24E56"/>
    <w:rsid w:val="00A25112"/>
    <w:rsid w:val="00A255B7"/>
    <w:rsid w:val="00A25EFE"/>
    <w:rsid w:val="00A25F02"/>
    <w:rsid w:val="00A26546"/>
    <w:rsid w:val="00A2681F"/>
    <w:rsid w:val="00A26CAD"/>
    <w:rsid w:val="00A26DD3"/>
    <w:rsid w:val="00A2763C"/>
    <w:rsid w:val="00A27B30"/>
    <w:rsid w:val="00A27DC0"/>
    <w:rsid w:val="00A27E4E"/>
    <w:rsid w:val="00A30065"/>
    <w:rsid w:val="00A307A4"/>
    <w:rsid w:val="00A30843"/>
    <w:rsid w:val="00A30C15"/>
    <w:rsid w:val="00A30F27"/>
    <w:rsid w:val="00A31AA4"/>
    <w:rsid w:val="00A31BD1"/>
    <w:rsid w:val="00A32108"/>
    <w:rsid w:val="00A331D2"/>
    <w:rsid w:val="00A33592"/>
    <w:rsid w:val="00A33825"/>
    <w:rsid w:val="00A33C39"/>
    <w:rsid w:val="00A3483E"/>
    <w:rsid w:val="00A348AF"/>
    <w:rsid w:val="00A34A5A"/>
    <w:rsid w:val="00A34CC4"/>
    <w:rsid w:val="00A34D50"/>
    <w:rsid w:val="00A34F34"/>
    <w:rsid w:val="00A35062"/>
    <w:rsid w:val="00A357A3"/>
    <w:rsid w:val="00A35A0B"/>
    <w:rsid w:val="00A37AB5"/>
    <w:rsid w:val="00A404B3"/>
    <w:rsid w:val="00A40D7B"/>
    <w:rsid w:val="00A416BC"/>
    <w:rsid w:val="00A416E0"/>
    <w:rsid w:val="00A41925"/>
    <w:rsid w:val="00A420C1"/>
    <w:rsid w:val="00A42123"/>
    <w:rsid w:val="00A42646"/>
    <w:rsid w:val="00A42E41"/>
    <w:rsid w:val="00A42E95"/>
    <w:rsid w:val="00A436DD"/>
    <w:rsid w:val="00A43BDF"/>
    <w:rsid w:val="00A43C37"/>
    <w:rsid w:val="00A447A6"/>
    <w:rsid w:val="00A4506C"/>
    <w:rsid w:val="00A4533D"/>
    <w:rsid w:val="00A459EB"/>
    <w:rsid w:val="00A463B7"/>
    <w:rsid w:val="00A468C7"/>
    <w:rsid w:val="00A47409"/>
    <w:rsid w:val="00A4749D"/>
    <w:rsid w:val="00A47753"/>
    <w:rsid w:val="00A47D81"/>
    <w:rsid w:val="00A47E5B"/>
    <w:rsid w:val="00A503CF"/>
    <w:rsid w:val="00A50569"/>
    <w:rsid w:val="00A505CC"/>
    <w:rsid w:val="00A50D4A"/>
    <w:rsid w:val="00A51367"/>
    <w:rsid w:val="00A516A9"/>
    <w:rsid w:val="00A51936"/>
    <w:rsid w:val="00A51F62"/>
    <w:rsid w:val="00A51FAF"/>
    <w:rsid w:val="00A521ED"/>
    <w:rsid w:val="00A52407"/>
    <w:rsid w:val="00A52738"/>
    <w:rsid w:val="00A542BF"/>
    <w:rsid w:val="00A54559"/>
    <w:rsid w:val="00A54AB6"/>
    <w:rsid w:val="00A54B1C"/>
    <w:rsid w:val="00A54E77"/>
    <w:rsid w:val="00A55580"/>
    <w:rsid w:val="00A55C0A"/>
    <w:rsid w:val="00A55FCA"/>
    <w:rsid w:val="00A5622B"/>
    <w:rsid w:val="00A56E2D"/>
    <w:rsid w:val="00A56EDF"/>
    <w:rsid w:val="00A56F65"/>
    <w:rsid w:val="00A570EB"/>
    <w:rsid w:val="00A5714E"/>
    <w:rsid w:val="00A573C3"/>
    <w:rsid w:val="00A57621"/>
    <w:rsid w:val="00A60CD2"/>
    <w:rsid w:val="00A60CDA"/>
    <w:rsid w:val="00A615CD"/>
    <w:rsid w:val="00A626C9"/>
    <w:rsid w:val="00A631F0"/>
    <w:rsid w:val="00A63231"/>
    <w:rsid w:val="00A634DC"/>
    <w:rsid w:val="00A63A68"/>
    <w:rsid w:val="00A63DFB"/>
    <w:rsid w:val="00A63EE2"/>
    <w:rsid w:val="00A63F2F"/>
    <w:rsid w:val="00A643AB"/>
    <w:rsid w:val="00A643AF"/>
    <w:rsid w:val="00A644DB"/>
    <w:rsid w:val="00A64540"/>
    <w:rsid w:val="00A65707"/>
    <w:rsid w:val="00A65A30"/>
    <w:rsid w:val="00A661A8"/>
    <w:rsid w:val="00A66565"/>
    <w:rsid w:val="00A668DC"/>
    <w:rsid w:val="00A66BE4"/>
    <w:rsid w:val="00A6788E"/>
    <w:rsid w:val="00A679F5"/>
    <w:rsid w:val="00A70731"/>
    <w:rsid w:val="00A70BB4"/>
    <w:rsid w:val="00A71078"/>
    <w:rsid w:val="00A7132D"/>
    <w:rsid w:val="00A7263E"/>
    <w:rsid w:val="00A73067"/>
    <w:rsid w:val="00A732A0"/>
    <w:rsid w:val="00A74355"/>
    <w:rsid w:val="00A74A3A"/>
    <w:rsid w:val="00A74A45"/>
    <w:rsid w:val="00A74CB4"/>
    <w:rsid w:val="00A751BB"/>
    <w:rsid w:val="00A75D16"/>
    <w:rsid w:val="00A75E59"/>
    <w:rsid w:val="00A76622"/>
    <w:rsid w:val="00A768AB"/>
    <w:rsid w:val="00A770F6"/>
    <w:rsid w:val="00A7758C"/>
    <w:rsid w:val="00A77876"/>
    <w:rsid w:val="00A803C4"/>
    <w:rsid w:val="00A804B3"/>
    <w:rsid w:val="00A80980"/>
    <w:rsid w:val="00A80C3C"/>
    <w:rsid w:val="00A81FFA"/>
    <w:rsid w:val="00A82061"/>
    <w:rsid w:val="00A824DC"/>
    <w:rsid w:val="00A82718"/>
    <w:rsid w:val="00A828A5"/>
    <w:rsid w:val="00A82946"/>
    <w:rsid w:val="00A82C54"/>
    <w:rsid w:val="00A83922"/>
    <w:rsid w:val="00A839DD"/>
    <w:rsid w:val="00A83A08"/>
    <w:rsid w:val="00A83F49"/>
    <w:rsid w:val="00A84B40"/>
    <w:rsid w:val="00A85034"/>
    <w:rsid w:val="00A85557"/>
    <w:rsid w:val="00A855D8"/>
    <w:rsid w:val="00A85776"/>
    <w:rsid w:val="00A858C3"/>
    <w:rsid w:val="00A86467"/>
    <w:rsid w:val="00A866FE"/>
    <w:rsid w:val="00A86D51"/>
    <w:rsid w:val="00A87307"/>
    <w:rsid w:val="00A87349"/>
    <w:rsid w:val="00A87A60"/>
    <w:rsid w:val="00A90138"/>
    <w:rsid w:val="00A909B9"/>
    <w:rsid w:val="00A918A6"/>
    <w:rsid w:val="00A92529"/>
    <w:rsid w:val="00A929F3"/>
    <w:rsid w:val="00A92A38"/>
    <w:rsid w:val="00A92B36"/>
    <w:rsid w:val="00A92C42"/>
    <w:rsid w:val="00A93064"/>
    <w:rsid w:val="00A9318E"/>
    <w:rsid w:val="00A93261"/>
    <w:rsid w:val="00A9367D"/>
    <w:rsid w:val="00A9374A"/>
    <w:rsid w:val="00A93B01"/>
    <w:rsid w:val="00A94593"/>
    <w:rsid w:val="00A946A3"/>
    <w:rsid w:val="00A94A8F"/>
    <w:rsid w:val="00A952C9"/>
    <w:rsid w:val="00A95870"/>
    <w:rsid w:val="00A95A38"/>
    <w:rsid w:val="00A95B63"/>
    <w:rsid w:val="00A95C37"/>
    <w:rsid w:val="00A95F30"/>
    <w:rsid w:val="00A962E4"/>
    <w:rsid w:val="00A96B43"/>
    <w:rsid w:val="00A96E8C"/>
    <w:rsid w:val="00A96F54"/>
    <w:rsid w:val="00A9747F"/>
    <w:rsid w:val="00A97A63"/>
    <w:rsid w:val="00A97B05"/>
    <w:rsid w:val="00AA031E"/>
    <w:rsid w:val="00AA0542"/>
    <w:rsid w:val="00AA10E7"/>
    <w:rsid w:val="00AA13D7"/>
    <w:rsid w:val="00AA1755"/>
    <w:rsid w:val="00AA1C9F"/>
    <w:rsid w:val="00AA1D7C"/>
    <w:rsid w:val="00AA2294"/>
    <w:rsid w:val="00AA2B69"/>
    <w:rsid w:val="00AA2C6F"/>
    <w:rsid w:val="00AA3655"/>
    <w:rsid w:val="00AA3B1A"/>
    <w:rsid w:val="00AA44B7"/>
    <w:rsid w:val="00AA490E"/>
    <w:rsid w:val="00AA492F"/>
    <w:rsid w:val="00AA4992"/>
    <w:rsid w:val="00AA49E0"/>
    <w:rsid w:val="00AA4B2D"/>
    <w:rsid w:val="00AA4E63"/>
    <w:rsid w:val="00AA4F8A"/>
    <w:rsid w:val="00AA5263"/>
    <w:rsid w:val="00AA5EC5"/>
    <w:rsid w:val="00AA625A"/>
    <w:rsid w:val="00AA67C2"/>
    <w:rsid w:val="00AA69DA"/>
    <w:rsid w:val="00AA6A16"/>
    <w:rsid w:val="00AA6FBB"/>
    <w:rsid w:val="00AA72BD"/>
    <w:rsid w:val="00AB0167"/>
    <w:rsid w:val="00AB0F67"/>
    <w:rsid w:val="00AB1513"/>
    <w:rsid w:val="00AB1B26"/>
    <w:rsid w:val="00AB20F9"/>
    <w:rsid w:val="00AB32DF"/>
    <w:rsid w:val="00AB3584"/>
    <w:rsid w:val="00AB360E"/>
    <w:rsid w:val="00AB364C"/>
    <w:rsid w:val="00AB379D"/>
    <w:rsid w:val="00AB46B9"/>
    <w:rsid w:val="00AB4EB6"/>
    <w:rsid w:val="00AB5509"/>
    <w:rsid w:val="00AB5985"/>
    <w:rsid w:val="00AB5AB7"/>
    <w:rsid w:val="00AB6126"/>
    <w:rsid w:val="00AB674E"/>
    <w:rsid w:val="00AB6AE3"/>
    <w:rsid w:val="00AB7734"/>
    <w:rsid w:val="00AC0E04"/>
    <w:rsid w:val="00AC1154"/>
    <w:rsid w:val="00AC1267"/>
    <w:rsid w:val="00AC159A"/>
    <w:rsid w:val="00AC1625"/>
    <w:rsid w:val="00AC2181"/>
    <w:rsid w:val="00AC347F"/>
    <w:rsid w:val="00AC3BFE"/>
    <w:rsid w:val="00AC44C3"/>
    <w:rsid w:val="00AC477F"/>
    <w:rsid w:val="00AC5065"/>
    <w:rsid w:val="00AC5E97"/>
    <w:rsid w:val="00AC5F52"/>
    <w:rsid w:val="00AC686D"/>
    <w:rsid w:val="00AC6BFF"/>
    <w:rsid w:val="00AC7146"/>
    <w:rsid w:val="00AC7209"/>
    <w:rsid w:val="00AC7375"/>
    <w:rsid w:val="00AC7CB9"/>
    <w:rsid w:val="00AC7EDF"/>
    <w:rsid w:val="00AD035C"/>
    <w:rsid w:val="00AD10F1"/>
    <w:rsid w:val="00AD178D"/>
    <w:rsid w:val="00AD17C6"/>
    <w:rsid w:val="00AD1F82"/>
    <w:rsid w:val="00AD2244"/>
    <w:rsid w:val="00AD26A6"/>
    <w:rsid w:val="00AD2DDB"/>
    <w:rsid w:val="00AD2E0C"/>
    <w:rsid w:val="00AD2ED7"/>
    <w:rsid w:val="00AD3242"/>
    <w:rsid w:val="00AD3417"/>
    <w:rsid w:val="00AD3446"/>
    <w:rsid w:val="00AD34A0"/>
    <w:rsid w:val="00AD3C94"/>
    <w:rsid w:val="00AD4193"/>
    <w:rsid w:val="00AD45BD"/>
    <w:rsid w:val="00AD520A"/>
    <w:rsid w:val="00AD5470"/>
    <w:rsid w:val="00AD5C7B"/>
    <w:rsid w:val="00AD5EE6"/>
    <w:rsid w:val="00AD631C"/>
    <w:rsid w:val="00AD65AB"/>
    <w:rsid w:val="00AD682F"/>
    <w:rsid w:val="00AD69BB"/>
    <w:rsid w:val="00AD7359"/>
    <w:rsid w:val="00AE00A4"/>
    <w:rsid w:val="00AE06E0"/>
    <w:rsid w:val="00AE0817"/>
    <w:rsid w:val="00AE0847"/>
    <w:rsid w:val="00AE08D8"/>
    <w:rsid w:val="00AE0BA2"/>
    <w:rsid w:val="00AE14ED"/>
    <w:rsid w:val="00AE192A"/>
    <w:rsid w:val="00AE1E2E"/>
    <w:rsid w:val="00AE24CB"/>
    <w:rsid w:val="00AE255D"/>
    <w:rsid w:val="00AE2D6E"/>
    <w:rsid w:val="00AE3038"/>
    <w:rsid w:val="00AE32FA"/>
    <w:rsid w:val="00AE3547"/>
    <w:rsid w:val="00AE3D62"/>
    <w:rsid w:val="00AE4160"/>
    <w:rsid w:val="00AE4AB5"/>
    <w:rsid w:val="00AE4D41"/>
    <w:rsid w:val="00AE50A0"/>
    <w:rsid w:val="00AE5F29"/>
    <w:rsid w:val="00AE6148"/>
    <w:rsid w:val="00AE6DC5"/>
    <w:rsid w:val="00AE7030"/>
    <w:rsid w:val="00AE772F"/>
    <w:rsid w:val="00AE7B14"/>
    <w:rsid w:val="00AF04D7"/>
    <w:rsid w:val="00AF0E75"/>
    <w:rsid w:val="00AF2110"/>
    <w:rsid w:val="00AF28F4"/>
    <w:rsid w:val="00AF2E73"/>
    <w:rsid w:val="00AF2F58"/>
    <w:rsid w:val="00AF32FA"/>
    <w:rsid w:val="00AF3368"/>
    <w:rsid w:val="00AF3946"/>
    <w:rsid w:val="00AF3DA2"/>
    <w:rsid w:val="00AF404A"/>
    <w:rsid w:val="00AF40DC"/>
    <w:rsid w:val="00AF46BD"/>
    <w:rsid w:val="00AF4846"/>
    <w:rsid w:val="00AF49F2"/>
    <w:rsid w:val="00AF5127"/>
    <w:rsid w:val="00AF59C1"/>
    <w:rsid w:val="00AF5AFE"/>
    <w:rsid w:val="00AF6B64"/>
    <w:rsid w:val="00AF6B71"/>
    <w:rsid w:val="00AF6EE7"/>
    <w:rsid w:val="00AF73F5"/>
    <w:rsid w:val="00AF78ED"/>
    <w:rsid w:val="00AF7DB0"/>
    <w:rsid w:val="00AF7E32"/>
    <w:rsid w:val="00B00D48"/>
    <w:rsid w:val="00B017D7"/>
    <w:rsid w:val="00B018F7"/>
    <w:rsid w:val="00B01C70"/>
    <w:rsid w:val="00B0249A"/>
    <w:rsid w:val="00B025E9"/>
    <w:rsid w:val="00B028B5"/>
    <w:rsid w:val="00B032C7"/>
    <w:rsid w:val="00B0359C"/>
    <w:rsid w:val="00B04212"/>
    <w:rsid w:val="00B04723"/>
    <w:rsid w:val="00B050A4"/>
    <w:rsid w:val="00B06076"/>
    <w:rsid w:val="00B06EE9"/>
    <w:rsid w:val="00B10185"/>
    <w:rsid w:val="00B101FF"/>
    <w:rsid w:val="00B113A3"/>
    <w:rsid w:val="00B1159D"/>
    <w:rsid w:val="00B11767"/>
    <w:rsid w:val="00B11B57"/>
    <w:rsid w:val="00B11EE1"/>
    <w:rsid w:val="00B12051"/>
    <w:rsid w:val="00B12849"/>
    <w:rsid w:val="00B13C48"/>
    <w:rsid w:val="00B13E25"/>
    <w:rsid w:val="00B13F28"/>
    <w:rsid w:val="00B145FB"/>
    <w:rsid w:val="00B153BF"/>
    <w:rsid w:val="00B1558A"/>
    <w:rsid w:val="00B15CE8"/>
    <w:rsid w:val="00B16A2C"/>
    <w:rsid w:val="00B16A81"/>
    <w:rsid w:val="00B16C90"/>
    <w:rsid w:val="00B16D3E"/>
    <w:rsid w:val="00B1706C"/>
    <w:rsid w:val="00B203B1"/>
    <w:rsid w:val="00B20604"/>
    <w:rsid w:val="00B20D0A"/>
    <w:rsid w:val="00B20EAF"/>
    <w:rsid w:val="00B21177"/>
    <w:rsid w:val="00B21669"/>
    <w:rsid w:val="00B2187B"/>
    <w:rsid w:val="00B24B0B"/>
    <w:rsid w:val="00B24C58"/>
    <w:rsid w:val="00B26665"/>
    <w:rsid w:val="00B266C8"/>
    <w:rsid w:val="00B268B8"/>
    <w:rsid w:val="00B301C6"/>
    <w:rsid w:val="00B30B6D"/>
    <w:rsid w:val="00B314FD"/>
    <w:rsid w:val="00B315C7"/>
    <w:rsid w:val="00B31F4C"/>
    <w:rsid w:val="00B3240C"/>
    <w:rsid w:val="00B3254D"/>
    <w:rsid w:val="00B32660"/>
    <w:rsid w:val="00B33340"/>
    <w:rsid w:val="00B33F14"/>
    <w:rsid w:val="00B34816"/>
    <w:rsid w:val="00B348F2"/>
    <w:rsid w:val="00B34B3C"/>
    <w:rsid w:val="00B355EA"/>
    <w:rsid w:val="00B35B28"/>
    <w:rsid w:val="00B35EC9"/>
    <w:rsid w:val="00B36C10"/>
    <w:rsid w:val="00B36CE1"/>
    <w:rsid w:val="00B36D05"/>
    <w:rsid w:val="00B37404"/>
    <w:rsid w:val="00B37C1D"/>
    <w:rsid w:val="00B401FA"/>
    <w:rsid w:val="00B40ADE"/>
    <w:rsid w:val="00B412C9"/>
    <w:rsid w:val="00B4171F"/>
    <w:rsid w:val="00B41F72"/>
    <w:rsid w:val="00B420FD"/>
    <w:rsid w:val="00B4227F"/>
    <w:rsid w:val="00B426FA"/>
    <w:rsid w:val="00B42793"/>
    <w:rsid w:val="00B42893"/>
    <w:rsid w:val="00B43C2C"/>
    <w:rsid w:val="00B43EFD"/>
    <w:rsid w:val="00B44E1B"/>
    <w:rsid w:val="00B455E0"/>
    <w:rsid w:val="00B45985"/>
    <w:rsid w:val="00B45BD4"/>
    <w:rsid w:val="00B461D2"/>
    <w:rsid w:val="00B472DE"/>
    <w:rsid w:val="00B47359"/>
    <w:rsid w:val="00B47FC7"/>
    <w:rsid w:val="00B51A69"/>
    <w:rsid w:val="00B51C56"/>
    <w:rsid w:val="00B51F5E"/>
    <w:rsid w:val="00B52682"/>
    <w:rsid w:val="00B527C5"/>
    <w:rsid w:val="00B5308F"/>
    <w:rsid w:val="00B538E3"/>
    <w:rsid w:val="00B53FD9"/>
    <w:rsid w:val="00B54192"/>
    <w:rsid w:val="00B541DC"/>
    <w:rsid w:val="00B550D0"/>
    <w:rsid w:val="00B55195"/>
    <w:rsid w:val="00B55C00"/>
    <w:rsid w:val="00B5662F"/>
    <w:rsid w:val="00B56F82"/>
    <w:rsid w:val="00B57122"/>
    <w:rsid w:val="00B57138"/>
    <w:rsid w:val="00B57622"/>
    <w:rsid w:val="00B5798A"/>
    <w:rsid w:val="00B57FC1"/>
    <w:rsid w:val="00B6023B"/>
    <w:rsid w:val="00B609F4"/>
    <w:rsid w:val="00B6146D"/>
    <w:rsid w:val="00B61666"/>
    <w:rsid w:val="00B629A6"/>
    <w:rsid w:val="00B629D5"/>
    <w:rsid w:val="00B62E1E"/>
    <w:rsid w:val="00B62FE0"/>
    <w:rsid w:val="00B632E6"/>
    <w:rsid w:val="00B63C94"/>
    <w:rsid w:val="00B64B02"/>
    <w:rsid w:val="00B65563"/>
    <w:rsid w:val="00B6586A"/>
    <w:rsid w:val="00B6624D"/>
    <w:rsid w:val="00B66745"/>
    <w:rsid w:val="00B667D8"/>
    <w:rsid w:val="00B66F57"/>
    <w:rsid w:val="00B6744B"/>
    <w:rsid w:val="00B6747D"/>
    <w:rsid w:val="00B677FD"/>
    <w:rsid w:val="00B703A8"/>
    <w:rsid w:val="00B7047A"/>
    <w:rsid w:val="00B704D0"/>
    <w:rsid w:val="00B70DF2"/>
    <w:rsid w:val="00B70E99"/>
    <w:rsid w:val="00B713E1"/>
    <w:rsid w:val="00B71489"/>
    <w:rsid w:val="00B71B10"/>
    <w:rsid w:val="00B71F89"/>
    <w:rsid w:val="00B72589"/>
    <w:rsid w:val="00B725F5"/>
    <w:rsid w:val="00B72F56"/>
    <w:rsid w:val="00B73705"/>
    <w:rsid w:val="00B73804"/>
    <w:rsid w:val="00B74103"/>
    <w:rsid w:val="00B74383"/>
    <w:rsid w:val="00B74F96"/>
    <w:rsid w:val="00B75581"/>
    <w:rsid w:val="00B75698"/>
    <w:rsid w:val="00B7610D"/>
    <w:rsid w:val="00B7613D"/>
    <w:rsid w:val="00B761CB"/>
    <w:rsid w:val="00B766BD"/>
    <w:rsid w:val="00B76F3A"/>
    <w:rsid w:val="00B770A0"/>
    <w:rsid w:val="00B77387"/>
    <w:rsid w:val="00B77388"/>
    <w:rsid w:val="00B77602"/>
    <w:rsid w:val="00B77612"/>
    <w:rsid w:val="00B777B4"/>
    <w:rsid w:val="00B777FB"/>
    <w:rsid w:val="00B779B4"/>
    <w:rsid w:val="00B77AB4"/>
    <w:rsid w:val="00B77B4F"/>
    <w:rsid w:val="00B802DF"/>
    <w:rsid w:val="00B80B40"/>
    <w:rsid w:val="00B81328"/>
    <w:rsid w:val="00B82432"/>
    <w:rsid w:val="00B82598"/>
    <w:rsid w:val="00B82B68"/>
    <w:rsid w:val="00B82F93"/>
    <w:rsid w:val="00B841F2"/>
    <w:rsid w:val="00B84E09"/>
    <w:rsid w:val="00B84E96"/>
    <w:rsid w:val="00B852B3"/>
    <w:rsid w:val="00B854F1"/>
    <w:rsid w:val="00B85566"/>
    <w:rsid w:val="00B85D9D"/>
    <w:rsid w:val="00B85F7B"/>
    <w:rsid w:val="00B86054"/>
    <w:rsid w:val="00B860E6"/>
    <w:rsid w:val="00B869DD"/>
    <w:rsid w:val="00B869F3"/>
    <w:rsid w:val="00B90161"/>
    <w:rsid w:val="00B9022A"/>
    <w:rsid w:val="00B9046E"/>
    <w:rsid w:val="00B90681"/>
    <w:rsid w:val="00B90B51"/>
    <w:rsid w:val="00B91A99"/>
    <w:rsid w:val="00B91A9E"/>
    <w:rsid w:val="00B91B20"/>
    <w:rsid w:val="00B91EA3"/>
    <w:rsid w:val="00B92019"/>
    <w:rsid w:val="00B9227F"/>
    <w:rsid w:val="00B930B6"/>
    <w:rsid w:val="00B9350E"/>
    <w:rsid w:val="00B93574"/>
    <w:rsid w:val="00B93789"/>
    <w:rsid w:val="00B94123"/>
    <w:rsid w:val="00B9434F"/>
    <w:rsid w:val="00B947BA"/>
    <w:rsid w:val="00B947C5"/>
    <w:rsid w:val="00B9487D"/>
    <w:rsid w:val="00B94A46"/>
    <w:rsid w:val="00B94D45"/>
    <w:rsid w:val="00B94DF1"/>
    <w:rsid w:val="00B94ECE"/>
    <w:rsid w:val="00B95076"/>
    <w:rsid w:val="00B9559B"/>
    <w:rsid w:val="00B955CD"/>
    <w:rsid w:val="00B955FD"/>
    <w:rsid w:val="00B95FBC"/>
    <w:rsid w:val="00B9666F"/>
    <w:rsid w:val="00B966CE"/>
    <w:rsid w:val="00B96D64"/>
    <w:rsid w:val="00B96EC8"/>
    <w:rsid w:val="00B97446"/>
    <w:rsid w:val="00B97546"/>
    <w:rsid w:val="00BA01D6"/>
    <w:rsid w:val="00BA0251"/>
    <w:rsid w:val="00BA1206"/>
    <w:rsid w:val="00BA1242"/>
    <w:rsid w:val="00BA1498"/>
    <w:rsid w:val="00BA172B"/>
    <w:rsid w:val="00BA2091"/>
    <w:rsid w:val="00BA241D"/>
    <w:rsid w:val="00BA29C9"/>
    <w:rsid w:val="00BA2B18"/>
    <w:rsid w:val="00BA30C7"/>
    <w:rsid w:val="00BA342A"/>
    <w:rsid w:val="00BA407E"/>
    <w:rsid w:val="00BA424C"/>
    <w:rsid w:val="00BA4E82"/>
    <w:rsid w:val="00BA586F"/>
    <w:rsid w:val="00BA587D"/>
    <w:rsid w:val="00BA5B46"/>
    <w:rsid w:val="00BA5BAB"/>
    <w:rsid w:val="00BA64D4"/>
    <w:rsid w:val="00BA69E7"/>
    <w:rsid w:val="00BA6B05"/>
    <w:rsid w:val="00BA6FEB"/>
    <w:rsid w:val="00BA760D"/>
    <w:rsid w:val="00BA7759"/>
    <w:rsid w:val="00BA7F2D"/>
    <w:rsid w:val="00BB0DC3"/>
    <w:rsid w:val="00BB17F2"/>
    <w:rsid w:val="00BB2112"/>
    <w:rsid w:val="00BB219C"/>
    <w:rsid w:val="00BB21D4"/>
    <w:rsid w:val="00BB2604"/>
    <w:rsid w:val="00BB26FE"/>
    <w:rsid w:val="00BB384D"/>
    <w:rsid w:val="00BB3B4E"/>
    <w:rsid w:val="00BB45FA"/>
    <w:rsid w:val="00BB4D6C"/>
    <w:rsid w:val="00BB4FB8"/>
    <w:rsid w:val="00BB501A"/>
    <w:rsid w:val="00BB5906"/>
    <w:rsid w:val="00BB5DA8"/>
    <w:rsid w:val="00BB6556"/>
    <w:rsid w:val="00BB6D4D"/>
    <w:rsid w:val="00BB6EC2"/>
    <w:rsid w:val="00BB7449"/>
    <w:rsid w:val="00BB7C2F"/>
    <w:rsid w:val="00BB7E63"/>
    <w:rsid w:val="00BC0664"/>
    <w:rsid w:val="00BC0A01"/>
    <w:rsid w:val="00BC0C12"/>
    <w:rsid w:val="00BC0C26"/>
    <w:rsid w:val="00BC0FFD"/>
    <w:rsid w:val="00BC1016"/>
    <w:rsid w:val="00BC1E53"/>
    <w:rsid w:val="00BC234D"/>
    <w:rsid w:val="00BC23E2"/>
    <w:rsid w:val="00BC25A4"/>
    <w:rsid w:val="00BC2842"/>
    <w:rsid w:val="00BC2FC0"/>
    <w:rsid w:val="00BC4066"/>
    <w:rsid w:val="00BC44FE"/>
    <w:rsid w:val="00BC4964"/>
    <w:rsid w:val="00BC566B"/>
    <w:rsid w:val="00BC5A53"/>
    <w:rsid w:val="00BC6099"/>
    <w:rsid w:val="00BC6224"/>
    <w:rsid w:val="00BC632F"/>
    <w:rsid w:val="00BC651E"/>
    <w:rsid w:val="00BC66C8"/>
    <w:rsid w:val="00BC74D4"/>
    <w:rsid w:val="00BD00CC"/>
    <w:rsid w:val="00BD04AA"/>
    <w:rsid w:val="00BD0819"/>
    <w:rsid w:val="00BD0A27"/>
    <w:rsid w:val="00BD1CB8"/>
    <w:rsid w:val="00BD20CE"/>
    <w:rsid w:val="00BD2351"/>
    <w:rsid w:val="00BD2601"/>
    <w:rsid w:val="00BD2ADF"/>
    <w:rsid w:val="00BD2F1B"/>
    <w:rsid w:val="00BD3315"/>
    <w:rsid w:val="00BD375E"/>
    <w:rsid w:val="00BD3A65"/>
    <w:rsid w:val="00BD3DAD"/>
    <w:rsid w:val="00BD3FD3"/>
    <w:rsid w:val="00BD417D"/>
    <w:rsid w:val="00BD41B6"/>
    <w:rsid w:val="00BD42FE"/>
    <w:rsid w:val="00BD45BE"/>
    <w:rsid w:val="00BD4B6F"/>
    <w:rsid w:val="00BD4D78"/>
    <w:rsid w:val="00BD52E5"/>
    <w:rsid w:val="00BD5B1C"/>
    <w:rsid w:val="00BD5F93"/>
    <w:rsid w:val="00BD66DD"/>
    <w:rsid w:val="00BD70F3"/>
    <w:rsid w:val="00BD7986"/>
    <w:rsid w:val="00BE027C"/>
    <w:rsid w:val="00BE13C7"/>
    <w:rsid w:val="00BE154D"/>
    <w:rsid w:val="00BE35F3"/>
    <w:rsid w:val="00BE3BD4"/>
    <w:rsid w:val="00BE3FF7"/>
    <w:rsid w:val="00BE4048"/>
    <w:rsid w:val="00BE4164"/>
    <w:rsid w:val="00BE4661"/>
    <w:rsid w:val="00BE4954"/>
    <w:rsid w:val="00BE4AF9"/>
    <w:rsid w:val="00BE5119"/>
    <w:rsid w:val="00BE5CA9"/>
    <w:rsid w:val="00BE5D46"/>
    <w:rsid w:val="00BE5EDA"/>
    <w:rsid w:val="00BE6118"/>
    <w:rsid w:val="00BE6189"/>
    <w:rsid w:val="00BE6B96"/>
    <w:rsid w:val="00BE6BE0"/>
    <w:rsid w:val="00BE6E4A"/>
    <w:rsid w:val="00BE79E4"/>
    <w:rsid w:val="00BE7E16"/>
    <w:rsid w:val="00BF0EAB"/>
    <w:rsid w:val="00BF0FBC"/>
    <w:rsid w:val="00BF152E"/>
    <w:rsid w:val="00BF1ACA"/>
    <w:rsid w:val="00BF2696"/>
    <w:rsid w:val="00BF29C5"/>
    <w:rsid w:val="00BF2BA9"/>
    <w:rsid w:val="00BF2F25"/>
    <w:rsid w:val="00BF334D"/>
    <w:rsid w:val="00BF352A"/>
    <w:rsid w:val="00BF3CFE"/>
    <w:rsid w:val="00BF4419"/>
    <w:rsid w:val="00BF44B7"/>
    <w:rsid w:val="00BF4EE5"/>
    <w:rsid w:val="00BF58EF"/>
    <w:rsid w:val="00BF60EC"/>
    <w:rsid w:val="00BF6106"/>
    <w:rsid w:val="00BF6260"/>
    <w:rsid w:val="00BF662C"/>
    <w:rsid w:val="00BF67F6"/>
    <w:rsid w:val="00BF69BB"/>
    <w:rsid w:val="00BF6B2F"/>
    <w:rsid w:val="00BF6F40"/>
    <w:rsid w:val="00BF7152"/>
    <w:rsid w:val="00BF7666"/>
    <w:rsid w:val="00BF78B9"/>
    <w:rsid w:val="00BF7EFE"/>
    <w:rsid w:val="00C0001E"/>
    <w:rsid w:val="00C006B1"/>
    <w:rsid w:val="00C00E02"/>
    <w:rsid w:val="00C010A1"/>
    <w:rsid w:val="00C011D5"/>
    <w:rsid w:val="00C01696"/>
    <w:rsid w:val="00C01707"/>
    <w:rsid w:val="00C01A63"/>
    <w:rsid w:val="00C02B1C"/>
    <w:rsid w:val="00C02DD8"/>
    <w:rsid w:val="00C035AB"/>
    <w:rsid w:val="00C03758"/>
    <w:rsid w:val="00C03A50"/>
    <w:rsid w:val="00C03D04"/>
    <w:rsid w:val="00C042DD"/>
    <w:rsid w:val="00C04AB0"/>
    <w:rsid w:val="00C04D85"/>
    <w:rsid w:val="00C05013"/>
    <w:rsid w:val="00C053F1"/>
    <w:rsid w:val="00C054D2"/>
    <w:rsid w:val="00C05575"/>
    <w:rsid w:val="00C056E5"/>
    <w:rsid w:val="00C06153"/>
    <w:rsid w:val="00C0681A"/>
    <w:rsid w:val="00C06AFA"/>
    <w:rsid w:val="00C06F0B"/>
    <w:rsid w:val="00C070BE"/>
    <w:rsid w:val="00C07661"/>
    <w:rsid w:val="00C10275"/>
    <w:rsid w:val="00C10B4E"/>
    <w:rsid w:val="00C11205"/>
    <w:rsid w:val="00C11435"/>
    <w:rsid w:val="00C12165"/>
    <w:rsid w:val="00C1258D"/>
    <w:rsid w:val="00C12855"/>
    <w:rsid w:val="00C12E25"/>
    <w:rsid w:val="00C12E42"/>
    <w:rsid w:val="00C13381"/>
    <w:rsid w:val="00C13DDA"/>
    <w:rsid w:val="00C13E6E"/>
    <w:rsid w:val="00C13ED7"/>
    <w:rsid w:val="00C140AD"/>
    <w:rsid w:val="00C1495F"/>
    <w:rsid w:val="00C15857"/>
    <w:rsid w:val="00C15968"/>
    <w:rsid w:val="00C1607B"/>
    <w:rsid w:val="00C16080"/>
    <w:rsid w:val="00C165C1"/>
    <w:rsid w:val="00C167DD"/>
    <w:rsid w:val="00C1686C"/>
    <w:rsid w:val="00C16BE6"/>
    <w:rsid w:val="00C17107"/>
    <w:rsid w:val="00C17508"/>
    <w:rsid w:val="00C17715"/>
    <w:rsid w:val="00C17A94"/>
    <w:rsid w:val="00C17D5E"/>
    <w:rsid w:val="00C17FAC"/>
    <w:rsid w:val="00C20363"/>
    <w:rsid w:val="00C2065B"/>
    <w:rsid w:val="00C20D83"/>
    <w:rsid w:val="00C21357"/>
    <w:rsid w:val="00C216DF"/>
    <w:rsid w:val="00C21CEB"/>
    <w:rsid w:val="00C21FC8"/>
    <w:rsid w:val="00C22041"/>
    <w:rsid w:val="00C22DAB"/>
    <w:rsid w:val="00C236C8"/>
    <w:rsid w:val="00C23A62"/>
    <w:rsid w:val="00C23DA5"/>
    <w:rsid w:val="00C23E96"/>
    <w:rsid w:val="00C24BD3"/>
    <w:rsid w:val="00C24C97"/>
    <w:rsid w:val="00C24CF2"/>
    <w:rsid w:val="00C252AF"/>
    <w:rsid w:val="00C255D6"/>
    <w:rsid w:val="00C257B0"/>
    <w:rsid w:val="00C2608B"/>
    <w:rsid w:val="00C26171"/>
    <w:rsid w:val="00C26281"/>
    <w:rsid w:val="00C2655A"/>
    <w:rsid w:val="00C26B27"/>
    <w:rsid w:val="00C27702"/>
    <w:rsid w:val="00C27795"/>
    <w:rsid w:val="00C27CAC"/>
    <w:rsid w:val="00C30491"/>
    <w:rsid w:val="00C322B8"/>
    <w:rsid w:val="00C3315F"/>
    <w:rsid w:val="00C33366"/>
    <w:rsid w:val="00C339EC"/>
    <w:rsid w:val="00C33BD6"/>
    <w:rsid w:val="00C33BED"/>
    <w:rsid w:val="00C340C6"/>
    <w:rsid w:val="00C3485F"/>
    <w:rsid w:val="00C34A0F"/>
    <w:rsid w:val="00C34A50"/>
    <w:rsid w:val="00C350FE"/>
    <w:rsid w:val="00C35D98"/>
    <w:rsid w:val="00C36028"/>
    <w:rsid w:val="00C3638E"/>
    <w:rsid w:val="00C366DB"/>
    <w:rsid w:val="00C36913"/>
    <w:rsid w:val="00C36C17"/>
    <w:rsid w:val="00C3714F"/>
    <w:rsid w:val="00C402F9"/>
    <w:rsid w:val="00C41646"/>
    <w:rsid w:val="00C41799"/>
    <w:rsid w:val="00C41AE7"/>
    <w:rsid w:val="00C42079"/>
    <w:rsid w:val="00C426F9"/>
    <w:rsid w:val="00C427BE"/>
    <w:rsid w:val="00C42DAC"/>
    <w:rsid w:val="00C43360"/>
    <w:rsid w:val="00C43371"/>
    <w:rsid w:val="00C443A1"/>
    <w:rsid w:val="00C44513"/>
    <w:rsid w:val="00C447B7"/>
    <w:rsid w:val="00C453E8"/>
    <w:rsid w:val="00C458C3"/>
    <w:rsid w:val="00C45D1A"/>
    <w:rsid w:val="00C4609D"/>
    <w:rsid w:val="00C46B9E"/>
    <w:rsid w:val="00C46FCD"/>
    <w:rsid w:val="00C47058"/>
    <w:rsid w:val="00C473A6"/>
    <w:rsid w:val="00C47539"/>
    <w:rsid w:val="00C47D54"/>
    <w:rsid w:val="00C50C54"/>
    <w:rsid w:val="00C50F50"/>
    <w:rsid w:val="00C510DE"/>
    <w:rsid w:val="00C51205"/>
    <w:rsid w:val="00C5135B"/>
    <w:rsid w:val="00C51626"/>
    <w:rsid w:val="00C51BB8"/>
    <w:rsid w:val="00C52E58"/>
    <w:rsid w:val="00C538E0"/>
    <w:rsid w:val="00C539B4"/>
    <w:rsid w:val="00C53EF6"/>
    <w:rsid w:val="00C542AB"/>
    <w:rsid w:val="00C5437C"/>
    <w:rsid w:val="00C54427"/>
    <w:rsid w:val="00C5502C"/>
    <w:rsid w:val="00C5596A"/>
    <w:rsid w:val="00C55AA5"/>
    <w:rsid w:val="00C5627A"/>
    <w:rsid w:val="00C562B7"/>
    <w:rsid w:val="00C562C0"/>
    <w:rsid w:val="00C5653B"/>
    <w:rsid w:val="00C5655C"/>
    <w:rsid w:val="00C56B3A"/>
    <w:rsid w:val="00C56E80"/>
    <w:rsid w:val="00C56EB6"/>
    <w:rsid w:val="00C56EC8"/>
    <w:rsid w:val="00C5706C"/>
    <w:rsid w:val="00C5767F"/>
    <w:rsid w:val="00C57769"/>
    <w:rsid w:val="00C57984"/>
    <w:rsid w:val="00C6003F"/>
    <w:rsid w:val="00C60644"/>
    <w:rsid w:val="00C60909"/>
    <w:rsid w:val="00C61720"/>
    <w:rsid w:val="00C6176C"/>
    <w:rsid w:val="00C61E50"/>
    <w:rsid w:val="00C62D4E"/>
    <w:rsid w:val="00C62EB8"/>
    <w:rsid w:val="00C6321B"/>
    <w:rsid w:val="00C63A25"/>
    <w:rsid w:val="00C63B26"/>
    <w:rsid w:val="00C64215"/>
    <w:rsid w:val="00C64586"/>
    <w:rsid w:val="00C64E9D"/>
    <w:rsid w:val="00C651F8"/>
    <w:rsid w:val="00C65733"/>
    <w:rsid w:val="00C65B21"/>
    <w:rsid w:val="00C65CEB"/>
    <w:rsid w:val="00C66FCD"/>
    <w:rsid w:val="00C6701D"/>
    <w:rsid w:val="00C67DE1"/>
    <w:rsid w:val="00C706AC"/>
    <w:rsid w:val="00C70895"/>
    <w:rsid w:val="00C70A09"/>
    <w:rsid w:val="00C70D38"/>
    <w:rsid w:val="00C71730"/>
    <w:rsid w:val="00C71C71"/>
    <w:rsid w:val="00C721EB"/>
    <w:rsid w:val="00C731E8"/>
    <w:rsid w:val="00C74A9C"/>
    <w:rsid w:val="00C750F8"/>
    <w:rsid w:val="00C75253"/>
    <w:rsid w:val="00C754D7"/>
    <w:rsid w:val="00C75D2B"/>
    <w:rsid w:val="00C761EB"/>
    <w:rsid w:val="00C76E5B"/>
    <w:rsid w:val="00C770E9"/>
    <w:rsid w:val="00C77E4B"/>
    <w:rsid w:val="00C801DF"/>
    <w:rsid w:val="00C80C7D"/>
    <w:rsid w:val="00C81AC9"/>
    <w:rsid w:val="00C82256"/>
    <w:rsid w:val="00C8227F"/>
    <w:rsid w:val="00C82491"/>
    <w:rsid w:val="00C82659"/>
    <w:rsid w:val="00C826CE"/>
    <w:rsid w:val="00C82AAB"/>
    <w:rsid w:val="00C82B18"/>
    <w:rsid w:val="00C83391"/>
    <w:rsid w:val="00C83FA5"/>
    <w:rsid w:val="00C83FB0"/>
    <w:rsid w:val="00C840E3"/>
    <w:rsid w:val="00C853E0"/>
    <w:rsid w:val="00C8581B"/>
    <w:rsid w:val="00C85C8B"/>
    <w:rsid w:val="00C85DF3"/>
    <w:rsid w:val="00C85E79"/>
    <w:rsid w:val="00C863AE"/>
    <w:rsid w:val="00C87C81"/>
    <w:rsid w:val="00C87D25"/>
    <w:rsid w:val="00C900F7"/>
    <w:rsid w:val="00C90221"/>
    <w:rsid w:val="00C905D7"/>
    <w:rsid w:val="00C90942"/>
    <w:rsid w:val="00C9098B"/>
    <w:rsid w:val="00C910BF"/>
    <w:rsid w:val="00C91827"/>
    <w:rsid w:val="00C91DD7"/>
    <w:rsid w:val="00C91F78"/>
    <w:rsid w:val="00C92C85"/>
    <w:rsid w:val="00C92D64"/>
    <w:rsid w:val="00C93345"/>
    <w:rsid w:val="00C9357C"/>
    <w:rsid w:val="00C93A0C"/>
    <w:rsid w:val="00C94CB9"/>
    <w:rsid w:val="00C95040"/>
    <w:rsid w:val="00C95822"/>
    <w:rsid w:val="00C958C9"/>
    <w:rsid w:val="00C964BD"/>
    <w:rsid w:val="00C96930"/>
    <w:rsid w:val="00C96981"/>
    <w:rsid w:val="00C96D31"/>
    <w:rsid w:val="00C97A7D"/>
    <w:rsid w:val="00CA007C"/>
    <w:rsid w:val="00CA0348"/>
    <w:rsid w:val="00CA0846"/>
    <w:rsid w:val="00CA0F0B"/>
    <w:rsid w:val="00CA0FEF"/>
    <w:rsid w:val="00CA1638"/>
    <w:rsid w:val="00CA1694"/>
    <w:rsid w:val="00CA1BD6"/>
    <w:rsid w:val="00CA1ED2"/>
    <w:rsid w:val="00CA1F4A"/>
    <w:rsid w:val="00CA1F71"/>
    <w:rsid w:val="00CA21E5"/>
    <w:rsid w:val="00CA2B98"/>
    <w:rsid w:val="00CA2D0B"/>
    <w:rsid w:val="00CA3178"/>
    <w:rsid w:val="00CA441B"/>
    <w:rsid w:val="00CA46AF"/>
    <w:rsid w:val="00CA4FA9"/>
    <w:rsid w:val="00CA4FB5"/>
    <w:rsid w:val="00CA5190"/>
    <w:rsid w:val="00CA5D02"/>
    <w:rsid w:val="00CA618B"/>
    <w:rsid w:val="00CA6EC1"/>
    <w:rsid w:val="00CA6FFE"/>
    <w:rsid w:val="00CB0144"/>
    <w:rsid w:val="00CB0385"/>
    <w:rsid w:val="00CB13E7"/>
    <w:rsid w:val="00CB20AB"/>
    <w:rsid w:val="00CB2268"/>
    <w:rsid w:val="00CB2802"/>
    <w:rsid w:val="00CB3BF3"/>
    <w:rsid w:val="00CB3CB9"/>
    <w:rsid w:val="00CB516D"/>
    <w:rsid w:val="00CB5270"/>
    <w:rsid w:val="00CB52B7"/>
    <w:rsid w:val="00CB5339"/>
    <w:rsid w:val="00CB5882"/>
    <w:rsid w:val="00CB602B"/>
    <w:rsid w:val="00CB60E8"/>
    <w:rsid w:val="00CB6686"/>
    <w:rsid w:val="00CB7B7E"/>
    <w:rsid w:val="00CC023E"/>
    <w:rsid w:val="00CC0423"/>
    <w:rsid w:val="00CC050C"/>
    <w:rsid w:val="00CC066C"/>
    <w:rsid w:val="00CC0A7B"/>
    <w:rsid w:val="00CC1304"/>
    <w:rsid w:val="00CC1933"/>
    <w:rsid w:val="00CC1A50"/>
    <w:rsid w:val="00CC1D63"/>
    <w:rsid w:val="00CC2264"/>
    <w:rsid w:val="00CC2FFF"/>
    <w:rsid w:val="00CC36EA"/>
    <w:rsid w:val="00CC398E"/>
    <w:rsid w:val="00CC399A"/>
    <w:rsid w:val="00CC43CD"/>
    <w:rsid w:val="00CC4744"/>
    <w:rsid w:val="00CC4DF8"/>
    <w:rsid w:val="00CC5151"/>
    <w:rsid w:val="00CC5454"/>
    <w:rsid w:val="00CC5517"/>
    <w:rsid w:val="00CC5524"/>
    <w:rsid w:val="00CC66E5"/>
    <w:rsid w:val="00CC6C21"/>
    <w:rsid w:val="00CD00CE"/>
    <w:rsid w:val="00CD0109"/>
    <w:rsid w:val="00CD0203"/>
    <w:rsid w:val="00CD0D80"/>
    <w:rsid w:val="00CD0EAD"/>
    <w:rsid w:val="00CD18FD"/>
    <w:rsid w:val="00CD19BA"/>
    <w:rsid w:val="00CD1AF7"/>
    <w:rsid w:val="00CD214A"/>
    <w:rsid w:val="00CD22A2"/>
    <w:rsid w:val="00CD2410"/>
    <w:rsid w:val="00CD2EE5"/>
    <w:rsid w:val="00CD3187"/>
    <w:rsid w:val="00CD3730"/>
    <w:rsid w:val="00CD4067"/>
    <w:rsid w:val="00CD40D3"/>
    <w:rsid w:val="00CD41BB"/>
    <w:rsid w:val="00CD4210"/>
    <w:rsid w:val="00CD5434"/>
    <w:rsid w:val="00CD57A6"/>
    <w:rsid w:val="00CD591B"/>
    <w:rsid w:val="00CD6207"/>
    <w:rsid w:val="00CD6724"/>
    <w:rsid w:val="00CD6B1F"/>
    <w:rsid w:val="00CD6E16"/>
    <w:rsid w:val="00CD7161"/>
    <w:rsid w:val="00CD72D8"/>
    <w:rsid w:val="00CD79A2"/>
    <w:rsid w:val="00CD7A5E"/>
    <w:rsid w:val="00CD7A76"/>
    <w:rsid w:val="00CD7E3B"/>
    <w:rsid w:val="00CE011F"/>
    <w:rsid w:val="00CE0B70"/>
    <w:rsid w:val="00CE0D68"/>
    <w:rsid w:val="00CE0F8A"/>
    <w:rsid w:val="00CE1147"/>
    <w:rsid w:val="00CE1AAA"/>
    <w:rsid w:val="00CE2131"/>
    <w:rsid w:val="00CE233F"/>
    <w:rsid w:val="00CE2367"/>
    <w:rsid w:val="00CE236A"/>
    <w:rsid w:val="00CE240B"/>
    <w:rsid w:val="00CE328D"/>
    <w:rsid w:val="00CE39D6"/>
    <w:rsid w:val="00CE4313"/>
    <w:rsid w:val="00CE472D"/>
    <w:rsid w:val="00CE565F"/>
    <w:rsid w:val="00CE5D73"/>
    <w:rsid w:val="00CE608A"/>
    <w:rsid w:val="00CE6370"/>
    <w:rsid w:val="00CE6720"/>
    <w:rsid w:val="00CE72CE"/>
    <w:rsid w:val="00CE7E7B"/>
    <w:rsid w:val="00CF065B"/>
    <w:rsid w:val="00CF0E26"/>
    <w:rsid w:val="00CF0E29"/>
    <w:rsid w:val="00CF1176"/>
    <w:rsid w:val="00CF126D"/>
    <w:rsid w:val="00CF13D5"/>
    <w:rsid w:val="00CF1A38"/>
    <w:rsid w:val="00CF1CEF"/>
    <w:rsid w:val="00CF1DFB"/>
    <w:rsid w:val="00CF2159"/>
    <w:rsid w:val="00CF24BB"/>
    <w:rsid w:val="00CF2873"/>
    <w:rsid w:val="00CF2CCA"/>
    <w:rsid w:val="00CF33C9"/>
    <w:rsid w:val="00CF3438"/>
    <w:rsid w:val="00CF3D29"/>
    <w:rsid w:val="00CF3E1B"/>
    <w:rsid w:val="00CF3F97"/>
    <w:rsid w:val="00CF42E4"/>
    <w:rsid w:val="00CF4346"/>
    <w:rsid w:val="00CF4513"/>
    <w:rsid w:val="00CF4D6C"/>
    <w:rsid w:val="00CF4F4C"/>
    <w:rsid w:val="00CF52C0"/>
    <w:rsid w:val="00CF5373"/>
    <w:rsid w:val="00CF5589"/>
    <w:rsid w:val="00CF57F7"/>
    <w:rsid w:val="00CF627B"/>
    <w:rsid w:val="00CF739D"/>
    <w:rsid w:val="00D00458"/>
    <w:rsid w:val="00D00721"/>
    <w:rsid w:val="00D0077E"/>
    <w:rsid w:val="00D016B0"/>
    <w:rsid w:val="00D0175D"/>
    <w:rsid w:val="00D01B28"/>
    <w:rsid w:val="00D01C9B"/>
    <w:rsid w:val="00D0258D"/>
    <w:rsid w:val="00D02A7E"/>
    <w:rsid w:val="00D02B21"/>
    <w:rsid w:val="00D03A97"/>
    <w:rsid w:val="00D03B4E"/>
    <w:rsid w:val="00D03B8C"/>
    <w:rsid w:val="00D040E9"/>
    <w:rsid w:val="00D04204"/>
    <w:rsid w:val="00D04403"/>
    <w:rsid w:val="00D044AF"/>
    <w:rsid w:val="00D0490C"/>
    <w:rsid w:val="00D04DE0"/>
    <w:rsid w:val="00D04EE9"/>
    <w:rsid w:val="00D055F6"/>
    <w:rsid w:val="00D05B4A"/>
    <w:rsid w:val="00D05DFD"/>
    <w:rsid w:val="00D065F5"/>
    <w:rsid w:val="00D072F6"/>
    <w:rsid w:val="00D10114"/>
    <w:rsid w:val="00D107A8"/>
    <w:rsid w:val="00D107B9"/>
    <w:rsid w:val="00D10EC7"/>
    <w:rsid w:val="00D11434"/>
    <w:rsid w:val="00D12138"/>
    <w:rsid w:val="00D122F9"/>
    <w:rsid w:val="00D12A39"/>
    <w:rsid w:val="00D12D7B"/>
    <w:rsid w:val="00D12DD4"/>
    <w:rsid w:val="00D135F7"/>
    <w:rsid w:val="00D13CC8"/>
    <w:rsid w:val="00D14266"/>
    <w:rsid w:val="00D15078"/>
    <w:rsid w:val="00D150DD"/>
    <w:rsid w:val="00D15547"/>
    <w:rsid w:val="00D15A03"/>
    <w:rsid w:val="00D161F9"/>
    <w:rsid w:val="00D1622F"/>
    <w:rsid w:val="00D165D6"/>
    <w:rsid w:val="00D16AD2"/>
    <w:rsid w:val="00D16DB5"/>
    <w:rsid w:val="00D16DD3"/>
    <w:rsid w:val="00D17074"/>
    <w:rsid w:val="00D1768A"/>
    <w:rsid w:val="00D17CBE"/>
    <w:rsid w:val="00D17DEF"/>
    <w:rsid w:val="00D20769"/>
    <w:rsid w:val="00D20CA2"/>
    <w:rsid w:val="00D20F46"/>
    <w:rsid w:val="00D20FC0"/>
    <w:rsid w:val="00D21A40"/>
    <w:rsid w:val="00D223EE"/>
    <w:rsid w:val="00D22538"/>
    <w:rsid w:val="00D239B7"/>
    <w:rsid w:val="00D23A72"/>
    <w:rsid w:val="00D23BBB"/>
    <w:rsid w:val="00D244A3"/>
    <w:rsid w:val="00D25B08"/>
    <w:rsid w:val="00D2696B"/>
    <w:rsid w:val="00D275DA"/>
    <w:rsid w:val="00D27ADD"/>
    <w:rsid w:val="00D27BAD"/>
    <w:rsid w:val="00D3060F"/>
    <w:rsid w:val="00D31636"/>
    <w:rsid w:val="00D318E3"/>
    <w:rsid w:val="00D31B06"/>
    <w:rsid w:val="00D31BCC"/>
    <w:rsid w:val="00D327D8"/>
    <w:rsid w:val="00D32BE4"/>
    <w:rsid w:val="00D33AEA"/>
    <w:rsid w:val="00D33B90"/>
    <w:rsid w:val="00D3451B"/>
    <w:rsid w:val="00D345A2"/>
    <w:rsid w:val="00D34797"/>
    <w:rsid w:val="00D34983"/>
    <w:rsid w:val="00D353DC"/>
    <w:rsid w:val="00D35C03"/>
    <w:rsid w:val="00D36838"/>
    <w:rsid w:val="00D36F77"/>
    <w:rsid w:val="00D372EE"/>
    <w:rsid w:val="00D376B6"/>
    <w:rsid w:val="00D40401"/>
    <w:rsid w:val="00D40476"/>
    <w:rsid w:val="00D40626"/>
    <w:rsid w:val="00D40A72"/>
    <w:rsid w:val="00D40E24"/>
    <w:rsid w:val="00D40FEB"/>
    <w:rsid w:val="00D41113"/>
    <w:rsid w:val="00D41774"/>
    <w:rsid w:val="00D417CE"/>
    <w:rsid w:val="00D41CD5"/>
    <w:rsid w:val="00D4226D"/>
    <w:rsid w:val="00D42C16"/>
    <w:rsid w:val="00D43182"/>
    <w:rsid w:val="00D43BC8"/>
    <w:rsid w:val="00D4485C"/>
    <w:rsid w:val="00D4497D"/>
    <w:rsid w:val="00D44CFD"/>
    <w:rsid w:val="00D45539"/>
    <w:rsid w:val="00D45668"/>
    <w:rsid w:val="00D45A4F"/>
    <w:rsid w:val="00D45CFE"/>
    <w:rsid w:val="00D4641F"/>
    <w:rsid w:val="00D47CE8"/>
    <w:rsid w:val="00D47E2C"/>
    <w:rsid w:val="00D50724"/>
    <w:rsid w:val="00D50E0C"/>
    <w:rsid w:val="00D511BB"/>
    <w:rsid w:val="00D5133E"/>
    <w:rsid w:val="00D51465"/>
    <w:rsid w:val="00D5149F"/>
    <w:rsid w:val="00D517DD"/>
    <w:rsid w:val="00D51A61"/>
    <w:rsid w:val="00D51A94"/>
    <w:rsid w:val="00D52494"/>
    <w:rsid w:val="00D524CC"/>
    <w:rsid w:val="00D524F7"/>
    <w:rsid w:val="00D52653"/>
    <w:rsid w:val="00D52687"/>
    <w:rsid w:val="00D52DFB"/>
    <w:rsid w:val="00D53012"/>
    <w:rsid w:val="00D5341D"/>
    <w:rsid w:val="00D53778"/>
    <w:rsid w:val="00D5405C"/>
    <w:rsid w:val="00D5508E"/>
    <w:rsid w:val="00D55298"/>
    <w:rsid w:val="00D556DD"/>
    <w:rsid w:val="00D55BD4"/>
    <w:rsid w:val="00D55D43"/>
    <w:rsid w:val="00D55DEE"/>
    <w:rsid w:val="00D56055"/>
    <w:rsid w:val="00D561A1"/>
    <w:rsid w:val="00D56B9A"/>
    <w:rsid w:val="00D571F4"/>
    <w:rsid w:val="00D57477"/>
    <w:rsid w:val="00D60068"/>
    <w:rsid w:val="00D60257"/>
    <w:rsid w:val="00D60603"/>
    <w:rsid w:val="00D60CC5"/>
    <w:rsid w:val="00D60D41"/>
    <w:rsid w:val="00D6151A"/>
    <w:rsid w:val="00D61AFF"/>
    <w:rsid w:val="00D620DD"/>
    <w:rsid w:val="00D625B4"/>
    <w:rsid w:val="00D625F7"/>
    <w:rsid w:val="00D6299E"/>
    <w:rsid w:val="00D63166"/>
    <w:rsid w:val="00D63431"/>
    <w:rsid w:val="00D63527"/>
    <w:rsid w:val="00D63D77"/>
    <w:rsid w:val="00D64039"/>
    <w:rsid w:val="00D64B6F"/>
    <w:rsid w:val="00D64B70"/>
    <w:rsid w:val="00D65034"/>
    <w:rsid w:val="00D65466"/>
    <w:rsid w:val="00D65F79"/>
    <w:rsid w:val="00D65FBB"/>
    <w:rsid w:val="00D668AA"/>
    <w:rsid w:val="00D66BDE"/>
    <w:rsid w:val="00D67231"/>
    <w:rsid w:val="00D672B2"/>
    <w:rsid w:val="00D6776A"/>
    <w:rsid w:val="00D67994"/>
    <w:rsid w:val="00D67C87"/>
    <w:rsid w:val="00D7042B"/>
    <w:rsid w:val="00D70724"/>
    <w:rsid w:val="00D71414"/>
    <w:rsid w:val="00D7144D"/>
    <w:rsid w:val="00D71DAF"/>
    <w:rsid w:val="00D7214A"/>
    <w:rsid w:val="00D728F0"/>
    <w:rsid w:val="00D7293B"/>
    <w:rsid w:val="00D72B4F"/>
    <w:rsid w:val="00D73277"/>
    <w:rsid w:val="00D7389D"/>
    <w:rsid w:val="00D73D8E"/>
    <w:rsid w:val="00D744DA"/>
    <w:rsid w:val="00D7453C"/>
    <w:rsid w:val="00D748AF"/>
    <w:rsid w:val="00D74B4A"/>
    <w:rsid w:val="00D74F96"/>
    <w:rsid w:val="00D75267"/>
    <w:rsid w:val="00D758F2"/>
    <w:rsid w:val="00D759B5"/>
    <w:rsid w:val="00D7621A"/>
    <w:rsid w:val="00D76F95"/>
    <w:rsid w:val="00D7731A"/>
    <w:rsid w:val="00D773FC"/>
    <w:rsid w:val="00D803BD"/>
    <w:rsid w:val="00D80540"/>
    <w:rsid w:val="00D80D65"/>
    <w:rsid w:val="00D80D93"/>
    <w:rsid w:val="00D80EF1"/>
    <w:rsid w:val="00D80F05"/>
    <w:rsid w:val="00D814AB"/>
    <w:rsid w:val="00D815B7"/>
    <w:rsid w:val="00D81B11"/>
    <w:rsid w:val="00D81C9B"/>
    <w:rsid w:val="00D8201C"/>
    <w:rsid w:val="00D82429"/>
    <w:rsid w:val="00D828DE"/>
    <w:rsid w:val="00D833F9"/>
    <w:rsid w:val="00D83517"/>
    <w:rsid w:val="00D838FE"/>
    <w:rsid w:val="00D83ABB"/>
    <w:rsid w:val="00D83DEE"/>
    <w:rsid w:val="00D84920"/>
    <w:rsid w:val="00D84A5D"/>
    <w:rsid w:val="00D854DC"/>
    <w:rsid w:val="00D85A2A"/>
    <w:rsid w:val="00D862A4"/>
    <w:rsid w:val="00D86543"/>
    <w:rsid w:val="00D866BB"/>
    <w:rsid w:val="00D8691C"/>
    <w:rsid w:val="00D8700D"/>
    <w:rsid w:val="00D87310"/>
    <w:rsid w:val="00D878CE"/>
    <w:rsid w:val="00D879A4"/>
    <w:rsid w:val="00D87B47"/>
    <w:rsid w:val="00D87FCB"/>
    <w:rsid w:val="00D9081E"/>
    <w:rsid w:val="00D90A9D"/>
    <w:rsid w:val="00D90C0A"/>
    <w:rsid w:val="00D91B6D"/>
    <w:rsid w:val="00D91F03"/>
    <w:rsid w:val="00D91F3C"/>
    <w:rsid w:val="00D92204"/>
    <w:rsid w:val="00D92A07"/>
    <w:rsid w:val="00D93070"/>
    <w:rsid w:val="00D930AD"/>
    <w:rsid w:val="00D935E3"/>
    <w:rsid w:val="00D93831"/>
    <w:rsid w:val="00D93D02"/>
    <w:rsid w:val="00D94064"/>
    <w:rsid w:val="00D9412F"/>
    <w:rsid w:val="00D942F7"/>
    <w:rsid w:val="00D94378"/>
    <w:rsid w:val="00D94387"/>
    <w:rsid w:val="00D9440B"/>
    <w:rsid w:val="00D9448C"/>
    <w:rsid w:val="00D94E33"/>
    <w:rsid w:val="00D9516E"/>
    <w:rsid w:val="00D951BD"/>
    <w:rsid w:val="00D97E10"/>
    <w:rsid w:val="00D97FEF"/>
    <w:rsid w:val="00DA0574"/>
    <w:rsid w:val="00DA2030"/>
    <w:rsid w:val="00DA25E3"/>
    <w:rsid w:val="00DA3320"/>
    <w:rsid w:val="00DA3559"/>
    <w:rsid w:val="00DA36D6"/>
    <w:rsid w:val="00DA3BBF"/>
    <w:rsid w:val="00DA4090"/>
    <w:rsid w:val="00DA5160"/>
    <w:rsid w:val="00DA5EEC"/>
    <w:rsid w:val="00DA6D40"/>
    <w:rsid w:val="00DA7424"/>
    <w:rsid w:val="00DA7497"/>
    <w:rsid w:val="00DA78BC"/>
    <w:rsid w:val="00DA7ED8"/>
    <w:rsid w:val="00DB02BC"/>
    <w:rsid w:val="00DB042E"/>
    <w:rsid w:val="00DB067B"/>
    <w:rsid w:val="00DB1ACC"/>
    <w:rsid w:val="00DB1C35"/>
    <w:rsid w:val="00DB21F7"/>
    <w:rsid w:val="00DB22F2"/>
    <w:rsid w:val="00DB232C"/>
    <w:rsid w:val="00DB2525"/>
    <w:rsid w:val="00DB3614"/>
    <w:rsid w:val="00DB3EAE"/>
    <w:rsid w:val="00DB4386"/>
    <w:rsid w:val="00DB493C"/>
    <w:rsid w:val="00DB4DA7"/>
    <w:rsid w:val="00DB4EE8"/>
    <w:rsid w:val="00DB52D3"/>
    <w:rsid w:val="00DB71C1"/>
    <w:rsid w:val="00DB7DE4"/>
    <w:rsid w:val="00DC1498"/>
    <w:rsid w:val="00DC1B53"/>
    <w:rsid w:val="00DC2A83"/>
    <w:rsid w:val="00DC2BF5"/>
    <w:rsid w:val="00DC2D48"/>
    <w:rsid w:val="00DC2E61"/>
    <w:rsid w:val="00DC30E0"/>
    <w:rsid w:val="00DC31B4"/>
    <w:rsid w:val="00DC31FB"/>
    <w:rsid w:val="00DC339C"/>
    <w:rsid w:val="00DC33C6"/>
    <w:rsid w:val="00DC37DA"/>
    <w:rsid w:val="00DC4573"/>
    <w:rsid w:val="00DC46A6"/>
    <w:rsid w:val="00DC49DB"/>
    <w:rsid w:val="00DC4D8F"/>
    <w:rsid w:val="00DC4EF1"/>
    <w:rsid w:val="00DC5102"/>
    <w:rsid w:val="00DC61C5"/>
    <w:rsid w:val="00DC6360"/>
    <w:rsid w:val="00DC7349"/>
    <w:rsid w:val="00DC7DD1"/>
    <w:rsid w:val="00DD0D6B"/>
    <w:rsid w:val="00DD128B"/>
    <w:rsid w:val="00DD19ED"/>
    <w:rsid w:val="00DD1C48"/>
    <w:rsid w:val="00DD1D83"/>
    <w:rsid w:val="00DD27DC"/>
    <w:rsid w:val="00DD3428"/>
    <w:rsid w:val="00DD34B1"/>
    <w:rsid w:val="00DD4260"/>
    <w:rsid w:val="00DD4ABC"/>
    <w:rsid w:val="00DD4B25"/>
    <w:rsid w:val="00DD5079"/>
    <w:rsid w:val="00DD54FB"/>
    <w:rsid w:val="00DD575C"/>
    <w:rsid w:val="00DD63E3"/>
    <w:rsid w:val="00DD791C"/>
    <w:rsid w:val="00DD79D6"/>
    <w:rsid w:val="00DE0E99"/>
    <w:rsid w:val="00DE15F2"/>
    <w:rsid w:val="00DE1C00"/>
    <w:rsid w:val="00DE1F82"/>
    <w:rsid w:val="00DE1FFB"/>
    <w:rsid w:val="00DE2485"/>
    <w:rsid w:val="00DE25A7"/>
    <w:rsid w:val="00DE2E09"/>
    <w:rsid w:val="00DE3149"/>
    <w:rsid w:val="00DE357F"/>
    <w:rsid w:val="00DE4050"/>
    <w:rsid w:val="00DE4090"/>
    <w:rsid w:val="00DE4966"/>
    <w:rsid w:val="00DE4ADE"/>
    <w:rsid w:val="00DE512D"/>
    <w:rsid w:val="00DE5278"/>
    <w:rsid w:val="00DE547C"/>
    <w:rsid w:val="00DE54FE"/>
    <w:rsid w:val="00DE5681"/>
    <w:rsid w:val="00DE5AB1"/>
    <w:rsid w:val="00DE655C"/>
    <w:rsid w:val="00DE6B54"/>
    <w:rsid w:val="00DE786A"/>
    <w:rsid w:val="00DF0427"/>
    <w:rsid w:val="00DF060E"/>
    <w:rsid w:val="00DF06D7"/>
    <w:rsid w:val="00DF17AB"/>
    <w:rsid w:val="00DF191E"/>
    <w:rsid w:val="00DF196C"/>
    <w:rsid w:val="00DF26E9"/>
    <w:rsid w:val="00DF3544"/>
    <w:rsid w:val="00DF36AA"/>
    <w:rsid w:val="00DF4087"/>
    <w:rsid w:val="00DF419A"/>
    <w:rsid w:val="00DF4638"/>
    <w:rsid w:val="00DF4D9E"/>
    <w:rsid w:val="00DF53F6"/>
    <w:rsid w:val="00DF6486"/>
    <w:rsid w:val="00DF73AE"/>
    <w:rsid w:val="00DF7CD6"/>
    <w:rsid w:val="00E0016D"/>
    <w:rsid w:val="00E00B11"/>
    <w:rsid w:val="00E00C1C"/>
    <w:rsid w:val="00E00DB1"/>
    <w:rsid w:val="00E013C8"/>
    <w:rsid w:val="00E0151B"/>
    <w:rsid w:val="00E01679"/>
    <w:rsid w:val="00E0183D"/>
    <w:rsid w:val="00E01A05"/>
    <w:rsid w:val="00E01A1D"/>
    <w:rsid w:val="00E01D9E"/>
    <w:rsid w:val="00E01F3C"/>
    <w:rsid w:val="00E02DB7"/>
    <w:rsid w:val="00E0352A"/>
    <w:rsid w:val="00E039EB"/>
    <w:rsid w:val="00E03B03"/>
    <w:rsid w:val="00E03E65"/>
    <w:rsid w:val="00E040B6"/>
    <w:rsid w:val="00E046B1"/>
    <w:rsid w:val="00E05042"/>
    <w:rsid w:val="00E05C1F"/>
    <w:rsid w:val="00E11002"/>
    <w:rsid w:val="00E112DC"/>
    <w:rsid w:val="00E114A1"/>
    <w:rsid w:val="00E1179C"/>
    <w:rsid w:val="00E1184C"/>
    <w:rsid w:val="00E118A5"/>
    <w:rsid w:val="00E11974"/>
    <w:rsid w:val="00E11C79"/>
    <w:rsid w:val="00E11CC3"/>
    <w:rsid w:val="00E1271A"/>
    <w:rsid w:val="00E135E0"/>
    <w:rsid w:val="00E13A08"/>
    <w:rsid w:val="00E13BC5"/>
    <w:rsid w:val="00E14430"/>
    <w:rsid w:val="00E145A7"/>
    <w:rsid w:val="00E145E9"/>
    <w:rsid w:val="00E1514F"/>
    <w:rsid w:val="00E15495"/>
    <w:rsid w:val="00E154CD"/>
    <w:rsid w:val="00E15831"/>
    <w:rsid w:val="00E15A84"/>
    <w:rsid w:val="00E160E5"/>
    <w:rsid w:val="00E16758"/>
    <w:rsid w:val="00E17253"/>
    <w:rsid w:val="00E176D4"/>
    <w:rsid w:val="00E17E0C"/>
    <w:rsid w:val="00E202E8"/>
    <w:rsid w:val="00E2037E"/>
    <w:rsid w:val="00E20652"/>
    <w:rsid w:val="00E206F0"/>
    <w:rsid w:val="00E2109A"/>
    <w:rsid w:val="00E21647"/>
    <w:rsid w:val="00E21B92"/>
    <w:rsid w:val="00E21BAD"/>
    <w:rsid w:val="00E22117"/>
    <w:rsid w:val="00E2241A"/>
    <w:rsid w:val="00E23711"/>
    <w:rsid w:val="00E24289"/>
    <w:rsid w:val="00E2454A"/>
    <w:rsid w:val="00E2456F"/>
    <w:rsid w:val="00E24F2E"/>
    <w:rsid w:val="00E25692"/>
    <w:rsid w:val="00E265F7"/>
    <w:rsid w:val="00E2682A"/>
    <w:rsid w:val="00E26DCC"/>
    <w:rsid w:val="00E273C6"/>
    <w:rsid w:val="00E27426"/>
    <w:rsid w:val="00E27907"/>
    <w:rsid w:val="00E27EDB"/>
    <w:rsid w:val="00E27FBB"/>
    <w:rsid w:val="00E3072C"/>
    <w:rsid w:val="00E30F19"/>
    <w:rsid w:val="00E31617"/>
    <w:rsid w:val="00E31BE8"/>
    <w:rsid w:val="00E3212C"/>
    <w:rsid w:val="00E32424"/>
    <w:rsid w:val="00E324FA"/>
    <w:rsid w:val="00E328F8"/>
    <w:rsid w:val="00E32B2A"/>
    <w:rsid w:val="00E33951"/>
    <w:rsid w:val="00E33F52"/>
    <w:rsid w:val="00E33F65"/>
    <w:rsid w:val="00E34124"/>
    <w:rsid w:val="00E34AD1"/>
    <w:rsid w:val="00E34C67"/>
    <w:rsid w:val="00E34DBD"/>
    <w:rsid w:val="00E3500F"/>
    <w:rsid w:val="00E3520F"/>
    <w:rsid w:val="00E36856"/>
    <w:rsid w:val="00E36CD3"/>
    <w:rsid w:val="00E36F7A"/>
    <w:rsid w:val="00E36FA0"/>
    <w:rsid w:val="00E374C2"/>
    <w:rsid w:val="00E37931"/>
    <w:rsid w:val="00E379DD"/>
    <w:rsid w:val="00E37D80"/>
    <w:rsid w:val="00E37DB2"/>
    <w:rsid w:val="00E37DD8"/>
    <w:rsid w:val="00E406AB"/>
    <w:rsid w:val="00E40A51"/>
    <w:rsid w:val="00E40B49"/>
    <w:rsid w:val="00E40F14"/>
    <w:rsid w:val="00E41215"/>
    <w:rsid w:val="00E41773"/>
    <w:rsid w:val="00E41D23"/>
    <w:rsid w:val="00E41EAB"/>
    <w:rsid w:val="00E424F9"/>
    <w:rsid w:val="00E42B42"/>
    <w:rsid w:val="00E4369D"/>
    <w:rsid w:val="00E44A9B"/>
    <w:rsid w:val="00E44F4A"/>
    <w:rsid w:val="00E455B1"/>
    <w:rsid w:val="00E4596F"/>
    <w:rsid w:val="00E45C01"/>
    <w:rsid w:val="00E464C7"/>
    <w:rsid w:val="00E4652A"/>
    <w:rsid w:val="00E46612"/>
    <w:rsid w:val="00E46754"/>
    <w:rsid w:val="00E46C13"/>
    <w:rsid w:val="00E4772C"/>
    <w:rsid w:val="00E5019B"/>
    <w:rsid w:val="00E50A83"/>
    <w:rsid w:val="00E50CB7"/>
    <w:rsid w:val="00E51099"/>
    <w:rsid w:val="00E51240"/>
    <w:rsid w:val="00E515B6"/>
    <w:rsid w:val="00E52166"/>
    <w:rsid w:val="00E5224E"/>
    <w:rsid w:val="00E52AF6"/>
    <w:rsid w:val="00E52B14"/>
    <w:rsid w:val="00E52D17"/>
    <w:rsid w:val="00E531D4"/>
    <w:rsid w:val="00E53836"/>
    <w:rsid w:val="00E53B66"/>
    <w:rsid w:val="00E53C22"/>
    <w:rsid w:val="00E53E96"/>
    <w:rsid w:val="00E54100"/>
    <w:rsid w:val="00E54394"/>
    <w:rsid w:val="00E54D1A"/>
    <w:rsid w:val="00E55747"/>
    <w:rsid w:val="00E56419"/>
    <w:rsid w:val="00E564DB"/>
    <w:rsid w:val="00E56734"/>
    <w:rsid w:val="00E5683C"/>
    <w:rsid w:val="00E56937"/>
    <w:rsid w:val="00E569FE"/>
    <w:rsid w:val="00E56DB5"/>
    <w:rsid w:val="00E56F8C"/>
    <w:rsid w:val="00E571D3"/>
    <w:rsid w:val="00E57CF0"/>
    <w:rsid w:val="00E60902"/>
    <w:rsid w:val="00E61402"/>
    <w:rsid w:val="00E61FE2"/>
    <w:rsid w:val="00E62335"/>
    <w:rsid w:val="00E626E6"/>
    <w:rsid w:val="00E627CE"/>
    <w:rsid w:val="00E628FE"/>
    <w:rsid w:val="00E62A9A"/>
    <w:rsid w:val="00E630B8"/>
    <w:rsid w:val="00E631CC"/>
    <w:rsid w:val="00E63253"/>
    <w:rsid w:val="00E6363B"/>
    <w:rsid w:val="00E6375F"/>
    <w:rsid w:val="00E64581"/>
    <w:rsid w:val="00E64EC5"/>
    <w:rsid w:val="00E65372"/>
    <w:rsid w:val="00E65940"/>
    <w:rsid w:val="00E65A2E"/>
    <w:rsid w:val="00E66EAA"/>
    <w:rsid w:val="00E66F35"/>
    <w:rsid w:val="00E70921"/>
    <w:rsid w:val="00E70C84"/>
    <w:rsid w:val="00E712BF"/>
    <w:rsid w:val="00E71506"/>
    <w:rsid w:val="00E720C3"/>
    <w:rsid w:val="00E732F3"/>
    <w:rsid w:val="00E734B1"/>
    <w:rsid w:val="00E747D9"/>
    <w:rsid w:val="00E74FDF"/>
    <w:rsid w:val="00E76523"/>
    <w:rsid w:val="00E766EC"/>
    <w:rsid w:val="00E767EC"/>
    <w:rsid w:val="00E76AEF"/>
    <w:rsid w:val="00E76F4F"/>
    <w:rsid w:val="00E77203"/>
    <w:rsid w:val="00E7748C"/>
    <w:rsid w:val="00E77531"/>
    <w:rsid w:val="00E777C4"/>
    <w:rsid w:val="00E7788B"/>
    <w:rsid w:val="00E77D93"/>
    <w:rsid w:val="00E80831"/>
    <w:rsid w:val="00E82297"/>
    <w:rsid w:val="00E825AF"/>
    <w:rsid w:val="00E826DC"/>
    <w:rsid w:val="00E8327E"/>
    <w:rsid w:val="00E83EF7"/>
    <w:rsid w:val="00E843D2"/>
    <w:rsid w:val="00E84493"/>
    <w:rsid w:val="00E8462A"/>
    <w:rsid w:val="00E849F8"/>
    <w:rsid w:val="00E8549C"/>
    <w:rsid w:val="00E85D87"/>
    <w:rsid w:val="00E8653B"/>
    <w:rsid w:val="00E866FF"/>
    <w:rsid w:val="00E86A26"/>
    <w:rsid w:val="00E87427"/>
    <w:rsid w:val="00E874BA"/>
    <w:rsid w:val="00E87661"/>
    <w:rsid w:val="00E9093B"/>
    <w:rsid w:val="00E90A1C"/>
    <w:rsid w:val="00E917F7"/>
    <w:rsid w:val="00E91B4B"/>
    <w:rsid w:val="00E92CE6"/>
    <w:rsid w:val="00E9318C"/>
    <w:rsid w:val="00E93960"/>
    <w:rsid w:val="00E93E1C"/>
    <w:rsid w:val="00E94201"/>
    <w:rsid w:val="00E94F0B"/>
    <w:rsid w:val="00E95482"/>
    <w:rsid w:val="00E95934"/>
    <w:rsid w:val="00E96158"/>
    <w:rsid w:val="00E9685F"/>
    <w:rsid w:val="00E9760C"/>
    <w:rsid w:val="00E976DD"/>
    <w:rsid w:val="00E97AB6"/>
    <w:rsid w:val="00E97BA9"/>
    <w:rsid w:val="00E97BC2"/>
    <w:rsid w:val="00EA066B"/>
    <w:rsid w:val="00EA1204"/>
    <w:rsid w:val="00EA1B51"/>
    <w:rsid w:val="00EA2446"/>
    <w:rsid w:val="00EA245B"/>
    <w:rsid w:val="00EA269C"/>
    <w:rsid w:val="00EA28B1"/>
    <w:rsid w:val="00EA3994"/>
    <w:rsid w:val="00EA3B3B"/>
    <w:rsid w:val="00EA4D4B"/>
    <w:rsid w:val="00EA5555"/>
    <w:rsid w:val="00EA55E6"/>
    <w:rsid w:val="00EA5616"/>
    <w:rsid w:val="00EA678D"/>
    <w:rsid w:val="00EA694A"/>
    <w:rsid w:val="00EA7D4E"/>
    <w:rsid w:val="00EB1B96"/>
    <w:rsid w:val="00EB2914"/>
    <w:rsid w:val="00EB2C7D"/>
    <w:rsid w:val="00EB2D2D"/>
    <w:rsid w:val="00EB4B15"/>
    <w:rsid w:val="00EB4DDE"/>
    <w:rsid w:val="00EB4E2F"/>
    <w:rsid w:val="00EB50AE"/>
    <w:rsid w:val="00EB55DF"/>
    <w:rsid w:val="00EB5F53"/>
    <w:rsid w:val="00EB6CA2"/>
    <w:rsid w:val="00EB6FEE"/>
    <w:rsid w:val="00EB74A2"/>
    <w:rsid w:val="00EB7722"/>
    <w:rsid w:val="00EB7799"/>
    <w:rsid w:val="00EC02ED"/>
    <w:rsid w:val="00EC0A3F"/>
    <w:rsid w:val="00EC0ABD"/>
    <w:rsid w:val="00EC0D18"/>
    <w:rsid w:val="00EC115F"/>
    <w:rsid w:val="00EC18DE"/>
    <w:rsid w:val="00EC1F46"/>
    <w:rsid w:val="00EC25A7"/>
    <w:rsid w:val="00EC27EC"/>
    <w:rsid w:val="00EC2C0F"/>
    <w:rsid w:val="00EC2FAD"/>
    <w:rsid w:val="00EC3699"/>
    <w:rsid w:val="00EC39EC"/>
    <w:rsid w:val="00EC3BD1"/>
    <w:rsid w:val="00EC4125"/>
    <w:rsid w:val="00EC4F67"/>
    <w:rsid w:val="00EC4FEE"/>
    <w:rsid w:val="00EC52DC"/>
    <w:rsid w:val="00EC62F5"/>
    <w:rsid w:val="00EC63AF"/>
    <w:rsid w:val="00EC6B48"/>
    <w:rsid w:val="00EC6CD9"/>
    <w:rsid w:val="00EC6EA7"/>
    <w:rsid w:val="00EC722C"/>
    <w:rsid w:val="00EC73B8"/>
    <w:rsid w:val="00EC7586"/>
    <w:rsid w:val="00EC75B1"/>
    <w:rsid w:val="00EC764F"/>
    <w:rsid w:val="00ED0C0E"/>
    <w:rsid w:val="00ED17DD"/>
    <w:rsid w:val="00ED2B53"/>
    <w:rsid w:val="00ED30F1"/>
    <w:rsid w:val="00ED38A5"/>
    <w:rsid w:val="00ED3D17"/>
    <w:rsid w:val="00ED401D"/>
    <w:rsid w:val="00ED4B7A"/>
    <w:rsid w:val="00ED4E62"/>
    <w:rsid w:val="00ED4F56"/>
    <w:rsid w:val="00ED50B8"/>
    <w:rsid w:val="00ED56F1"/>
    <w:rsid w:val="00ED570F"/>
    <w:rsid w:val="00ED5A2E"/>
    <w:rsid w:val="00ED5BC5"/>
    <w:rsid w:val="00ED5DDC"/>
    <w:rsid w:val="00ED5F02"/>
    <w:rsid w:val="00ED6534"/>
    <w:rsid w:val="00ED669E"/>
    <w:rsid w:val="00ED694D"/>
    <w:rsid w:val="00ED6AFB"/>
    <w:rsid w:val="00ED709A"/>
    <w:rsid w:val="00ED76DA"/>
    <w:rsid w:val="00EE0017"/>
    <w:rsid w:val="00EE0035"/>
    <w:rsid w:val="00EE0502"/>
    <w:rsid w:val="00EE09CF"/>
    <w:rsid w:val="00EE1322"/>
    <w:rsid w:val="00EE1662"/>
    <w:rsid w:val="00EE1893"/>
    <w:rsid w:val="00EE1CB4"/>
    <w:rsid w:val="00EE1E4D"/>
    <w:rsid w:val="00EE2183"/>
    <w:rsid w:val="00EE22E6"/>
    <w:rsid w:val="00EE286C"/>
    <w:rsid w:val="00EE3360"/>
    <w:rsid w:val="00EE3594"/>
    <w:rsid w:val="00EE543C"/>
    <w:rsid w:val="00EE5D76"/>
    <w:rsid w:val="00EE6AC6"/>
    <w:rsid w:val="00EE6DCF"/>
    <w:rsid w:val="00EE72CE"/>
    <w:rsid w:val="00EE745C"/>
    <w:rsid w:val="00EE78CA"/>
    <w:rsid w:val="00EE79D8"/>
    <w:rsid w:val="00EE7E86"/>
    <w:rsid w:val="00EF088C"/>
    <w:rsid w:val="00EF0B68"/>
    <w:rsid w:val="00EF0B94"/>
    <w:rsid w:val="00EF0E40"/>
    <w:rsid w:val="00EF1240"/>
    <w:rsid w:val="00EF1F44"/>
    <w:rsid w:val="00EF296A"/>
    <w:rsid w:val="00EF34B2"/>
    <w:rsid w:val="00EF3771"/>
    <w:rsid w:val="00EF383E"/>
    <w:rsid w:val="00EF39D1"/>
    <w:rsid w:val="00EF46EA"/>
    <w:rsid w:val="00EF5289"/>
    <w:rsid w:val="00EF579F"/>
    <w:rsid w:val="00EF61E9"/>
    <w:rsid w:val="00EF696B"/>
    <w:rsid w:val="00EF71C1"/>
    <w:rsid w:val="00EF780D"/>
    <w:rsid w:val="00F002C7"/>
    <w:rsid w:val="00F00353"/>
    <w:rsid w:val="00F008DD"/>
    <w:rsid w:val="00F0159C"/>
    <w:rsid w:val="00F016A5"/>
    <w:rsid w:val="00F02232"/>
    <w:rsid w:val="00F02328"/>
    <w:rsid w:val="00F02364"/>
    <w:rsid w:val="00F02A87"/>
    <w:rsid w:val="00F02C45"/>
    <w:rsid w:val="00F02F1C"/>
    <w:rsid w:val="00F03263"/>
    <w:rsid w:val="00F03422"/>
    <w:rsid w:val="00F03A97"/>
    <w:rsid w:val="00F03CDE"/>
    <w:rsid w:val="00F043AC"/>
    <w:rsid w:val="00F044AD"/>
    <w:rsid w:val="00F045CE"/>
    <w:rsid w:val="00F04BE6"/>
    <w:rsid w:val="00F04C30"/>
    <w:rsid w:val="00F0591B"/>
    <w:rsid w:val="00F05974"/>
    <w:rsid w:val="00F06173"/>
    <w:rsid w:val="00F06270"/>
    <w:rsid w:val="00F06884"/>
    <w:rsid w:val="00F06BB8"/>
    <w:rsid w:val="00F06CD4"/>
    <w:rsid w:val="00F06EAE"/>
    <w:rsid w:val="00F06F0A"/>
    <w:rsid w:val="00F07236"/>
    <w:rsid w:val="00F07290"/>
    <w:rsid w:val="00F07B06"/>
    <w:rsid w:val="00F07B1D"/>
    <w:rsid w:val="00F07DBD"/>
    <w:rsid w:val="00F10179"/>
    <w:rsid w:val="00F103CD"/>
    <w:rsid w:val="00F104FE"/>
    <w:rsid w:val="00F1148B"/>
    <w:rsid w:val="00F11A95"/>
    <w:rsid w:val="00F11B52"/>
    <w:rsid w:val="00F11E41"/>
    <w:rsid w:val="00F12705"/>
    <w:rsid w:val="00F12A2B"/>
    <w:rsid w:val="00F12E80"/>
    <w:rsid w:val="00F12FD3"/>
    <w:rsid w:val="00F13075"/>
    <w:rsid w:val="00F1337B"/>
    <w:rsid w:val="00F1349D"/>
    <w:rsid w:val="00F13894"/>
    <w:rsid w:val="00F13988"/>
    <w:rsid w:val="00F13A7B"/>
    <w:rsid w:val="00F14023"/>
    <w:rsid w:val="00F140A0"/>
    <w:rsid w:val="00F142A5"/>
    <w:rsid w:val="00F14637"/>
    <w:rsid w:val="00F148D4"/>
    <w:rsid w:val="00F14E59"/>
    <w:rsid w:val="00F15968"/>
    <w:rsid w:val="00F15972"/>
    <w:rsid w:val="00F15C43"/>
    <w:rsid w:val="00F160DB"/>
    <w:rsid w:val="00F16112"/>
    <w:rsid w:val="00F166E7"/>
    <w:rsid w:val="00F166F2"/>
    <w:rsid w:val="00F168BF"/>
    <w:rsid w:val="00F17132"/>
    <w:rsid w:val="00F17776"/>
    <w:rsid w:val="00F17B09"/>
    <w:rsid w:val="00F17BC2"/>
    <w:rsid w:val="00F17CC5"/>
    <w:rsid w:val="00F20664"/>
    <w:rsid w:val="00F20AAF"/>
    <w:rsid w:val="00F21321"/>
    <w:rsid w:val="00F21962"/>
    <w:rsid w:val="00F22558"/>
    <w:rsid w:val="00F22723"/>
    <w:rsid w:val="00F22F61"/>
    <w:rsid w:val="00F235FB"/>
    <w:rsid w:val="00F237AC"/>
    <w:rsid w:val="00F23A28"/>
    <w:rsid w:val="00F248A1"/>
    <w:rsid w:val="00F2497D"/>
    <w:rsid w:val="00F2507A"/>
    <w:rsid w:val="00F25AB9"/>
    <w:rsid w:val="00F2646C"/>
    <w:rsid w:val="00F269F2"/>
    <w:rsid w:val="00F26B0B"/>
    <w:rsid w:val="00F26F19"/>
    <w:rsid w:val="00F271AC"/>
    <w:rsid w:val="00F2739C"/>
    <w:rsid w:val="00F2743D"/>
    <w:rsid w:val="00F27531"/>
    <w:rsid w:val="00F307EA"/>
    <w:rsid w:val="00F31FCD"/>
    <w:rsid w:val="00F322A8"/>
    <w:rsid w:val="00F32700"/>
    <w:rsid w:val="00F3300E"/>
    <w:rsid w:val="00F33052"/>
    <w:rsid w:val="00F3327B"/>
    <w:rsid w:val="00F33638"/>
    <w:rsid w:val="00F33E00"/>
    <w:rsid w:val="00F33F49"/>
    <w:rsid w:val="00F34173"/>
    <w:rsid w:val="00F344A7"/>
    <w:rsid w:val="00F348BA"/>
    <w:rsid w:val="00F34D51"/>
    <w:rsid w:val="00F35264"/>
    <w:rsid w:val="00F35774"/>
    <w:rsid w:val="00F358D6"/>
    <w:rsid w:val="00F35DC7"/>
    <w:rsid w:val="00F360C2"/>
    <w:rsid w:val="00F364BC"/>
    <w:rsid w:val="00F368B1"/>
    <w:rsid w:val="00F3701E"/>
    <w:rsid w:val="00F3723E"/>
    <w:rsid w:val="00F373DA"/>
    <w:rsid w:val="00F3778B"/>
    <w:rsid w:val="00F37B20"/>
    <w:rsid w:val="00F37B67"/>
    <w:rsid w:val="00F40533"/>
    <w:rsid w:val="00F40568"/>
    <w:rsid w:val="00F40B02"/>
    <w:rsid w:val="00F40C45"/>
    <w:rsid w:val="00F41B24"/>
    <w:rsid w:val="00F42169"/>
    <w:rsid w:val="00F4271E"/>
    <w:rsid w:val="00F42AB5"/>
    <w:rsid w:val="00F42E43"/>
    <w:rsid w:val="00F42F82"/>
    <w:rsid w:val="00F42FB7"/>
    <w:rsid w:val="00F43089"/>
    <w:rsid w:val="00F43B63"/>
    <w:rsid w:val="00F44AEF"/>
    <w:rsid w:val="00F44B04"/>
    <w:rsid w:val="00F44D5D"/>
    <w:rsid w:val="00F45072"/>
    <w:rsid w:val="00F45258"/>
    <w:rsid w:val="00F452E5"/>
    <w:rsid w:val="00F4575A"/>
    <w:rsid w:val="00F45C1E"/>
    <w:rsid w:val="00F462B6"/>
    <w:rsid w:val="00F46B94"/>
    <w:rsid w:val="00F47963"/>
    <w:rsid w:val="00F5027A"/>
    <w:rsid w:val="00F504CE"/>
    <w:rsid w:val="00F50A6F"/>
    <w:rsid w:val="00F513EC"/>
    <w:rsid w:val="00F51617"/>
    <w:rsid w:val="00F51ED3"/>
    <w:rsid w:val="00F5209C"/>
    <w:rsid w:val="00F5295A"/>
    <w:rsid w:val="00F52E9C"/>
    <w:rsid w:val="00F530E9"/>
    <w:rsid w:val="00F53575"/>
    <w:rsid w:val="00F54AFB"/>
    <w:rsid w:val="00F550D5"/>
    <w:rsid w:val="00F55521"/>
    <w:rsid w:val="00F55A94"/>
    <w:rsid w:val="00F55C9F"/>
    <w:rsid w:val="00F56B9D"/>
    <w:rsid w:val="00F570DD"/>
    <w:rsid w:val="00F57B2A"/>
    <w:rsid w:val="00F60631"/>
    <w:rsid w:val="00F61F9F"/>
    <w:rsid w:val="00F62063"/>
    <w:rsid w:val="00F624BC"/>
    <w:rsid w:val="00F6266E"/>
    <w:rsid w:val="00F629FB"/>
    <w:rsid w:val="00F6333F"/>
    <w:rsid w:val="00F6344D"/>
    <w:rsid w:val="00F6366A"/>
    <w:rsid w:val="00F63773"/>
    <w:rsid w:val="00F6386F"/>
    <w:rsid w:val="00F639D9"/>
    <w:rsid w:val="00F63FF7"/>
    <w:rsid w:val="00F6414B"/>
    <w:rsid w:val="00F641D4"/>
    <w:rsid w:val="00F6482A"/>
    <w:rsid w:val="00F64964"/>
    <w:rsid w:val="00F64DD1"/>
    <w:rsid w:val="00F64E16"/>
    <w:rsid w:val="00F65279"/>
    <w:rsid w:val="00F652A4"/>
    <w:rsid w:val="00F657B9"/>
    <w:rsid w:val="00F65B4D"/>
    <w:rsid w:val="00F660C0"/>
    <w:rsid w:val="00F66110"/>
    <w:rsid w:val="00F66C7F"/>
    <w:rsid w:val="00F67878"/>
    <w:rsid w:val="00F67DB2"/>
    <w:rsid w:val="00F67EFF"/>
    <w:rsid w:val="00F70057"/>
    <w:rsid w:val="00F7076C"/>
    <w:rsid w:val="00F718C3"/>
    <w:rsid w:val="00F722D9"/>
    <w:rsid w:val="00F72796"/>
    <w:rsid w:val="00F7294C"/>
    <w:rsid w:val="00F73107"/>
    <w:rsid w:val="00F73161"/>
    <w:rsid w:val="00F7351E"/>
    <w:rsid w:val="00F735EB"/>
    <w:rsid w:val="00F73C6C"/>
    <w:rsid w:val="00F74681"/>
    <w:rsid w:val="00F746D5"/>
    <w:rsid w:val="00F74DAE"/>
    <w:rsid w:val="00F75215"/>
    <w:rsid w:val="00F755F5"/>
    <w:rsid w:val="00F75FDE"/>
    <w:rsid w:val="00F76A98"/>
    <w:rsid w:val="00F76C2A"/>
    <w:rsid w:val="00F76EAC"/>
    <w:rsid w:val="00F76FB8"/>
    <w:rsid w:val="00F7734B"/>
    <w:rsid w:val="00F80019"/>
    <w:rsid w:val="00F81677"/>
    <w:rsid w:val="00F820EB"/>
    <w:rsid w:val="00F826AA"/>
    <w:rsid w:val="00F82809"/>
    <w:rsid w:val="00F82A31"/>
    <w:rsid w:val="00F82E08"/>
    <w:rsid w:val="00F82FD0"/>
    <w:rsid w:val="00F83325"/>
    <w:rsid w:val="00F8350C"/>
    <w:rsid w:val="00F83D5F"/>
    <w:rsid w:val="00F83EE3"/>
    <w:rsid w:val="00F8562F"/>
    <w:rsid w:val="00F862B0"/>
    <w:rsid w:val="00F8675C"/>
    <w:rsid w:val="00F867AD"/>
    <w:rsid w:val="00F870A8"/>
    <w:rsid w:val="00F915AD"/>
    <w:rsid w:val="00F91F05"/>
    <w:rsid w:val="00F92044"/>
    <w:rsid w:val="00F9260B"/>
    <w:rsid w:val="00F92E61"/>
    <w:rsid w:val="00F92EFC"/>
    <w:rsid w:val="00F935D8"/>
    <w:rsid w:val="00F93D02"/>
    <w:rsid w:val="00F945FB"/>
    <w:rsid w:val="00F9480E"/>
    <w:rsid w:val="00F9652F"/>
    <w:rsid w:val="00F968F2"/>
    <w:rsid w:val="00F969AE"/>
    <w:rsid w:val="00F96C65"/>
    <w:rsid w:val="00F96CAD"/>
    <w:rsid w:val="00F97C0B"/>
    <w:rsid w:val="00FA0105"/>
    <w:rsid w:val="00FA0575"/>
    <w:rsid w:val="00FA1251"/>
    <w:rsid w:val="00FA1692"/>
    <w:rsid w:val="00FA22AE"/>
    <w:rsid w:val="00FA23D8"/>
    <w:rsid w:val="00FA2504"/>
    <w:rsid w:val="00FA27BE"/>
    <w:rsid w:val="00FA2CF1"/>
    <w:rsid w:val="00FA31FA"/>
    <w:rsid w:val="00FA399B"/>
    <w:rsid w:val="00FA492C"/>
    <w:rsid w:val="00FA54B1"/>
    <w:rsid w:val="00FA574E"/>
    <w:rsid w:val="00FA5778"/>
    <w:rsid w:val="00FA59FD"/>
    <w:rsid w:val="00FA628C"/>
    <w:rsid w:val="00FA6714"/>
    <w:rsid w:val="00FA6856"/>
    <w:rsid w:val="00FA6C37"/>
    <w:rsid w:val="00FA710B"/>
    <w:rsid w:val="00FA7B1F"/>
    <w:rsid w:val="00FB075E"/>
    <w:rsid w:val="00FB101E"/>
    <w:rsid w:val="00FB17DC"/>
    <w:rsid w:val="00FB28D9"/>
    <w:rsid w:val="00FB2AED"/>
    <w:rsid w:val="00FB2BFD"/>
    <w:rsid w:val="00FB3757"/>
    <w:rsid w:val="00FB3B19"/>
    <w:rsid w:val="00FB42F4"/>
    <w:rsid w:val="00FB4AAB"/>
    <w:rsid w:val="00FB4FB4"/>
    <w:rsid w:val="00FB5492"/>
    <w:rsid w:val="00FB562E"/>
    <w:rsid w:val="00FB6067"/>
    <w:rsid w:val="00FB61AE"/>
    <w:rsid w:val="00FB6A6C"/>
    <w:rsid w:val="00FB6A97"/>
    <w:rsid w:val="00FB7032"/>
    <w:rsid w:val="00FB768F"/>
    <w:rsid w:val="00FB78E7"/>
    <w:rsid w:val="00FC030A"/>
    <w:rsid w:val="00FC0A01"/>
    <w:rsid w:val="00FC0A1B"/>
    <w:rsid w:val="00FC0DC5"/>
    <w:rsid w:val="00FC0E4D"/>
    <w:rsid w:val="00FC1033"/>
    <w:rsid w:val="00FC215E"/>
    <w:rsid w:val="00FC2435"/>
    <w:rsid w:val="00FC2618"/>
    <w:rsid w:val="00FC314C"/>
    <w:rsid w:val="00FC36A3"/>
    <w:rsid w:val="00FC3A50"/>
    <w:rsid w:val="00FC3C78"/>
    <w:rsid w:val="00FC3ED3"/>
    <w:rsid w:val="00FC4C87"/>
    <w:rsid w:val="00FC4D80"/>
    <w:rsid w:val="00FC56B8"/>
    <w:rsid w:val="00FC5B73"/>
    <w:rsid w:val="00FC665E"/>
    <w:rsid w:val="00FC718E"/>
    <w:rsid w:val="00FC76D2"/>
    <w:rsid w:val="00FC7D15"/>
    <w:rsid w:val="00FC7E88"/>
    <w:rsid w:val="00FC7E9D"/>
    <w:rsid w:val="00FD001E"/>
    <w:rsid w:val="00FD0484"/>
    <w:rsid w:val="00FD0875"/>
    <w:rsid w:val="00FD19EB"/>
    <w:rsid w:val="00FD1CCF"/>
    <w:rsid w:val="00FD2027"/>
    <w:rsid w:val="00FD3353"/>
    <w:rsid w:val="00FD3358"/>
    <w:rsid w:val="00FD4200"/>
    <w:rsid w:val="00FD4966"/>
    <w:rsid w:val="00FD540D"/>
    <w:rsid w:val="00FD54E8"/>
    <w:rsid w:val="00FD59A1"/>
    <w:rsid w:val="00FD645F"/>
    <w:rsid w:val="00FE00DC"/>
    <w:rsid w:val="00FE0167"/>
    <w:rsid w:val="00FE02B2"/>
    <w:rsid w:val="00FE0588"/>
    <w:rsid w:val="00FE06F3"/>
    <w:rsid w:val="00FE0968"/>
    <w:rsid w:val="00FE0BE8"/>
    <w:rsid w:val="00FE195C"/>
    <w:rsid w:val="00FE195F"/>
    <w:rsid w:val="00FE1DBD"/>
    <w:rsid w:val="00FE22F2"/>
    <w:rsid w:val="00FE2490"/>
    <w:rsid w:val="00FE2658"/>
    <w:rsid w:val="00FE27EF"/>
    <w:rsid w:val="00FE28FC"/>
    <w:rsid w:val="00FE2B99"/>
    <w:rsid w:val="00FE3068"/>
    <w:rsid w:val="00FE39F7"/>
    <w:rsid w:val="00FE3AED"/>
    <w:rsid w:val="00FE3C78"/>
    <w:rsid w:val="00FE3D58"/>
    <w:rsid w:val="00FE46E2"/>
    <w:rsid w:val="00FE4B66"/>
    <w:rsid w:val="00FE4D03"/>
    <w:rsid w:val="00FE5D50"/>
    <w:rsid w:val="00FE6AB5"/>
    <w:rsid w:val="00FE6B71"/>
    <w:rsid w:val="00FE6F39"/>
    <w:rsid w:val="00FE761A"/>
    <w:rsid w:val="00FE767B"/>
    <w:rsid w:val="00FE7AC9"/>
    <w:rsid w:val="00FF02A3"/>
    <w:rsid w:val="00FF0997"/>
    <w:rsid w:val="00FF0DB2"/>
    <w:rsid w:val="00FF17C0"/>
    <w:rsid w:val="00FF1C53"/>
    <w:rsid w:val="00FF1C95"/>
    <w:rsid w:val="00FF25B6"/>
    <w:rsid w:val="00FF26E3"/>
    <w:rsid w:val="00FF2B39"/>
    <w:rsid w:val="00FF2C1E"/>
    <w:rsid w:val="00FF2EDB"/>
    <w:rsid w:val="00FF300F"/>
    <w:rsid w:val="00FF3734"/>
    <w:rsid w:val="00FF37A8"/>
    <w:rsid w:val="00FF382E"/>
    <w:rsid w:val="00FF3A4D"/>
    <w:rsid w:val="00FF3D87"/>
    <w:rsid w:val="00FF3DA2"/>
    <w:rsid w:val="00FF3F54"/>
    <w:rsid w:val="00FF4BA9"/>
    <w:rsid w:val="00FF4C13"/>
    <w:rsid w:val="00FF5414"/>
    <w:rsid w:val="00FF5ADA"/>
    <w:rsid w:val="00FF5D43"/>
    <w:rsid w:val="00FF646E"/>
    <w:rsid w:val="00FF66A3"/>
    <w:rsid w:val="00FF6B78"/>
    <w:rsid w:val="00FF6D7F"/>
    <w:rsid w:val="00FF73EB"/>
    <w:rsid w:val="00FF79B5"/>
    <w:rsid w:val="00FF7ECC"/>
    <w:rsid w:val="00FF7F99"/>
    <w:rsid w:val="015F4090"/>
    <w:rsid w:val="01837F1F"/>
    <w:rsid w:val="01D76EC5"/>
    <w:rsid w:val="02AB2F54"/>
    <w:rsid w:val="02DE4172"/>
    <w:rsid w:val="03084D78"/>
    <w:rsid w:val="0458219C"/>
    <w:rsid w:val="049C16D0"/>
    <w:rsid w:val="04E24CCF"/>
    <w:rsid w:val="050B6DC4"/>
    <w:rsid w:val="05142D4D"/>
    <w:rsid w:val="05180FCA"/>
    <w:rsid w:val="05264355"/>
    <w:rsid w:val="055D2190"/>
    <w:rsid w:val="05A54560"/>
    <w:rsid w:val="06103FDE"/>
    <w:rsid w:val="06A67EFC"/>
    <w:rsid w:val="06DD7357"/>
    <w:rsid w:val="06EA1B8C"/>
    <w:rsid w:val="07567ADB"/>
    <w:rsid w:val="07EA6634"/>
    <w:rsid w:val="081B4099"/>
    <w:rsid w:val="08F913B3"/>
    <w:rsid w:val="0A197D76"/>
    <w:rsid w:val="0A2D1DA8"/>
    <w:rsid w:val="0A5E4558"/>
    <w:rsid w:val="0BB22C76"/>
    <w:rsid w:val="0BF417FB"/>
    <w:rsid w:val="0C543B6E"/>
    <w:rsid w:val="0CED08D1"/>
    <w:rsid w:val="0D1B76C7"/>
    <w:rsid w:val="0D2F3572"/>
    <w:rsid w:val="0D4A0B2F"/>
    <w:rsid w:val="0DB57BBD"/>
    <w:rsid w:val="0E29031C"/>
    <w:rsid w:val="0ECD5745"/>
    <w:rsid w:val="0F7907FB"/>
    <w:rsid w:val="103A2EA9"/>
    <w:rsid w:val="1066794A"/>
    <w:rsid w:val="10CE5A53"/>
    <w:rsid w:val="10F12399"/>
    <w:rsid w:val="110770EE"/>
    <w:rsid w:val="13A741AC"/>
    <w:rsid w:val="13B1782D"/>
    <w:rsid w:val="151D47FF"/>
    <w:rsid w:val="15C701BB"/>
    <w:rsid w:val="16335184"/>
    <w:rsid w:val="178B4555"/>
    <w:rsid w:val="18147106"/>
    <w:rsid w:val="184C7F11"/>
    <w:rsid w:val="18641BD2"/>
    <w:rsid w:val="19680D1A"/>
    <w:rsid w:val="19CF4362"/>
    <w:rsid w:val="1A8375CE"/>
    <w:rsid w:val="1B046F2F"/>
    <w:rsid w:val="1B78546C"/>
    <w:rsid w:val="1B9022D2"/>
    <w:rsid w:val="1BB6270C"/>
    <w:rsid w:val="1C331705"/>
    <w:rsid w:val="1C421E50"/>
    <w:rsid w:val="1E6B5103"/>
    <w:rsid w:val="1EA639D8"/>
    <w:rsid w:val="1FAE0AFD"/>
    <w:rsid w:val="1FC465CB"/>
    <w:rsid w:val="1FE13DC8"/>
    <w:rsid w:val="1FE253F8"/>
    <w:rsid w:val="221B0B80"/>
    <w:rsid w:val="226520D8"/>
    <w:rsid w:val="22DA216B"/>
    <w:rsid w:val="24E61A90"/>
    <w:rsid w:val="252B0FE9"/>
    <w:rsid w:val="25442D93"/>
    <w:rsid w:val="25AD4A74"/>
    <w:rsid w:val="25C00C39"/>
    <w:rsid w:val="26155C1B"/>
    <w:rsid w:val="26714824"/>
    <w:rsid w:val="267B23A4"/>
    <w:rsid w:val="272B7C14"/>
    <w:rsid w:val="279E7EC0"/>
    <w:rsid w:val="2817512F"/>
    <w:rsid w:val="282248B3"/>
    <w:rsid w:val="28675F60"/>
    <w:rsid w:val="28912F73"/>
    <w:rsid w:val="28983C59"/>
    <w:rsid w:val="28E639D9"/>
    <w:rsid w:val="29514C0E"/>
    <w:rsid w:val="29763D11"/>
    <w:rsid w:val="29AC202B"/>
    <w:rsid w:val="2AB202F3"/>
    <w:rsid w:val="2CAB77B3"/>
    <w:rsid w:val="2D3D6826"/>
    <w:rsid w:val="2E263AA3"/>
    <w:rsid w:val="2E3B7869"/>
    <w:rsid w:val="2EAF358D"/>
    <w:rsid w:val="2EE90117"/>
    <w:rsid w:val="31635395"/>
    <w:rsid w:val="31882FC3"/>
    <w:rsid w:val="32155442"/>
    <w:rsid w:val="326E5336"/>
    <w:rsid w:val="33CC479E"/>
    <w:rsid w:val="343B6F7A"/>
    <w:rsid w:val="34F960E4"/>
    <w:rsid w:val="35272E1C"/>
    <w:rsid w:val="358E12FD"/>
    <w:rsid w:val="36810916"/>
    <w:rsid w:val="372F061D"/>
    <w:rsid w:val="37905F19"/>
    <w:rsid w:val="37A4643C"/>
    <w:rsid w:val="37CB38A1"/>
    <w:rsid w:val="380B418C"/>
    <w:rsid w:val="391431E4"/>
    <w:rsid w:val="39BE3ABD"/>
    <w:rsid w:val="3A086574"/>
    <w:rsid w:val="3A4B6499"/>
    <w:rsid w:val="3B23278E"/>
    <w:rsid w:val="3B8631B5"/>
    <w:rsid w:val="3C6555C9"/>
    <w:rsid w:val="3C9E359B"/>
    <w:rsid w:val="3D7F6BED"/>
    <w:rsid w:val="3FD44611"/>
    <w:rsid w:val="3FFD2AA6"/>
    <w:rsid w:val="40355FDB"/>
    <w:rsid w:val="40E24060"/>
    <w:rsid w:val="417557B5"/>
    <w:rsid w:val="419814FA"/>
    <w:rsid w:val="41BD7202"/>
    <w:rsid w:val="4244081E"/>
    <w:rsid w:val="42AD3553"/>
    <w:rsid w:val="42B55E0B"/>
    <w:rsid w:val="42F26B44"/>
    <w:rsid w:val="432D176B"/>
    <w:rsid w:val="433B3037"/>
    <w:rsid w:val="43F26E12"/>
    <w:rsid w:val="44EE039C"/>
    <w:rsid w:val="453B6FB5"/>
    <w:rsid w:val="45A73D18"/>
    <w:rsid w:val="45DE367B"/>
    <w:rsid w:val="472201FD"/>
    <w:rsid w:val="474C2F00"/>
    <w:rsid w:val="47630EBB"/>
    <w:rsid w:val="4773154C"/>
    <w:rsid w:val="477A1968"/>
    <w:rsid w:val="47DF6D27"/>
    <w:rsid w:val="48CC7A0D"/>
    <w:rsid w:val="4A136003"/>
    <w:rsid w:val="4A521BA0"/>
    <w:rsid w:val="4A841435"/>
    <w:rsid w:val="4BB51BD6"/>
    <w:rsid w:val="4BBD71FC"/>
    <w:rsid w:val="4BBE3026"/>
    <w:rsid w:val="4CC146A8"/>
    <w:rsid w:val="4E1F2B20"/>
    <w:rsid w:val="4F4C608B"/>
    <w:rsid w:val="4FBB00A0"/>
    <w:rsid w:val="50021629"/>
    <w:rsid w:val="50475D3D"/>
    <w:rsid w:val="50ED2F0C"/>
    <w:rsid w:val="51E73AE4"/>
    <w:rsid w:val="524D6B95"/>
    <w:rsid w:val="528A0F0E"/>
    <w:rsid w:val="52FF26AB"/>
    <w:rsid w:val="53057ECF"/>
    <w:rsid w:val="552B6A01"/>
    <w:rsid w:val="56292311"/>
    <w:rsid w:val="562D7D53"/>
    <w:rsid w:val="564A49D9"/>
    <w:rsid w:val="57112185"/>
    <w:rsid w:val="58844718"/>
    <w:rsid w:val="588A2BB7"/>
    <w:rsid w:val="58D2068E"/>
    <w:rsid w:val="59840609"/>
    <w:rsid w:val="59FF7D01"/>
    <w:rsid w:val="5A64178C"/>
    <w:rsid w:val="5AC678BF"/>
    <w:rsid w:val="5AF465FA"/>
    <w:rsid w:val="5BD71EFE"/>
    <w:rsid w:val="5CA02003"/>
    <w:rsid w:val="5D066648"/>
    <w:rsid w:val="5D0D559B"/>
    <w:rsid w:val="5D1116B6"/>
    <w:rsid w:val="5D6B6F28"/>
    <w:rsid w:val="5EBD4966"/>
    <w:rsid w:val="5F1000FB"/>
    <w:rsid w:val="5F9E1C74"/>
    <w:rsid w:val="5FE70F2A"/>
    <w:rsid w:val="60E51E6E"/>
    <w:rsid w:val="616E1E99"/>
    <w:rsid w:val="61935951"/>
    <w:rsid w:val="62090567"/>
    <w:rsid w:val="620D0B11"/>
    <w:rsid w:val="629F17CD"/>
    <w:rsid w:val="62AD2C64"/>
    <w:rsid w:val="635B79CA"/>
    <w:rsid w:val="63BB457F"/>
    <w:rsid w:val="63DE0225"/>
    <w:rsid w:val="64AC731E"/>
    <w:rsid w:val="66660D8B"/>
    <w:rsid w:val="66945311"/>
    <w:rsid w:val="69912070"/>
    <w:rsid w:val="69C37312"/>
    <w:rsid w:val="6A1C656B"/>
    <w:rsid w:val="6AB15124"/>
    <w:rsid w:val="6B171F67"/>
    <w:rsid w:val="6B984E25"/>
    <w:rsid w:val="6CEA40FF"/>
    <w:rsid w:val="6D486AFE"/>
    <w:rsid w:val="6D642434"/>
    <w:rsid w:val="6E293ABD"/>
    <w:rsid w:val="6F387FC9"/>
    <w:rsid w:val="6F483541"/>
    <w:rsid w:val="700E0965"/>
    <w:rsid w:val="702E0844"/>
    <w:rsid w:val="711210C2"/>
    <w:rsid w:val="71873883"/>
    <w:rsid w:val="71E30F7F"/>
    <w:rsid w:val="725F20B4"/>
    <w:rsid w:val="72685F2D"/>
    <w:rsid w:val="72E0674B"/>
    <w:rsid w:val="73020258"/>
    <w:rsid w:val="73654CAC"/>
    <w:rsid w:val="73BD54A9"/>
    <w:rsid w:val="751D045E"/>
    <w:rsid w:val="751F7C29"/>
    <w:rsid w:val="75334B12"/>
    <w:rsid w:val="754B7943"/>
    <w:rsid w:val="77485514"/>
    <w:rsid w:val="778A1540"/>
    <w:rsid w:val="787F67B7"/>
    <w:rsid w:val="78BB30A5"/>
    <w:rsid w:val="79025AF4"/>
    <w:rsid w:val="79642473"/>
    <w:rsid w:val="7A0E069C"/>
    <w:rsid w:val="7B315DAF"/>
    <w:rsid w:val="7C125500"/>
    <w:rsid w:val="7C9671B0"/>
    <w:rsid w:val="7D14030F"/>
    <w:rsid w:val="7D7214EE"/>
    <w:rsid w:val="7EC26D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E248C73"/>
  <w15:docId w15:val="{A34192A3-E267-46DF-A2B7-3B00053EB9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uiPriority="39" w:qFormat="1"/>
    <w:lsdException w:name="toc 2" w:uiPriority="39" w:qFormat="1"/>
    <w:lsdException w:name="toc 3" w:uiPriority="39" w:qFormat="1"/>
    <w:lsdException w:name="toc 4" w:qFormat="1"/>
    <w:lsdException w:name="toc 5" w:qFormat="1"/>
    <w:lsdException w:name="toc 6" w:qFormat="1"/>
    <w:lsdException w:name="toc 7" w:qFormat="1"/>
    <w:lsdException w:name="toc 8" w:qFormat="1"/>
    <w:lsdException w:name="toc 9" w:qFormat="1"/>
    <w:lsdException w:name="Normal Indent" w:qFormat="1"/>
    <w:lsdException w:name="footnote text" w:semiHidden="1" w:unhideWhenUsed="1"/>
    <w:lsdException w:name="annotation text" w:qFormat="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qFormat="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qFormat="1"/>
    <w:lsdException w:name="Date" w:qFormat="1"/>
    <w:lsdException w:name="Body Text First Indent" w:qFormat="1"/>
    <w:lsdException w:name="Body Text First Indent 2" w:qFormat="1"/>
    <w:lsdException w:name="Note Heading" w:qFormat="1"/>
    <w:lsdException w:name="Body Text 2" w:qFormat="1"/>
    <w:lsdException w:name="Body Text 3" w:qFormat="1"/>
    <w:lsdException w:name="Body Text Indent 2" w:qFormat="1"/>
    <w:lsdException w:name="Body Text Indent 3" w:qFormat="1"/>
    <w:lsdException w:name="Block Text" w:qFormat="1"/>
    <w:lsdException w:name="Hyperlink" w:uiPriority="99" w:qFormat="1"/>
    <w:lsdException w:name="FollowedHyperlink" w:uiPriority="99" w:qFormat="1"/>
    <w:lsdException w:name="Strong" w:qFormat="1"/>
    <w:lsdException w:name="Emphasis" w:uiPriority="20" w:qFormat="1"/>
    <w:lsdException w:name="Document Map" w:semiHidden="1" w:qFormat="1"/>
    <w:lsdException w:name="Plain Text" w:qFormat="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uiPriority="9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2"/>
    <w:qFormat/>
    <w:pPr>
      <w:widowControl w:val="0"/>
      <w:jc w:val="both"/>
    </w:pPr>
    <w:rPr>
      <w:kern w:val="2"/>
      <w:sz w:val="21"/>
      <w:szCs w:val="24"/>
    </w:rPr>
  </w:style>
  <w:style w:type="paragraph" w:styleId="10">
    <w:name w:val="heading 1"/>
    <w:basedOn w:val="a"/>
    <w:next w:val="a"/>
    <w:link w:val="11"/>
    <w:qFormat/>
    <w:pPr>
      <w:keepNext/>
      <w:jc w:val="center"/>
      <w:outlineLvl w:val="0"/>
    </w:pPr>
    <w:rPr>
      <w:sz w:val="28"/>
      <w:szCs w:val="20"/>
    </w:rPr>
  </w:style>
  <w:style w:type="paragraph" w:styleId="20">
    <w:name w:val="heading 2"/>
    <w:basedOn w:val="a"/>
    <w:next w:val="a"/>
    <w:link w:val="21"/>
    <w:qFormat/>
    <w:pPr>
      <w:keepNext/>
      <w:keepLines/>
      <w:spacing w:before="260" w:after="260" w:line="416" w:lineRule="auto"/>
      <w:outlineLvl w:val="1"/>
    </w:pPr>
    <w:rPr>
      <w:rFonts w:ascii="Arial" w:eastAsia="黑体" w:hAnsi="Arial"/>
      <w:b/>
      <w:sz w:val="32"/>
      <w:szCs w:val="20"/>
    </w:rPr>
  </w:style>
  <w:style w:type="paragraph" w:styleId="3">
    <w:name w:val="heading 3"/>
    <w:basedOn w:val="a"/>
    <w:next w:val="a"/>
    <w:link w:val="30"/>
    <w:qFormat/>
    <w:pPr>
      <w:keepNext/>
      <w:keepLines/>
      <w:spacing w:before="260" w:after="260" w:line="416"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0"/>
    <w:qFormat/>
    <w:pPr>
      <w:keepNext/>
      <w:keepLines/>
      <w:widowControl/>
      <w:tabs>
        <w:tab w:val="left" w:pos="377"/>
        <w:tab w:val="left" w:pos="1247"/>
      </w:tabs>
      <w:spacing w:before="100" w:beforeAutospacing="1" w:after="290" w:line="377" w:lineRule="auto"/>
      <w:ind w:left="1077" w:hanging="1020"/>
      <w:outlineLvl w:val="4"/>
    </w:pPr>
    <w:rPr>
      <w:rFonts w:eastAsia="黑体"/>
      <w:bCs/>
      <w:kern w:val="0"/>
      <w:sz w:val="28"/>
      <w:szCs w:val="28"/>
    </w:rPr>
  </w:style>
  <w:style w:type="paragraph" w:styleId="6">
    <w:name w:val="heading 6"/>
    <w:basedOn w:val="a"/>
    <w:next w:val="a"/>
    <w:link w:val="60"/>
    <w:qFormat/>
    <w:pPr>
      <w:keepNext/>
      <w:keepLines/>
      <w:widowControl/>
      <w:tabs>
        <w:tab w:val="left" w:pos="377"/>
        <w:tab w:val="left" w:pos="737"/>
      </w:tabs>
      <w:spacing w:before="240" w:after="64" w:line="319" w:lineRule="auto"/>
      <w:ind w:left="737" w:hanging="510"/>
      <w:outlineLvl w:val="5"/>
    </w:pPr>
    <w:rPr>
      <w:rFonts w:eastAsia="黑体"/>
      <w:bCs/>
      <w:kern w:val="0"/>
      <w:sz w:val="28"/>
      <w:szCs w:val="28"/>
    </w:rPr>
  </w:style>
  <w:style w:type="paragraph" w:styleId="7">
    <w:name w:val="heading 7"/>
    <w:basedOn w:val="a"/>
    <w:next w:val="a"/>
    <w:qFormat/>
    <w:pPr>
      <w:keepNext/>
      <w:keepLines/>
      <w:spacing w:before="240" w:after="64" w:line="320" w:lineRule="auto"/>
      <w:outlineLvl w:val="6"/>
    </w:pPr>
    <w:rPr>
      <w:b/>
      <w:bCs/>
      <w:sz w:val="24"/>
    </w:rPr>
  </w:style>
  <w:style w:type="paragraph" w:styleId="8">
    <w:name w:val="heading 8"/>
    <w:basedOn w:val="a"/>
    <w:next w:val="a"/>
    <w:link w:val="80"/>
    <w:qFormat/>
    <w:pPr>
      <w:keepNext/>
      <w:keepLines/>
      <w:widowControl/>
      <w:tabs>
        <w:tab w:val="left" w:pos="377"/>
        <w:tab w:val="left" w:pos="737"/>
      </w:tabs>
      <w:spacing w:before="240" w:after="64" w:line="319" w:lineRule="auto"/>
      <w:ind w:left="737" w:hanging="510"/>
      <w:outlineLvl w:val="7"/>
    </w:pPr>
    <w:rPr>
      <w:rFonts w:eastAsia="黑体"/>
      <w:kern w:val="0"/>
      <w:sz w:val="28"/>
      <w:szCs w:val="28"/>
    </w:rPr>
  </w:style>
  <w:style w:type="paragraph" w:styleId="9">
    <w:name w:val="heading 9"/>
    <w:basedOn w:val="a"/>
    <w:next w:val="a"/>
    <w:link w:val="90"/>
    <w:qFormat/>
    <w:pPr>
      <w:keepNext/>
      <w:keepLines/>
      <w:tabs>
        <w:tab w:val="left" w:pos="1584"/>
      </w:tabs>
      <w:snapToGrid w:val="0"/>
      <w:spacing w:before="240" w:after="64" w:line="360" w:lineRule="auto"/>
      <w:ind w:left="1584" w:hanging="1584"/>
      <w:outlineLvl w:val="8"/>
    </w:pPr>
    <w:rPr>
      <w:sz w:val="24"/>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qFormat/>
    <w:pPr>
      <w:ind w:firstLineChars="200" w:firstLine="420"/>
    </w:pPr>
  </w:style>
  <w:style w:type="paragraph" w:styleId="a3">
    <w:name w:val="Body Text Indent"/>
    <w:basedOn w:val="a"/>
    <w:next w:val="a4"/>
    <w:qFormat/>
    <w:pPr>
      <w:ind w:firstLineChars="192" w:firstLine="538"/>
    </w:pPr>
    <w:rPr>
      <w:rFonts w:ascii="宋体" w:hAnsi="宋体"/>
      <w:color w:val="FF0000"/>
      <w:sz w:val="28"/>
      <w:szCs w:val="28"/>
    </w:rPr>
  </w:style>
  <w:style w:type="paragraph" w:styleId="a4">
    <w:name w:val="Normal Indent"/>
    <w:basedOn w:val="a"/>
    <w:link w:val="a5"/>
    <w:qFormat/>
    <w:pPr>
      <w:ind w:firstLineChars="200" w:firstLine="420"/>
    </w:pPr>
  </w:style>
  <w:style w:type="paragraph" w:styleId="TOC7">
    <w:name w:val="toc 7"/>
    <w:basedOn w:val="a"/>
    <w:next w:val="a"/>
    <w:qFormat/>
    <w:pPr>
      <w:ind w:leftChars="1200" w:left="2520"/>
    </w:pPr>
    <w:rPr>
      <w:rFonts w:ascii="宋体"/>
    </w:rPr>
  </w:style>
  <w:style w:type="paragraph" w:styleId="a6">
    <w:name w:val="Note Heading"/>
    <w:basedOn w:val="a"/>
    <w:next w:val="a"/>
    <w:link w:val="a7"/>
    <w:qFormat/>
    <w:pPr>
      <w:jc w:val="center"/>
    </w:pPr>
    <w:rPr>
      <w:rFonts w:ascii="宋体"/>
      <w:szCs w:val="21"/>
    </w:rPr>
  </w:style>
  <w:style w:type="paragraph" w:styleId="81">
    <w:name w:val="index 8"/>
    <w:basedOn w:val="a"/>
    <w:next w:val="a"/>
    <w:qFormat/>
    <w:pPr>
      <w:ind w:leftChars="1400" w:left="1400"/>
    </w:pPr>
    <w:rPr>
      <w:szCs w:val="20"/>
    </w:rPr>
  </w:style>
  <w:style w:type="paragraph" w:styleId="51">
    <w:name w:val="index 5"/>
    <w:basedOn w:val="a"/>
    <w:next w:val="a"/>
    <w:qFormat/>
    <w:pPr>
      <w:ind w:leftChars="800" w:left="800"/>
    </w:pPr>
    <w:rPr>
      <w:szCs w:val="20"/>
    </w:rPr>
  </w:style>
  <w:style w:type="paragraph" w:styleId="a8">
    <w:name w:val="Document Map"/>
    <w:basedOn w:val="a"/>
    <w:semiHidden/>
    <w:qFormat/>
    <w:pPr>
      <w:shd w:val="clear" w:color="auto" w:fill="000080"/>
    </w:pPr>
  </w:style>
  <w:style w:type="paragraph" w:styleId="a9">
    <w:name w:val="annotation text"/>
    <w:basedOn w:val="a"/>
    <w:link w:val="aa"/>
    <w:qFormat/>
    <w:pPr>
      <w:widowControl/>
      <w:tabs>
        <w:tab w:val="left" w:pos="377"/>
      </w:tabs>
      <w:spacing w:line="360" w:lineRule="auto"/>
      <w:jc w:val="left"/>
    </w:pPr>
    <w:rPr>
      <w:rFonts w:ascii="宋体"/>
      <w:kern w:val="0"/>
      <w:sz w:val="24"/>
    </w:rPr>
  </w:style>
  <w:style w:type="paragraph" w:styleId="61">
    <w:name w:val="index 6"/>
    <w:basedOn w:val="a"/>
    <w:next w:val="a"/>
    <w:qFormat/>
    <w:pPr>
      <w:ind w:leftChars="1000" w:left="1000"/>
    </w:pPr>
    <w:rPr>
      <w:szCs w:val="20"/>
    </w:rPr>
  </w:style>
  <w:style w:type="paragraph" w:styleId="ab">
    <w:name w:val="Salutation"/>
    <w:basedOn w:val="a"/>
    <w:next w:val="a"/>
    <w:qFormat/>
    <w:rPr>
      <w:sz w:val="24"/>
      <w:szCs w:val="20"/>
    </w:rPr>
  </w:style>
  <w:style w:type="paragraph" w:styleId="31">
    <w:name w:val="Body Text 3"/>
    <w:basedOn w:val="a"/>
    <w:qFormat/>
    <w:pPr>
      <w:spacing w:line="360" w:lineRule="auto"/>
    </w:pPr>
    <w:rPr>
      <w:sz w:val="24"/>
    </w:rPr>
  </w:style>
  <w:style w:type="paragraph" w:styleId="ac">
    <w:name w:val="Body Text"/>
    <w:basedOn w:val="a"/>
    <w:link w:val="ad"/>
    <w:qFormat/>
    <w:pPr>
      <w:spacing w:after="120"/>
    </w:pPr>
  </w:style>
  <w:style w:type="paragraph" w:styleId="ae">
    <w:name w:val="Block Text"/>
    <w:basedOn w:val="a"/>
    <w:qFormat/>
    <w:pPr>
      <w:adjustRightInd w:val="0"/>
      <w:spacing w:line="360" w:lineRule="auto"/>
      <w:ind w:left="57" w:right="57" w:firstLine="539"/>
      <w:textAlignment w:val="baseline"/>
    </w:pPr>
    <w:rPr>
      <w:spacing w:val="20"/>
      <w:kern w:val="0"/>
      <w:sz w:val="24"/>
      <w:szCs w:val="20"/>
    </w:rPr>
  </w:style>
  <w:style w:type="paragraph" w:styleId="40">
    <w:name w:val="index 4"/>
    <w:basedOn w:val="a"/>
    <w:next w:val="a"/>
    <w:qFormat/>
    <w:pPr>
      <w:ind w:leftChars="600" w:left="600"/>
    </w:pPr>
    <w:rPr>
      <w:szCs w:val="20"/>
    </w:rPr>
  </w:style>
  <w:style w:type="paragraph" w:styleId="TOC5">
    <w:name w:val="toc 5"/>
    <w:basedOn w:val="a"/>
    <w:next w:val="a"/>
    <w:qFormat/>
    <w:pPr>
      <w:ind w:left="840"/>
      <w:jc w:val="left"/>
    </w:pPr>
    <w:rPr>
      <w:sz w:val="18"/>
      <w:szCs w:val="18"/>
    </w:rPr>
  </w:style>
  <w:style w:type="paragraph" w:styleId="TOC3">
    <w:name w:val="toc 3"/>
    <w:basedOn w:val="a"/>
    <w:next w:val="a"/>
    <w:uiPriority w:val="39"/>
    <w:qFormat/>
    <w:pPr>
      <w:ind w:leftChars="400" w:left="840"/>
    </w:pPr>
  </w:style>
  <w:style w:type="paragraph" w:styleId="af">
    <w:name w:val="Plain Text"/>
    <w:basedOn w:val="a"/>
    <w:link w:val="af0"/>
    <w:qFormat/>
    <w:rPr>
      <w:rFonts w:ascii="宋体" w:hAnsi="Courier New"/>
      <w:szCs w:val="20"/>
    </w:rPr>
  </w:style>
  <w:style w:type="paragraph" w:styleId="TOC8">
    <w:name w:val="toc 8"/>
    <w:basedOn w:val="a"/>
    <w:next w:val="a"/>
    <w:qFormat/>
    <w:pPr>
      <w:ind w:left="1470"/>
      <w:jc w:val="left"/>
    </w:pPr>
    <w:rPr>
      <w:sz w:val="18"/>
      <w:szCs w:val="18"/>
    </w:rPr>
  </w:style>
  <w:style w:type="paragraph" w:styleId="32">
    <w:name w:val="index 3"/>
    <w:basedOn w:val="a"/>
    <w:next w:val="a"/>
    <w:qFormat/>
    <w:pPr>
      <w:ind w:leftChars="400" w:left="400"/>
    </w:pPr>
    <w:rPr>
      <w:szCs w:val="20"/>
    </w:rPr>
  </w:style>
  <w:style w:type="paragraph" w:styleId="af1">
    <w:name w:val="Date"/>
    <w:basedOn w:val="a"/>
    <w:next w:val="a"/>
    <w:qFormat/>
    <w:pPr>
      <w:adjustRightInd w:val="0"/>
      <w:spacing w:line="360" w:lineRule="auto"/>
      <w:textAlignment w:val="baseline"/>
    </w:pPr>
    <w:rPr>
      <w:rFonts w:ascii="宋体"/>
      <w:spacing w:val="10"/>
      <w:kern w:val="0"/>
      <w:sz w:val="28"/>
      <w:szCs w:val="20"/>
    </w:rPr>
  </w:style>
  <w:style w:type="paragraph" w:styleId="22">
    <w:name w:val="Body Text Indent 2"/>
    <w:basedOn w:val="a"/>
    <w:qFormat/>
    <w:pPr>
      <w:spacing w:after="120" w:line="480" w:lineRule="auto"/>
      <w:ind w:leftChars="200" w:left="420"/>
    </w:pPr>
  </w:style>
  <w:style w:type="paragraph" w:styleId="af2">
    <w:name w:val="Balloon Text"/>
    <w:basedOn w:val="a"/>
    <w:link w:val="af3"/>
    <w:qFormat/>
    <w:rPr>
      <w:sz w:val="18"/>
      <w:szCs w:val="18"/>
    </w:rPr>
  </w:style>
  <w:style w:type="paragraph" w:styleId="af4">
    <w:name w:val="footer"/>
    <w:basedOn w:val="a"/>
    <w:link w:val="af5"/>
    <w:qFormat/>
    <w:pPr>
      <w:tabs>
        <w:tab w:val="center" w:pos="4153"/>
        <w:tab w:val="right" w:pos="8306"/>
      </w:tabs>
      <w:snapToGrid w:val="0"/>
      <w:jc w:val="left"/>
    </w:pPr>
    <w:rPr>
      <w:sz w:val="18"/>
      <w:szCs w:val="18"/>
    </w:rPr>
  </w:style>
  <w:style w:type="paragraph" w:styleId="af6">
    <w:name w:val="header"/>
    <w:basedOn w:val="a"/>
    <w:link w:val="af7"/>
    <w:qFormat/>
    <w:pPr>
      <w:pBdr>
        <w:bottom w:val="single" w:sz="6" w:space="1" w:color="auto"/>
      </w:pBdr>
      <w:tabs>
        <w:tab w:val="center" w:pos="4153"/>
        <w:tab w:val="right" w:pos="8306"/>
      </w:tabs>
      <w:snapToGrid w:val="0"/>
      <w:jc w:val="center"/>
    </w:pPr>
    <w:rPr>
      <w:sz w:val="18"/>
      <w:szCs w:val="18"/>
    </w:rPr>
  </w:style>
  <w:style w:type="paragraph" w:styleId="TOC1">
    <w:name w:val="toc 1"/>
    <w:basedOn w:val="a"/>
    <w:next w:val="a"/>
    <w:uiPriority w:val="39"/>
    <w:qFormat/>
    <w:pPr>
      <w:tabs>
        <w:tab w:val="right" w:leader="dot" w:pos="8302"/>
      </w:tabs>
      <w:adjustRightInd w:val="0"/>
      <w:snapToGrid w:val="0"/>
    </w:pPr>
    <w:rPr>
      <w:sz w:val="28"/>
    </w:rPr>
  </w:style>
  <w:style w:type="paragraph" w:styleId="TOC4">
    <w:name w:val="toc 4"/>
    <w:basedOn w:val="a"/>
    <w:next w:val="a"/>
    <w:qFormat/>
    <w:pPr>
      <w:ind w:left="630"/>
      <w:jc w:val="left"/>
    </w:pPr>
    <w:rPr>
      <w:sz w:val="18"/>
      <w:szCs w:val="18"/>
    </w:rPr>
  </w:style>
  <w:style w:type="paragraph" w:styleId="TOC6">
    <w:name w:val="toc 6"/>
    <w:basedOn w:val="a"/>
    <w:next w:val="a"/>
    <w:qFormat/>
    <w:pPr>
      <w:ind w:leftChars="1000" w:left="2100"/>
    </w:pPr>
    <w:rPr>
      <w:rFonts w:ascii="宋体"/>
    </w:rPr>
  </w:style>
  <w:style w:type="paragraph" w:styleId="33">
    <w:name w:val="Body Text Indent 3"/>
    <w:basedOn w:val="a"/>
    <w:qFormat/>
    <w:pPr>
      <w:spacing w:after="120"/>
      <w:ind w:leftChars="200" w:left="420"/>
    </w:pPr>
    <w:rPr>
      <w:sz w:val="16"/>
      <w:szCs w:val="16"/>
    </w:rPr>
  </w:style>
  <w:style w:type="paragraph" w:styleId="70">
    <w:name w:val="index 7"/>
    <w:basedOn w:val="a"/>
    <w:next w:val="a"/>
    <w:qFormat/>
    <w:pPr>
      <w:ind w:leftChars="1200" w:left="1200"/>
    </w:pPr>
    <w:rPr>
      <w:szCs w:val="20"/>
    </w:rPr>
  </w:style>
  <w:style w:type="paragraph" w:styleId="91">
    <w:name w:val="index 9"/>
    <w:basedOn w:val="a"/>
    <w:next w:val="a"/>
    <w:qFormat/>
    <w:pPr>
      <w:ind w:leftChars="1600" w:left="1600"/>
    </w:pPr>
    <w:rPr>
      <w:szCs w:val="20"/>
    </w:rPr>
  </w:style>
  <w:style w:type="paragraph" w:styleId="TOC2">
    <w:name w:val="toc 2"/>
    <w:basedOn w:val="a"/>
    <w:next w:val="a"/>
    <w:uiPriority w:val="39"/>
    <w:qFormat/>
    <w:pPr>
      <w:tabs>
        <w:tab w:val="right" w:leader="dot" w:pos="8296"/>
      </w:tabs>
      <w:adjustRightInd w:val="0"/>
      <w:snapToGrid w:val="0"/>
      <w:spacing w:line="300" w:lineRule="auto"/>
      <w:ind w:leftChars="200" w:left="200"/>
    </w:pPr>
    <w:rPr>
      <w:bCs/>
      <w:sz w:val="24"/>
      <w:szCs w:val="28"/>
    </w:rPr>
  </w:style>
  <w:style w:type="paragraph" w:styleId="TOC9">
    <w:name w:val="toc 9"/>
    <w:basedOn w:val="a"/>
    <w:next w:val="a"/>
    <w:qFormat/>
    <w:pPr>
      <w:ind w:left="1680"/>
      <w:jc w:val="left"/>
    </w:pPr>
    <w:rPr>
      <w:sz w:val="18"/>
      <w:szCs w:val="18"/>
    </w:rPr>
  </w:style>
  <w:style w:type="paragraph" w:styleId="23">
    <w:name w:val="Body Text 2"/>
    <w:basedOn w:val="a"/>
    <w:qFormat/>
    <w:rPr>
      <w:rFonts w:ascii="宋体" w:hAnsi="宋体"/>
      <w:sz w:val="24"/>
      <w:szCs w:val="21"/>
    </w:rPr>
  </w:style>
  <w:style w:type="paragraph" w:styleId="af8">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12">
    <w:name w:val="index 1"/>
    <w:basedOn w:val="a"/>
    <w:next w:val="a"/>
    <w:semiHidden/>
    <w:qFormat/>
    <w:pPr>
      <w:spacing w:line="360" w:lineRule="exact"/>
    </w:pPr>
    <w:rPr>
      <w:szCs w:val="20"/>
    </w:rPr>
  </w:style>
  <w:style w:type="paragraph" w:styleId="24">
    <w:name w:val="index 2"/>
    <w:basedOn w:val="a"/>
    <w:next w:val="a"/>
    <w:qFormat/>
    <w:pPr>
      <w:ind w:leftChars="200" w:left="200"/>
    </w:pPr>
    <w:rPr>
      <w:szCs w:val="20"/>
    </w:rPr>
  </w:style>
  <w:style w:type="paragraph" w:styleId="af9">
    <w:name w:val="Title"/>
    <w:basedOn w:val="a"/>
    <w:next w:val="a"/>
    <w:qFormat/>
    <w:pPr>
      <w:spacing w:line="360" w:lineRule="auto"/>
      <w:jc w:val="center"/>
      <w:outlineLvl w:val="0"/>
    </w:pPr>
    <w:rPr>
      <w:rFonts w:ascii="宋体" w:hAnsi="Arial" w:cs="Arial"/>
      <w:b/>
      <w:bCs/>
      <w:sz w:val="32"/>
      <w:szCs w:val="18"/>
    </w:rPr>
  </w:style>
  <w:style w:type="paragraph" w:styleId="afa">
    <w:name w:val="annotation subject"/>
    <w:basedOn w:val="a9"/>
    <w:next w:val="a9"/>
    <w:link w:val="afb"/>
    <w:qFormat/>
    <w:rPr>
      <w:b/>
      <w:bCs/>
    </w:rPr>
  </w:style>
  <w:style w:type="paragraph" w:styleId="afc">
    <w:name w:val="Body Text First Indent"/>
    <w:basedOn w:val="ac"/>
    <w:qFormat/>
    <w:pPr>
      <w:spacing w:line="440" w:lineRule="atLeast"/>
      <w:ind w:firstLine="493"/>
    </w:pPr>
    <w:rPr>
      <w:spacing w:val="6"/>
      <w:w w:val="92"/>
      <w:kern w:val="24"/>
      <w:sz w:val="26"/>
      <w:szCs w:val="20"/>
    </w:rPr>
  </w:style>
  <w:style w:type="table" w:styleId="afd">
    <w:name w:val="Table Grid"/>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e">
    <w:name w:val="Strong"/>
    <w:basedOn w:val="a0"/>
    <w:qFormat/>
    <w:rPr>
      <w:b/>
      <w:bCs/>
    </w:rPr>
  </w:style>
  <w:style w:type="character" w:styleId="aff">
    <w:name w:val="page number"/>
    <w:basedOn w:val="a0"/>
    <w:qFormat/>
  </w:style>
  <w:style w:type="character" w:styleId="aff0">
    <w:name w:val="FollowedHyperlink"/>
    <w:uiPriority w:val="99"/>
    <w:qFormat/>
    <w:rPr>
      <w:color w:val="800080"/>
      <w:u w:val="single"/>
    </w:rPr>
  </w:style>
  <w:style w:type="character" w:styleId="aff1">
    <w:name w:val="Emphasis"/>
    <w:basedOn w:val="a0"/>
    <w:uiPriority w:val="20"/>
    <w:qFormat/>
    <w:rPr>
      <w:i/>
    </w:rPr>
  </w:style>
  <w:style w:type="character" w:styleId="aff2">
    <w:name w:val="Hyperlink"/>
    <w:basedOn w:val="a0"/>
    <w:uiPriority w:val="99"/>
    <w:qFormat/>
    <w:rPr>
      <w:color w:val="0000FF"/>
      <w:u w:val="single"/>
    </w:rPr>
  </w:style>
  <w:style w:type="character" w:styleId="aff3">
    <w:name w:val="annotation reference"/>
    <w:qFormat/>
    <w:rPr>
      <w:sz w:val="21"/>
      <w:szCs w:val="21"/>
    </w:rPr>
  </w:style>
  <w:style w:type="paragraph" w:customStyle="1" w:styleId="aff4">
    <w:name w:val="正文样式"/>
    <w:basedOn w:val="a"/>
    <w:qFormat/>
    <w:pPr>
      <w:adjustRightInd w:val="0"/>
      <w:snapToGrid w:val="0"/>
      <w:spacing w:line="520" w:lineRule="exact"/>
      <w:ind w:firstLine="562"/>
    </w:pPr>
    <w:rPr>
      <w:color w:val="000000"/>
      <w:sz w:val="28"/>
      <w:szCs w:val="28"/>
    </w:rPr>
  </w:style>
  <w:style w:type="paragraph" w:customStyle="1" w:styleId="13">
    <w:name w:val="标题1"/>
    <w:basedOn w:val="10"/>
    <w:qFormat/>
    <w:pPr>
      <w:keepLines/>
      <w:snapToGrid w:val="0"/>
      <w:spacing w:beforeLines="50" w:afterLines="50" w:line="360" w:lineRule="auto"/>
      <w:jc w:val="left"/>
    </w:pPr>
    <w:rPr>
      <w:rFonts w:eastAsia="黑体" w:cs="宋体"/>
      <w:b/>
      <w:kern w:val="44"/>
      <w:sz w:val="32"/>
    </w:rPr>
  </w:style>
  <w:style w:type="paragraph" w:customStyle="1" w:styleId="Default">
    <w:name w:val="Default"/>
    <w:qFormat/>
    <w:pPr>
      <w:widowControl w:val="0"/>
      <w:autoSpaceDE w:val="0"/>
      <w:autoSpaceDN w:val="0"/>
      <w:adjustRightInd w:val="0"/>
    </w:pPr>
    <w:rPr>
      <w:rFonts w:ascii="黑体" w:eastAsia="黑体" w:hAnsi="Calibri" w:cs="黑体"/>
      <w:color w:val="000000"/>
      <w:sz w:val="24"/>
      <w:szCs w:val="24"/>
    </w:rPr>
  </w:style>
  <w:style w:type="paragraph" w:customStyle="1" w:styleId="2SLCON22">
    <w:name w:val="样式 正文 首行缩进:  2 字符 SL CON + 首行缩进:  2 字符 + 首行缩进:  2 字符 + 首行缩..."/>
    <w:basedOn w:val="2SLCON220"/>
    <w:qFormat/>
    <w:pPr>
      <w:ind w:firstLine="560"/>
    </w:pPr>
  </w:style>
  <w:style w:type="paragraph" w:customStyle="1" w:styleId="2SLCON220">
    <w:name w:val="样式 样式 正文 首行缩进:  2 字符 SL CON + 首行缩进:  2 字符 + 首行缩进:  2 字符"/>
    <w:basedOn w:val="2SLCON2"/>
    <w:qFormat/>
  </w:style>
  <w:style w:type="paragraph" w:customStyle="1" w:styleId="2SLCON2">
    <w:name w:val="样式 正文 首行缩进:  2 字符 SL CON + 首行缩进:  2 字符"/>
    <w:basedOn w:val="2SLCON"/>
    <w:qFormat/>
    <w:rPr>
      <w:szCs w:val="20"/>
    </w:rPr>
  </w:style>
  <w:style w:type="paragraph" w:customStyle="1" w:styleId="2SLCON">
    <w:name w:val="正文 首行缩进:  2 字符 SL CON"/>
    <w:basedOn w:val="a"/>
    <w:qFormat/>
    <w:pPr>
      <w:widowControl/>
      <w:tabs>
        <w:tab w:val="left" w:pos="377"/>
      </w:tabs>
      <w:spacing w:line="360" w:lineRule="auto"/>
      <w:ind w:firstLineChars="200" w:firstLine="200"/>
    </w:pPr>
    <w:rPr>
      <w:rFonts w:ascii="宋体" w:cs="宋体"/>
      <w:kern w:val="0"/>
      <w:sz w:val="28"/>
    </w:rPr>
  </w:style>
  <w:style w:type="paragraph" w:customStyle="1" w:styleId="NormalIndent1">
    <w:name w:val="Normal Indent1"/>
    <w:basedOn w:val="a"/>
    <w:qFormat/>
    <w:pPr>
      <w:ind w:firstLineChars="200" w:firstLine="420"/>
    </w:pPr>
  </w:style>
  <w:style w:type="paragraph" w:customStyle="1" w:styleId="li">
    <w:name w:val="li_正文"/>
    <w:basedOn w:val="a"/>
    <w:qFormat/>
    <w:pPr>
      <w:tabs>
        <w:tab w:val="left" w:pos="2574"/>
      </w:tabs>
      <w:overflowPunct w:val="0"/>
      <w:topLinePunct/>
      <w:ind w:firstLineChars="200" w:firstLine="480"/>
      <w:jc w:val="left"/>
    </w:pPr>
    <w:rPr>
      <w:sz w:val="28"/>
      <w:szCs w:val="28"/>
    </w:rPr>
  </w:style>
  <w:style w:type="character" w:customStyle="1" w:styleId="30">
    <w:name w:val="标题 3 字符"/>
    <w:link w:val="3"/>
    <w:qFormat/>
    <w:rPr>
      <w:b/>
      <w:bCs/>
      <w:kern w:val="2"/>
      <w:sz w:val="32"/>
      <w:szCs w:val="32"/>
    </w:rPr>
  </w:style>
  <w:style w:type="character" w:customStyle="1" w:styleId="21">
    <w:name w:val="标题 2 字符"/>
    <w:link w:val="20"/>
    <w:qFormat/>
    <w:rPr>
      <w:rFonts w:ascii="Arial" w:eastAsia="黑体" w:hAnsi="Arial"/>
      <w:b/>
      <w:kern w:val="2"/>
      <w:sz w:val="32"/>
      <w:lang w:val="en-US" w:eastAsia="zh-CN" w:bidi="ar-SA"/>
    </w:rPr>
  </w:style>
  <w:style w:type="paragraph" w:customStyle="1" w:styleId="Char">
    <w:name w:val="Char"/>
    <w:basedOn w:val="a"/>
    <w:link w:val="CharChar1"/>
    <w:qFormat/>
    <w:pPr>
      <w:spacing w:line="360" w:lineRule="auto"/>
    </w:pPr>
    <w:rPr>
      <w:sz w:val="24"/>
    </w:rPr>
  </w:style>
  <w:style w:type="paragraph" w:customStyle="1" w:styleId="InTable">
    <w:name w:val="In Table"/>
    <w:basedOn w:val="a"/>
    <w:qFormat/>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aff5">
    <w:name w:val="表格内"/>
    <w:basedOn w:val="a"/>
    <w:qFormat/>
    <w:pPr>
      <w:adjustRightInd w:val="0"/>
      <w:spacing w:line="240" w:lineRule="atLeast"/>
      <w:jc w:val="center"/>
      <w:textAlignment w:val="baseline"/>
    </w:pPr>
    <w:rPr>
      <w:rFonts w:ascii="宋体"/>
      <w:kern w:val="0"/>
      <w:sz w:val="28"/>
      <w:szCs w:val="20"/>
    </w:rPr>
  </w:style>
  <w:style w:type="paragraph" w:customStyle="1" w:styleId="14">
    <w:name w:val="样式1"/>
    <w:basedOn w:val="ac"/>
    <w:qFormat/>
    <w:pPr>
      <w:tabs>
        <w:tab w:val="left" w:pos="567"/>
      </w:tabs>
      <w:spacing w:line="360" w:lineRule="auto"/>
      <w:jc w:val="center"/>
    </w:pPr>
    <w:rPr>
      <w:sz w:val="24"/>
      <w:szCs w:val="20"/>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24"/>
    </w:rPr>
  </w:style>
  <w:style w:type="paragraph" w:customStyle="1" w:styleId="15">
    <w:name w:val="表格1"/>
    <w:basedOn w:val="a"/>
    <w:qFormat/>
    <w:pPr>
      <w:adjustRightInd w:val="0"/>
      <w:jc w:val="center"/>
      <w:textAlignment w:val="baseline"/>
    </w:pPr>
    <w:rPr>
      <w:rFonts w:ascii="宋体"/>
      <w:kern w:val="0"/>
      <w:sz w:val="24"/>
      <w:szCs w:val="20"/>
    </w:rPr>
  </w:style>
  <w:style w:type="paragraph" w:customStyle="1" w:styleId="25">
    <w:name w:val="表格2"/>
    <w:basedOn w:val="a"/>
    <w:qFormat/>
    <w:pPr>
      <w:adjustRightInd w:val="0"/>
      <w:jc w:val="center"/>
      <w:textAlignment w:val="baseline"/>
    </w:pPr>
    <w:rPr>
      <w:rFonts w:ascii="宋体"/>
      <w:kern w:val="0"/>
      <w:szCs w:val="20"/>
    </w:rPr>
  </w:style>
  <w:style w:type="paragraph" w:customStyle="1" w:styleId="xl23">
    <w:name w:val="xl23"/>
    <w:basedOn w:val="a"/>
    <w:qFormat/>
    <w:pPr>
      <w:widowControl/>
      <w:spacing w:before="100" w:after="100"/>
      <w:jc w:val="center"/>
    </w:pPr>
    <w:rPr>
      <w:rFonts w:ascii="宋体" w:hAnsi="宋体"/>
      <w:kern w:val="0"/>
      <w:sz w:val="24"/>
      <w:szCs w:val="20"/>
    </w:rPr>
  </w:style>
  <w:style w:type="paragraph" w:customStyle="1" w:styleId="aff6">
    <w:name w:val="表内文字"/>
    <w:basedOn w:val="a"/>
    <w:qFormat/>
    <w:pPr>
      <w:widowControl/>
      <w:adjustRightInd w:val="0"/>
      <w:snapToGrid w:val="0"/>
      <w:jc w:val="center"/>
    </w:pPr>
    <w:rPr>
      <w:kern w:val="0"/>
      <w:sz w:val="24"/>
      <w:szCs w:val="20"/>
    </w:rPr>
  </w:style>
  <w:style w:type="paragraph" w:customStyle="1" w:styleId="BIGBOLD">
    <w:name w:val="BIG BOLD"/>
    <w:basedOn w:val="a"/>
    <w:qFormat/>
    <w:pPr>
      <w:tabs>
        <w:tab w:val="left" w:leader="underscore" w:pos="1134"/>
      </w:tabs>
    </w:pPr>
    <w:rPr>
      <w:szCs w:val="20"/>
    </w:rPr>
  </w:style>
  <w:style w:type="paragraph" w:customStyle="1" w:styleId="52">
    <w:name w:val="表内5"/>
    <w:basedOn w:val="a4"/>
    <w:link w:val="5Char"/>
    <w:qFormat/>
    <w:pPr>
      <w:adjustRightInd w:val="0"/>
      <w:snapToGrid w:val="0"/>
      <w:ind w:firstLineChars="0" w:firstLine="0"/>
      <w:jc w:val="center"/>
    </w:pPr>
    <w:rPr>
      <w:rFonts w:ascii="宋体" w:hAnsi="宋体"/>
      <w:kern w:val="0"/>
      <w:szCs w:val="21"/>
    </w:rPr>
  </w:style>
  <w:style w:type="paragraph" w:customStyle="1" w:styleId="aff7">
    <w:name w:val="燕山正文"/>
    <w:basedOn w:val="a"/>
    <w:link w:val="Char0"/>
    <w:qFormat/>
    <w:pPr>
      <w:tabs>
        <w:tab w:val="left" w:pos="4680"/>
      </w:tabs>
      <w:adjustRightInd w:val="0"/>
      <w:snapToGrid w:val="0"/>
      <w:spacing w:line="360" w:lineRule="auto"/>
      <w:ind w:firstLineChars="200" w:firstLine="560"/>
    </w:pPr>
    <w:rPr>
      <w:rFonts w:ascii="宋体" w:hAnsi="宋体"/>
      <w:color w:val="000000"/>
      <w:sz w:val="28"/>
      <w:szCs w:val="28"/>
    </w:rPr>
  </w:style>
  <w:style w:type="paragraph" w:customStyle="1" w:styleId="aff8">
    <w:name w:val="安评节"/>
    <w:basedOn w:val="20"/>
    <w:qFormat/>
    <w:pPr>
      <w:tabs>
        <w:tab w:val="left" w:pos="567"/>
      </w:tabs>
      <w:overflowPunct w:val="0"/>
      <w:autoSpaceDE w:val="0"/>
      <w:autoSpaceDN w:val="0"/>
      <w:adjustRightInd w:val="0"/>
      <w:spacing w:before="120" w:after="120" w:line="360" w:lineRule="auto"/>
      <w:ind w:firstLineChars="200" w:firstLine="200"/>
      <w:jc w:val="center"/>
      <w:textAlignment w:val="baseline"/>
    </w:pPr>
    <w:rPr>
      <w:rFonts w:ascii="黑体" w:eastAsia="楷体_GB2312" w:hAnsi="宋体"/>
      <w:kern w:val="16"/>
      <w:szCs w:val="32"/>
    </w:rPr>
  </w:style>
  <w:style w:type="paragraph" w:customStyle="1" w:styleId="aff9">
    <w:name w:val="安评章"/>
    <w:basedOn w:val="10"/>
    <w:qFormat/>
    <w:pPr>
      <w:keepLines/>
      <w:tabs>
        <w:tab w:val="left" w:pos="567"/>
      </w:tabs>
      <w:overflowPunct w:val="0"/>
      <w:autoSpaceDE w:val="0"/>
      <w:autoSpaceDN w:val="0"/>
      <w:adjustRightInd w:val="0"/>
      <w:spacing w:before="100" w:after="100" w:line="360" w:lineRule="auto"/>
      <w:ind w:firstLineChars="200" w:firstLine="562"/>
      <w:textAlignment w:val="baseline"/>
    </w:pPr>
    <w:rPr>
      <w:rFonts w:ascii="宋体" w:eastAsia="黑体" w:hAnsi="宋体"/>
      <w:b/>
      <w:spacing w:val="20"/>
      <w:kern w:val="16"/>
      <w:sz w:val="32"/>
    </w:rPr>
  </w:style>
  <w:style w:type="paragraph" w:customStyle="1" w:styleId="affa">
    <w:name w:val="节下项目标题"/>
    <w:basedOn w:val="a"/>
    <w:next w:val="a"/>
    <w:link w:val="Char1"/>
    <w:qFormat/>
    <w:pPr>
      <w:spacing w:line="360" w:lineRule="auto"/>
      <w:ind w:firstLineChars="200" w:firstLine="200"/>
      <w:jc w:val="left"/>
    </w:pPr>
    <w:rPr>
      <w:rFonts w:ascii="宋体" w:eastAsia="黑体" w:hAnsi="宋体"/>
      <w:b/>
      <w:sz w:val="28"/>
    </w:rPr>
  </w:style>
  <w:style w:type="paragraph" w:customStyle="1" w:styleId="affb">
    <w:name w:val="表内序号"/>
    <w:basedOn w:val="a"/>
    <w:qFormat/>
    <w:pPr>
      <w:adjustRightInd w:val="0"/>
      <w:snapToGrid w:val="0"/>
      <w:spacing w:before="20" w:after="20"/>
      <w:jc w:val="center"/>
    </w:pPr>
    <w:rPr>
      <w:szCs w:val="20"/>
    </w:rPr>
  </w:style>
  <w:style w:type="paragraph" w:customStyle="1" w:styleId="affc">
    <w:name w:val="表格标题"/>
    <w:basedOn w:val="a"/>
    <w:link w:val="Char2"/>
    <w:qFormat/>
    <w:pPr>
      <w:spacing w:line="360" w:lineRule="auto"/>
      <w:ind w:firstLineChars="200" w:firstLine="200"/>
      <w:jc w:val="center"/>
    </w:pPr>
    <w:rPr>
      <w:rFonts w:ascii="宋体" w:hAnsi="宋体"/>
      <w:spacing w:val="20"/>
      <w:sz w:val="24"/>
      <w:szCs w:val="20"/>
    </w:rPr>
  </w:style>
  <w:style w:type="paragraph" w:customStyle="1" w:styleId="CharCharCharCharCharChar1Char">
    <w:name w:val="Char Char Char Char Char Char1 Char"/>
    <w:basedOn w:val="a"/>
    <w:qFormat/>
    <w:pPr>
      <w:widowControl/>
      <w:spacing w:after="160" w:line="240" w:lineRule="exact"/>
      <w:jc w:val="left"/>
    </w:pPr>
    <w:rPr>
      <w:rFonts w:ascii="Arial" w:eastAsia="Times New Roman" w:hAnsi="Arial" w:cs="Verdana"/>
      <w:b/>
      <w:kern w:val="0"/>
      <w:sz w:val="24"/>
      <w:szCs w:val="20"/>
      <w:lang w:eastAsia="en-US"/>
    </w:rPr>
  </w:style>
  <w:style w:type="paragraph" w:customStyle="1" w:styleId="16">
    <w:name w:val="1"/>
    <w:basedOn w:val="a"/>
    <w:next w:val="af"/>
    <w:qFormat/>
    <w:rPr>
      <w:rFonts w:ascii="宋体" w:hAnsi="Courier New"/>
      <w:szCs w:val="21"/>
    </w:rPr>
  </w:style>
  <w:style w:type="paragraph" w:customStyle="1" w:styleId="0992324">
    <w:name w:val="样式 样式 首行缩进:  0.99 厘米 行距: 最小值 23 磅 + 行距: 最小值 24 磅"/>
    <w:basedOn w:val="a"/>
    <w:qFormat/>
    <w:pPr>
      <w:snapToGrid w:val="0"/>
      <w:spacing w:line="520" w:lineRule="atLeast"/>
      <w:ind w:firstLine="680"/>
    </w:pPr>
    <w:rPr>
      <w:spacing w:val="12"/>
      <w:kern w:val="24"/>
      <w:sz w:val="28"/>
      <w:szCs w:val="28"/>
    </w:rPr>
  </w:style>
  <w:style w:type="paragraph" w:customStyle="1" w:styleId="xl32">
    <w:name w:val="xl32"/>
    <w:basedOn w:val="a"/>
    <w:qFormat/>
    <w:pPr>
      <w:widowControl/>
      <w:pBdr>
        <w:left w:val="single" w:sz="4" w:space="0" w:color="auto"/>
      </w:pBdr>
      <w:tabs>
        <w:tab w:val="left" w:pos="720"/>
      </w:tabs>
      <w:adjustRightInd w:val="0"/>
      <w:snapToGrid w:val="0"/>
      <w:spacing w:before="100" w:after="100" w:line="360" w:lineRule="atLeast"/>
      <w:jc w:val="center"/>
      <w:textAlignment w:val="center"/>
    </w:pPr>
    <w:rPr>
      <w:rFonts w:ascii="Arial" w:eastAsia="Arial Unicode MS" w:hAnsi="Arial"/>
      <w:kern w:val="0"/>
      <w:sz w:val="24"/>
      <w:szCs w:val="20"/>
    </w:rPr>
  </w:style>
  <w:style w:type="paragraph" w:customStyle="1" w:styleId="affd">
    <w:name w:val="表格"/>
    <w:basedOn w:val="a"/>
    <w:qFormat/>
    <w:pPr>
      <w:widowControl/>
      <w:jc w:val="center"/>
    </w:pPr>
    <w:rPr>
      <w:rFonts w:ascii="宋体" w:hAnsi="宋体"/>
      <w:snapToGrid w:val="0"/>
      <w:kern w:val="0"/>
      <w:sz w:val="24"/>
      <w:szCs w:val="21"/>
    </w:rPr>
  </w:style>
  <w:style w:type="paragraph" w:customStyle="1" w:styleId="34">
    <w:name w:val="样式3"/>
    <w:basedOn w:val="a"/>
    <w:qFormat/>
    <w:pPr>
      <w:adjustRightInd w:val="0"/>
      <w:spacing w:before="240" w:line="460" w:lineRule="exact"/>
      <w:jc w:val="left"/>
      <w:textAlignment w:val="baseline"/>
    </w:pPr>
    <w:rPr>
      <w:rFonts w:ascii="黑体" w:eastAsia="黑体"/>
      <w:kern w:val="0"/>
      <w:sz w:val="28"/>
      <w:szCs w:val="20"/>
    </w:rPr>
  </w:style>
  <w:style w:type="paragraph" w:customStyle="1" w:styleId="p1">
    <w:name w:val="p1"/>
    <w:basedOn w:val="a"/>
    <w:qFormat/>
    <w:pPr>
      <w:widowControl/>
      <w:spacing w:before="100" w:beforeAutospacing="1" w:after="100" w:afterAutospacing="1" w:line="280" w:lineRule="atLeast"/>
      <w:jc w:val="left"/>
    </w:pPr>
    <w:rPr>
      <w:rFonts w:ascii="宋体" w:hAnsi="宋体"/>
      <w:color w:val="000000"/>
      <w:kern w:val="0"/>
      <w:sz w:val="18"/>
      <w:szCs w:val="18"/>
    </w:rPr>
  </w:style>
  <w:style w:type="paragraph" w:customStyle="1" w:styleId="affe">
    <w:name w:val="标三"/>
    <w:basedOn w:val="3"/>
    <w:qFormat/>
    <w:pPr>
      <w:spacing w:before="0" w:after="0" w:line="240" w:lineRule="auto"/>
      <w:jc w:val="center"/>
    </w:pPr>
    <w:rPr>
      <w:b w:val="0"/>
      <w:sz w:val="24"/>
      <w:szCs w:val="24"/>
    </w:rPr>
  </w:style>
  <w:style w:type="paragraph" w:customStyle="1" w:styleId="ParaCharCharCharCharCharCharChar">
    <w:name w:val="默认段落字体 Para Char Char Char Char Char Char Char"/>
    <w:basedOn w:val="a"/>
    <w:qFormat/>
    <w:pPr>
      <w:spacing w:line="360" w:lineRule="auto"/>
    </w:pPr>
    <w:rPr>
      <w:sz w:val="24"/>
    </w:rPr>
  </w:style>
  <w:style w:type="paragraph" w:customStyle="1" w:styleId="CharCharCharCharCharCharChar">
    <w:name w:val="Char Char Char Char Char Char Char"/>
    <w:basedOn w:val="a"/>
    <w:qFormat/>
  </w:style>
  <w:style w:type="paragraph" w:customStyle="1" w:styleId="2SLCON20">
    <w:name w:val="样式 正文 首行缩进:  2 字符 SL CON + (符号) 宋体 首行缩进:  2 字符"/>
    <w:basedOn w:val="a"/>
    <w:qFormat/>
    <w:pPr>
      <w:widowControl/>
      <w:tabs>
        <w:tab w:val="left" w:pos="377"/>
      </w:tabs>
      <w:spacing w:line="360" w:lineRule="auto"/>
      <w:ind w:firstLineChars="200" w:firstLine="200"/>
    </w:pPr>
    <w:rPr>
      <w:rFonts w:ascii="宋体" w:hAnsi="宋体" w:cs="宋体"/>
      <w:kern w:val="0"/>
      <w:sz w:val="28"/>
      <w:szCs w:val="20"/>
    </w:rPr>
  </w:style>
  <w:style w:type="paragraph" w:customStyle="1" w:styleId="SLCON">
    <w:name w:val="主标题 样式 小一 加粗 居中(SL CON)"/>
    <w:basedOn w:val="a"/>
    <w:qFormat/>
    <w:pPr>
      <w:widowControl/>
      <w:tabs>
        <w:tab w:val="left" w:pos="377"/>
      </w:tabs>
      <w:spacing w:line="360" w:lineRule="auto"/>
      <w:jc w:val="center"/>
    </w:pPr>
    <w:rPr>
      <w:rFonts w:ascii="宋体" w:cs="宋体"/>
      <w:b/>
      <w:bCs/>
      <w:kern w:val="0"/>
      <w:sz w:val="48"/>
      <w:szCs w:val="20"/>
    </w:rPr>
  </w:style>
  <w:style w:type="paragraph" w:customStyle="1" w:styleId="SLCON0">
    <w:name w:val="报告的名称 样式 宋体 小初号 加粗 居中(SL CON)"/>
    <w:basedOn w:val="a"/>
    <w:qFormat/>
    <w:pPr>
      <w:widowControl/>
      <w:tabs>
        <w:tab w:val="left" w:pos="377"/>
      </w:tabs>
      <w:spacing w:line="360" w:lineRule="auto"/>
      <w:jc w:val="center"/>
    </w:pPr>
    <w:rPr>
      <w:rFonts w:ascii="宋体" w:eastAsia="黑体" w:hAnsi="宋体" w:cs="宋体"/>
      <w:b/>
      <w:bCs/>
      <w:kern w:val="0"/>
      <w:sz w:val="72"/>
      <w:szCs w:val="20"/>
    </w:rPr>
  </w:style>
  <w:style w:type="paragraph" w:customStyle="1" w:styleId="15SLCON">
    <w:name w:val="日期时间 样式 四号 居中 行距: 1.5 倍行距(SL CON)"/>
    <w:basedOn w:val="a"/>
    <w:qFormat/>
    <w:pPr>
      <w:widowControl/>
      <w:tabs>
        <w:tab w:val="left" w:pos="377"/>
      </w:tabs>
      <w:spacing w:line="360" w:lineRule="auto"/>
      <w:jc w:val="center"/>
    </w:pPr>
    <w:rPr>
      <w:rFonts w:ascii="宋体" w:cs="宋体"/>
      <w:kern w:val="0"/>
      <w:sz w:val="28"/>
      <w:szCs w:val="28"/>
    </w:rPr>
  </w:style>
  <w:style w:type="paragraph" w:customStyle="1" w:styleId="1715">
    <w:name w:val="样式 首行缩进:  1.7 厘米 行距: 1.5 倍行距"/>
    <w:basedOn w:val="a"/>
    <w:qFormat/>
    <w:pPr>
      <w:widowControl/>
      <w:tabs>
        <w:tab w:val="left" w:pos="377"/>
      </w:tabs>
      <w:spacing w:line="360" w:lineRule="auto"/>
      <w:ind w:firstLine="963"/>
    </w:pPr>
    <w:rPr>
      <w:rFonts w:ascii="宋体" w:cs="宋体"/>
      <w:kern w:val="0"/>
      <w:sz w:val="32"/>
      <w:szCs w:val="20"/>
    </w:rPr>
  </w:style>
  <w:style w:type="paragraph" w:customStyle="1" w:styleId="SLCON-">
    <w:name w:val="SL CON-项目编号"/>
    <w:basedOn w:val="a"/>
    <w:qFormat/>
    <w:pPr>
      <w:adjustRightInd w:val="0"/>
      <w:spacing w:line="360" w:lineRule="auto"/>
      <w:jc w:val="center"/>
      <w:textAlignment w:val="baseline"/>
    </w:pPr>
    <w:rPr>
      <w:rFonts w:ascii="宋体" w:cs="宋体"/>
      <w:kern w:val="0"/>
      <w:sz w:val="34"/>
      <w:szCs w:val="20"/>
    </w:rPr>
  </w:style>
  <w:style w:type="paragraph" w:customStyle="1" w:styleId="2SLCON0">
    <w:name w:val="标题 2 SL CON"/>
    <w:basedOn w:val="a"/>
    <w:next w:val="a"/>
    <w:qFormat/>
    <w:pPr>
      <w:widowControl/>
      <w:tabs>
        <w:tab w:val="left" w:pos="377"/>
        <w:tab w:val="left" w:pos="794"/>
      </w:tabs>
      <w:spacing w:before="100" w:beforeAutospacing="1" w:line="360" w:lineRule="auto"/>
      <w:ind w:left="794" w:hanging="681"/>
      <w:outlineLvl w:val="1"/>
    </w:pPr>
    <w:rPr>
      <w:rFonts w:ascii="黑体" w:eastAsia="黑体" w:cs="宋体"/>
      <w:kern w:val="0"/>
      <w:sz w:val="30"/>
    </w:rPr>
  </w:style>
  <w:style w:type="paragraph" w:customStyle="1" w:styleId="SLCON1">
    <w:name w:val="图样式 居中 SL CON"/>
    <w:basedOn w:val="a"/>
    <w:qFormat/>
    <w:pPr>
      <w:widowControl/>
      <w:tabs>
        <w:tab w:val="left" w:pos="377"/>
      </w:tabs>
      <w:spacing w:line="360" w:lineRule="auto"/>
      <w:jc w:val="center"/>
    </w:pPr>
    <w:rPr>
      <w:rFonts w:ascii="宋体" w:cs="宋体"/>
      <w:kern w:val="0"/>
      <w:sz w:val="24"/>
      <w:szCs w:val="20"/>
    </w:rPr>
  </w:style>
  <w:style w:type="paragraph" w:customStyle="1" w:styleId="SLCON2">
    <w:name w:val="表（或图）标题 样式 宋体 小四号 居中 SL CON"/>
    <w:basedOn w:val="a"/>
    <w:qFormat/>
    <w:pPr>
      <w:widowControl/>
      <w:tabs>
        <w:tab w:val="left" w:pos="377"/>
      </w:tabs>
      <w:spacing w:before="100" w:beforeAutospacing="1" w:line="360" w:lineRule="auto"/>
      <w:jc w:val="center"/>
    </w:pPr>
    <w:rPr>
      <w:rFonts w:ascii="宋体" w:hAnsi="宋体" w:cs="宋体"/>
      <w:b/>
      <w:kern w:val="0"/>
      <w:sz w:val="24"/>
      <w:szCs w:val="20"/>
    </w:rPr>
  </w:style>
  <w:style w:type="paragraph" w:customStyle="1" w:styleId="SLCON3">
    <w:name w:val="表内文字 样式 小四号 居中 行距: 单倍行距 SL CON"/>
    <w:basedOn w:val="a"/>
    <w:qFormat/>
    <w:pPr>
      <w:widowControl/>
      <w:tabs>
        <w:tab w:val="left" w:pos="377"/>
      </w:tabs>
      <w:jc w:val="center"/>
    </w:pPr>
    <w:rPr>
      <w:rFonts w:ascii="宋体" w:cs="宋体"/>
      <w:kern w:val="0"/>
      <w:sz w:val="24"/>
      <w:szCs w:val="21"/>
    </w:rPr>
  </w:style>
  <w:style w:type="paragraph" w:customStyle="1" w:styleId="66SLCON">
    <w:name w:val="公式书写 居中 段前: 6 磅 段后: 6 磅 SL CON"/>
    <w:basedOn w:val="a"/>
    <w:link w:val="66SLCONChar"/>
    <w:qFormat/>
    <w:pPr>
      <w:widowControl/>
      <w:tabs>
        <w:tab w:val="left" w:pos="377"/>
      </w:tabs>
      <w:spacing w:before="120" w:after="120" w:line="360" w:lineRule="auto"/>
      <w:jc w:val="center"/>
    </w:pPr>
    <w:rPr>
      <w:rFonts w:ascii="宋体" w:cs="宋体"/>
      <w:kern w:val="0"/>
      <w:sz w:val="24"/>
      <w:szCs w:val="20"/>
    </w:rPr>
  </w:style>
  <w:style w:type="paragraph" w:customStyle="1" w:styleId="66SLCON0">
    <w:name w:val="公式书写（编号） 居中 段前: 6 磅 段后: 6 磅 SL CON + (符号) 宋体"/>
    <w:basedOn w:val="66SLCON"/>
    <w:link w:val="66SLCONChar0"/>
    <w:qFormat/>
  </w:style>
  <w:style w:type="paragraph" w:customStyle="1" w:styleId="afff">
    <w:name w:val="样式 (符号) 宋体"/>
    <w:basedOn w:val="a"/>
    <w:qFormat/>
    <w:pPr>
      <w:widowControl/>
      <w:tabs>
        <w:tab w:val="left" w:pos="377"/>
      </w:tabs>
      <w:spacing w:line="360" w:lineRule="auto"/>
      <w:ind w:firstLineChars="200" w:firstLine="480"/>
    </w:pPr>
    <w:rPr>
      <w:rFonts w:ascii="宋体" w:hAnsi="宋体" w:cs="宋体"/>
      <w:kern w:val="0"/>
      <w:sz w:val="28"/>
      <w:szCs w:val="20"/>
    </w:rPr>
  </w:style>
  <w:style w:type="paragraph" w:customStyle="1" w:styleId="3SLCON05">
    <w:name w:val="样式 标题 3 SL CON + 段前: 0.5 行"/>
    <w:basedOn w:val="a"/>
    <w:qFormat/>
    <w:pPr>
      <w:keepNext/>
      <w:keepLines/>
      <w:widowControl/>
      <w:tabs>
        <w:tab w:val="left" w:pos="377"/>
        <w:tab w:val="left" w:pos="907"/>
      </w:tabs>
      <w:spacing w:before="100" w:beforeAutospacing="1" w:line="360" w:lineRule="auto"/>
      <w:ind w:left="907" w:hanging="794"/>
      <w:outlineLvl w:val="2"/>
    </w:pPr>
    <w:rPr>
      <w:rFonts w:ascii="黑体" w:eastAsia="黑体" w:cs="宋体"/>
      <w:bCs/>
      <w:kern w:val="0"/>
      <w:sz w:val="28"/>
      <w:szCs w:val="20"/>
    </w:rPr>
  </w:style>
  <w:style w:type="paragraph" w:customStyle="1" w:styleId="CharCharCharCharCharCharCharCharCharChar">
    <w:name w:val="Char Char Char Char Char Char Char Char Char Char"/>
    <w:basedOn w:val="a"/>
    <w:qFormat/>
    <w:pPr>
      <w:spacing w:line="360" w:lineRule="auto"/>
    </w:pPr>
    <w:rPr>
      <w:sz w:val="24"/>
    </w:rPr>
  </w:style>
  <w:style w:type="paragraph" w:customStyle="1" w:styleId="CharCharChar2Char">
    <w:name w:val="Char Char Char2 Char"/>
    <w:basedOn w:val="a"/>
    <w:qFormat/>
    <w:rPr>
      <w:rFonts w:ascii="Tahoma" w:hAnsi="Tahoma"/>
      <w:sz w:val="24"/>
      <w:szCs w:val="20"/>
    </w:rPr>
  </w:style>
  <w:style w:type="paragraph" w:customStyle="1" w:styleId="SLCON4">
    <w:name w:val="表内文字 SL CON + (符号)"/>
    <w:basedOn w:val="a"/>
    <w:qFormat/>
    <w:pPr>
      <w:widowControl/>
      <w:tabs>
        <w:tab w:val="left" w:pos="377"/>
      </w:tabs>
      <w:jc w:val="center"/>
    </w:pPr>
    <w:rPr>
      <w:rFonts w:ascii="宋体" w:cs="宋体"/>
      <w:kern w:val="0"/>
      <w:sz w:val="24"/>
      <w:szCs w:val="21"/>
    </w:rPr>
  </w:style>
  <w:style w:type="paragraph" w:customStyle="1" w:styleId="Char1CharCharChar">
    <w:name w:val="Char1 Char Char Char"/>
    <w:basedOn w:val="a"/>
    <w:qFormat/>
    <w:pPr>
      <w:spacing w:line="360" w:lineRule="auto"/>
    </w:pPr>
    <w:rPr>
      <w:sz w:val="24"/>
    </w:rPr>
  </w:style>
  <w:style w:type="paragraph" w:customStyle="1" w:styleId="SLCON5">
    <w:name w:val="样式 正文 首行缩进 SL CON"/>
    <w:basedOn w:val="2SLCON220"/>
    <w:qFormat/>
    <w:pPr>
      <w:ind w:firstLine="560"/>
    </w:pPr>
  </w:style>
  <w:style w:type="paragraph" w:customStyle="1" w:styleId="3SLCON">
    <w:name w:val="标题 3 SL CON"/>
    <w:basedOn w:val="a"/>
    <w:next w:val="a"/>
    <w:qFormat/>
    <w:pPr>
      <w:keepNext/>
      <w:keepLines/>
      <w:widowControl/>
      <w:tabs>
        <w:tab w:val="left" w:pos="377"/>
        <w:tab w:val="left" w:pos="960"/>
        <w:tab w:val="left" w:pos="1036"/>
      </w:tabs>
      <w:spacing w:before="100" w:beforeAutospacing="1" w:line="360" w:lineRule="auto"/>
      <w:ind w:left="1036" w:hanging="964"/>
      <w:outlineLvl w:val="2"/>
    </w:pPr>
    <w:rPr>
      <w:rFonts w:ascii="黑体" w:eastAsia="黑体" w:cs="宋体"/>
      <w:kern w:val="0"/>
      <w:sz w:val="28"/>
      <w:szCs w:val="20"/>
    </w:rPr>
  </w:style>
  <w:style w:type="paragraph" w:customStyle="1" w:styleId="CharCharCharChar">
    <w:name w:val="Char Char Char Char"/>
    <w:basedOn w:val="a"/>
    <w:semiHidden/>
    <w:qFormat/>
  </w:style>
  <w:style w:type="paragraph" w:customStyle="1" w:styleId="CharCharCharCharCharCharCharCharCharChar5">
    <w:name w:val="Char Char Char Char Char Char Char Char Char Char5"/>
    <w:basedOn w:val="a"/>
    <w:qFormat/>
    <w:pPr>
      <w:spacing w:line="360" w:lineRule="auto"/>
    </w:pPr>
    <w:rPr>
      <w:sz w:val="24"/>
    </w:rPr>
  </w:style>
  <w:style w:type="paragraph" w:customStyle="1" w:styleId="CharCharCharCharCharCharCharCharCharChar4">
    <w:name w:val="Char Char Char Char Char Char Char Char Char Char4"/>
    <w:basedOn w:val="a"/>
    <w:qFormat/>
    <w:pPr>
      <w:spacing w:line="360" w:lineRule="auto"/>
    </w:pPr>
    <w:rPr>
      <w:sz w:val="24"/>
    </w:rPr>
  </w:style>
  <w:style w:type="paragraph" w:customStyle="1" w:styleId="17">
    <w:name w:val="正文首行缩进1"/>
    <w:basedOn w:val="a"/>
    <w:qFormat/>
    <w:pPr>
      <w:spacing w:line="500" w:lineRule="exact"/>
      <w:ind w:firstLineChars="200" w:firstLine="520"/>
    </w:pPr>
    <w:rPr>
      <w:sz w:val="26"/>
    </w:rPr>
  </w:style>
  <w:style w:type="paragraph" w:customStyle="1" w:styleId="CharCharCharCharCharCharCharCharCharChar3">
    <w:name w:val="Char Char Char Char Char Char Char Char Char Char3"/>
    <w:basedOn w:val="a"/>
    <w:qFormat/>
    <w:pPr>
      <w:spacing w:line="360" w:lineRule="auto"/>
    </w:pPr>
    <w:rPr>
      <w:sz w:val="24"/>
    </w:rPr>
  </w:style>
  <w:style w:type="paragraph" w:customStyle="1" w:styleId="SLCON6">
    <w:name w:val="表（或图）标题 样式 宋体 五号 居中 SL CON"/>
    <w:basedOn w:val="a"/>
    <w:qFormat/>
    <w:pPr>
      <w:widowControl/>
      <w:tabs>
        <w:tab w:val="left" w:pos="377"/>
      </w:tabs>
      <w:spacing w:before="100" w:beforeAutospacing="1" w:line="360" w:lineRule="auto"/>
      <w:jc w:val="center"/>
    </w:pPr>
    <w:rPr>
      <w:rFonts w:ascii="宋体" w:hAnsi="宋体" w:cs="宋体"/>
      <w:b/>
      <w:kern w:val="0"/>
      <w:szCs w:val="20"/>
    </w:rPr>
  </w:style>
  <w:style w:type="paragraph" w:customStyle="1" w:styleId="CharCharCharCharCharCharCharCharCharChar2">
    <w:name w:val="Char Char Char Char Char Char Char Char Char Char2"/>
    <w:basedOn w:val="a"/>
    <w:qFormat/>
    <w:pPr>
      <w:spacing w:line="360" w:lineRule="auto"/>
    </w:pPr>
    <w:rPr>
      <w:sz w:val="24"/>
    </w:rPr>
  </w:style>
  <w:style w:type="paragraph" w:customStyle="1" w:styleId="CharCharCharCharCharCharCharCharCharChar1">
    <w:name w:val="Char Char Char Char Char Char Char Char Char Char1"/>
    <w:basedOn w:val="a"/>
    <w:qFormat/>
    <w:pPr>
      <w:spacing w:line="360" w:lineRule="auto"/>
    </w:pPr>
    <w:rPr>
      <w:sz w:val="24"/>
    </w:rPr>
  </w:style>
  <w:style w:type="paragraph" w:customStyle="1" w:styleId="18">
    <w:name w:val="列出段落1"/>
    <w:basedOn w:val="a"/>
    <w:qFormat/>
    <w:pPr>
      <w:ind w:firstLineChars="200" w:firstLine="420"/>
    </w:pPr>
  </w:style>
  <w:style w:type="paragraph" w:customStyle="1" w:styleId="26">
    <w:name w:val="样式2"/>
    <w:basedOn w:val="a"/>
    <w:qFormat/>
    <w:rPr>
      <w:rFonts w:ascii="宋体"/>
      <w:sz w:val="28"/>
      <w:szCs w:val="20"/>
    </w:rPr>
  </w:style>
  <w:style w:type="paragraph" w:customStyle="1" w:styleId="19">
    <w:name w:val="正文1"/>
    <w:basedOn w:val="a"/>
    <w:qFormat/>
    <w:pPr>
      <w:adjustRightInd w:val="0"/>
      <w:spacing w:after="120" w:line="360" w:lineRule="atLeast"/>
      <w:jc w:val="center"/>
      <w:textAlignment w:val="baseline"/>
    </w:pPr>
    <w:rPr>
      <w:kern w:val="0"/>
      <w:sz w:val="24"/>
      <w:szCs w:val="20"/>
    </w:rPr>
  </w:style>
  <w:style w:type="paragraph" w:customStyle="1" w:styleId="afff0">
    <w:name w:val="条(三级)"/>
    <w:basedOn w:val="a"/>
    <w:next w:val="a"/>
    <w:qFormat/>
    <w:pPr>
      <w:keepNext/>
      <w:keepLines/>
      <w:adjustRightInd w:val="0"/>
      <w:spacing w:line="460" w:lineRule="exact"/>
      <w:jc w:val="left"/>
      <w:textAlignment w:val="baseline"/>
    </w:pPr>
    <w:rPr>
      <w:rFonts w:hAnsi="Arial"/>
      <w:spacing w:val="3"/>
      <w:kern w:val="24"/>
      <w:sz w:val="24"/>
      <w:szCs w:val="20"/>
    </w:rPr>
  </w:style>
  <w:style w:type="paragraph" w:customStyle="1" w:styleId="Achievement">
    <w:name w:val="Achievement"/>
    <w:basedOn w:val="ac"/>
    <w:qFormat/>
    <w:pPr>
      <w:widowControl/>
      <w:numPr>
        <w:numId w:val="1"/>
      </w:numPr>
      <w:spacing w:after="60" w:line="220" w:lineRule="atLeast"/>
      <w:ind w:right="-360"/>
      <w:jc w:val="left"/>
    </w:pPr>
    <w:rPr>
      <w:kern w:val="0"/>
      <w:sz w:val="20"/>
      <w:szCs w:val="20"/>
    </w:rPr>
  </w:style>
  <w:style w:type="paragraph" w:customStyle="1" w:styleId="PersonalInfo">
    <w:name w:val="Personal Info"/>
    <w:basedOn w:val="Achievement"/>
    <w:qFormat/>
    <w:pPr>
      <w:spacing w:before="220"/>
    </w:pPr>
  </w:style>
  <w:style w:type="paragraph" w:customStyle="1" w:styleId="Address1">
    <w:name w:val="Address 1"/>
    <w:basedOn w:val="a"/>
    <w:qFormat/>
    <w:pPr>
      <w:framePr w:w="2400" w:wrap="notBeside" w:vAnchor="page" w:hAnchor="page" w:x="8065" w:y="1009" w:anchorLock="1"/>
      <w:widowControl/>
      <w:spacing w:line="200" w:lineRule="atLeast"/>
      <w:jc w:val="left"/>
    </w:pPr>
    <w:rPr>
      <w:kern w:val="0"/>
      <w:sz w:val="16"/>
      <w:szCs w:val="20"/>
    </w:rPr>
  </w:style>
  <w:style w:type="paragraph" w:customStyle="1" w:styleId="Address2">
    <w:name w:val="Address 2"/>
    <w:basedOn w:val="a"/>
    <w:qFormat/>
    <w:pPr>
      <w:framePr w:w="2405" w:wrap="notBeside" w:vAnchor="page" w:hAnchor="page" w:x="5761" w:y="1009" w:anchorLock="1"/>
      <w:widowControl/>
      <w:spacing w:line="200" w:lineRule="atLeast"/>
      <w:jc w:val="left"/>
    </w:pPr>
    <w:rPr>
      <w:kern w:val="0"/>
      <w:sz w:val="16"/>
      <w:szCs w:val="20"/>
    </w:rPr>
  </w:style>
  <w:style w:type="paragraph" w:customStyle="1" w:styleId="CityState">
    <w:name w:val="City/State"/>
    <w:basedOn w:val="ac"/>
    <w:next w:val="ac"/>
    <w:qFormat/>
    <w:pPr>
      <w:keepNext/>
      <w:widowControl/>
      <w:spacing w:after="220" w:line="220" w:lineRule="atLeast"/>
      <w:ind w:right="-360"/>
      <w:jc w:val="left"/>
    </w:pPr>
    <w:rPr>
      <w:kern w:val="0"/>
      <w:sz w:val="20"/>
      <w:szCs w:val="20"/>
    </w:rPr>
  </w:style>
  <w:style w:type="paragraph" w:customStyle="1" w:styleId="CompanyName">
    <w:name w:val="Company Name"/>
    <w:basedOn w:val="a"/>
    <w:next w:val="a"/>
    <w:qFormat/>
    <w:pPr>
      <w:widowControl/>
      <w:tabs>
        <w:tab w:val="left" w:pos="2160"/>
        <w:tab w:val="right" w:pos="6480"/>
      </w:tabs>
      <w:spacing w:before="220" w:after="40" w:line="220" w:lineRule="atLeast"/>
      <w:ind w:right="-360"/>
      <w:jc w:val="left"/>
    </w:pPr>
    <w:rPr>
      <w:kern w:val="0"/>
      <w:sz w:val="20"/>
      <w:szCs w:val="20"/>
    </w:rPr>
  </w:style>
  <w:style w:type="paragraph" w:customStyle="1" w:styleId="CompanyNameOne">
    <w:name w:val="Company Name One"/>
    <w:basedOn w:val="CompanyName"/>
    <w:next w:val="a"/>
    <w:qFormat/>
  </w:style>
  <w:style w:type="paragraph" w:customStyle="1" w:styleId="DocumentLabel">
    <w:name w:val="Document Label"/>
    <w:basedOn w:val="a"/>
    <w:next w:val="a"/>
    <w:qFormat/>
    <w:pPr>
      <w:widowControl/>
      <w:spacing w:after="220"/>
      <w:ind w:right="-360"/>
      <w:jc w:val="left"/>
    </w:pPr>
    <w:rPr>
      <w:spacing w:val="-20"/>
      <w:kern w:val="0"/>
      <w:sz w:val="48"/>
      <w:szCs w:val="20"/>
    </w:rPr>
  </w:style>
  <w:style w:type="paragraph" w:customStyle="1" w:styleId="HeaderBase">
    <w:name w:val="Header Base"/>
    <w:basedOn w:val="a"/>
    <w:qFormat/>
    <w:pPr>
      <w:widowControl/>
      <w:ind w:right="-360"/>
      <w:jc w:val="left"/>
    </w:pPr>
    <w:rPr>
      <w:kern w:val="0"/>
      <w:sz w:val="20"/>
      <w:szCs w:val="20"/>
    </w:rPr>
  </w:style>
  <w:style w:type="paragraph" w:customStyle="1" w:styleId="HeadingBase">
    <w:name w:val="Heading Base"/>
    <w:basedOn w:val="ac"/>
    <w:next w:val="ac"/>
    <w:qFormat/>
    <w:pPr>
      <w:keepNext/>
      <w:keepLines/>
      <w:widowControl/>
      <w:spacing w:after="0" w:line="220" w:lineRule="atLeast"/>
      <w:ind w:right="-360"/>
      <w:jc w:val="left"/>
    </w:pPr>
    <w:rPr>
      <w:rFonts w:ascii="Arial" w:hAnsi="Arial"/>
      <w:spacing w:val="-4"/>
      <w:kern w:val="0"/>
      <w:sz w:val="18"/>
      <w:szCs w:val="20"/>
    </w:rPr>
  </w:style>
  <w:style w:type="paragraph" w:customStyle="1" w:styleId="Institution">
    <w:name w:val="Institution"/>
    <w:basedOn w:val="a"/>
    <w:next w:val="Achievement"/>
    <w:qFormat/>
    <w:pPr>
      <w:widowControl/>
      <w:tabs>
        <w:tab w:val="left" w:pos="2160"/>
        <w:tab w:val="right" w:pos="6480"/>
      </w:tabs>
      <w:spacing w:before="220" w:after="60" w:line="220" w:lineRule="atLeast"/>
      <w:ind w:right="-360"/>
      <w:jc w:val="left"/>
    </w:pPr>
    <w:rPr>
      <w:kern w:val="0"/>
      <w:sz w:val="20"/>
      <w:szCs w:val="20"/>
    </w:rPr>
  </w:style>
  <w:style w:type="paragraph" w:customStyle="1" w:styleId="JobTitle">
    <w:name w:val="Job Title"/>
    <w:next w:val="Achievement"/>
    <w:qFormat/>
    <w:pPr>
      <w:spacing w:after="40" w:line="220" w:lineRule="atLeast"/>
    </w:pPr>
    <w:rPr>
      <w:rFonts w:ascii="Arial" w:hAnsi="Arial"/>
      <w:b/>
      <w:spacing w:val="-10"/>
    </w:rPr>
  </w:style>
  <w:style w:type="paragraph" w:customStyle="1" w:styleId="Name">
    <w:name w:val="Name"/>
    <w:basedOn w:val="a"/>
    <w:next w:val="a"/>
    <w:qFormat/>
    <w:pPr>
      <w:widowControl/>
      <w:spacing w:after="440" w:line="240" w:lineRule="atLeast"/>
      <w:ind w:left="2160"/>
      <w:jc w:val="left"/>
    </w:pPr>
    <w:rPr>
      <w:spacing w:val="-20"/>
      <w:kern w:val="0"/>
      <w:sz w:val="48"/>
      <w:szCs w:val="20"/>
    </w:rPr>
  </w:style>
  <w:style w:type="paragraph" w:customStyle="1" w:styleId="NoTitle">
    <w:name w:val="No Title"/>
    <w:basedOn w:val="a"/>
    <w:qFormat/>
    <w:pPr>
      <w:widowControl/>
      <w:pBdr>
        <w:top w:val="single" w:sz="6" w:space="2" w:color="FFFFFF"/>
        <w:left w:val="single" w:sz="6" w:space="2" w:color="FFFFFF"/>
        <w:bottom w:val="single" w:sz="6" w:space="2" w:color="FFFFFF"/>
        <w:right w:val="single" w:sz="6" w:space="2" w:color="FFFFFF"/>
      </w:pBdr>
      <w:spacing w:before="120" w:line="280" w:lineRule="atLeast"/>
      <w:jc w:val="left"/>
    </w:pPr>
    <w:rPr>
      <w:rFonts w:ascii="Arial" w:hAnsi="Arial"/>
      <w:b/>
      <w:spacing w:val="-10"/>
      <w:kern w:val="0"/>
      <w:position w:val="7"/>
      <w:sz w:val="20"/>
      <w:szCs w:val="20"/>
    </w:rPr>
  </w:style>
  <w:style w:type="paragraph" w:customStyle="1" w:styleId="Objective">
    <w:name w:val="Objective"/>
    <w:basedOn w:val="a"/>
    <w:next w:val="ac"/>
    <w:qFormat/>
    <w:pPr>
      <w:widowControl/>
      <w:spacing w:before="220" w:after="220" w:line="220" w:lineRule="atLeast"/>
      <w:jc w:val="left"/>
    </w:pPr>
    <w:rPr>
      <w:kern w:val="0"/>
      <w:sz w:val="20"/>
      <w:szCs w:val="20"/>
    </w:rPr>
  </w:style>
  <w:style w:type="paragraph" w:customStyle="1" w:styleId="SectionTitle">
    <w:name w:val="Section Title"/>
    <w:basedOn w:val="a"/>
    <w:next w:val="a"/>
    <w:qFormat/>
    <w:pPr>
      <w:widowControl/>
      <w:pBdr>
        <w:top w:val="single" w:sz="6" w:space="2" w:color="FFFFFF"/>
        <w:left w:val="single" w:sz="6" w:space="2" w:color="FFFFFF"/>
        <w:bottom w:val="single" w:sz="6" w:space="2" w:color="FFFFFF"/>
        <w:right w:val="single" w:sz="6" w:space="2" w:color="FFFFFF"/>
      </w:pBdr>
      <w:shd w:val="pct10" w:color="auto" w:fill="auto"/>
      <w:spacing w:before="120" w:line="280" w:lineRule="atLeast"/>
      <w:jc w:val="left"/>
    </w:pPr>
    <w:rPr>
      <w:rFonts w:ascii="Arial" w:hAnsi="Arial"/>
      <w:b/>
      <w:spacing w:val="-10"/>
      <w:kern w:val="0"/>
      <w:position w:val="7"/>
      <w:sz w:val="20"/>
      <w:szCs w:val="20"/>
    </w:rPr>
  </w:style>
  <w:style w:type="paragraph" w:customStyle="1" w:styleId="SectionSubtitle">
    <w:name w:val="Section Subtitle"/>
    <w:basedOn w:val="SectionTitle"/>
    <w:next w:val="a"/>
    <w:qFormat/>
    <w:pPr>
      <w:pBdr>
        <w:top w:val="none" w:sz="0" w:space="0" w:color="auto"/>
      </w:pBdr>
    </w:pPr>
    <w:rPr>
      <w:b w:val="0"/>
      <w:spacing w:val="0"/>
      <w:position w:val="6"/>
    </w:rPr>
  </w:style>
  <w:style w:type="paragraph" w:customStyle="1" w:styleId="210">
    <w:name w:val="正文文本 21"/>
    <w:basedOn w:val="a"/>
    <w:qFormat/>
    <w:pPr>
      <w:adjustRightInd w:val="0"/>
      <w:ind w:firstLine="425"/>
      <w:textAlignment w:val="baseline"/>
    </w:pPr>
    <w:rPr>
      <w:szCs w:val="20"/>
    </w:rPr>
  </w:style>
  <w:style w:type="paragraph" w:customStyle="1" w:styleId="afff1">
    <w:name w:val="条(二级)"/>
    <w:basedOn w:val="20"/>
    <w:next w:val="afff0"/>
    <w:qFormat/>
    <w:pPr>
      <w:adjustRightInd w:val="0"/>
      <w:spacing w:before="0" w:after="0" w:line="460" w:lineRule="exact"/>
      <w:jc w:val="left"/>
      <w:textAlignment w:val="baseline"/>
      <w:outlineLvl w:val="9"/>
    </w:pPr>
    <w:rPr>
      <w:rFonts w:ascii="宋体" w:eastAsia="宋体"/>
      <w:spacing w:val="3"/>
      <w:kern w:val="24"/>
      <w:sz w:val="24"/>
    </w:rPr>
  </w:style>
  <w:style w:type="paragraph" w:customStyle="1" w:styleId="afff2">
    <w:name w:val="条(四级)"/>
    <w:basedOn w:val="afff0"/>
    <w:next w:val="a"/>
    <w:qFormat/>
  </w:style>
  <w:style w:type="paragraph" w:customStyle="1" w:styleId="1">
    <w:name w:val="条文1"/>
    <w:basedOn w:val="afff3"/>
    <w:qFormat/>
    <w:pPr>
      <w:numPr>
        <w:numId w:val="2"/>
      </w:numPr>
      <w:ind w:left="907" w:hanging="425"/>
    </w:pPr>
  </w:style>
  <w:style w:type="paragraph" w:customStyle="1" w:styleId="afff3">
    <w:name w:val="段"/>
    <w:basedOn w:val="a"/>
    <w:qFormat/>
    <w:pPr>
      <w:adjustRightInd w:val="0"/>
      <w:spacing w:line="460" w:lineRule="exact"/>
      <w:ind w:firstLine="482"/>
      <w:jc w:val="left"/>
      <w:textAlignment w:val="baseline"/>
    </w:pPr>
    <w:rPr>
      <w:rFonts w:hAnsi="Arial"/>
      <w:spacing w:val="3"/>
      <w:kern w:val="24"/>
      <w:sz w:val="24"/>
      <w:szCs w:val="20"/>
    </w:rPr>
  </w:style>
  <w:style w:type="paragraph" w:customStyle="1" w:styleId="afff4">
    <w:name w:val="页号"/>
    <w:basedOn w:val="af4"/>
    <w:qFormat/>
    <w:pPr>
      <w:tabs>
        <w:tab w:val="clear" w:pos="4153"/>
        <w:tab w:val="clear" w:pos="8306"/>
        <w:tab w:val="center" w:pos="4320"/>
        <w:tab w:val="right" w:pos="8640"/>
      </w:tabs>
      <w:adjustRightInd w:val="0"/>
      <w:snapToGrid/>
      <w:jc w:val="center"/>
      <w:textAlignment w:val="baseline"/>
    </w:pPr>
    <w:rPr>
      <w:rFonts w:hAnsi="Arial"/>
      <w:spacing w:val="3"/>
      <w:kern w:val="24"/>
      <w:sz w:val="24"/>
      <w:szCs w:val="20"/>
    </w:rPr>
  </w:style>
  <w:style w:type="paragraph" w:customStyle="1" w:styleId="27">
    <w:name w:val="列表延续 2"/>
    <w:basedOn w:val="a"/>
    <w:qFormat/>
    <w:pPr>
      <w:autoSpaceDE w:val="0"/>
      <w:autoSpaceDN w:val="0"/>
      <w:adjustRightInd w:val="0"/>
      <w:spacing w:line="360" w:lineRule="atLeast"/>
      <w:ind w:left="420" w:hanging="420"/>
      <w:jc w:val="left"/>
    </w:pPr>
    <w:rPr>
      <w:rFonts w:ascii="宋体" w:hAnsi="Tms Rmn"/>
      <w:spacing w:val="20"/>
      <w:kern w:val="0"/>
      <w:sz w:val="24"/>
      <w:szCs w:val="20"/>
    </w:rPr>
  </w:style>
  <w:style w:type="paragraph" w:customStyle="1" w:styleId="211">
    <w:name w:val="列表延续 21"/>
    <w:basedOn w:val="a"/>
    <w:qFormat/>
    <w:pPr>
      <w:autoSpaceDE w:val="0"/>
      <w:autoSpaceDN w:val="0"/>
      <w:adjustRightInd w:val="0"/>
      <w:spacing w:line="360" w:lineRule="atLeast"/>
      <w:ind w:left="840" w:hanging="420"/>
      <w:jc w:val="left"/>
    </w:pPr>
    <w:rPr>
      <w:rFonts w:ascii="宋体" w:hAnsi="Tms Rmn"/>
      <w:spacing w:val="20"/>
      <w:kern w:val="0"/>
      <w:sz w:val="24"/>
      <w:szCs w:val="20"/>
    </w:rPr>
  </w:style>
  <w:style w:type="paragraph" w:customStyle="1" w:styleId="afff5">
    <w:name w:val="章(一级)"/>
    <w:basedOn w:val="10"/>
    <w:next w:val="afff1"/>
    <w:qFormat/>
    <w:pPr>
      <w:tabs>
        <w:tab w:val="left" w:pos="915"/>
      </w:tabs>
      <w:adjustRightInd w:val="0"/>
      <w:spacing w:line="360" w:lineRule="auto"/>
      <w:jc w:val="left"/>
      <w:textAlignment w:val="baseline"/>
      <w:outlineLvl w:val="9"/>
    </w:pPr>
    <w:rPr>
      <w:rFonts w:ascii="宋体"/>
      <w:b/>
      <w:spacing w:val="20"/>
      <w:kern w:val="0"/>
      <w:sz w:val="24"/>
    </w:rPr>
  </w:style>
  <w:style w:type="paragraph" w:customStyle="1" w:styleId="28">
    <w:name w:val="条文2"/>
    <w:basedOn w:val="afff3"/>
    <w:qFormat/>
    <w:pPr>
      <w:ind w:left="1151" w:hanging="425"/>
    </w:pPr>
    <w:rPr>
      <w:rFonts w:ascii="宋体"/>
    </w:rPr>
  </w:style>
  <w:style w:type="paragraph" w:customStyle="1" w:styleId="afff6">
    <w:name w:val="档案号"/>
    <w:basedOn w:val="af6"/>
    <w:qFormat/>
    <w:pPr>
      <w:pBdr>
        <w:bottom w:val="none" w:sz="0" w:space="0" w:color="auto"/>
      </w:pBdr>
      <w:tabs>
        <w:tab w:val="clear" w:pos="4153"/>
        <w:tab w:val="clear" w:pos="8306"/>
        <w:tab w:val="center" w:pos="4320"/>
        <w:tab w:val="right" w:pos="8640"/>
      </w:tabs>
      <w:adjustRightInd w:val="0"/>
      <w:snapToGrid/>
      <w:spacing w:line="460" w:lineRule="exact"/>
      <w:jc w:val="right"/>
      <w:textAlignment w:val="baseline"/>
    </w:pPr>
    <w:rPr>
      <w:rFonts w:ascii="宋体" w:hAnsi="Arial"/>
      <w:spacing w:val="3"/>
      <w:kern w:val="24"/>
      <w:sz w:val="24"/>
      <w:szCs w:val="20"/>
    </w:rPr>
  </w:style>
  <w:style w:type="paragraph" w:customStyle="1" w:styleId="29">
    <w:name w:val="正文2"/>
    <w:qFormat/>
    <w:pPr>
      <w:widowControl w:val="0"/>
      <w:adjustRightInd w:val="0"/>
      <w:spacing w:line="360" w:lineRule="atLeast"/>
      <w:textAlignment w:val="baseline"/>
    </w:pPr>
    <w:rPr>
      <w:rFonts w:ascii="宋体"/>
      <w:sz w:val="34"/>
    </w:rPr>
  </w:style>
  <w:style w:type="paragraph" w:customStyle="1" w:styleId="41">
    <w:name w:val="标题4"/>
    <w:basedOn w:val="3"/>
    <w:qFormat/>
    <w:pPr>
      <w:widowControl/>
      <w:adjustRightInd w:val="0"/>
      <w:snapToGrid w:val="0"/>
      <w:spacing w:before="0" w:after="0" w:line="360" w:lineRule="auto"/>
      <w:jc w:val="left"/>
    </w:pPr>
    <w:rPr>
      <w:b w:val="0"/>
      <w:bCs w:val="0"/>
      <w:snapToGrid w:val="0"/>
      <w:color w:val="000000"/>
      <w:spacing w:val="40"/>
      <w:kern w:val="0"/>
      <w:sz w:val="24"/>
      <w:szCs w:val="20"/>
    </w:rPr>
  </w:style>
  <w:style w:type="paragraph" w:customStyle="1" w:styleId="53">
    <w:name w:val="标题5"/>
    <w:basedOn w:val="41"/>
    <w:qFormat/>
    <w:pPr>
      <w:spacing w:line="240" w:lineRule="auto"/>
    </w:pPr>
    <w:rPr>
      <w:i/>
      <w:spacing w:val="0"/>
    </w:rPr>
  </w:style>
  <w:style w:type="paragraph" w:customStyle="1" w:styleId="Web">
    <w:name w:val="普通 (Web)"/>
    <w:basedOn w:val="a"/>
    <w:qFormat/>
    <w:rPr>
      <w:sz w:val="24"/>
    </w:rPr>
  </w:style>
  <w:style w:type="paragraph" w:customStyle="1" w:styleId="xl24">
    <w:name w:val="xl24"/>
    <w:basedOn w:val="a"/>
    <w:qFormat/>
    <w:pPr>
      <w:widowControl/>
      <w:pBdr>
        <w:right w:val="single" w:sz="4" w:space="0" w:color="auto"/>
      </w:pBdr>
      <w:spacing w:before="100" w:after="100"/>
      <w:jc w:val="center"/>
    </w:pPr>
    <w:rPr>
      <w:rFonts w:ascii="Arial Unicode MS" w:eastAsia="Arial Unicode MS" w:hAnsi="Arial Unicode MS"/>
      <w:kern w:val="0"/>
      <w:sz w:val="24"/>
      <w:szCs w:val="20"/>
    </w:rPr>
  </w:style>
  <w:style w:type="paragraph" w:customStyle="1" w:styleId="42">
    <w:name w:val="样式4"/>
    <w:basedOn w:val="af6"/>
    <w:qFormat/>
    <w:pPr>
      <w:pBdr>
        <w:bottom w:val="single" w:sz="6" w:space="0" w:color="auto"/>
      </w:pBdr>
      <w:tabs>
        <w:tab w:val="clear" w:pos="4153"/>
      </w:tabs>
    </w:pPr>
    <w:rPr>
      <w:szCs w:val="21"/>
    </w:rPr>
  </w:style>
  <w:style w:type="paragraph" w:customStyle="1" w:styleId="54">
    <w:name w:val="样式5"/>
    <w:basedOn w:val="a"/>
    <w:qFormat/>
    <w:pPr>
      <w:spacing w:line="400" w:lineRule="exact"/>
      <w:jc w:val="center"/>
    </w:pPr>
    <w:rPr>
      <w:rFonts w:ascii="宋体"/>
      <w:szCs w:val="21"/>
    </w:rPr>
  </w:style>
  <w:style w:type="paragraph" w:customStyle="1" w:styleId="62">
    <w:name w:val="样式6"/>
    <w:basedOn w:val="a"/>
    <w:qFormat/>
    <w:pPr>
      <w:spacing w:line="400" w:lineRule="exact"/>
      <w:jc w:val="center"/>
    </w:pPr>
    <w:rPr>
      <w:rFonts w:ascii="宋体"/>
      <w:szCs w:val="21"/>
    </w:rPr>
  </w:style>
  <w:style w:type="paragraph" w:customStyle="1" w:styleId="afff7">
    <w:name w:val="缩进正文"/>
    <w:basedOn w:val="a3"/>
    <w:qFormat/>
    <w:pPr>
      <w:adjustRightInd w:val="0"/>
      <w:snapToGrid w:val="0"/>
      <w:spacing w:line="300" w:lineRule="auto"/>
      <w:ind w:firstLineChars="200" w:firstLine="200"/>
    </w:pPr>
    <w:rPr>
      <w:rFonts w:hAnsi="Times New Roman"/>
      <w:color w:val="auto"/>
      <w:szCs w:val="20"/>
    </w:rPr>
  </w:style>
  <w:style w:type="paragraph" w:customStyle="1" w:styleId="afff8">
    <w:name w:val="标准小四"/>
    <w:basedOn w:val="a"/>
    <w:qFormat/>
    <w:pPr>
      <w:spacing w:line="360" w:lineRule="auto"/>
      <w:ind w:firstLineChars="200" w:firstLine="480"/>
    </w:pPr>
    <w:rPr>
      <w:sz w:val="24"/>
      <w:szCs w:val="21"/>
    </w:rPr>
  </w:style>
  <w:style w:type="paragraph" w:customStyle="1" w:styleId="afff9">
    <w:name w:val="基准页眉样式"/>
    <w:basedOn w:val="ac"/>
    <w:qFormat/>
    <w:pPr>
      <w:keepLines/>
      <w:widowControl/>
      <w:tabs>
        <w:tab w:val="center" w:pos="-18551"/>
        <w:tab w:val="right" w:pos="4320"/>
      </w:tabs>
      <w:spacing w:after="0" w:line="240" w:lineRule="atLeast"/>
      <w:jc w:val="center"/>
    </w:pPr>
    <w:rPr>
      <w:rFonts w:ascii="Garamond" w:hAnsi="Garamond"/>
      <w:smallCaps/>
      <w:spacing w:val="15"/>
      <w:kern w:val="0"/>
    </w:rPr>
  </w:style>
  <w:style w:type="paragraph" w:customStyle="1" w:styleId="xl26">
    <w:name w:val="xl2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kern w:val="0"/>
      <w:sz w:val="20"/>
      <w:szCs w:val="20"/>
    </w:rPr>
  </w:style>
  <w:style w:type="paragraph" w:customStyle="1" w:styleId="font0">
    <w:name w:val="font0"/>
    <w:basedOn w:val="a"/>
    <w:qFormat/>
    <w:pPr>
      <w:widowControl/>
      <w:spacing w:before="100" w:beforeAutospacing="1" w:after="100" w:afterAutospacing="1"/>
      <w:jc w:val="left"/>
    </w:pPr>
    <w:rPr>
      <w:rFonts w:ascii="宋体" w:hAnsi="宋体"/>
      <w:kern w:val="0"/>
      <w:sz w:val="24"/>
    </w:rPr>
  </w:style>
  <w:style w:type="paragraph" w:customStyle="1" w:styleId="Char10">
    <w:name w:val="Char1"/>
    <w:basedOn w:val="a"/>
    <w:qFormat/>
  </w:style>
  <w:style w:type="paragraph" w:customStyle="1" w:styleId="afffa">
    <w:name w:val="表中字"/>
    <w:basedOn w:val="a"/>
    <w:qFormat/>
    <w:pPr>
      <w:ind w:leftChars="-52" w:left="-109" w:firstLine="42"/>
      <w:jc w:val="left"/>
      <w:textAlignment w:val="center"/>
    </w:pPr>
    <w:rPr>
      <w:rFonts w:ascii="宋体" w:hAnsi="宋体"/>
      <w:color w:val="000000"/>
      <w:kern w:val="0"/>
      <w:sz w:val="24"/>
      <w:szCs w:val="20"/>
    </w:rPr>
  </w:style>
  <w:style w:type="paragraph" w:customStyle="1" w:styleId="CharCharCharCharCharCharChar1">
    <w:name w:val="Char Char Char Char Char Char Char1"/>
    <w:basedOn w:val="a"/>
    <w:uiPriority w:val="99"/>
    <w:qFormat/>
    <w:pPr>
      <w:widowControl/>
      <w:spacing w:after="160" w:line="240" w:lineRule="exact"/>
      <w:jc w:val="left"/>
    </w:pPr>
    <w:rPr>
      <w:rFonts w:ascii="Verdana" w:hAnsi="Verdana"/>
      <w:kern w:val="0"/>
      <w:sz w:val="20"/>
      <w:szCs w:val="20"/>
      <w:lang w:eastAsia="en-US"/>
    </w:rPr>
  </w:style>
  <w:style w:type="paragraph" w:customStyle="1" w:styleId="220">
    <w:name w:val="样式 正文首缩2 + 首行缩进:  2 字符"/>
    <w:basedOn w:val="a"/>
    <w:qFormat/>
    <w:pPr>
      <w:spacing w:line="360" w:lineRule="auto"/>
      <w:jc w:val="center"/>
    </w:pPr>
    <w:rPr>
      <w:rFonts w:hAnsi="宋体"/>
      <w:b/>
      <w:kern w:val="0"/>
      <w:szCs w:val="21"/>
    </w:rPr>
  </w:style>
  <w:style w:type="paragraph" w:customStyle="1" w:styleId="2a">
    <w:name w:val="正文缩进2字符"/>
    <w:basedOn w:val="a"/>
    <w:qFormat/>
    <w:pPr>
      <w:adjustRightInd w:val="0"/>
      <w:snapToGrid w:val="0"/>
      <w:spacing w:line="300" w:lineRule="auto"/>
      <w:ind w:firstLineChars="200" w:firstLine="480"/>
      <w:jc w:val="left"/>
    </w:pPr>
    <w:rPr>
      <w:snapToGrid w:val="0"/>
      <w:kern w:val="0"/>
      <w:sz w:val="24"/>
    </w:rPr>
  </w:style>
  <w:style w:type="paragraph" w:customStyle="1" w:styleId="2-01215">
    <w:name w:val="样式 标题 2二级标题 + 黑体 四号 居中 右侧:  -0.12 厘米 行距: 1.5 倍行距"/>
    <w:basedOn w:val="20"/>
    <w:qFormat/>
    <w:pPr>
      <w:spacing w:before="240" w:after="240" w:line="360" w:lineRule="auto"/>
      <w:ind w:right="-70"/>
      <w:jc w:val="center"/>
    </w:pPr>
    <w:rPr>
      <w:rFonts w:ascii="宋体" w:eastAsia="宋体" w:hAnsi="宋体" w:cs="宋体"/>
      <w:sz w:val="24"/>
      <w:szCs w:val="24"/>
      <w:lang w:val="zh-CN"/>
    </w:rPr>
  </w:style>
  <w:style w:type="paragraph" w:customStyle="1" w:styleId="afffb">
    <w:name w:val="表"/>
    <w:basedOn w:val="a"/>
    <w:qFormat/>
    <w:pPr>
      <w:spacing w:line="300" w:lineRule="auto"/>
    </w:pPr>
    <w:rPr>
      <w:rFonts w:eastAsia="仿宋_GB2312"/>
      <w:bCs/>
      <w:sz w:val="24"/>
    </w:rPr>
  </w:style>
  <w:style w:type="paragraph" w:customStyle="1" w:styleId="afffc">
    <w:name w:val="表内正文"/>
    <w:basedOn w:val="a"/>
    <w:qFormat/>
    <w:rPr>
      <w:sz w:val="24"/>
      <w:szCs w:val="20"/>
    </w:rPr>
  </w:style>
  <w:style w:type="paragraph" w:customStyle="1" w:styleId="afffd">
    <w:name w:val="简单回函地址"/>
    <w:basedOn w:val="a"/>
    <w:qFormat/>
  </w:style>
  <w:style w:type="paragraph" w:customStyle="1" w:styleId="CharCharChar">
    <w:name w:val="Char Char Char"/>
    <w:basedOn w:val="a"/>
    <w:qFormat/>
    <w:pPr>
      <w:autoSpaceDE w:val="0"/>
      <w:autoSpaceDN w:val="0"/>
      <w:adjustRightInd w:val="0"/>
      <w:snapToGrid w:val="0"/>
      <w:spacing w:before="50" w:after="50" w:line="360" w:lineRule="auto"/>
      <w:ind w:firstLineChars="200" w:firstLine="560"/>
    </w:pPr>
    <w:rPr>
      <w:rFonts w:eastAsia="仿宋_GB2312"/>
      <w:color w:val="000000"/>
      <w:sz w:val="24"/>
      <w:szCs w:val="20"/>
    </w:rPr>
  </w:style>
  <w:style w:type="paragraph" w:customStyle="1" w:styleId="Char1CharChar1CharCharCharChar">
    <w:name w:val="Char1 Char Char1 Char Char Char Char"/>
    <w:basedOn w:val="a"/>
    <w:qFormat/>
  </w:style>
  <w:style w:type="paragraph" w:customStyle="1" w:styleId="71">
    <w:name w:val="样式7"/>
    <w:basedOn w:val="a"/>
    <w:qFormat/>
    <w:pPr>
      <w:jc w:val="center"/>
    </w:pPr>
    <w:rPr>
      <w:szCs w:val="20"/>
    </w:rPr>
  </w:style>
  <w:style w:type="paragraph" w:customStyle="1" w:styleId="82">
    <w:name w:val="样式8"/>
    <w:basedOn w:val="a"/>
    <w:qFormat/>
    <w:pPr>
      <w:pBdr>
        <w:bottom w:val="single" w:sz="4" w:space="1" w:color="auto"/>
      </w:pBdr>
    </w:pPr>
    <w:rPr>
      <w:szCs w:val="20"/>
    </w:rPr>
  </w:style>
  <w:style w:type="paragraph" w:customStyle="1" w:styleId="92">
    <w:name w:val="样式9"/>
    <w:basedOn w:val="a"/>
    <w:qFormat/>
    <w:rPr>
      <w:szCs w:val="20"/>
    </w:rPr>
  </w:style>
  <w:style w:type="paragraph" w:customStyle="1" w:styleId="Char20">
    <w:name w:val="Char2"/>
    <w:basedOn w:val="a"/>
    <w:qFormat/>
  </w:style>
  <w:style w:type="paragraph" w:customStyle="1" w:styleId="afffe">
    <w:name w:val="图"/>
    <w:basedOn w:val="a"/>
    <w:qFormat/>
    <w:pPr>
      <w:spacing w:beforeLines="50" w:afterLines="100" w:line="360" w:lineRule="auto"/>
      <w:jc w:val="center"/>
    </w:pPr>
    <w:rPr>
      <w:b/>
      <w:szCs w:val="21"/>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18"/>
      <w:szCs w:val="18"/>
    </w:rPr>
  </w:style>
  <w:style w:type="paragraph" w:customStyle="1" w:styleId="xl91">
    <w:name w:val="xl91"/>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2"/>
      <w:szCs w:val="22"/>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w:hAnsi="Arial" w:cs="Arial"/>
      <w:kern w:val="0"/>
      <w:sz w:val="20"/>
      <w:szCs w:val="20"/>
    </w:rPr>
  </w:style>
  <w:style w:type="paragraph" w:customStyle="1" w:styleId="xl101">
    <w:name w:val="xl10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黑体" w:eastAsia="黑体" w:hAnsi="黑体" w:cs="宋体"/>
      <w:color w:val="000000"/>
      <w:kern w:val="0"/>
      <w:sz w:val="20"/>
      <w:szCs w:val="20"/>
    </w:rPr>
  </w:style>
  <w:style w:type="paragraph" w:customStyle="1" w:styleId="xl102">
    <w:name w:val="xl10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6">
    <w:name w:val="xl106"/>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szCs w:val="20"/>
    </w:rPr>
  </w:style>
  <w:style w:type="paragraph" w:customStyle="1" w:styleId="xl107">
    <w:name w:val="xl10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2"/>
      <w:szCs w:val="22"/>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hd w:val="clear" w:color="FFFFFF" w:fill="FFFFFF"/>
      <w:spacing w:before="100" w:beforeAutospacing="1" w:after="100" w:afterAutospacing="1"/>
      <w:jc w:val="center"/>
      <w:textAlignment w:val="center"/>
    </w:pPr>
    <w:rPr>
      <w:rFonts w:ascii="宋体" w:hAnsi="宋体" w:cs="宋体"/>
      <w:color w:val="000000"/>
      <w:kern w:val="0"/>
      <w:sz w:val="20"/>
      <w:szCs w:val="20"/>
    </w:rPr>
  </w:style>
  <w:style w:type="paragraph" w:customStyle="1" w:styleId="xl109">
    <w:name w:val="xl10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0"/>
      <w:szCs w:val="20"/>
    </w:rPr>
  </w:style>
  <w:style w:type="paragraph" w:customStyle="1" w:styleId="xl110">
    <w:name w:val="xl110"/>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1">
    <w:name w:val="xl11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2">
    <w:name w:val="xl11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4">
    <w:name w:val="xl11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5">
    <w:name w:val="xl115"/>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6">
    <w:name w:val="xl116"/>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7">
    <w:name w:val="xl117"/>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xl118">
    <w:name w:val="xl118"/>
    <w:basedOn w:val="a"/>
    <w:qFormat/>
    <w:pPr>
      <w:widowControl/>
      <w:pBdr>
        <w:top w:val="single" w:sz="4" w:space="0" w:color="auto"/>
        <w:left w:val="single" w:sz="4" w:space="0" w:color="auto"/>
        <w:bottom w:val="single" w:sz="4" w:space="0" w:color="auto"/>
      </w:pBdr>
      <w:spacing w:before="100" w:beforeAutospacing="1" w:after="100" w:afterAutospacing="1"/>
      <w:jc w:val="center"/>
      <w:textAlignment w:val="center"/>
    </w:pPr>
    <w:rPr>
      <w:rFonts w:ascii="宋体" w:hAnsi="宋体" w:cs="宋体"/>
      <w:kern w:val="0"/>
      <w:sz w:val="20"/>
      <w:szCs w:val="20"/>
    </w:rPr>
  </w:style>
  <w:style w:type="paragraph" w:customStyle="1" w:styleId="Char3">
    <w:name w:val="Char3"/>
    <w:basedOn w:val="a"/>
    <w:qFormat/>
    <w:pPr>
      <w:widowControl/>
      <w:spacing w:after="160" w:line="240" w:lineRule="exact"/>
      <w:jc w:val="left"/>
    </w:pPr>
    <w:rPr>
      <w:szCs w:val="20"/>
    </w:rPr>
  </w:style>
  <w:style w:type="paragraph" w:customStyle="1" w:styleId="2b">
    <w:name w:val="正文缩进2"/>
    <w:basedOn w:val="a"/>
    <w:qFormat/>
    <w:pPr>
      <w:ind w:firstLineChars="200" w:firstLine="420"/>
    </w:pPr>
  </w:style>
  <w:style w:type="paragraph" w:customStyle="1" w:styleId="1a">
    <w:name w:val="注释标题1"/>
    <w:basedOn w:val="a"/>
    <w:next w:val="a"/>
    <w:qFormat/>
    <w:pPr>
      <w:jc w:val="center"/>
    </w:pPr>
    <w:rPr>
      <w:rFonts w:ascii="宋体"/>
      <w:szCs w:val="21"/>
    </w:rPr>
  </w:style>
  <w:style w:type="paragraph" w:customStyle="1" w:styleId="35">
    <w:name w:val="正文缩进3"/>
    <w:basedOn w:val="a"/>
    <w:qFormat/>
    <w:pPr>
      <w:ind w:firstLineChars="200" w:firstLine="420"/>
    </w:pPr>
  </w:style>
  <w:style w:type="paragraph" w:customStyle="1" w:styleId="1b">
    <w:name w:val="批注主题1"/>
    <w:basedOn w:val="a9"/>
    <w:next w:val="a9"/>
    <w:qFormat/>
    <w:rPr>
      <w:b/>
      <w:bCs/>
    </w:rPr>
  </w:style>
  <w:style w:type="paragraph" w:customStyle="1" w:styleId="43">
    <w:name w:val="正文缩进4"/>
    <w:basedOn w:val="a"/>
    <w:qFormat/>
    <w:pPr>
      <w:ind w:firstLineChars="200" w:firstLine="420"/>
    </w:pPr>
  </w:style>
  <w:style w:type="paragraph" w:customStyle="1" w:styleId="CharChar4">
    <w:name w:val="Char Char4"/>
    <w:basedOn w:val="a"/>
    <w:semiHidden/>
    <w:qFormat/>
    <w:pPr>
      <w:spacing w:line="360" w:lineRule="auto"/>
    </w:pPr>
    <w:rPr>
      <w:sz w:val="24"/>
    </w:rPr>
  </w:style>
  <w:style w:type="character" w:customStyle="1" w:styleId="11">
    <w:name w:val="标题 1 字符"/>
    <w:link w:val="10"/>
    <w:qFormat/>
    <w:rPr>
      <w:kern w:val="2"/>
      <w:sz w:val="28"/>
    </w:rPr>
  </w:style>
  <w:style w:type="character" w:customStyle="1" w:styleId="a5">
    <w:name w:val="正文缩进 字符"/>
    <w:link w:val="a4"/>
    <w:qFormat/>
    <w:locked/>
    <w:rPr>
      <w:kern w:val="2"/>
      <w:sz w:val="21"/>
      <w:szCs w:val="24"/>
    </w:rPr>
  </w:style>
  <w:style w:type="character" w:customStyle="1" w:styleId="50">
    <w:name w:val="标题 5 字符"/>
    <w:link w:val="5"/>
    <w:qFormat/>
    <w:rPr>
      <w:rFonts w:eastAsia="黑体"/>
      <w:bCs/>
      <w:sz w:val="28"/>
      <w:szCs w:val="28"/>
    </w:rPr>
  </w:style>
  <w:style w:type="character" w:customStyle="1" w:styleId="60">
    <w:name w:val="标题 6 字符"/>
    <w:link w:val="6"/>
    <w:qFormat/>
    <w:rPr>
      <w:rFonts w:eastAsia="黑体"/>
      <w:bCs/>
      <w:sz w:val="28"/>
      <w:szCs w:val="28"/>
    </w:rPr>
  </w:style>
  <w:style w:type="character" w:customStyle="1" w:styleId="80">
    <w:name w:val="标题 8 字符"/>
    <w:link w:val="8"/>
    <w:qFormat/>
    <w:rPr>
      <w:rFonts w:eastAsia="黑体"/>
      <w:sz w:val="28"/>
      <w:szCs w:val="28"/>
    </w:rPr>
  </w:style>
  <w:style w:type="character" w:customStyle="1" w:styleId="90">
    <w:name w:val="标题 9 字符"/>
    <w:link w:val="9"/>
    <w:qFormat/>
    <w:rPr>
      <w:kern w:val="2"/>
      <w:sz w:val="24"/>
      <w:szCs w:val="28"/>
    </w:rPr>
  </w:style>
  <w:style w:type="character" w:customStyle="1" w:styleId="af7">
    <w:name w:val="页眉 字符"/>
    <w:link w:val="af6"/>
    <w:qFormat/>
    <w:rPr>
      <w:kern w:val="2"/>
      <w:sz w:val="18"/>
      <w:szCs w:val="18"/>
    </w:rPr>
  </w:style>
  <w:style w:type="character" w:customStyle="1" w:styleId="af5">
    <w:name w:val="页脚 字符"/>
    <w:link w:val="af4"/>
    <w:qFormat/>
    <w:rPr>
      <w:kern w:val="2"/>
      <w:sz w:val="18"/>
      <w:szCs w:val="18"/>
    </w:rPr>
  </w:style>
  <w:style w:type="character" w:customStyle="1" w:styleId="af0">
    <w:name w:val="纯文本 字符"/>
    <w:link w:val="af"/>
    <w:qFormat/>
    <w:rPr>
      <w:rFonts w:ascii="宋体" w:hAnsi="Courier New"/>
      <w:kern w:val="2"/>
      <w:sz w:val="21"/>
    </w:rPr>
  </w:style>
  <w:style w:type="character" w:customStyle="1" w:styleId="ad">
    <w:name w:val="正文文本 字符"/>
    <w:link w:val="ac"/>
    <w:qFormat/>
    <w:rPr>
      <w:kern w:val="2"/>
      <w:sz w:val="21"/>
      <w:szCs w:val="24"/>
    </w:rPr>
  </w:style>
  <w:style w:type="character" w:customStyle="1" w:styleId="5Char">
    <w:name w:val="表内5 Char"/>
    <w:link w:val="52"/>
    <w:qFormat/>
    <w:rPr>
      <w:rFonts w:ascii="宋体" w:eastAsia="宋体" w:hAnsi="宋体"/>
      <w:sz w:val="21"/>
      <w:szCs w:val="21"/>
      <w:lang w:val="en-US" w:eastAsia="zh-CN" w:bidi="ar-SA"/>
    </w:rPr>
  </w:style>
  <w:style w:type="character" w:customStyle="1" w:styleId="Char0">
    <w:name w:val="燕山正文 Char"/>
    <w:link w:val="aff7"/>
    <w:qFormat/>
    <w:rPr>
      <w:rFonts w:ascii="宋体" w:eastAsia="宋体" w:hAnsi="宋体"/>
      <w:color w:val="000000"/>
      <w:kern w:val="2"/>
      <w:sz w:val="28"/>
      <w:szCs w:val="28"/>
      <w:lang w:val="en-US" w:eastAsia="zh-CN" w:bidi="ar-SA"/>
    </w:rPr>
  </w:style>
  <w:style w:type="character" w:customStyle="1" w:styleId="Char1">
    <w:name w:val="节下项目标题 Char"/>
    <w:link w:val="affa"/>
    <w:qFormat/>
    <w:rPr>
      <w:rFonts w:ascii="宋体" w:eastAsia="黑体" w:hAnsi="宋体"/>
      <w:b/>
      <w:kern w:val="2"/>
      <w:sz w:val="28"/>
      <w:szCs w:val="24"/>
      <w:lang w:val="en-US" w:eastAsia="zh-CN" w:bidi="ar-SA"/>
    </w:rPr>
  </w:style>
  <w:style w:type="character" w:customStyle="1" w:styleId="Char2">
    <w:name w:val="表格标题 Char"/>
    <w:link w:val="affc"/>
    <w:qFormat/>
    <w:rPr>
      <w:rFonts w:ascii="宋体" w:eastAsia="宋体" w:hAnsi="宋体"/>
      <w:spacing w:val="20"/>
      <w:kern w:val="2"/>
      <w:sz w:val="24"/>
      <w:lang w:val="en-US" w:eastAsia="zh-CN" w:bidi="ar-SA"/>
    </w:rPr>
  </w:style>
  <w:style w:type="character" w:customStyle="1" w:styleId="af3">
    <w:name w:val="批注框文本 字符"/>
    <w:link w:val="af2"/>
    <w:qFormat/>
    <w:rPr>
      <w:kern w:val="2"/>
      <w:sz w:val="18"/>
      <w:szCs w:val="18"/>
    </w:rPr>
  </w:style>
  <w:style w:type="character" w:customStyle="1" w:styleId="1c">
    <w:name w:val="已访问的超链接1"/>
    <w:qFormat/>
    <w:rPr>
      <w:color w:val="800080"/>
      <w:u w:val="single"/>
    </w:rPr>
  </w:style>
  <w:style w:type="character" w:customStyle="1" w:styleId="p11">
    <w:name w:val="p11"/>
    <w:qFormat/>
    <w:rPr>
      <w:sz w:val="18"/>
      <w:szCs w:val="18"/>
    </w:rPr>
  </w:style>
  <w:style w:type="character" w:customStyle="1" w:styleId="a7">
    <w:name w:val="注释标题 字符"/>
    <w:link w:val="a6"/>
    <w:qFormat/>
    <w:rPr>
      <w:rFonts w:ascii="宋体" w:cs="宋体"/>
      <w:kern w:val="2"/>
      <w:sz w:val="21"/>
      <w:szCs w:val="21"/>
    </w:rPr>
  </w:style>
  <w:style w:type="character" w:customStyle="1" w:styleId="SLCON7">
    <w:name w:val="参考文献 黑体 小三 SL CON"/>
    <w:qFormat/>
    <w:rPr>
      <w:rFonts w:ascii="黑体" w:eastAsia="黑体" w:hAnsi="黑体"/>
      <w:sz w:val="30"/>
    </w:rPr>
  </w:style>
  <w:style w:type="character" w:customStyle="1" w:styleId="66SLCONChar">
    <w:name w:val="公式书写 居中 段前: 6 磅 段后: 6 磅 SL CON Char"/>
    <w:link w:val="66SLCON"/>
    <w:qFormat/>
    <w:rPr>
      <w:rFonts w:ascii="宋体" w:cs="宋体"/>
      <w:sz w:val="24"/>
    </w:rPr>
  </w:style>
  <w:style w:type="character" w:customStyle="1" w:styleId="66SLCONChar0">
    <w:name w:val="公式书写（编号） 居中 段前: 6 磅 段后: 6 磅 SL CON + (符号) 宋体 Char"/>
    <w:link w:val="66SLCON0"/>
    <w:qFormat/>
  </w:style>
  <w:style w:type="character" w:customStyle="1" w:styleId="style121">
    <w:name w:val="style121"/>
    <w:qFormat/>
    <w:rPr>
      <w:rFonts w:ascii="Arial" w:hAnsi="Arial" w:cs="Arial" w:hint="default"/>
      <w:color w:val="333333"/>
      <w:sz w:val="23"/>
      <w:szCs w:val="23"/>
    </w:rPr>
  </w:style>
  <w:style w:type="character" w:customStyle="1" w:styleId="aa">
    <w:name w:val="批注文字 字符"/>
    <w:link w:val="a9"/>
    <w:qFormat/>
    <w:rPr>
      <w:rFonts w:ascii="宋体"/>
      <w:sz w:val="24"/>
      <w:szCs w:val="24"/>
    </w:rPr>
  </w:style>
  <w:style w:type="character" w:customStyle="1" w:styleId="afb">
    <w:name w:val="批注主题 字符"/>
    <w:link w:val="afa"/>
    <w:qFormat/>
    <w:rPr>
      <w:rFonts w:ascii="宋体"/>
      <w:b/>
      <w:bCs/>
      <w:sz w:val="24"/>
      <w:szCs w:val="24"/>
    </w:rPr>
  </w:style>
  <w:style w:type="character" w:customStyle="1" w:styleId="apple-style-span">
    <w:name w:val="apple-style-span"/>
    <w:basedOn w:val="a0"/>
    <w:qFormat/>
  </w:style>
  <w:style w:type="character" w:customStyle="1" w:styleId="Char11">
    <w:name w:val="纯文本 Char1"/>
    <w:qFormat/>
    <w:rPr>
      <w:rFonts w:ascii="宋体" w:hAnsi="Courier New"/>
      <w:kern w:val="2"/>
      <w:sz w:val="21"/>
    </w:rPr>
  </w:style>
  <w:style w:type="character" w:customStyle="1" w:styleId="Job">
    <w:name w:val="Job"/>
    <w:basedOn w:val="a0"/>
    <w:qFormat/>
  </w:style>
  <w:style w:type="character" w:customStyle="1" w:styleId="Lead-inEmphasis">
    <w:name w:val="Lead-in Emphasis"/>
    <w:qFormat/>
    <w:rPr>
      <w:rFonts w:ascii="Arial" w:hAnsi="Arial"/>
      <w:b/>
      <w:spacing w:val="-8"/>
      <w:sz w:val="18"/>
    </w:rPr>
  </w:style>
  <w:style w:type="character" w:customStyle="1" w:styleId="label1">
    <w:name w:val="label1"/>
    <w:basedOn w:val="a0"/>
    <w:qFormat/>
  </w:style>
  <w:style w:type="character" w:customStyle="1" w:styleId="zw1">
    <w:name w:val="zw1"/>
    <w:qFormat/>
    <w:rPr>
      <w:rFonts w:ascii="宋体" w:eastAsia="宋体" w:hAnsi="宋体" w:hint="eastAsia"/>
      <w:sz w:val="22"/>
      <w:szCs w:val="22"/>
    </w:rPr>
  </w:style>
  <w:style w:type="character" w:customStyle="1" w:styleId="zw">
    <w:name w:val="zw"/>
    <w:basedOn w:val="a0"/>
    <w:qFormat/>
  </w:style>
  <w:style w:type="character" w:customStyle="1" w:styleId="bt21">
    <w:name w:val="bt21"/>
    <w:qFormat/>
    <w:rPr>
      <w:rFonts w:ascii="黑体" w:eastAsia="黑体" w:hint="eastAsia"/>
      <w:sz w:val="24"/>
      <w:szCs w:val="24"/>
    </w:rPr>
  </w:style>
  <w:style w:type="character" w:customStyle="1" w:styleId="newsitemtext1">
    <w:name w:val="newsitemtext1"/>
    <w:qFormat/>
    <w:rPr>
      <w:color w:val="000000"/>
      <w:sz w:val="28"/>
      <w:szCs w:val="28"/>
    </w:rPr>
  </w:style>
  <w:style w:type="character" w:customStyle="1" w:styleId="text1">
    <w:name w:val="text1"/>
    <w:basedOn w:val="a0"/>
    <w:qFormat/>
  </w:style>
  <w:style w:type="character" w:customStyle="1" w:styleId="style21">
    <w:name w:val="style21"/>
    <w:qFormat/>
    <w:rPr>
      <w:b/>
      <w:bCs/>
      <w:sz w:val="27"/>
      <w:szCs w:val="27"/>
    </w:rPr>
  </w:style>
  <w:style w:type="character" w:customStyle="1" w:styleId="jian1">
    <w:name w:val="jian1"/>
    <w:basedOn w:val="a0"/>
    <w:qFormat/>
  </w:style>
  <w:style w:type="paragraph" w:styleId="affff">
    <w:name w:val="List Paragraph"/>
    <w:basedOn w:val="a"/>
    <w:link w:val="affff0"/>
    <w:uiPriority w:val="34"/>
    <w:qFormat/>
    <w:pPr>
      <w:ind w:firstLineChars="200" w:firstLine="420"/>
    </w:pPr>
    <w:rPr>
      <w:szCs w:val="20"/>
    </w:rPr>
  </w:style>
  <w:style w:type="paragraph" w:customStyle="1" w:styleId="2c">
    <w:name w:val="列出段落2"/>
    <w:basedOn w:val="a"/>
    <w:uiPriority w:val="34"/>
    <w:qFormat/>
    <w:pPr>
      <w:ind w:firstLineChars="200" w:firstLine="420"/>
    </w:pPr>
    <w:rPr>
      <w:szCs w:val="20"/>
    </w:rPr>
  </w:style>
  <w:style w:type="character" w:customStyle="1" w:styleId="font01">
    <w:name w:val="font01"/>
    <w:qFormat/>
    <w:rPr>
      <w:rFonts w:ascii="宋体" w:eastAsia="宋体" w:hAnsi="宋体" w:cs="宋体" w:hint="eastAsia"/>
      <w:color w:val="000000"/>
      <w:sz w:val="20"/>
      <w:szCs w:val="20"/>
      <w:u w:val="none"/>
    </w:rPr>
  </w:style>
  <w:style w:type="paragraph" w:customStyle="1" w:styleId="CharCharCharCharChar">
    <w:name w:val="Char Char Char Char Char"/>
    <w:basedOn w:val="a"/>
    <w:qFormat/>
  </w:style>
  <w:style w:type="character" w:customStyle="1" w:styleId="CharChar1">
    <w:name w:val="Char Char1"/>
    <w:link w:val="Char"/>
    <w:qFormat/>
    <w:rPr>
      <w:kern w:val="2"/>
      <w:sz w:val="24"/>
      <w:szCs w:val="24"/>
    </w:rPr>
  </w:style>
  <w:style w:type="paragraph" w:customStyle="1" w:styleId="55">
    <w:name w:val="正文缩进5"/>
    <w:basedOn w:val="a"/>
    <w:link w:val="Char4"/>
    <w:qFormat/>
    <w:pPr>
      <w:ind w:firstLineChars="200" w:firstLine="420"/>
    </w:pPr>
    <w:rPr>
      <w:lang w:val="zh-CN"/>
    </w:rPr>
  </w:style>
  <w:style w:type="character" w:customStyle="1" w:styleId="Char4">
    <w:name w:val="正文缩进 Char"/>
    <w:link w:val="55"/>
    <w:qFormat/>
    <w:rPr>
      <w:kern w:val="2"/>
      <w:sz w:val="21"/>
      <w:szCs w:val="24"/>
      <w:lang w:val="zh-CN" w:eastAsia="zh-CN"/>
    </w:rPr>
  </w:style>
  <w:style w:type="paragraph" w:customStyle="1" w:styleId="p0">
    <w:name w:val="p0"/>
    <w:basedOn w:val="a"/>
    <w:qFormat/>
    <w:pPr>
      <w:widowControl/>
    </w:pPr>
    <w:rPr>
      <w:rFonts w:ascii="Calibri" w:hAnsi="Calibri" w:cs="Calibri"/>
      <w:kern w:val="0"/>
      <w:szCs w:val="21"/>
    </w:rPr>
  </w:style>
  <w:style w:type="paragraph" w:customStyle="1" w:styleId="p16">
    <w:name w:val="p16"/>
    <w:basedOn w:val="a"/>
    <w:qFormat/>
    <w:pPr>
      <w:widowControl/>
      <w:jc w:val="center"/>
    </w:pPr>
    <w:rPr>
      <w:rFonts w:ascii="宋体" w:hAnsi="宋体" w:cs="宋体"/>
      <w:kern w:val="0"/>
      <w:szCs w:val="21"/>
    </w:rPr>
  </w:style>
  <w:style w:type="character" w:customStyle="1" w:styleId="affff0">
    <w:name w:val="列表段落 字符"/>
    <w:link w:val="affff"/>
    <w:uiPriority w:val="34"/>
    <w:qFormat/>
    <w:rPr>
      <w:kern w:val="2"/>
      <w:sz w:val="21"/>
    </w:rPr>
  </w:style>
  <w:style w:type="table" w:customStyle="1" w:styleId="1d">
    <w:name w:val="网格型1"/>
    <w:basedOn w:val="a1"/>
    <w:uiPriority w:val="9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unhideWhenUsed/>
    <w:qFormat/>
    <w:rPr>
      <w:sz w:val="24"/>
    </w:rPr>
  </w:style>
  <w:style w:type="paragraph" w:customStyle="1" w:styleId="Normal2">
    <w:name w:val="Normal_2"/>
    <w:qFormat/>
    <w:pPr>
      <w:spacing w:before="120" w:after="240"/>
      <w:jc w:val="both"/>
    </w:pPr>
    <w:rPr>
      <w:rFonts w:asciiTheme="minorHAnsi" w:eastAsiaTheme="minorEastAsia" w:hAnsiTheme="minorHAnsi" w:cstheme="minorBidi"/>
      <w:sz w:val="22"/>
      <w:szCs w:val="22"/>
      <w:lang w:eastAsia="en-US"/>
    </w:rPr>
  </w:style>
  <w:style w:type="character" w:customStyle="1" w:styleId="pic-number-div">
    <w:name w:val="pic-number-div"/>
    <w:basedOn w:val="a0"/>
    <w:qFormat/>
  </w:style>
  <w:style w:type="paragraph" w:customStyle="1" w:styleId="affff1">
    <w:name w:val="正文段落"/>
    <w:basedOn w:val="affff2"/>
    <w:qFormat/>
    <w:pPr>
      <w:widowControl w:val="0"/>
      <w:adjustRightInd w:val="0"/>
      <w:snapToGrid w:val="0"/>
      <w:ind w:firstLineChars="200" w:firstLine="200"/>
    </w:pPr>
    <w:rPr>
      <w:rFonts w:hAnsi="Times New Roman"/>
      <w:sz w:val="28"/>
    </w:rPr>
  </w:style>
  <w:style w:type="paragraph" w:customStyle="1" w:styleId="affff2">
    <w:name w:val="报告正文"/>
    <w:basedOn w:val="a"/>
    <w:qFormat/>
    <w:pPr>
      <w:widowControl/>
      <w:tabs>
        <w:tab w:val="left" w:pos="377"/>
      </w:tabs>
      <w:spacing w:line="360" w:lineRule="auto"/>
      <w:ind w:firstLine="560"/>
    </w:pPr>
    <w:rPr>
      <w:rFonts w:hAnsi="宋体"/>
      <w:kern w:val="0"/>
      <w:sz w:val="20"/>
      <w:szCs w:val="20"/>
    </w:rPr>
  </w:style>
  <w:style w:type="character" w:customStyle="1" w:styleId="font11">
    <w:name w:val="font11"/>
    <w:basedOn w:val="a0"/>
    <w:qFormat/>
    <w:rPr>
      <w:rFonts w:ascii="宋体" w:eastAsia="宋体" w:hAnsi="宋体" w:cs="宋体" w:hint="eastAsia"/>
      <w:color w:val="000000"/>
      <w:sz w:val="22"/>
      <w:szCs w:val="22"/>
      <w:u w:val="none"/>
    </w:rPr>
  </w:style>
  <w:style w:type="paragraph" w:customStyle="1" w:styleId="affff3">
    <w:name w:val="+正文"/>
    <w:basedOn w:val="a"/>
    <w:qFormat/>
    <w:pPr>
      <w:spacing w:beforeLines="50" w:line="360" w:lineRule="auto"/>
      <w:ind w:firstLineChars="200" w:firstLine="560"/>
      <w:jc w:val="left"/>
    </w:pPr>
    <w:rPr>
      <w:sz w:val="28"/>
      <w:szCs w:val="28"/>
    </w:rPr>
  </w:style>
  <w:style w:type="paragraph" w:customStyle="1" w:styleId="WordSection1tabletdp">
    <w:name w:val="WordSection1_table_td_p"/>
    <w:basedOn w:val="a"/>
    <w:qFormat/>
    <w:rPr>
      <w:rFonts w:ascii="宋体" w:hAnsi="宋体" w:cs="宋体"/>
      <w:sz w:val="18"/>
      <w:szCs w:val="18"/>
    </w:rPr>
  </w:style>
  <w:style w:type="table" w:customStyle="1" w:styleId="table">
    <w:name w:val="table"/>
    <w:basedOn w:val="a1"/>
    <w:qFormat/>
    <w:tblPr/>
  </w:style>
  <w:style w:type="character" w:customStyle="1" w:styleId="WordSection1tabletdpspan">
    <w:name w:val="WordSection1_table_td_p_span"/>
    <w:basedOn w:val="a0"/>
    <w:qFormat/>
    <w:rPr>
      <w:rFonts w:ascii="宋体" w:eastAsia="宋体" w:hAnsi="宋体" w:cs="宋体"/>
      <w:sz w:val="18"/>
      <w:szCs w:val="18"/>
    </w:rPr>
  </w:style>
  <w:style w:type="character" w:customStyle="1" w:styleId="WordSection1tablesup">
    <w:name w:val="WordSection1_table_sup"/>
    <w:basedOn w:val="a0"/>
    <w:qFormat/>
    <w:rPr>
      <w:rFonts w:ascii="宋体" w:eastAsia="宋体" w:hAnsi="宋体" w:cs="宋体"/>
      <w:color w:val="000000"/>
      <w:sz w:val="12"/>
      <w:szCs w:val="12"/>
    </w:rPr>
  </w:style>
  <w:style w:type="character" w:customStyle="1" w:styleId="font21">
    <w:name w:val="font21"/>
    <w:basedOn w:val="a0"/>
    <w:qFormat/>
    <w:rPr>
      <w:rFonts w:ascii="宋体" w:eastAsia="宋体" w:hAnsi="宋体" w:cs="宋体" w:hint="eastAsia"/>
      <w:color w:val="000000"/>
      <w:sz w:val="24"/>
      <w:szCs w:val="24"/>
      <w:u w:val="none"/>
    </w:rPr>
  </w:style>
  <w:style w:type="character" w:customStyle="1" w:styleId="font31">
    <w:name w:val="font31"/>
    <w:basedOn w:val="a0"/>
    <w:qFormat/>
    <w:rPr>
      <w:rFonts w:ascii="Calibri" w:hAnsi="Calibri" w:cs="Calibri" w:hint="default"/>
      <w:color w:val="000000"/>
      <w:sz w:val="24"/>
      <w:szCs w:val="24"/>
      <w:u w:val="none"/>
    </w:rPr>
  </w:style>
  <w:style w:type="paragraph" w:customStyle="1" w:styleId="affff4">
    <w:name w:val="a 正文"/>
    <w:unhideWhenUsed/>
    <w:qFormat/>
    <w:pPr>
      <w:spacing w:line="360" w:lineRule="auto"/>
      <w:ind w:firstLineChars="200" w:firstLine="960"/>
      <w:jc w:val="both"/>
    </w:pPr>
    <w:rPr>
      <w:rFonts w:ascii="仿宋" w:eastAsia="仿宋" w:hAnsi="仿宋" w:hint="eastAsia"/>
      <w:snapToGrid w:val="0"/>
      <w:color w:val="000000"/>
      <w:kern w:val="2"/>
      <w:sz w:val="28"/>
      <w:szCs w:val="22"/>
    </w:rPr>
  </w:style>
  <w:style w:type="paragraph" w:customStyle="1" w:styleId="pMsoNormal">
    <w:name w:val="p_MsoNormal"/>
    <w:basedOn w:val="p"/>
    <w:qFormat/>
  </w:style>
  <w:style w:type="paragraph" w:customStyle="1" w:styleId="p">
    <w:name w:val="p"/>
    <w:basedOn w:val="a"/>
    <w:qFormat/>
    <w:rPr>
      <w:rFonts w:eastAsia="Times New Roman"/>
      <w:sz w:val="24"/>
    </w:rPr>
  </w:style>
  <w:style w:type="character" w:customStyle="1" w:styleId="preview-textpspan">
    <w:name w:val="preview-text_p &gt; span"/>
    <w:basedOn w:val="a0"/>
    <w:qFormat/>
    <w:rPr>
      <w:rFonts w:ascii="宋体" w:eastAsia="宋体" w:hAnsi="宋体" w:cs="宋体"/>
      <w:color w:val="000000"/>
      <w:sz w:val="18"/>
      <w:szCs w:val="18"/>
    </w:rPr>
  </w:style>
  <w:style w:type="paragraph" w:customStyle="1" w:styleId="2d">
    <w:name w:val="2"/>
    <w:basedOn w:val="a"/>
    <w:next w:val="af"/>
    <w:qFormat/>
    <w:rPr>
      <w:rFonts w:ascii="宋体" w:hAnsi="Courier New"/>
      <w:szCs w:val="20"/>
    </w:rPr>
  </w:style>
  <w:style w:type="paragraph" w:customStyle="1" w:styleId="1e">
    <w:name w:val="列表1"/>
    <w:basedOn w:val="a"/>
    <w:qFormat/>
    <w:pPr>
      <w:jc w:val="center"/>
    </w:pPr>
  </w:style>
  <w:style w:type="paragraph" w:customStyle="1" w:styleId="IDDS">
    <w:name w:val="IDDS表格正文"/>
    <w:basedOn w:val="a"/>
    <w:qFormat/>
    <w:pPr>
      <w:spacing w:line="300" w:lineRule="auto"/>
      <w:jc w:val="center"/>
    </w:pPr>
    <w:rPr>
      <w:rFonts w:cs="宋体"/>
      <w:szCs w:val="20"/>
    </w:rPr>
  </w:style>
  <w:style w:type="paragraph" w:customStyle="1" w:styleId="IDDS0">
    <w:name w:val="IDDS级标题前专用空行"/>
    <w:basedOn w:val="a"/>
    <w:qFormat/>
    <w:pPr>
      <w:snapToGrid w:val="0"/>
    </w:pPr>
    <w:rPr>
      <w:kern w:val="0"/>
      <w:sz w:val="2"/>
    </w:rPr>
  </w:style>
  <w:style w:type="paragraph" w:customStyle="1" w:styleId="IDDS1">
    <w:name w:val="IDDS表图注"/>
    <w:basedOn w:val="a"/>
    <w:qFormat/>
    <w:pPr>
      <w:spacing w:line="360" w:lineRule="auto"/>
      <w:jc w:val="center"/>
    </w:pPr>
    <w:rPr>
      <w:rFonts w:ascii="宋体" w:hAnsi="宋体" w:cs="宋体"/>
      <w:b/>
      <w:bCs/>
      <w:szCs w:val="20"/>
    </w:rPr>
  </w:style>
  <w:style w:type="character" w:customStyle="1" w:styleId="font71">
    <w:name w:val="font71"/>
    <w:basedOn w:val="a0"/>
    <w:qFormat/>
    <w:rPr>
      <w:rFonts w:ascii="宋体" w:eastAsia="宋体" w:hAnsi="宋体" w:cs="宋体" w:hint="eastAsia"/>
      <w:color w:val="000000"/>
      <w:sz w:val="12"/>
      <w:szCs w:val="12"/>
      <w:u w:val="none"/>
    </w:rPr>
  </w:style>
  <w:style w:type="character" w:customStyle="1" w:styleId="font81">
    <w:name w:val="font81"/>
    <w:basedOn w:val="a0"/>
    <w:qFormat/>
    <w:rPr>
      <w:rFonts w:ascii="宋体" w:eastAsia="宋体" w:hAnsi="宋体" w:cs="宋体" w:hint="eastAsia"/>
      <w:color w:val="000000"/>
      <w:sz w:val="16"/>
      <w:szCs w:val="16"/>
      <w:u w:val="none"/>
    </w:rPr>
  </w:style>
  <w:style w:type="character" w:customStyle="1" w:styleId="font91">
    <w:name w:val="font91"/>
    <w:basedOn w:val="a0"/>
    <w:qFormat/>
    <w:rPr>
      <w:rFonts w:ascii="宋体" w:eastAsia="宋体" w:hAnsi="宋体" w:cs="宋体" w:hint="eastAsia"/>
      <w:color w:val="000000"/>
      <w:sz w:val="20"/>
      <w:szCs w:val="20"/>
      <w:u w:val="none"/>
    </w:rPr>
  </w:style>
  <w:style w:type="character" w:customStyle="1" w:styleId="font51">
    <w:name w:val="font51"/>
    <w:basedOn w:val="a0"/>
    <w:qFormat/>
    <w:rPr>
      <w:rFonts w:ascii="宋体" w:eastAsia="宋体" w:hAnsi="宋体" w:cs="宋体" w:hint="eastAsia"/>
      <w:color w:val="FF0000"/>
      <w:sz w:val="18"/>
      <w:szCs w:val="18"/>
      <w:u w:val="none"/>
    </w:rPr>
  </w:style>
  <w:style w:type="table" w:customStyle="1" w:styleId="TableNormal">
    <w:name w:val="Table Normal"/>
    <w:semiHidden/>
    <w:unhideWhenUsed/>
    <w:qFormat/>
    <w:tblPr>
      <w:tblCellMar>
        <w:top w:w="0" w:type="dxa"/>
        <w:left w:w="0" w:type="dxa"/>
        <w:bottom w:w="0" w:type="dxa"/>
        <w:right w:w="0" w:type="dxa"/>
      </w:tblCellMar>
    </w:tblPr>
  </w:style>
  <w:style w:type="character" w:customStyle="1" w:styleId="sup">
    <w:name w:val="sup"/>
    <w:basedOn w:val="a0"/>
    <w:qFormat/>
    <w:rPr>
      <w:rFonts w:ascii="宋体" w:eastAsia="宋体" w:hAnsi="宋体" w:cs="宋体"/>
      <w:color w:val="000000"/>
      <w:sz w:val="12"/>
      <w:szCs w:val="12"/>
    </w:rPr>
  </w:style>
  <w:style w:type="paragraph" w:customStyle="1" w:styleId="1f">
    <w:name w:val="修订1"/>
    <w:hidden/>
    <w:uiPriority w:val="99"/>
    <w:semiHidden/>
    <w:qFormat/>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1.jpeg"/><Relationship Id="rId18" Type="http://schemas.openxmlformats.org/officeDocument/2006/relationships/image" Target="media/image2.png"/><Relationship Id="rId26" Type="http://schemas.openxmlformats.org/officeDocument/2006/relationships/hyperlink" Target="https://baike.baidu.com/item/%E5%B9%B2%E7%83%AD%E9%A3%8E" TargetMode="External"/><Relationship Id="rId39" Type="http://schemas.openxmlformats.org/officeDocument/2006/relationships/footer" Target="footer9.xml"/><Relationship Id="rId3" Type="http://schemas.openxmlformats.org/officeDocument/2006/relationships/numbering" Target="numbering.xml"/><Relationship Id="rId21" Type="http://schemas.openxmlformats.org/officeDocument/2006/relationships/hyperlink" Target="https://baike.baidu.com/item/%E5%AF%92%E6%AD%A6%E7%B3%BB" TargetMode="External"/><Relationship Id="rId34" Type="http://schemas.openxmlformats.org/officeDocument/2006/relationships/image" Target="media/image8.jpeg"/><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5" Type="http://schemas.openxmlformats.org/officeDocument/2006/relationships/hyperlink" Target="https://baike.baidu.com/item/%E6%B3%A5%E7%9B%86%E7%B3%BB" TargetMode="External"/><Relationship Id="rId33" Type="http://schemas.openxmlformats.org/officeDocument/2006/relationships/image" Target="media/image7.jpeg"/><Relationship Id="rId38"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6.xml"/><Relationship Id="rId29" Type="http://schemas.openxmlformats.org/officeDocument/2006/relationships/image" Target="media/image4.pn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hyperlink" Target="https://baike.baidu.com/item/%E7%99%BD%E5%9E%A9%E7%B3%BB" TargetMode="External"/><Relationship Id="rId32" Type="http://schemas.openxmlformats.org/officeDocument/2006/relationships/image" Target="media/image6.png"/><Relationship Id="rId37" Type="http://schemas.openxmlformats.org/officeDocument/2006/relationships/image" Target="media/image11.tiff"/><Relationship Id="rId40"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footer" Target="footer4.xml"/><Relationship Id="rId23" Type="http://schemas.openxmlformats.org/officeDocument/2006/relationships/hyperlink" Target="https://baike.baidu.com/item/%E4%BA%8C%E5%8F%A0%E7%B3%BB" TargetMode="External"/><Relationship Id="rId28" Type="http://schemas.openxmlformats.org/officeDocument/2006/relationships/image" Target="media/image3.jpeg"/><Relationship Id="rId36" Type="http://schemas.openxmlformats.org/officeDocument/2006/relationships/image" Target="media/image10.jpeg"/><Relationship Id="rId10" Type="http://schemas.openxmlformats.org/officeDocument/2006/relationships/footer" Target="footer1.xml"/><Relationship Id="rId19" Type="http://schemas.openxmlformats.org/officeDocument/2006/relationships/header" Target="header4.xml"/><Relationship Id="rId31" Type="http://schemas.openxmlformats.org/officeDocument/2006/relationships/image" Target="media/image5.jpeg"/><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baike.baidu.com/item/%E7%9F%B3%E7%82%AD%E7%B3%BB" TargetMode="External"/><Relationship Id="rId27" Type="http://schemas.openxmlformats.org/officeDocument/2006/relationships/hyperlink" Target="https://baike.baidu.com/item/%E5%86%B0%E9%9B%B9/35334" TargetMode="External"/><Relationship Id="rId30" Type="http://schemas.openxmlformats.org/officeDocument/2006/relationships/footer" Target="footer7.xml"/><Relationship Id="rId35" Type="http://schemas.openxmlformats.org/officeDocument/2006/relationships/image" Target="media/image9.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32"/>
    <customShpInfo spid="_x0000_s1030"/>
    <customShpInfo spid="_x0000_s1029"/>
    <customShpInfo spid="_x0000_s1027"/>
  </customShpExts>
</s:customData>
</file>

<file path=customXml/itemProps1.xml><?xml version="1.0" encoding="utf-8"?>
<ds:datastoreItem xmlns:ds="http://schemas.openxmlformats.org/officeDocument/2006/customXml" ds:itemID="{DC25DF20-E26A-492C-9203-5BCF3D5478D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10396</Words>
  <Characters>59258</Characters>
  <Application>Microsoft Office Word</Application>
  <DocSecurity>0</DocSecurity>
  <Lines>493</Lines>
  <Paragraphs>139</Paragraphs>
  <ScaleCrop>false</ScaleCrop>
  <Company>sdip.com</Company>
  <LinksUpToDate>false</LinksUpToDate>
  <CharactersWithSpaces>69515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前    言</dc:title>
  <dc:creator>User</dc:creator>
  <cp:lastModifiedBy>邓 清</cp:lastModifiedBy>
  <cp:revision>78</cp:revision>
  <cp:lastPrinted>2022-11-09T01:06:00Z</cp:lastPrinted>
  <dcterms:created xsi:type="dcterms:W3CDTF">2019-01-24T01:24:00Z</dcterms:created>
  <dcterms:modified xsi:type="dcterms:W3CDTF">2022-12-06T01:43:00Z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9AD6CE47BB3441DBA0A166974F2A43D9</vt:lpwstr>
  </property>
</Properties>
</file>