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81"/>
        <w:ind w:firstLine="883"/>
        <w:jc w:val="center"/>
        <w:textAlignment w:val="auto"/>
        <w:rPr>
          <w:rFonts w:ascii="Times New Roman"/>
          <w:b/>
          <w:spacing w:val="0"/>
          <w:kern w:val="2"/>
          <w:sz w:val="44"/>
          <w:szCs w:val="44"/>
        </w:rPr>
      </w:pPr>
    </w:p>
    <w:p>
      <w:pPr>
        <w:rPr>
          <w:rFonts w:ascii="Times New Roman"/>
          <w:b/>
          <w:spacing w:val="0"/>
          <w:kern w:val="2"/>
          <w:sz w:val="44"/>
          <w:szCs w:val="44"/>
        </w:rPr>
      </w:pPr>
    </w:p>
    <w:p>
      <w:pPr>
        <w:ind w:firstLine="0" w:firstLineChars="0"/>
        <w:jc w:val="center"/>
        <w:rPr>
          <w:b/>
          <w:sz w:val="44"/>
          <w:szCs w:val="44"/>
        </w:rPr>
      </w:pPr>
      <w:r>
        <w:rPr>
          <w:b/>
          <w:sz w:val="44"/>
          <w:szCs w:val="44"/>
        </w:rPr>
        <w:t>东营大明钻井有限责任公司</w:t>
      </w:r>
    </w:p>
    <w:p>
      <w:pPr>
        <w:ind w:firstLine="0" w:firstLineChars="0"/>
        <w:jc w:val="center"/>
        <w:rPr>
          <w:b/>
          <w:sz w:val="44"/>
          <w:szCs w:val="44"/>
        </w:rPr>
      </w:pPr>
      <w:r>
        <w:rPr>
          <w:b/>
          <w:sz w:val="44"/>
          <w:szCs w:val="44"/>
        </w:rPr>
        <w:t>钻井（钻井施工）项目</w:t>
      </w:r>
    </w:p>
    <w:p>
      <w:pPr>
        <w:pStyle w:val="2"/>
        <w:ind w:firstLine="560"/>
      </w:pPr>
    </w:p>
    <w:p>
      <w:pPr>
        <w:ind w:firstLine="0" w:firstLineChars="0"/>
        <w:jc w:val="center"/>
        <w:rPr>
          <w:rFonts w:eastAsia="黑体"/>
          <w:b/>
          <w:bCs/>
          <w:kern w:val="0"/>
          <w:sz w:val="52"/>
          <w:szCs w:val="52"/>
        </w:rPr>
      </w:pPr>
      <w:r>
        <w:rPr>
          <w:rFonts w:eastAsia="黑体"/>
          <w:b/>
          <w:bCs/>
          <w:kern w:val="0"/>
          <w:sz w:val="52"/>
          <w:szCs w:val="52"/>
        </w:rPr>
        <w:t>安全现状评价报告</w:t>
      </w:r>
    </w:p>
    <w:p>
      <w:pPr>
        <w:ind w:firstLine="1044"/>
        <w:jc w:val="center"/>
        <w:rPr>
          <w:b/>
          <w:bCs/>
          <w:kern w:val="0"/>
          <w:sz w:val="52"/>
        </w:rPr>
      </w:pPr>
    </w:p>
    <w:p>
      <w:pPr>
        <w:ind w:firstLine="643"/>
        <w:rPr>
          <w:b/>
          <w:bCs/>
          <w:kern w:val="0"/>
          <w:sz w:val="32"/>
        </w:rPr>
      </w:pPr>
    </w:p>
    <w:p>
      <w:pPr>
        <w:ind w:firstLine="643"/>
        <w:rPr>
          <w:b/>
          <w:bCs/>
          <w:kern w:val="0"/>
          <w:sz w:val="32"/>
        </w:rPr>
      </w:pPr>
    </w:p>
    <w:p>
      <w:pPr>
        <w:ind w:firstLine="643"/>
        <w:rPr>
          <w:b/>
          <w:bCs/>
          <w:kern w:val="0"/>
          <w:sz w:val="32"/>
        </w:rPr>
      </w:pPr>
    </w:p>
    <w:p>
      <w:pPr>
        <w:ind w:firstLine="643"/>
        <w:rPr>
          <w:b/>
          <w:bCs/>
          <w:kern w:val="0"/>
          <w:sz w:val="32"/>
        </w:rPr>
      </w:pPr>
    </w:p>
    <w:p>
      <w:pPr>
        <w:ind w:firstLine="643"/>
        <w:rPr>
          <w:b/>
          <w:bCs/>
          <w:kern w:val="0"/>
          <w:sz w:val="32"/>
        </w:rPr>
      </w:pPr>
    </w:p>
    <w:p>
      <w:pPr>
        <w:ind w:firstLine="643"/>
        <w:rPr>
          <w:b/>
          <w:bCs/>
          <w:kern w:val="0"/>
          <w:sz w:val="32"/>
        </w:rPr>
      </w:pPr>
    </w:p>
    <w:p>
      <w:pPr>
        <w:ind w:firstLine="643"/>
        <w:rPr>
          <w:b/>
          <w:bCs/>
          <w:kern w:val="0"/>
          <w:sz w:val="32"/>
        </w:rPr>
      </w:pPr>
    </w:p>
    <w:p>
      <w:pPr>
        <w:ind w:firstLine="643"/>
        <w:rPr>
          <w:b/>
          <w:bCs/>
          <w:kern w:val="0"/>
          <w:sz w:val="32"/>
        </w:rPr>
      </w:pPr>
    </w:p>
    <w:p>
      <w:pPr>
        <w:spacing w:before="360" w:beforeLines="150" w:line="520" w:lineRule="exact"/>
        <w:ind w:firstLine="0" w:firstLineChars="0"/>
        <w:jc w:val="center"/>
        <w:rPr>
          <w:b/>
          <w:bCs/>
          <w:sz w:val="44"/>
          <w:szCs w:val="44"/>
        </w:rPr>
      </w:pPr>
      <w:r>
        <w:rPr>
          <w:b/>
          <w:bCs/>
          <w:sz w:val="44"/>
          <w:szCs w:val="44"/>
        </w:rPr>
        <w:t>山东实华安全技术有限公司</w:t>
      </w:r>
    </w:p>
    <w:p>
      <w:pPr>
        <w:spacing w:before="120" w:beforeLines="50" w:line="520" w:lineRule="exact"/>
        <w:ind w:firstLine="0" w:firstLineChars="0"/>
        <w:jc w:val="center"/>
        <w:rPr>
          <w:b/>
          <w:sz w:val="32"/>
          <w:szCs w:val="32"/>
        </w:rPr>
      </w:pPr>
      <w:r>
        <w:rPr>
          <w:b/>
          <w:sz w:val="32"/>
          <w:szCs w:val="32"/>
        </w:rPr>
        <w:t>资质证书编号：APJ-（鲁）-013</w:t>
      </w:r>
    </w:p>
    <w:p>
      <w:pPr>
        <w:spacing w:before="120" w:beforeLines="50"/>
        <w:ind w:firstLine="0" w:firstLineChars="0"/>
        <w:jc w:val="center"/>
        <w:rPr>
          <w:b/>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3" w:bottom="1440" w:left="1803" w:header="850" w:footer="992" w:gutter="0"/>
          <w:pgBorders>
            <w:top w:val="none" w:sz="0" w:space="0"/>
            <w:left w:val="none" w:sz="0" w:space="0"/>
            <w:bottom w:val="none" w:sz="0" w:space="0"/>
            <w:right w:val="none" w:sz="0" w:space="0"/>
          </w:pgBorders>
          <w:pgNumType w:fmt="lowerRoman" w:start="1"/>
          <w:cols w:space="0" w:num="1"/>
          <w:rtlGutter w:val="0"/>
          <w:docGrid w:linePitch="312" w:charSpace="0"/>
        </w:sectPr>
      </w:pPr>
      <w:r>
        <w:rPr>
          <w:b/>
          <w:sz w:val="32"/>
          <w:szCs w:val="32"/>
        </w:rPr>
        <w:t>202</w:t>
      </w:r>
      <w:r>
        <w:rPr>
          <w:rFonts w:hint="eastAsia"/>
          <w:b/>
          <w:sz w:val="32"/>
          <w:szCs w:val="32"/>
        </w:rPr>
        <w:t>2</w:t>
      </w:r>
      <w:r>
        <w:rPr>
          <w:b/>
          <w:sz w:val="32"/>
          <w:szCs w:val="32"/>
        </w:rPr>
        <w:t>年</w:t>
      </w:r>
      <w:r>
        <w:rPr>
          <w:rFonts w:hint="eastAsia"/>
          <w:b/>
          <w:sz w:val="32"/>
          <w:szCs w:val="32"/>
          <w:lang w:val="en-US" w:eastAsia="zh-CN"/>
        </w:rPr>
        <w:t>10</w:t>
      </w:r>
      <w:r>
        <w:rPr>
          <w:b/>
          <w:sz w:val="32"/>
          <w:szCs w:val="32"/>
        </w:rPr>
        <w:t>月</w:t>
      </w:r>
      <w:r>
        <w:rPr>
          <w:rFonts w:hint="eastAsia"/>
          <w:b/>
          <w:sz w:val="32"/>
          <w:szCs w:val="32"/>
          <w:lang w:val="en-US" w:eastAsia="zh-CN"/>
        </w:rPr>
        <w:t>21</w:t>
      </w:r>
      <w:r>
        <w:rPr>
          <w:b/>
          <w:sz w:val="32"/>
          <w:szCs w:val="32"/>
        </w:rPr>
        <w:t>日</w:t>
      </w:r>
      <w:bookmarkStart w:id="159" w:name="_GoBack"/>
      <w:bookmarkEnd w:id="159"/>
    </w:p>
    <w:p>
      <w:pPr>
        <w:ind w:firstLine="643"/>
        <w:jc w:val="center"/>
        <w:rPr>
          <w:b/>
          <w:bCs/>
          <w:kern w:val="0"/>
          <w:sz w:val="32"/>
        </w:rPr>
        <w:sectPr>
          <w:pgSz w:w="11906" w:h="16838"/>
          <w:pgMar w:top="1440" w:right="1803" w:bottom="1440" w:left="1803" w:header="850" w:footer="992" w:gutter="0"/>
          <w:pgBorders>
            <w:top w:val="none" w:sz="0" w:space="0"/>
            <w:left w:val="none" w:sz="0" w:space="0"/>
            <w:bottom w:val="none" w:sz="0" w:space="0"/>
            <w:right w:val="none" w:sz="0" w:space="0"/>
          </w:pgBorders>
          <w:pgNumType w:fmt="lowerRoman" w:start="1"/>
          <w:cols w:space="0" w:num="1"/>
          <w:rtlGutter w:val="0"/>
          <w:docGrid w:linePitch="312" w:charSpace="0"/>
        </w:sectPr>
      </w:pPr>
    </w:p>
    <w:p>
      <w:pPr>
        <w:ind w:firstLine="643"/>
        <w:jc w:val="center"/>
        <w:rPr>
          <w:b/>
          <w:bCs/>
          <w:kern w:val="0"/>
          <w:sz w:val="32"/>
        </w:rPr>
      </w:pPr>
    </w:p>
    <w:p>
      <w:pPr>
        <w:ind w:firstLine="643"/>
        <w:jc w:val="center"/>
        <w:rPr>
          <w:b/>
          <w:bCs/>
          <w:kern w:val="0"/>
          <w:sz w:val="32"/>
        </w:rPr>
      </w:pPr>
    </w:p>
    <w:p>
      <w:pPr>
        <w:ind w:firstLine="0" w:firstLineChars="0"/>
        <w:jc w:val="center"/>
        <w:rPr>
          <w:b/>
          <w:sz w:val="32"/>
          <w:szCs w:val="44"/>
        </w:rPr>
      </w:pPr>
    </w:p>
    <w:p>
      <w:pPr>
        <w:ind w:firstLine="0" w:firstLineChars="0"/>
        <w:jc w:val="center"/>
        <w:rPr>
          <w:rFonts w:hint="eastAsia"/>
          <w:b/>
          <w:sz w:val="32"/>
          <w:szCs w:val="44"/>
        </w:rPr>
      </w:pPr>
      <w:r>
        <w:rPr>
          <w:rFonts w:hint="eastAsia"/>
          <w:b/>
          <w:sz w:val="32"/>
          <w:szCs w:val="44"/>
        </w:rPr>
        <w:t>东营大明钻井有限责任公司</w:t>
      </w:r>
    </w:p>
    <w:p>
      <w:pPr>
        <w:ind w:firstLine="0" w:firstLineChars="0"/>
        <w:jc w:val="center"/>
        <w:rPr>
          <w:rFonts w:hint="eastAsia"/>
          <w:b/>
          <w:sz w:val="32"/>
          <w:szCs w:val="44"/>
        </w:rPr>
      </w:pPr>
      <w:r>
        <w:rPr>
          <w:rFonts w:hint="eastAsia"/>
          <w:b/>
          <w:sz w:val="32"/>
          <w:szCs w:val="44"/>
        </w:rPr>
        <w:t>钻井（钻井施工）项目</w:t>
      </w:r>
    </w:p>
    <w:p>
      <w:pPr>
        <w:pStyle w:val="2"/>
        <w:ind w:firstLine="560"/>
      </w:pPr>
    </w:p>
    <w:p>
      <w:pPr>
        <w:ind w:firstLine="0" w:firstLineChars="0"/>
        <w:jc w:val="center"/>
        <w:rPr>
          <w:b/>
          <w:bCs/>
          <w:sz w:val="44"/>
          <w:szCs w:val="52"/>
        </w:rPr>
      </w:pPr>
      <w:r>
        <w:rPr>
          <w:b/>
          <w:bCs/>
          <w:sz w:val="44"/>
          <w:szCs w:val="52"/>
        </w:rPr>
        <w:t>安全</w:t>
      </w:r>
      <w:r>
        <w:rPr>
          <w:rFonts w:hint="eastAsia"/>
          <w:b/>
          <w:bCs/>
          <w:sz w:val="44"/>
          <w:szCs w:val="52"/>
        </w:rPr>
        <w:t>现状</w:t>
      </w:r>
      <w:r>
        <w:rPr>
          <w:b/>
          <w:bCs/>
          <w:sz w:val="44"/>
          <w:szCs w:val="52"/>
        </w:rPr>
        <w:t>评价报告</w:t>
      </w:r>
    </w:p>
    <w:p>
      <w:pPr>
        <w:ind w:firstLine="883"/>
        <w:rPr>
          <w:b/>
          <w:bCs/>
          <w:spacing w:val="60"/>
          <w:sz w:val="32"/>
          <w:szCs w:val="32"/>
        </w:rPr>
      </w:pPr>
    </w:p>
    <w:p>
      <w:pPr>
        <w:ind w:firstLine="261"/>
        <w:rPr>
          <w:b/>
          <w:bCs/>
          <w:sz w:val="13"/>
        </w:rPr>
      </w:pPr>
    </w:p>
    <w:p>
      <w:pPr>
        <w:ind w:firstLine="562"/>
        <w:jc w:val="center"/>
        <w:rPr>
          <w:b/>
          <w:bCs/>
          <w:kern w:val="0"/>
        </w:rPr>
      </w:pPr>
    </w:p>
    <w:p>
      <w:pPr>
        <w:ind w:firstLine="643"/>
        <w:rPr>
          <w:b/>
          <w:bCs/>
          <w:kern w:val="0"/>
          <w:sz w:val="32"/>
        </w:rPr>
      </w:pPr>
    </w:p>
    <w:p>
      <w:pPr>
        <w:spacing w:line="800" w:lineRule="exact"/>
        <w:ind w:firstLine="560"/>
        <w:jc w:val="center"/>
        <w:rPr>
          <w:szCs w:val="32"/>
        </w:rPr>
      </w:pPr>
    </w:p>
    <w:p>
      <w:pPr>
        <w:spacing w:line="800" w:lineRule="exact"/>
        <w:ind w:firstLine="560"/>
        <w:jc w:val="center"/>
        <w:rPr>
          <w:szCs w:val="32"/>
        </w:rPr>
      </w:pPr>
    </w:p>
    <w:p>
      <w:pPr>
        <w:spacing w:line="800" w:lineRule="exact"/>
        <w:ind w:firstLine="560"/>
        <w:jc w:val="center"/>
        <w:rPr>
          <w:szCs w:val="32"/>
        </w:rPr>
      </w:pPr>
    </w:p>
    <w:p>
      <w:pPr>
        <w:ind w:firstLine="0" w:firstLineChars="0"/>
        <w:jc w:val="center"/>
        <w:rPr>
          <w:szCs w:val="32"/>
        </w:rPr>
      </w:pPr>
      <w:r>
        <w:rPr>
          <w:szCs w:val="32"/>
        </w:rPr>
        <w:t>法定代表人：</w:t>
      </w:r>
      <w:r>
        <w:rPr>
          <w:rFonts w:hint="eastAsia"/>
          <w:szCs w:val="32"/>
        </w:rPr>
        <w:t>任红艳</w:t>
      </w:r>
    </w:p>
    <w:p>
      <w:pPr>
        <w:ind w:firstLine="0" w:firstLineChars="0"/>
        <w:jc w:val="center"/>
        <w:rPr>
          <w:szCs w:val="32"/>
        </w:rPr>
      </w:pPr>
      <w:r>
        <w:rPr>
          <w:szCs w:val="32"/>
        </w:rPr>
        <w:t>技术负责人：</w:t>
      </w:r>
      <w:r>
        <w:rPr>
          <w:rFonts w:hint="eastAsia"/>
          <w:szCs w:val="32"/>
        </w:rPr>
        <w:t>吴佳东</w:t>
      </w:r>
    </w:p>
    <w:p>
      <w:pPr>
        <w:ind w:firstLine="0" w:firstLineChars="0"/>
        <w:jc w:val="center"/>
        <w:rPr>
          <w:szCs w:val="32"/>
        </w:rPr>
      </w:pPr>
      <w:r>
        <w:rPr>
          <w:szCs w:val="32"/>
        </w:rPr>
        <w:t>评价项目负责人：</w:t>
      </w:r>
      <w:r>
        <w:rPr>
          <w:rFonts w:hint="eastAsia"/>
          <w:szCs w:val="32"/>
        </w:rPr>
        <w:t>周菲菲</w:t>
      </w:r>
    </w:p>
    <w:p>
      <w:pPr>
        <w:ind w:firstLine="0" w:firstLineChars="0"/>
        <w:jc w:val="center"/>
        <w:rPr>
          <w:szCs w:val="32"/>
        </w:rPr>
      </w:pPr>
    </w:p>
    <w:p>
      <w:pPr>
        <w:ind w:firstLine="0" w:firstLineChars="0"/>
        <w:jc w:val="center"/>
        <w:rPr>
          <w:szCs w:val="32"/>
        </w:rPr>
      </w:pPr>
    </w:p>
    <w:p>
      <w:pPr>
        <w:pStyle w:val="2"/>
        <w:ind w:firstLine="560"/>
      </w:pPr>
    </w:p>
    <w:p>
      <w:pPr>
        <w:ind w:firstLine="0" w:firstLineChars="0"/>
        <w:jc w:val="center"/>
        <w:rPr>
          <w:b/>
          <w:bCs/>
          <w:kern w:val="0"/>
          <w:sz w:val="24"/>
        </w:rPr>
      </w:pPr>
      <w:r>
        <w:rPr>
          <w:b/>
          <w:bCs/>
          <w:kern w:val="0"/>
          <w:sz w:val="24"/>
        </w:rPr>
        <w:t>报告完成日期：202</w:t>
      </w:r>
      <w:r>
        <w:rPr>
          <w:rFonts w:hint="eastAsia"/>
          <w:b/>
          <w:bCs/>
          <w:kern w:val="0"/>
          <w:sz w:val="24"/>
        </w:rPr>
        <w:t>2</w:t>
      </w:r>
      <w:r>
        <w:rPr>
          <w:b/>
          <w:bCs/>
          <w:kern w:val="0"/>
          <w:sz w:val="24"/>
        </w:rPr>
        <w:t>年</w:t>
      </w:r>
      <w:r>
        <w:rPr>
          <w:rFonts w:hint="eastAsia"/>
          <w:b/>
          <w:bCs/>
          <w:kern w:val="0"/>
          <w:sz w:val="24"/>
          <w:lang w:val="en-US" w:eastAsia="zh-CN"/>
        </w:rPr>
        <w:t>10</w:t>
      </w:r>
      <w:r>
        <w:rPr>
          <w:b/>
          <w:bCs/>
          <w:kern w:val="0"/>
          <w:sz w:val="24"/>
        </w:rPr>
        <w:t>月</w:t>
      </w:r>
      <w:r>
        <w:rPr>
          <w:rFonts w:hint="eastAsia"/>
          <w:b/>
          <w:bCs/>
          <w:kern w:val="0"/>
          <w:sz w:val="24"/>
          <w:lang w:val="en-US" w:eastAsia="zh-CN"/>
        </w:rPr>
        <w:t>21</w:t>
      </w:r>
      <w:r>
        <w:rPr>
          <w:b/>
          <w:bCs/>
          <w:kern w:val="0"/>
          <w:sz w:val="24"/>
        </w:rPr>
        <w:t>日</w:t>
      </w:r>
    </w:p>
    <w:p>
      <w:pPr>
        <w:ind w:firstLine="640"/>
        <w:rPr>
          <w:kern w:val="0"/>
          <w:sz w:val="32"/>
        </w:rPr>
      </w:pPr>
    </w:p>
    <w:p>
      <w:pPr>
        <w:ind w:firstLine="643"/>
        <w:jc w:val="center"/>
        <w:rPr>
          <w:b/>
          <w:bCs/>
          <w:kern w:val="44"/>
          <w:sz w:val="32"/>
          <w:szCs w:val="32"/>
        </w:rPr>
        <w:sectPr>
          <w:pgSz w:w="11906" w:h="16838"/>
          <w:pgMar w:top="1440" w:right="1803" w:bottom="1440" w:left="1803" w:header="850" w:footer="992" w:gutter="0"/>
          <w:pgBorders>
            <w:top w:val="none" w:sz="0" w:space="0"/>
            <w:left w:val="none" w:sz="0" w:space="0"/>
            <w:bottom w:val="none" w:sz="0" w:space="0"/>
            <w:right w:val="none" w:sz="0" w:space="0"/>
          </w:pgBorders>
          <w:pgNumType w:fmt="lowerRoman" w:start="1"/>
          <w:cols w:space="0" w:num="1"/>
          <w:rtlGutter w:val="0"/>
          <w:docGrid w:linePitch="312" w:charSpace="0"/>
        </w:sectPr>
      </w:pPr>
    </w:p>
    <w:p>
      <w:pPr>
        <w:ind w:firstLine="643"/>
        <w:jc w:val="center"/>
        <w:rPr>
          <w:b/>
          <w:bCs/>
          <w:kern w:val="44"/>
          <w:sz w:val="32"/>
          <w:szCs w:val="32"/>
        </w:rPr>
        <w:sectPr>
          <w:pgSz w:w="11906" w:h="16838"/>
          <w:pgMar w:top="1440" w:right="1803" w:bottom="1440" w:left="1803" w:header="850" w:footer="992" w:gutter="0"/>
          <w:pgBorders>
            <w:top w:val="none" w:sz="0" w:space="0"/>
            <w:left w:val="none" w:sz="0" w:space="0"/>
            <w:bottom w:val="none" w:sz="0" w:space="0"/>
            <w:right w:val="none" w:sz="0" w:space="0"/>
          </w:pgBorders>
          <w:pgNumType w:start="1"/>
          <w:cols w:space="0" w:num="1"/>
          <w:rtlGutter w:val="0"/>
          <w:docGrid w:linePitch="312" w:charSpace="0"/>
        </w:sectPr>
      </w:pPr>
    </w:p>
    <w:p>
      <w:pPr>
        <w:ind w:firstLine="0" w:firstLineChars="0"/>
        <w:jc w:val="center"/>
        <w:rPr>
          <w:rFonts w:hint="eastAsia"/>
          <w:b/>
          <w:bCs/>
          <w:kern w:val="44"/>
          <w:sz w:val="32"/>
          <w:szCs w:val="32"/>
        </w:rPr>
        <w:sectPr>
          <w:headerReference r:id="rId11" w:type="default"/>
          <w:footerReference r:id="rId12" w:type="default"/>
          <w:pgSz w:w="11906" w:h="16838"/>
          <w:pgMar w:top="1440" w:right="1803" w:bottom="1440" w:left="1803" w:header="850" w:footer="992" w:gutter="0"/>
          <w:pgBorders>
            <w:top w:val="none" w:sz="0" w:space="0"/>
            <w:left w:val="none" w:sz="0" w:space="0"/>
            <w:bottom w:val="none" w:sz="0" w:space="0"/>
            <w:right w:val="none" w:sz="0" w:space="0"/>
          </w:pgBorders>
          <w:pgNumType w:start="1"/>
          <w:cols w:space="0" w:num="1"/>
          <w:rtlGutter w:val="0"/>
          <w:docGrid w:linePitch="312" w:charSpace="0"/>
        </w:sectPr>
      </w:pPr>
      <w:r>
        <w:rPr>
          <w:b/>
          <w:bCs/>
          <w:kern w:val="44"/>
          <w:sz w:val="32"/>
          <w:szCs w:val="32"/>
        </w:rPr>
        <w:drawing>
          <wp:anchor distT="0" distB="0" distL="114300" distR="114300" simplePos="0" relativeHeight="251660288" behindDoc="0" locked="0" layoutInCell="1" allowOverlap="1">
            <wp:simplePos x="0" y="0"/>
            <wp:positionH relativeFrom="column">
              <wp:posOffset>-68580</wp:posOffset>
            </wp:positionH>
            <wp:positionV relativeFrom="paragraph">
              <wp:posOffset>142875</wp:posOffset>
            </wp:positionV>
            <wp:extent cx="5263515" cy="7439660"/>
            <wp:effectExtent l="0" t="0" r="13335" b="8890"/>
            <wp:wrapSquare wrapText="bothSides"/>
            <wp:docPr id="25" name="图片 218" descr="安全评价委托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18" descr="安全评价委托书"/>
                    <pic:cNvPicPr>
                      <a:picLocks noChangeAspect="1"/>
                    </pic:cNvPicPr>
                  </pic:nvPicPr>
                  <pic:blipFill>
                    <a:blip r:embed="rId25"/>
                    <a:stretch>
                      <a:fillRect/>
                    </a:stretch>
                  </pic:blipFill>
                  <pic:spPr>
                    <a:xfrm>
                      <a:off x="0" y="0"/>
                      <a:ext cx="5263515" cy="7439660"/>
                    </a:xfrm>
                    <a:prstGeom prst="rect">
                      <a:avLst/>
                    </a:prstGeom>
                    <a:noFill/>
                    <a:ln>
                      <a:noFill/>
                    </a:ln>
                  </pic:spPr>
                </pic:pic>
              </a:graphicData>
            </a:graphic>
          </wp:anchor>
        </w:drawing>
      </w:r>
    </w:p>
    <w:p>
      <w:pPr>
        <w:ind w:firstLine="0" w:firstLineChars="0"/>
        <w:jc w:val="center"/>
        <w:rPr>
          <w:b/>
          <w:bCs/>
          <w:kern w:val="44"/>
          <w:sz w:val="32"/>
          <w:szCs w:val="32"/>
        </w:rPr>
        <w:sectPr>
          <w:pgSz w:w="11906" w:h="16838"/>
          <w:pgMar w:top="1440" w:right="1803" w:bottom="1440" w:left="1803" w:header="850" w:footer="992" w:gutter="0"/>
          <w:pgBorders>
            <w:top w:val="none" w:sz="0" w:space="0"/>
            <w:left w:val="none" w:sz="0" w:space="0"/>
            <w:bottom w:val="none" w:sz="0" w:space="0"/>
            <w:right w:val="none" w:sz="0" w:space="0"/>
          </w:pgBorders>
          <w:pgNumType w:start="1"/>
          <w:cols w:space="0" w:num="1"/>
          <w:rtlGutter w:val="0"/>
          <w:docGrid w:linePitch="312" w:charSpace="0"/>
        </w:sectPr>
      </w:pPr>
    </w:p>
    <w:p>
      <w:pPr>
        <w:ind w:firstLine="0" w:firstLineChars="0"/>
        <w:jc w:val="center"/>
        <w:rPr>
          <w:b/>
          <w:bCs/>
          <w:kern w:val="44"/>
          <w:sz w:val="32"/>
          <w:szCs w:val="32"/>
        </w:rPr>
      </w:pPr>
      <w:r>
        <w:rPr>
          <w:b/>
          <w:bCs/>
          <w:kern w:val="44"/>
          <w:sz w:val="32"/>
          <w:szCs w:val="32"/>
        </w:rPr>
        <w:t>前  言</w:t>
      </w:r>
    </w:p>
    <w:p>
      <w:pPr>
        <w:ind w:firstLine="560"/>
        <w:rPr>
          <w:rFonts w:hint="eastAsia"/>
          <w:b/>
          <w:bCs/>
          <w:lang w:val="en-US" w:eastAsia="zh-CN"/>
        </w:rPr>
      </w:pPr>
      <w:r>
        <w:rPr>
          <w:rFonts w:hint="eastAsia"/>
          <w:b/>
          <w:bCs/>
          <w:lang w:val="en-US" w:eastAsia="zh-CN"/>
        </w:rPr>
        <w:t>涉及企业机密，不予公开。</w:t>
      </w:r>
    </w:p>
    <w:p>
      <w:pPr>
        <w:ind w:firstLine="560"/>
      </w:pPr>
      <w:r>
        <w:rPr>
          <w:rFonts w:hint="eastAsia"/>
        </w:rPr>
        <w:t>根据《中华人民共和国安全生产法》（中华人民共和国主席令[2021]第88号修正）、《安全生产许可证条例》（国务院令[2014]第653号修改）、《非煤矿矿山企业安全生产许可证实施办法》（国家安全生产监督管理总局令[2009]第20号，2015修订版）、《山东省非煤矿矿山企业安全生产许可证实施方案》（鲁安监发[2009]133号）等规定的要求，为办理非煤矿矿山企业安全生产许可证，</w:t>
      </w:r>
      <w:r>
        <w:t>东营大明钻井有限责任公司</w:t>
      </w:r>
      <w:r>
        <w:rPr>
          <w:rFonts w:hint="eastAsia"/>
        </w:rPr>
        <w:t>委托我公司对其进行安全现状评价。</w:t>
      </w:r>
    </w:p>
    <w:p>
      <w:pPr>
        <w:ind w:firstLine="560"/>
      </w:pPr>
      <w:r>
        <w:rPr>
          <w:rFonts w:hint="eastAsia"/>
        </w:rPr>
        <w:t>我公司接到委托后，成立了评价项目组，按照《安全评价通则》（AQ8001-2007）的要求，进行了资料与标准收集、现场调研、工程分析、危险与有害因素分析、定性评价，并在此基础上提出了安全对策措施建议，最后编制完成了本安全现状评价报告。</w:t>
      </w:r>
    </w:p>
    <w:p>
      <w:pPr>
        <w:ind w:firstLine="560"/>
      </w:pPr>
      <w:r>
        <w:rPr>
          <w:rFonts w:hint="eastAsia"/>
        </w:rPr>
        <w:t>此次安全评价工作，自始至终都得到了东营大明钻井有限责任公司领导和员工的大力支持和配合，在此表示衷心的感谢！</w:t>
      </w:r>
    </w:p>
    <w:p>
      <w:pPr>
        <w:ind w:firstLine="560"/>
        <w:jc w:val="right"/>
      </w:pPr>
      <w:r>
        <w:t>评价项目组</w:t>
      </w:r>
    </w:p>
    <w:p>
      <w:pPr>
        <w:ind w:firstLine="560"/>
        <w:jc w:val="right"/>
        <w:rPr>
          <w:shd w:val="pct10" w:color="auto" w:fill="FFFFFF"/>
        </w:rPr>
      </w:pPr>
      <w:r>
        <w:t>202</w:t>
      </w:r>
      <w:r>
        <w:rPr>
          <w:rFonts w:hint="eastAsia"/>
        </w:rPr>
        <w:t>2</w:t>
      </w:r>
      <w:r>
        <w:t>年</w:t>
      </w:r>
      <w:r>
        <w:rPr>
          <w:rFonts w:hint="eastAsia"/>
          <w:lang w:val="en-US" w:eastAsia="zh-CN"/>
        </w:rPr>
        <w:t>10</w:t>
      </w:r>
      <w:r>
        <w:t>月</w:t>
      </w:r>
    </w:p>
    <w:p>
      <w:pPr>
        <w:ind w:right="140" w:firstLine="560"/>
        <w:jc w:val="right"/>
        <w:rPr>
          <w:shd w:val="pct10" w:color="auto" w:fill="FFFFFF"/>
        </w:rPr>
        <w:sectPr>
          <w:pgSz w:w="11906" w:h="16838"/>
          <w:pgMar w:top="1440" w:right="1803" w:bottom="1440" w:left="1803" w:header="850" w:footer="992" w:gutter="0"/>
          <w:pgBorders>
            <w:top w:val="none" w:sz="0" w:space="0"/>
            <w:left w:val="none" w:sz="0" w:space="0"/>
            <w:bottom w:val="none" w:sz="0" w:space="0"/>
            <w:right w:val="none" w:sz="0" w:space="0"/>
          </w:pgBorders>
          <w:pgNumType w:start="1"/>
          <w:cols w:space="0" w:num="1"/>
          <w:rtlGutter w:val="0"/>
          <w:docGrid w:linePitch="312" w:charSpace="0"/>
        </w:sectPr>
      </w:pPr>
    </w:p>
    <w:p>
      <w:pPr>
        <w:spacing w:before="240" w:beforeLines="100" w:line="440" w:lineRule="exact"/>
        <w:ind w:firstLine="0" w:firstLineChars="0"/>
        <w:jc w:val="center"/>
        <w:rPr>
          <w:b/>
          <w:bCs/>
          <w:kern w:val="44"/>
          <w:sz w:val="30"/>
          <w:szCs w:val="30"/>
        </w:rPr>
      </w:pPr>
      <w:r>
        <w:rPr>
          <w:b/>
          <w:bCs/>
          <w:kern w:val="44"/>
          <w:sz w:val="30"/>
          <w:szCs w:val="30"/>
        </w:rPr>
        <w:t>目  录</w:t>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0" w:firstLineChars="0"/>
        <w:textAlignment w:val="auto"/>
        <w:rPr>
          <w:b w:val="0"/>
          <w:color w:val="auto"/>
          <w:sz w:val="21"/>
          <w:szCs w:val="21"/>
        </w:rPr>
      </w:pPr>
      <w:r>
        <w:rPr>
          <w:b w:val="0"/>
          <w:color w:val="auto"/>
          <w:sz w:val="21"/>
          <w:szCs w:val="21"/>
        </w:rPr>
        <w:fldChar w:fldCharType="begin"/>
      </w:r>
      <w:r>
        <w:rPr>
          <w:b w:val="0"/>
          <w:color w:val="auto"/>
          <w:sz w:val="21"/>
          <w:szCs w:val="21"/>
        </w:rPr>
        <w:instrText xml:space="preserve"> TOC \o "1-2" \h \z \u </w:instrText>
      </w:r>
      <w:r>
        <w:rPr>
          <w:b w:val="0"/>
          <w:color w:val="auto"/>
          <w:sz w:val="21"/>
          <w:szCs w:val="21"/>
        </w:rPr>
        <w:fldChar w:fldCharType="separate"/>
      </w:r>
      <w:r>
        <w:rPr>
          <w:b w:val="0"/>
          <w:color w:val="auto"/>
          <w:sz w:val="21"/>
          <w:szCs w:val="21"/>
        </w:rPr>
        <w:fldChar w:fldCharType="begin"/>
      </w:r>
      <w:r>
        <w:rPr>
          <w:b w:val="0"/>
          <w:color w:val="auto"/>
          <w:sz w:val="21"/>
          <w:szCs w:val="21"/>
        </w:rPr>
        <w:instrText xml:space="preserve"> HYPERLINK \l _Toc17179 </w:instrText>
      </w:r>
      <w:r>
        <w:rPr>
          <w:b w:val="0"/>
          <w:color w:val="auto"/>
          <w:sz w:val="21"/>
          <w:szCs w:val="21"/>
        </w:rPr>
        <w:fldChar w:fldCharType="separate"/>
      </w:r>
      <w:r>
        <w:rPr>
          <w:b w:val="0"/>
          <w:color w:val="auto"/>
          <w:sz w:val="21"/>
          <w:szCs w:val="21"/>
        </w:rPr>
        <w:t xml:space="preserve">1  </w:t>
      </w:r>
      <w:r>
        <w:rPr>
          <w:rFonts w:hint="eastAsia"/>
          <w:b w:val="0"/>
          <w:color w:val="auto"/>
          <w:sz w:val="21"/>
          <w:szCs w:val="21"/>
        </w:rPr>
        <w:t>总则</w:t>
      </w:r>
      <w:r>
        <w:rPr>
          <w:b w:val="0"/>
          <w:color w:val="auto"/>
          <w:sz w:val="21"/>
          <w:szCs w:val="21"/>
        </w:rPr>
        <w:tab/>
      </w:r>
      <w:r>
        <w:rPr>
          <w:b w:val="0"/>
          <w:color w:val="auto"/>
          <w:sz w:val="21"/>
          <w:szCs w:val="21"/>
        </w:rPr>
        <w:fldChar w:fldCharType="begin"/>
      </w:r>
      <w:r>
        <w:rPr>
          <w:b w:val="0"/>
          <w:color w:val="auto"/>
          <w:sz w:val="21"/>
          <w:szCs w:val="21"/>
        </w:rPr>
        <w:instrText xml:space="preserve"> PAGEREF _Toc17179 \h </w:instrText>
      </w:r>
      <w:r>
        <w:rPr>
          <w:b w:val="0"/>
          <w:color w:val="auto"/>
          <w:sz w:val="21"/>
          <w:szCs w:val="21"/>
        </w:rPr>
        <w:fldChar w:fldCharType="separate"/>
      </w:r>
      <w:r>
        <w:rPr>
          <w:b w:val="0"/>
          <w:color w:val="auto"/>
          <w:sz w:val="21"/>
          <w:szCs w:val="21"/>
        </w:rPr>
        <w:t>1</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_Toc12405 </w:instrText>
      </w:r>
      <w:r>
        <w:rPr>
          <w:b w:val="0"/>
          <w:color w:val="auto"/>
          <w:sz w:val="21"/>
          <w:szCs w:val="21"/>
        </w:rPr>
        <w:fldChar w:fldCharType="separate"/>
      </w:r>
      <w:r>
        <w:rPr>
          <w:b w:val="0"/>
          <w:color w:val="auto"/>
          <w:sz w:val="21"/>
          <w:szCs w:val="21"/>
        </w:rPr>
        <w:t xml:space="preserve">1.1  </w:t>
      </w:r>
      <w:r>
        <w:rPr>
          <w:rFonts w:hint="eastAsia"/>
          <w:b w:val="0"/>
          <w:color w:val="auto"/>
          <w:sz w:val="21"/>
          <w:szCs w:val="21"/>
        </w:rPr>
        <w:t>评价目的</w:t>
      </w:r>
      <w:r>
        <w:rPr>
          <w:b w:val="0"/>
          <w:color w:val="auto"/>
          <w:sz w:val="21"/>
          <w:szCs w:val="21"/>
        </w:rPr>
        <w:tab/>
      </w:r>
      <w:r>
        <w:rPr>
          <w:b w:val="0"/>
          <w:color w:val="auto"/>
          <w:sz w:val="21"/>
          <w:szCs w:val="21"/>
        </w:rPr>
        <w:fldChar w:fldCharType="begin"/>
      </w:r>
      <w:r>
        <w:rPr>
          <w:b w:val="0"/>
          <w:color w:val="auto"/>
          <w:sz w:val="21"/>
          <w:szCs w:val="21"/>
        </w:rPr>
        <w:instrText xml:space="preserve"> PAGEREF _Toc12405 \h </w:instrText>
      </w:r>
      <w:r>
        <w:rPr>
          <w:b w:val="0"/>
          <w:color w:val="auto"/>
          <w:sz w:val="21"/>
          <w:szCs w:val="21"/>
        </w:rPr>
        <w:fldChar w:fldCharType="separate"/>
      </w:r>
      <w:r>
        <w:rPr>
          <w:b w:val="0"/>
          <w:color w:val="auto"/>
          <w:sz w:val="21"/>
          <w:szCs w:val="21"/>
        </w:rPr>
        <w:t>1</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_Toc1636 </w:instrText>
      </w:r>
      <w:r>
        <w:rPr>
          <w:b w:val="0"/>
          <w:color w:val="auto"/>
          <w:sz w:val="21"/>
          <w:szCs w:val="21"/>
        </w:rPr>
        <w:fldChar w:fldCharType="separate"/>
      </w:r>
      <w:r>
        <w:rPr>
          <w:b w:val="0"/>
          <w:color w:val="auto"/>
          <w:sz w:val="21"/>
          <w:szCs w:val="21"/>
        </w:rPr>
        <w:t xml:space="preserve">1.2  </w:t>
      </w:r>
      <w:r>
        <w:rPr>
          <w:rFonts w:hint="eastAsia"/>
          <w:b w:val="0"/>
          <w:color w:val="auto"/>
          <w:sz w:val="21"/>
          <w:szCs w:val="21"/>
        </w:rPr>
        <w:t>评价依据</w:t>
      </w:r>
      <w:r>
        <w:rPr>
          <w:b w:val="0"/>
          <w:color w:val="auto"/>
          <w:sz w:val="21"/>
          <w:szCs w:val="21"/>
        </w:rPr>
        <w:tab/>
      </w:r>
      <w:r>
        <w:rPr>
          <w:b w:val="0"/>
          <w:color w:val="auto"/>
          <w:sz w:val="21"/>
          <w:szCs w:val="21"/>
        </w:rPr>
        <w:fldChar w:fldCharType="begin"/>
      </w:r>
      <w:r>
        <w:rPr>
          <w:b w:val="0"/>
          <w:color w:val="auto"/>
          <w:sz w:val="21"/>
          <w:szCs w:val="21"/>
        </w:rPr>
        <w:instrText xml:space="preserve"> PAGEREF _Toc1636 \h </w:instrText>
      </w:r>
      <w:r>
        <w:rPr>
          <w:b w:val="0"/>
          <w:color w:val="auto"/>
          <w:sz w:val="21"/>
          <w:szCs w:val="21"/>
        </w:rPr>
        <w:fldChar w:fldCharType="separate"/>
      </w:r>
      <w:r>
        <w:rPr>
          <w:b w:val="0"/>
          <w:color w:val="auto"/>
          <w:sz w:val="21"/>
          <w:szCs w:val="21"/>
        </w:rPr>
        <w:t>1</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_Toc15507 </w:instrText>
      </w:r>
      <w:r>
        <w:rPr>
          <w:b w:val="0"/>
          <w:color w:val="auto"/>
          <w:sz w:val="21"/>
          <w:szCs w:val="21"/>
        </w:rPr>
        <w:fldChar w:fldCharType="separate"/>
      </w:r>
      <w:r>
        <w:rPr>
          <w:b w:val="0"/>
          <w:color w:val="auto"/>
          <w:sz w:val="21"/>
          <w:szCs w:val="21"/>
        </w:rPr>
        <w:t xml:space="preserve">1.3  </w:t>
      </w:r>
      <w:r>
        <w:rPr>
          <w:rFonts w:hint="eastAsia"/>
          <w:b w:val="0"/>
          <w:color w:val="auto"/>
          <w:sz w:val="21"/>
          <w:szCs w:val="21"/>
        </w:rPr>
        <w:t>评价范围</w:t>
      </w:r>
      <w:r>
        <w:rPr>
          <w:b w:val="0"/>
          <w:color w:val="auto"/>
          <w:sz w:val="21"/>
          <w:szCs w:val="21"/>
        </w:rPr>
        <w:tab/>
      </w:r>
      <w:r>
        <w:rPr>
          <w:b w:val="0"/>
          <w:color w:val="auto"/>
          <w:sz w:val="21"/>
          <w:szCs w:val="21"/>
        </w:rPr>
        <w:fldChar w:fldCharType="begin"/>
      </w:r>
      <w:r>
        <w:rPr>
          <w:b w:val="0"/>
          <w:color w:val="auto"/>
          <w:sz w:val="21"/>
          <w:szCs w:val="21"/>
        </w:rPr>
        <w:instrText xml:space="preserve"> PAGEREF _Toc15507 \h </w:instrText>
      </w:r>
      <w:r>
        <w:rPr>
          <w:b w:val="0"/>
          <w:color w:val="auto"/>
          <w:sz w:val="21"/>
          <w:szCs w:val="21"/>
        </w:rPr>
        <w:fldChar w:fldCharType="separate"/>
      </w:r>
      <w:r>
        <w:rPr>
          <w:b w:val="0"/>
          <w:color w:val="auto"/>
          <w:sz w:val="21"/>
          <w:szCs w:val="21"/>
        </w:rPr>
        <w:t>8</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_Toc31808 </w:instrText>
      </w:r>
      <w:r>
        <w:rPr>
          <w:b w:val="0"/>
          <w:color w:val="auto"/>
          <w:sz w:val="21"/>
          <w:szCs w:val="21"/>
        </w:rPr>
        <w:fldChar w:fldCharType="separate"/>
      </w:r>
      <w:r>
        <w:rPr>
          <w:b w:val="0"/>
          <w:color w:val="auto"/>
          <w:sz w:val="21"/>
          <w:szCs w:val="21"/>
        </w:rPr>
        <w:t xml:space="preserve">1.4  </w:t>
      </w:r>
      <w:r>
        <w:rPr>
          <w:rFonts w:hint="eastAsia"/>
          <w:b w:val="0"/>
          <w:color w:val="auto"/>
          <w:sz w:val="21"/>
          <w:szCs w:val="21"/>
        </w:rPr>
        <w:t>评价程序</w:t>
      </w:r>
      <w:r>
        <w:rPr>
          <w:b w:val="0"/>
          <w:color w:val="auto"/>
          <w:sz w:val="21"/>
          <w:szCs w:val="21"/>
        </w:rPr>
        <w:tab/>
      </w:r>
      <w:r>
        <w:rPr>
          <w:b w:val="0"/>
          <w:color w:val="auto"/>
          <w:sz w:val="21"/>
          <w:szCs w:val="21"/>
        </w:rPr>
        <w:fldChar w:fldCharType="begin"/>
      </w:r>
      <w:r>
        <w:rPr>
          <w:b w:val="0"/>
          <w:color w:val="auto"/>
          <w:sz w:val="21"/>
          <w:szCs w:val="21"/>
        </w:rPr>
        <w:instrText xml:space="preserve"> PAGEREF _Toc31808 \h </w:instrText>
      </w:r>
      <w:r>
        <w:rPr>
          <w:b w:val="0"/>
          <w:color w:val="auto"/>
          <w:sz w:val="21"/>
          <w:szCs w:val="21"/>
        </w:rPr>
        <w:fldChar w:fldCharType="separate"/>
      </w:r>
      <w:r>
        <w:rPr>
          <w:b w:val="0"/>
          <w:color w:val="auto"/>
          <w:sz w:val="21"/>
          <w:szCs w:val="21"/>
        </w:rPr>
        <w:t>9</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0" w:firstLineChars="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_Toc14331 </w:instrText>
      </w:r>
      <w:r>
        <w:rPr>
          <w:b w:val="0"/>
          <w:color w:val="auto"/>
          <w:sz w:val="21"/>
          <w:szCs w:val="21"/>
        </w:rPr>
        <w:fldChar w:fldCharType="separate"/>
      </w:r>
      <w:r>
        <w:rPr>
          <w:b w:val="0"/>
          <w:color w:val="auto"/>
          <w:sz w:val="21"/>
          <w:szCs w:val="21"/>
        </w:rPr>
        <w:t xml:space="preserve">2  </w:t>
      </w:r>
      <w:r>
        <w:rPr>
          <w:rFonts w:hint="eastAsia"/>
          <w:b w:val="0"/>
          <w:color w:val="auto"/>
          <w:sz w:val="21"/>
          <w:szCs w:val="21"/>
        </w:rPr>
        <w:t>企业基本情况</w:t>
      </w:r>
      <w:r>
        <w:rPr>
          <w:b w:val="0"/>
          <w:color w:val="auto"/>
          <w:sz w:val="21"/>
          <w:szCs w:val="21"/>
        </w:rPr>
        <w:tab/>
      </w:r>
      <w:r>
        <w:rPr>
          <w:b w:val="0"/>
          <w:color w:val="auto"/>
          <w:sz w:val="21"/>
          <w:szCs w:val="21"/>
        </w:rPr>
        <w:fldChar w:fldCharType="begin"/>
      </w:r>
      <w:r>
        <w:rPr>
          <w:b w:val="0"/>
          <w:color w:val="auto"/>
          <w:sz w:val="21"/>
          <w:szCs w:val="21"/>
        </w:rPr>
        <w:instrText xml:space="preserve"> PAGEREF _Toc14331 \h </w:instrText>
      </w:r>
      <w:r>
        <w:rPr>
          <w:b w:val="0"/>
          <w:color w:val="auto"/>
          <w:sz w:val="21"/>
          <w:szCs w:val="21"/>
        </w:rPr>
        <w:fldChar w:fldCharType="separate"/>
      </w:r>
      <w:r>
        <w:rPr>
          <w:b w:val="0"/>
          <w:color w:val="auto"/>
          <w:sz w:val="21"/>
          <w:szCs w:val="21"/>
        </w:rPr>
        <w:t>12</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_Toc28722 </w:instrText>
      </w:r>
      <w:r>
        <w:rPr>
          <w:b w:val="0"/>
          <w:color w:val="auto"/>
          <w:sz w:val="21"/>
          <w:szCs w:val="21"/>
        </w:rPr>
        <w:fldChar w:fldCharType="separate"/>
      </w:r>
      <w:r>
        <w:rPr>
          <w:b w:val="0"/>
          <w:color w:val="auto"/>
          <w:sz w:val="21"/>
          <w:szCs w:val="21"/>
        </w:rPr>
        <w:t xml:space="preserve">2.1  </w:t>
      </w:r>
      <w:r>
        <w:rPr>
          <w:rFonts w:hint="eastAsia"/>
          <w:b w:val="0"/>
          <w:color w:val="auto"/>
          <w:sz w:val="21"/>
          <w:szCs w:val="21"/>
        </w:rPr>
        <w:t>单位概况</w:t>
      </w:r>
      <w:r>
        <w:rPr>
          <w:b w:val="0"/>
          <w:color w:val="auto"/>
          <w:sz w:val="21"/>
          <w:szCs w:val="21"/>
        </w:rPr>
        <w:tab/>
      </w:r>
      <w:r>
        <w:rPr>
          <w:b w:val="0"/>
          <w:color w:val="auto"/>
          <w:sz w:val="21"/>
          <w:szCs w:val="21"/>
        </w:rPr>
        <w:fldChar w:fldCharType="begin"/>
      </w:r>
      <w:r>
        <w:rPr>
          <w:b w:val="0"/>
          <w:color w:val="auto"/>
          <w:sz w:val="21"/>
          <w:szCs w:val="21"/>
        </w:rPr>
        <w:instrText xml:space="preserve"> PAGEREF _Toc28722 \h </w:instrText>
      </w:r>
      <w:r>
        <w:rPr>
          <w:b w:val="0"/>
          <w:color w:val="auto"/>
          <w:sz w:val="21"/>
          <w:szCs w:val="21"/>
        </w:rPr>
        <w:fldChar w:fldCharType="separate"/>
      </w:r>
      <w:r>
        <w:rPr>
          <w:b w:val="0"/>
          <w:color w:val="auto"/>
          <w:sz w:val="21"/>
          <w:szCs w:val="21"/>
        </w:rPr>
        <w:t>12</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_Toc12872 </w:instrText>
      </w:r>
      <w:r>
        <w:rPr>
          <w:b w:val="0"/>
          <w:color w:val="auto"/>
          <w:sz w:val="21"/>
          <w:szCs w:val="21"/>
        </w:rPr>
        <w:fldChar w:fldCharType="separate"/>
      </w:r>
      <w:r>
        <w:rPr>
          <w:b w:val="0"/>
          <w:color w:val="auto"/>
          <w:sz w:val="21"/>
          <w:szCs w:val="21"/>
        </w:rPr>
        <w:t xml:space="preserve">2.2  </w:t>
      </w:r>
      <w:r>
        <w:rPr>
          <w:rFonts w:hint="eastAsia"/>
          <w:b w:val="0"/>
          <w:color w:val="auto"/>
          <w:sz w:val="21"/>
          <w:szCs w:val="21"/>
        </w:rPr>
        <w:t>机构设置及基层队情况</w:t>
      </w:r>
      <w:r>
        <w:rPr>
          <w:b w:val="0"/>
          <w:color w:val="auto"/>
          <w:sz w:val="21"/>
          <w:szCs w:val="21"/>
        </w:rPr>
        <w:tab/>
      </w:r>
      <w:r>
        <w:rPr>
          <w:b w:val="0"/>
          <w:color w:val="auto"/>
          <w:sz w:val="21"/>
          <w:szCs w:val="21"/>
        </w:rPr>
        <w:fldChar w:fldCharType="begin"/>
      </w:r>
      <w:r>
        <w:rPr>
          <w:b w:val="0"/>
          <w:color w:val="auto"/>
          <w:sz w:val="21"/>
          <w:szCs w:val="21"/>
        </w:rPr>
        <w:instrText xml:space="preserve"> PAGEREF _Toc12872 \h </w:instrText>
      </w:r>
      <w:r>
        <w:rPr>
          <w:b w:val="0"/>
          <w:color w:val="auto"/>
          <w:sz w:val="21"/>
          <w:szCs w:val="21"/>
        </w:rPr>
        <w:fldChar w:fldCharType="separate"/>
      </w:r>
      <w:r>
        <w:rPr>
          <w:b w:val="0"/>
          <w:color w:val="auto"/>
          <w:sz w:val="21"/>
          <w:szCs w:val="21"/>
        </w:rPr>
        <w:t>13</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_Toc25857 </w:instrText>
      </w:r>
      <w:r>
        <w:rPr>
          <w:b w:val="0"/>
          <w:color w:val="auto"/>
          <w:sz w:val="21"/>
          <w:szCs w:val="21"/>
        </w:rPr>
        <w:fldChar w:fldCharType="separate"/>
      </w:r>
      <w:r>
        <w:rPr>
          <w:b w:val="0"/>
          <w:color w:val="auto"/>
          <w:sz w:val="21"/>
          <w:szCs w:val="21"/>
        </w:rPr>
        <w:t>2.</w:t>
      </w:r>
      <w:r>
        <w:rPr>
          <w:rFonts w:hint="eastAsia"/>
          <w:b w:val="0"/>
          <w:color w:val="auto"/>
          <w:sz w:val="21"/>
          <w:szCs w:val="21"/>
          <w:lang w:val="en-US" w:eastAsia="zh-CN"/>
        </w:rPr>
        <w:t>3</w:t>
      </w:r>
      <w:r>
        <w:rPr>
          <w:b w:val="0"/>
          <w:color w:val="auto"/>
          <w:sz w:val="21"/>
          <w:szCs w:val="21"/>
        </w:rPr>
        <w:t xml:space="preserve">  </w:t>
      </w:r>
      <w:r>
        <w:rPr>
          <w:rFonts w:hint="eastAsia"/>
          <w:b w:val="0"/>
          <w:color w:val="auto"/>
          <w:sz w:val="21"/>
          <w:szCs w:val="21"/>
        </w:rPr>
        <w:t>施工类型、工艺流程和主要设备设施</w:t>
      </w:r>
      <w:r>
        <w:rPr>
          <w:b w:val="0"/>
          <w:color w:val="auto"/>
          <w:sz w:val="21"/>
          <w:szCs w:val="21"/>
        </w:rPr>
        <w:tab/>
      </w:r>
      <w:r>
        <w:rPr>
          <w:b w:val="0"/>
          <w:color w:val="auto"/>
          <w:sz w:val="21"/>
          <w:szCs w:val="21"/>
        </w:rPr>
        <w:fldChar w:fldCharType="begin"/>
      </w:r>
      <w:r>
        <w:rPr>
          <w:b w:val="0"/>
          <w:color w:val="auto"/>
          <w:sz w:val="21"/>
          <w:szCs w:val="21"/>
        </w:rPr>
        <w:instrText xml:space="preserve"> PAGEREF _Toc25857 \h </w:instrText>
      </w:r>
      <w:r>
        <w:rPr>
          <w:b w:val="0"/>
          <w:color w:val="auto"/>
          <w:sz w:val="21"/>
          <w:szCs w:val="21"/>
        </w:rPr>
        <w:fldChar w:fldCharType="separate"/>
      </w:r>
      <w:r>
        <w:rPr>
          <w:b w:val="0"/>
          <w:color w:val="auto"/>
          <w:sz w:val="21"/>
          <w:szCs w:val="21"/>
        </w:rPr>
        <w:t>15</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_Toc30296 </w:instrText>
      </w:r>
      <w:r>
        <w:rPr>
          <w:b w:val="0"/>
          <w:color w:val="auto"/>
          <w:sz w:val="21"/>
          <w:szCs w:val="21"/>
        </w:rPr>
        <w:fldChar w:fldCharType="separate"/>
      </w:r>
      <w:r>
        <w:rPr>
          <w:b w:val="0"/>
          <w:color w:val="auto"/>
          <w:sz w:val="21"/>
          <w:szCs w:val="21"/>
        </w:rPr>
        <w:t>2.</w:t>
      </w:r>
      <w:r>
        <w:rPr>
          <w:rFonts w:hint="eastAsia"/>
          <w:b w:val="0"/>
          <w:color w:val="auto"/>
          <w:sz w:val="21"/>
          <w:szCs w:val="21"/>
        </w:rPr>
        <w:t>4</w:t>
      </w:r>
      <w:r>
        <w:rPr>
          <w:b w:val="0"/>
          <w:color w:val="auto"/>
          <w:sz w:val="21"/>
          <w:szCs w:val="21"/>
        </w:rPr>
        <w:t xml:space="preserve"> </w:t>
      </w:r>
      <w:r>
        <w:rPr>
          <w:rFonts w:hint="eastAsia"/>
          <w:b w:val="0"/>
          <w:color w:val="auto"/>
          <w:sz w:val="21"/>
          <w:szCs w:val="21"/>
        </w:rPr>
        <w:t xml:space="preserve"> 作业区域及自然条件</w:t>
      </w:r>
      <w:r>
        <w:rPr>
          <w:b w:val="0"/>
          <w:color w:val="auto"/>
          <w:sz w:val="21"/>
          <w:szCs w:val="21"/>
        </w:rPr>
        <w:tab/>
      </w:r>
      <w:r>
        <w:rPr>
          <w:b w:val="0"/>
          <w:color w:val="auto"/>
          <w:sz w:val="21"/>
          <w:szCs w:val="21"/>
        </w:rPr>
        <w:fldChar w:fldCharType="begin"/>
      </w:r>
      <w:r>
        <w:rPr>
          <w:b w:val="0"/>
          <w:color w:val="auto"/>
          <w:sz w:val="21"/>
          <w:szCs w:val="21"/>
        </w:rPr>
        <w:instrText xml:space="preserve"> PAGEREF _Toc30296 \h </w:instrText>
      </w:r>
      <w:r>
        <w:rPr>
          <w:b w:val="0"/>
          <w:color w:val="auto"/>
          <w:sz w:val="21"/>
          <w:szCs w:val="21"/>
        </w:rPr>
        <w:fldChar w:fldCharType="separate"/>
      </w:r>
      <w:r>
        <w:rPr>
          <w:b w:val="0"/>
          <w:color w:val="auto"/>
          <w:sz w:val="21"/>
          <w:szCs w:val="21"/>
        </w:rPr>
        <w:t>43</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_Toc18561 </w:instrText>
      </w:r>
      <w:r>
        <w:rPr>
          <w:b w:val="0"/>
          <w:color w:val="auto"/>
          <w:sz w:val="21"/>
          <w:szCs w:val="21"/>
        </w:rPr>
        <w:fldChar w:fldCharType="separate"/>
      </w:r>
      <w:r>
        <w:rPr>
          <w:b w:val="0"/>
          <w:color w:val="auto"/>
          <w:sz w:val="21"/>
          <w:szCs w:val="21"/>
        </w:rPr>
        <w:t>2.</w:t>
      </w:r>
      <w:r>
        <w:rPr>
          <w:rFonts w:hint="eastAsia"/>
          <w:b w:val="0"/>
          <w:color w:val="auto"/>
          <w:sz w:val="21"/>
          <w:szCs w:val="21"/>
        </w:rPr>
        <w:t>5</w:t>
      </w:r>
      <w:r>
        <w:rPr>
          <w:b w:val="0"/>
          <w:color w:val="auto"/>
          <w:sz w:val="21"/>
          <w:szCs w:val="21"/>
        </w:rPr>
        <w:t xml:space="preserve">  </w:t>
      </w:r>
      <w:r>
        <w:rPr>
          <w:rFonts w:hint="eastAsia"/>
          <w:b w:val="0"/>
          <w:color w:val="auto"/>
          <w:sz w:val="21"/>
          <w:szCs w:val="21"/>
        </w:rPr>
        <w:t>安全管理</w:t>
      </w:r>
      <w:r>
        <w:rPr>
          <w:b w:val="0"/>
          <w:color w:val="auto"/>
          <w:sz w:val="21"/>
          <w:szCs w:val="21"/>
        </w:rPr>
        <w:tab/>
      </w:r>
      <w:r>
        <w:rPr>
          <w:b w:val="0"/>
          <w:color w:val="auto"/>
          <w:sz w:val="21"/>
          <w:szCs w:val="21"/>
        </w:rPr>
        <w:fldChar w:fldCharType="begin"/>
      </w:r>
      <w:r>
        <w:rPr>
          <w:b w:val="0"/>
          <w:color w:val="auto"/>
          <w:sz w:val="21"/>
          <w:szCs w:val="21"/>
        </w:rPr>
        <w:instrText xml:space="preserve"> PAGEREF _Toc18561 \h </w:instrText>
      </w:r>
      <w:r>
        <w:rPr>
          <w:b w:val="0"/>
          <w:color w:val="auto"/>
          <w:sz w:val="21"/>
          <w:szCs w:val="21"/>
        </w:rPr>
        <w:fldChar w:fldCharType="separate"/>
      </w:r>
      <w:r>
        <w:rPr>
          <w:b w:val="0"/>
          <w:color w:val="auto"/>
          <w:sz w:val="21"/>
          <w:szCs w:val="21"/>
        </w:rPr>
        <w:t>51</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0" w:firstLineChars="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_Toc30574 </w:instrText>
      </w:r>
      <w:r>
        <w:rPr>
          <w:b w:val="0"/>
          <w:color w:val="auto"/>
          <w:sz w:val="21"/>
          <w:szCs w:val="21"/>
        </w:rPr>
        <w:fldChar w:fldCharType="separate"/>
      </w:r>
      <w:r>
        <w:rPr>
          <w:b w:val="0"/>
          <w:color w:val="auto"/>
          <w:sz w:val="21"/>
          <w:szCs w:val="21"/>
        </w:rPr>
        <w:t>3</w:t>
      </w:r>
      <w:r>
        <w:rPr>
          <w:rFonts w:hint="eastAsia"/>
          <w:b w:val="0"/>
          <w:color w:val="auto"/>
          <w:sz w:val="21"/>
          <w:szCs w:val="21"/>
        </w:rPr>
        <w:t xml:space="preserve">  主要危险、有害因素分析</w:t>
      </w:r>
      <w:r>
        <w:rPr>
          <w:b w:val="0"/>
          <w:color w:val="auto"/>
          <w:sz w:val="21"/>
          <w:szCs w:val="21"/>
        </w:rPr>
        <w:tab/>
      </w:r>
      <w:r>
        <w:rPr>
          <w:b w:val="0"/>
          <w:color w:val="auto"/>
          <w:sz w:val="21"/>
          <w:szCs w:val="21"/>
        </w:rPr>
        <w:fldChar w:fldCharType="begin"/>
      </w:r>
      <w:r>
        <w:rPr>
          <w:b w:val="0"/>
          <w:color w:val="auto"/>
          <w:sz w:val="21"/>
          <w:szCs w:val="21"/>
        </w:rPr>
        <w:instrText xml:space="preserve"> PAGEREF _Toc30574 \h </w:instrText>
      </w:r>
      <w:r>
        <w:rPr>
          <w:b w:val="0"/>
          <w:color w:val="auto"/>
          <w:sz w:val="21"/>
          <w:szCs w:val="21"/>
        </w:rPr>
        <w:fldChar w:fldCharType="separate"/>
      </w:r>
      <w:r>
        <w:rPr>
          <w:b w:val="0"/>
          <w:color w:val="auto"/>
          <w:sz w:val="21"/>
          <w:szCs w:val="21"/>
        </w:rPr>
        <w:t>123</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_Toc4764 </w:instrText>
      </w:r>
      <w:r>
        <w:rPr>
          <w:b w:val="0"/>
          <w:color w:val="auto"/>
          <w:sz w:val="21"/>
          <w:szCs w:val="21"/>
        </w:rPr>
        <w:fldChar w:fldCharType="separate"/>
      </w:r>
      <w:r>
        <w:rPr>
          <w:b w:val="0"/>
          <w:color w:val="auto"/>
          <w:sz w:val="21"/>
          <w:szCs w:val="21"/>
        </w:rPr>
        <w:t xml:space="preserve">3.1 </w:t>
      </w:r>
      <w:r>
        <w:rPr>
          <w:rFonts w:hint="eastAsia"/>
          <w:b w:val="0"/>
          <w:color w:val="auto"/>
          <w:sz w:val="21"/>
          <w:szCs w:val="21"/>
        </w:rPr>
        <w:t xml:space="preserve"> 物质的危险性分析</w:t>
      </w:r>
      <w:r>
        <w:rPr>
          <w:b w:val="0"/>
          <w:color w:val="auto"/>
          <w:sz w:val="21"/>
          <w:szCs w:val="21"/>
        </w:rPr>
        <w:tab/>
      </w:r>
      <w:r>
        <w:rPr>
          <w:b w:val="0"/>
          <w:color w:val="auto"/>
          <w:sz w:val="21"/>
          <w:szCs w:val="21"/>
        </w:rPr>
        <w:fldChar w:fldCharType="begin"/>
      </w:r>
      <w:r>
        <w:rPr>
          <w:b w:val="0"/>
          <w:color w:val="auto"/>
          <w:sz w:val="21"/>
          <w:szCs w:val="21"/>
        </w:rPr>
        <w:instrText xml:space="preserve"> PAGEREF _Toc4764 \h </w:instrText>
      </w:r>
      <w:r>
        <w:rPr>
          <w:b w:val="0"/>
          <w:color w:val="auto"/>
          <w:sz w:val="21"/>
          <w:szCs w:val="21"/>
        </w:rPr>
        <w:fldChar w:fldCharType="separate"/>
      </w:r>
      <w:r>
        <w:rPr>
          <w:b w:val="0"/>
          <w:color w:val="auto"/>
          <w:sz w:val="21"/>
          <w:szCs w:val="21"/>
        </w:rPr>
        <w:t>123</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_Toc16543 </w:instrText>
      </w:r>
      <w:r>
        <w:rPr>
          <w:b w:val="0"/>
          <w:color w:val="auto"/>
          <w:sz w:val="21"/>
          <w:szCs w:val="21"/>
        </w:rPr>
        <w:fldChar w:fldCharType="separate"/>
      </w:r>
      <w:r>
        <w:rPr>
          <w:b w:val="0"/>
          <w:color w:val="auto"/>
          <w:sz w:val="21"/>
          <w:szCs w:val="21"/>
        </w:rPr>
        <w:t xml:space="preserve">3.2 </w:t>
      </w:r>
      <w:r>
        <w:rPr>
          <w:rFonts w:hint="eastAsia"/>
          <w:b w:val="0"/>
          <w:color w:val="auto"/>
          <w:sz w:val="21"/>
          <w:szCs w:val="21"/>
        </w:rPr>
        <w:t xml:space="preserve"> 钻前、钻机搬迁和拆安作业过程中的危害因素与风险</w:t>
      </w:r>
      <w:r>
        <w:rPr>
          <w:b w:val="0"/>
          <w:color w:val="auto"/>
          <w:sz w:val="21"/>
          <w:szCs w:val="21"/>
        </w:rPr>
        <w:tab/>
      </w:r>
      <w:r>
        <w:rPr>
          <w:b w:val="0"/>
          <w:color w:val="auto"/>
          <w:sz w:val="21"/>
          <w:szCs w:val="21"/>
        </w:rPr>
        <w:fldChar w:fldCharType="begin"/>
      </w:r>
      <w:r>
        <w:rPr>
          <w:b w:val="0"/>
          <w:color w:val="auto"/>
          <w:sz w:val="21"/>
          <w:szCs w:val="21"/>
        </w:rPr>
        <w:instrText xml:space="preserve"> PAGEREF _Toc16543 \h </w:instrText>
      </w:r>
      <w:r>
        <w:rPr>
          <w:b w:val="0"/>
          <w:color w:val="auto"/>
          <w:sz w:val="21"/>
          <w:szCs w:val="21"/>
        </w:rPr>
        <w:fldChar w:fldCharType="separate"/>
      </w:r>
      <w:r>
        <w:rPr>
          <w:b w:val="0"/>
          <w:color w:val="auto"/>
          <w:sz w:val="21"/>
          <w:szCs w:val="21"/>
        </w:rPr>
        <w:t>133</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_Toc4517 </w:instrText>
      </w:r>
      <w:r>
        <w:rPr>
          <w:b w:val="0"/>
          <w:color w:val="auto"/>
          <w:sz w:val="21"/>
          <w:szCs w:val="21"/>
        </w:rPr>
        <w:fldChar w:fldCharType="separate"/>
      </w:r>
      <w:r>
        <w:rPr>
          <w:rFonts w:hint="default"/>
          <w:b w:val="0"/>
          <w:color w:val="auto"/>
          <w:sz w:val="21"/>
          <w:szCs w:val="21"/>
        </w:rPr>
        <w:t>3.3</w:t>
      </w:r>
      <w:r>
        <w:rPr>
          <w:rFonts w:hint="eastAsia"/>
          <w:b w:val="0"/>
          <w:color w:val="auto"/>
          <w:sz w:val="21"/>
          <w:szCs w:val="21"/>
        </w:rPr>
        <w:t xml:space="preserve">  钻进过程中的危险因素</w:t>
      </w:r>
      <w:r>
        <w:rPr>
          <w:b w:val="0"/>
          <w:color w:val="auto"/>
          <w:sz w:val="21"/>
          <w:szCs w:val="21"/>
        </w:rPr>
        <w:tab/>
      </w:r>
      <w:r>
        <w:rPr>
          <w:b w:val="0"/>
          <w:color w:val="auto"/>
          <w:sz w:val="21"/>
          <w:szCs w:val="21"/>
        </w:rPr>
        <w:fldChar w:fldCharType="begin"/>
      </w:r>
      <w:r>
        <w:rPr>
          <w:b w:val="0"/>
          <w:color w:val="auto"/>
          <w:sz w:val="21"/>
          <w:szCs w:val="21"/>
        </w:rPr>
        <w:instrText xml:space="preserve"> PAGEREF _Toc4517 \h </w:instrText>
      </w:r>
      <w:r>
        <w:rPr>
          <w:b w:val="0"/>
          <w:color w:val="auto"/>
          <w:sz w:val="21"/>
          <w:szCs w:val="21"/>
        </w:rPr>
        <w:fldChar w:fldCharType="separate"/>
      </w:r>
      <w:r>
        <w:rPr>
          <w:b w:val="0"/>
          <w:color w:val="auto"/>
          <w:sz w:val="21"/>
          <w:szCs w:val="21"/>
        </w:rPr>
        <w:t>136</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_Toc16466 </w:instrText>
      </w:r>
      <w:r>
        <w:rPr>
          <w:b w:val="0"/>
          <w:color w:val="auto"/>
          <w:sz w:val="21"/>
          <w:szCs w:val="21"/>
        </w:rPr>
        <w:fldChar w:fldCharType="separate"/>
      </w:r>
      <w:r>
        <w:rPr>
          <w:b w:val="0"/>
          <w:color w:val="auto"/>
          <w:sz w:val="21"/>
          <w:szCs w:val="21"/>
        </w:rPr>
        <w:t xml:space="preserve">3.4 </w:t>
      </w:r>
      <w:r>
        <w:rPr>
          <w:rFonts w:hint="eastAsia"/>
          <w:b w:val="0"/>
          <w:color w:val="auto"/>
          <w:sz w:val="21"/>
          <w:szCs w:val="21"/>
        </w:rPr>
        <w:t xml:space="preserve"> </w:t>
      </w:r>
      <w:r>
        <w:rPr>
          <w:rFonts w:hint="eastAsia"/>
          <w:b w:val="0"/>
          <w:color w:val="auto"/>
          <w:sz w:val="21"/>
          <w:szCs w:val="21"/>
          <w:lang w:val="en-US" w:eastAsia="zh-CN"/>
        </w:rPr>
        <w:t>交叉</w:t>
      </w:r>
      <w:r>
        <w:rPr>
          <w:rFonts w:hint="eastAsia"/>
          <w:b w:val="0"/>
          <w:color w:val="auto"/>
          <w:sz w:val="21"/>
          <w:szCs w:val="21"/>
        </w:rPr>
        <w:t>作业过程中的危害因素</w:t>
      </w:r>
      <w:r>
        <w:rPr>
          <w:b w:val="0"/>
          <w:color w:val="auto"/>
          <w:sz w:val="21"/>
          <w:szCs w:val="21"/>
        </w:rPr>
        <w:tab/>
      </w:r>
      <w:r>
        <w:rPr>
          <w:b w:val="0"/>
          <w:color w:val="auto"/>
          <w:sz w:val="21"/>
          <w:szCs w:val="21"/>
        </w:rPr>
        <w:fldChar w:fldCharType="begin"/>
      </w:r>
      <w:r>
        <w:rPr>
          <w:b w:val="0"/>
          <w:color w:val="auto"/>
          <w:sz w:val="21"/>
          <w:szCs w:val="21"/>
        </w:rPr>
        <w:instrText xml:space="preserve"> PAGEREF _Toc16466 \h </w:instrText>
      </w:r>
      <w:r>
        <w:rPr>
          <w:b w:val="0"/>
          <w:color w:val="auto"/>
          <w:sz w:val="21"/>
          <w:szCs w:val="21"/>
        </w:rPr>
        <w:fldChar w:fldCharType="separate"/>
      </w:r>
      <w:r>
        <w:rPr>
          <w:b w:val="0"/>
          <w:color w:val="auto"/>
          <w:sz w:val="21"/>
          <w:szCs w:val="21"/>
        </w:rPr>
        <w:t>137</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_Toc30268 </w:instrText>
      </w:r>
      <w:r>
        <w:rPr>
          <w:b w:val="0"/>
          <w:color w:val="auto"/>
          <w:sz w:val="21"/>
          <w:szCs w:val="21"/>
        </w:rPr>
        <w:fldChar w:fldCharType="separate"/>
      </w:r>
      <w:r>
        <w:rPr>
          <w:b w:val="0"/>
          <w:color w:val="auto"/>
          <w:sz w:val="21"/>
          <w:szCs w:val="21"/>
        </w:rPr>
        <w:t xml:space="preserve">3.5 </w:t>
      </w:r>
      <w:r>
        <w:rPr>
          <w:rFonts w:hint="eastAsia"/>
          <w:b w:val="0"/>
          <w:color w:val="auto"/>
          <w:sz w:val="21"/>
          <w:szCs w:val="21"/>
        </w:rPr>
        <w:t xml:space="preserve"> 辅助作业的危害因素</w:t>
      </w:r>
      <w:r>
        <w:rPr>
          <w:b w:val="0"/>
          <w:color w:val="auto"/>
          <w:sz w:val="21"/>
          <w:szCs w:val="21"/>
        </w:rPr>
        <w:tab/>
      </w:r>
      <w:r>
        <w:rPr>
          <w:b w:val="0"/>
          <w:color w:val="auto"/>
          <w:sz w:val="21"/>
          <w:szCs w:val="21"/>
        </w:rPr>
        <w:fldChar w:fldCharType="begin"/>
      </w:r>
      <w:r>
        <w:rPr>
          <w:b w:val="0"/>
          <w:color w:val="auto"/>
          <w:sz w:val="21"/>
          <w:szCs w:val="21"/>
        </w:rPr>
        <w:instrText xml:space="preserve"> PAGEREF _Toc30268 \h </w:instrText>
      </w:r>
      <w:r>
        <w:rPr>
          <w:b w:val="0"/>
          <w:color w:val="auto"/>
          <w:sz w:val="21"/>
          <w:szCs w:val="21"/>
        </w:rPr>
        <w:fldChar w:fldCharType="separate"/>
      </w:r>
      <w:r>
        <w:rPr>
          <w:b w:val="0"/>
          <w:color w:val="auto"/>
          <w:sz w:val="21"/>
          <w:szCs w:val="21"/>
        </w:rPr>
        <w:t>138</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_Toc22814 </w:instrText>
      </w:r>
      <w:r>
        <w:rPr>
          <w:b w:val="0"/>
          <w:color w:val="auto"/>
          <w:sz w:val="21"/>
          <w:szCs w:val="21"/>
        </w:rPr>
        <w:fldChar w:fldCharType="separate"/>
      </w:r>
      <w:r>
        <w:rPr>
          <w:b w:val="0"/>
          <w:color w:val="auto"/>
          <w:sz w:val="21"/>
          <w:szCs w:val="21"/>
        </w:rPr>
        <w:t xml:space="preserve">3.6 </w:t>
      </w:r>
      <w:r>
        <w:rPr>
          <w:rFonts w:hint="eastAsia"/>
          <w:b w:val="0"/>
          <w:color w:val="auto"/>
          <w:sz w:val="21"/>
          <w:szCs w:val="21"/>
        </w:rPr>
        <w:t xml:space="preserve"> 钻井施工过程主要风险类别、危害特点及分布情况</w:t>
      </w:r>
      <w:r>
        <w:rPr>
          <w:b w:val="0"/>
          <w:color w:val="auto"/>
          <w:sz w:val="21"/>
          <w:szCs w:val="21"/>
        </w:rPr>
        <w:tab/>
      </w:r>
      <w:r>
        <w:rPr>
          <w:b w:val="0"/>
          <w:color w:val="auto"/>
          <w:sz w:val="21"/>
          <w:szCs w:val="21"/>
        </w:rPr>
        <w:fldChar w:fldCharType="begin"/>
      </w:r>
      <w:r>
        <w:rPr>
          <w:b w:val="0"/>
          <w:color w:val="auto"/>
          <w:sz w:val="21"/>
          <w:szCs w:val="21"/>
        </w:rPr>
        <w:instrText xml:space="preserve"> PAGEREF _Toc22814 \h </w:instrText>
      </w:r>
      <w:r>
        <w:rPr>
          <w:b w:val="0"/>
          <w:color w:val="auto"/>
          <w:sz w:val="21"/>
          <w:szCs w:val="21"/>
        </w:rPr>
        <w:fldChar w:fldCharType="separate"/>
      </w:r>
      <w:r>
        <w:rPr>
          <w:b w:val="0"/>
          <w:color w:val="auto"/>
          <w:sz w:val="21"/>
          <w:szCs w:val="21"/>
        </w:rPr>
        <w:t>140</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_Toc838 </w:instrText>
      </w:r>
      <w:r>
        <w:rPr>
          <w:b w:val="0"/>
          <w:color w:val="auto"/>
          <w:sz w:val="21"/>
          <w:szCs w:val="21"/>
        </w:rPr>
        <w:fldChar w:fldCharType="separate"/>
      </w:r>
      <w:r>
        <w:rPr>
          <w:b w:val="0"/>
          <w:color w:val="auto"/>
          <w:sz w:val="21"/>
          <w:szCs w:val="21"/>
        </w:rPr>
        <w:t xml:space="preserve">3.7 </w:t>
      </w:r>
      <w:r>
        <w:rPr>
          <w:rFonts w:hint="eastAsia"/>
          <w:b w:val="0"/>
          <w:color w:val="auto"/>
          <w:sz w:val="21"/>
          <w:szCs w:val="21"/>
        </w:rPr>
        <w:t xml:space="preserve"> </w:t>
      </w:r>
      <w:r>
        <w:rPr>
          <w:rFonts w:hint="eastAsia"/>
          <w:b w:val="0"/>
          <w:color w:val="auto"/>
          <w:sz w:val="21"/>
          <w:szCs w:val="21"/>
          <w:lang w:val="en-US" w:eastAsia="zh-CN"/>
        </w:rPr>
        <w:t>主要设备设施危险性</w:t>
      </w:r>
      <w:r>
        <w:rPr>
          <w:rFonts w:hint="eastAsia"/>
          <w:b w:val="0"/>
          <w:color w:val="auto"/>
          <w:sz w:val="21"/>
          <w:szCs w:val="21"/>
        </w:rPr>
        <w:t>分析</w:t>
      </w:r>
      <w:r>
        <w:rPr>
          <w:b w:val="0"/>
          <w:color w:val="auto"/>
          <w:sz w:val="21"/>
          <w:szCs w:val="21"/>
        </w:rPr>
        <w:tab/>
      </w:r>
      <w:r>
        <w:rPr>
          <w:b w:val="0"/>
          <w:color w:val="auto"/>
          <w:sz w:val="21"/>
          <w:szCs w:val="21"/>
        </w:rPr>
        <w:fldChar w:fldCharType="begin"/>
      </w:r>
      <w:r>
        <w:rPr>
          <w:b w:val="0"/>
          <w:color w:val="auto"/>
          <w:sz w:val="21"/>
          <w:szCs w:val="21"/>
        </w:rPr>
        <w:instrText xml:space="preserve"> PAGEREF _Toc838 \h </w:instrText>
      </w:r>
      <w:r>
        <w:rPr>
          <w:b w:val="0"/>
          <w:color w:val="auto"/>
          <w:sz w:val="21"/>
          <w:szCs w:val="21"/>
        </w:rPr>
        <w:fldChar w:fldCharType="separate"/>
      </w:r>
      <w:r>
        <w:rPr>
          <w:b w:val="0"/>
          <w:color w:val="auto"/>
          <w:sz w:val="21"/>
          <w:szCs w:val="21"/>
        </w:rPr>
        <w:t>147</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_Toc10836 </w:instrText>
      </w:r>
      <w:r>
        <w:rPr>
          <w:b w:val="0"/>
          <w:color w:val="auto"/>
          <w:sz w:val="21"/>
          <w:szCs w:val="21"/>
        </w:rPr>
        <w:fldChar w:fldCharType="separate"/>
      </w:r>
      <w:r>
        <w:rPr>
          <w:b w:val="0"/>
          <w:color w:val="auto"/>
          <w:sz w:val="21"/>
          <w:szCs w:val="21"/>
        </w:rPr>
        <w:t>3.</w:t>
      </w:r>
      <w:r>
        <w:rPr>
          <w:rFonts w:hint="eastAsia"/>
          <w:b w:val="0"/>
          <w:color w:val="auto"/>
          <w:sz w:val="21"/>
          <w:szCs w:val="21"/>
          <w:lang w:val="en-US" w:eastAsia="zh-CN"/>
        </w:rPr>
        <w:t>8</w:t>
      </w:r>
      <w:r>
        <w:rPr>
          <w:b w:val="0"/>
          <w:color w:val="auto"/>
          <w:sz w:val="21"/>
          <w:szCs w:val="21"/>
        </w:rPr>
        <w:t xml:space="preserve"> </w:t>
      </w:r>
      <w:r>
        <w:rPr>
          <w:rFonts w:hint="eastAsia"/>
          <w:b w:val="0"/>
          <w:color w:val="auto"/>
          <w:sz w:val="21"/>
          <w:szCs w:val="21"/>
        </w:rPr>
        <w:t xml:space="preserve"> 自然环境影响因素分析</w:t>
      </w:r>
      <w:r>
        <w:rPr>
          <w:b w:val="0"/>
          <w:color w:val="auto"/>
          <w:sz w:val="21"/>
          <w:szCs w:val="21"/>
        </w:rPr>
        <w:tab/>
      </w:r>
      <w:r>
        <w:rPr>
          <w:b w:val="0"/>
          <w:color w:val="auto"/>
          <w:sz w:val="21"/>
          <w:szCs w:val="21"/>
        </w:rPr>
        <w:fldChar w:fldCharType="begin"/>
      </w:r>
      <w:r>
        <w:rPr>
          <w:b w:val="0"/>
          <w:color w:val="auto"/>
          <w:sz w:val="21"/>
          <w:szCs w:val="21"/>
        </w:rPr>
        <w:instrText xml:space="preserve"> PAGEREF _Toc10836 \h </w:instrText>
      </w:r>
      <w:r>
        <w:rPr>
          <w:b w:val="0"/>
          <w:color w:val="auto"/>
          <w:sz w:val="21"/>
          <w:szCs w:val="21"/>
        </w:rPr>
        <w:fldChar w:fldCharType="separate"/>
      </w:r>
      <w:r>
        <w:rPr>
          <w:b w:val="0"/>
          <w:color w:val="auto"/>
          <w:sz w:val="21"/>
          <w:szCs w:val="21"/>
        </w:rPr>
        <w:t>150</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_Toc10957 </w:instrText>
      </w:r>
      <w:r>
        <w:rPr>
          <w:b w:val="0"/>
          <w:color w:val="auto"/>
          <w:sz w:val="21"/>
          <w:szCs w:val="21"/>
        </w:rPr>
        <w:fldChar w:fldCharType="separate"/>
      </w:r>
      <w:r>
        <w:rPr>
          <w:b w:val="0"/>
          <w:color w:val="auto"/>
          <w:sz w:val="21"/>
          <w:szCs w:val="21"/>
        </w:rPr>
        <w:t>3.</w:t>
      </w:r>
      <w:r>
        <w:rPr>
          <w:rFonts w:hint="eastAsia"/>
          <w:b w:val="0"/>
          <w:color w:val="auto"/>
          <w:sz w:val="21"/>
          <w:szCs w:val="21"/>
          <w:lang w:val="en-US" w:eastAsia="zh-CN"/>
        </w:rPr>
        <w:t>9</w:t>
      </w:r>
      <w:r>
        <w:rPr>
          <w:b w:val="0"/>
          <w:color w:val="auto"/>
          <w:sz w:val="21"/>
          <w:szCs w:val="21"/>
        </w:rPr>
        <w:t xml:space="preserve"> </w:t>
      </w:r>
      <w:r>
        <w:rPr>
          <w:rFonts w:hint="eastAsia"/>
          <w:b w:val="0"/>
          <w:color w:val="auto"/>
          <w:sz w:val="21"/>
          <w:szCs w:val="21"/>
        </w:rPr>
        <w:t xml:space="preserve"> 重大危险源辨识</w:t>
      </w:r>
      <w:r>
        <w:rPr>
          <w:b w:val="0"/>
          <w:color w:val="auto"/>
          <w:sz w:val="21"/>
          <w:szCs w:val="21"/>
        </w:rPr>
        <w:tab/>
      </w:r>
      <w:r>
        <w:rPr>
          <w:b w:val="0"/>
          <w:color w:val="auto"/>
          <w:sz w:val="21"/>
          <w:szCs w:val="21"/>
        </w:rPr>
        <w:fldChar w:fldCharType="begin"/>
      </w:r>
      <w:r>
        <w:rPr>
          <w:b w:val="0"/>
          <w:color w:val="auto"/>
          <w:sz w:val="21"/>
          <w:szCs w:val="21"/>
        </w:rPr>
        <w:instrText xml:space="preserve"> PAGEREF _Toc10957 \h </w:instrText>
      </w:r>
      <w:r>
        <w:rPr>
          <w:b w:val="0"/>
          <w:color w:val="auto"/>
          <w:sz w:val="21"/>
          <w:szCs w:val="21"/>
        </w:rPr>
        <w:fldChar w:fldCharType="separate"/>
      </w:r>
      <w:r>
        <w:rPr>
          <w:b w:val="0"/>
          <w:color w:val="auto"/>
          <w:sz w:val="21"/>
          <w:szCs w:val="21"/>
        </w:rPr>
        <w:t>151</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_Toc21988 </w:instrText>
      </w:r>
      <w:r>
        <w:rPr>
          <w:b w:val="0"/>
          <w:color w:val="auto"/>
          <w:sz w:val="21"/>
          <w:szCs w:val="21"/>
        </w:rPr>
        <w:fldChar w:fldCharType="separate"/>
      </w:r>
      <w:r>
        <w:rPr>
          <w:b w:val="0"/>
          <w:color w:val="auto"/>
          <w:sz w:val="21"/>
          <w:szCs w:val="21"/>
        </w:rPr>
        <w:t>3.</w:t>
      </w:r>
      <w:r>
        <w:rPr>
          <w:rFonts w:hint="eastAsia"/>
          <w:b w:val="0"/>
          <w:color w:val="auto"/>
          <w:sz w:val="21"/>
          <w:szCs w:val="21"/>
          <w:lang w:val="en-US" w:eastAsia="zh-CN"/>
        </w:rPr>
        <w:t>10</w:t>
      </w:r>
      <w:r>
        <w:rPr>
          <w:b w:val="0"/>
          <w:color w:val="auto"/>
          <w:sz w:val="21"/>
          <w:szCs w:val="21"/>
        </w:rPr>
        <w:t xml:space="preserve"> </w:t>
      </w:r>
      <w:r>
        <w:rPr>
          <w:rFonts w:hint="eastAsia"/>
          <w:b w:val="0"/>
          <w:color w:val="auto"/>
          <w:sz w:val="21"/>
          <w:szCs w:val="21"/>
          <w:lang w:val="en-US" w:eastAsia="zh-CN"/>
        </w:rPr>
        <w:t xml:space="preserve"> </w:t>
      </w:r>
      <w:r>
        <w:rPr>
          <w:rFonts w:hint="eastAsia"/>
          <w:b w:val="0"/>
          <w:color w:val="auto"/>
          <w:sz w:val="21"/>
          <w:szCs w:val="21"/>
          <w:lang w:eastAsia="zh-CN"/>
        </w:rPr>
        <w:t>事故案例分析</w:t>
      </w:r>
      <w:r>
        <w:rPr>
          <w:b w:val="0"/>
          <w:color w:val="auto"/>
          <w:sz w:val="21"/>
          <w:szCs w:val="21"/>
        </w:rPr>
        <w:tab/>
      </w:r>
      <w:r>
        <w:rPr>
          <w:b w:val="0"/>
          <w:color w:val="auto"/>
          <w:sz w:val="21"/>
          <w:szCs w:val="21"/>
        </w:rPr>
        <w:fldChar w:fldCharType="begin"/>
      </w:r>
      <w:r>
        <w:rPr>
          <w:b w:val="0"/>
          <w:color w:val="auto"/>
          <w:sz w:val="21"/>
          <w:szCs w:val="21"/>
        </w:rPr>
        <w:instrText xml:space="preserve"> PAGEREF _Toc21988 \h </w:instrText>
      </w:r>
      <w:r>
        <w:rPr>
          <w:b w:val="0"/>
          <w:color w:val="auto"/>
          <w:sz w:val="21"/>
          <w:szCs w:val="21"/>
        </w:rPr>
        <w:fldChar w:fldCharType="separate"/>
      </w:r>
      <w:r>
        <w:rPr>
          <w:b w:val="0"/>
          <w:color w:val="auto"/>
          <w:sz w:val="21"/>
          <w:szCs w:val="21"/>
        </w:rPr>
        <w:t>152</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_Toc26312 </w:instrText>
      </w:r>
      <w:r>
        <w:rPr>
          <w:b w:val="0"/>
          <w:color w:val="auto"/>
          <w:sz w:val="21"/>
          <w:szCs w:val="21"/>
        </w:rPr>
        <w:fldChar w:fldCharType="separate"/>
      </w:r>
      <w:r>
        <w:rPr>
          <w:b w:val="0"/>
          <w:color w:val="auto"/>
          <w:sz w:val="21"/>
          <w:szCs w:val="21"/>
        </w:rPr>
        <w:t>3.</w:t>
      </w:r>
      <w:r>
        <w:rPr>
          <w:rFonts w:hint="eastAsia"/>
          <w:b w:val="0"/>
          <w:color w:val="auto"/>
          <w:sz w:val="21"/>
          <w:szCs w:val="21"/>
          <w:lang w:val="en-US" w:eastAsia="zh-CN"/>
        </w:rPr>
        <w:t>11</w:t>
      </w:r>
      <w:r>
        <w:rPr>
          <w:b w:val="0"/>
          <w:color w:val="auto"/>
          <w:sz w:val="21"/>
          <w:szCs w:val="21"/>
        </w:rPr>
        <w:t xml:space="preserve"> </w:t>
      </w:r>
      <w:r>
        <w:rPr>
          <w:rFonts w:hint="eastAsia"/>
          <w:b w:val="0"/>
          <w:color w:val="auto"/>
          <w:sz w:val="21"/>
          <w:szCs w:val="21"/>
          <w:lang w:val="en-US" w:eastAsia="zh-CN"/>
        </w:rPr>
        <w:t xml:space="preserve"> </w:t>
      </w:r>
      <w:r>
        <w:rPr>
          <w:rFonts w:hint="eastAsia"/>
          <w:b w:val="0"/>
          <w:color w:val="auto"/>
          <w:sz w:val="21"/>
          <w:szCs w:val="21"/>
        </w:rPr>
        <w:t>主要危险、有害因素分析结论</w:t>
      </w:r>
      <w:r>
        <w:rPr>
          <w:b w:val="0"/>
          <w:color w:val="auto"/>
          <w:sz w:val="21"/>
          <w:szCs w:val="21"/>
        </w:rPr>
        <w:tab/>
      </w:r>
      <w:r>
        <w:rPr>
          <w:b w:val="0"/>
          <w:color w:val="auto"/>
          <w:sz w:val="21"/>
          <w:szCs w:val="21"/>
        </w:rPr>
        <w:fldChar w:fldCharType="begin"/>
      </w:r>
      <w:r>
        <w:rPr>
          <w:b w:val="0"/>
          <w:color w:val="auto"/>
          <w:sz w:val="21"/>
          <w:szCs w:val="21"/>
        </w:rPr>
        <w:instrText xml:space="preserve"> PAGEREF _Toc26312 \h </w:instrText>
      </w:r>
      <w:r>
        <w:rPr>
          <w:b w:val="0"/>
          <w:color w:val="auto"/>
          <w:sz w:val="21"/>
          <w:szCs w:val="21"/>
        </w:rPr>
        <w:fldChar w:fldCharType="separate"/>
      </w:r>
      <w:r>
        <w:rPr>
          <w:b w:val="0"/>
          <w:color w:val="auto"/>
          <w:sz w:val="21"/>
          <w:szCs w:val="21"/>
        </w:rPr>
        <w:t>156</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0" w:firstLineChars="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_Toc30352 </w:instrText>
      </w:r>
      <w:r>
        <w:rPr>
          <w:b w:val="0"/>
          <w:color w:val="auto"/>
          <w:sz w:val="21"/>
          <w:szCs w:val="21"/>
        </w:rPr>
        <w:fldChar w:fldCharType="separate"/>
      </w:r>
      <w:r>
        <w:rPr>
          <w:b w:val="0"/>
          <w:color w:val="auto"/>
          <w:sz w:val="21"/>
          <w:szCs w:val="21"/>
        </w:rPr>
        <w:t xml:space="preserve">4  </w:t>
      </w:r>
      <w:r>
        <w:rPr>
          <w:rFonts w:hint="eastAsia"/>
          <w:b w:val="0"/>
          <w:color w:val="auto"/>
          <w:sz w:val="21"/>
          <w:szCs w:val="21"/>
        </w:rPr>
        <w:t>评价单元划分及评价方法选择</w:t>
      </w:r>
      <w:r>
        <w:rPr>
          <w:b w:val="0"/>
          <w:color w:val="auto"/>
          <w:sz w:val="21"/>
          <w:szCs w:val="21"/>
        </w:rPr>
        <w:tab/>
      </w:r>
      <w:r>
        <w:rPr>
          <w:b w:val="0"/>
          <w:color w:val="auto"/>
          <w:sz w:val="21"/>
          <w:szCs w:val="21"/>
        </w:rPr>
        <w:fldChar w:fldCharType="begin"/>
      </w:r>
      <w:r>
        <w:rPr>
          <w:b w:val="0"/>
          <w:color w:val="auto"/>
          <w:sz w:val="21"/>
          <w:szCs w:val="21"/>
        </w:rPr>
        <w:instrText xml:space="preserve"> PAGEREF _Toc30352 \h </w:instrText>
      </w:r>
      <w:r>
        <w:rPr>
          <w:b w:val="0"/>
          <w:color w:val="auto"/>
          <w:sz w:val="21"/>
          <w:szCs w:val="21"/>
        </w:rPr>
        <w:fldChar w:fldCharType="separate"/>
      </w:r>
      <w:r>
        <w:rPr>
          <w:b w:val="0"/>
          <w:color w:val="auto"/>
          <w:sz w:val="21"/>
          <w:szCs w:val="21"/>
        </w:rPr>
        <w:t>157</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_Toc21775 </w:instrText>
      </w:r>
      <w:r>
        <w:rPr>
          <w:b w:val="0"/>
          <w:color w:val="auto"/>
          <w:sz w:val="21"/>
          <w:szCs w:val="21"/>
        </w:rPr>
        <w:fldChar w:fldCharType="separate"/>
      </w:r>
      <w:r>
        <w:rPr>
          <w:b w:val="0"/>
          <w:color w:val="auto"/>
          <w:sz w:val="21"/>
          <w:szCs w:val="21"/>
        </w:rPr>
        <w:t xml:space="preserve">4.1  </w:t>
      </w:r>
      <w:r>
        <w:rPr>
          <w:rFonts w:hint="eastAsia"/>
          <w:b w:val="0"/>
          <w:color w:val="auto"/>
          <w:sz w:val="21"/>
          <w:szCs w:val="21"/>
        </w:rPr>
        <w:t>评价单元划分</w:t>
      </w:r>
      <w:r>
        <w:rPr>
          <w:b w:val="0"/>
          <w:color w:val="auto"/>
          <w:sz w:val="21"/>
          <w:szCs w:val="21"/>
        </w:rPr>
        <w:tab/>
      </w:r>
      <w:r>
        <w:rPr>
          <w:b w:val="0"/>
          <w:color w:val="auto"/>
          <w:sz w:val="21"/>
          <w:szCs w:val="21"/>
        </w:rPr>
        <w:fldChar w:fldCharType="begin"/>
      </w:r>
      <w:r>
        <w:rPr>
          <w:b w:val="0"/>
          <w:color w:val="auto"/>
          <w:sz w:val="21"/>
          <w:szCs w:val="21"/>
        </w:rPr>
        <w:instrText xml:space="preserve"> PAGEREF _Toc21775 \h </w:instrText>
      </w:r>
      <w:r>
        <w:rPr>
          <w:b w:val="0"/>
          <w:color w:val="auto"/>
          <w:sz w:val="21"/>
          <w:szCs w:val="21"/>
        </w:rPr>
        <w:fldChar w:fldCharType="separate"/>
      </w:r>
      <w:r>
        <w:rPr>
          <w:b w:val="0"/>
          <w:color w:val="auto"/>
          <w:sz w:val="21"/>
          <w:szCs w:val="21"/>
        </w:rPr>
        <w:t>157</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_Toc20609 </w:instrText>
      </w:r>
      <w:r>
        <w:rPr>
          <w:b w:val="0"/>
          <w:color w:val="auto"/>
          <w:sz w:val="21"/>
          <w:szCs w:val="21"/>
        </w:rPr>
        <w:fldChar w:fldCharType="separate"/>
      </w:r>
      <w:r>
        <w:rPr>
          <w:rFonts w:hint="eastAsia"/>
          <w:b w:val="0"/>
          <w:color w:val="auto"/>
          <w:sz w:val="21"/>
          <w:szCs w:val="21"/>
          <w:lang w:val="en-US" w:eastAsia="zh-CN"/>
        </w:rPr>
        <w:t>4.2</w:t>
      </w:r>
      <w:r>
        <w:rPr>
          <w:b w:val="0"/>
          <w:color w:val="auto"/>
          <w:sz w:val="21"/>
          <w:szCs w:val="21"/>
          <w:lang w:val="en-US" w:eastAsia="zh-CN"/>
        </w:rPr>
        <w:t xml:space="preserve"> </w:t>
      </w:r>
      <w:r>
        <w:rPr>
          <w:rFonts w:hint="eastAsia"/>
          <w:b w:val="0"/>
          <w:color w:val="auto"/>
          <w:sz w:val="21"/>
          <w:szCs w:val="21"/>
          <w:lang w:val="en-US" w:eastAsia="zh-CN"/>
        </w:rPr>
        <w:t xml:space="preserve"> 评价方法选择</w:t>
      </w:r>
      <w:r>
        <w:rPr>
          <w:b w:val="0"/>
          <w:color w:val="auto"/>
          <w:sz w:val="21"/>
          <w:szCs w:val="21"/>
        </w:rPr>
        <w:tab/>
      </w:r>
      <w:r>
        <w:rPr>
          <w:b w:val="0"/>
          <w:color w:val="auto"/>
          <w:sz w:val="21"/>
          <w:szCs w:val="21"/>
        </w:rPr>
        <w:fldChar w:fldCharType="begin"/>
      </w:r>
      <w:r>
        <w:rPr>
          <w:b w:val="0"/>
          <w:color w:val="auto"/>
          <w:sz w:val="21"/>
          <w:szCs w:val="21"/>
        </w:rPr>
        <w:instrText xml:space="preserve"> PAGEREF _Toc20609 \h </w:instrText>
      </w:r>
      <w:r>
        <w:rPr>
          <w:b w:val="0"/>
          <w:color w:val="auto"/>
          <w:sz w:val="21"/>
          <w:szCs w:val="21"/>
        </w:rPr>
        <w:fldChar w:fldCharType="separate"/>
      </w:r>
      <w:r>
        <w:rPr>
          <w:b w:val="0"/>
          <w:color w:val="auto"/>
          <w:sz w:val="21"/>
          <w:szCs w:val="21"/>
        </w:rPr>
        <w:t>158</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0" w:firstLineChars="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_Toc6155 </w:instrText>
      </w:r>
      <w:r>
        <w:rPr>
          <w:b w:val="0"/>
          <w:color w:val="auto"/>
          <w:sz w:val="21"/>
          <w:szCs w:val="21"/>
        </w:rPr>
        <w:fldChar w:fldCharType="separate"/>
      </w:r>
      <w:r>
        <w:rPr>
          <w:b w:val="0"/>
          <w:color w:val="auto"/>
          <w:sz w:val="21"/>
          <w:szCs w:val="21"/>
        </w:rPr>
        <w:t xml:space="preserve">5  </w:t>
      </w:r>
      <w:r>
        <w:rPr>
          <w:rFonts w:hint="eastAsia"/>
          <w:b w:val="0"/>
          <w:color w:val="auto"/>
          <w:sz w:val="21"/>
          <w:szCs w:val="21"/>
        </w:rPr>
        <w:t>安全符合性评价</w:t>
      </w:r>
      <w:r>
        <w:rPr>
          <w:b w:val="0"/>
          <w:color w:val="auto"/>
          <w:sz w:val="21"/>
          <w:szCs w:val="21"/>
        </w:rPr>
        <w:tab/>
      </w:r>
      <w:r>
        <w:rPr>
          <w:b w:val="0"/>
          <w:color w:val="auto"/>
          <w:sz w:val="21"/>
          <w:szCs w:val="21"/>
        </w:rPr>
        <w:fldChar w:fldCharType="begin"/>
      </w:r>
      <w:r>
        <w:rPr>
          <w:b w:val="0"/>
          <w:color w:val="auto"/>
          <w:sz w:val="21"/>
          <w:szCs w:val="21"/>
        </w:rPr>
        <w:instrText xml:space="preserve"> PAGEREF _Toc6155 \h </w:instrText>
      </w:r>
      <w:r>
        <w:rPr>
          <w:b w:val="0"/>
          <w:color w:val="auto"/>
          <w:sz w:val="21"/>
          <w:szCs w:val="21"/>
        </w:rPr>
        <w:fldChar w:fldCharType="separate"/>
      </w:r>
      <w:r>
        <w:rPr>
          <w:b w:val="0"/>
          <w:color w:val="auto"/>
          <w:sz w:val="21"/>
          <w:szCs w:val="21"/>
        </w:rPr>
        <w:t>162</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_Toc22461 </w:instrText>
      </w:r>
      <w:r>
        <w:rPr>
          <w:b w:val="0"/>
          <w:color w:val="auto"/>
          <w:sz w:val="21"/>
          <w:szCs w:val="21"/>
        </w:rPr>
        <w:fldChar w:fldCharType="separate"/>
      </w:r>
      <w:r>
        <w:rPr>
          <w:b w:val="0"/>
          <w:color w:val="auto"/>
          <w:sz w:val="21"/>
          <w:szCs w:val="21"/>
        </w:rPr>
        <w:t>5.</w:t>
      </w:r>
      <w:r>
        <w:rPr>
          <w:rFonts w:hint="eastAsia"/>
          <w:b w:val="0"/>
          <w:color w:val="auto"/>
          <w:sz w:val="21"/>
          <w:szCs w:val="21"/>
        </w:rPr>
        <w:t>1</w:t>
      </w:r>
      <w:r>
        <w:rPr>
          <w:b w:val="0"/>
          <w:color w:val="auto"/>
          <w:sz w:val="21"/>
          <w:szCs w:val="21"/>
        </w:rPr>
        <w:t xml:space="preserve">  </w:t>
      </w:r>
      <w:r>
        <w:rPr>
          <w:rFonts w:hint="eastAsia"/>
          <w:b w:val="0"/>
          <w:color w:val="auto"/>
          <w:sz w:val="21"/>
          <w:szCs w:val="21"/>
        </w:rPr>
        <w:t>东营大明钻井有限责任公司安全管理现状</w:t>
      </w:r>
      <w:r>
        <w:rPr>
          <w:b w:val="0"/>
          <w:color w:val="auto"/>
          <w:sz w:val="21"/>
          <w:szCs w:val="21"/>
        </w:rPr>
        <w:tab/>
      </w:r>
      <w:r>
        <w:rPr>
          <w:b w:val="0"/>
          <w:color w:val="auto"/>
          <w:sz w:val="21"/>
          <w:szCs w:val="21"/>
        </w:rPr>
        <w:fldChar w:fldCharType="begin"/>
      </w:r>
      <w:r>
        <w:rPr>
          <w:b w:val="0"/>
          <w:color w:val="auto"/>
          <w:sz w:val="21"/>
          <w:szCs w:val="21"/>
        </w:rPr>
        <w:instrText xml:space="preserve"> PAGEREF _Toc22461 \h </w:instrText>
      </w:r>
      <w:r>
        <w:rPr>
          <w:b w:val="0"/>
          <w:color w:val="auto"/>
          <w:sz w:val="21"/>
          <w:szCs w:val="21"/>
        </w:rPr>
        <w:fldChar w:fldCharType="separate"/>
      </w:r>
      <w:r>
        <w:rPr>
          <w:b w:val="0"/>
          <w:color w:val="auto"/>
          <w:sz w:val="21"/>
          <w:szCs w:val="21"/>
        </w:rPr>
        <w:t>162</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_Toc18921 </w:instrText>
      </w:r>
      <w:r>
        <w:rPr>
          <w:b w:val="0"/>
          <w:color w:val="auto"/>
          <w:sz w:val="21"/>
          <w:szCs w:val="21"/>
        </w:rPr>
        <w:fldChar w:fldCharType="separate"/>
      </w:r>
      <w:r>
        <w:rPr>
          <w:b w:val="0"/>
          <w:color w:val="auto"/>
          <w:sz w:val="21"/>
          <w:szCs w:val="21"/>
        </w:rPr>
        <w:t>5.</w:t>
      </w:r>
      <w:r>
        <w:rPr>
          <w:rFonts w:hint="eastAsia"/>
          <w:b w:val="0"/>
          <w:color w:val="auto"/>
          <w:sz w:val="21"/>
          <w:szCs w:val="21"/>
        </w:rPr>
        <w:t>2</w:t>
      </w:r>
      <w:r>
        <w:rPr>
          <w:b w:val="0"/>
          <w:color w:val="auto"/>
          <w:sz w:val="21"/>
          <w:szCs w:val="21"/>
        </w:rPr>
        <w:t xml:space="preserve">  </w:t>
      </w:r>
      <w:r>
        <w:rPr>
          <w:rFonts w:hint="eastAsia"/>
          <w:b w:val="0"/>
          <w:color w:val="auto"/>
          <w:sz w:val="21"/>
          <w:szCs w:val="21"/>
        </w:rPr>
        <w:t>生产作业单元</w:t>
      </w:r>
      <w:r>
        <w:rPr>
          <w:rFonts w:hint="eastAsia"/>
          <w:b w:val="0"/>
          <w:color w:val="auto"/>
          <w:sz w:val="21"/>
          <w:szCs w:val="21"/>
          <w:lang w:val="en-US" w:eastAsia="zh-CN"/>
        </w:rPr>
        <w:t>安全检查表</w:t>
      </w:r>
      <w:r>
        <w:rPr>
          <w:b w:val="0"/>
          <w:color w:val="auto"/>
          <w:sz w:val="21"/>
          <w:szCs w:val="21"/>
        </w:rPr>
        <w:tab/>
      </w:r>
      <w:r>
        <w:rPr>
          <w:b w:val="0"/>
          <w:color w:val="auto"/>
          <w:sz w:val="21"/>
          <w:szCs w:val="21"/>
        </w:rPr>
        <w:fldChar w:fldCharType="begin"/>
      </w:r>
      <w:r>
        <w:rPr>
          <w:b w:val="0"/>
          <w:color w:val="auto"/>
          <w:sz w:val="21"/>
          <w:szCs w:val="21"/>
        </w:rPr>
        <w:instrText xml:space="preserve"> PAGEREF _Toc18921 \h </w:instrText>
      </w:r>
      <w:r>
        <w:rPr>
          <w:b w:val="0"/>
          <w:color w:val="auto"/>
          <w:sz w:val="21"/>
          <w:szCs w:val="21"/>
        </w:rPr>
        <w:fldChar w:fldCharType="separate"/>
      </w:r>
      <w:r>
        <w:rPr>
          <w:b w:val="0"/>
          <w:color w:val="auto"/>
          <w:sz w:val="21"/>
          <w:szCs w:val="21"/>
        </w:rPr>
        <w:t>171</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_Toc17165 </w:instrText>
      </w:r>
      <w:r>
        <w:rPr>
          <w:b w:val="0"/>
          <w:color w:val="auto"/>
          <w:sz w:val="21"/>
          <w:szCs w:val="21"/>
        </w:rPr>
        <w:fldChar w:fldCharType="separate"/>
      </w:r>
      <w:r>
        <w:rPr>
          <w:rFonts w:hint="default"/>
          <w:b w:val="0"/>
          <w:color w:val="auto"/>
          <w:sz w:val="21"/>
          <w:szCs w:val="21"/>
          <w:lang w:val="en-US" w:eastAsia="zh-CN"/>
        </w:rPr>
        <w:t>5</w:t>
      </w:r>
      <w:r>
        <w:rPr>
          <w:rFonts w:hint="eastAsia"/>
          <w:b w:val="0"/>
          <w:color w:val="auto"/>
          <w:sz w:val="21"/>
          <w:szCs w:val="21"/>
          <w:lang w:val="en-US" w:eastAsia="zh-CN"/>
        </w:rPr>
        <w:t>.</w:t>
      </w:r>
      <w:r>
        <w:rPr>
          <w:rFonts w:hint="default"/>
          <w:b w:val="0"/>
          <w:color w:val="auto"/>
          <w:sz w:val="21"/>
          <w:szCs w:val="21"/>
          <w:lang w:val="en-US" w:eastAsia="zh-CN"/>
        </w:rPr>
        <w:t xml:space="preserve">3 </w:t>
      </w:r>
      <w:r>
        <w:rPr>
          <w:rFonts w:hint="eastAsia"/>
          <w:b w:val="0"/>
          <w:color w:val="auto"/>
          <w:sz w:val="21"/>
          <w:szCs w:val="21"/>
          <w:lang w:val="en-US" w:eastAsia="zh-CN"/>
        </w:rPr>
        <w:t xml:space="preserve"> </w:t>
      </w:r>
      <w:r>
        <w:rPr>
          <w:rFonts w:hint="default"/>
          <w:b w:val="0"/>
          <w:color w:val="auto"/>
          <w:sz w:val="21"/>
          <w:szCs w:val="21"/>
          <w:lang w:val="en-US" w:eastAsia="zh-CN"/>
        </w:rPr>
        <w:t>作业条件危险性评价</w:t>
      </w:r>
      <w:r>
        <w:rPr>
          <w:b w:val="0"/>
          <w:color w:val="auto"/>
          <w:sz w:val="21"/>
          <w:szCs w:val="21"/>
        </w:rPr>
        <w:tab/>
      </w:r>
      <w:r>
        <w:rPr>
          <w:b w:val="0"/>
          <w:color w:val="auto"/>
          <w:sz w:val="21"/>
          <w:szCs w:val="21"/>
        </w:rPr>
        <w:fldChar w:fldCharType="begin"/>
      </w:r>
      <w:r>
        <w:rPr>
          <w:b w:val="0"/>
          <w:color w:val="auto"/>
          <w:sz w:val="21"/>
          <w:szCs w:val="21"/>
        </w:rPr>
        <w:instrText xml:space="preserve"> PAGEREF _Toc17165 \h </w:instrText>
      </w:r>
      <w:r>
        <w:rPr>
          <w:b w:val="0"/>
          <w:color w:val="auto"/>
          <w:sz w:val="21"/>
          <w:szCs w:val="21"/>
        </w:rPr>
        <w:fldChar w:fldCharType="separate"/>
      </w:r>
      <w:r>
        <w:rPr>
          <w:b w:val="0"/>
          <w:color w:val="auto"/>
          <w:sz w:val="21"/>
          <w:szCs w:val="21"/>
        </w:rPr>
        <w:t>190</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0" w:firstLineChars="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_Toc32341 </w:instrText>
      </w:r>
      <w:r>
        <w:rPr>
          <w:b w:val="0"/>
          <w:color w:val="auto"/>
          <w:sz w:val="21"/>
          <w:szCs w:val="21"/>
        </w:rPr>
        <w:fldChar w:fldCharType="separate"/>
      </w:r>
      <w:r>
        <w:rPr>
          <w:rFonts w:hint="eastAsia"/>
          <w:b w:val="0"/>
          <w:color w:val="auto"/>
          <w:sz w:val="21"/>
          <w:szCs w:val="21"/>
          <w:lang w:val="en-US" w:eastAsia="zh-CN"/>
        </w:rPr>
        <w:t>6</w:t>
      </w:r>
      <w:r>
        <w:rPr>
          <w:b w:val="0"/>
          <w:color w:val="auto"/>
          <w:sz w:val="21"/>
          <w:szCs w:val="21"/>
        </w:rPr>
        <w:t xml:space="preserve">  </w:t>
      </w:r>
      <w:r>
        <w:rPr>
          <w:rFonts w:hint="eastAsia"/>
          <w:b w:val="0"/>
          <w:color w:val="auto"/>
          <w:sz w:val="21"/>
          <w:szCs w:val="21"/>
        </w:rPr>
        <w:t>安全对策措施及建议</w:t>
      </w:r>
      <w:r>
        <w:rPr>
          <w:b w:val="0"/>
          <w:color w:val="auto"/>
          <w:sz w:val="21"/>
          <w:szCs w:val="21"/>
        </w:rPr>
        <w:tab/>
      </w:r>
      <w:r>
        <w:rPr>
          <w:b w:val="0"/>
          <w:color w:val="auto"/>
          <w:sz w:val="21"/>
          <w:szCs w:val="21"/>
        </w:rPr>
        <w:fldChar w:fldCharType="begin"/>
      </w:r>
      <w:r>
        <w:rPr>
          <w:b w:val="0"/>
          <w:color w:val="auto"/>
          <w:sz w:val="21"/>
          <w:szCs w:val="21"/>
        </w:rPr>
        <w:instrText xml:space="preserve"> PAGEREF _Toc32341 \h </w:instrText>
      </w:r>
      <w:r>
        <w:rPr>
          <w:b w:val="0"/>
          <w:color w:val="auto"/>
          <w:sz w:val="21"/>
          <w:szCs w:val="21"/>
        </w:rPr>
        <w:fldChar w:fldCharType="separate"/>
      </w:r>
      <w:r>
        <w:rPr>
          <w:b w:val="0"/>
          <w:color w:val="auto"/>
          <w:sz w:val="21"/>
          <w:szCs w:val="21"/>
        </w:rPr>
        <w:t>192</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_Toc22356 </w:instrText>
      </w:r>
      <w:r>
        <w:rPr>
          <w:b w:val="0"/>
          <w:color w:val="auto"/>
          <w:sz w:val="21"/>
          <w:szCs w:val="21"/>
        </w:rPr>
        <w:fldChar w:fldCharType="separate"/>
      </w:r>
      <w:r>
        <w:rPr>
          <w:rFonts w:hint="eastAsia"/>
          <w:b w:val="0"/>
          <w:color w:val="auto"/>
          <w:sz w:val="21"/>
          <w:szCs w:val="21"/>
          <w:lang w:val="en-US" w:eastAsia="zh-CN"/>
        </w:rPr>
        <w:t>6</w:t>
      </w:r>
      <w:r>
        <w:rPr>
          <w:rFonts w:hint="eastAsia"/>
          <w:b w:val="0"/>
          <w:color w:val="auto"/>
          <w:sz w:val="21"/>
          <w:szCs w:val="21"/>
        </w:rPr>
        <w:t xml:space="preserve">.1 </w:t>
      </w:r>
      <w:r>
        <w:rPr>
          <w:rFonts w:hint="eastAsia"/>
          <w:b w:val="0"/>
          <w:color w:val="auto"/>
          <w:sz w:val="21"/>
          <w:szCs w:val="21"/>
          <w:lang w:val="en-US" w:eastAsia="zh-CN"/>
        </w:rPr>
        <w:t xml:space="preserve"> </w:t>
      </w:r>
      <w:r>
        <w:rPr>
          <w:rFonts w:hint="eastAsia"/>
          <w:b w:val="0"/>
          <w:color w:val="auto"/>
          <w:sz w:val="21"/>
          <w:szCs w:val="21"/>
        </w:rPr>
        <w:t>安全对策措施</w:t>
      </w:r>
      <w:r>
        <w:rPr>
          <w:b w:val="0"/>
          <w:color w:val="auto"/>
          <w:sz w:val="21"/>
          <w:szCs w:val="21"/>
        </w:rPr>
        <w:tab/>
      </w:r>
      <w:r>
        <w:rPr>
          <w:b w:val="0"/>
          <w:color w:val="auto"/>
          <w:sz w:val="21"/>
          <w:szCs w:val="21"/>
        </w:rPr>
        <w:fldChar w:fldCharType="begin"/>
      </w:r>
      <w:r>
        <w:rPr>
          <w:b w:val="0"/>
          <w:color w:val="auto"/>
          <w:sz w:val="21"/>
          <w:szCs w:val="21"/>
        </w:rPr>
        <w:instrText xml:space="preserve"> PAGEREF _Toc22356 \h </w:instrText>
      </w:r>
      <w:r>
        <w:rPr>
          <w:b w:val="0"/>
          <w:color w:val="auto"/>
          <w:sz w:val="21"/>
          <w:szCs w:val="21"/>
        </w:rPr>
        <w:fldChar w:fldCharType="separate"/>
      </w:r>
      <w:r>
        <w:rPr>
          <w:b w:val="0"/>
          <w:color w:val="auto"/>
          <w:sz w:val="21"/>
          <w:szCs w:val="21"/>
        </w:rPr>
        <w:t>192</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_Toc28417 </w:instrText>
      </w:r>
      <w:r>
        <w:rPr>
          <w:b w:val="0"/>
          <w:color w:val="auto"/>
          <w:sz w:val="21"/>
          <w:szCs w:val="21"/>
        </w:rPr>
        <w:fldChar w:fldCharType="separate"/>
      </w:r>
      <w:r>
        <w:rPr>
          <w:rFonts w:hint="eastAsia"/>
          <w:b w:val="0"/>
          <w:color w:val="auto"/>
          <w:sz w:val="21"/>
          <w:szCs w:val="21"/>
          <w:lang w:val="en-US" w:eastAsia="zh-CN"/>
        </w:rPr>
        <w:t>6</w:t>
      </w:r>
      <w:r>
        <w:rPr>
          <w:rFonts w:hint="eastAsia"/>
          <w:b w:val="0"/>
          <w:color w:val="auto"/>
          <w:sz w:val="21"/>
          <w:szCs w:val="21"/>
        </w:rPr>
        <w:t xml:space="preserve">.2 </w:t>
      </w:r>
      <w:r>
        <w:rPr>
          <w:rFonts w:hint="eastAsia"/>
          <w:b w:val="0"/>
          <w:color w:val="auto"/>
          <w:sz w:val="21"/>
          <w:szCs w:val="21"/>
          <w:lang w:val="en-US" w:eastAsia="zh-CN"/>
        </w:rPr>
        <w:t xml:space="preserve"> </w:t>
      </w:r>
      <w:r>
        <w:rPr>
          <w:rFonts w:hint="eastAsia"/>
          <w:b w:val="0"/>
          <w:color w:val="auto"/>
          <w:sz w:val="21"/>
          <w:szCs w:val="21"/>
        </w:rPr>
        <w:t>安全管理建议</w:t>
      </w:r>
      <w:r>
        <w:rPr>
          <w:b w:val="0"/>
          <w:color w:val="auto"/>
          <w:sz w:val="21"/>
          <w:szCs w:val="21"/>
        </w:rPr>
        <w:tab/>
      </w:r>
      <w:r>
        <w:rPr>
          <w:b w:val="0"/>
          <w:color w:val="auto"/>
          <w:sz w:val="21"/>
          <w:szCs w:val="21"/>
        </w:rPr>
        <w:fldChar w:fldCharType="begin"/>
      </w:r>
      <w:r>
        <w:rPr>
          <w:b w:val="0"/>
          <w:color w:val="auto"/>
          <w:sz w:val="21"/>
          <w:szCs w:val="21"/>
        </w:rPr>
        <w:instrText xml:space="preserve"> PAGEREF _Toc28417 \h </w:instrText>
      </w:r>
      <w:r>
        <w:rPr>
          <w:b w:val="0"/>
          <w:color w:val="auto"/>
          <w:sz w:val="21"/>
          <w:szCs w:val="21"/>
        </w:rPr>
        <w:fldChar w:fldCharType="separate"/>
      </w:r>
      <w:r>
        <w:rPr>
          <w:b w:val="0"/>
          <w:color w:val="auto"/>
          <w:sz w:val="21"/>
          <w:szCs w:val="21"/>
        </w:rPr>
        <w:t>193</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0" w:firstLineChars="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_Toc13932 </w:instrText>
      </w:r>
      <w:r>
        <w:rPr>
          <w:b w:val="0"/>
          <w:color w:val="auto"/>
          <w:sz w:val="21"/>
          <w:szCs w:val="21"/>
        </w:rPr>
        <w:fldChar w:fldCharType="separate"/>
      </w:r>
      <w:r>
        <w:rPr>
          <w:rFonts w:hint="eastAsia"/>
          <w:b w:val="0"/>
          <w:color w:val="auto"/>
          <w:sz w:val="21"/>
          <w:szCs w:val="21"/>
          <w:lang w:val="en-US" w:eastAsia="zh-CN"/>
        </w:rPr>
        <w:t>7</w:t>
      </w:r>
      <w:r>
        <w:rPr>
          <w:b w:val="0"/>
          <w:color w:val="auto"/>
          <w:sz w:val="21"/>
          <w:szCs w:val="21"/>
        </w:rPr>
        <w:t xml:space="preserve"> </w:t>
      </w:r>
      <w:r>
        <w:rPr>
          <w:rFonts w:hint="eastAsia"/>
          <w:b w:val="0"/>
          <w:color w:val="auto"/>
          <w:sz w:val="21"/>
          <w:szCs w:val="21"/>
        </w:rPr>
        <w:t xml:space="preserve"> 隐患整改复查情况</w:t>
      </w:r>
      <w:r>
        <w:rPr>
          <w:b w:val="0"/>
          <w:color w:val="auto"/>
          <w:sz w:val="21"/>
          <w:szCs w:val="21"/>
        </w:rPr>
        <w:tab/>
      </w:r>
      <w:r>
        <w:rPr>
          <w:b w:val="0"/>
          <w:color w:val="auto"/>
          <w:sz w:val="21"/>
          <w:szCs w:val="21"/>
        </w:rPr>
        <w:fldChar w:fldCharType="begin"/>
      </w:r>
      <w:r>
        <w:rPr>
          <w:b w:val="0"/>
          <w:color w:val="auto"/>
          <w:sz w:val="21"/>
          <w:szCs w:val="21"/>
        </w:rPr>
        <w:instrText xml:space="preserve"> PAGEREF _Toc13932 \h </w:instrText>
      </w:r>
      <w:r>
        <w:rPr>
          <w:b w:val="0"/>
          <w:color w:val="auto"/>
          <w:sz w:val="21"/>
          <w:szCs w:val="21"/>
        </w:rPr>
        <w:fldChar w:fldCharType="separate"/>
      </w:r>
      <w:r>
        <w:rPr>
          <w:b w:val="0"/>
          <w:color w:val="auto"/>
          <w:sz w:val="21"/>
          <w:szCs w:val="21"/>
        </w:rPr>
        <w:t>197</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0" w:firstLineChars="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_Toc4492 </w:instrText>
      </w:r>
      <w:r>
        <w:rPr>
          <w:b w:val="0"/>
          <w:color w:val="auto"/>
          <w:sz w:val="21"/>
          <w:szCs w:val="21"/>
        </w:rPr>
        <w:fldChar w:fldCharType="separate"/>
      </w:r>
      <w:r>
        <w:rPr>
          <w:rFonts w:hint="eastAsia"/>
          <w:b w:val="0"/>
          <w:color w:val="auto"/>
          <w:sz w:val="21"/>
          <w:szCs w:val="21"/>
          <w:lang w:val="en-US" w:eastAsia="zh-CN"/>
        </w:rPr>
        <w:t>8</w:t>
      </w:r>
      <w:r>
        <w:rPr>
          <w:b w:val="0"/>
          <w:color w:val="auto"/>
          <w:sz w:val="21"/>
          <w:szCs w:val="21"/>
          <w:lang w:val="en-US" w:eastAsia="zh-CN"/>
        </w:rPr>
        <w:t xml:space="preserve"> </w:t>
      </w:r>
      <w:r>
        <w:rPr>
          <w:rFonts w:hint="eastAsia"/>
          <w:b w:val="0"/>
          <w:color w:val="auto"/>
          <w:sz w:val="21"/>
          <w:szCs w:val="21"/>
          <w:lang w:val="en-US" w:eastAsia="zh-CN"/>
        </w:rPr>
        <w:t xml:space="preserve"> 安全生产条件评价结果</w:t>
      </w:r>
      <w:r>
        <w:rPr>
          <w:b w:val="0"/>
          <w:color w:val="auto"/>
          <w:sz w:val="21"/>
          <w:szCs w:val="21"/>
        </w:rPr>
        <w:tab/>
      </w:r>
      <w:r>
        <w:rPr>
          <w:b w:val="0"/>
          <w:color w:val="auto"/>
          <w:sz w:val="21"/>
          <w:szCs w:val="21"/>
        </w:rPr>
        <w:fldChar w:fldCharType="begin"/>
      </w:r>
      <w:r>
        <w:rPr>
          <w:b w:val="0"/>
          <w:color w:val="auto"/>
          <w:sz w:val="21"/>
          <w:szCs w:val="21"/>
        </w:rPr>
        <w:instrText xml:space="preserve"> PAGEREF _Toc4492 \h </w:instrText>
      </w:r>
      <w:r>
        <w:rPr>
          <w:b w:val="0"/>
          <w:color w:val="auto"/>
          <w:sz w:val="21"/>
          <w:szCs w:val="21"/>
        </w:rPr>
        <w:fldChar w:fldCharType="separate"/>
      </w:r>
      <w:r>
        <w:rPr>
          <w:b w:val="0"/>
          <w:color w:val="auto"/>
          <w:sz w:val="21"/>
          <w:szCs w:val="21"/>
        </w:rPr>
        <w:t>204</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_Toc5621 </w:instrText>
      </w:r>
      <w:r>
        <w:rPr>
          <w:b w:val="0"/>
          <w:color w:val="auto"/>
          <w:sz w:val="21"/>
          <w:szCs w:val="21"/>
        </w:rPr>
        <w:fldChar w:fldCharType="separate"/>
      </w:r>
      <w:r>
        <w:rPr>
          <w:rFonts w:hint="default"/>
          <w:b w:val="0"/>
          <w:color w:val="auto"/>
          <w:sz w:val="21"/>
          <w:szCs w:val="21"/>
          <w:lang w:val="en-US" w:eastAsia="zh-CN"/>
        </w:rPr>
        <w:t>8.1</w:t>
      </w:r>
      <w:r>
        <w:rPr>
          <w:rFonts w:hint="eastAsia"/>
          <w:b w:val="0"/>
          <w:color w:val="auto"/>
          <w:sz w:val="21"/>
          <w:szCs w:val="21"/>
          <w:lang w:val="en-US" w:eastAsia="zh-CN"/>
        </w:rPr>
        <w:t xml:space="preserve"> </w:t>
      </w:r>
      <w:r>
        <w:rPr>
          <w:rFonts w:hint="default"/>
          <w:b w:val="0"/>
          <w:color w:val="auto"/>
          <w:sz w:val="21"/>
          <w:szCs w:val="21"/>
          <w:lang w:val="en-US" w:eastAsia="zh-CN"/>
        </w:rPr>
        <w:t xml:space="preserve"> 安全生产条件分析</w:t>
      </w:r>
      <w:r>
        <w:rPr>
          <w:b w:val="0"/>
          <w:color w:val="auto"/>
          <w:sz w:val="21"/>
          <w:szCs w:val="21"/>
        </w:rPr>
        <w:tab/>
      </w:r>
      <w:r>
        <w:rPr>
          <w:b w:val="0"/>
          <w:color w:val="auto"/>
          <w:sz w:val="21"/>
          <w:szCs w:val="21"/>
        </w:rPr>
        <w:fldChar w:fldCharType="begin"/>
      </w:r>
      <w:r>
        <w:rPr>
          <w:b w:val="0"/>
          <w:color w:val="auto"/>
          <w:sz w:val="21"/>
          <w:szCs w:val="21"/>
        </w:rPr>
        <w:instrText xml:space="preserve"> PAGEREF _Toc5621 \h </w:instrText>
      </w:r>
      <w:r>
        <w:rPr>
          <w:b w:val="0"/>
          <w:color w:val="auto"/>
          <w:sz w:val="21"/>
          <w:szCs w:val="21"/>
        </w:rPr>
        <w:fldChar w:fldCharType="separate"/>
      </w:r>
      <w:r>
        <w:rPr>
          <w:b w:val="0"/>
          <w:color w:val="auto"/>
          <w:sz w:val="21"/>
          <w:szCs w:val="21"/>
        </w:rPr>
        <w:t>204</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420" w:firstLineChars="20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_Toc2441 </w:instrText>
      </w:r>
      <w:r>
        <w:rPr>
          <w:b w:val="0"/>
          <w:color w:val="auto"/>
          <w:sz w:val="21"/>
          <w:szCs w:val="21"/>
        </w:rPr>
        <w:fldChar w:fldCharType="separate"/>
      </w:r>
      <w:r>
        <w:rPr>
          <w:rFonts w:hint="default"/>
          <w:b w:val="0"/>
          <w:color w:val="auto"/>
          <w:sz w:val="21"/>
          <w:szCs w:val="21"/>
          <w:lang w:val="en-US" w:eastAsia="zh-CN"/>
        </w:rPr>
        <w:t>8.2</w:t>
      </w:r>
      <w:r>
        <w:rPr>
          <w:rFonts w:hint="eastAsia"/>
          <w:b w:val="0"/>
          <w:color w:val="auto"/>
          <w:sz w:val="21"/>
          <w:szCs w:val="21"/>
          <w:lang w:val="en-US" w:eastAsia="zh-CN"/>
        </w:rPr>
        <w:t xml:space="preserve">  </w:t>
      </w:r>
      <w:r>
        <w:rPr>
          <w:rFonts w:hint="default"/>
          <w:b w:val="0"/>
          <w:color w:val="auto"/>
          <w:sz w:val="21"/>
          <w:szCs w:val="21"/>
          <w:lang w:val="en-US" w:eastAsia="zh-CN"/>
        </w:rPr>
        <w:t>重大安全风险隐患分析</w:t>
      </w:r>
      <w:r>
        <w:rPr>
          <w:b w:val="0"/>
          <w:color w:val="auto"/>
          <w:sz w:val="21"/>
          <w:szCs w:val="21"/>
        </w:rPr>
        <w:tab/>
      </w:r>
      <w:r>
        <w:rPr>
          <w:b w:val="0"/>
          <w:color w:val="auto"/>
          <w:sz w:val="21"/>
          <w:szCs w:val="21"/>
        </w:rPr>
        <w:fldChar w:fldCharType="begin"/>
      </w:r>
      <w:r>
        <w:rPr>
          <w:b w:val="0"/>
          <w:color w:val="auto"/>
          <w:sz w:val="21"/>
          <w:szCs w:val="21"/>
        </w:rPr>
        <w:instrText xml:space="preserve"> PAGEREF _Toc2441 \h </w:instrText>
      </w:r>
      <w:r>
        <w:rPr>
          <w:b w:val="0"/>
          <w:color w:val="auto"/>
          <w:sz w:val="21"/>
          <w:szCs w:val="21"/>
        </w:rPr>
        <w:fldChar w:fldCharType="separate"/>
      </w:r>
      <w:r>
        <w:rPr>
          <w:b w:val="0"/>
          <w:color w:val="auto"/>
          <w:sz w:val="21"/>
          <w:szCs w:val="21"/>
        </w:rPr>
        <w:t>207</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0" w:firstLineChars="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_Toc9679 </w:instrText>
      </w:r>
      <w:r>
        <w:rPr>
          <w:b w:val="0"/>
          <w:color w:val="auto"/>
          <w:sz w:val="21"/>
          <w:szCs w:val="21"/>
        </w:rPr>
        <w:fldChar w:fldCharType="separate"/>
      </w:r>
      <w:r>
        <w:rPr>
          <w:rFonts w:hint="eastAsia"/>
          <w:b w:val="0"/>
          <w:color w:val="auto"/>
          <w:sz w:val="21"/>
          <w:szCs w:val="21"/>
        </w:rPr>
        <w:t>9</w:t>
      </w:r>
      <w:r>
        <w:rPr>
          <w:b w:val="0"/>
          <w:color w:val="auto"/>
          <w:sz w:val="21"/>
          <w:szCs w:val="21"/>
        </w:rPr>
        <w:t xml:space="preserve"> </w:t>
      </w:r>
      <w:r>
        <w:rPr>
          <w:rFonts w:hint="eastAsia"/>
          <w:b w:val="0"/>
          <w:color w:val="auto"/>
          <w:sz w:val="21"/>
          <w:szCs w:val="21"/>
          <w:lang w:val="en-US" w:eastAsia="zh-CN"/>
        </w:rPr>
        <w:t xml:space="preserve"> </w:t>
      </w:r>
      <w:r>
        <w:rPr>
          <w:rFonts w:hint="eastAsia"/>
          <w:b w:val="0"/>
          <w:color w:val="auto"/>
          <w:sz w:val="21"/>
          <w:szCs w:val="21"/>
        </w:rPr>
        <w:t>安全现状评价结论</w:t>
      </w:r>
      <w:r>
        <w:rPr>
          <w:b w:val="0"/>
          <w:color w:val="auto"/>
          <w:sz w:val="21"/>
          <w:szCs w:val="21"/>
        </w:rPr>
        <w:tab/>
      </w:r>
      <w:r>
        <w:rPr>
          <w:b w:val="0"/>
          <w:color w:val="auto"/>
          <w:sz w:val="21"/>
          <w:szCs w:val="21"/>
        </w:rPr>
        <w:fldChar w:fldCharType="begin"/>
      </w:r>
      <w:r>
        <w:rPr>
          <w:b w:val="0"/>
          <w:color w:val="auto"/>
          <w:sz w:val="21"/>
          <w:szCs w:val="21"/>
        </w:rPr>
        <w:instrText xml:space="preserve"> PAGEREF _Toc9679 \h </w:instrText>
      </w:r>
      <w:r>
        <w:rPr>
          <w:b w:val="0"/>
          <w:color w:val="auto"/>
          <w:sz w:val="21"/>
          <w:szCs w:val="21"/>
        </w:rPr>
        <w:fldChar w:fldCharType="separate"/>
      </w:r>
      <w:r>
        <w:rPr>
          <w:b w:val="0"/>
          <w:color w:val="auto"/>
          <w:sz w:val="21"/>
          <w:szCs w:val="21"/>
        </w:rPr>
        <w:t>211</w:t>
      </w:r>
      <w:r>
        <w:rPr>
          <w:b w:val="0"/>
          <w:color w:val="auto"/>
          <w:sz w:val="21"/>
          <w:szCs w:val="21"/>
        </w:rPr>
        <w:fldChar w:fldCharType="end"/>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0" w:firstLineChars="0"/>
        <w:textAlignment w:val="auto"/>
        <w:rPr>
          <w:b w:val="0"/>
          <w:color w:val="auto"/>
          <w:sz w:val="21"/>
          <w:szCs w:val="21"/>
        </w:rPr>
      </w:pPr>
      <w:r>
        <w:rPr>
          <w:b w:val="0"/>
          <w:color w:val="auto"/>
          <w:sz w:val="21"/>
          <w:szCs w:val="21"/>
        </w:rPr>
        <w:fldChar w:fldCharType="begin"/>
      </w:r>
      <w:r>
        <w:rPr>
          <w:b w:val="0"/>
          <w:color w:val="auto"/>
          <w:sz w:val="21"/>
          <w:szCs w:val="21"/>
        </w:rPr>
        <w:instrText xml:space="preserve"> HYPERLINK \l _Toc27400 </w:instrText>
      </w:r>
      <w:r>
        <w:rPr>
          <w:b w:val="0"/>
          <w:color w:val="auto"/>
          <w:sz w:val="21"/>
          <w:szCs w:val="21"/>
        </w:rPr>
        <w:fldChar w:fldCharType="separate"/>
      </w:r>
      <w:r>
        <w:rPr>
          <w:b w:val="0"/>
          <w:color w:val="auto"/>
          <w:sz w:val="21"/>
          <w:szCs w:val="21"/>
        </w:rPr>
        <w:t>附件</w:t>
      </w:r>
      <w:r>
        <w:rPr>
          <w:b w:val="0"/>
          <w:color w:val="auto"/>
          <w:sz w:val="21"/>
          <w:szCs w:val="21"/>
        </w:rPr>
        <w:fldChar w:fldCharType="end"/>
      </w:r>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0" w:firstLineChars="0"/>
        <w:textAlignment w:val="auto"/>
        <w:rPr>
          <w:b w:val="0"/>
          <w:color w:val="auto"/>
          <w:sz w:val="21"/>
          <w:szCs w:val="21"/>
        </w:rPr>
      </w:pPr>
    </w:p>
    <w:p/>
    <w:p>
      <w:pPr>
        <w:pStyle w:val="31"/>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80" w:lineRule="exact"/>
        <w:ind w:firstLine="0" w:firstLineChars="0"/>
        <w:textAlignment w:val="auto"/>
        <w:rPr>
          <w:b w:val="0"/>
          <w:bCs/>
          <w:color w:val="auto"/>
          <w:sz w:val="21"/>
          <w:szCs w:val="21"/>
          <w:shd w:val="pct10" w:color="auto" w:fill="FFFFFF"/>
        </w:rPr>
        <w:sectPr>
          <w:headerReference r:id="rId13" w:type="default"/>
          <w:footerReference r:id="rId14" w:type="default"/>
          <w:pgSz w:w="11906" w:h="16838"/>
          <w:pgMar w:top="1440" w:right="1803" w:bottom="1440" w:left="1803" w:header="850" w:footer="992" w:gutter="0"/>
          <w:pgBorders>
            <w:top w:val="none" w:sz="0" w:space="0"/>
            <w:left w:val="none" w:sz="0" w:space="0"/>
            <w:bottom w:val="none" w:sz="0" w:space="0"/>
            <w:right w:val="none" w:sz="0" w:space="0"/>
          </w:pgBorders>
          <w:pgNumType w:start="1"/>
          <w:cols w:space="0" w:num="1"/>
          <w:rtlGutter w:val="0"/>
          <w:docGrid w:linePitch="312" w:charSpace="0"/>
        </w:sectPr>
      </w:pPr>
      <w:r>
        <w:rPr>
          <w:b w:val="0"/>
          <w:color w:val="auto"/>
          <w:sz w:val="21"/>
          <w:szCs w:val="21"/>
        </w:rPr>
        <w:fldChar w:fldCharType="end"/>
      </w:r>
    </w:p>
    <w:p>
      <w:pPr>
        <w:pStyle w:val="3"/>
      </w:pPr>
      <w:bookmarkStart w:id="0" w:name="_Toc202759397"/>
      <w:bookmarkStart w:id="1" w:name="_Toc17179"/>
      <w:r>
        <w:t>1</w:t>
      </w:r>
      <w:bookmarkEnd w:id="0"/>
      <w:r>
        <w:t xml:space="preserve">  </w:t>
      </w:r>
      <w:r>
        <w:rPr>
          <w:rFonts w:hint="eastAsia" w:ascii="楷体" w:hAnsi="楷体" w:eastAsia="楷体" w:cs="楷体"/>
        </w:rPr>
        <w:t>总则</w:t>
      </w:r>
      <w:bookmarkEnd w:id="1"/>
    </w:p>
    <w:p>
      <w:pPr>
        <w:pStyle w:val="4"/>
        <w:rPr>
          <w:bCs w:val="0"/>
          <w:sz w:val="32"/>
          <w:szCs w:val="32"/>
        </w:rPr>
      </w:pPr>
      <w:bookmarkStart w:id="2" w:name="_Toc12405"/>
      <w:bookmarkStart w:id="3" w:name="_Toc202759398"/>
      <w:r>
        <w:rPr>
          <w:b w:val="0"/>
          <w:bCs/>
          <w:sz w:val="32"/>
          <w:szCs w:val="32"/>
        </w:rPr>
        <w:t>1.1</w:t>
      </w:r>
      <w:r>
        <w:rPr>
          <w:bCs w:val="0"/>
          <w:sz w:val="32"/>
          <w:szCs w:val="32"/>
        </w:rPr>
        <w:t xml:space="preserve">  </w:t>
      </w:r>
      <w:r>
        <w:rPr>
          <w:rFonts w:hint="eastAsia" w:ascii="黑体" w:hAnsi="黑体" w:eastAsia="黑体" w:cs="黑体"/>
          <w:b w:val="0"/>
          <w:bCs/>
          <w:sz w:val="32"/>
          <w:szCs w:val="32"/>
        </w:rPr>
        <w:t>评价目的</w:t>
      </w:r>
      <w:bookmarkEnd w:id="2"/>
      <w:bookmarkEnd w:id="3"/>
    </w:p>
    <w:p>
      <w:pPr>
        <w:widowControl w:val="0"/>
        <w:numPr>
          <w:ilvl w:val="0"/>
          <w:numId w:val="2"/>
        </w:numPr>
        <w:adjustRightInd w:val="0"/>
        <w:snapToGrid w:val="0"/>
        <w:spacing w:line="360" w:lineRule="auto"/>
        <w:ind w:left="0" w:firstLine="560" w:firstLineChars="200"/>
        <w:jc w:val="both"/>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按照《安全生产许可证条例》（国务院令[2014]第653号修改）、《非煤矿矿山企业安全生产许可证实施办法》（国家安全生产监督管理总局令[2009]第20号，2015修订版）的规定，陆上石油天然气企业必须进行安全现状评价，通过评价做出客观的评价结论，明确被评价单位是否具备陆上石油天然气企业的各项安全生产条件，为应急管理部门实施监督管理提供依据。</w:t>
      </w:r>
    </w:p>
    <w:p>
      <w:pPr>
        <w:widowControl w:val="0"/>
        <w:numPr>
          <w:ilvl w:val="0"/>
          <w:numId w:val="2"/>
        </w:numPr>
        <w:adjustRightInd w:val="0"/>
        <w:snapToGrid w:val="0"/>
        <w:spacing w:line="360" w:lineRule="auto"/>
        <w:ind w:left="0" w:firstLine="560" w:firstLineChars="200"/>
        <w:jc w:val="both"/>
        <w:rPr>
          <w:snapToGrid w:val="0"/>
          <w:kern w:val="0"/>
        </w:rPr>
      </w:pPr>
      <w:r>
        <w:rPr>
          <w:rFonts w:hint="eastAsia" w:ascii="Times New Roman" w:hAnsi="Times New Roman" w:eastAsia="宋体" w:cs="Times New Roman"/>
          <w:color w:val="auto"/>
          <w:kern w:val="2"/>
          <w:sz w:val="28"/>
          <w:szCs w:val="24"/>
          <w:lang w:val="en-US" w:eastAsia="zh-CN" w:bidi="ar-SA"/>
        </w:rPr>
        <w:t>通过对东营大明钻井有限责任公司钻井（钻井施工）项目现有的生产设施、设备的实际运行状况及管理状况的调查、分析，识别</w:t>
      </w:r>
      <w:r>
        <w:rPr>
          <w:rFonts w:hint="eastAsia" w:cs="Times New Roman"/>
          <w:color w:val="auto"/>
          <w:kern w:val="2"/>
          <w:sz w:val="28"/>
          <w:szCs w:val="24"/>
          <w:lang w:val="en-US" w:eastAsia="zh-CN" w:bidi="ar-SA"/>
        </w:rPr>
        <w:t>施工</w:t>
      </w:r>
      <w:r>
        <w:rPr>
          <w:rFonts w:hint="eastAsia" w:ascii="Times New Roman" w:hAnsi="Times New Roman" w:eastAsia="宋体" w:cs="Times New Roman"/>
          <w:color w:val="auto"/>
          <w:kern w:val="2"/>
          <w:sz w:val="28"/>
          <w:szCs w:val="24"/>
          <w:lang w:val="en-US" w:eastAsia="zh-CN" w:bidi="ar-SA"/>
        </w:rPr>
        <w:t>过程中存在的主要危险</w:t>
      </w:r>
      <w:r>
        <w:rPr>
          <w:snapToGrid w:val="0"/>
          <w:kern w:val="0"/>
        </w:rPr>
        <w:t>、有害因素，对企业在现场</w:t>
      </w:r>
      <w:r>
        <w:rPr>
          <w:rFonts w:hint="eastAsia"/>
          <w:snapToGrid w:val="0"/>
          <w:kern w:val="0"/>
          <w:lang w:val="en-US" w:eastAsia="zh-CN"/>
        </w:rPr>
        <w:t>施工</w:t>
      </w:r>
      <w:r>
        <w:rPr>
          <w:snapToGrid w:val="0"/>
          <w:kern w:val="0"/>
        </w:rPr>
        <w:t>、安全管理方面与标准和法规的符合性进行评价，对不符合国家标准的做法提出整改建议并补充相应的安全对策措施。</w:t>
      </w:r>
    </w:p>
    <w:p>
      <w:pPr>
        <w:pStyle w:val="4"/>
        <w:rPr>
          <w:b w:val="0"/>
          <w:bCs/>
          <w:sz w:val="32"/>
          <w:szCs w:val="32"/>
        </w:rPr>
      </w:pPr>
      <w:bookmarkStart w:id="4" w:name="_Toc1636"/>
      <w:r>
        <w:rPr>
          <w:b w:val="0"/>
          <w:bCs/>
          <w:sz w:val="32"/>
          <w:szCs w:val="32"/>
        </w:rPr>
        <w:t xml:space="preserve">1.2  </w:t>
      </w:r>
      <w:r>
        <w:rPr>
          <w:rFonts w:hint="eastAsia" w:ascii="黑体" w:hAnsi="黑体" w:eastAsia="黑体" w:cs="黑体"/>
          <w:b w:val="0"/>
          <w:bCs/>
          <w:sz w:val="32"/>
          <w:szCs w:val="32"/>
        </w:rPr>
        <w:t>评价依据</w:t>
      </w:r>
      <w:bookmarkEnd w:id="4"/>
    </w:p>
    <w:p>
      <w:pPr>
        <w:pStyle w:val="5"/>
        <w:rPr>
          <w:rFonts w:hint="eastAsia" w:ascii="黑体" w:hAnsi="黑体" w:eastAsia="黑体" w:cs="黑体"/>
          <w:b w:val="0"/>
          <w:bCs w:val="0"/>
        </w:rPr>
      </w:pPr>
      <w:r>
        <w:rPr>
          <w:b w:val="0"/>
          <w:bCs w:val="0"/>
        </w:rPr>
        <w:t xml:space="preserve">1.2.1  </w:t>
      </w:r>
      <w:r>
        <w:rPr>
          <w:rFonts w:hint="eastAsia" w:ascii="黑体" w:hAnsi="黑体" w:eastAsia="黑体" w:cs="黑体"/>
          <w:b w:val="0"/>
          <w:bCs w:val="0"/>
        </w:rPr>
        <w:t>法律、法规</w:t>
      </w:r>
    </w:p>
    <w:p>
      <w:pPr>
        <w:widowControl w:val="0"/>
        <w:numPr>
          <w:ilvl w:val="0"/>
          <w:numId w:val="3"/>
        </w:numPr>
        <w:adjustRightInd w:val="0"/>
        <w:snapToGrid w:val="0"/>
        <w:spacing w:line="360" w:lineRule="auto"/>
        <w:ind w:left="0" w:firstLine="560" w:firstLineChars="200"/>
        <w:jc w:val="both"/>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《中华人民共和国安全生产法》（2002年6月29日第九届</w:t>
      </w:r>
      <w:r>
        <w:rPr>
          <w:rFonts w:hint="eastAsia" w:ascii="Times New Roman" w:hAnsi="Times New Roman" w:eastAsia="宋体" w:cs="Times New Roman"/>
          <w:color w:val="auto"/>
          <w:kern w:val="2"/>
          <w:sz w:val="28"/>
          <w:szCs w:val="24"/>
          <w:lang w:val="en-US" w:eastAsia="zh-CN" w:bidi="ar-SA"/>
        </w:rPr>
        <w:fldChar w:fldCharType="begin"/>
      </w:r>
      <w:r>
        <w:rPr>
          <w:rFonts w:hint="eastAsia" w:ascii="Times New Roman" w:hAnsi="Times New Roman" w:eastAsia="宋体" w:cs="Times New Roman"/>
          <w:color w:val="auto"/>
          <w:kern w:val="2"/>
          <w:sz w:val="28"/>
          <w:szCs w:val="24"/>
          <w:lang w:val="en-US" w:eastAsia="zh-CN" w:bidi="ar-SA"/>
        </w:rPr>
        <w:instrText xml:space="preserve"> HYPERLINK "https://baike.baidu.com/item/%E5%85%A8%E5%9B%BD%E4%BA%BA%E6%B0%91%E4%BB%A3%E8%A1%A8%E5%A4%A7%E4%BC%9A/117422" \t "https://baike.baidu.com/item/%E4%B8%AD%E5%8D%8E%E4%BA%BA%E6%B0%91%E5%85%B1%E5%92%8C%E5%9B%BD%E5%AE%89%E5%85%A8%E7%94%9F%E4%BA%A7%E6%B3%95/_blank" </w:instrText>
      </w:r>
      <w:r>
        <w:rPr>
          <w:rFonts w:hint="eastAsia" w:ascii="Times New Roman" w:hAnsi="Times New Roman" w:eastAsia="宋体" w:cs="Times New Roman"/>
          <w:color w:val="auto"/>
          <w:kern w:val="2"/>
          <w:sz w:val="28"/>
          <w:szCs w:val="24"/>
          <w:lang w:val="en-US" w:eastAsia="zh-CN" w:bidi="ar-SA"/>
        </w:rPr>
        <w:fldChar w:fldCharType="separate"/>
      </w:r>
      <w:r>
        <w:rPr>
          <w:rFonts w:hint="eastAsia" w:ascii="Times New Roman" w:hAnsi="Times New Roman" w:eastAsia="宋体" w:cs="Times New Roman"/>
          <w:color w:val="auto"/>
          <w:kern w:val="2"/>
          <w:sz w:val="28"/>
          <w:szCs w:val="24"/>
          <w:lang w:val="en-US" w:eastAsia="zh-CN" w:bidi="ar-SA"/>
        </w:rPr>
        <w:t>全国人民代表大会</w:t>
      </w:r>
      <w:r>
        <w:rPr>
          <w:rFonts w:hint="eastAsia" w:ascii="Times New Roman" w:hAnsi="Times New Roman" w:eastAsia="宋体" w:cs="Times New Roman"/>
          <w:color w:val="auto"/>
          <w:kern w:val="2"/>
          <w:sz w:val="28"/>
          <w:szCs w:val="24"/>
          <w:lang w:val="en-US" w:eastAsia="zh-CN" w:bidi="ar-SA"/>
        </w:rPr>
        <w:fldChar w:fldCharType="end"/>
      </w:r>
      <w:r>
        <w:rPr>
          <w:rFonts w:hint="eastAsia" w:ascii="Times New Roman" w:hAnsi="Times New Roman" w:eastAsia="宋体" w:cs="Times New Roman"/>
          <w:color w:val="auto"/>
          <w:kern w:val="2"/>
          <w:sz w:val="28"/>
          <w:szCs w:val="24"/>
          <w:lang w:val="en-US" w:eastAsia="zh-CN" w:bidi="ar-SA"/>
        </w:rPr>
        <w:t>常务委员会第二十八次会议通过，2021年6月10日第十三届全国人民代表大会常务委员会第二十九次会议《关于修改&lt;中华人民共和国安全生产法&gt;的决定》第三次修正。中华人民共和国主席令[2014]第13号，[2021]第88号令修正）</w:t>
      </w:r>
    </w:p>
    <w:p>
      <w:pPr>
        <w:widowControl w:val="0"/>
        <w:numPr>
          <w:ilvl w:val="0"/>
          <w:numId w:val="3"/>
        </w:numPr>
        <w:adjustRightInd w:val="0"/>
        <w:snapToGrid w:val="0"/>
        <w:spacing w:line="360" w:lineRule="auto"/>
        <w:ind w:left="0" w:firstLine="560" w:firstLineChars="200"/>
        <w:jc w:val="both"/>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《中华人民共和国劳动法》（1994年7月5日</w:t>
      </w:r>
      <w:r>
        <w:rPr>
          <w:rFonts w:hint="eastAsia" w:ascii="Times New Roman" w:hAnsi="Times New Roman" w:eastAsia="宋体" w:cs="Times New Roman"/>
          <w:color w:val="auto"/>
          <w:kern w:val="2"/>
          <w:sz w:val="28"/>
          <w:szCs w:val="24"/>
          <w:lang w:val="en-US" w:eastAsia="zh-CN" w:bidi="ar-SA"/>
        </w:rPr>
        <w:fldChar w:fldCharType="begin"/>
      </w:r>
      <w:r>
        <w:rPr>
          <w:rFonts w:hint="eastAsia" w:ascii="Times New Roman" w:hAnsi="Times New Roman" w:eastAsia="宋体" w:cs="Times New Roman"/>
          <w:color w:val="auto"/>
          <w:kern w:val="2"/>
          <w:sz w:val="28"/>
          <w:szCs w:val="24"/>
          <w:lang w:val="en-US" w:eastAsia="zh-CN" w:bidi="ar-SA"/>
        </w:rPr>
        <w:instrText xml:space="preserve"> HYPERLINK "https://baike.baidu.com/item/%E7%AC%AC%E5%85%AB%E5%B1%8A%E5%85%A8%E5%9B%BD%E4%BA%BA%E6%B0%91%E4%BB%A3%E8%A1%A8%E5%A4%A7%E4%BC%9A%E5%B8%B8%E5%8A%A1%E5%A7%94%E5%91%98%E4%BC%9A/10230165" \t "https://baike.baidu.com/item/%E4%B8%AD%E5%8D%8E%E4%BA%BA%E6%B0%91%E5%85%B1%E5%92%8C%E5%9B%BD%E5%8A%B3%E5%8A%A8%E6%B3%95/_blank" </w:instrText>
      </w:r>
      <w:r>
        <w:rPr>
          <w:rFonts w:hint="eastAsia" w:ascii="Times New Roman" w:hAnsi="Times New Roman" w:eastAsia="宋体" w:cs="Times New Roman"/>
          <w:color w:val="auto"/>
          <w:kern w:val="2"/>
          <w:sz w:val="28"/>
          <w:szCs w:val="24"/>
          <w:lang w:val="en-US" w:eastAsia="zh-CN" w:bidi="ar-SA"/>
        </w:rPr>
        <w:fldChar w:fldCharType="separate"/>
      </w:r>
      <w:r>
        <w:rPr>
          <w:rFonts w:hint="eastAsia" w:ascii="Times New Roman" w:hAnsi="Times New Roman" w:eastAsia="宋体" w:cs="Times New Roman"/>
          <w:color w:val="auto"/>
          <w:kern w:val="2"/>
          <w:sz w:val="28"/>
          <w:szCs w:val="24"/>
          <w:lang w:val="en-US" w:eastAsia="zh-CN" w:bidi="ar-SA"/>
        </w:rPr>
        <w:t>第八届全国人民代表大会常务委员会</w:t>
      </w:r>
      <w:r>
        <w:rPr>
          <w:rFonts w:hint="eastAsia" w:ascii="Times New Roman" w:hAnsi="Times New Roman" w:eastAsia="宋体" w:cs="Times New Roman"/>
          <w:color w:val="auto"/>
          <w:kern w:val="2"/>
          <w:sz w:val="28"/>
          <w:szCs w:val="24"/>
          <w:lang w:val="en-US" w:eastAsia="zh-CN" w:bidi="ar-SA"/>
        </w:rPr>
        <w:fldChar w:fldCharType="end"/>
      </w:r>
      <w:r>
        <w:rPr>
          <w:rFonts w:hint="eastAsia" w:ascii="Times New Roman" w:hAnsi="Times New Roman" w:eastAsia="宋体" w:cs="Times New Roman"/>
          <w:color w:val="auto"/>
          <w:kern w:val="2"/>
          <w:sz w:val="28"/>
          <w:szCs w:val="24"/>
          <w:lang w:val="en-US" w:eastAsia="zh-CN" w:bidi="ar-SA"/>
        </w:rPr>
        <w:t>第八次会议通过，根据2018年12月29日</w:t>
      </w:r>
      <w:r>
        <w:rPr>
          <w:rFonts w:hint="eastAsia" w:ascii="Times New Roman" w:hAnsi="Times New Roman" w:eastAsia="宋体" w:cs="Times New Roman"/>
          <w:color w:val="auto"/>
          <w:kern w:val="2"/>
          <w:sz w:val="28"/>
          <w:szCs w:val="24"/>
          <w:lang w:val="en-US" w:eastAsia="zh-CN" w:bidi="ar-SA"/>
        </w:rPr>
        <w:fldChar w:fldCharType="begin"/>
      </w:r>
      <w:r>
        <w:rPr>
          <w:rFonts w:hint="eastAsia" w:ascii="Times New Roman" w:hAnsi="Times New Roman" w:eastAsia="宋体" w:cs="Times New Roman"/>
          <w:color w:val="auto"/>
          <w:kern w:val="2"/>
          <w:sz w:val="28"/>
          <w:szCs w:val="24"/>
          <w:lang w:val="en-US" w:eastAsia="zh-CN" w:bidi="ar-SA"/>
        </w:rPr>
        <w:instrText xml:space="preserve"> HYPERLINK "https://baike.baidu.com/item/%E7%AC%AC%E5%8D%81%E4%B8%89%E5%B1%8A%E5%85%A8%E5%9B%BD%E4%BA%BA%E6%B0%91%E4%BB%A3%E8%A1%A8%E5%A4%A7%E4%BC%9A%E5%B8%B8%E5%8A%A1%E5%A7%94%E5%91%98%E4%BC%9A/22439522" \t "https://baike.baidu.com/item/%E4%B8%AD%E5%8D%8E%E4%BA%BA%E6%B0%91%E5%85%B1%E5%92%8C%E5%9B%BD%E5%8A%B3%E5%8A%A8%E6%B3%95/_blank" </w:instrText>
      </w:r>
      <w:r>
        <w:rPr>
          <w:rFonts w:hint="eastAsia" w:ascii="Times New Roman" w:hAnsi="Times New Roman" w:eastAsia="宋体" w:cs="Times New Roman"/>
          <w:color w:val="auto"/>
          <w:kern w:val="2"/>
          <w:sz w:val="28"/>
          <w:szCs w:val="24"/>
          <w:lang w:val="en-US" w:eastAsia="zh-CN" w:bidi="ar-SA"/>
        </w:rPr>
        <w:fldChar w:fldCharType="separate"/>
      </w:r>
      <w:r>
        <w:rPr>
          <w:rFonts w:hint="eastAsia" w:ascii="Times New Roman" w:hAnsi="Times New Roman" w:eastAsia="宋体" w:cs="Times New Roman"/>
          <w:color w:val="auto"/>
          <w:kern w:val="2"/>
          <w:sz w:val="28"/>
          <w:szCs w:val="24"/>
          <w:lang w:val="en-US" w:eastAsia="zh-CN" w:bidi="ar-SA"/>
        </w:rPr>
        <w:t>第十三届全国人民代表大会常务委员会</w:t>
      </w:r>
      <w:r>
        <w:rPr>
          <w:rFonts w:hint="eastAsia" w:ascii="Times New Roman" w:hAnsi="Times New Roman" w:eastAsia="宋体" w:cs="Times New Roman"/>
          <w:color w:val="auto"/>
          <w:kern w:val="2"/>
          <w:sz w:val="28"/>
          <w:szCs w:val="24"/>
          <w:lang w:val="en-US" w:eastAsia="zh-CN" w:bidi="ar-SA"/>
        </w:rPr>
        <w:fldChar w:fldCharType="end"/>
      </w:r>
      <w:r>
        <w:rPr>
          <w:rFonts w:hint="eastAsia" w:ascii="Times New Roman" w:hAnsi="Times New Roman" w:eastAsia="宋体" w:cs="Times New Roman"/>
          <w:color w:val="auto"/>
          <w:kern w:val="2"/>
          <w:sz w:val="28"/>
          <w:szCs w:val="24"/>
          <w:lang w:val="en-US" w:eastAsia="zh-CN" w:bidi="ar-SA"/>
        </w:rPr>
        <w:t>第七次会议《关于修改〈中华人民共和国劳动法〉等七部法律的决定》第二次修正。主席令[2018]第24号修正）</w:t>
      </w:r>
    </w:p>
    <w:p>
      <w:pPr>
        <w:widowControl w:val="0"/>
        <w:numPr>
          <w:ilvl w:val="0"/>
          <w:numId w:val="3"/>
        </w:numPr>
        <w:adjustRightInd w:val="0"/>
        <w:snapToGrid w:val="0"/>
        <w:spacing w:line="360" w:lineRule="auto"/>
        <w:ind w:left="0" w:firstLine="560" w:firstLineChars="200"/>
        <w:jc w:val="both"/>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《中华人民共和国突发事件应对法》（主席令[2007]第69号，</w:t>
      </w:r>
      <w:r>
        <w:rPr>
          <w:rFonts w:hint="eastAsia" w:ascii="Times New Roman" w:hAnsi="Times New Roman" w:eastAsia="宋体" w:cs="Times New Roman"/>
          <w:color w:val="auto"/>
          <w:kern w:val="2"/>
          <w:sz w:val="28"/>
          <w:szCs w:val="24"/>
          <w:lang w:val="en-US" w:eastAsia="zh-CN" w:bidi="ar-SA"/>
        </w:rPr>
        <w:fldChar w:fldCharType="begin"/>
      </w:r>
      <w:r>
        <w:rPr>
          <w:rFonts w:hint="eastAsia" w:ascii="Times New Roman" w:hAnsi="Times New Roman" w:eastAsia="宋体" w:cs="Times New Roman"/>
          <w:color w:val="auto"/>
          <w:kern w:val="2"/>
          <w:sz w:val="28"/>
          <w:szCs w:val="24"/>
          <w:lang w:val="en-US" w:eastAsia="zh-CN" w:bidi="ar-SA"/>
        </w:rPr>
        <w:instrText xml:space="preserve"> HYPERLINK "https://baike.baidu.com/item/%E4%B8%AD%E5%8D%8E%E4%BA%BA%E6%B0%91%E5%85%B1%E5%92%8C%E5%9B%BD%E7%AC%AC%E5%8D%81%E5%B1%8A%E5%85%A8%E5%9B%BD%E4%BA%BA%E6%B0%91%E4%BB%A3%E8%A1%A8%E5%A4%A7%E4%BC%9A" \t "https://baike.baidu.com/item/%E4%B8%AD%E5%8D%8E%E4%BA%BA%E6%B0%91%E5%85%B1%E5%92%8C%E5%9B%BD%E7%AA%81%E5%8F%91%E4%BA%8B%E4%BB%B6%E5%BA%94%E5%AF%B9%E6%B3%95/_blank" </w:instrText>
      </w:r>
      <w:r>
        <w:rPr>
          <w:rFonts w:hint="eastAsia" w:ascii="Times New Roman" w:hAnsi="Times New Roman" w:eastAsia="宋体" w:cs="Times New Roman"/>
          <w:color w:val="auto"/>
          <w:kern w:val="2"/>
          <w:sz w:val="28"/>
          <w:szCs w:val="24"/>
          <w:lang w:val="en-US" w:eastAsia="zh-CN" w:bidi="ar-SA"/>
        </w:rPr>
        <w:fldChar w:fldCharType="separate"/>
      </w:r>
      <w:r>
        <w:rPr>
          <w:rFonts w:hint="eastAsia" w:ascii="Times New Roman" w:hAnsi="Times New Roman" w:eastAsia="宋体" w:cs="Times New Roman"/>
          <w:color w:val="auto"/>
          <w:kern w:val="2"/>
          <w:sz w:val="28"/>
          <w:szCs w:val="24"/>
          <w:lang w:val="en-US" w:eastAsia="zh-CN" w:bidi="ar-SA"/>
        </w:rPr>
        <w:t>中华人民共和国第十届全国人民代表大会</w:t>
      </w:r>
      <w:r>
        <w:rPr>
          <w:rFonts w:hint="eastAsia" w:ascii="Times New Roman" w:hAnsi="Times New Roman" w:eastAsia="宋体" w:cs="Times New Roman"/>
          <w:color w:val="auto"/>
          <w:kern w:val="2"/>
          <w:sz w:val="28"/>
          <w:szCs w:val="24"/>
          <w:lang w:val="en-US" w:eastAsia="zh-CN" w:bidi="ar-SA"/>
        </w:rPr>
        <w:fldChar w:fldCharType="end"/>
      </w:r>
      <w:r>
        <w:rPr>
          <w:rFonts w:hint="eastAsia" w:ascii="Times New Roman" w:hAnsi="Times New Roman" w:eastAsia="宋体" w:cs="Times New Roman"/>
          <w:color w:val="auto"/>
          <w:kern w:val="2"/>
          <w:sz w:val="28"/>
          <w:szCs w:val="24"/>
          <w:lang w:val="en-US" w:eastAsia="zh-CN" w:bidi="ar-SA"/>
        </w:rPr>
        <w:t>常务委员会第二十九次会议于2007年8月30日通过，自2007年11月1日起施行。主席令[2007]第69号）</w:t>
      </w:r>
    </w:p>
    <w:p>
      <w:pPr>
        <w:widowControl w:val="0"/>
        <w:numPr>
          <w:ilvl w:val="0"/>
          <w:numId w:val="3"/>
        </w:numPr>
        <w:adjustRightInd w:val="0"/>
        <w:snapToGrid w:val="0"/>
        <w:spacing w:line="360" w:lineRule="auto"/>
        <w:ind w:left="0" w:firstLine="560" w:firstLineChars="200"/>
        <w:jc w:val="both"/>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《中华人民共和国消防法》（1998年4月29日第九届全国人民代表大会常务委员会第二次会议通过，根据2021年4月29日第十三届全国人民代表大会常务委员会第二十八次会议《关于修改〈</w:t>
      </w:r>
      <w:r>
        <w:rPr>
          <w:rFonts w:hint="eastAsia" w:ascii="Times New Roman" w:hAnsi="Times New Roman" w:eastAsia="宋体" w:cs="Times New Roman"/>
          <w:color w:val="auto"/>
          <w:kern w:val="2"/>
          <w:sz w:val="28"/>
          <w:szCs w:val="24"/>
          <w:lang w:val="en-US" w:eastAsia="zh-CN" w:bidi="ar-SA"/>
        </w:rPr>
        <w:fldChar w:fldCharType="begin"/>
      </w:r>
      <w:r>
        <w:rPr>
          <w:rFonts w:hint="eastAsia" w:ascii="Times New Roman" w:hAnsi="Times New Roman" w:eastAsia="宋体" w:cs="Times New Roman"/>
          <w:color w:val="auto"/>
          <w:kern w:val="2"/>
          <w:sz w:val="28"/>
          <w:szCs w:val="24"/>
          <w:lang w:val="en-US" w:eastAsia="zh-CN" w:bidi="ar-SA"/>
        </w:rPr>
        <w:instrText xml:space="preserve"> HYPERLINK "https://baike.baidu.com/item/%E4%B8%AD%E5%8D%8E%E4%BA%BA%E6%B0%91%E5%85%B1%E5%92%8C%E5%9B%BD%E9%81%93%E8%B7%AF%E4%BA%A4%E9%80%9A%E5%AE%89%E5%85%A8%E6%B3%95/149277" \t "https://baike.baidu.com/item/%E4%B8%AD%E5%8D%8E%E4%BA%BA%E6%B0%91%E5%85%B1%E5%92%8C%E5%9B%BD%E6%B6%88%E9%98%B2%E6%B3%95/_blank" </w:instrText>
      </w:r>
      <w:r>
        <w:rPr>
          <w:rFonts w:hint="eastAsia" w:ascii="Times New Roman" w:hAnsi="Times New Roman" w:eastAsia="宋体" w:cs="Times New Roman"/>
          <w:color w:val="auto"/>
          <w:kern w:val="2"/>
          <w:sz w:val="28"/>
          <w:szCs w:val="24"/>
          <w:lang w:val="en-US" w:eastAsia="zh-CN" w:bidi="ar-SA"/>
        </w:rPr>
        <w:fldChar w:fldCharType="separate"/>
      </w:r>
      <w:r>
        <w:rPr>
          <w:rFonts w:hint="eastAsia" w:ascii="Times New Roman" w:hAnsi="Times New Roman" w:eastAsia="宋体" w:cs="Times New Roman"/>
          <w:color w:val="auto"/>
          <w:kern w:val="2"/>
          <w:sz w:val="28"/>
          <w:szCs w:val="24"/>
          <w:lang w:val="en-US" w:eastAsia="zh-CN" w:bidi="ar-SA"/>
        </w:rPr>
        <w:t>中华人民共和国道路交通安全法</w:t>
      </w:r>
      <w:r>
        <w:rPr>
          <w:rFonts w:hint="eastAsia" w:ascii="Times New Roman" w:hAnsi="Times New Roman" w:eastAsia="宋体" w:cs="Times New Roman"/>
          <w:color w:val="auto"/>
          <w:kern w:val="2"/>
          <w:sz w:val="28"/>
          <w:szCs w:val="24"/>
          <w:lang w:val="en-US" w:eastAsia="zh-CN" w:bidi="ar-SA"/>
        </w:rPr>
        <w:fldChar w:fldCharType="end"/>
      </w:r>
      <w:r>
        <w:rPr>
          <w:rFonts w:hint="eastAsia" w:ascii="Times New Roman" w:hAnsi="Times New Roman" w:eastAsia="宋体" w:cs="Times New Roman"/>
          <w:color w:val="auto"/>
          <w:kern w:val="2"/>
          <w:sz w:val="28"/>
          <w:szCs w:val="24"/>
          <w:lang w:val="en-US" w:eastAsia="zh-CN" w:bidi="ar-SA"/>
        </w:rPr>
        <w:t>〉等八部法律的决定》第二次修正。主席令[2021]第81号修正）</w:t>
      </w:r>
    </w:p>
    <w:p>
      <w:pPr>
        <w:widowControl w:val="0"/>
        <w:numPr>
          <w:ilvl w:val="0"/>
          <w:numId w:val="3"/>
        </w:numPr>
        <w:adjustRightInd w:val="0"/>
        <w:snapToGrid w:val="0"/>
        <w:spacing w:line="360" w:lineRule="auto"/>
        <w:ind w:left="0" w:firstLine="560" w:firstLineChars="200"/>
        <w:jc w:val="both"/>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《中华人民共和国防震减灾法》（第八届全国人民代表大会常务委员会第二十九次会议于1997年12月29日通过，2008年12月27日第十一届全国人民代表大会常务委员会第六次会议修订。主席令[2008]第7号）</w:t>
      </w:r>
    </w:p>
    <w:p>
      <w:pPr>
        <w:widowControl w:val="0"/>
        <w:numPr>
          <w:ilvl w:val="0"/>
          <w:numId w:val="3"/>
        </w:numPr>
        <w:adjustRightInd w:val="0"/>
        <w:snapToGrid w:val="0"/>
        <w:spacing w:line="360" w:lineRule="auto"/>
        <w:ind w:left="0" w:firstLine="560" w:firstLineChars="200"/>
        <w:jc w:val="both"/>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《中华人民共和国职业病防治法》（2001年10月27日第九届</w:t>
      </w:r>
      <w:r>
        <w:rPr>
          <w:rFonts w:hint="eastAsia" w:ascii="Times New Roman" w:hAnsi="Times New Roman" w:eastAsia="宋体" w:cs="Times New Roman"/>
          <w:color w:val="auto"/>
          <w:kern w:val="2"/>
          <w:sz w:val="28"/>
          <w:szCs w:val="24"/>
          <w:lang w:val="en-US" w:eastAsia="zh-CN" w:bidi="ar-SA"/>
        </w:rPr>
        <w:fldChar w:fldCharType="begin"/>
      </w:r>
      <w:r>
        <w:rPr>
          <w:rFonts w:hint="eastAsia" w:ascii="Times New Roman" w:hAnsi="Times New Roman" w:eastAsia="宋体" w:cs="Times New Roman"/>
          <w:color w:val="auto"/>
          <w:kern w:val="2"/>
          <w:sz w:val="28"/>
          <w:szCs w:val="24"/>
          <w:lang w:val="en-US" w:eastAsia="zh-CN" w:bidi="ar-SA"/>
        </w:rPr>
        <w:instrText xml:space="preserve"> HYPERLINK "https://baike.baidu.com/item/%E5%85%A8%E5%9B%BD%E4%BA%BA%E6%B0%91%E4%BB%A3%E8%A1%A8%E5%A4%A7%E4%BC%9A/117422" \t "https://baike.baidu.com/item/%E4%B8%AD%E5%8D%8E%E4%BA%BA%E6%B0%91%E5%85%B1%E5%92%8C%E5%9B%BD%E8%81%8C%E4%B8%9A%E7%97%85%E9%98%B2%E6%B2%BB%E6%B3%95/_blank" </w:instrText>
      </w:r>
      <w:r>
        <w:rPr>
          <w:rFonts w:hint="eastAsia" w:ascii="Times New Roman" w:hAnsi="Times New Roman" w:eastAsia="宋体" w:cs="Times New Roman"/>
          <w:color w:val="auto"/>
          <w:kern w:val="2"/>
          <w:sz w:val="28"/>
          <w:szCs w:val="24"/>
          <w:lang w:val="en-US" w:eastAsia="zh-CN" w:bidi="ar-SA"/>
        </w:rPr>
        <w:fldChar w:fldCharType="separate"/>
      </w:r>
      <w:r>
        <w:rPr>
          <w:rFonts w:hint="eastAsia" w:ascii="Times New Roman" w:hAnsi="Times New Roman" w:eastAsia="宋体" w:cs="Times New Roman"/>
          <w:color w:val="auto"/>
          <w:kern w:val="2"/>
          <w:sz w:val="28"/>
          <w:szCs w:val="24"/>
          <w:lang w:val="en-US" w:eastAsia="zh-CN" w:bidi="ar-SA"/>
        </w:rPr>
        <w:t>全国人民代表大会</w:t>
      </w:r>
      <w:r>
        <w:rPr>
          <w:rFonts w:hint="eastAsia" w:ascii="Times New Roman" w:hAnsi="Times New Roman" w:eastAsia="宋体" w:cs="Times New Roman"/>
          <w:color w:val="auto"/>
          <w:kern w:val="2"/>
          <w:sz w:val="28"/>
          <w:szCs w:val="24"/>
          <w:lang w:val="en-US" w:eastAsia="zh-CN" w:bidi="ar-SA"/>
        </w:rPr>
        <w:fldChar w:fldCharType="end"/>
      </w:r>
      <w:r>
        <w:rPr>
          <w:rFonts w:hint="eastAsia" w:ascii="Times New Roman" w:hAnsi="Times New Roman" w:eastAsia="宋体" w:cs="Times New Roman"/>
          <w:color w:val="auto"/>
          <w:kern w:val="2"/>
          <w:sz w:val="28"/>
          <w:szCs w:val="24"/>
          <w:lang w:val="en-US" w:eastAsia="zh-CN" w:bidi="ar-SA"/>
        </w:rPr>
        <w:t>常务委员会第二十四次会议通过，根据2018年12月29日第十三届全国人民代表大会常务委员会第七次会议《关于修改〈中华人民共和国劳动法〉等七部法律的决定》第四次修正。主席令[2018]第52号修正）</w:t>
      </w:r>
    </w:p>
    <w:p>
      <w:r>
        <w:rPr>
          <w:rFonts w:hint="eastAsia" w:ascii="Times New Roman" w:hAnsi="Times New Roman" w:cs="Times New Roman"/>
          <w:color w:val="auto"/>
          <w:kern w:val="2"/>
          <w:sz w:val="28"/>
          <w:szCs w:val="24"/>
          <w:lang w:val="en-US" w:eastAsia="zh-CN" w:bidi="ar-SA"/>
        </w:rPr>
        <w:t>7.</w:t>
      </w:r>
      <w:r>
        <w:rPr>
          <w:rFonts w:hint="eastAsia" w:ascii="Times New Roman" w:hAnsi="Times New Roman" w:eastAsia="宋体" w:cs="Times New Roman"/>
          <w:color w:val="auto"/>
          <w:kern w:val="2"/>
          <w:sz w:val="28"/>
          <w:szCs w:val="24"/>
          <w:lang w:val="en-US" w:eastAsia="zh-CN" w:bidi="ar-SA"/>
        </w:rPr>
        <w:t>《中华人民共和国特种设备安全法》（</w:t>
      </w:r>
      <w:r>
        <w:rPr>
          <w:rFonts w:hint="eastAsia" w:ascii="Times New Roman" w:hAnsi="Times New Roman" w:eastAsia="宋体" w:cs="Times New Roman"/>
          <w:color w:val="auto"/>
          <w:kern w:val="2"/>
          <w:sz w:val="28"/>
          <w:szCs w:val="24"/>
          <w:lang w:val="en-US" w:eastAsia="zh-CN" w:bidi="ar-SA"/>
        </w:rPr>
        <w:fldChar w:fldCharType="begin"/>
      </w:r>
      <w:r>
        <w:rPr>
          <w:rFonts w:hint="eastAsia" w:ascii="Times New Roman" w:hAnsi="Times New Roman" w:eastAsia="宋体" w:cs="Times New Roman"/>
          <w:color w:val="auto"/>
          <w:kern w:val="2"/>
          <w:sz w:val="28"/>
          <w:szCs w:val="24"/>
          <w:lang w:val="en-US" w:eastAsia="zh-CN" w:bidi="ar-SA"/>
        </w:rPr>
        <w:instrText xml:space="preserve"> HYPERLINK "https://baike.baidu.com/item/%E4%B8%AD%E5%8D%8E%E4%BA%BA%E6%B0%91%E5%85%B1%E5%92%8C%E5%9B%BD%E7%AC%AC%E5%8D%81%E4%BA%8C%E5%B1%8A%E5%85%A8%E5%9B%BD%E4%BA%BA%E6%B0%91%E4%BB%A3%E8%A1%A8%E5%A4%A7%E4%BC%9A%E5%B8%B8%E5%8A%A1%E5%A7%94%E5%91%98%E4%BC%9A/17653996" \t "https://baike.baidu.com/item/%E4%B8%AD%E5%8D%8E%E4%BA%BA%E6%B0%91%E5%85%B1%E5%92%8C%E5%9B%BD%E7%89%B9%E7%A7%8D%E8%AE%BE%E5%A4%87%E5%AE%89%E5%85%A8%E6%B3%95/_blank" </w:instrText>
      </w:r>
      <w:r>
        <w:rPr>
          <w:rFonts w:hint="eastAsia" w:ascii="Times New Roman" w:hAnsi="Times New Roman" w:eastAsia="宋体" w:cs="Times New Roman"/>
          <w:color w:val="auto"/>
          <w:kern w:val="2"/>
          <w:sz w:val="28"/>
          <w:szCs w:val="24"/>
          <w:lang w:val="en-US" w:eastAsia="zh-CN" w:bidi="ar-SA"/>
        </w:rPr>
        <w:fldChar w:fldCharType="separate"/>
      </w:r>
      <w:r>
        <w:rPr>
          <w:rFonts w:hint="eastAsia" w:ascii="Times New Roman" w:hAnsi="Times New Roman" w:eastAsia="宋体" w:cs="Times New Roman"/>
          <w:color w:val="auto"/>
          <w:kern w:val="2"/>
          <w:sz w:val="28"/>
          <w:szCs w:val="24"/>
          <w:lang w:val="en-US" w:eastAsia="zh-CN" w:bidi="ar-SA"/>
        </w:rPr>
        <w:t>中华人民共和国第十二届全国人民代表大会常务委员会</w:t>
      </w:r>
      <w:r>
        <w:rPr>
          <w:rFonts w:hint="eastAsia" w:ascii="Times New Roman" w:hAnsi="Times New Roman" w:eastAsia="宋体" w:cs="Times New Roman"/>
          <w:color w:val="auto"/>
          <w:kern w:val="2"/>
          <w:sz w:val="28"/>
          <w:szCs w:val="24"/>
          <w:lang w:val="en-US" w:eastAsia="zh-CN" w:bidi="ar-SA"/>
        </w:rPr>
        <w:fldChar w:fldCharType="end"/>
      </w:r>
      <w:r>
        <w:rPr>
          <w:rFonts w:hint="eastAsia" w:ascii="Times New Roman" w:hAnsi="Times New Roman" w:eastAsia="宋体" w:cs="Times New Roman"/>
          <w:color w:val="auto"/>
          <w:kern w:val="2"/>
          <w:sz w:val="28"/>
          <w:szCs w:val="24"/>
          <w:lang w:val="en-US" w:eastAsia="zh-CN" w:bidi="ar-SA"/>
        </w:rPr>
        <w:t>第三次会议于2013年6月29日通过，自2014年1月1日起施行。主席令[2013]第4号）</w:t>
      </w:r>
    </w:p>
    <w:p>
      <w:pPr>
        <w:keepNext/>
        <w:keepLines/>
        <w:ind w:firstLine="0" w:firstLineChars="0"/>
        <w:jc w:val="left"/>
        <w:outlineLvl w:val="2"/>
        <w:rPr>
          <w:b w:val="0"/>
          <w:bCs w:val="0"/>
        </w:rPr>
      </w:pPr>
      <w:bookmarkStart w:id="5" w:name="_Hlk75338185"/>
      <w:r>
        <w:rPr>
          <w:b w:val="0"/>
          <w:bCs w:val="0"/>
        </w:rPr>
        <w:t>1.2.</w:t>
      </w:r>
      <w:r>
        <w:rPr>
          <w:rFonts w:hint="eastAsia"/>
          <w:b w:val="0"/>
          <w:bCs w:val="0"/>
        </w:rPr>
        <w:t>2</w:t>
      </w:r>
      <w:r>
        <w:rPr>
          <w:b w:val="0"/>
          <w:bCs w:val="0"/>
        </w:rPr>
        <w:t xml:space="preserve">  </w:t>
      </w:r>
      <w:r>
        <w:rPr>
          <w:rFonts w:hint="eastAsia" w:ascii="黑体" w:hAnsi="黑体" w:eastAsia="黑体" w:cs="黑体"/>
          <w:b w:val="0"/>
          <w:bCs w:val="0"/>
        </w:rPr>
        <w:t>行政法规</w:t>
      </w:r>
    </w:p>
    <w:p>
      <w:pPr>
        <w:numPr>
          <w:ilvl w:val="0"/>
          <w:numId w:val="4"/>
        </w:numPr>
        <w:ind w:left="0" w:firstLine="560"/>
        <w:jc w:val="left"/>
        <w:rPr>
          <w:rFonts w:hint="eastAsia" w:ascii="Times New Roman" w:hAnsi="Times New Roman" w:cs="Times New Roman"/>
        </w:rPr>
      </w:pPr>
      <w:r>
        <w:rPr>
          <w:rFonts w:hint="eastAsia" w:ascii="Times New Roman" w:hAnsi="Times New Roman" w:cs="Times New Roman"/>
        </w:rPr>
        <w:t>《安全生产许可证条例》（国务院令[2004]第397号，[2014]第653号修订）</w:t>
      </w:r>
    </w:p>
    <w:p>
      <w:pPr>
        <w:numPr>
          <w:ilvl w:val="0"/>
          <w:numId w:val="4"/>
        </w:numPr>
        <w:ind w:left="0" w:firstLine="560"/>
        <w:jc w:val="left"/>
        <w:rPr>
          <w:rFonts w:hint="eastAsia" w:ascii="Times New Roman" w:hAnsi="Times New Roman" w:cs="Times New Roman"/>
        </w:rPr>
      </w:pPr>
      <w:r>
        <w:rPr>
          <w:rFonts w:hint="eastAsia" w:ascii="Times New Roman" w:hAnsi="Times New Roman" w:cs="Times New Roman"/>
        </w:rPr>
        <w:t>《生产安全事故报告和调查处理条例》（国务院令[2007]第493号，[2015]第77号修订）</w:t>
      </w:r>
    </w:p>
    <w:p>
      <w:pPr>
        <w:numPr>
          <w:ilvl w:val="0"/>
          <w:numId w:val="4"/>
        </w:numPr>
        <w:ind w:left="0" w:firstLine="560"/>
        <w:jc w:val="left"/>
        <w:rPr>
          <w:rFonts w:hint="eastAsia" w:ascii="Times New Roman" w:hAnsi="Times New Roman" w:cs="Times New Roman"/>
        </w:rPr>
      </w:pPr>
      <w:r>
        <w:rPr>
          <w:rFonts w:hint="eastAsia" w:ascii="Times New Roman" w:hAnsi="Times New Roman" w:cs="Times New Roman"/>
        </w:rPr>
        <w:t>《特种设备安全监察条例》（国务院令[2009]第549号）</w:t>
      </w:r>
    </w:p>
    <w:p>
      <w:pPr>
        <w:numPr>
          <w:ilvl w:val="0"/>
          <w:numId w:val="4"/>
        </w:numPr>
        <w:ind w:left="0" w:firstLine="560"/>
        <w:jc w:val="left"/>
        <w:rPr>
          <w:rFonts w:hint="eastAsia" w:ascii="Times New Roman" w:hAnsi="Times New Roman" w:cs="Times New Roman"/>
        </w:rPr>
      </w:pPr>
      <w:r>
        <w:rPr>
          <w:rFonts w:hint="eastAsia" w:ascii="Times New Roman" w:hAnsi="Times New Roman" w:cs="Times New Roman"/>
        </w:rPr>
        <w:t>《工伤保险条例》（国务院令[2010]第586号）</w:t>
      </w:r>
    </w:p>
    <w:p>
      <w:pPr>
        <w:numPr>
          <w:ilvl w:val="0"/>
          <w:numId w:val="4"/>
        </w:numPr>
        <w:ind w:left="0" w:firstLine="560"/>
        <w:jc w:val="left"/>
        <w:rPr>
          <w:rFonts w:hint="eastAsia" w:ascii="Times New Roman" w:hAnsi="Times New Roman" w:cs="Times New Roman"/>
        </w:rPr>
      </w:pPr>
      <w:r>
        <w:rPr>
          <w:rFonts w:hint="eastAsia" w:ascii="Times New Roman" w:hAnsi="Times New Roman" w:cs="Times New Roman"/>
        </w:rPr>
        <w:t>《危险化学品管理安全管理条例》（国务院令[2013]第645号修订）</w:t>
      </w:r>
    </w:p>
    <w:p>
      <w:pPr>
        <w:keepNext/>
        <w:keepLines/>
        <w:ind w:firstLine="0" w:firstLineChars="0"/>
        <w:jc w:val="left"/>
        <w:outlineLvl w:val="2"/>
        <w:rPr>
          <w:b w:val="0"/>
          <w:bCs w:val="0"/>
        </w:rPr>
      </w:pPr>
      <w:r>
        <w:rPr>
          <w:b w:val="0"/>
          <w:bCs w:val="0"/>
        </w:rPr>
        <w:t xml:space="preserve">1.2.3  </w:t>
      </w:r>
      <w:r>
        <w:rPr>
          <w:rFonts w:hint="eastAsia" w:ascii="黑体" w:hAnsi="黑体" w:eastAsia="黑体" w:cs="黑体"/>
          <w:b w:val="0"/>
          <w:bCs w:val="0"/>
        </w:rPr>
        <w:t>地方性法规</w:t>
      </w:r>
    </w:p>
    <w:p>
      <w:pPr>
        <w:numPr>
          <w:ilvl w:val="0"/>
          <w:numId w:val="5"/>
        </w:numPr>
        <w:ind w:left="0" w:firstLine="560"/>
        <w:jc w:val="left"/>
        <w:rPr>
          <w:rFonts w:hint="eastAsia" w:ascii="Times New Roman" w:hAnsi="Times New Roman" w:cs="Times New Roman"/>
        </w:rPr>
      </w:pPr>
      <w:r>
        <w:rPr>
          <w:rFonts w:hint="eastAsia" w:ascii="Times New Roman" w:hAnsi="Times New Roman" w:cs="Times New Roman"/>
        </w:rPr>
        <w:t>《山东省安全生产条例》（2021年12月3日山东省第十三届人民代表大会常务委员会第三十二次会议修订）</w:t>
      </w:r>
    </w:p>
    <w:p>
      <w:pPr>
        <w:numPr>
          <w:ilvl w:val="0"/>
          <w:numId w:val="5"/>
        </w:numPr>
        <w:ind w:left="0" w:firstLine="560"/>
        <w:jc w:val="left"/>
        <w:rPr>
          <w:rFonts w:hint="eastAsia" w:ascii="Times New Roman" w:hAnsi="Times New Roman" w:cs="Times New Roman"/>
        </w:rPr>
      </w:pPr>
      <w:r>
        <w:rPr>
          <w:rFonts w:hint="eastAsia" w:ascii="Times New Roman" w:hAnsi="Times New Roman" w:cs="Times New Roman"/>
        </w:rPr>
        <w:t>《山东省消防条例》（山东省第十一届人大常委会第21次会议修订）</w:t>
      </w:r>
    </w:p>
    <w:bookmarkEnd w:id="5"/>
    <w:p>
      <w:pPr>
        <w:pStyle w:val="5"/>
        <w:rPr>
          <w:b w:val="0"/>
          <w:bCs w:val="0"/>
        </w:rPr>
      </w:pPr>
      <w:r>
        <w:rPr>
          <w:b w:val="0"/>
          <w:bCs w:val="0"/>
        </w:rPr>
        <w:t>1.2.</w:t>
      </w:r>
      <w:r>
        <w:rPr>
          <w:rFonts w:hint="eastAsia"/>
          <w:b w:val="0"/>
          <w:bCs w:val="0"/>
        </w:rPr>
        <w:t>4</w:t>
      </w:r>
      <w:r>
        <w:rPr>
          <w:b w:val="0"/>
          <w:bCs w:val="0"/>
        </w:rPr>
        <w:t xml:space="preserve">  </w:t>
      </w:r>
      <w:r>
        <w:rPr>
          <w:rFonts w:hint="eastAsia" w:ascii="黑体" w:hAnsi="黑体" w:eastAsia="黑体" w:cs="黑体"/>
          <w:b w:val="0"/>
          <w:bCs w:val="0"/>
        </w:rPr>
        <w:t>部门规章、地方政府规章</w:t>
      </w:r>
    </w:p>
    <w:p>
      <w:pPr>
        <w:numPr>
          <w:ilvl w:val="0"/>
          <w:numId w:val="6"/>
        </w:numPr>
        <w:ind w:left="0" w:firstLine="560"/>
        <w:jc w:val="left"/>
        <w:rPr>
          <w:rFonts w:hint="eastAsia"/>
        </w:rPr>
      </w:pPr>
      <w:r>
        <w:rPr>
          <w:rFonts w:hint="eastAsia"/>
        </w:rPr>
        <w:t>《非煤矿矿山企业安全生产许可证实施办法》（原国家安全生产监督管理总局令[2009]第20号，第78号令修订）</w:t>
      </w:r>
    </w:p>
    <w:p>
      <w:pPr>
        <w:numPr>
          <w:ilvl w:val="0"/>
          <w:numId w:val="6"/>
        </w:numPr>
        <w:ind w:left="0" w:firstLine="560"/>
        <w:jc w:val="left"/>
        <w:rPr>
          <w:rFonts w:hint="eastAsia"/>
        </w:rPr>
      </w:pPr>
      <w:r>
        <w:rPr>
          <w:rFonts w:hint="eastAsia"/>
        </w:rPr>
        <w:t>《特种作业人员安全技术培训考核管理规定》（原国家安全生产监督管理总局[2015]第80号令修订）</w:t>
      </w:r>
    </w:p>
    <w:p>
      <w:pPr>
        <w:numPr>
          <w:ilvl w:val="0"/>
          <w:numId w:val="6"/>
        </w:numPr>
        <w:ind w:left="0" w:firstLine="560"/>
        <w:jc w:val="left"/>
        <w:rPr>
          <w:rFonts w:hint="eastAsia"/>
        </w:rPr>
      </w:pPr>
      <w:r>
        <w:rPr>
          <w:rFonts w:hint="eastAsia"/>
        </w:rPr>
        <w:t>《安全生产培训管理办法》（原国家安全生产监督管理总局[2015]第80号令修订）</w:t>
      </w:r>
    </w:p>
    <w:p>
      <w:pPr>
        <w:numPr>
          <w:ilvl w:val="0"/>
          <w:numId w:val="6"/>
        </w:numPr>
        <w:ind w:left="0" w:firstLine="560"/>
        <w:jc w:val="left"/>
        <w:rPr>
          <w:rFonts w:hint="eastAsia"/>
        </w:rPr>
      </w:pPr>
      <w:r>
        <w:rPr>
          <w:rFonts w:hint="eastAsia"/>
        </w:rPr>
        <w:t>《非煤矿山外包工程安全管理暂行办法》（原国家安全生产监督管理总局令[2013]第62号，78号令修订）</w:t>
      </w:r>
    </w:p>
    <w:p>
      <w:pPr>
        <w:numPr>
          <w:ilvl w:val="0"/>
          <w:numId w:val="6"/>
        </w:numPr>
        <w:ind w:left="0" w:firstLine="560"/>
        <w:jc w:val="left"/>
        <w:rPr>
          <w:rFonts w:hint="eastAsia"/>
        </w:rPr>
      </w:pPr>
      <w:r>
        <w:rPr>
          <w:rFonts w:hint="eastAsia"/>
        </w:rPr>
        <w:t>《危险化学品目录（2015版）》（安全监管总局、工业和信息化部、公安部、环境保护部、交通运输部、农业部、国家卫生计生委、质检总局、铁路局、民航局公告[2015]第5号）</w:t>
      </w:r>
    </w:p>
    <w:p>
      <w:pPr>
        <w:numPr>
          <w:ilvl w:val="0"/>
          <w:numId w:val="6"/>
        </w:numPr>
        <w:ind w:left="0" w:firstLine="560"/>
        <w:jc w:val="left"/>
        <w:rPr>
          <w:rFonts w:hint="eastAsia"/>
        </w:rPr>
      </w:pPr>
      <w:r>
        <w:rPr>
          <w:rFonts w:hint="eastAsia"/>
        </w:rPr>
        <w:t>《危险化学品重大危险源监督管理暂行规定》（安监总局令第40号，79号令修订）</w:t>
      </w:r>
    </w:p>
    <w:p>
      <w:pPr>
        <w:numPr>
          <w:ilvl w:val="0"/>
          <w:numId w:val="6"/>
        </w:numPr>
        <w:ind w:left="0" w:firstLine="560"/>
        <w:jc w:val="left"/>
        <w:rPr>
          <w:rFonts w:hint="eastAsia"/>
        </w:rPr>
      </w:pPr>
      <w:r>
        <w:rPr>
          <w:rFonts w:hint="eastAsia"/>
        </w:rPr>
        <w:t>《生产安全事故应急预案管理办法》（应急管理部[2019]2号令修订）</w:t>
      </w:r>
    </w:p>
    <w:p>
      <w:pPr>
        <w:numPr>
          <w:ilvl w:val="0"/>
          <w:numId w:val="6"/>
        </w:numPr>
        <w:ind w:left="0" w:firstLine="560"/>
        <w:jc w:val="left"/>
        <w:rPr>
          <w:rFonts w:hint="eastAsia"/>
        </w:rPr>
      </w:pPr>
      <w:r>
        <w:rPr>
          <w:rFonts w:hint="eastAsia"/>
        </w:rPr>
        <w:t>《企业安全生产费用提取和使用管理办法》（财企[2012]16号）</w:t>
      </w:r>
    </w:p>
    <w:p>
      <w:pPr>
        <w:numPr>
          <w:ilvl w:val="0"/>
          <w:numId w:val="6"/>
        </w:numPr>
        <w:ind w:left="0" w:firstLine="560"/>
        <w:jc w:val="left"/>
        <w:rPr>
          <w:rFonts w:hint="eastAsia"/>
        </w:rPr>
      </w:pPr>
      <w:r>
        <w:rPr>
          <w:rFonts w:hint="eastAsia"/>
        </w:rPr>
        <w:t>《山东省生产经营单位安全生产主体责任规定》（山东省人民政府令[2018]第311号修订版）</w:t>
      </w:r>
    </w:p>
    <w:p>
      <w:pPr>
        <w:numPr>
          <w:ilvl w:val="0"/>
          <w:numId w:val="6"/>
        </w:numPr>
        <w:ind w:left="0" w:firstLine="560"/>
        <w:jc w:val="left"/>
        <w:rPr>
          <w:rFonts w:hint="eastAsia"/>
        </w:rPr>
      </w:pPr>
      <w:r>
        <w:rPr>
          <w:rFonts w:hint="eastAsia"/>
        </w:rPr>
        <w:t>《硫化氢防护安全管理规定（试行）》（鲁安监发[2008]51号）</w:t>
      </w:r>
    </w:p>
    <w:p>
      <w:pPr>
        <w:numPr>
          <w:ilvl w:val="0"/>
          <w:numId w:val="6"/>
        </w:numPr>
        <w:ind w:left="0" w:firstLine="560"/>
        <w:jc w:val="left"/>
        <w:rPr>
          <w:rFonts w:hint="eastAsia"/>
        </w:rPr>
      </w:pPr>
      <w:r>
        <w:rPr>
          <w:rFonts w:hint="eastAsia"/>
        </w:rPr>
        <w:t>《关于进一步加强非煤矿山安全生产标准化建设工作的通知》（鲁安监发[2011]146号，2015修订版）</w:t>
      </w:r>
    </w:p>
    <w:p>
      <w:pPr>
        <w:numPr>
          <w:ilvl w:val="0"/>
          <w:numId w:val="6"/>
        </w:numPr>
        <w:ind w:left="0" w:firstLine="560"/>
        <w:jc w:val="left"/>
        <w:rPr>
          <w:rFonts w:hint="eastAsia"/>
        </w:rPr>
      </w:pPr>
      <w:r>
        <w:rPr>
          <w:rFonts w:hint="eastAsia"/>
        </w:rPr>
        <w:t>《关于开展石油天然气企业安全生产标准化建设工作的通知》（鲁安监发[2013]77号，2015修订版）</w:t>
      </w:r>
    </w:p>
    <w:p>
      <w:pPr>
        <w:numPr>
          <w:ilvl w:val="0"/>
          <w:numId w:val="6"/>
        </w:numPr>
        <w:ind w:left="0" w:firstLine="560"/>
        <w:jc w:val="left"/>
        <w:rPr>
          <w:rFonts w:hint="eastAsia"/>
        </w:rPr>
      </w:pPr>
      <w:r>
        <w:rPr>
          <w:rFonts w:hint="eastAsia"/>
        </w:rPr>
        <w:t>《关于进一步加强非煤矿山安全生产工作的意见》（鲁安监发[2013]86号）</w:t>
      </w:r>
    </w:p>
    <w:p>
      <w:pPr>
        <w:numPr>
          <w:ilvl w:val="0"/>
          <w:numId w:val="6"/>
        </w:numPr>
        <w:ind w:left="0" w:firstLine="560"/>
        <w:jc w:val="left"/>
        <w:rPr>
          <w:rFonts w:hint="eastAsia"/>
        </w:rPr>
      </w:pPr>
      <w:r>
        <w:rPr>
          <w:rFonts w:hint="eastAsia"/>
        </w:rPr>
        <w:t>《关于认真落实国家安全监管总局62号令切实加强非煤矿山外包工程安全管理的通知》（鲁安监发[2014]28号，2015修订版）</w:t>
      </w:r>
    </w:p>
    <w:p>
      <w:pPr>
        <w:numPr>
          <w:ilvl w:val="0"/>
          <w:numId w:val="6"/>
        </w:numPr>
        <w:ind w:left="0" w:firstLine="560"/>
        <w:jc w:val="left"/>
        <w:rPr>
          <w:rFonts w:hint="eastAsia"/>
        </w:rPr>
      </w:pPr>
      <w:r>
        <w:rPr>
          <w:rFonts w:hint="eastAsia"/>
        </w:rPr>
        <w:t>《山东省生产安全事故隐患排查治理办法》（山东省人民政府令[2022]第347号）</w:t>
      </w:r>
    </w:p>
    <w:p>
      <w:pPr>
        <w:numPr>
          <w:ilvl w:val="0"/>
          <w:numId w:val="6"/>
        </w:numPr>
        <w:ind w:left="0" w:firstLine="560"/>
        <w:jc w:val="left"/>
        <w:rPr>
          <w:rFonts w:hint="eastAsia"/>
        </w:rPr>
      </w:pPr>
      <w:r>
        <w:rPr>
          <w:rFonts w:hint="eastAsia"/>
        </w:rPr>
        <w:t>《关于印发&lt;山东省非煤矿山企业安全生产风险分级监管暂行办法&gt;和&lt;山东省非煤矿山企业安全生产风险分级标准（试行）&gt;的通知》（鲁安监发[2015]151号）</w:t>
      </w:r>
    </w:p>
    <w:p>
      <w:pPr>
        <w:numPr>
          <w:ilvl w:val="0"/>
          <w:numId w:val="6"/>
        </w:numPr>
        <w:ind w:left="0" w:firstLine="560"/>
        <w:jc w:val="left"/>
        <w:rPr>
          <w:rFonts w:hint="eastAsia"/>
        </w:rPr>
      </w:pPr>
      <w:r>
        <w:rPr>
          <w:rFonts w:hint="eastAsia"/>
        </w:rPr>
        <w:t>《应急管理部办公厅关于石油天然气企业安全生产许可的复函》（应急厅[2021]244号）</w:t>
      </w:r>
    </w:p>
    <w:p>
      <w:pPr>
        <w:numPr>
          <w:ilvl w:val="0"/>
          <w:numId w:val="6"/>
        </w:numPr>
        <w:ind w:left="0" w:firstLine="560"/>
        <w:jc w:val="left"/>
        <w:rPr>
          <w:rFonts w:hint="eastAsia"/>
        </w:rPr>
      </w:pPr>
      <w:r>
        <w:rPr>
          <w:rFonts w:hint="eastAsia"/>
        </w:rPr>
        <w:t>《山东省应急管理厅关于对钻井、物探、测井、录井、井下作业、油建企业实施安全生产许可的通知》（鲁应急函[2021]86号）</w:t>
      </w:r>
    </w:p>
    <w:p>
      <w:pPr>
        <w:numPr>
          <w:ilvl w:val="0"/>
          <w:numId w:val="6"/>
        </w:numPr>
        <w:ind w:left="0" w:firstLine="560"/>
        <w:jc w:val="left"/>
        <w:rPr>
          <w:rFonts w:hint="eastAsia"/>
        </w:rPr>
      </w:pPr>
      <w:r>
        <w:rPr>
          <w:rFonts w:hint="eastAsia"/>
        </w:rPr>
        <w:t>《山东省非煤矿矿山企业安全生产许可证实施方案》（鲁安监发[2009]133号）</w:t>
      </w:r>
    </w:p>
    <w:p>
      <w:pPr>
        <w:numPr>
          <w:ilvl w:val="0"/>
          <w:numId w:val="6"/>
        </w:numPr>
        <w:ind w:left="0" w:firstLine="560"/>
        <w:jc w:val="left"/>
        <w:rPr>
          <w:rFonts w:hint="eastAsia"/>
        </w:rPr>
      </w:pPr>
      <w:r>
        <w:rPr>
          <w:rFonts w:hint="eastAsia"/>
        </w:rPr>
        <w:t>《山东省生产经营单位全员安全生产责任清单》（鲁安办发[2021]50号）</w:t>
      </w:r>
    </w:p>
    <w:p>
      <w:pPr>
        <w:numPr>
          <w:ilvl w:val="0"/>
          <w:numId w:val="6"/>
        </w:numPr>
        <w:ind w:left="0" w:firstLine="560"/>
        <w:jc w:val="left"/>
        <w:rPr>
          <w:rFonts w:hint="eastAsia"/>
        </w:rPr>
      </w:pPr>
      <w:r>
        <w:rPr>
          <w:rFonts w:hint="eastAsia"/>
        </w:rPr>
        <w:t>《山东省安全生产风险管控办法》（山东省政府令第331号）</w:t>
      </w:r>
    </w:p>
    <w:p>
      <w:pPr>
        <w:numPr>
          <w:ilvl w:val="0"/>
          <w:numId w:val="6"/>
        </w:numPr>
        <w:ind w:left="0" w:firstLine="560"/>
        <w:jc w:val="left"/>
        <w:rPr>
          <w:rFonts w:hint="eastAsia"/>
        </w:rPr>
      </w:pPr>
      <w:r>
        <w:rPr>
          <w:rFonts w:hint="eastAsia"/>
        </w:rPr>
        <w:t>《山东省生产安全事故应急办法》（山东省政府令第341号）</w:t>
      </w:r>
    </w:p>
    <w:p>
      <w:pPr>
        <w:numPr>
          <w:ilvl w:val="0"/>
          <w:numId w:val="6"/>
        </w:numPr>
        <w:ind w:left="0" w:firstLine="560"/>
        <w:jc w:val="left"/>
        <w:rPr>
          <w:rFonts w:hint="eastAsia"/>
        </w:rPr>
      </w:pPr>
      <w:r>
        <w:rPr>
          <w:rFonts w:hint="eastAsia"/>
        </w:rPr>
        <w:t>《山东省生产安全事故报告和调查处理办法》（山东省政府令[2021]第342号）</w:t>
      </w:r>
    </w:p>
    <w:p>
      <w:pPr>
        <w:numPr>
          <w:ilvl w:val="0"/>
          <w:numId w:val="6"/>
        </w:numPr>
        <w:ind w:left="0" w:firstLine="560"/>
        <w:jc w:val="left"/>
        <w:rPr>
          <w:rFonts w:hint="eastAsia"/>
        </w:rPr>
      </w:pPr>
      <w:r>
        <w:rPr>
          <w:rFonts w:hint="eastAsia"/>
        </w:rPr>
        <w:t>《山东省人民政府办公厅关于印发山东省生产经营单位安全总监制度实施办法（试行）的通知》（鲁政办字[2021]60号）</w:t>
      </w:r>
    </w:p>
    <w:p>
      <w:pPr>
        <w:numPr>
          <w:ilvl w:val="0"/>
          <w:numId w:val="6"/>
        </w:numPr>
        <w:ind w:left="0" w:firstLine="560"/>
        <w:jc w:val="left"/>
        <w:rPr>
          <w:rFonts w:hint="eastAsia"/>
        </w:rPr>
      </w:pPr>
      <w:r>
        <w:rPr>
          <w:rFonts w:hint="eastAsia"/>
        </w:rPr>
        <w:t>《山东省企业安全生产晨会制度规范（试行）》（鲁安发[2022]4号）</w:t>
      </w:r>
    </w:p>
    <w:p>
      <w:pPr>
        <w:numPr>
          <w:ilvl w:val="0"/>
          <w:numId w:val="6"/>
        </w:numPr>
        <w:ind w:left="0" w:firstLine="560"/>
        <w:jc w:val="left"/>
        <w:rPr>
          <w:rFonts w:hint="eastAsia"/>
        </w:rPr>
      </w:pPr>
      <w:r>
        <w:rPr>
          <w:rFonts w:hint="eastAsia"/>
        </w:rPr>
        <w:t>关于印发《关于规范和加强安全生产安全生产培训考核工作的实施意见》的通知（鲁应急发[2022]6号）</w:t>
      </w:r>
    </w:p>
    <w:p>
      <w:pPr>
        <w:numPr>
          <w:ilvl w:val="0"/>
          <w:numId w:val="6"/>
        </w:numPr>
        <w:ind w:left="0" w:firstLine="560"/>
        <w:jc w:val="left"/>
        <w:rPr>
          <w:rFonts w:hint="eastAsia"/>
        </w:rPr>
      </w:pPr>
      <w:r>
        <w:rPr>
          <w:rFonts w:hint="eastAsia"/>
          <w:lang w:val="en-US" w:eastAsia="zh-CN"/>
        </w:rPr>
        <w:t>《山东省人民政府安全生产委员会办公室山东省应急管理厅关于印发&lt;山东省生产经营单位劳务派遣人员和灵活用工人员安全管理办法&gt;的通知》（鲁应急发[2022]7号）</w:t>
      </w:r>
    </w:p>
    <w:p>
      <w:pPr>
        <w:numPr>
          <w:ilvl w:val="0"/>
          <w:numId w:val="6"/>
        </w:numPr>
        <w:ind w:left="0" w:firstLine="560"/>
        <w:jc w:val="left"/>
        <w:rPr>
          <w:rFonts w:hint="eastAsia"/>
        </w:rPr>
      </w:pPr>
      <w:r>
        <w:rPr>
          <w:rFonts w:hint="eastAsia"/>
          <w:lang w:val="en-US" w:eastAsia="zh-CN"/>
        </w:rPr>
        <w:t>《重点行业领域重大安全风险隐患清单》（鲁安发[2022]11号）</w:t>
      </w:r>
    </w:p>
    <w:p>
      <w:pPr>
        <w:numPr>
          <w:ilvl w:val="0"/>
          <w:numId w:val="6"/>
        </w:numPr>
        <w:ind w:left="0" w:firstLine="560"/>
        <w:jc w:val="left"/>
        <w:rPr>
          <w:rFonts w:hint="eastAsia"/>
        </w:rPr>
      </w:pPr>
      <w:r>
        <w:rPr>
          <w:rFonts w:hint="eastAsia"/>
        </w:rPr>
        <w:t>《关于转发省应急厅〈关于对钻井、物探、测井、录井、钻井作业、油建企业实施安全生产许可的通知〉的通知》（东应急函字[2021]49号）</w:t>
      </w:r>
    </w:p>
    <w:p>
      <w:pPr>
        <w:numPr>
          <w:ilvl w:val="0"/>
          <w:numId w:val="6"/>
        </w:numPr>
        <w:ind w:left="0" w:firstLine="560"/>
        <w:jc w:val="left"/>
        <w:rPr>
          <w:rFonts w:hint="eastAsia"/>
        </w:rPr>
      </w:pPr>
      <w:r>
        <w:rPr>
          <w:rFonts w:hint="eastAsia"/>
        </w:rPr>
        <w:t>《东营市应急管理局关于进一步规范非煤矿矿山〈安全生产许可证〉颁发管理有关问题的函》（东应急函字[2021]50号）</w:t>
      </w:r>
    </w:p>
    <w:p>
      <w:pPr>
        <w:numPr>
          <w:ilvl w:val="0"/>
          <w:numId w:val="6"/>
        </w:numPr>
        <w:ind w:left="0" w:firstLine="560"/>
        <w:jc w:val="left"/>
        <w:rPr>
          <w:rFonts w:hint="eastAsia"/>
        </w:rPr>
      </w:pPr>
      <w:r>
        <w:rPr>
          <w:rFonts w:hint="eastAsia"/>
        </w:rPr>
        <w:t>关于印发《非煤矿矿山安全生产许可证申请自查要点》的通知（东应急函字[2022]13号）</w:t>
      </w:r>
    </w:p>
    <w:p>
      <w:pPr>
        <w:pStyle w:val="5"/>
        <w:rPr>
          <w:b w:val="0"/>
          <w:bCs w:val="0"/>
        </w:rPr>
      </w:pPr>
      <w:r>
        <w:rPr>
          <w:b w:val="0"/>
          <w:bCs w:val="0"/>
        </w:rPr>
        <w:t>1.2.</w:t>
      </w:r>
      <w:r>
        <w:rPr>
          <w:rFonts w:hint="eastAsia"/>
          <w:b w:val="0"/>
          <w:bCs w:val="0"/>
        </w:rPr>
        <w:t>5</w:t>
      </w:r>
      <w:r>
        <w:rPr>
          <w:b w:val="0"/>
          <w:bCs w:val="0"/>
        </w:rPr>
        <w:t xml:space="preserve">  </w:t>
      </w:r>
      <w:r>
        <w:rPr>
          <w:rFonts w:hint="eastAsia" w:ascii="黑体" w:hAnsi="黑体" w:eastAsia="黑体" w:cs="黑体"/>
          <w:b w:val="0"/>
          <w:bCs w:val="0"/>
        </w:rPr>
        <w:t>标准、规范</w:t>
      </w:r>
    </w:p>
    <w:p>
      <w:pPr>
        <w:numPr>
          <w:ilvl w:val="0"/>
          <w:numId w:val="7"/>
        </w:numPr>
        <w:ind w:left="0" w:firstLine="560"/>
        <w:jc w:val="left"/>
      </w:pPr>
      <w:r>
        <w:t>《安全色》（GB2893-2008）</w:t>
      </w:r>
    </w:p>
    <w:p>
      <w:pPr>
        <w:numPr>
          <w:ilvl w:val="0"/>
          <w:numId w:val="7"/>
        </w:numPr>
        <w:ind w:left="0" w:firstLine="560"/>
        <w:jc w:val="left"/>
      </w:pPr>
      <w:r>
        <w:t>《安全标志及其使用导则》（GB2894-2008）</w:t>
      </w:r>
    </w:p>
    <w:p>
      <w:pPr>
        <w:numPr>
          <w:ilvl w:val="0"/>
          <w:numId w:val="7"/>
        </w:numPr>
        <w:ind w:left="0" w:firstLine="560"/>
        <w:jc w:val="left"/>
      </w:pPr>
      <w:r>
        <w:t>《企业职工伤亡事故分类》（GB6441-1986）</w:t>
      </w:r>
    </w:p>
    <w:p>
      <w:pPr>
        <w:numPr>
          <w:ilvl w:val="0"/>
          <w:numId w:val="7"/>
        </w:numPr>
        <w:ind w:left="0" w:firstLine="560"/>
        <w:jc w:val="left"/>
      </w:pPr>
      <w:r>
        <w:t>《石油与石油设施雷电安全规范》（GB15599-2009）</w:t>
      </w:r>
    </w:p>
    <w:p>
      <w:pPr>
        <w:numPr>
          <w:ilvl w:val="0"/>
          <w:numId w:val="7"/>
        </w:numPr>
        <w:ind w:left="0" w:firstLine="560"/>
        <w:jc w:val="left"/>
      </w:pPr>
      <w:r>
        <w:t>《消防安全标志设置要求》（GB15630-</w:t>
      </w:r>
      <w:r>
        <w:rPr>
          <w:rFonts w:hint="eastAsia"/>
          <w:lang w:val="en-US" w:eastAsia="zh-CN"/>
        </w:rPr>
        <w:t>19</w:t>
      </w:r>
      <w:r>
        <w:t>95）</w:t>
      </w:r>
    </w:p>
    <w:p>
      <w:pPr>
        <w:numPr>
          <w:ilvl w:val="0"/>
          <w:numId w:val="7"/>
        </w:numPr>
        <w:ind w:left="0" w:firstLine="560"/>
      </w:pPr>
      <w:r>
        <w:rPr>
          <w:bCs/>
        </w:rPr>
        <w:t>《危险化学品单位应急救援物资配备要求》（GB30077-2013）</w:t>
      </w:r>
    </w:p>
    <w:p>
      <w:pPr>
        <w:numPr>
          <w:ilvl w:val="0"/>
          <w:numId w:val="7"/>
        </w:numPr>
        <w:ind w:left="0" w:firstLine="560"/>
        <w:jc w:val="left"/>
        <w:rPr>
          <w:bCs/>
        </w:rPr>
      </w:pPr>
      <w:r>
        <w:rPr>
          <w:bCs/>
        </w:rPr>
        <w:t>《个体防护装备配备规范第2部分：石油、化工、天然气》（GB39800.2-2020）</w:t>
      </w:r>
    </w:p>
    <w:p>
      <w:pPr>
        <w:numPr>
          <w:ilvl w:val="0"/>
          <w:numId w:val="7"/>
        </w:numPr>
        <w:ind w:left="0" w:firstLine="560"/>
        <w:jc w:val="left"/>
      </w:pPr>
      <w:r>
        <w:t>《建筑抗震设计规范（2016年版）》（GB50011-2010）</w:t>
      </w:r>
    </w:p>
    <w:p>
      <w:pPr>
        <w:numPr>
          <w:ilvl w:val="0"/>
          <w:numId w:val="7"/>
        </w:numPr>
        <w:ind w:left="0" w:firstLine="560"/>
        <w:jc w:val="left"/>
      </w:pPr>
      <w:r>
        <w:t>《建筑设计防火规范（2018年版）》（GB50016-2014）</w:t>
      </w:r>
    </w:p>
    <w:p>
      <w:pPr>
        <w:numPr>
          <w:ilvl w:val="0"/>
          <w:numId w:val="7"/>
        </w:numPr>
        <w:ind w:left="0" w:firstLine="560"/>
        <w:jc w:val="left"/>
      </w:pPr>
      <w:r>
        <w:t>《供配电系统设计规范》（GB50052-2009）</w:t>
      </w:r>
    </w:p>
    <w:p>
      <w:pPr>
        <w:numPr>
          <w:ilvl w:val="0"/>
          <w:numId w:val="7"/>
        </w:numPr>
        <w:ind w:left="0" w:firstLine="560"/>
        <w:jc w:val="left"/>
      </w:pPr>
      <w:r>
        <w:t>《建筑物防雷设计规范》（GB50057-2010）</w:t>
      </w:r>
    </w:p>
    <w:p>
      <w:pPr>
        <w:numPr>
          <w:ilvl w:val="0"/>
          <w:numId w:val="7"/>
        </w:numPr>
        <w:ind w:left="0" w:firstLine="560"/>
        <w:jc w:val="left"/>
      </w:pPr>
      <w:r>
        <w:t>《建筑灭火器配置设计规范》（GB50140-2005）</w:t>
      </w:r>
    </w:p>
    <w:p>
      <w:pPr>
        <w:numPr>
          <w:ilvl w:val="0"/>
          <w:numId w:val="7"/>
        </w:numPr>
        <w:ind w:left="0" w:firstLine="560"/>
        <w:jc w:val="left"/>
      </w:pPr>
      <w:r>
        <w:t>《石油天然气工程设计防火规范》（GB50183-2004）</w:t>
      </w:r>
    </w:p>
    <w:p>
      <w:pPr>
        <w:numPr>
          <w:ilvl w:val="0"/>
          <w:numId w:val="7"/>
        </w:numPr>
        <w:ind w:left="0" w:firstLine="560"/>
        <w:jc w:val="left"/>
      </w:pPr>
      <w:r>
        <w:t>《生产过程安全卫生要求总则》（GB/T12801-2008）</w:t>
      </w:r>
    </w:p>
    <w:p>
      <w:pPr>
        <w:numPr>
          <w:ilvl w:val="0"/>
          <w:numId w:val="7"/>
        </w:numPr>
        <w:ind w:left="0" w:firstLine="560"/>
        <w:jc w:val="left"/>
      </w:pPr>
      <w:r>
        <w:t>《生产过程危险和有害因素分类与代码》（GB/T13861-20</w:t>
      </w:r>
      <w:r>
        <w:rPr>
          <w:rFonts w:hint="eastAsia"/>
          <w:lang w:val="en-US" w:eastAsia="zh-CN"/>
        </w:rPr>
        <w:t>22</w:t>
      </w:r>
      <w:r>
        <w:t>）</w:t>
      </w:r>
    </w:p>
    <w:p>
      <w:pPr>
        <w:numPr>
          <w:ilvl w:val="0"/>
          <w:numId w:val="7"/>
        </w:numPr>
        <w:ind w:left="0" w:firstLine="560"/>
        <w:jc w:val="both"/>
      </w:pPr>
      <w:r>
        <w:t>《生产经营单位生产安全事故应急预案编制导则》（GB/T29639-2020）</w:t>
      </w:r>
    </w:p>
    <w:p>
      <w:pPr>
        <w:numPr>
          <w:ilvl w:val="0"/>
          <w:numId w:val="7"/>
        </w:numPr>
        <w:ind w:left="0" w:firstLine="560"/>
        <w:jc w:val="left"/>
      </w:pPr>
      <w:r>
        <w:t>《石油天然气钻井井控技术规范》（GB/T 31033-2014）</w:t>
      </w:r>
    </w:p>
    <w:p>
      <w:pPr>
        <w:numPr>
          <w:ilvl w:val="0"/>
          <w:numId w:val="7"/>
        </w:numPr>
        <w:ind w:left="0" w:firstLine="560"/>
        <w:jc w:val="left"/>
      </w:pPr>
      <w:r>
        <w:t>《安全评价通则》（AQ8001-2007）</w:t>
      </w:r>
    </w:p>
    <w:p>
      <w:pPr>
        <w:numPr>
          <w:ilvl w:val="0"/>
          <w:numId w:val="7"/>
        </w:numPr>
        <w:ind w:left="0" w:firstLine="560"/>
        <w:jc w:val="left"/>
      </w:pPr>
      <w:r>
        <w:t>《石油天然气安全规程》（AQ2012-2007）</w:t>
      </w:r>
    </w:p>
    <w:p>
      <w:pPr>
        <w:numPr>
          <w:ilvl w:val="0"/>
          <w:numId w:val="7"/>
        </w:numPr>
        <w:ind w:left="0" w:firstLine="560"/>
        <w:jc w:val="left"/>
      </w:pPr>
      <w:r>
        <w:t>《硫化氢环境钻井场所作业安全规范》（SY/T5087-2017）</w:t>
      </w:r>
    </w:p>
    <w:p>
      <w:pPr>
        <w:numPr>
          <w:ilvl w:val="0"/>
          <w:numId w:val="7"/>
        </w:numPr>
        <w:ind w:left="0" w:firstLine="560"/>
        <w:jc w:val="left"/>
      </w:pPr>
      <w:r>
        <w:t>《钻井井身质量控制规范》（SY/T5088-2017）</w:t>
      </w:r>
    </w:p>
    <w:p>
      <w:pPr>
        <w:numPr>
          <w:ilvl w:val="0"/>
          <w:numId w:val="7"/>
        </w:numPr>
        <w:ind w:left="0" w:firstLine="560"/>
        <w:jc w:val="left"/>
      </w:pPr>
      <w:r>
        <w:t>《石油天然气钻井、开发、储运防火防爆安全生产技术规程》（SY/T5225-2019）</w:t>
      </w:r>
    </w:p>
    <w:p>
      <w:pPr>
        <w:numPr>
          <w:ilvl w:val="0"/>
          <w:numId w:val="7"/>
        </w:numPr>
        <w:ind w:left="0" w:firstLine="560"/>
        <w:jc w:val="left"/>
      </w:pPr>
      <w:r>
        <w:t>《井身结构设计方法》（SY/T5431-2017）</w:t>
      </w:r>
    </w:p>
    <w:p>
      <w:pPr>
        <w:numPr>
          <w:ilvl w:val="0"/>
          <w:numId w:val="7"/>
        </w:numPr>
        <w:ind w:left="0" w:firstLine="560"/>
        <w:jc w:val="left"/>
      </w:pPr>
      <w:r>
        <w:t>《钻前工程及井场布置技术要求》（SY/T5466-2013）</w:t>
      </w:r>
    </w:p>
    <w:p>
      <w:pPr>
        <w:numPr>
          <w:ilvl w:val="0"/>
          <w:numId w:val="7"/>
        </w:numPr>
        <w:ind w:left="0" w:firstLine="560"/>
        <w:jc w:val="left"/>
      </w:pPr>
      <w:r>
        <w:t>《套管柱试压规范》（SY/T5467-2007）</w:t>
      </w:r>
    </w:p>
    <w:p>
      <w:pPr>
        <w:numPr>
          <w:ilvl w:val="0"/>
          <w:numId w:val="7"/>
        </w:numPr>
        <w:ind w:left="0" w:firstLine="560"/>
        <w:jc w:val="left"/>
      </w:pPr>
      <w:r>
        <w:t>《套管柱结构与强度设计》（SY/T5724-2008）</w:t>
      </w:r>
    </w:p>
    <w:p>
      <w:pPr>
        <w:numPr>
          <w:ilvl w:val="0"/>
          <w:numId w:val="7"/>
        </w:numPr>
        <w:ind w:left="0" w:firstLine="560"/>
        <w:jc w:val="both"/>
      </w:pPr>
      <w:r>
        <w:t>《石油与天然气井井控安全技术考核管理规则》（SY/T5742-2019）</w:t>
      </w:r>
    </w:p>
    <w:p>
      <w:pPr>
        <w:numPr>
          <w:ilvl w:val="0"/>
          <w:numId w:val="7"/>
        </w:numPr>
        <w:ind w:left="0" w:firstLine="560"/>
        <w:jc w:val="left"/>
      </w:pPr>
      <w:r>
        <w:t>《开钻前验收项目及要求》（SY/T5954-20</w:t>
      </w:r>
      <w:r>
        <w:rPr>
          <w:rFonts w:hint="eastAsia"/>
          <w:lang w:val="en-US" w:eastAsia="zh-CN"/>
        </w:rPr>
        <w:t>21</w:t>
      </w:r>
      <w:r>
        <w:t>）</w:t>
      </w:r>
    </w:p>
    <w:p>
      <w:pPr>
        <w:numPr>
          <w:ilvl w:val="0"/>
          <w:numId w:val="7"/>
        </w:numPr>
        <w:ind w:left="0" w:firstLine="560"/>
        <w:jc w:val="both"/>
      </w:pPr>
      <w:r>
        <w:t>《钻井井控装置组合配套、安装调试与使用规范》（SY/T5964-2019）</w:t>
      </w:r>
    </w:p>
    <w:p>
      <w:pPr>
        <w:numPr>
          <w:ilvl w:val="0"/>
          <w:numId w:val="7"/>
        </w:numPr>
        <w:ind w:left="0" w:firstLine="560"/>
        <w:jc w:val="left"/>
      </w:pPr>
      <w:r>
        <w:t>《钻井井场设备作业安全技术规程》（SY/T5974-2020）</w:t>
      </w:r>
    </w:p>
    <w:p>
      <w:pPr>
        <w:numPr>
          <w:ilvl w:val="0"/>
          <w:numId w:val="7"/>
        </w:numPr>
        <w:ind w:left="0" w:firstLine="560"/>
        <w:jc w:val="both"/>
      </w:pPr>
      <w:r>
        <w:t>《钻井井场油、水、电及供暖系统安装技术要求》（SY/T6202-2013）</w:t>
      </w:r>
    </w:p>
    <w:p>
      <w:pPr>
        <w:numPr>
          <w:ilvl w:val="0"/>
          <w:numId w:val="7"/>
        </w:numPr>
        <w:ind w:left="0" w:firstLine="560"/>
        <w:jc w:val="left"/>
      </w:pPr>
      <w:r>
        <w:t>《硫化氢环境人身防护规范》（SY/T6277-2017）</w:t>
      </w:r>
    </w:p>
    <w:p>
      <w:pPr>
        <w:numPr>
          <w:ilvl w:val="0"/>
          <w:numId w:val="7"/>
        </w:numPr>
        <w:ind w:left="0" w:firstLine="560"/>
        <w:jc w:val="left"/>
      </w:pPr>
      <w:r>
        <w:t>《石油天然气生产专用安全标志》（SY/T6355-2017）</w:t>
      </w:r>
    </w:p>
    <w:p>
      <w:pPr>
        <w:numPr>
          <w:ilvl w:val="0"/>
          <w:numId w:val="7"/>
        </w:numPr>
        <w:ind w:left="0" w:firstLine="560"/>
        <w:jc w:val="both"/>
        <w:rPr>
          <w:rFonts w:ascii="Times New Roman" w:hAnsi="Times New Roman" w:cs="Times New Roman"/>
        </w:rPr>
      </w:pPr>
      <w:r>
        <w:rPr>
          <w:rFonts w:ascii="Times New Roman" w:hAnsi="Times New Roman" w:cs="Times New Roman"/>
        </w:rPr>
        <w:t>《石油天然气作业场所劳动防护用品配备规范》（SY/T6524-2017）</w:t>
      </w:r>
    </w:p>
    <w:p>
      <w:pPr>
        <w:numPr>
          <w:ilvl w:val="0"/>
          <w:numId w:val="7"/>
        </w:numPr>
        <w:ind w:left="0" w:firstLine="560"/>
        <w:jc w:val="both"/>
        <w:rPr>
          <w:rFonts w:ascii="Times New Roman" w:hAnsi="Times New Roman" w:cs="Times New Roman"/>
        </w:rPr>
      </w:pPr>
      <w:r>
        <w:rPr>
          <w:rFonts w:ascii="Times New Roman" w:hAnsi="Times New Roman" w:cs="Times New Roman"/>
        </w:rPr>
        <w:t>《石油钻、修井用吊具安全技术检验规范》（SY/T6605-2018）</w:t>
      </w:r>
    </w:p>
    <w:p>
      <w:pPr>
        <w:numPr>
          <w:ilvl w:val="0"/>
          <w:numId w:val="7"/>
        </w:numPr>
        <w:ind w:left="0" w:firstLine="560"/>
        <w:jc w:val="both"/>
        <w:rPr>
          <w:rFonts w:ascii="Times New Roman" w:hAnsi="Times New Roman" w:cs="Times New Roman"/>
          <w:lang w:val="en-US" w:eastAsia="zh-CN"/>
        </w:rPr>
      </w:pPr>
      <w:r>
        <w:rPr>
          <w:rFonts w:ascii="Times New Roman" w:hAnsi="Times New Roman" w:cs="Times New Roman"/>
          <w:lang w:val="en-US" w:eastAsia="zh-CN"/>
        </w:rPr>
        <w:t>《</w:t>
      </w:r>
      <w:r>
        <w:rPr>
          <w:rFonts w:hint="default" w:ascii="Times New Roman" w:hAnsi="Times New Roman" w:cs="Times New Roman"/>
          <w:lang w:val="en-US" w:eastAsia="zh-CN"/>
        </w:rPr>
        <w:t>石油钻机和修井机井架承载能力检测评定方法及分级规范</w:t>
      </w:r>
      <w:r>
        <w:rPr>
          <w:rFonts w:hint="eastAsia" w:ascii="Times New Roman" w:hAnsi="Times New Roman" w:cs="Times New Roman"/>
          <w:lang w:val="en-US" w:eastAsia="zh-CN"/>
        </w:rPr>
        <w:t>》（</w:t>
      </w:r>
      <w:r>
        <w:rPr>
          <w:rFonts w:ascii="Times New Roman" w:hAnsi="Times New Roman" w:cs="Times New Roman"/>
          <w:lang w:val="en-US" w:eastAsia="zh-CN"/>
        </w:rPr>
        <w:t>SY</w:t>
      </w:r>
      <w:r>
        <w:rPr>
          <w:rFonts w:hint="eastAsia" w:ascii="Times New Roman" w:hAnsi="Times New Roman" w:cs="Times New Roman"/>
          <w:lang w:val="en-US" w:eastAsia="zh-CN"/>
        </w:rPr>
        <w:t>/T</w:t>
      </w:r>
      <w:r>
        <w:rPr>
          <w:rFonts w:ascii="Times New Roman" w:hAnsi="Times New Roman" w:cs="Times New Roman"/>
          <w:lang w:val="en-US" w:eastAsia="zh-CN"/>
        </w:rPr>
        <w:t>6326-201</w:t>
      </w:r>
      <w:r>
        <w:rPr>
          <w:rFonts w:hint="eastAsia" w:ascii="Times New Roman" w:hAnsi="Times New Roman" w:cs="Times New Roman"/>
          <w:lang w:val="en-US" w:eastAsia="zh-CN"/>
        </w:rPr>
        <w:t>9）</w:t>
      </w:r>
    </w:p>
    <w:p>
      <w:pPr>
        <w:numPr>
          <w:ilvl w:val="0"/>
          <w:numId w:val="7"/>
        </w:numPr>
        <w:ind w:left="0" w:firstLine="560"/>
        <w:jc w:val="both"/>
        <w:rPr>
          <w:rFonts w:ascii="Times New Roman" w:hAnsi="Times New Roman" w:cs="Times New Roman"/>
        </w:rPr>
      </w:pPr>
      <w:r>
        <w:rPr>
          <w:rFonts w:ascii="Times New Roman" w:hAnsi="Times New Roman" w:cs="Times New Roman"/>
        </w:rPr>
        <w:t>《钻（修）井井架逃生装置安全规范》（SY/T7028-2016）</w:t>
      </w:r>
    </w:p>
    <w:p>
      <w:pPr>
        <w:numPr>
          <w:ilvl w:val="0"/>
          <w:numId w:val="7"/>
        </w:numPr>
        <w:ind w:left="0" w:firstLine="560"/>
        <w:jc w:val="left"/>
      </w:pPr>
      <w:r>
        <w:rPr>
          <w:rFonts w:hint="eastAsia"/>
          <w:lang w:val="en-US" w:eastAsia="en-US"/>
        </w:rPr>
        <w:t>《钻修井井场雷电防护规范》</w:t>
      </w:r>
      <w:r>
        <w:rPr>
          <w:rFonts w:hint="eastAsia"/>
          <w:lang w:val="en-US" w:eastAsia="zh-CN"/>
        </w:rPr>
        <w:t>（</w:t>
      </w:r>
      <w:r>
        <w:rPr>
          <w:rFonts w:hint="eastAsia"/>
          <w:lang w:val="en-US" w:eastAsia="en-US"/>
        </w:rPr>
        <w:t>SY/T 7386</w:t>
      </w:r>
      <w:r>
        <w:rPr>
          <w:rFonts w:hint="eastAsia"/>
          <w:lang w:val="en-US" w:eastAsia="zh-CN"/>
        </w:rPr>
        <w:t>-2017）</w:t>
      </w:r>
    </w:p>
    <w:p>
      <w:pPr>
        <w:numPr>
          <w:ilvl w:val="0"/>
          <w:numId w:val="7"/>
        </w:numPr>
        <w:ind w:left="0" w:firstLine="560"/>
        <w:jc w:val="left"/>
      </w:pPr>
      <w:r>
        <w:rPr>
          <w:rFonts w:hint="eastAsia"/>
          <w:lang w:val="en-US" w:eastAsia="en-US"/>
        </w:rPr>
        <w:t>《石油钻机和修井机使用与维护》</w:t>
      </w:r>
      <w:r>
        <w:rPr>
          <w:rFonts w:hint="eastAsia"/>
          <w:lang w:val="en-US" w:eastAsia="zh-CN"/>
        </w:rPr>
        <w:t>（</w:t>
      </w:r>
      <w:r>
        <w:rPr>
          <w:rFonts w:hint="eastAsia"/>
          <w:lang w:val="en-US" w:eastAsia="en-US"/>
        </w:rPr>
        <w:t>SY/T 6117</w:t>
      </w:r>
      <w:r>
        <w:rPr>
          <w:rFonts w:hint="eastAsia"/>
          <w:lang w:val="en-US" w:eastAsia="zh-CN"/>
        </w:rPr>
        <w:t>-2016）</w:t>
      </w:r>
    </w:p>
    <w:p>
      <w:pPr>
        <w:numPr>
          <w:ilvl w:val="0"/>
          <w:numId w:val="7"/>
        </w:numPr>
        <w:ind w:left="0" w:firstLine="560"/>
        <w:jc w:val="both"/>
      </w:pPr>
      <w:r>
        <w:rPr>
          <w:rFonts w:hint="eastAsia"/>
          <w:lang w:val="en-US" w:eastAsia="en-US"/>
        </w:rPr>
        <w:t xml:space="preserve">《石油天然气工程项目安全现状评价报告编写规则》 </w:t>
      </w:r>
      <w:r>
        <w:rPr>
          <w:rFonts w:hint="eastAsia"/>
          <w:lang w:val="en-US" w:eastAsia="zh-CN"/>
        </w:rPr>
        <w:t>（</w:t>
      </w:r>
      <w:r>
        <w:rPr>
          <w:rFonts w:hint="eastAsia"/>
          <w:lang w:val="en-US" w:eastAsia="en-US"/>
        </w:rPr>
        <w:t>SY/T6778</w:t>
      </w:r>
      <w:r>
        <w:rPr>
          <w:rFonts w:hint="eastAsia"/>
          <w:lang w:val="en-US" w:eastAsia="zh-CN"/>
        </w:rPr>
        <w:t>-2010）</w:t>
      </w:r>
    </w:p>
    <w:p>
      <w:pPr>
        <w:numPr>
          <w:ilvl w:val="0"/>
          <w:numId w:val="7"/>
        </w:numPr>
        <w:ind w:left="0" w:firstLine="560"/>
        <w:jc w:val="both"/>
        <w:rPr>
          <w:rFonts w:hint="eastAsia" w:ascii="Times New Roman" w:hAnsi="Times New Roman" w:cs="Times New Roman"/>
          <w:lang w:val="en-US" w:eastAsia="zh-CN"/>
        </w:rPr>
      </w:pPr>
      <w:r>
        <w:rPr>
          <w:rFonts w:hint="eastAsia" w:ascii="Times New Roman" w:hAnsi="Times New Roman" w:cs="Times New Roman"/>
          <w:lang w:val="en-US" w:eastAsia="zh-CN"/>
        </w:rPr>
        <w:t>《石油天然气工业钻井和修井设备钻井泵》（GB/T32338-2015）</w:t>
      </w:r>
    </w:p>
    <w:p>
      <w:pPr>
        <w:numPr>
          <w:ilvl w:val="0"/>
          <w:numId w:val="7"/>
        </w:numPr>
        <w:ind w:left="0" w:firstLine="560"/>
        <w:jc w:val="both"/>
        <w:rPr>
          <w:rFonts w:ascii="Times New Roman" w:hAnsi="Times New Roman" w:cs="Times New Roman"/>
        </w:rPr>
      </w:pPr>
      <w:r>
        <w:rPr>
          <w:rFonts w:ascii="Times New Roman" w:hAnsi="Times New Roman" w:cs="Times New Roman"/>
        </w:rPr>
        <w:t>《硫化氢防护安全培训规范》（SY/T7356-2017）</w:t>
      </w:r>
    </w:p>
    <w:p>
      <w:pPr>
        <w:numPr>
          <w:ilvl w:val="0"/>
          <w:numId w:val="7"/>
        </w:numPr>
        <w:ind w:left="0" w:firstLine="560"/>
        <w:jc w:val="left"/>
      </w:pPr>
      <w:r>
        <w:t>《硫化氢环境应急救援规范》（SY/T7357-2017）</w:t>
      </w:r>
    </w:p>
    <w:p>
      <w:pPr>
        <w:numPr>
          <w:ilvl w:val="0"/>
          <w:numId w:val="7"/>
        </w:numPr>
        <w:ind w:left="0" w:firstLine="560"/>
        <w:jc w:val="left"/>
      </w:pPr>
      <w:r>
        <w:t>《钻井液设计规范》（SY/T7377-2017）</w:t>
      </w:r>
    </w:p>
    <w:p>
      <w:pPr>
        <w:numPr>
          <w:ilvl w:val="0"/>
          <w:numId w:val="7"/>
        </w:numPr>
        <w:ind w:left="0" w:firstLine="560"/>
        <w:jc w:val="left"/>
      </w:pPr>
      <w:r>
        <w:t>《压力容器定期检验规则》（TSG</w:t>
      </w:r>
      <w:r>
        <w:rPr>
          <w:rFonts w:hint="eastAsia"/>
          <w:lang w:val="en-US" w:eastAsia="zh-CN"/>
        </w:rPr>
        <w:t xml:space="preserve"> </w:t>
      </w:r>
      <w:r>
        <w:t>R7001-2013）</w:t>
      </w:r>
    </w:p>
    <w:p>
      <w:pPr>
        <w:numPr>
          <w:ilvl w:val="0"/>
          <w:numId w:val="7"/>
        </w:numPr>
        <w:ind w:left="0" w:firstLine="560"/>
        <w:jc w:val="left"/>
      </w:pPr>
      <w:r>
        <w:t>《固定式压力容器安全技术监察规程》（TSG 21-2016</w:t>
      </w:r>
      <w:r>
        <w:rPr>
          <w:rFonts w:hint="eastAsia"/>
          <w:lang w:val="en-US" w:eastAsia="zh-CN"/>
        </w:rPr>
        <w:t xml:space="preserve"> 第1号修改单</w:t>
      </w:r>
      <w:r>
        <w:t>）</w:t>
      </w:r>
    </w:p>
    <w:p>
      <w:pPr>
        <w:numPr>
          <w:ilvl w:val="0"/>
          <w:numId w:val="7"/>
        </w:numPr>
        <w:ind w:left="0" w:firstLine="560"/>
        <w:jc w:val="left"/>
      </w:pPr>
      <w:r>
        <w:rPr>
          <w:rFonts w:hint="eastAsia"/>
          <w:lang w:val="en-US" w:eastAsia="zh-CN"/>
        </w:rPr>
        <w:t>《安全阀安全技术监察规程》（TSG ZF001-2006 第1号修改单）</w:t>
      </w:r>
    </w:p>
    <w:p>
      <w:pPr>
        <w:numPr>
          <w:ilvl w:val="0"/>
          <w:numId w:val="7"/>
        </w:numPr>
        <w:ind w:left="0" w:firstLine="560"/>
        <w:jc w:val="left"/>
      </w:pPr>
      <w:r>
        <w:t>《山东省劳动防护用品配备标准》（DB37/1922-2011）</w:t>
      </w:r>
    </w:p>
    <w:p>
      <w:pPr>
        <w:numPr>
          <w:ilvl w:val="0"/>
          <w:numId w:val="7"/>
        </w:numPr>
        <w:ind w:left="0" w:firstLine="560"/>
        <w:jc w:val="left"/>
      </w:pPr>
      <w:r>
        <w:rPr>
          <w:rFonts w:hint="eastAsia"/>
          <w:lang w:val="en-US" w:eastAsia="zh-CN"/>
        </w:rPr>
        <w:t>《石油天然气钻采设备钻井和修井井架、 底座的检查、维护、修理与使用</w:t>
      </w:r>
      <w:r>
        <w:rPr>
          <w:rFonts w:hint="eastAsia"/>
          <w:lang w:val="en-US" w:eastAsia="en-US"/>
        </w:rPr>
        <w:t>》</w:t>
      </w:r>
      <w:r>
        <w:rPr>
          <w:rFonts w:hint="eastAsia"/>
          <w:lang w:val="en-US" w:eastAsia="zh-CN"/>
        </w:rPr>
        <w:t>（</w:t>
      </w:r>
      <w:r>
        <w:rPr>
          <w:rFonts w:hint="eastAsia"/>
          <w:lang w:val="en-US" w:eastAsia="en-US"/>
        </w:rPr>
        <w:t>SY/T6408</w:t>
      </w:r>
      <w:r>
        <w:rPr>
          <w:rFonts w:hint="eastAsia"/>
          <w:lang w:val="en-US" w:eastAsia="zh-CN"/>
        </w:rPr>
        <w:t>-2018）</w:t>
      </w:r>
    </w:p>
    <w:p>
      <w:pPr>
        <w:pStyle w:val="5"/>
        <w:rPr>
          <w:b w:val="0"/>
          <w:bCs w:val="0"/>
          <w:snapToGrid w:val="0"/>
          <w:kern w:val="0"/>
        </w:rPr>
      </w:pPr>
      <w:r>
        <w:rPr>
          <w:b w:val="0"/>
          <w:bCs w:val="0"/>
          <w:snapToGrid w:val="0"/>
          <w:kern w:val="0"/>
        </w:rPr>
        <w:t>1.2.</w:t>
      </w:r>
      <w:r>
        <w:rPr>
          <w:rFonts w:hint="eastAsia"/>
          <w:b w:val="0"/>
          <w:bCs w:val="0"/>
          <w:snapToGrid w:val="0"/>
          <w:kern w:val="0"/>
        </w:rPr>
        <w:t>6</w:t>
      </w:r>
      <w:r>
        <w:rPr>
          <w:b w:val="0"/>
          <w:bCs w:val="0"/>
          <w:snapToGrid w:val="0"/>
          <w:kern w:val="0"/>
        </w:rPr>
        <w:t xml:space="preserve">  </w:t>
      </w:r>
      <w:r>
        <w:rPr>
          <w:rFonts w:hint="eastAsia" w:ascii="黑体" w:hAnsi="黑体" w:eastAsia="黑体" w:cs="黑体"/>
          <w:b w:val="0"/>
          <w:bCs w:val="0"/>
          <w:snapToGrid w:val="0"/>
          <w:kern w:val="0"/>
        </w:rPr>
        <w:t>建设项目有关技术文件、资料</w:t>
      </w:r>
    </w:p>
    <w:p>
      <w:pPr>
        <w:numPr>
          <w:ilvl w:val="0"/>
          <w:numId w:val="8"/>
        </w:numPr>
        <w:ind w:left="0" w:firstLine="560"/>
        <w:jc w:val="left"/>
        <w:rPr>
          <w:rFonts w:hint="eastAsia"/>
        </w:rPr>
      </w:pPr>
      <w:bookmarkStart w:id="6" w:name="_Toc202759399"/>
      <w:r>
        <w:rPr>
          <w:rFonts w:hint="eastAsia"/>
        </w:rPr>
        <w:t>东营大明钻井有限责任公司钻井（钻井施工）项目安全现状评价技术服务合同。</w:t>
      </w:r>
    </w:p>
    <w:p>
      <w:pPr>
        <w:numPr>
          <w:ilvl w:val="0"/>
          <w:numId w:val="8"/>
        </w:numPr>
        <w:ind w:left="0" w:firstLine="560"/>
        <w:jc w:val="left"/>
        <w:rPr>
          <w:rFonts w:hint="eastAsia"/>
        </w:rPr>
      </w:pPr>
      <w:r>
        <w:rPr>
          <w:rFonts w:hint="eastAsia"/>
        </w:rPr>
        <w:t>东营大明钻井有限责任公司提供的有关文件、资料。</w:t>
      </w:r>
    </w:p>
    <w:p>
      <w:pPr>
        <w:numPr>
          <w:ilvl w:val="0"/>
          <w:numId w:val="8"/>
        </w:numPr>
        <w:ind w:left="0" w:firstLine="560"/>
        <w:jc w:val="left"/>
        <w:rPr>
          <w:rFonts w:hint="eastAsia"/>
        </w:rPr>
      </w:pPr>
      <w:r>
        <w:rPr>
          <w:rFonts w:hint="eastAsia"/>
        </w:rPr>
        <w:t>其他与该工程安全评价有关的技术资料。</w:t>
      </w:r>
    </w:p>
    <w:p>
      <w:pPr>
        <w:pStyle w:val="4"/>
        <w:rPr>
          <w:b w:val="0"/>
          <w:bCs/>
          <w:sz w:val="32"/>
          <w:szCs w:val="32"/>
        </w:rPr>
      </w:pPr>
      <w:bookmarkStart w:id="7" w:name="_Toc15507"/>
      <w:r>
        <w:rPr>
          <w:b w:val="0"/>
          <w:bCs/>
          <w:sz w:val="32"/>
          <w:szCs w:val="32"/>
        </w:rPr>
        <w:t xml:space="preserve">1.3  </w:t>
      </w:r>
      <w:r>
        <w:rPr>
          <w:rFonts w:hint="eastAsia" w:ascii="黑体" w:hAnsi="黑体" w:eastAsia="黑体" w:cs="黑体"/>
          <w:b w:val="0"/>
          <w:bCs/>
          <w:sz w:val="32"/>
          <w:szCs w:val="32"/>
        </w:rPr>
        <w:t>评价范围</w:t>
      </w:r>
      <w:bookmarkEnd w:id="6"/>
      <w:bookmarkEnd w:id="7"/>
    </w:p>
    <w:p>
      <w:pPr>
        <w:ind w:firstLine="560"/>
      </w:pPr>
      <w:r>
        <w:t>根据企业</w:t>
      </w:r>
      <w:r>
        <w:rPr>
          <w:rFonts w:hint="eastAsia"/>
          <w:lang w:val="en-US" w:eastAsia="zh-CN"/>
        </w:rPr>
        <w:t>目前施工</w:t>
      </w:r>
      <w:r>
        <w:t>业务情况，并与企业协商确定，本次评价范围为东营大明钻井有限责任公司钻井（钻井施工）项目有关的设施、设备的实际运行状况以及安全管理状况，通过对危险有害因素和企业现有的安全技术设施的分析，确定公司是否具备从事钻井（钻井施工）项目的各项安全生产条件。</w:t>
      </w:r>
    </w:p>
    <w:p>
      <w:pPr>
        <w:ind w:firstLine="560"/>
      </w:pPr>
      <w:r>
        <w:t>具体评价范围如表1-1所示：</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000000"/>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000000"/>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color w:val="000000"/>
          <w:sz w:val="24"/>
          <w:szCs w:val="24"/>
        </w:rPr>
      </w:pPr>
      <w:r>
        <w:rPr>
          <w:b/>
          <w:bCs/>
          <w:color w:val="000000"/>
          <w:sz w:val="24"/>
          <w:szCs w:val="24"/>
        </w:rPr>
        <w:t>表1-1  评价范围一览表</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2"/>
        <w:spacing w:before="120" w:beforeLines="50" w:line="360" w:lineRule="auto"/>
        <w:ind w:firstLine="560"/>
      </w:pPr>
      <w:r>
        <w:t>凡涉及大明钻井公司的环保问题、污水处理、职业卫生评价、办公生活设施以及其他厂区、其他项目等，则应执行国家有关规定和相关标准，不在本评价范围。</w:t>
      </w:r>
    </w:p>
    <w:p>
      <w:pPr>
        <w:pStyle w:val="2"/>
        <w:spacing w:line="360" w:lineRule="auto"/>
        <w:ind w:firstLine="560"/>
      </w:pPr>
      <w:r>
        <w:t>根据《非煤矿矿山企业安全生产许可证实施办法》（国家安全生产监督管理总局令[2009]第20号，2015修订版）、《东营市应急管理局关于进一步规范非煤矿矿山《安全生产许可证》颁发管理有关问题的函》（东应急函字[2021]50号），企业安全生产许可证申请范围为：陆上石油天然气钻井（钻井施工），本次安全评价范围与企业安全生产许可证申请范围一致。</w:t>
      </w:r>
    </w:p>
    <w:p>
      <w:pPr>
        <w:pStyle w:val="4"/>
        <w:rPr>
          <w:b w:val="0"/>
          <w:bCs/>
          <w:sz w:val="32"/>
          <w:szCs w:val="32"/>
        </w:rPr>
      </w:pPr>
      <w:bookmarkStart w:id="8" w:name="_Toc202759400"/>
      <w:bookmarkStart w:id="9" w:name="_Toc31808"/>
      <w:r>
        <w:rPr>
          <w:b w:val="0"/>
          <w:bCs/>
          <w:sz w:val="32"/>
          <w:szCs w:val="32"/>
        </w:rPr>
        <w:t xml:space="preserve">1.4  </w:t>
      </w:r>
      <w:r>
        <w:rPr>
          <w:rFonts w:hint="eastAsia" w:ascii="黑体" w:hAnsi="黑体" w:eastAsia="黑体" w:cs="黑体"/>
          <w:b w:val="0"/>
          <w:bCs/>
          <w:sz w:val="32"/>
          <w:szCs w:val="32"/>
        </w:rPr>
        <w:t>评价程序</w:t>
      </w:r>
      <w:bookmarkEnd w:id="8"/>
      <w:bookmarkEnd w:id="9"/>
    </w:p>
    <w:p>
      <w:pPr>
        <w:pStyle w:val="288"/>
        <w:ind w:firstLine="560"/>
        <w:rPr>
          <w:color w:val="auto"/>
        </w:rPr>
      </w:pPr>
      <w:r>
        <w:rPr>
          <w:color w:val="auto"/>
        </w:rPr>
        <w:t>评价报告的编制程序包括以下几个步骤：前期准备；危险、有害因素识别与分析；重大危险源的辨识；安全生产、管理现状评价；事故应急预案的评价及改进建议；提出安全对策措施及建议；做出安全评价结论；编制安全评价报告。</w:t>
      </w:r>
    </w:p>
    <w:p>
      <w:pPr>
        <w:pStyle w:val="288"/>
        <w:ind w:firstLine="560"/>
        <w:rPr>
          <w:color w:val="auto"/>
        </w:rPr>
      </w:pPr>
      <w:r>
        <w:rPr>
          <w:color w:val="auto"/>
        </w:rPr>
        <w:t>1）前期准备。收集现场资料，进行现场调查，掌握（了解）被评价单位的情况。</w:t>
      </w:r>
    </w:p>
    <w:p>
      <w:pPr>
        <w:pStyle w:val="288"/>
        <w:ind w:firstLine="560"/>
        <w:rPr>
          <w:color w:val="auto"/>
        </w:rPr>
      </w:pPr>
      <w:r>
        <w:rPr>
          <w:color w:val="auto"/>
        </w:rPr>
        <w:t>2）危险、有害因素和事故隐患的识别。针对评价对象的生产运行情况及设施、设备的特点，进行危险、有害因素识别和危险性分析，确定主要危险部位的主要危险特性，有无重大危险源，以及可以导致重大事故的缺陷和隐患。</w:t>
      </w:r>
    </w:p>
    <w:p>
      <w:pPr>
        <w:pStyle w:val="288"/>
        <w:ind w:firstLine="560"/>
        <w:rPr>
          <w:color w:val="auto"/>
        </w:rPr>
      </w:pPr>
      <w:r>
        <w:rPr>
          <w:color w:val="auto"/>
        </w:rPr>
        <w:t>3）实施评价。根据被评价单位的特点，采用适合（合适）的安全评价方法，对该单位生产工艺、安全管理状况等内容进行科学、全面、系统的分析评价，辨识分析其作业活动中其存在的危险、有害因素，审查设施、设备、装置实际运行状况及安全管理制度、重大危险源管理、事故应急救援预案及演练等安全管理状况，确定其与法律、法规、规章、标准、规范的符合性，查找存在的事故隐患、缺陷，预测发生事故或造成职业危害的可能性及严重成程度。</w:t>
      </w:r>
    </w:p>
    <w:p>
      <w:pPr>
        <w:pStyle w:val="288"/>
        <w:ind w:firstLine="560"/>
        <w:rPr>
          <w:color w:val="auto"/>
        </w:rPr>
      </w:pPr>
      <w:r>
        <w:rPr>
          <w:color w:val="auto"/>
        </w:rPr>
        <w:t>确定设施、设备、装置实际运行状况及管理状况，安全设施、设备是否齐全、可靠，安全技术保障措施是否完善、有效，查找企业存在的事故隐患、缺陷，提出合理可行的对策措施建议，为企业进一步完善安全生产条件和实施安全生产许可证制度提供充分依据。</w:t>
      </w:r>
    </w:p>
    <w:p>
      <w:pPr>
        <w:pStyle w:val="288"/>
        <w:ind w:firstLine="560"/>
        <w:rPr>
          <w:color w:val="auto"/>
        </w:rPr>
      </w:pPr>
      <w:r>
        <w:rPr>
          <w:color w:val="auto"/>
        </w:rPr>
        <w:t>4）确定安全对策措施及建议。综合评价结果，提出相应的安全对策措施及建议，并按照安全风险程度的高低进行解决方案的排序。</w:t>
      </w:r>
    </w:p>
    <w:p>
      <w:pPr>
        <w:pStyle w:val="288"/>
        <w:ind w:firstLine="560"/>
        <w:rPr>
          <w:color w:val="auto"/>
        </w:rPr>
      </w:pPr>
      <w:r>
        <w:rPr>
          <w:color w:val="auto"/>
        </w:rPr>
        <w:t>5）评价结论。根据评价结果明确指出被评价单位当前的安全状态水平，提出安全可接受程度的意见。</w:t>
      </w:r>
    </w:p>
    <w:p>
      <w:pPr>
        <w:ind w:firstLine="560"/>
      </w:pPr>
      <w:r>
        <w:t>6）编制安全现状评价报告。总结安全评价过程与结果，编制安全评价报告。具体程序见图1.4-1。</w:t>
      </w:r>
    </w:p>
    <w:p>
      <w:pPr>
        <w:ind w:firstLine="0" w:firstLineChars="0"/>
        <w:jc w:val="center"/>
      </w:pPr>
      <w:r>
        <w:drawing>
          <wp:inline distT="0" distB="0" distL="114300" distR="114300">
            <wp:extent cx="3455670" cy="5428615"/>
            <wp:effectExtent l="9525" t="9525" r="20955" b="10160"/>
            <wp:docPr id="1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
                    <pic:cNvPicPr>
                      <a:picLocks noChangeAspect="1"/>
                    </pic:cNvPicPr>
                  </pic:nvPicPr>
                  <pic:blipFill>
                    <a:blip r:embed="rId26"/>
                    <a:stretch>
                      <a:fillRect/>
                    </a:stretch>
                  </pic:blipFill>
                  <pic:spPr>
                    <a:xfrm>
                      <a:off x="0" y="0"/>
                      <a:ext cx="3455670" cy="5428615"/>
                    </a:xfrm>
                    <a:prstGeom prst="rect">
                      <a:avLst/>
                    </a:prstGeom>
                    <a:noFill/>
                    <a:ln w="6350" cap="flat" cmpd="sng">
                      <a:solidFill>
                        <a:srgbClr val="000000"/>
                      </a:solidFill>
                      <a:prstDash val="solid"/>
                      <a:miter/>
                      <a:headEnd type="none" w="med" len="med"/>
                      <a:tailEnd type="none" w="med" len="med"/>
                    </a:ln>
                  </pic:spPr>
                </pic:pic>
              </a:graphicData>
            </a:graphic>
          </wp:inline>
        </w:drawing>
      </w:r>
    </w:p>
    <w:p>
      <w:pPr>
        <w:pStyle w:val="110"/>
        <w:spacing w:before="120" w:beforeLines="50"/>
        <w:ind w:firstLine="0" w:firstLineChars="0"/>
        <w:jc w:val="center"/>
        <w:rPr>
          <w:rFonts w:ascii="Times New Roman" w:hAnsi="Times New Roman"/>
          <w:b/>
          <w:szCs w:val="21"/>
        </w:rPr>
      </w:pPr>
      <w:bookmarkStart w:id="10" w:name="_Toc202759401"/>
      <w:r>
        <w:rPr>
          <w:rFonts w:ascii="Times New Roman" w:hAnsi="Times New Roman"/>
          <w:b/>
          <w:sz w:val="24"/>
          <w:szCs w:val="24"/>
        </w:rPr>
        <w:t>图1.4-1  安全</w:t>
      </w:r>
      <w:r>
        <w:rPr>
          <w:rFonts w:hint="eastAsia" w:ascii="Times New Roman" w:hAnsi="Times New Roman"/>
          <w:b/>
          <w:sz w:val="24"/>
          <w:szCs w:val="24"/>
        </w:rPr>
        <w:t>现状</w:t>
      </w:r>
      <w:r>
        <w:rPr>
          <w:rFonts w:ascii="Times New Roman" w:hAnsi="Times New Roman"/>
          <w:b/>
          <w:sz w:val="24"/>
          <w:szCs w:val="24"/>
        </w:rPr>
        <w:t>评价程序框图</w:t>
      </w:r>
    </w:p>
    <w:p>
      <w:pPr>
        <w:ind w:firstLine="562"/>
        <w:rPr>
          <w:b/>
          <w:szCs w:val="21"/>
          <w:shd w:val="pct10" w:color="auto" w:fill="FFFFFF"/>
        </w:rPr>
        <w:sectPr>
          <w:headerReference r:id="rId15" w:type="default"/>
          <w:footerReference r:id="rId16" w:type="default"/>
          <w:pgSz w:w="11906" w:h="16838"/>
          <w:pgMar w:top="1440" w:right="1803" w:bottom="1440" w:left="1803" w:header="850" w:footer="992" w:gutter="0"/>
          <w:pgBorders>
            <w:top w:val="none" w:sz="0" w:space="0"/>
            <w:left w:val="none" w:sz="0" w:space="0"/>
            <w:bottom w:val="none" w:sz="0" w:space="0"/>
            <w:right w:val="none" w:sz="0" w:space="0"/>
          </w:pgBorders>
          <w:pgNumType w:start="1"/>
          <w:cols w:space="0" w:num="1"/>
          <w:rtlGutter w:val="0"/>
          <w:docGrid w:linePitch="312" w:charSpace="0"/>
        </w:sectPr>
      </w:pPr>
    </w:p>
    <w:bookmarkEnd w:id="10"/>
    <w:p>
      <w:pPr>
        <w:pStyle w:val="3"/>
        <w:rPr>
          <w:rFonts w:ascii="Times New Roman" w:hAnsi="Times New Roman" w:cs="Times New Roman"/>
        </w:rPr>
      </w:pPr>
      <w:bookmarkStart w:id="11" w:name="_Toc285310333"/>
      <w:bookmarkStart w:id="12" w:name="_Toc14331"/>
      <w:bookmarkStart w:id="13" w:name="_Toc276394619"/>
      <w:bookmarkStart w:id="14" w:name="_Toc291144363"/>
      <w:bookmarkStart w:id="15" w:name="_Toc248650007"/>
      <w:bookmarkStart w:id="16" w:name="_Toc244964626"/>
      <w:r>
        <w:rPr>
          <w:rFonts w:ascii="Times New Roman" w:hAnsi="Times New Roman" w:cs="Times New Roman"/>
        </w:rPr>
        <w:t xml:space="preserve">2  </w:t>
      </w:r>
      <w:bookmarkEnd w:id="11"/>
      <w:r>
        <w:rPr>
          <w:rFonts w:hint="eastAsia" w:ascii="楷体" w:hAnsi="楷体" w:eastAsia="楷体" w:cs="楷体"/>
        </w:rPr>
        <w:t>企业基本情况</w:t>
      </w:r>
      <w:bookmarkEnd w:id="12"/>
    </w:p>
    <w:p>
      <w:pPr>
        <w:pStyle w:val="4"/>
        <w:rPr>
          <w:b w:val="0"/>
          <w:bCs/>
          <w:sz w:val="32"/>
          <w:szCs w:val="32"/>
        </w:rPr>
      </w:pPr>
      <w:bookmarkStart w:id="17" w:name="_Toc410829423"/>
      <w:bookmarkStart w:id="18" w:name="_Toc28722"/>
      <w:bookmarkStart w:id="19" w:name="_Toc285310334"/>
      <w:r>
        <w:rPr>
          <w:b w:val="0"/>
          <w:bCs/>
          <w:sz w:val="32"/>
          <w:szCs w:val="32"/>
        </w:rPr>
        <w:t xml:space="preserve">2.1  </w:t>
      </w:r>
      <w:bookmarkEnd w:id="17"/>
      <w:r>
        <w:rPr>
          <w:rFonts w:hint="eastAsia" w:ascii="黑体" w:hAnsi="黑体" w:eastAsia="黑体" w:cs="黑体"/>
          <w:b w:val="0"/>
          <w:bCs/>
          <w:sz w:val="32"/>
          <w:szCs w:val="32"/>
        </w:rPr>
        <w:t>单位概况</w:t>
      </w:r>
      <w:bookmarkEnd w:id="18"/>
    </w:p>
    <w:p>
      <w:pPr>
        <w:pStyle w:val="2"/>
        <w:spacing w:before="120" w:beforeLines="50" w:line="360" w:lineRule="auto"/>
        <w:ind w:firstLine="560"/>
        <w:rPr>
          <w:rFonts w:hint="default" w:eastAsia="宋体"/>
          <w:b/>
          <w:bCs/>
          <w:lang w:val="en-US" w:eastAsia="zh-CN"/>
        </w:rPr>
      </w:pPr>
      <w:bookmarkStart w:id="20" w:name="_Toc410829424"/>
      <w:r>
        <w:rPr>
          <w:rFonts w:hint="eastAsia"/>
          <w:b/>
          <w:bCs/>
          <w:lang w:val="en-US" w:eastAsia="zh-CN"/>
        </w:rPr>
        <w:t>涉及企业机密，不予公开。</w:t>
      </w:r>
    </w:p>
    <w:p>
      <w:pPr>
        <w:ind w:firstLine="560"/>
        <w:rPr>
          <w:rFonts w:hint="eastAsia"/>
        </w:rPr>
      </w:pPr>
      <w:r>
        <w:rPr>
          <w:rFonts w:hint="eastAsia"/>
        </w:rPr>
        <w:t>根据《关于对钻井、物探、测井、录井、井下作业、油建企业实施安全生产许可的通知》（鲁应急函[2021]86号）、《东营市应急管理局关于进一步规范非煤矿矿山《安全生产许可证》颁发管理有关问题的函》（东应急函字[2021]50号）等文件要求，东营大明钻井有限责任公司现重新申请安全生产许可证。</w:t>
      </w:r>
    </w:p>
    <w:p>
      <w:pPr>
        <w:ind w:firstLine="560"/>
      </w:pPr>
      <w:r>
        <w:rPr>
          <w:rFonts w:hint="eastAsia"/>
        </w:rPr>
        <w:t>公司建立有完善的科学管理体系，建立有完善的人员培训、考核管理制度、作业操作规程、岗位责任制。严格执行国家、行业、企业相关标准、技术规范和管理规定。</w:t>
      </w:r>
    </w:p>
    <w:p>
      <w:pPr>
        <w:ind w:firstLine="560"/>
      </w:pPr>
      <w:r>
        <w:t>公司情况简介见下表2-1。</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szCs w:val="21"/>
        </w:rPr>
      </w:pPr>
      <w:r>
        <w:rPr>
          <w:b/>
          <w:sz w:val="24"/>
          <w:szCs w:val="24"/>
        </w:rPr>
        <w:t>表2-1  企业概况表</w:t>
      </w:r>
    </w:p>
    <w:p>
      <w:pPr>
        <w:pStyle w:val="2"/>
        <w:spacing w:before="120" w:beforeLines="50" w:line="360" w:lineRule="auto"/>
        <w:ind w:firstLine="560"/>
        <w:rPr>
          <w:rFonts w:hint="default" w:eastAsia="宋体"/>
          <w:b/>
          <w:bCs/>
          <w:lang w:val="en-US" w:eastAsia="zh-CN"/>
        </w:rPr>
      </w:pPr>
      <w:bookmarkStart w:id="21" w:name="_Toc12872"/>
      <w:r>
        <w:rPr>
          <w:rFonts w:hint="eastAsia"/>
          <w:b/>
          <w:bCs/>
          <w:lang w:val="en-US" w:eastAsia="zh-CN"/>
        </w:rPr>
        <w:t>涉及企业机密，不予公开。</w:t>
      </w:r>
    </w:p>
    <w:p>
      <w:pPr>
        <w:keepNext/>
        <w:keepLines/>
        <w:spacing w:before="120" w:beforeLines="50"/>
        <w:ind w:firstLine="0" w:firstLineChars="0"/>
        <w:jc w:val="left"/>
        <w:outlineLvl w:val="1"/>
        <w:rPr>
          <w:b/>
          <w:bCs/>
          <w:sz w:val="32"/>
          <w:szCs w:val="32"/>
        </w:rPr>
      </w:pPr>
      <w:r>
        <w:rPr>
          <w:b w:val="0"/>
          <w:bCs w:val="0"/>
          <w:sz w:val="32"/>
          <w:szCs w:val="32"/>
        </w:rPr>
        <w:t>2.2</w:t>
      </w:r>
      <w:r>
        <w:rPr>
          <w:b/>
          <w:bCs/>
          <w:sz w:val="32"/>
          <w:szCs w:val="32"/>
        </w:rPr>
        <w:t xml:space="preserve">  </w:t>
      </w:r>
      <w:r>
        <w:rPr>
          <w:rFonts w:hint="eastAsia" w:ascii="黑体" w:hAnsi="黑体" w:eastAsia="黑体" w:cs="黑体"/>
          <w:b w:val="0"/>
          <w:bCs w:val="0"/>
          <w:sz w:val="32"/>
          <w:szCs w:val="32"/>
        </w:rPr>
        <w:t>机构设置及基层队情况</w:t>
      </w:r>
      <w:bookmarkEnd w:id="21"/>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rPr>
      </w:pPr>
      <w:r>
        <w:rPr>
          <w:rFonts w:hint="eastAsia"/>
          <w:b/>
          <w:color w:val="auto"/>
          <w:sz w:val="24"/>
          <w:szCs w:val="24"/>
        </w:rPr>
        <w:t>图2-1  东营大明钻井有限责任公司机构设置图</w:t>
      </w:r>
    </w:p>
    <w:p>
      <w:pPr>
        <w:pStyle w:val="4"/>
        <w:keepNext/>
        <w:keepLines/>
        <w:pageBreakBefore w:val="0"/>
        <w:widowControl w:val="0"/>
        <w:kinsoku/>
        <w:wordWrap/>
        <w:overflowPunct/>
        <w:topLinePunct w:val="0"/>
        <w:autoSpaceDE/>
        <w:autoSpaceDN/>
        <w:bidi w:val="0"/>
        <w:adjustRightInd w:val="0"/>
        <w:snapToGrid w:val="0"/>
        <w:spacing w:before="120" w:beforeLines="50"/>
        <w:textAlignment w:val="auto"/>
        <w:rPr>
          <w:b w:val="0"/>
          <w:bCs w:val="0"/>
          <w:sz w:val="32"/>
          <w:szCs w:val="32"/>
        </w:rPr>
      </w:pPr>
      <w:bookmarkStart w:id="22" w:name="_Toc25857"/>
      <w:r>
        <w:rPr>
          <w:b w:val="0"/>
          <w:bCs w:val="0"/>
          <w:sz w:val="32"/>
          <w:szCs w:val="32"/>
        </w:rPr>
        <w:t>2.</w:t>
      </w:r>
      <w:r>
        <w:rPr>
          <w:rFonts w:hint="eastAsia"/>
          <w:b w:val="0"/>
          <w:bCs w:val="0"/>
          <w:sz w:val="32"/>
          <w:szCs w:val="32"/>
          <w:lang w:val="en-US" w:eastAsia="zh-CN"/>
        </w:rPr>
        <w:t>3</w:t>
      </w:r>
      <w:r>
        <w:rPr>
          <w:b w:val="0"/>
          <w:bCs w:val="0"/>
          <w:sz w:val="32"/>
          <w:szCs w:val="32"/>
        </w:rPr>
        <w:t xml:space="preserve">  </w:t>
      </w:r>
      <w:r>
        <w:rPr>
          <w:rFonts w:hint="eastAsia" w:ascii="黑体" w:hAnsi="黑体" w:eastAsia="黑体" w:cs="黑体"/>
          <w:b w:val="0"/>
          <w:bCs w:val="0"/>
          <w:sz w:val="32"/>
          <w:szCs w:val="32"/>
        </w:rPr>
        <w:t>施工类型、工艺流程和主要设备设施</w:t>
      </w:r>
      <w:bookmarkEnd w:id="22"/>
    </w:p>
    <w:p>
      <w:pPr>
        <w:keepNext/>
        <w:keepLines/>
        <w:ind w:firstLine="0" w:firstLineChars="0"/>
        <w:jc w:val="left"/>
        <w:outlineLvl w:val="2"/>
        <w:rPr>
          <w:rFonts w:hint="eastAsia" w:ascii="黑体" w:hAnsi="黑体" w:eastAsia="黑体" w:cs="黑体"/>
          <w:b w:val="0"/>
          <w:bCs w:val="0"/>
        </w:rPr>
      </w:pPr>
      <w:r>
        <w:rPr>
          <w:rFonts w:hint="default" w:ascii="Times New Roman" w:hAnsi="Times New Roman" w:eastAsia="黑体" w:cs="Times New Roman"/>
          <w:b w:val="0"/>
          <w:bCs w:val="0"/>
        </w:rPr>
        <w:t>2.</w:t>
      </w:r>
      <w:r>
        <w:rPr>
          <w:rFonts w:hint="default" w:ascii="Times New Roman" w:hAnsi="Times New Roman" w:eastAsia="黑体" w:cs="Times New Roman"/>
          <w:b w:val="0"/>
          <w:bCs w:val="0"/>
          <w:lang w:val="en-US" w:eastAsia="zh-CN"/>
        </w:rPr>
        <w:t>3</w:t>
      </w:r>
      <w:r>
        <w:rPr>
          <w:rFonts w:hint="default" w:ascii="Times New Roman" w:hAnsi="Times New Roman" w:eastAsia="黑体" w:cs="Times New Roman"/>
          <w:b w:val="0"/>
          <w:bCs w:val="0"/>
        </w:rPr>
        <w:t>.1</w:t>
      </w:r>
      <w:r>
        <w:rPr>
          <w:rFonts w:hint="eastAsia" w:ascii="黑体" w:hAnsi="黑体" w:eastAsia="黑体" w:cs="黑体"/>
          <w:b w:val="0"/>
          <w:bCs w:val="0"/>
        </w:rPr>
        <w:t xml:space="preserve">  施工类型</w:t>
      </w:r>
    </w:p>
    <w:p>
      <w:pPr>
        <w:pStyle w:val="56"/>
        <w:ind w:firstLine="560"/>
        <w:rPr>
          <w:rFonts w:hint="eastAsia"/>
        </w:rPr>
      </w:pPr>
      <w:r>
        <w:rPr>
          <w:rFonts w:hint="eastAsia"/>
        </w:rPr>
        <w:t>东营大明钻井有限责任公司业务范围为：钻井（钻井施工）。</w:t>
      </w:r>
    </w:p>
    <w:p>
      <w:pPr>
        <w:pStyle w:val="5"/>
        <w:rPr>
          <w:b w:val="0"/>
          <w:bCs w:val="0"/>
        </w:rPr>
      </w:pPr>
      <w:r>
        <w:rPr>
          <w:rFonts w:hint="eastAsia"/>
          <w:b w:val="0"/>
          <w:bCs w:val="0"/>
        </w:rPr>
        <w:t>2.</w:t>
      </w:r>
      <w:r>
        <w:rPr>
          <w:rFonts w:hint="eastAsia"/>
          <w:b w:val="0"/>
          <w:bCs w:val="0"/>
          <w:lang w:val="en-US" w:eastAsia="zh-CN"/>
        </w:rPr>
        <w:t>3</w:t>
      </w:r>
      <w:r>
        <w:rPr>
          <w:rFonts w:hint="eastAsia"/>
          <w:b w:val="0"/>
          <w:bCs w:val="0"/>
        </w:rPr>
        <w:t xml:space="preserve">.2  </w:t>
      </w:r>
      <w:r>
        <w:rPr>
          <w:rFonts w:hint="eastAsia" w:ascii="黑体" w:hAnsi="黑体" w:eastAsia="黑体" w:cs="黑体"/>
          <w:b w:val="0"/>
          <w:bCs w:val="0"/>
        </w:rPr>
        <w:t>主要工艺流程介绍</w:t>
      </w:r>
    </w:p>
    <w:p>
      <w:pPr>
        <w:ind w:firstLine="560"/>
      </w:pPr>
      <w:r>
        <w:t>（一）设备搬迁</w:t>
      </w:r>
    </w:p>
    <w:p>
      <w:pPr>
        <w:ind w:firstLine="560"/>
      </w:pPr>
      <w:r>
        <w:t>1、设备吊装</w:t>
      </w:r>
    </w:p>
    <w:p>
      <w:pPr>
        <w:ind w:firstLine="560"/>
      </w:pPr>
      <w:r>
        <w:t>井架设备先由场地工、外钳工在场地上捆扎牢固，再由内钳工、井架工通过吊车吊装到专门的运输车辆上，并绑扎固定牢固。</w:t>
      </w:r>
    </w:p>
    <w:p>
      <w:pPr>
        <w:ind w:firstLine="560"/>
      </w:pPr>
      <w:r>
        <w:t>2、设备运输</w:t>
      </w:r>
    </w:p>
    <w:p>
      <w:pPr>
        <w:ind w:firstLine="560"/>
      </w:pPr>
      <w:r>
        <w:t>运输车辆合理有序的进入井场，其车速不得超过5km/h，防止堵车，以及人身安全。</w:t>
      </w:r>
    </w:p>
    <w:p>
      <w:pPr>
        <w:ind w:firstLine="560"/>
      </w:pPr>
      <w:r>
        <w:t>3、设备吊卸</w:t>
      </w:r>
    </w:p>
    <w:p>
      <w:pPr>
        <w:ind w:firstLine="560"/>
      </w:pPr>
      <w:r>
        <w:t>由场地工、外钳工将井场场地平整到设备安装所需的高度和平整度，由内钳工、井架工通过吊车将井架等设备设施吊卸到井场合适位置以便后期组装设备。</w:t>
      </w:r>
    </w:p>
    <w:p>
      <w:pPr>
        <w:ind w:firstLine="560"/>
      </w:pPr>
      <w:r>
        <w:t>（二）设备安装</w:t>
      </w:r>
    </w:p>
    <w:p>
      <w:pPr>
        <w:ind w:firstLine="560"/>
      </w:pPr>
      <w:r>
        <w:t>1、甲方与生产部根据井场大小定出井口位置，副队长利用水平镜平整出井架底座基础。</w:t>
      </w:r>
    </w:p>
    <w:p>
      <w:pPr>
        <w:ind w:firstLine="560"/>
      </w:pPr>
      <w:r>
        <w:t>2、场地工、外钳工利用吊装设备先将底座管排每3米一块放在平好的基础上面，铺设好防渗布，安装底座轨道，组装底座以及相关的固定拉筋，再按照顺序组装钻台、钻机，后面组装机房设备。</w:t>
      </w:r>
    </w:p>
    <w:p>
      <w:pPr>
        <w:ind w:firstLine="560"/>
      </w:pPr>
      <w:r>
        <w:t>3、组装井架：小班全体先利用吊车将游车放在井架前合适的位置，然后井架工利用吊车安装井架大腿以及人字梁、安装靠背架，组装井架以及天车头，井架工利用吊车吊起组装好的井架，垫好大枕头，安装二层台，安装二层台逃生装置，水龙带以及相关的悬挂装置，以及相关的井架灯，穿井架大绳，挂起动大绳，钻机滚筒排大绳，值班干部卡好死绳固定器。</w:t>
      </w:r>
    </w:p>
    <w:p>
      <w:pPr>
        <w:ind w:firstLine="560"/>
      </w:pPr>
      <w:r>
        <w:t>4、起井架：井架试起升，绞车用低速档一次挂合，值班干部将井架拉起离开井架（200～300）mm后，将绞车刹住，使井架在此位置停留5min后，再将井架缓慢放到支架上，放松游车到支撑面（100～200）mm处。</w:t>
      </w:r>
    </w:p>
    <w:p>
      <w:pPr>
        <w:ind w:firstLine="560"/>
      </w:pPr>
      <w:r>
        <w:t>井架起升，值班干部使用绞车以最低绳速将井架匀速拉起，当井架起升到75～80或井架离缓冲器活塞头2m左右时刹住绞车，停止起升，使井架缓慢靠到缓冲器活塞头上，使井架缓慢就位，井架就位后，及时将井架与人字架连接固定。</w:t>
      </w:r>
    </w:p>
    <w:p>
      <w:pPr>
        <w:ind w:firstLine="560"/>
      </w:pPr>
      <w:r>
        <w:t>井队全体安装泥浆泵以及高压管线，安装循环罐，排好钻具，井场其余设备摆放在合适的位置。分别安装好钻台设备、水龙头、机房、循环系统的设备、设施。</w:t>
      </w:r>
    </w:p>
    <w:p>
      <w:pPr>
        <w:ind w:firstLine="560"/>
      </w:pPr>
      <w:r>
        <w:t>（三）作业钻进</w:t>
      </w:r>
    </w:p>
    <w:p>
      <w:pPr>
        <w:ind w:firstLine="560"/>
      </w:pPr>
      <w:r>
        <w:t>1、一次开钻：场地工挖好方井，司钻使用大尺寸钻头，完成设计要求进尺后，小班全体下套管固表层，待固井水泥凝固后再继续钻进。表层钻进技术措施：</w:t>
      </w:r>
    </w:p>
    <w:p>
      <w:pPr>
        <w:ind w:firstLine="560"/>
      </w:pPr>
      <w:r>
        <w:t>1）表层井段要求钻直，按设计要求测斜，测斜间距30m，最大井斜小于2，每钻进1根单根要划眼一次，保证井眼光滑、畅通。</w:t>
      </w:r>
    </w:p>
    <w:p>
      <w:pPr>
        <w:ind w:firstLine="560"/>
      </w:pPr>
      <w:r>
        <w:t>2）表层黄土层易发生井漏，防漏及堵漏是一开的关键；坚持执行早开晚停、小排量开泵的措施</w:t>
      </w:r>
      <w:r>
        <w:rPr>
          <w:rFonts w:hint="eastAsia"/>
          <w:lang w:eastAsia="zh-CN"/>
        </w:rPr>
        <w:t>，</w:t>
      </w:r>
      <w:r>
        <w:t>防止岩屑堆集和开泵过猛而憋漏地层。</w:t>
      </w:r>
    </w:p>
    <w:p>
      <w:pPr>
        <w:ind w:firstLine="560"/>
      </w:pPr>
      <w:r>
        <w:t>3）表层大直径井眼必须双泵钻进。起钻前调整泥浆充分洗井</w:t>
      </w:r>
      <w:r>
        <w:rPr>
          <w:rFonts w:hint="eastAsia"/>
          <w:lang w:eastAsia="zh-CN"/>
        </w:rPr>
        <w:t>，</w:t>
      </w:r>
      <w:r>
        <w:t>充分循环后，配稠泥浆封下部井段后方可起钻，起钻禁止使用高速起钻，起钻连续灌钻井液。</w:t>
      </w:r>
    </w:p>
    <w:p>
      <w:pPr>
        <w:ind w:firstLine="560"/>
      </w:pPr>
      <w:r>
        <w:t>4）下套管时一定要上紧扣，不能留有余扣，表层套管底留少于0.5米口袋。下套管遇阻不能硬压，要开泵循环，下到底后，开泵要先一个凡尔开，正常后，逐渐增加排量，充分循环后进行固井。</w:t>
      </w:r>
    </w:p>
    <w:p>
      <w:pPr>
        <w:ind w:firstLine="560"/>
      </w:pPr>
      <w:r>
        <w:t>5）保证固井质量，固完表层后井口打好水泥帽。按标准装井控设备和试压。</w:t>
      </w:r>
    </w:p>
    <w:p>
      <w:pPr>
        <w:ind w:firstLine="560"/>
      </w:pPr>
      <w:r>
        <w:t>2、井控设备的安装以及试压，表层固好后，候凝24小时，安装井控设备，候凝48小时后，报甲方项目组以及甲方监督二开试压，试压合格后、二开钻进。二开井段钻进技术措施：</w:t>
      </w:r>
    </w:p>
    <w:p>
      <w:pPr>
        <w:ind w:firstLine="560"/>
      </w:pPr>
      <w:r>
        <w:t>1）防卡：</w:t>
      </w:r>
    </w:p>
    <w:p>
      <w:pPr>
        <w:ind w:firstLine="560"/>
      </w:pPr>
      <w:r>
        <w:t>（1）每次开钻前，公司要组织有关人员对井队设备、井口、仪器仪表等进行检查验收。按标准要求一定要达到平、正、稳、固、牢、灵，达不到验收要求不能开钻。</w:t>
      </w:r>
    </w:p>
    <w:p>
      <w:pPr>
        <w:ind w:firstLine="560"/>
      </w:pPr>
      <w:r>
        <w:t>（2）加强活动钻具，井内钻具静止不能超过3min。不能钻进时，尽量大幅度上下活动钻具。</w:t>
      </w:r>
    </w:p>
    <w:p>
      <w:pPr>
        <w:ind w:firstLine="560"/>
      </w:pPr>
      <w:r>
        <w:t>（3）因设备故障无法活动钻具时，应将悬重的三分之二慢慢压到井底，抓紧时间抢修，修好设备后不宜继续钻进，应循环好钻井液后起钻。</w:t>
      </w:r>
    </w:p>
    <w:p>
      <w:pPr>
        <w:ind w:firstLine="560"/>
      </w:pPr>
      <w:r>
        <w:t>（4）接单根速度要快。尤其在快速钻进时，一般接一个单根不要超过3min，同时要晚停泵早开泵，以减少沉砂。</w:t>
      </w:r>
    </w:p>
    <w:p>
      <w:pPr>
        <w:ind w:firstLine="560"/>
      </w:pPr>
      <w:r>
        <w:t>（5）起钻前处理好钻井液，大排量循环洗井，循环两周以上方可起钻。下钻不应一次到底，应分段开泵循环正常后再下。起下钻遇阻超过100kN，不可硬拔或强压，应接方钻杆开泵顶通循环正常后，再继续起下。</w:t>
      </w:r>
    </w:p>
    <w:p>
      <w:pPr>
        <w:ind w:firstLine="560"/>
      </w:pPr>
      <w:r>
        <w:t>（6）钻进中发现泵压升高、悬重下降、钻井液返出减少、接单根打倒车等现象，应停止钻进或接单根，上提钻具到正常井段后，采用冲、通、划的办法，使井眼恢复正常，然后，继续作业。</w:t>
      </w:r>
    </w:p>
    <w:p>
      <w:pPr>
        <w:ind w:firstLine="560"/>
      </w:pPr>
      <w:r>
        <w:t>（7）在定向井施工中，只要井身轨迹允许尽可能不采用高造斜率，减少形成键槽的可能。如果发现已形成键槽，要随时下入键槽破坏器，使井眼畅通。</w:t>
      </w:r>
    </w:p>
    <w:p>
      <w:pPr>
        <w:ind w:firstLine="560"/>
      </w:pPr>
      <w:r>
        <w:t>（8）钻进中发现泵压下降，必须停钻找出原因。如果在地面上找不出问题，应起钻检查钻具。</w:t>
      </w:r>
    </w:p>
    <w:p>
      <w:pPr>
        <w:ind w:firstLine="560"/>
      </w:pPr>
      <w:r>
        <w:t>（9）所有下井钻具必须按规定认真进行检查，凡不合格的钻具禁止下井使用。</w:t>
      </w:r>
    </w:p>
    <w:p>
      <w:pPr>
        <w:ind w:firstLine="560"/>
      </w:pPr>
      <w:r>
        <w:t>2）直井段防斜：</w:t>
      </w:r>
    </w:p>
    <w:p>
      <w:pPr>
        <w:ind w:firstLine="560"/>
      </w:pPr>
      <w:r>
        <w:t>（1）对所有设备进行二开前检查验收，认真进行高压试运转0.5小时以上，运转平稳，不刺、不漏方可开钻。</w:t>
      </w:r>
    </w:p>
    <w:p>
      <w:pPr>
        <w:ind w:firstLine="560"/>
      </w:pPr>
      <w:r>
        <w:t>（2）在表层钻进中，平衡好水龙带，使其不摆不跳。要轻压吊打，井斜要求小于0.5，井斜过大必须纠斜。</w:t>
      </w:r>
    </w:p>
    <w:p>
      <w:pPr>
        <w:ind w:firstLine="560"/>
      </w:pPr>
      <w:r>
        <w:t>（3）在检修保养设备或处理钻井液时，应保持大幅度活动钻具循环钻井液。但不可大排量长时间停在一处转动循环，避免冲大井眼造成井斜。</w:t>
      </w:r>
    </w:p>
    <w:p>
      <w:pPr>
        <w:ind w:firstLine="560"/>
      </w:pPr>
      <w:r>
        <w:t>（4）换用新钻头时，不可一次下钻到底。在接近井底时，小排量开泵，档启动转盘，慢慢下到井底，再用30～50kN的钻压磨合钻头约半小时后，逐渐加至正常钻压钻进。</w:t>
      </w:r>
    </w:p>
    <w:p>
      <w:pPr>
        <w:ind w:firstLine="560"/>
      </w:pPr>
      <w:r>
        <w:t>（5）设备安装按规定要求达到平、正、稳、固、牢。校正天车中心、转盘中心及井口中心三者处于一垂直线上，最大允许偏差不超过10mm。</w:t>
      </w:r>
    </w:p>
    <w:p>
      <w:pPr>
        <w:ind w:firstLine="560"/>
      </w:pPr>
      <w:r>
        <w:t>（6）指重表、记录仪、泵压表必须灵敏、准确、好用。</w:t>
      </w:r>
    </w:p>
    <w:p>
      <w:pPr>
        <w:ind w:firstLine="560"/>
      </w:pPr>
      <w:r>
        <w:t>（7）下井稳定器外径与钻头直径差小于3mm。</w:t>
      </w:r>
    </w:p>
    <w:p>
      <w:pPr>
        <w:ind w:firstLine="560"/>
      </w:pPr>
      <w:r>
        <w:t>（8）送钻均匀、加压合理、断层及地层交界面处调整钻压。</w:t>
      </w:r>
    </w:p>
    <w:p>
      <w:pPr>
        <w:ind w:firstLine="560"/>
      </w:pPr>
      <w:r>
        <w:t>3）防喷：</w:t>
      </w:r>
    </w:p>
    <w:p>
      <w:pPr>
        <w:ind w:firstLine="560"/>
      </w:pPr>
      <w:r>
        <w:t>（1）井场按规定配齐消防设施。所有照明、电气设备要具有防火防爆性能要求。</w:t>
      </w:r>
    </w:p>
    <w:p>
      <w:pPr>
        <w:ind w:firstLine="560"/>
      </w:pPr>
      <w:r>
        <w:t>（2）钻开油气层后应避免在井场动火，必要用火时，应报上级安全部门审批，并采取相应的防护措施。</w:t>
      </w:r>
    </w:p>
    <w:p>
      <w:pPr>
        <w:ind w:firstLine="560"/>
      </w:pPr>
      <w:r>
        <w:t>（3）坚持坐岗制度，由专人观察记录钻井液液面和性能的变化情况，发现溢流及时采取措施。</w:t>
      </w:r>
    </w:p>
    <w:p>
      <w:pPr>
        <w:ind w:firstLine="560"/>
      </w:pPr>
      <w:r>
        <w:t>（4）下够表层套管，水泥一定要返到地面，保证固井质量。做好一级井控工作，保持井眼畅通，井壁稳定。</w:t>
      </w:r>
    </w:p>
    <w:p>
      <w:pPr>
        <w:ind w:firstLine="560"/>
      </w:pPr>
      <w:r>
        <w:t>（5）钻开油气层后，必须控制起钻速度。钻头在井底至油气层顶部以上300m井段内起钻速度不得超过0.5m/s。起钻杆时每起3柱钻杆向环空灌满一次钻井液，起钻铤时每起1柱钻铤向环空灌满一次钻井液。起完钻应及时下钻，严禁在空井情况下检修设备。</w:t>
      </w:r>
    </w:p>
    <w:p>
      <w:pPr>
        <w:ind w:firstLine="560"/>
      </w:pPr>
      <w:r>
        <w:t>（6）在上部地层钻进时，要防止泥包钻头，避免起钻拔活塞而诱发井喷。</w:t>
      </w:r>
    </w:p>
    <w:p>
      <w:pPr>
        <w:ind w:firstLine="560"/>
      </w:pPr>
      <w:r>
        <w:t>（7）钻开油气层后，要随时掌握油气显示情况，每次起下钻要求测油气上窜速度，并做好记录。油气层压不稳不许起钻。确保油气上窜速度不大于10m/h。</w:t>
      </w:r>
    </w:p>
    <w:p>
      <w:pPr>
        <w:ind w:firstLine="560"/>
      </w:pPr>
      <w:r>
        <w:t>（8）严格执行钻开油气层前的申报制度，经甲方、项目组检查验收并批准才能钻开油气层。</w:t>
      </w:r>
    </w:p>
    <w:p>
      <w:pPr>
        <w:ind w:firstLine="560"/>
      </w:pPr>
      <w:r>
        <w:t>4）防漏：</w:t>
      </w:r>
    </w:p>
    <w:p>
      <w:pPr>
        <w:ind w:firstLine="560"/>
      </w:pPr>
      <w:r>
        <w:t>（1）在钻进过程中，调整好钻井液性能，在井下条件允许的情况下，钻井液密度尽量使用设计下限值，保持近平衡压力钻井。</w:t>
      </w:r>
    </w:p>
    <w:p>
      <w:pPr>
        <w:ind w:firstLine="560"/>
      </w:pPr>
      <w:r>
        <w:t>（2）下钻要控制速度，井深超过500m以后要挂辅助刹车，每下一柱不能少于30s，防止下钻速度快产生激动压力过大压漏地层。</w:t>
      </w:r>
    </w:p>
    <w:p>
      <w:pPr>
        <w:ind w:firstLine="560"/>
      </w:pPr>
      <w:r>
        <w:t>（3）钻进中井下油气活跃需要加重时，在加重过程中应按循环周逐步提高密度，直到溢流消失为止。禁止盲目加重压漏地层，造成井下情况趋于复杂。</w:t>
      </w:r>
    </w:p>
    <w:p>
      <w:pPr>
        <w:ind w:firstLine="560"/>
      </w:pPr>
      <w:r>
        <w:t>（4）下钻过程中要分段循环钻井液，切不可一次下钻到底再开泵循环。开泵要先小排量顶通后，再恢复正常排量。严禁开泵过猛憋漏地层。</w:t>
      </w:r>
    </w:p>
    <w:p>
      <w:pPr>
        <w:ind w:firstLine="560"/>
      </w:pPr>
      <w:r>
        <w:t>（5）认真执行坐岗制度，专人观察钻井液面的变化情况，无论钻进还是下钻时，发现井漏，如果漏失超过5m</w:t>
      </w:r>
      <w:r>
        <w:rPr>
          <w:sz w:val="28"/>
          <w:vertAlign w:val="superscript"/>
        </w:rPr>
        <w:t>3</w:t>
      </w:r>
      <w:r>
        <w:t>，应立即起钻，并连续向井内灌入钻井液，同时做好堵漏准备。</w:t>
      </w:r>
    </w:p>
    <w:p>
      <w:pPr>
        <w:ind w:firstLine="560"/>
      </w:pPr>
      <w:r>
        <w:t>5）定向井工艺技术措施：</w:t>
      </w:r>
    </w:p>
    <w:p>
      <w:pPr>
        <w:ind w:firstLine="560"/>
      </w:pPr>
      <w:r>
        <w:t>（1）用动力钻具打完进尺后更换满眼钻具通井，进一步修整井壁，使井眼光滑畅通。</w:t>
      </w:r>
    </w:p>
    <w:p>
      <w:pPr>
        <w:ind w:firstLine="560"/>
      </w:pPr>
      <w:r>
        <w:t>（2）控制起钻速度，避免抽吸引起井塌。</w:t>
      </w:r>
    </w:p>
    <w:p>
      <w:pPr>
        <w:ind w:firstLine="560"/>
      </w:pPr>
      <w:r>
        <w:t>（3）造斜点以下井段坚持短起下钻，检查、清理井眼。施工中作好记录，为下一步的完井工序提供可靠的指导性资料。</w:t>
      </w:r>
    </w:p>
    <w:p>
      <w:pPr>
        <w:ind w:firstLine="560"/>
      </w:pPr>
      <w:r>
        <w:t>（4）稳斜段钻进时应及时加固体润滑剂，以减小井壁摩擦力。</w:t>
      </w:r>
    </w:p>
    <w:p>
      <w:pPr>
        <w:ind w:firstLine="560"/>
      </w:pPr>
      <w:r>
        <w:t>（5）起钻和电测期间有专人观察井口液面变化，及时补充钻井液，防止井下复杂情况发生。</w:t>
      </w:r>
    </w:p>
    <w:p>
      <w:pPr>
        <w:ind w:firstLine="560"/>
      </w:pPr>
      <w:r>
        <w:t>（6）斜井段应保证排量，以提高井眼清洗效率，增强钻井液的携岩能力。</w:t>
      </w:r>
    </w:p>
    <w:p>
      <w:pPr>
        <w:ind w:firstLine="560"/>
      </w:pPr>
      <w:r>
        <w:t>（7）斜井段坚持使用加重钻杆，并可使用一定数量的螺旋钻铤，以减小钻具与井壁的接触面积。</w:t>
      </w:r>
    </w:p>
    <w:p>
      <w:pPr>
        <w:ind w:firstLine="560"/>
      </w:pPr>
      <w:r>
        <w:t>（8）严格控制钻具在井内的静止时间，除测斜外，钻具静止时间不超过3min，且钻具应大幅度活动。</w:t>
      </w:r>
    </w:p>
    <w:p>
      <w:pPr>
        <w:ind w:firstLine="560"/>
      </w:pPr>
      <w:r>
        <w:t>（9）根据测斜数据及时作出井身轨迹实钻图，以指导下一步技术决策。</w:t>
      </w:r>
    </w:p>
    <w:p>
      <w:pPr>
        <w:ind w:firstLine="560"/>
      </w:pPr>
      <w:r>
        <w:t>（10）扶正器（特别是近钻头扶正器）磨小3mm必须更换，以保证钻具力学特征。后期作业，每次起下钻可倒换使用，将最大外径扶正器置于近钻头处。</w:t>
      </w:r>
    </w:p>
    <w:p>
      <w:pPr>
        <w:ind w:firstLine="560"/>
      </w:pPr>
      <w:r>
        <w:t>（11）下钻遇阻严禁硬压导致卡死，应耐心划眼，直至起下钻通畅为止。</w:t>
      </w:r>
    </w:p>
    <w:p>
      <w:pPr>
        <w:ind w:firstLine="560"/>
      </w:pPr>
      <w:r>
        <w:t>（12）钻进及划眼过程中要密切注视转盘扭矩变化，防止将钻具蹩断或倒扣掉入井内。</w:t>
      </w:r>
    </w:p>
    <w:p>
      <w:pPr>
        <w:ind w:firstLine="560"/>
      </w:pPr>
      <w:r>
        <w:t>（13）定向时确定反扭角后坚持定钻压、定泵压、定排量钻进。钻进时加强测斜，根据测量数据修正、调整反扭角值。</w:t>
      </w:r>
    </w:p>
    <w:p>
      <w:pPr>
        <w:ind w:firstLine="560"/>
      </w:pPr>
      <w:r>
        <w:t>（14）井队人员应与定向技术人员密切配合，严格按技术人员要求的参数施工。</w:t>
      </w:r>
    </w:p>
    <w:p>
      <w:pPr>
        <w:ind w:firstLine="560"/>
      </w:pPr>
      <w:r>
        <w:t>（15）技术人员要掌握所用钻具及动力钻具的各项基础数据和特性，参考动力钻具手册和现场经验确定合理的反扭角。</w:t>
      </w:r>
    </w:p>
    <w:p>
      <w:pPr>
        <w:ind w:firstLine="560"/>
      </w:pPr>
      <w:r>
        <w:t>（16）定向段下钻时丝扣一定要上紧，避免定向转动转盘时造成钻具自动上扣，致使定向不准。</w:t>
      </w:r>
    </w:p>
    <w:p>
      <w:pPr>
        <w:ind w:firstLine="560"/>
      </w:pPr>
      <w:r>
        <w:t>（17）直井段采用轻压吊打方式保证打直井眼。</w:t>
      </w:r>
    </w:p>
    <w:p>
      <w:pPr>
        <w:ind w:firstLine="560"/>
      </w:pPr>
      <w:r>
        <w:t>（18）起下钻和接单根时应间隔活动转盘。</w:t>
      </w:r>
    </w:p>
    <w:p>
      <w:pPr>
        <w:ind w:firstLine="560"/>
      </w:pPr>
      <w:r>
        <w:t>6）钻井施工防碰措施：</w:t>
      </w:r>
    </w:p>
    <w:p>
      <w:pPr>
        <w:ind w:firstLine="560"/>
      </w:pPr>
      <w:r>
        <w:t>（1）保证开眼及上部井眼规则。</w:t>
      </w:r>
    </w:p>
    <w:p>
      <w:pPr>
        <w:ind w:firstLine="560"/>
      </w:pPr>
      <w:r>
        <w:t>（2）一次开钻开眼时不得直接用方钻杆下冲，应启动转盘，控制匀速下放，保证开眼不偏斜，要充分考虑水龙带等侧向力的影响。</w:t>
      </w:r>
    </w:p>
    <w:p>
      <w:pPr>
        <w:ind w:firstLine="560"/>
      </w:pPr>
      <w:r>
        <w:t>（3）一开进尺打完必须测斜，测斜不成功钻水泥塞时必须投测。</w:t>
      </w:r>
    </w:p>
    <w:p>
      <w:pPr>
        <w:ind w:firstLine="560"/>
      </w:pPr>
      <w:r>
        <w:t>（4）二次开钻前，技术人员要借阅邻井井口、靶点坐标及井眼轨迹资料，认真做好防碰草图，搞清楚已施工老井的轨迹走向，制定好本井防碰措施。</w:t>
      </w:r>
    </w:p>
    <w:p>
      <w:pPr>
        <w:ind w:firstLine="560"/>
      </w:pPr>
      <w:r>
        <w:t>（5）二次开钻出套管必须吊打300m以上。</w:t>
      </w:r>
    </w:p>
    <w:p>
      <w:pPr>
        <w:ind w:firstLine="560"/>
      </w:pPr>
      <w:r>
        <w:t>（6）清水钻进阶段不得定点大排量循环，以免对后续施工留下隐患。</w:t>
      </w:r>
    </w:p>
    <w:p>
      <w:pPr>
        <w:ind w:firstLine="560"/>
      </w:pPr>
      <w:r>
        <w:t>（7）对于在直井段中作业就可能发生碰撞或是绕障作业时，则应直接下入牙轮钻头，以保作业安全，必要时可提前定向。</w:t>
      </w:r>
    </w:p>
    <w:p>
      <w:pPr>
        <w:ind w:firstLine="560"/>
      </w:pPr>
      <w:r>
        <w:t>（8）严格按要求测斜：</w:t>
      </w:r>
    </w:p>
    <w:p>
      <w:pPr>
        <w:ind w:firstLine="560"/>
      </w:pPr>
      <w:r>
        <w:t>A:直井段的单点测斜间距不大于100m；直井段超过300m测多点，点距不大于30m。有磁干扰的井段用陀螺测斜仪测斜。</w:t>
      </w:r>
    </w:p>
    <w:p>
      <w:pPr>
        <w:ind w:firstLine="560"/>
      </w:pPr>
      <w:r>
        <w:t>B:造斜和降斜井段的测斜间距不大于10m；稳斜井段的测斜间距不大于50m；防碰、绕障井段的测斜间距不大于10m，必要时加密测点。</w:t>
      </w:r>
    </w:p>
    <w:p>
      <w:pPr>
        <w:ind w:firstLine="560"/>
      </w:pPr>
      <w:r>
        <w:t>（9）控制直井段与邻井的距离不小于3m，直井段井斜小于1，保证施工安全。</w:t>
      </w:r>
    </w:p>
    <w:p>
      <w:pPr>
        <w:ind w:firstLine="560"/>
      </w:pPr>
      <w:r>
        <w:t>（10）直井段宜选择用小钻压、合理转速、大钟摆钻具组合方式钻进。保证精心操作，严格措施，及时发现并分析施工中出现蹩跳、泥浆性能变化及岩屑返出情况。</w:t>
      </w:r>
    </w:p>
    <w:p>
      <w:pPr>
        <w:ind w:firstLine="560"/>
      </w:pPr>
      <w:r>
        <w:t>（11）根据测斜数据及时计算，绘出单井设计与实钻轨迹投影图，并绘出防碰井与邻井在同一坐标系下井眼轨迹水平投影叠加图。两井轨迹水平投影叠加图交叉的垂直井深差大于30m。</w:t>
      </w:r>
    </w:p>
    <w:p>
      <w:pPr>
        <w:ind w:firstLine="560"/>
      </w:pPr>
      <w:r>
        <w:t>（12）每测一点都要扫描、搜索出正钻井与邻井的最近空间距离，预测出井眼轨迹的发展趋势以及与邻井是否有相碰的危险。</w:t>
      </w:r>
    </w:p>
    <w:p>
      <w:pPr>
        <w:ind w:firstLine="560"/>
      </w:pPr>
      <w:r>
        <w:t>（13）施工中若出现相碰可能，应加测多点，相距较近，易发生相碰时可用仪器跟踪并用动力钻具微调合理避让，保证施工顺利进行。</w:t>
      </w:r>
    </w:p>
    <w:p>
      <w:pPr>
        <w:ind w:firstLine="560"/>
      </w:pPr>
      <w:r>
        <w:t>（14）钻进中若出现钻遇套管的征兆，则立即停止钻进。将钻具提离井底5m以上，小排量低转速循环，上下活动观察。进一步分析磁场强度是否正常、重新测量井眼轨迹数据，如磁场强度异常,使用陀螺仪测井眼轨迹，确认是否与邻井套管相撞。复核轨迹数据，确认对其它井作业影响不大的情况下，可继续监测再钻进1～3个单根，确定井眼进入安全区域后，可继续定向钻进。</w:t>
      </w:r>
    </w:p>
    <w:p>
      <w:pPr>
        <w:ind w:firstLine="560"/>
      </w:pPr>
      <w:r>
        <w:t>（15）两井最近距离在安全区域内，可采用常规的增斜、稳斜和降斜钻具组合，进行轨迹控制。</w:t>
      </w:r>
    </w:p>
    <w:p>
      <w:pPr>
        <w:ind w:firstLine="560"/>
      </w:pPr>
      <w:r>
        <w:t>（16）防碰井段按小半径柱状靶施工，控制轨迹在靶内穿行。</w:t>
      </w:r>
    </w:p>
    <w:p>
      <w:pPr>
        <w:ind w:firstLine="560"/>
      </w:pPr>
      <w:r>
        <w:t>（17）如果判断碰上邻井套管，则立即起钻，注水泥塞封固井底以上150～200m。重新定向绕障钻进。</w:t>
      </w:r>
    </w:p>
    <w:p>
      <w:pPr>
        <w:ind w:firstLine="560"/>
      </w:pPr>
      <w:r>
        <w:t>（18）施工井完钻后，要根据该井多点及其它数据绘制实钻轨迹图并上交有关部门，以便于后续井施工。</w:t>
      </w:r>
    </w:p>
    <w:p>
      <w:pPr>
        <w:ind w:firstLine="560"/>
      </w:pPr>
      <w:r>
        <w:rPr>
          <w:rFonts w:hint="eastAsia"/>
        </w:rPr>
        <w:t>（四）</w:t>
      </w:r>
      <w:r>
        <w:t>完井要求</w:t>
      </w:r>
    </w:p>
    <w:p>
      <w:pPr>
        <w:ind w:firstLine="560"/>
      </w:pPr>
      <w:r>
        <w:rPr>
          <w:rFonts w:hint="eastAsia"/>
        </w:rPr>
        <w:t>1、</w:t>
      </w:r>
      <w:r>
        <w:t>完井后应做到声放磁合格、套管试压合格、井内无落物；套管头按标准试压，井口及环隙不得有油气水漏失现象。</w:t>
      </w:r>
    </w:p>
    <w:p>
      <w:pPr>
        <w:ind w:firstLine="560"/>
      </w:pPr>
      <w:r>
        <w:rPr>
          <w:rFonts w:hint="eastAsia"/>
        </w:rPr>
        <w:t>2、</w:t>
      </w:r>
      <w:r>
        <w:t>配备与套管头压力等级匹配的完井法兰。</w:t>
      </w:r>
    </w:p>
    <w:p>
      <w:pPr>
        <w:ind w:firstLine="560"/>
      </w:pPr>
      <w:r>
        <w:rPr>
          <w:rFonts w:hint="eastAsia"/>
        </w:rPr>
        <w:t>（五）</w:t>
      </w:r>
      <w:r>
        <w:t>前移井架</w:t>
      </w:r>
    </w:p>
    <w:p>
      <w:pPr>
        <w:ind w:firstLine="560"/>
      </w:pPr>
      <w:r>
        <w:t>平好底座基础，小组全体铺好管排防渗布，以及安装好轨道，值班干部利用液压千斤将井架推到合适的位置。</w:t>
      </w:r>
    </w:p>
    <w:p>
      <w:pPr>
        <w:ind w:firstLine="560"/>
      </w:pPr>
      <w:r>
        <w:rPr>
          <w:rFonts w:hint="eastAsia"/>
        </w:rPr>
        <w:t>（六）</w:t>
      </w:r>
      <w:r>
        <w:t>设备拆卸</w:t>
      </w:r>
    </w:p>
    <w:p>
      <w:pPr>
        <w:ind w:firstLine="560"/>
        <w:sectPr>
          <w:footerReference r:id="rId17" w:type="default"/>
          <w:pgSz w:w="11906" w:h="16838"/>
          <w:pgMar w:top="1440" w:right="1803" w:bottom="1440" w:left="1803" w:header="850" w:footer="992" w:gutter="0"/>
          <w:pgBorders>
            <w:top w:val="none" w:sz="0" w:space="0"/>
            <w:left w:val="none" w:sz="0" w:space="0"/>
            <w:bottom w:val="none" w:sz="0" w:space="0"/>
            <w:right w:val="none" w:sz="0" w:space="0"/>
          </w:pgBorders>
          <w:cols w:space="0" w:num="1"/>
          <w:rtlGutter w:val="0"/>
          <w:docGrid w:linePitch="312" w:charSpace="0"/>
        </w:sectPr>
      </w:pPr>
      <w:r>
        <w:t>施工完成后井队全体分别完成对井架辅助设备设施、钻台设备设施、井架、放井架等的拆卸，抽大绳、拆卸机房设备设施、拆卸防冻保温装置、拆卸泵房设备设施、拆卸循环系统设备设施、拆卸其它设备设施等，拆卸完成后使用吊装设备将拆卸的设备设施吊装上运输车辆，运离井场。</w:t>
      </w:r>
    </w:p>
    <w:p>
      <w:pPr>
        <w:pStyle w:val="5"/>
        <w:tabs>
          <w:tab w:val="left" w:pos="13440"/>
        </w:tabs>
        <w:rPr>
          <w:rFonts w:hint="eastAsia" w:ascii="黑体" w:hAnsi="黑体" w:eastAsia="黑体" w:cs="黑体"/>
          <w:b w:val="0"/>
          <w:bCs w:val="0"/>
        </w:rPr>
      </w:pPr>
      <w:r>
        <w:rPr>
          <w:rFonts w:hint="eastAsia"/>
          <w:b w:val="0"/>
          <w:bCs w:val="0"/>
        </w:rPr>
        <w:t>2.</w:t>
      </w:r>
      <w:r>
        <w:rPr>
          <w:rFonts w:hint="eastAsia"/>
          <w:b w:val="0"/>
          <w:bCs w:val="0"/>
          <w:lang w:val="en-US" w:eastAsia="zh-CN"/>
        </w:rPr>
        <w:t>3</w:t>
      </w:r>
      <w:r>
        <w:rPr>
          <w:rFonts w:hint="eastAsia"/>
          <w:b w:val="0"/>
          <w:bCs w:val="0"/>
        </w:rPr>
        <w:t xml:space="preserve">.3  </w:t>
      </w:r>
      <w:r>
        <w:rPr>
          <w:rFonts w:hint="eastAsia" w:ascii="黑体" w:hAnsi="黑体" w:eastAsia="黑体" w:cs="黑体"/>
          <w:b w:val="0"/>
          <w:bCs w:val="0"/>
        </w:rPr>
        <w:t>主要设备设施</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keepNext/>
        <w:keepLines/>
        <w:spacing w:before="120" w:beforeLines="50"/>
        <w:ind w:firstLine="0" w:firstLineChars="0"/>
        <w:jc w:val="left"/>
        <w:outlineLvl w:val="1"/>
        <w:rPr>
          <w:b w:val="0"/>
          <w:bCs w:val="0"/>
          <w:sz w:val="32"/>
          <w:szCs w:val="32"/>
        </w:rPr>
      </w:pPr>
      <w:bookmarkStart w:id="23" w:name="_Toc13735"/>
      <w:bookmarkStart w:id="24" w:name="_Toc30296"/>
      <w:r>
        <w:rPr>
          <w:b w:val="0"/>
          <w:bCs w:val="0"/>
          <w:sz w:val="32"/>
          <w:szCs w:val="32"/>
        </w:rPr>
        <w:t>2.</w:t>
      </w:r>
      <w:r>
        <w:rPr>
          <w:rFonts w:hint="eastAsia"/>
          <w:b w:val="0"/>
          <w:bCs w:val="0"/>
          <w:sz w:val="32"/>
          <w:szCs w:val="32"/>
        </w:rPr>
        <w:t>4</w:t>
      </w:r>
      <w:r>
        <w:rPr>
          <w:b w:val="0"/>
          <w:bCs w:val="0"/>
          <w:sz w:val="32"/>
          <w:szCs w:val="32"/>
        </w:rPr>
        <w:t xml:space="preserve"> </w:t>
      </w:r>
      <w:r>
        <w:rPr>
          <w:rFonts w:hint="eastAsia"/>
          <w:b w:val="0"/>
          <w:bCs w:val="0"/>
          <w:sz w:val="32"/>
          <w:szCs w:val="32"/>
        </w:rPr>
        <w:t xml:space="preserve"> </w:t>
      </w:r>
      <w:bookmarkEnd w:id="23"/>
      <w:r>
        <w:rPr>
          <w:rFonts w:hint="eastAsia" w:ascii="黑体" w:hAnsi="黑体" w:eastAsia="黑体" w:cs="黑体"/>
          <w:b w:val="0"/>
          <w:bCs w:val="0"/>
          <w:sz w:val="32"/>
          <w:szCs w:val="32"/>
        </w:rPr>
        <w:t>作业区域及自然条件</w:t>
      </w:r>
      <w:bookmarkEnd w:id="24"/>
    </w:p>
    <w:p>
      <w:pPr>
        <w:ind w:firstLine="560"/>
        <w:rPr>
          <w:rFonts w:hint="eastAsia"/>
        </w:rPr>
      </w:pPr>
      <w:r>
        <w:rPr>
          <w:rFonts w:hint="eastAsia"/>
        </w:rPr>
        <w:t>东营大明钻井有限责任公司位于山东省东营市东营区浏阳河路69号，</w:t>
      </w:r>
      <w:r>
        <w:rPr>
          <w:rFonts w:hint="eastAsia"/>
          <w:lang w:val="en-US" w:eastAsia="zh-CN"/>
        </w:rPr>
        <w:t>目前主要在胜利油区施工，</w:t>
      </w:r>
      <w:r>
        <w:rPr>
          <w:rFonts w:hint="eastAsia"/>
        </w:rPr>
        <w:t>主要服务</w:t>
      </w:r>
      <w:r>
        <w:rPr>
          <w:rFonts w:hint="eastAsia"/>
          <w:lang w:val="en-US" w:eastAsia="zh-CN"/>
        </w:rPr>
        <w:t>于鲁明公司、东辛采油厂、河口采油厂、现河采油厂等</w:t>
      </w:r>
      <w:r>
        <w:rPr>
          <w:rFonts w:hint="eastAsia"/>
        </w:rPr>
        <w:t>采油厂</w:t>
      </w:r>
      <w:r>
        <w:rPr>
          <w:rFonts w:hint="eastAsia"/>
          <w:lang w:eastAsia="zh-CN"/>
        </w:rPr>
        <w:t>，</w:t>
      </w:r>
      <w:r>
        <w:rPr>
          <w:rFonts w:hint="eastAsia"/>
        </w:rPr>
        <w:t>作业区域</w:t>
      </w:r>
      <w:r>
        <w:rPr>
          <w:rFonts w:hint="eastAsia"/>
          <w:lang w:val="en-US" w:eastAsia="zh-CN"/>
        </w:rPr>
        <w:t>主要包括</w:t>
      </w:r>
      <w:r>
        <w:rPr>
          <w:rFonts w:hint="eastAsia"/>
          <w:lang w:eastAsia="zh-CN"/>
        </w:rPr>
        <w:t>：</w:t>
      </w:r>
      <w:r>
        <w:rPr>
          <w:rFonts w:hint="eastAsia"/>
        </w:rPr>
        <w:t>东营、济南、滨州、潍坊、淄博市</w:t>
      </w:r>
      <w:r>
        <w:rPr>
          <w:rFonts w:hint="eastAsia"/>
          <w:lang w:eastAsia="zh-CN"/>
        </w:rPr>
        <w:t>、</w:t>
      </w:r>
      <w:r>
        <w:rPr>
          <w:rFonts w:hint="eastAsia"/>
          <w:lang w:val="en-US" w:eastAsia="zh-CN"/>
        </w:rPr>
        <w:t>德州市等</w:t>
      </w:r>
      <w:r>
        <w:rPr>
          <w:rFonts w:hint="eastAsia"/>
        </w:rPr>
        <w:t>。</w:t>
      </w:r>
    </w:p>
    <w:p>
      <w:pPr>
        <w:keepNext/>
        <w:keepLines/>
        <w:pageBreakBefore w:val="0"/>
        <w:widowControl w:val="0"/>
        <w:kinsoku/>
        <w:wordWrap/>
        <w:overflowPunct/>
        <w:topLinePunct w:val="0"/>
        <w:autoSpaceDE/>
        <w:autoSpaceDN/>
        <w:bidi w:val="0"/>
        <w:adjustRightInd w:val="0"/>
        <w:snapToGrid w:val="0"/>
        <w:ind w:firstLine="0" w:firstLineChars="0"/>
        <w:textAlignment w:val="auto"/>
        <w:outlineLvl w:val="2"/>
        <w:rPr>
          <w:bCs/>
          <w:sz w:val="32"/>
          <w:szCs w:val="32"/>
        </w:rPr>
      </w:pPr>
      <w:r>
        <w:rPr>
          <w:rFonts w:hint="eastAsia"/>
          <w:bCs/>
          <w:sz w:val="28"/>
          <w:szCs w:val="28"/>
        </w:rPr>
        <w:t>2.4.1</w:t>
      </w:r>
      <w:r>
        <w:rPr>
          <w:rFonts w:hint="eastAsia"/>
          <w:bCs/>
          <w:sz w:val="32"/>
          <w:szCs w:val="32"/>
        </w:rPr>
        <w:t xml:space="preserve">  </w:t>
      </w:r>
      <w:r>
        <w:rPr>
          <w:rFonts w:hint="eastAsia" w:ascii="黑体" w:hAnsi="黑体" w:eastAsia="黑体" w:cs="黑体"/>
          <w:bCs/>
          <w:sz w:val="28"/>
          <w:szCs w:val="28"/>
        </w:rPr>
        <w:t>东营地区自然条件及社会环境</w:t>
      </w:r>
    </w:p>
    <w:p>
      <w:pPr>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1.</w:t>
      </w:r>
      <w:r>
        <w:rPr>
          <w:rFonts w:hint="default" w:ascii="Times New Roman" w:hAnsi="Times New Roman" w:cs="Times New Roman"/>
          <w:color w:val="000000"/>
          <w:sz w:val="28"/>
          <w:szCs w:val="28"/>
          <w:shd w:val="clear" w:color="auto" w:fill="FFFFFF"/>
        </w:rPr>
        <w:t>地形地貌</w:t>
      </w:r>
    </w:p>
    <w:p>
      <w:pPr>
        <w:shd w:val="clear" w:color="auto" w:fill="FFFFFF"/>
        <w:adjustRightInd w:val="0"/>
        <w:snapToGrid w:val="0"/>
        <w:spacing w:line="360" w:lineRule="auto"/>
        <w:ind w:firstLine="560" w:firstLineChars="200"/>
        <w:jc w:val="left"/>
        <w:rPr>
          <w:rFonts w:hint="default" w:ascii="Times New Roman" w:hAnsi="Times New Roman" w:cs="Times New Roman"/>
          <w:color w:val="000000"/>
          <w:kern w:val="0"/>
          <w:sz w:val="28"/>
          <w:szCs w:val="28"/>
          <w:shd w:val="clear" w:color="auto" w:fill="FFFFFF"/>
        </w:rPr>
      </w:pPr>
      <w:r>
        <w:rPr>
          <w:rFonts w:hint="default" w:ascii="Times New Roman" w:hAnsi="Times New Roman" w:cs="Times New Roman"/>
          <w:color w:val="000000"/>
          <w:kern w:val="0"/>
          <w:sz w:val="28"/>
          <w:szCs w:val="28"/>
          <w:shd w:val="clear" w:color="auto" w:fill="FFFFFF"/>
        </w:rPr>
        <w:t>东营市地处华北坳陷区之济阳坳陷东端，地层自老至新有太古界泰山岩群，古生界</w:t>
      </w:r>
      <w:r>
        <w:rPr>
          <w:rFonts w:hint="default" w:ascii="Times New Roman" w:hAnsi="Times New Roman" w:cs="Times New Roman"/>
          <w:sz w:val="21"/>
          <w:szCs w:val="24"/>
        </w:rPr>
        <w:fldChar w:fldCharType="begin"/>
      </w:r>
      <w:r>
        <w:rPr>
          <w:rFonts w:hint="default" w:ascii="Times New Roman" w:hAnsi="Times New Roman" w:cs="Times New Roman"/>
          <w:sz w:val="21"/>
          <w:szCs w:val="24"/>
        </w:rPr>
        <w:instrText xml:space="preserve"> HYPERLINK "https://baike.baidu.com/item/%E5%AF%92%E6%AD%A6%E7%B3%BB" \t "https://baike.baidu.com/item/%E4%B8%9C%E8%90%A5/_blank" </w:instrText>
      </w:r>
      <w:r>
        <w:rPr>
          <w:rFonts w:hint="default" w:ascii="Times New Roman" w:hAnsi="Times New Roman" w:cs="Times New Roman"/>
          <w:sz w:val="21"/>
          <w:szCs w:val="24"/>
        </w:rPr>
        <w:fldChar w:fldCharType="separate"/>
      </w:r>
      <w:r>
        <w:rPr>
          <w:rFonts w:hint="default" w:ascii="Times New Roman" w:hAnsi="Times New Roman" w:cs="Times New Roman"/>
          <w:color w:val="000000"/>
          <w:sz w:val="28"/>
          <w:szCs w:val="28"/>
          <w:u w:val="none"/>
          <w:shd w:val="clear" w:color="auto" w:fill="FFFFFF"/>
        </w:rPr>
        <w:t>寒武系</w:t>
      </w:r>
      <w:r>
        <w:rPr>
          <w:rFonts w:hint="default" w:ascii="Times New Roman" w:hAnsi="Times New Roman" w:cs="Times New Roman"/>
          <w:color w:val="000000"/>
          <w:sz w:val="28"/>
          <w:szCs w:val="28"/>
          <w:u w:val="none"/>
          <w:shd w:val="clear" w:color="auto" w:fill="FFFFFF"/>
        </w:rPr>
        <w:fldChar w:fldCharType="end"/>
      </w:r>
      <w:r>
        <w:rPr>
          <w:rFonts w:hint="default" w:ascii="Times New Roman" w:hAnsi="Times New Roman" w:cs="Times New Roman"/>
          <w:color w:val="000000"/>
          <w:kern w:val="0"/>
          <w:sz w:val="28"/>
          <w:szCs w:val="28"/>
          <w:shd w:val="clear" w:color="auto" w:fill="FFFFFF"/>
        </w:rPr>
        <w:t>、奥陶系、</w:t>
      </w:r>
      <w:r>
        <w:rPr>
          <w:rFonts w:hint="default" w:ascii="Times New Roman" w:hAnsi="Times New Roman" w:cs="Times New Roman"/>
          <w:sz w:val="21"/>
          <w:szCs w:val="24"/>
        </w:rPr>
        <w:fldChar w:fldCharType="begin"/>
      </w:r>
      <w:r>
        <w:rPr>
          <w:rFonts w:hint="default" w:ascii="Times New Roman" w:hAnsi="Times New Roman" w:cs="Times New Roman"/>
          <w:sz w:val="21"/>
          <w:szCs w:val="24"/>
        </w:rPr>
        <w:instrText xml:space="preserve"> HYPERLINK "https://baike.baidu.com/item/%E7%9F%B3%E7%82%AD%E7%B3%BB" \t "https://baike.baidu.com/item/%E4%B8%9C%E8%90%A5/_blank" </w:instrText>
      </w:r>
      <w:r>
        <w:rPr>
          <w:rFonts w:hint="default" w:ascii="Times New Roman" w:hAnsi="Times New Roman" w:cs="Times New Roman"/>
          <w:sz w:val="21"/>
          <w:szCs w:val="24"/>
        </w:rPr>
        <w:fldChar w:fldCharType="separate"/>
      </w:r>
      <w:r>
        <w:rPr>
          <w:rFonts w:hint="default" w:ascii="Times New Roman" w:hAnsi="Times New Roman" w:cs="Times New Roman"/>
          <w:color w:val="000000"/>
          <w:sz w:val="28"/>
          <w:szCs w:val="28"/>
          <w:u w:val="none"/>
          <w:shd w:val="clear" w:color="auto" w:fill="FFFFFF"/>
        </w:rPr>
        <w:t>石炭系</w:t>
      </w:r>
      <w:r>
        <w:rPr>
          <w:rFonts w:hint="default" w:ascii="Times New Roman" w:hAnsi="Times New Roman" w:cs="Times New Roman"/>
          <w:color w:val="000000"/>
          <w:sz w:val="28"/>
          <w:szCs w:val="28"/>
          <w:u w:val="none"/>
          <w:shd w:val="clear" w:color="auto" w:fill="FFFFFF"/>
        </w:rPr>
        <w:fldChar w:fldCharType="end"/>
      </w:r>
      <w:r>
        <w:rPr>
          <w:rFonts w:hint="default" w:ascii="Times New Roman" w:hAnsi="Times New Roman" w:cs="Times New Roman"/>
          <w:color w:val="000000"/>
          <w:kern w:val="0"/>
          <w:sz w:val="28"/>
          <w:szCs w:val="28"/>
          <w:shd w:val="clear" w:color="auto" w:fill="FFFFFF"/>
        </w:rPr>
        <w:t>和</w:t>
      </w:r>
      <w:r>
        <w:rPr>
          <w:rFonts w:hint="default" w:ascii="Times New Roman" w:hAnsi="Times New Roman" w:cs="Times New Roman"/>
          <w:sz w:val="21"/>
          <w:szCs w:val="24"/>
        </w:rPr>
        <w:fldChar w:fldCharType="begin"/>
      </w:r>
      <w:r>
        <w:rPr>
          <w:rFonts w:hint="default" w:ascii="Times New Roman" w:hAnsi="Times New Roman" w:cs="Times New Roman"/>
          <w:sz w:val="21"/>
          <w:szCs w:val="24"/>
        </w:rPr>
        <w:instrText xml:space="preserve"> HYPERLINK "https://baike.baidu.com/item/%E4%BA%8C%E5%8F%A0%E7%B3%BB" \t "https://baike.baidu.com/item/%E4%B8%9C%E8%90%A5/_blank" </w:instrText>
      </w:r>
      <w:r>
        <w:rPr>
          <w:rFonts w:hint="default" w:ascii="Times New Roman" w:hAnsi="Times New Roman" w:cs="Times New Roman"/>
          <w:sz w:val="21"/>
          <w:szCs w:val="24"/>
        </w:rPr>
        <w:fldChar w:fldCharType="separate"/>
      </w:r>
      <w:r>
        <w:rPr>
          <w:rFonts w:hint="default" w:ascii="Times New Roman" w:hAnsi="Times New Roman" w:cs="Times New Roman"/>
          <w:color w:val="000000"/>
          <w:sz w:val="28"/>
          <w:szCs w:val="28"/>
          <w:u w:val="none"/>
          <w:shd w:val="clear" w:color="auto" w:fill="FFFFFF"/>
        </w:rPr>
        <w:t>二叠系</w:t>
      </w:r>
      <w:r>
        <w:rPr>
          <w:rFonts w:hint="default" w:ascii="Times New Roman" w:hAnsi="Times New Roman" w:cs="Times New Roman"/>
          <w:color w:val="000000"/>
          <w:sz w:val="28"/>
          <w:szCs w:val="28"/>
          <w:u w:val="none"/>
          <w:shd w:val="clear" w:color="auto" w:fill="FFFFFF"/>
        </w:rPr>
        <w:fldChar w:fldCharType="end"/>
      </w:r>
      <w:r>
        <w:rPr>
          <w:rFonts w:hint="default" w:ascii="Times New Roman" w:hAnsi="Times New Roman" w:cs="Times New Roman"/>
          <w:color w:val="000000"/>
          <w:kern w:val="0"/>
          <w:sz w:val="28"/>
          <w:szCs w:val="28"/>
          <w:shd w:val="clear" w:color="auto" w:fill="FFFFFF"/>
        </w:rPr>
        <w:t>，中生界侏罗系、</w:t>
      </w:r>
      <w:r>
        <w:rPr>
          <w:rFonts w:hint="default" w:ascii="Times New Roman" w:hAnsi="Times New Roman" w:cs="Times New Roman"/>
          <w:sz w:val="21"/>
          <w:szCs w:val="24"/>
        </w:rPr>
        <w:fldChar w:fldCharType="begin"/>
      </w:r>
      <w:r>
        <w:rPr>
          <w:rFonts w:hint="default" w:ascii="Times New Roman" w:hAnsi="Times New Roman" w:cs="Times New Roman"/>
          <w:sz w:val="21"/>
          <w:szCs w:val="24"/>
        </w:rPr>
        <w:instrText xml:space="preserve"> HYPERLINK "https://baike.baidu.com/item/%E7%99%BD%E5%9E%A9%E7%B3%BB" \t "https://baike.baidu.com/item/%E4%B8%9C%E8%90%A5/_blank" </w:instrText>
      </w:r>
      <w:r>
        <w:rPr>
          <w:rFonts w:hint="default" w:ascii="Times New Roman" w:hAnsi="Times New Roman" w:cs="Times New Roman"/>
          <w:sz w:val="21"/>
          <w:szCs w:val="24"/>
        </w:rPr>
        <w:fldChar w:fldCharType="separate"/>
      </w:r>
      <w:r>
        <w:rPr>
          <w:rFonts w:hint="default" w:ascii="Times New Roman" w:hAnsi="Times New Roman" w:cs="Times New Roman"/>
          <w:color w:val="000000"/>
          <w:sz w:val="28"/>
          <w:szCs w:val="28"/>
          <w:u w:val="none"/>
          <w:shd w:val="clear" w:color="auto" w:fill="FFFFFF"/>
        </w:rPr>
        <w:t>白垩系</w:t>
      </w:r>
      <w:r>
        <w:rPr>
          <w:rFonts w:hint="default" w:ascii="Times New Roman" w:hAnsi="Times New Roman" w:cs="Times New Roman"/>
          <w:color w:val="000000"/>
          <w:sz w:val="28"/>
          <w:szCs w:val="28"/>
          <w:u w:val="none"/>
          <w:shd w:val="clear" w:color="auto" w:fill="FFFFFF"/>
        </w:rPr>
        <w:fldChar w:fldCharType="end"/>
      </w:r>
      <w:r>
        <w:rPr>
          <w:rFonts w:hint="default" w:ascii="Times New Roman" w:hAnsi="Times New Roman" w:cs="Times New Roman"/>
          <w:color w:val="000000"/>
          <w:kern w:val="0"/>
          <w:sz w:val="28"/>
          <w:szCs w:val="28"/>
          <w:shd w:val="clear" w:color="auto" w:fill="FFFFFF"/>
        </w:rPr>
        <w:t>，新生界第三系、第四系；缺失元古界，古生界上奥陶统、志留系、</w:t>
      </w:r>
      <w:r>
        <w:rPr>
          <w:rFonts w:hint="default" w:ascii="Times New Roman" w:hAnsi="Times New Roman" w:cs="Times New Roman"/>
          <w:sz w:val="21"/>
          <w:szCs w:val="24"/>
        </w:rPr>
        <w:fldChar w:fldCharType="begin"/>
      </w:r>
      <w:r>
        <w:rPr>
          <w:rFonts w:hint="default" w:ascii="Times New Roman" w:hAnsi="Times New Roman" w:cs="Times New Roman"/>
          <w:sz w:val="21"/>
          <w:szCs w:val="24"/>
        </w:rPr>
        <w:instrText xml:space="preserve"> HYPERLINK "https://baike.baidu.com/item/%E6%B3%A5%E7%9B%86%E7%B3%BB" \t "https://baike.baidu.com/item/%E4%B8%9C%E8%90%A5/_blank" </w:instrText>
      </w:r>
      <w:r>
        <w:rPr>
          <w:rFonts w:hint="default" w:ascii="Times New Roman" w:hAnsi="Times New Roman" w:cs="Times New Roman"/>
          <w:sz w:val="21"/>
          <w:szCs w:val="24"/>
        </w:rPr>
        <w:fldChar w:fldCharType="separate"/>
      </w:r>
      <w:r>
        <w:rPr>
          <w:rFonts w:hint="default" w:ascii="Times New Roman" w:hAnsi="Times New Roman" w:cs="Times New Roman"/>
          <w:color w:val="000000"/>
          <w:sz w:val="28"/>
          <w:szCs w:val="28"/>
          <w:u w:val="none"/>
          <w:shd w:val="clear" w:color="auto" w:fill="FFFFFF"/>
        </w:rPr>
        <w:t>泥盆系</w:t>
      </w:r>
      <w:r>
        <w:rPr>
          <w:rFonts w:hint="default" w:ascii="Times New Roman" w:hAnsi="Times New Roman" w:cs="Times New Roman"/>
          <w:color w:val="000000"/>
          <w:sz w:val="28"/>
          <w:szCs w:val="28"/>
          <w:u w:val="none"/>
          <w:shd w:val="clear" w:color="auto" w:fill="FFFFFF"/>
        </w:rPr>
        <w:fldChar w:fldCharType="end"/>
      </w:r>
      <w:r>
        <w:rPr>
          <w:rFonts w:hint="default" w:ascii="Times New Roman" w:hAnsi="Times New Roman" w:cs="Times New Roman"/>
          <w:color w:val="000000"/>
          <w:kern w:val="0"/>
          <w:sz w:val="28"/>
          <w:szCs w:val="28"/>
          <w:shd w:val="clear" w:color="auto" w:fill="FFFFFF"/>
        </w:rPr>
        <w:t>、下古炭统及中生界三叠系。凹陷和凸起自北而南主要有：埕子口凸起（东端）、车镇凹陷（东部）、义和庄凸起（东部）、沾化凹陷（东部）、陈家庄凸起、东营凹陷（东半部）、广饶凸起（部分）等。</w:t>
      </w:r>
      <w:bookmarkStart w:id="25" w:name="ref_[6]_5460484"/>
    </w:p>
    <w:p>
      <w:pPr>
        <w:shd w:val="clear" w:color="auto" w:fill="FFFFFF"/>
        <w:adjustRightInd w:val="0"/>
        <w:snapToGrid w:val="0"/>
        <w:spacing w:line="360" w:lineRule="auto"/>
        <w:ind w:firstLine="560" w:firstLineChars="200"/>
        <w:jc w:val="left"/>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shd w:val="clear" w:color="auto" w:fill="FFFFFF"/>
        </w:rPr>
        <w:t>东营市地势沿黄河走向自西南向东北倾斜。西南部最高高程为28m（大沽高程，下同），东北部最低高程1m，自然比降为1/8000～1/12000；西部最高高程为11m，东部最低高程1m，自然比降为1/7000。黄河穿境而过，背河方向近河高、远河低，背河自然比降为1/7000，河滩地高于背河地2～4m，形成“地上悬河”。东营市微地貌有5种类型：古河滩高地，占东营市总面积的4.15%，主要分布于黄河决口扇面上游；河滩高地，占东营市总面积的3.58%，主要分布于黄河河道至大堤之间；微斜平地，占东营市总面积的54.54%，是岗、洼过渡地带；浅平洼地，占东营市总面积的10.68%，小清河以南主要分布于古河滩高地之间，小清河以北主要分布于微斜平地之中、缓岗之间和黄河故道低洼处；海滩地，占东营市总面积的27.05%，与海岸线平行呈带状分布。</w:t>
      </w:r>
      <w:bookmarkEnd w:id="25"/>
    </w:p>
    <w:p>
      <w:pPr>
        <w:adjustRightInd w:val="0"/>
        <w:snapToGrid w:val="0"/>
        <w:spacing w:line="360" w:lineRule="auto"/>
        <w:ind w:firstLine="560" w:firstLineChars="200"/>
        <w:rPr>
          <w:rFonts w:hint="default" w:ascii="Times New Roman" w:hAnsi="Times New Roman" w:cs="Times New Roman"/>
          <w:color w:val="000000"/>
          <w:sz w:val="28"/>
          <w:szCs w:val="28"/>
        </w:rPr>
      </w:pPr>
      <w:bookmarkStart w:id="26" w:name="3-3"/>
      <w:bookmarkEnd w:id="26"/>
      <w:bookmarkStart w:id="27" w:name="3_3"/>
      <w:bookmarkEnd w:id="27"/>
      <w:bookmarkStart w:id="28" w:name="sub5460484_3_3"/>
      <w:bookmarkEnd w:id="28"/>
      <w:bookmarkStart w:id="29" w:name="气候"/>
      <w:bookmarkEnd w:id="29"/>
      <w:r>
        <w:rPr>
          <w:rFonts w:hint="default" w:ascii="Times New Roman" w:hAnsi="Times New Roman" w:cs="Times New Roman"/>
          <w:color w:val="000000"/>
          <w:sz w:val="28"/>
          <w:szCs w:val="28"/>
          <w:shd w:val="clear" w:color="auto" w:fill="FFFFFF"/>
        </w:rPr>
        <w:t>2.气候</w:t>
      </w:r>
    </w:p>
    <w:p>
      <w:pPr>
        <w:shd w:val="clear" w:color="auto" w:fill="FFFFFF"/>
        <w:adjustRightInd w:val="0"/>
        <w:snapToGrid w:val="0"/>
        <w:spacing w:line="360" w:lineRule="auto"/>
        <w:ind w:firstLine="560" w:firstLineChars="200"/>
        <w:jc w:val="left"/>
        <w:rPr>
          <w:rFonts w:hint="default" w:ascii="Times New Roman" w:hAnsi="Times New Roman" w:cs="Times New Roman"/>
          <w:color w:val="000000"/>
          <w:kern w:val="0"/>
          <w:sz w:val="28"/>
          <w:szCs w:val="28"/>
          <w:shd w:val="clear" w:color="auto" w:fill="FFFFFF"/>
        </w:rPr>
      </w:pPr>
      <w:r>
        <w:rPr>
          <w:rFonts w:hint="default" w:ascii="Times New Roman" w:hAnsi="Times New Roman" w:cs="Times New Roman"/>
          <w:color w:val="000000"/>
          <w:kern w:val="0"/>
          <w:sz w:val="28"/>
          <w:szCs w:val="28"/>
          <w:shd w:val="clear" w:color="auto" w:fill="FFFFFF"/>
        </w:rPr>
        <w:t>东营市地处中纬度，背陆面海，受亚欧大陆和西太平洋共同影响，属暖温带大陆性季风气候，基本气候特征为冬寒夏热，四季分明。春季，干旱多风，早春冷暖无常，常有倒春寒出现，晚春回暖迅速，常发生春旱；夏季，炎热多雨，温高湿大，有时受台风侵袭；秋季，气温下降，雨水骤减，天高气爽；冬季，天气干冷，寒风频吹，多刮北风、西北风，雨雪稀少。主要气象灾害有霜冻、</w:t>
      </w:r>
      <w:r>
        <w:rPr>
          <w:rFonts w:hint="default" w:ascii="Times New Roman" w:hAnsi="Times New Roman" w:cs="Times New Roman"/>
          <w:sz w:val="21"/>
          <w:szCs w:val="24"/>
        </w:rPr>
        <w:fldChar w:fldCharType="begin"/>
      </w:r>
      <w:r>
        <w:rPr>
          <w:rFonts w:hint="default" w:ascii="Times New Roman" w:hAnsi="Times New Roman" w:cs="Times New Roman"/>
          <w:sz w:val="21"/>
          <w:szCs w:val="24"/>
        </w:rPr>
        <w:instrText xml:space="preserve"> HYPERLINK "https://baike.baidu.com/item/%E5%B9%B2%E7%83%AD%E9%A3%8E" \t "https://baike.baidu.com/item/%E4%B8%9C%E8%90%A5/_blank" </w:instrText>
      </w:r>
      <w:r>
        <w:rPr>
          <w:rFonts w:hint="default" w:ascii="Times New Roman" w:hAnsi="Times New Roman" w:cs="Times New Roman"/>
          <w:sz w:val="21"/>
          <w:szCs w:val="24"/>
        </w:rPr>
        <w:fldChar w:fldCharType="separate"/>
      </w:r>
      <w:r>
        <w:rPr>
          <w:rFonts w:hint="default" w:ascii="Times New Roman" w:hAnsi="Times New Roman" w:cs="Times New Roman"/>
          <w:color w:val="000000"/>
          <w:sz w:val="28"/>
          <w:szCs w:val="28"/>
          <w:u w:val="none"/>
          <w:shd w:val="clear" w:color="auto" w:fill="FFFFFF"/>
        </w:rPr>
        <w:t>干热风</w:t>
      </w:r>
      <w:r>
        <w:rPr>
          <w:rFonts w:hint="default" w:ascii="Times New Roman" w:hAnsi="Times New Roman" w:cs="Times New Roman"/>
          <w:color w:val="000000"/>
          <w:sz w:val="28"/>
          <w:szCs w:val="28"/>
          <w:u w:val="none"/>
          <w:shd w:val="clear" w:color="auto" w:fill="FFFFFF"/>
        </w:rPr>
        <w:fldChar w:fldCharType="end"/>
      </w:r>
      <w:r>
        <w:rPr>
          <w:rFonts w:hint="default" w:ascii="Times New Roman" w:hAnsi="Times New Roman" w:cs="Times New Roman"/>
          <w:color w:val="000000"/>
          <w:kern w:val="0"/>
          <w:sz w:val="28"/>
          <w:szCs w:val="28"/>
          <w:shd w:val="clear" w:color="auto" w:fill="FFFFFF"/>
        </w:rPr>
        <w:t>、大风、</w:t>
      </w:r>
      <w:r>
        <w:rPr>
          <w:rFonts w:hint="default" w:ascii="Times New Roman" w:hAnsi="Times New Roman" w:cs="Times New Roman"/>
          <w:sz w:val="21"/>
          <w:szCs w:val="24"/>
        </w:rPr>
        <w:fldChar w:fldCharType="begin"/>
      </w:r>
      <w:r>
        <w:rPr>
          <w:rFonts w:hint="default" w:ascii="Times New Roman" w:hAnsi="Times New Roman" w:cs="Times New Roman"/>
          <w:sz w:val="21"/>
          <w:szCs w:val="24"/>
        </w:rPr>
        <w:instrText xml:space="preserve"> HYPERLINK "https://baike.baidu.com/item/%E5%86%B0%E9%9B%B9/35334" \t "https://baike.baidu.com/item/%E4%B8%9C%E8%90%A5/_blank" </w:instrText>
      </w:r>
      <w:r>
        <w:rPr>
          <w:rFonts w:hint="default" w:ascii="Times New Roman" w:hAnsi="Times New Roman" w:cs="Times New Roman"/>
          <w:sz w:val="21"/>
          <w:szCs w:val="24"/>
        </w:rPr>
        <w:fldChar w:fldCharType="separate"/>
      </w:r>
      <w:r>
        <w:rPr>
          <w:rFonts w:hint="default" w:ascii="Times New Roman" w:hAnsi="Times New Roman" w:cs="Times New Roman"/>
          <w:color w:val="000000"/>
          <w:sz w:val="28"/>
          <w:szCs w:val="28"/>
          <w:u w:val="none"/>
          <w:shd w:val="clear" w:color="auto" w:fill="FFFFFF"/>
        </w:rPr>
        <w:t>冰雹</w:t>
      </w:r>
      <w:r>
        <w:rPr>
          <w:rFonts w:hint="default" w:ascii="Times New Roman" w:hAnsi="Times New Roman" w:cs="Times New Roman"/>
          <w:color w:val="000000"/>
          <w:sz w:val="28"/>
          <w:szCs w:val="28"/>
          <w:u w:val="none"/>
          <w:shd w:val="clear" w:color="auto" w:fill="FFFFFF"/>
        </w:rPr>
        <w:fldChar w:fldCharType="end"/>
      </w:r>
      <w:r>
        <w:rPr>
          <w:rFonts w:hint="default" w:ascii="Times New Roman" w:hAnsi="Times New Roman" w:cs="Times New Roman"/>
          <w:color w:val="000000"/>
          <w:kern w:val="0"/>
          <w:sz w:val="28"/>
          <w:szCs w:val="28"/>
          <w:shd w:val="clear" w:color="auto" w:fill="FFFFFF"/>
        </w:rPr>
        <w:t>、干旱、涝灾、风暴潮灾等。境内南北气候差异不明显。多年平均气温12.8℃，无霜期206天。年平均降水量555.9mm，多集中在夏季，占全年降水量的65%，降水量年际变化大，易形成旱、涝灾害。年平均风速3.7m/s，最小频率风向为NNE。</w:t>
      </w:r>
    </w:p>
    <w:p>
      <w:pPr>
        <w:adjustRightInd w:val="0"/>
        <w:snapToGrid w:val="0"/>
        <w:spacing w:line="360" w:lineRule="auto"/>
        <w:ind w:firstLine="560" w:firstLineChars="200"/>
        <w:jc w:val="left"/>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3.地震烈度</w:t>
      </w:r>
    </w:p>
    <w:p>
      <w:pPr>
        <w:adjustRightInd w:val="0"/>
        <w:snapToGrid w:val="0"/>
        <w:spacing w:line="360" w:lineRule="auto"/>
        <w:ind w:firstLine="560" w:firstLineChars="200"/>
        <w:jc w:val="left"/>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地震烈度为7度，设计基本地震加度速度值为0.10g，所属的设计抗震分组为第三组。</w:t>
      </w:r>
    </w:p>
    <w:p>
      <w:pPr>
        <w:adjustRightInd w:val="0"/>
        <w:snapToGrid w:val="0"/>
        <w:spacing w:line="360" w:lineRule="auto"/>
        <w:ind w:firstLine="560" w:firstLineChars="200"/>
        <w:jc w:val="left"/>
        <w:rPr>
          <w:rFonts w:hint="default" w:ascii="Times New Roman" w:hAnsi="Times New Roman" w:eastAsia="宋体" w:cs="Times New Roman"/>
          <w:color w:val="000000"/>
          <w:sz w:val="28"/>
          <w:szCs w:val="28"/>
          <w:lang w:val="en-US" w:eastAsia="zh-CN"/>
        </w:rPr>
      </w:pPr>
      <w:r>
        <w:rPr>
          <w:rFonts w:hint="eastAsia" w:cs="Times New Roman"/>
          <w:color w:val="000000"/>
          <w:kern w:val="0"/>
          <w:sz w:val="28"/>
          <w:szCs w:val="28"/>
          <w:lang w:val="en-US" w:eastAsia="zh-CN"/>
        </w:rPr>
        <w:t>4</w:t>
      </w:r>
      <w:r>
        <w:rPr>
          <w:rFonts w:hint="default" w:ascii="Times New Roman" w:hAnsi="Times New Roman" w:cs="Times New Roman"/>
          <w:color w:val="000000"/>
          <w:kern w:val="0"/>
          <w:sz w:val="28"/>
          <w:szCs w:val="28"/>
        </w:rPr>
        <w:t>.</w:t>
      </w:r>
      <w:r>
        <w:rPr>
          <w:rFonts w:hint="eastAsia" w:cs="Times New Roman"/>
          <w:color w:val="000000"/>
          <w:kern w:val="0"/>
          <w:sz w:val="28"/>
          <w:szCs w:val="28"/>
          <w:lang w:val="en-US" w:eastAsia="zh-CN"/>
        </w:rPr>
        <w:t>社会环境</w:t>
      </w:r>
    </w:p>
    <w:p>
      <w:pPr>
        <w:ind w:firstLine="560"/>
        <w:rPr>
          <w:szCs w:val="24"/>
        </w:rPr>
      </w:pPr>
      <w:r>
        <w:rPr>
          <w:szCs w:val="24"/>
        </w:rPr>
        <w:t>东营地处中国华东地区、山东东北部、黄河入海口的三角洲地带，东临渤海，与日本、韩国隔海相望，北靠京津唐经济区，南连山东半岛蓝色经济区，向西辐射广大内陆地区，是环渤海经济区的重要节点、山东半岛城市群的重要组成部分，处于连接中原经济区与东北经济区、京津唐经济区与胶东半岛经济区的枢纽位置。</w:t>
      </w:r>
      <w:r>
        <w:rPr>
          <w:rFonts w:hint="eastAsia"/>
          <w:szCs w:val="24"/>
        </w:rPr>
        <w:t>交通便利，社会环境良好。</w:t>
      </w:r>
    </w:p>
    <w:p>
      <w:pPr>
        <w:keepNext/>
        <w:keepLines/>
        <w:ind w:firstLine="0" w:firstLineChars="0"/>
        <w:outlineLvl w:val="2"/>
        <w:rPr>
          <w:bCs/>
          <w:sz w:val="28"/>
          <w:szCs w:val="28"/>
        </w:rPr>
      </w:pPr>
      <w:r>
        <w:rPr>
          <w:rFonts w:hint="eastAsia"/>
          <w:bCs/>
          <w:sz w:val="28"/>
          <w:szCs w:val="28"/>
        </w:rPr>
        <w:t xml:space="preserve">2.4.2  </w:t>
      </w:r>
      <w:r>
        <w:rPr>
          <w:rFonts w:hint="eastAsia" w:ascii="黑体" w:hAnsi="黑体" w:eastAsia="黑体" w:cs="黑体"/>
          <w:bCs/>
          <w:sz w:val="28"/>
          <w:szCs w:val="28"/>
        </w:rPr>
        <w:t>滨州地区自然条件及社会环境</w:t>
      </w:r>
    </w:p>
    <w:p>
      <w:pPr>
        <w:widowControl w:val="0"/>
        <w:adjustRightInd w:val="0"/>
        <w:snapToGrid w:val="0"/>
        <w:spacing w:after="0" w:line="360" w:lineRule="auto"/>
        <w:ind w:firstLine="560" w:firstLineChars="200"/>
        <w:jc w:val="left"/>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1.地形地貌</w:t>
      </w:r>
    </w:p>
    <w:p>
      <w:pPr>
        <w:widowControl w:val="0"/>
        <w:adjustRightInd w:val="0"/>
        <w:snapToGrid w:val="0"/>
        <w:spacing w:after="0" w:line="360" w:lineRule="auto"/>
        <w:ind w:firstLine="560" w:firstLineChars="200"/>
        <w:jc w:val="left"/>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滨州市处于华北新生代沉降区东南部的济阳拗陷中。新生代的下覆基岩是古生代的沉积地层和前震旦纪变质岩系，由数条北东东向断裂分割成几个小的断块，基本无中生代地层，新生代地层直接覆盖于古生代地层之上，断块凹陷形成新生代凹陷盆地，沉积了全套巨厚的新生代地层，该地层为海相、湖相和冲积相碎屑的互层沉积，含大量有机物，有利于石油生成。除邹平南部山区外，全市表层大部为第四纪沉积覆盖，小清河以南处于鲁中山区北麓冲积平原的中尾部，是洪积和冲积平原的叠交地带，其洪积冲积地层厚度一般在100～200m。小清河以北属黄河冲积沉积，厚度多在200～400m之间，其中小清河与黄河之间最厚，达400m。长期以来，济阳拗陷区属沉降地带，地壳一直处在一面下陷，一面为河流冲积物填充的状态，尤其是黄河的多泥沙河流的冲积作用占优势，冲积速度大于地壳沉降速度，形成了广大的冲积平原。</w:t>
      </w:r>
    </w:p>
    <w:p>
      <w:pPr>
        <w:widowControl w:val="0"/>
        <w:adjustRightInd w:val="0"/>
        <w:snapToGrid w:val="0"/>
        <w:spacing w:after="0" w:line="360" w:lineRule="auto"/>
        <w:ind w:firstLine="560" w:firstLineChars="200"/>
        <w:jc w:val="left"/>
        <w:rPr>
          <w:rFonts w:hint="default" w:ascii="Times New Roman" w:hAnsi="Times New Roman" w:eastAsia="宋体" w:cs="Times New Roman"/>
          <w:color w:val="000000"/>
          <w:kern w:val="2"/>
          <w:sz w:val="28"/>
          <w:szCs w:val="28"/>
          <w:lang w:val="en-US" w:eastAsia="zh-CN" w:bidi="ar-SA"/>
        </w:rPr>
      </w:pPr>
      <w:bookmarkStart w:id="30" w:name="4_3"/>
      <w:bookmarkEnd w:id="30"/>
      <w:bookmarkStart w:id="31" w:name="地形地貌"/>
      <w:bookmarkEnd w:id="31"/>
      <w:bookmarkStart w:id="32" w:name="sub19098_4_3"/>
      <w:bookmarkEnd w:id="32"/>
      <w:bookmarkStart w:id="33" w:name="4-3"/>
      <w:bookmarkEnd w:id="33"/>
      <w:r>
        <w:rPr>
          <w:rFonts w:hint="default" w:ascii="Times New Roman" w:hAnsi="Times New Roman" w:eastAsia="宋体" w:cs="Times New Roman"/>
          <w:color w:val="000000"/>
          <w:kern w:val="2"/>
          <w:sz w:val="28"/>
          <w:szCs w:val="28"/>
          <w:lang w:val="en-US" w:eastAsia="zh-CN" w:bidi="ar-SA"/>
        </w:rPr>
        <w:t>滨州市地势南高北低，大致上由西南向东北倾斜，渐次过渡到大海。以小清河为界，全境呈现南北两种不同类型的地貌特征。小清河以南的邹平南部长白山脉属泰沂山区北麓的低山丘陵区，地势高峻，其主峰摩诃顶海拔826.8m，是全市最高点，其余均为山前倾斜平原，地势平缓，间有缓岗与洼地，海拔高程一般在8～800m。小清河以北为黄河冲积平原，海拔高程一般在1～20m，总体上地势低平，由于历史上黄河多次改道和决口泛滥，造成沉积物交错分布，加上河流冲刷、海潮内浸、自然侵蚀和人类活动的影响，形成了低岗、缓坡、浅洼相间，微地貌差异明显的大平小不平的地貌特征。</w:t>
      </w:r>
    </w:p>
    <w:p>
      <w:pPr>
        <w:widowControl w:val="0"/>
        <w:adjustRightInd w:val="0"/>
        <w:snapToGrid w:val="0"/>
        <w:spacing w:after="0" w:line="360" w:lineRule="auto"/>
        <w:ind w:firstLine="560" w:firstLineChars="200"/>
        <w:jc w:val="left"/>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2.气候气象</w:t>
      </w:r>
    </w:p>
    <w:p>
      <w:pPr>
        <w:widowControl w:val="0"/>
        <w:adjustRightInd w:val="0"/>
        <w:snapToGrid w:val="0"/>
        <w:spacing w:after="0" w:line="360" w:lineRule="auto"/>
        <w:ind w:firstLine="560" w:firstLineChars="200"/>
        <w:jc w:val="left"/>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滨州市为温带大陆性季风气候特征；多年平均气温12.7℃，降水量564.8mm，平均日照时数2632.0h；风向冬季以偏北风为主，夏季以偏南风为主，年平均风速2.7m/s；年平均地面温度14.7℃，最大冻土深度一般50cm左右，无棣1984年曾达209cm；年平均相对湿度为66%，8月最大为81%；年蒸发量1805.8mm；无霜期205天。</w:t>
      </w:r>
    </w:p>
    <w:p>
      <w:pPr>
        <w:adjustRightInd w:val="0"/>
        <w:snapToGrid w:val="0"/>
        <w:spacing w:line="360" w:lineRule="auto"/>
        <w:ind w:firstLine="560" w:firstLineChars="200"/>
        <w:jc w:val="left"/>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3.地震烈度</w:t>
      </w:r>
    </w:p>
    <w:p>
      <w:pPr>
        <w:widowControl w:val="0"/>
        <w:adjustRightInd w:val="0"/>
        <w:snapToGrid w:val="0"/>
        <w:spacing w:after="0" w:line="360" w:lineRule="auto"/>
        <w:ind w:firstLine="560" w:firstLineChars="200"/>
        <w:jc w:val="left"/>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0"/>
          <w:sz w:val="28"/>
          <w:szCs w:val="28"/>
          <w:lang w:val="en-US" w:eastAsia="zh-CN" w:bidi="ar-SA"/>
        </w:rPr>
        <w:t>地震烈度为7度，设计基本地震加度速度值为0.10g，所属的设计抗震分组为第三组。</w:t>
      </w:r>
    </w:p>
    <w:p>
      <w:pPr>
        <w:ind w:firstLine="560"/>
        <w:rPr>
          <w:rFonts w:hint="eastAsia"/>
          <w:color w:val="000000"/>
          <w:szCs w:val="24"/>
        </w:rPr>
      </w:pPr>
      <w:r>
        <w:rPr>
          <w:rFonts w:hint="eastAsia"/>
          <w:color w:val="000000"/>
          <w:szCs w:val="24"/>
          <w:lang w:val="en-US" w:eastAsia="zh-CN"/>
        </w:rPr>
        <w:t>4.</w:t>
      </w:r>
      <w:r>
        <w:rPr>
          <w:rFonts w:hint="eastAsia"/>
          <w:color w:val="000000"/>
          <w:szCs w:val="24"/>
        </w:rPr>
        <w:t>社会环境</w:t>
      </w:r>
    </w:p>
    <w:p>
      <w:pPr>
        <w:ind w:firstLine="560"/>
        <w:rPr>
          <w:rFonts w:hint="eastAsia"/>
          <w:color w:val="000000"/>
          <w:szCs w:val="24"/>
        </w:rPr>
      </w:pPr>
      <w:r>
        <w:rPr>
          <w:rFonts w:hint="eastAsia"/>
          <w:color w:val="000000"/>
          <w:szCs w:val="24"/>
        </w:rPr>
        <w:t>滨州历史悠久，是黄河文化和齐文化的发祥地之一，是渤海革命老区中心区、渤海区党委机关驻地。滨州依河傍海，是连接苏、鲁、京、津的重要通道，是国家级交通运输的枢纽城市之一。交通便利，社会环境良好。</w:t>
      </w:r>
    </w:p>
    <w:p>
      <w:pPr>
        <w:keepNext/>
        <w:keepLines/>
        <w:ind w:firstLine="0" w:firstLineChars="0"/>
        <w:outlineLvl w:val="2"/>
        <w:rPr>
          <w:rFonts w:hint="eastAsia"/>
          <w:bCs/>
          <w:sz w:val="32"/>
          <w:szCs w:val="32"/>
        </w:rPr>
      </w:pPr>
      <w:r>
        <w:rPr>
          <w:rFonts w:hint="eastAsia"/>
          <w:bCs/>
          <w:sz w:val="28"/>
          <w:szCs w:val="28"/>
        </w:rPr>
        <w:t xml:space="preserve">2.4.3  </w:t>
      </w:r>
      <w:r>
        <w:rPr>
          <w:rFonts w:hint="eastAsia" w:ascii="黑体" w:hAnsi="黑体" w:eastAsia="黑体" w:cs="黑体"/>
          <w:bCs/>
          <w:sz w:val="28"/>
          <w:szCs w:val="28"/>
        </w:rPr>
        <w:t>济南地区自然条件及社会环境</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1.地形地貌</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济南地形可分为三带：北部临黄带，中部山前平原带，南部丘陵山区带。境内主要山峰有</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"https://baike.baidu.com/item/%E9%95%BF%E5%9F%8E%E5%B2%AD/2525997" \t "https://baike.baidu.com/item/%E6%B5%8E%E5%8D%97/_blank"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长城岭</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"https://baike.baidu.com/item/%E8%B7%91%E9%A9%AC%E5%B2%AD/15970716" \t "https://baike.baidu.com/item/%E6%B5%8E%E5%8D%97/_blank"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跑马岭</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、梯子山、黑牛寨等等。山地丘陵3000km</w:t>
      </w:r>
      <w:r>
        <w:rPr>
          <w:rFonts w:hint="default" w:ascii="Times New Roman" w:hAnsi="Times New Roman" w:cs="Times New Roman"/>
          <w:color w:val="000000" w:themeColor="text1"/>
          <w:sz w:val="28"/>
          <w:szCs w:val="28"/>
          <w:vertAlign w:val="superscript"/>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，平原5000km</w:t>
      </w:r>
      <w:r>
        <w:rPr>
          <w:rFonts w:hint="default" w:ascii="Times New Roman" w:hAnsi="Times New Roman" w:cs="Times New Roman"/>
          <w:color w:val="000000" w:themeColor="text1"/>
          <w:sz w:val="28"/>
          <w:szCs w:val="28"/>
          <w:vertAlign w:val="superscript"/>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。最高海拔1108.4m，最低海拔5m，南北高差多达1100m。</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济南之所以</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"https://baike.baidu.com/item/%E6%B3%89%E6%B0%B4/9567" \t "https://baike.baidu.com/item/%E6%B5%8E%E5%8D%97/_blank"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泉水</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众多，是因为它的独特地形地质构造。济南处在山东省的心脏地带，鲁中南低山丘陵与鲁西北冲积平原，正好把它夹在中间，为一平缓的</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"https://baike.baidu.com/item/%E5%8D%95%E6%96%9C%E6%9E%84%E9%80%A0" \t "https://baike.baidu.com/item/%E6%B5%8E%E5%8D%97/_blank"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单斜构造</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，高差多达500m。</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bookmarkStart w:id="34" w:name="sub18842517_3_3"/>
      <w:bookmarkEnd w:id="34"/>
      <w:r>
        <w:rPr>
          <w:rFonts w:hint="default" w:ascii="Times New Roman" w:hAnsi="Times New Roman" w:cs="Times New Roman"/>
          <w:color w:val="000000" w:themeColor="text1"/>
          <w:sz w:val="28"/>
          <w:szCs w:val="28"/>
          <w14:textFill>
            <w14:solidFill>
              <w14:schemeClr w14:val="tx1"/>
            </w14:solidFill>
          </w14:textFill>
        </w:rPr>
        <w:t>2.气候气象</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济南市地处中纬度地带，由于受太阳辐射、</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"https://baike.baidu.com/item/%E5%A4%A7%E6%B0%94%E7%8E%AF%E6%B5%81" \t "https://baike.baidu.com/item/%E6%B5%8E%E5%8D%97/_blank"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大气环流</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和地理环境的影响，属于暖温带大陆性季风气候区</w:t>
      </w:r>
      <w:bookmarkStart w:id="35" w:name="ref_[153]_18842517"/>
      <w:r>
        <w:rPr>
          <w:rFonts w:hint="default" w:ascii="Times New Roman" w:hAnsi="Times New Roman" w:cs="Times New Roman"/>
          <w:color w:val="000000" w:themeColor="text1"/>
          <w:sz w:val="28"/>
          <w:szCs w:val="28"/>
          <w14:textFill>
            <w14:solidFill>
              <w14:schemeClr w14:val="tx1"/>
            </w14:solidFill>
          </w14:textFill>
        </w:rPr>
        <w:t>。其特点是</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"https://baike.baidu.com/item/%E5%AD%A3%E9%A3%8E" \t "https://baike.baidu.com/item/%E6%B5%8E%E5%8D%97/_blank"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季风</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明显，四季分明，</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"https://baike.baidu.com/item/%E6%98%A5%E5%AD%A3" \t "https://baike.baidu.com/item/%E6%B5%8E%E5%8D%97/_blank"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春季</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干旱少雨，</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"https://baike.baidu.com/item/%E5%A4%8F%E5%AD%A3" \t "https://baike.baidu.com/item/%E6%B5%8E%E5%8D%97/_blank"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夏季</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温热多雨，</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"https://baike.baidu.com/item/%E7%A7%8B%E5%AD%A3" \t "https://baike.baidu.com/item/%E6%B5%8E%E5%8D%97/_blank"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秋季</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凉爽干燥，</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"https://baike.baidu.com/item/%E5%86%AC%E5%AD%A3" \t "https://baike.baidu.com/item/%E6%B5%8E%E5%8D%97/_blank"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冬季</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寒冷少雪。年平均气温13.6℃  ，无霜期235天 ，气温最高42.5℃（1955年7月24日），最低气温零下19.7℃（1953年1月17日）。最高月均温27.2℃（7月），最低月均温-3.2℃（1月）。年平均降水量614.0</w:t>
      </w:r>
      <w:bookmarkEnd w:id="35"/>
      <w:r>
        <w:rPr>
          <w:rFonts w:hint="default" w:ascii="Times New Roman" w:hAnsi="Times New Roman" w:cs="Times New Roman"/>
          <w:color w:val="000000" w:themeColor="text1"/>
          <w:sz w:val="28"/>
          <w:szCs w:val="28"/>
          <w14:textFill>
            <w14:solidFill>
              <w14:schemeClr w14:val="tx1"/>
            </w14:solidFill>
          </w14:textFill>
        </w:rPr>
        <w:t>mm。年日照时数2616.8h。常年主导风向为东北风、西南风，年平均风速3m/s，风力2～3级。</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3.地震烈度</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地震烈度为6度，设计基本地震加度速度值为0.05g，所属的设计抗震分组为第四组。</w:t>
      </w:r>
    </w:p>
    <w:p>
      <w:pPr>
        <w:ind w:firstLine="560"/>
        <w:rPr>
          <w:rFonts w:hint="eastAsia"/>
          <w:color w:val="000000"/>
          <w:szCs w:val="24"/>
        </w:rPr>
      </w:pPr>
      <w:r>
        <w:rPr>
          <w:rFonts w:hint="eastAsia"/>
          <w:color w:val="000000"/>
          <w:szCs w:val="24"/>
          <w:lang w:val="en-US" w:eastAsia="zh-CN"/>
        </w:rPr>
        <w:t>4.</w:t>
      </w:r>
      <w:r>
        <w:rPr>
          <w:rFonts w:hint="eastAsia"/>
          <w:color w:val="000000"/>
          <w:szCs w:val="24"/>
        </w:rPr>
        <w:t>社会环境</w:t>
      </w:r>
    </w:p>
    <w:p>
      <w:pPr>
        <w:ind w:firstLine="560"/>
        <w:rPr>
          <w:rFonts w:hint="eastAsia"/>
          <w:color w:val="000000"/>
          <w:szCs w:val="24"/>
        </w:rPr>
      </w:pPr>
      <w:r>
        <w:rPr>
          <w:rFonts w:hint="eastAsia"/>
          <w:color w:val="000000"/>
          <w:szCs w:val="24"/>
        </w:rPr>
        <w:t>济南地处中国</w:t>
      </w:r>
      <w:r>
        <w:rPr>
          <w:rFonts w:hint="eastAsia"/>
          <w:color w:val="000000"/>
          <w:szCs w:val="24"/>
        </w:rPr>
        <w:fldChar w:fldCharType="begin"/>
      </w:r>
      <w:r>
        <w:rPr>
          <w:rFonts w:hint="eastAsia"/>
          <w:color w:val="000000"/>
          <w:szCs w:val="24"/>
        </w:rPr>
        <w:instrText xml:space="preserve"> HYPERLINK "https://baike.baidu.com/item/%E5%8D%8E%E4%B8%9C%E5%9C%B0%E5%8C%BA/7596582" \t "https://baike.baidu.com/item/%E6%B5%8E%E5%8D%97/_blank" </w:instrText>
      </w:r>
      <w:r>
        <w:rPr>
          <w:rFonts w:hint="eastAsia"/>
          <w:color w:val="000000"/>
          <w:szCs w:val="24"/>
        </w:rPr>
        <w:fldChar w:fldCharType="separate"/>
      </w:r>
      <w:r>
        <w:rPr>
          <w:rFonts w:hint="eastAsia"/>
          <w:color w:val="000000"/>
          <w:szCs w:val="24"/>
        </w:rPr>
        <w:t>华东地区</w:t>
      </w:r>
      <w:r>
        <w:rPr>
          <w:rFonts w:hint="eastAsia"/>
          <w:color w:val="000000"/>
          <w:szCs w:val="24"/>
        </w:rPr>
        <w:fldChar w:fldCharType="end"/>
      </w:r>
      <w:r>
        <w:rPr>
          <w:rFonts w:hint="eastAsia"/>
          <w:color w:val="000000"/>
          <w:szCs w:val="24"/>
        </w:rPr>
        <w:t>、山东中西部、</w:t>
      </w:r>
      <w:r>
        <w:rPr>
          <w:rFonts w:hint="eastAsia"/>
          <w:color w:val="000000"/>
          <w:szCs w:val="24"/>
        </w:rPr>
        <w:fldChar w:fldCharType="begin"/>
      </w:r>
      <w:r>
        <w:rPr>
          <w:rFonts w:hint="eastAsia"/>
          <w:color w:val="000000"/>
          <w:szCs w:val="24"/>
        </w:rPr>
        <w:instrText xml:space="preserve"> HYPERLINK "https://baike.baidu.com/item/%E5%8D%8E%E5%8C%97%E5%B9%B3%E5%8E%9F/555727" \t "https://baike.baidu.com/item/%E6%B5%8E%E5%8D%97/_blank" </w:instrText>
      </w:r>
      <w:r>
        <w:rPr>
          <w:rFonts w:hint="eastAsia"/>
          <w:color w:val="000000"/>
          <w:szCs w:val="24"/>
        </w:rPr>
        <w:fldChar w:fldCharType="separate"/>
      </w:r>
      <w:r>
        <w:rPr>
          <w:rFonts w:hint="eastAsia"/>
          <w:color w:val="000000"/>
          <w:szCs w:val="24"/>
        </w:rPr>
        <w:t>华北平原</w:t>
      </w:r>
      <w:r>
        <w:rPr>
          <w:rFonts w:hint="eastAsia"/>
          <w:color w:val="000000"/>
          <w:szCs w:val="24"/>
        </w:rPr>
        <w:fldChar w:fldCharType="end"/>
      </w:r>
      <w:r>
        <w:rPr>
          <w:rFonts w:hint="eastAsia"/>
          <w:color w:val="000000"/>
          <w:szCs w:val="24"/>
        </w:rPr>
        <w:t>东南部边缘，北连</w:t>
      </w:r>
      <w:r>
        <w:rPr>
          <w:rFonts w:hint="eastAsia"/>
          <w:color w:val="000000"/>
          <w:szCs w:val="24"/>
        </w:rPr>
        <w:fldChar w:fldCharType="begin"/>
      </w:r>
      <w:r>
        <w:rPr>
          <w:rFonts w:hint="eastAsia"/>
          <w:color w:val="000000"/>
          <w:szCs w:val="24"/>
        </w:rPr>
        <w:instrText xml:space="preserve"> HYPERLINK "https://baike.baidu.com/item/%E4%BA%AC%E6%B4%A5%E5%86%80/7504899" \t "https://baike.baidu.com/item/%E6%B5%8E%E5%8D%97/_blank" </w:instrText>
      </w:r>
      <w:r>
        <w:rPr>
          <w:rFonts w:hint="eastAsia"/>
          <w:color w:val="000000"/>
          <w:szCs w:val="24"/>
        </w:rPr>
        <w:fldChar w:fldCharType="separate"/>
      </w:r>
      <w:r>
        <w:rPr>
          <w:rFonts w:hint="eastAsia"/>
          <w:color w:val="000000"/>
          <w:szCs w:val="24"/>
        </w:rPr>
        <w:t>京津冀</w:t>
      </w:r>
      <w:r>
        <w:rPr>
          <w:rFonts w:hint="eastAsia"/>
          <w:color w:val="000000"/>
          <w:szCs w:val="24"/>
        </w:rPr>
        <w:fldChar w:fldCharType="end"/>
      </w:r>
      <w:r>
        <w:rPr>
          <w:rFonts w:hint="eastAsia"/>
          <w:color w:val="000000"/>
          <w:szCs w:val="24"/>
        </w:rPr>
        <w:t>、南接</w:t>
      </w:r>
      <w:r>
        <w:rPr>
          <w:rFonts w:hint="eastAsia"/>
          <w:color w:val="000000"/>
          <w:szCs w:val="24"/>
        </w:rPr>
        <w:fldChar w:fldCharType="begin"/>
      </w:r>
      <w:r>
        <w:rPr>
          <w:rFonts w:hint="eastAsia"/>
          <w:color w:val="000000"/>
          <w:szCs w:val="24"/>
        </w:rPr>
        <w:instrText xml:space="preserve"> HYPERLINK "https://baike.baidu.com/item/%E9%95%BF%E6%B1%9F%E4%B8%89%E8%A7%92%E6%B4%B2%E5%9C%B0%E5%8C%BA/53443160" \t "https://baike.baidu.com/item/%E6%B5%8E%E5%8D%97/_blank" </w:instrText>
      </w:r>
      <w:r>
        <w:rPr>
          <w:rFonts w:hint="eastAsia"/>
          <w:color w:val="000000"/>
          <w:szCs w:val="24"/>
        </w:rPr>
        <w:fldChar w:fldCharType="separate"/>
      </w:r>
      <w:r>
        <w:rPr>
          <w:rFonts w:hint="eastAsia"/>
          <w:color w:val="000000"/>
          <w:szCs w:val="24"/>
        </w:rPr>
        <w:t>长江三角洲地区</w:t>
      </w:r>
      <w:r>
        <w:rPr>
          <w:rFonts w:hint="eastAsia"/>
          <w:color w:val="000000"/>
          <w:szCs w:val="24"/>
        </w:rPr>
        <w:fldChar w:fldCharType="end"/>
      </w:r>
      <w:r>
        <w:rPr>
          <w:rFonts w:hint="eastAsia"/>
          <w:color w:val="000000"/>
          <w:szCs w:val="24"/>
        </w:rPr>
        <w:t>，是</w:t>
      </w:r>
      <w:r>
        <w:rPr>
          <w:rFonts w:hint="eastAsia"/>
          <w:color w:val="000000"/>
          <w:szCs w:val="24"/>
        </w:rPr>
        <w:fldChar w:fldCharType="begin"/>
      </w:r>
      <w:r>
        <w:rPr>
          <w:rFonts w:hint="eastAsia"/>
          <w:color w:val="000000"/>
          <w:szCs w:val="24"/>
        </w:rPr>
        <w:instrText xml:space="preserve"> HYPERLINK "https://baike.baidu.com/item/%E4%B8%AD%E5%9B%BD%E4%BA%BA%E6%B0%91%E8%A7%A3%E6%94%BE%E5%86%9B%E5%8C%97%E9%83%A8%E6%88%98%E5%8C%BA/18904522" \t "https://baike.baidu.com/item/%E6%B5%8E%E5%8D%97/_blank" </w:instrText>
      </w:r>
      <w:r>
        <w:rPr>
          <w:rFonts w:hint="eastAsia"/>
          <w:color w:val="000000"/>
          <w:szCs w:val="24"/>
        </w:rPr>
        <w:fldChar w:fldCharType="separate"/>
      </w:r>
      <w:r>
        <w:rPr>
          <w:rFonts w:hint="eastAsia"/>
          <w:color w:val="000000"/>
          <w:szCs w:val="24"/>
        </w:rPr>
        <w:t>中国人民解放军北部战区</w:t>
      </w:r>
      <w:r>
        <w:rPr>
          <w:rFonts w:hint="eastAsia"/>
          <w:color w:val="000000"/>
          <w:szCs w:val="24"/>
        </w:rPr>
        <w:fldChar w:fldCharType="end"/>
      </w:r>
      <w:r>
        <w:rPr>
          <w:rFonts w:hint="eastAsia"/>
          <w:color w:val="000000"/>
          <w:szCs w:val="24"/>
        </w:rPr>
        <w:t>陆军机关驻地、</w:t>
      </w:r>
      <w:r>
        <w:rPr>
          <w:rFonts w:hint="eastAsia"/>
          <w:color w:val="000000"/>
          <w:szCs w:val="24"/>
        </w:rPr>
        <w:fldChar w:fldCharType="begin"/>
      </w:r>
      <w:r>
        <w:rPr>
          <w:rFonts w:hint="eastAsia"/>
          <w:color w:val="000000"/>
          <w:szCs w:val="24"/>
        </w:rPr>
        <w:instrText xml:space="preserve"> HYPERLINK "https://baike.baidu.com/item/%E7%8E%AF%E6%B8%A4%E6%B5%B7%E7%BB%8F%E6%B5%8E%E5%8C%BA/5322452" \t "https://baike.baidu.com/item/%E6%B5%8E%E5%8D%97/_blank" </w:instrText>
      </w:r>
      <w:r>
        <w:rPr>
          <w:rFonts w:hint="eastAsia"/>
          <w:color w:val="000000"/>
          <w:szCs w:val="24"/>
        </w:rPr>
        <w:fldChar w:fldCharType="separate"/>
      </w:r>
      <w:r>
        <w:rPr>
          <w:rFonts w:hint="eastAsia"/>
          <w:color w:val="000000"/>
          <w:szCs w:val="24"/>
        </w:rPr>
        <w:t>环渤海经济区</w:t>
      </w:r>
      <w:r>
        <w:rPr>
          <w:rFonts w:hint="eastAsia"/>
          <w:color w:val="000000"/>
          <w:szCs w:val="24"/>
        </w:rPr>
        <w:fldChar w:fldCharType="end"/>
      </w:r>
      <w:r>
        <w:rPr>
          <w:rFonts w:hint="eastAsia"/>
          <w:color w:val="000000"/>
          <w:szCs w:val="24"/>
        </w:rPr>
        <w:t>和京沪经济轴上的重要交汇点，</w:t>
      </w:r>
      <w:r>
        <w:rPr>
          <w:rFonts w:hint="eastAsia"/>
          <w:color w:val="000000"/>
          <w:szCs w:val="24"/>
        </w:rPr>
        <w:fldChar w:fldCharType="begin"/>
      </w:r>
      <w:r>
        <w:rPr>
          <w:rFonts w:hint="eastAsia"/>
          <w:color w:val="000000"/>
          <w:szCs w:val="24"/>
        </w:rPr>
        <w:instrText xml:space="preserve"> HYPERLINK "https://baike.baidu.com/item/%E5%8D%8E%E4%B8%9C%E5%9C%B0%E5%8C%BA/7596582" \t "https://baike.baidu.com/item/%E6%B5%8E%E5%8D%97/_blank" </w:instrText>
      </w:r>
      <w:r>
        <w:rPr>
          <w:rFonts w:hint="eastAsia"/>
          <w:color w:val="000000"/>
          <w:szCs w:val="24"/>
        </w:rPr>
        <w:fldChar w:fldCharType="separate"/>
      </w:r>
      <w:r>
        <w:rPr>
          <w:rFonts w:hint="eastAsia"/>
          <w:color w:val="000000"/>
          <w:szCs w:val="24"/>
        </w:rPr>
        <w:t>华东地区</w:t>
      </w:r>
      <w:r>
        <w:rPr>
          <w:rFonts w:hint="eastAsia"/>
          <w:color w:val="000000"/>
          <w:szCs w:val="24"/>
        </w:rPr>
        <w:fldChar w:fldCharType="end"/>
      </w:r>
      <w:r>
        <w:rPr>
          <w:rFonts w:hint="eastAsia"/>
          <w:color w:val="000000"/>
          <w:szCs w:val="24"/>
        </w:rPr>
        <w:t>重要的交通枢纽之一。</w:t>
      </w:r>
    </w:p>
    <w:p>
      <w:pPr>
        <w:keepNext/>
        <w:keepLines/>
        <w:ind w:firstLine="0" w:firstLineChars="0"/>
        <w:outlineLvl w:val="2"/>
        <w:rPr>
          <w:rFonts w:hint="eastAsia"/>
          <w:bCs/>
          <w:color w:val="000000"/>
          <w:sz w:val="32"/>
          <w:szCs w:val="32"/>
        </w:rPr>
      </w:pPr>
      <w:r>
        <w:rPr>
          <w:rFonts w:hint="eastAsia"/>
          <w:bCs/>
          <w:color w:val="000000"/>
          <w:sz w:val="28"/>
          <w:szCs w:val="28"/>
        </w:rPr>
        <w:t xml:space="preserve">2.4.4  </w:t>
      </w:r>
      <w:r>
        <w:rPr>
          <w:rFonts w:hint="eastAsia" w:ascii="黑体" w:hAnsi="黑体" w:eastAsia="黑体" w:cs="黑体"/>
          <w:bCs/>
          <w:color w:val="000000"/>
          <w:sz w:val="28"/>
          <w:szCs w:val="28"/>
        </w:rPr>
        <w:t>潍坊地区自然条件及社会环境</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1.地形地貌</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潍坊市境内地层发育较齐全，</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"https://baike.baidu.com/item/%E5%A4%AA%E5%8F%A4%E7%95%8C/4139378" \t "https://baike.baidu.com/item/%E6%BD%8D%E5%9D%8A/_blank"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太古界</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及</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"https://baike.baidu.com/item/%E5%85%83%E5%8F%A4%E7%95%8C/4139511" \t "https://baike.baidu.com/item/%E6%BD%8D%E5%9D%8A/_blank"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元古界</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"https://baike.baidu.com/item/%E5%8F%98%E8%B4%A8%E5%B2%A9/594014" \t "https://baike.baidu.com/item/%E6%BD%8D%E5%9D%8A/_blank"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变质岩</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系组成东西两地块的</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"https://baike.baidu.com/item/%E7%BB%93%E6%99%B6%E5%9F%BA%E5%BA%95/6386744" \t "https://baike.baidu.com/item/%E6%BD%8D%E5%9D%8A/_blank"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结晶基底</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"https://baike.baidu.com/item/%E5%8F%A4%E7%94%9F%E7%95%8C/4139412" \t "https://baike.baidu.com/item/%E6%BD%8D%E5%9D%8A/_blank"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古生界</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及</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"https://baike.baidu.com/item/%E4%B8%AD%E7%94%9F%E7%95%8C/5882527" \t "https://baike.baidu.com/item/%E6%BD%8D%E5%9D%8A/_blank"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中生界</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分别不整合于两侧古老结晶基底之上；</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"https://baike.baidu.com/item/%E6%96%B0%E7%94%9F%E7%95%8C/1876908" \t "https://baike.baidu.com/item/%E6%BD%8D%E5%9D%8A/_blank"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新生界</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形成</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"https://baike.baidu.com/item/%E6%96%AD%E9%99%B7%E7%9B%86%E5%9C%B0/5079073" \t "https://baike.baidu.com/item/%E6%BD%8D%E5%9D%8A/_blank"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断陷盆地</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"https://baike.baidu.com/item/%E5%B1%B1%E9%97%B4%E7%9B%86%E5%9C%B0/6978237" \t "https://baike.baidu.com/item/%E6%BD%8D%E5%9D%8A/_blank"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山间盆地</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河湖相沉积和沿海</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"https://baike.baidu.com/item/%E6%BB%A8%E6%B5%B7%E7%9B%B8/4687153" \t "https://baike.baidu.com/item/%E6%BD%8D%E5%9D%8A/_blank"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滨海相</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沉积。辖区内地层属华北地层区。以</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"https://baike.baidu.com/item/%E6%B2%82%E6%B2%AD%E6%96%AD%E8%A3%82%E5%B8%A6/9655105" \t "https://baike.baidu.com/item/%E6%BD%8D%E5%9D%8A/_blank"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沂沭断裂带</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的昌邑——大店断裂为界将山东分成鲁东、鲁西两个地层分区。两分区地层发育有很大的差异，沂沭断裂带内与鲁西相近，但也有差别。潍坊市位于鲁西地层分区的东北部，包括潍坊小区和泰安小区的东缘，鲁东地层分区西端，包括蓬莱、莱阳、胶南3个地层小区的西部。市辖区横跨鲁东、鲁西两个隆起区和沂沭断裂带3个结构不同的次级构造单元，形成了区内构造多样性及复杂性的格局。</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潍坊市域地貌自北向南，由低到高，形成几个台阶。大体上分为低地、平原及低山丘陵3个地貌区及18个地貌类型。北临渤海</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"https://baike.baidu.com/item/%E8%8E%B1%E5%B7%9E%E6%B9%BE/2684707" \t "https://baike.baidu.com/item/%E6%BD%8D%E5%9D%8A/_blank"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莱州湾</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，南以淡咸水线为界，是由海相沉积物和河流冲积物叠次覆盖而成，地势低平，海拔在7m以下，面积2631.91km</w:t>
      </w:r>
      <w:r>
        <w:rPr>
          <w:rFonts w:hint="default" w:ascii="Times New Roman" w:hAnsi="Times New Roman" w:cs="Times New Roman"/>
          <w:color w:val="000000" w:themeColor="text1"/>
          <w:sz w:val="28"/>
          <w:szCs w:val="28"/>
          <w:vertAlign w:val="superscript"/>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，约占全市总面积的15%。</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2.气候气象</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潍坊市域属</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"https://baike.baidu.com/item/%E5%8C%97%E6%B8%A9%E5%B8%A6/7119701" \t "https://baike.baidu.com/item/%E6%BD%8D%E5%9D%8A/_blank"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北温带</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季风区，背陆面海．受欧亚大陆和太平洋的共同影响，大陆度在50%以上，是暖温带季风型半湿润大陆性气候。其气候特点为冬冷夏热，四季分明。春季风多雨少，早春冷暖无常，常有倒春寒出现，晚春回暖迅速夏季炎热多雨，温高湿大；秋季天高气爽，晚秋多干旱；冬季干冷，寒风频吹。因受典型季风气候影响，四季的气温分布分明，年平均气温12.3℃。1月份为全年的最冷月，全市平均气温为-3.3℃，7月份为最热月，全市平均气温为26.0℃。春季升温迅速，秋季降温幅度大。年平均降水量在650mm左右。潍坊市属于季风气候区，夏季主导风向是东南风，冬季主导风向是西北风。潍坊全市年平均风速3.0m/s，极大风速为36.2m/s，风力达12级，于1978年7月9日出现在潍城。</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3.地震烈度</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地震烈度为7度，设计基本地震加度速度值为0.15g，所属的设计抗震分组为第二组。</w:t>
      </w:r>
    </w:p>
    <w:p>
      <w:pPr>
        <w:ind w:firstLine="560"/>
        <w:rPr>
          <w:rFonts w:hint="eastAsia"/>
          <w:color w:val="000000"/>
        </w:rPr>
      </w:pPr>
      <w:r>
        <w:rPr>
          <w:rFonts w:hint="eastAsia"/>
          <w:color w:val="000000"/>
          <w:lang w:val="en-US" w:eastAsia="zh-CN"/>
        </w:rPr>
        <w:t>4.</w:t>
      </w:r>
      <w:r>
        <w:rPr>
          <w:rFonts w:hint="eastAsia"/>
          <w:color w:val="000000"/>
        </w:rPr>
        <w:t>社会环境</w:t>
      </w:r>
    </w:p>
    <w:p>
      <w:pPr>
        <w:ind w:firstLine="560"/>
        <w:rPr>
          <w:rFonts w:hint="eastAsia"/>
          <w:color w:val="000000"/>
        </w:rPr>
      </w:pPr>
      <w:r>
        <w:rPr>
          <w:rFonts w:hint="eastAsia"/>
          <w:color w:val="000000"/>
        </w:rPr>
        <w:t>潍坊市位于山东半岛西部，居半岛城市群中心位置，东与青岛、烟台两市连接，西邻淄博、东营两市，南连临沂、日照两市，北濒渤海莱州湾。地扼山东内陆腹地通往半岛地区的咽喉，胶济铁路横贯市境东西，是山东省半岛城市群的区域中心城市。</w:t>
      </w:r>
    </w:p>
    <w:p>
      <w:pPr>
        <w:keepNext/>
        <w:keepLines/>
        <w:ind w:firstLine="0" w:firstLineChars="0"/>
        <w:outlineLvl w:val="2"/>
        <w:rPr>
          <w:bCs/>
          <w:color w:val="000000"/>
          <w:sz w:val="28"/>
          <w:szCs w:val="28"/>
        </w:rPr>
      </w:pPr>
      <w:r>
        <w:rPr>
          <w:rFonts w:hint="eastAsia"/>
          <w:bCs/>
          <w:color w:val="000000"/>
          <w:sz w:val="28"/>
          <w:szCs w:val="28"/>
        </w:rPr>
        <w:t xml:space="preserve">2.4.5  </w:t>
      </w:r>
      <w:r>
        <w:rPr>
          <w:rFonts w:hint="eastAsia" w:ascii="黑体" w:hAnsi="黑体" w:eastAsia="黑体" w:cs="黑体"/>
          <w:b w:val="0"/>
          <w:bCs/>
          <w:color w:val="000000"/>
          <w:sz w:val="28"/>
          <w:szCs w:val="28"/>
        </w:rPr>
        <w:t>淄博地区自然条件及社会环境</w:t>
      </w:r>
    </w:p>
    <w:p>
      <w:pPr>
        <w:widowControl w:val="0"/>
        <w:adjustRightInd w:val="0"/>
        <w:snapToGrid w:val="0"/>
        <w:spacing w:after="0" w:line="360" w:lineRule="auto"/>
        <w:ind w:firstLine="560" w:firstLineChars="200"/>
        <w:jc w:val="left"/>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1.地形地貌</w:t>
      </w:r>
    </w:p>
    <w:p>
      <w:pPr>
        <w:widowControl w:val="0"/>
        <w:adjustRightInd w:val="0"/>
        <w:snapToGrid w:val="0"/>
        <w:spacing w:after="0" w:line="360" w:lineRule="auto"/>
        <w:ind w:firstLine="560" w:firstLineChars="200"/>
        <w:jc w:val="left"/>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淄博市以</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"https://baike.baidu.com/item/%E9%BD%90%E6%B2%B3"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齐河</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"https://baike.baidu.com/item/%E5%B9%BF%E9%A5%B6"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广饶</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断裂为界，以南属鲁西台背斜鲁中隆起区，以北属</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"https://baike.baidu.com/item/%E6%B5%8E%E9%98%B3/83141"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济阳</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坳陷区。鲁中隆起区由基底岩系和盖层组成。基底岩系由</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"https://baike.baidu.com/item/%E6%B3%B0%E5%B1%B1%E5%B2%A9%E7%BE%A4"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泰山岩群</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和新太古代——古元古代花岗岩构成，经历多期变质作用。盖层以</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"https://baike.baidu.com/item/%E5%AF%92%E6%AD%A6%E7%BA%AA/74445"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寒武纪</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"https://baike.baidu.com/item/%E5%A5%A5%E9%99%B6%E7%BA%AA"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奥陶纪</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地层为主，淄博盆地、沂源盆地、鲁村盆地内发育</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"https://baike.baidu.com/item/%E7%9F%B3%E7%82%AD%E7%BA%AA"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石炭纪</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"https://baike.baidu.com/item/%E4%BA%8C%E5%8F%A0%E7%BA%AA"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二叠纪</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及</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"https://baike.baidu.com/item/%E4%B8%AD%E7%94%9F%E4%BB%A3"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中生代</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的沉积。济阳坳陷区完全被</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"https://baike.baidu.com/item/%E7%AC%AC%E5%9B%9B%E7%BA%AA"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第四纪</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地层覆盖。境内岩浆岩分布较广，前寒武纪变质岩浆岩分布于市区南部的基底岩系中，中生代燕山期岩浆岩分布于中北部的断裂交汇或褶皱发育区。</w:t>
      </w:r>
    </w:p>
    <w:p>
      <w:pPr>
        <w:widowControl w:val="0"/>
        <w:adjustRightInd w:val="0"/>
        <w:snapToGrid w:val="0"/>
        <w:spacing w:after="0" w:line="360" w:lineRule="auto"/>
        <w:ind w:firstLine="560" w:firstLineChars="200"/>
        <w:jc w:val="left"/>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淄博市地势南高北低，南部及东西两翼山峦起伏，中部低陷向北倾伏，南北高差千余米。以</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"https://baike.baidu.com/item/%E8%83%B6%E6%B5%8E%E9%93%81%E8%B7%AF"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胶济铁路</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为界，以南大部分为山区、丘陵，</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"https://baike.baidu.com/item/%E5%B2%A9%E6%BA%B6%E5%9C%B0%E8%B2%8C"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岩溶地貌</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发育；以北大部分为山前冲积平原和</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"https://baike.baidu.com/item/%E9%BB%84%E6%B3%9B%E5%B9%B3%E5%8E%9F"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黄泛平原</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，土地平坦肥沃。北部有</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"https://baike.baidu.com/item/%E9%BB%84%E6%B2%B3/5394"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黄河</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"https://baike.baidu.com/item/%E5%B0%8F%E6%B8%85%E6%B2%B3"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小清河</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流经，发源于市域内的河流有</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"https://baike.baidu.com/item/%E6%B2%82%E6%B2%B3"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沂河</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"https://baike.baidu.com/item/%E6%B7%84%E6%B2%B3"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淄河</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"https://baike.baidu.com/item/%E5%AD%9D%E5%A6%87%E6%B2%B3"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孝妇河</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等。山区、丘陵、平原面积分别占市域面积的42.0%、29.9%和28.1%。</w:t>
      </w:r>
    </w:p>
    <w:p>
      <w:pPr>
        <w:widowControl w:val="0"/>
        <w:adjustRightInd w:val="0"/>
        <w:snapToGrid w:val="0"/>
        <w:spacing w:after="0" w:line="360" w:lineRule="auto"/>
        <w:ind w:firstLine="560" w:firstLineChars="200"/>
        <w:jc w:val="left"/>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2.气候气象</w:t>
      </w:r>
    </w:p>
    <w:p>
      <w:pPr>
        <w:widowControl w:val="0"/>
        <w:adjustRightInd w:val="0"/>
        <w:snapToGrid w:val="0"/>
        <w:spacing w:after="0" w:line="360" w:lineRule="auto"/>
        <w:ind w:firstLine="560" w:firstLineChars="200"/>
        <w:jc w:val="left"/>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淄博市地处</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"https://baike.baidu.com/item/%E6%9A%96%E6%B8%A9%E5%B8%A6"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暖温带</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，属半湿润半干旱的</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"https://baike.baidu.com/item/%E5%A4%A7%E9%99%86%E6%80%A7%E6%B0%94%E5%80%99"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大陆性气候</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w:t>
      </w:r>
      <w:r>
        <w:rPr>
          <w:rFonts w:hint="default" w:ascii="Times New Roman" w:hAnsi="Times New Roman" w:eastAsia="宋体" w:cs="Times New Roman"/>
          <w:kern w:val="2"/>
          <w:sz w:val="21"/>
          <w:szCs w:val="20"/>
          <w:lang w:val="en-US" w:eastAsia="zh-CN" w:bidi="ar-SA"/>
        </w:rPr>
        <w:fldChar w:fldCharType="begin"/>
      </w:r>
      <w:r>
        <w:rPr>
          <w:rFonts w:hint="default" w:ascii="Times New Roman" w:hAnsi="Times New Roman" w:eastAsia="宋体" w:cs="Times New Roman"/>
          <w:kern w:val="2"/>
          <w:sz w:val="21"/>
          <w:szCs w:val="20"/>
          <w:lang w:val="en-US" w:eastAsia="zh-CN" w:bidi="ar-SA"/>
        </w:rPr>
        <w:instrText xml:space="preserve"> HYPERLINK "https://baike.baidu.com/item/%E6%B8%A9%E5%B8%A6%E5%AD%A3%E9%A3%8E%E6%B0%94%E5%80%99" \t "https://baike.baidu.com/item/%E6%B7%84%E5%8D%9A/_blank" </w:instrText>
      </w:r>
      <w:r>
        <w:rPr>
          <w:rFonts w:hint="default" w:ascii="Times New Roman" w:hAnsi="Times New Roman" w:eastAsia="宋体" w:cs="Times New Roman"/>
          <w:kern w:val="2"/>
          <w:sz w:val="21"/>
          <w:szCs w:val="20"/>
          <w:lang w:val="en-US" w:eastAsia="zh-CN" w:bidi="ar-SA"/>
        </w:rPr>
        <w:fldChar w:fldCharType="separate"/>
      </w:r>
      <w:r>
        <w:rPr>
          <w:rFonts w:hint="default" w:ascii="Times New Roman" w:hAnsi="Times New Roman" w:eastAsia="宋体" w:cs="Times New Roman"/>
          <w:color w:val="000000"/>
          <w:kern w:val="2"/>
          <w:sz w:val="28"/>
          <w:szCs w:val="28"/>
          <w:lang w:val="en-US" w:eastAsia="zh-CN" w:bidi="ar-SA"/>
        </w:rPr>
        <w:t>温带季风气候</w:t>
      </w:r>
      <w:r>
        <w:rPr>
          <w:rFonts w:hint="default" w:ascii="Times New Roman" w:hAnsi="Times New Roman" w:eastAsia="宋体" w:cs="Times New Roman"/>
          <w:color w:val="000000"/>
          <w:kern w:val="2"/>
          <w:sz w:val="28"/>
          <w:szCs w:val="28"/>
          <w:lang w:val="en-US" w:eastAsia="zh-CN" w:bidi="ar-SA"/>
        </w:rPr>
        <w:fldChar w:fldCharType="end"/>
      </w:r>
      <w:r>
        <w:rPr>
          <w:rFonts w:hint="default" w:ascii="Times New Roman" w:hAnsi="Times New Roman" w:eastAsia="宋体" w:cs="Times New Roman"/>
          <w:color w:val="000000"/>
          <w:kern w:val="2"/>
          <w:sz w:val="28"/>
          <w:szCs w:val="28"/>
          <w:lang w:val="en-US" w:eastAsia="zh-CN" w:bidi="ar-SA"/>
        </w:rPr>
        <w:t>），多年平均降水量650mm，年平均气温12.5℃～14.2℃，年平均日照时数为2209.3～2523.0h，年平均无霜期190～210天。主导风向为西南风和南风，其频率在12%以上，全年平均风速3.4m/s。</w:t>
      </w:r>
    </w:p>
    <w:p>
      <w:pPr>
        <w:adjustRightInd w:val="0"/>
        <w:snapToGrid w:val="0"/>
        <w:spacing w:line="360" w:lineRule="auto"/>
        <w:ind w:firstLine="560" w:firstLineChars="200"/>
        <w:jc w:val="left"/>
        <w:rPr>
          <w:rFonts w:hint="default" w:ascii="Times New Roman" w:hAnsi="Times New Roman" w:cs="Times New Roman"/>
          <w:color w:val="000000"/>
          <w:sz w:val="28"/>
          <w:szCs w:val="28"/>
        </w:rPr>
      </w:pPr>
      <w:r>
        <w:rPr>
          <w:rFonts w:hint="default" w:ascii="Times New Roman" w:hAnsi="Times New Roman" w:cs="Times New Roman"/>
          <w:color w:val="000000"/>
          <w:kern w:val="0"/>
          <w:sz w:val="28"/>
          <w:szCs w:val="28"/>
        </w:rPr>
        <w:t>3.地震烈度</w:t>
      </w:r>
    </w:p>
    <w:p>
      <w:pPr>
        <w:ind w:firstLine="560"/>
        <w:rPr>
          <w:rFonts w:hint="eastAsia"/>
          <w:color w:val="000000"/>
        </w:rPr>
      </w:pPr>
      <w:r>
        <w:rPr>
          <w:rFonts w:hint="default" w:ascii="Times New Roman" w:hAnsi="Times New Roman" w:eastAsia="宋体" w:cs="Times New Roman"/>
          <w:color w:val="000000"/>
          <w:kern w:val="0"/>
          <w:sz w:val="28"/>
          <w:szCs w:val="28"/>
          <w:lang w:val="en-US" w:eastAsia="zh-CN" w:bidi="ar-SA"/>
        </w:rPr>
        <w:t>地震烈度为7度，设计基本地震加度速度值为0.10g，所属的设计抗震分组为第三组。</w:t>
      </w:r>
    </w:p>
    <w:p>
      <w:pPr>
        <w:ind w:firstLine="560"/>
        <w:rPr>
          <w:rFonts w:hint="eastAsia"/>
          <w:color w:val="000000"/>
        </w:rPr>
      </w:pPr>
      <w:r>
        <w:rPr>
          <w:rFonts w:hint="eastAsia"/>
          <w:color w:val="000000"/>
          <w:lang w:val="en-US" w:eastAsia="zh-CN"/>
        </w:rPr>
        <w:t>4.</w:t>
      </w:r>
      <w:r>
        <w:rPr>
          <w:rFonts w:hint="eastAsia"/>
          <w:color w:val="000000"/>
        </w:rPr>
        <w:t>社会环境</w:t>
      </w:r>
    </w:p>
    <w:p>
      <w:pPr>
        <w:ind w:firstLine="560"/>
        <w:rPr>
          <w:rFonts w:hint="eastAsia"/>
          <w:color w:val="000000"/>
        </w:rPr>
      </w:pPr>
      <w:r>
        <w:rPr>
          <w:rFonts w:hint="eastAsia"/>
          <w:color w:val="000000"/>
        </w:rPr>
        <w:t>淄博地处中国华东地区、山东省中部，南接临沂，北接东营、滨州，东接潍坊，西接济南，位于黄河三角洲高效生态经济区、山东半岛蓝色经济区两大国家战略经济区与济南都市圈交汇处，是山东半岛城市群核心城市之一。国务院批复确定的山东区域性中心城市、现代工业城市，重要的石油化工基地。</w:t>
      </w:r>
    </w:p>
    <w:p>
      <w:pPr>
        <w:keepNext/>
        <w:keepLines/>
        <w:ind w:firstLine="0" w:firstLineChars="0"/>
        <w:outlineLvl w:val="2"/>
        <w:rPr>
          <w:bCs/>
          <w:color w:val="000000"/>
          <w:sz w:val="28"/>
          <w:szCs w:val="28"/>
        </w:rPr>
      </w:pPr>
      <w:r>
        <w:rPr>
          <w:rFonts w:hint="eastAsia"/>
          <w:bCs/>
          <w:color w:val="000000"/>
          <w:sz w:val="28"/>
          <w:szCs w:val="28"/>
        </w:rPr>
        <w:t xml:space="preserve">2.4.5  </w:t>
      </w:r>
      <w:r>
        <w:rPr>
          <w:rFonts w:hint="eastAsia" w:ascii="黑体" w:hAnsi="黑体" w:eastAsia="黑体" w:cs="黑体"/>
          <w:b w:val="0"/>
          <w:bCs/>
          <w:color w:val="000000"/>
          <w:sz w:val="28"/>
          <w:szCs w:val="28"/>
          <w:lang w:val="en-US" w:eastAsia="zh-CN"/>
        </w:rPr>
        <w:t>德州</w:t>
      </w:r>
      <w:r>
        <w:rPr>
          <w:rFonts w:hint="eastAsia" w:ascii="黑体" w:hAnsi="黑体" w:eastAsia="黑体" w:cs="黑体"/>
          <w:b w:val="0"/>
          <w:bCs/>
          <w:color w:val="000000"/>
          <w:sz w:val="28"/>
          <w:szCs w:val="28"/>
        </w:rPr>
        <w:t>地区自然条件及社会环境</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1.地形地貌</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德州市为</w:t>
      </w:r>
      <w:r>
        <w:rPr>
          <w:rFonts w:hint="default" w:ascii="Times New Roman" w:hAnsi="Times New Roman" w:cs="Times New Roman"/>
        </w:rPr>
        <w:fldChar w:fldCharType="begin"/>
      </w:r>
      <w:r>
        <w:rPr>
          <w:rFonts w:hint="default" w:ascii="Times New Roman" w:hAnsi="Times New Roman" w:cs="Times New Roman"/>
        </w:rPr>
        <w:instrText xml:space="preserve"> HYPERLINK "https://baike.baidu.com/item/%E9%BB%84%E6%B2%B3/5394" \t "https://baike.baidu.com/item/%E5%BE%B7%E5%B7%9E/_blank" </w:instrText>
      </w:r>
      <w:r>
        <w:rPr>
          <w:rFonts w:hint="default" w:ascii="Times New Roman" w:hAnsi="Times New Roman" w:cs="Times New Roman"/>
        </w:rPr>
        <w:fldChar w:fldCharType="separate"/>
      </w:r>
      <w:r>
        <w:rPr>
          <w:rFonts w:hint="default" w:ascii="Times New Roman" w:hAnsi="Times New Roman" w:cs="Times New Roman"/>
          <w:color w:val="000000" w:themeColor="text1"/>
          <w:sz w:val="28"/>
          <w:szCs w:val="28"/>
          <w14:textFill>
            <w14:solidFill>
              <w14:schemeClr w14:val="tx1"/>
            </w14:solidFill>
          </w14:textFill>
        </w:rPr>
        <w:t>黄河</w:t>
      </w:r>
      <w:r>
        <w:rPr>
          <w:rFonts w:hint="default" w:ascii="Times New Roman" w:hAnsi="Times New Roman" w:cs="Times New Roman"/>
          <w:color w:val="000000" w:themeColor="text1"/>
          <w:sz w:val="28"/>
          <w:szCs w:val="28"/>
          <w14:textFill>
            <w14:solidFill>
              <w14:schemeClr w14:val="tx1"/>
            </w14:solidFill>
          </w14:textFill>
        </w:rPr>
        <w:fldChar w:fldCharType="end"/>
      </w:r>
      <w:r>
        <w:rPr>
          <w:rFonts w:hint="default" w:ascii="Times New Roman" w:hAnsi="Times New Roman" w:cs="Times New Roman"/>
          <w:color w:val="000000" w:themeColor="text1"/>
          <w:sz w:val="28"/>
          <w:szCs w:val="28"/>
          <w14:textFill>
            <w14:solidFill>
              <w14:schemeClr w14:val="tx1"/>
            </w14:solidFill>
          </w14:textFill>
        </w:rPr>
        <w:t>冲积平原，历史上境内曾有两次黄河大迁徙，上千次决口，造就了西南高、东北低的地形。由于泛道与流速所致，加之风力堆积之因素，形成了平原之中起伏不平，岗、坡、洼相间分布等特点。德州市地貌多象，大体可分三类：一是高地类，由河流、河床沉积而成，占土地总面积的34.3%；二是坡地类，由黄泛漫流沉积而成，占总土地面积的52.1%；三是洼地类，占13.6%。</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2.气候气象</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德州市基本气候特点是季风影响显著，四季分明、冷热干湿界限明显，春季干旱多风回暖快，夏季炎热多雨，秋季凉爽多晴天，冬季寒冷少雪多干燥，具有显著的大陆性气候特征。光照资源丰富。日照时数长，光照强度大；年平均日照时数2592小时，日照率为60%。德州市年平均气温12.9℃。极端最高气温43.4℃（1955年7月23日德城区），极端最低气温-27℃（1958年1月15日德城区）。德州市平均无霜期长达208天。年内降水偏少且过分集中，降水主要集中在夏季。全市年平均降水量 535.87mm。主导风向为西南风，年平均风速3.2m/s。</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3.地震烈度</w:t>
      </w:r>
    </w:p>
    <w:p>
      <w:pPr>
        <w:pStyle w:val="302"/>
        <w:widowControl w:val="0"/>
        <w:adjustRightInd w:val="0"/>
        <w:snapToGrid w:val="0"/>
        <w:spacing w:after="0"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地震烈度为7度，设计基本地震加度速度值为0.10g，所属的设计抗震分组为第三组。</w:t>
      </w:r>
    </w:p>
    <w:p>
      <w:pPr>
        <w:ind w:firstLine="560"/>
        <w:rPr>
          <w:rFonts w:hint="eastAsia"/>
          <w:color w:val="000000"/>
        </w:rPr>
      </w:pPr>
      <w:r>
        <w:rPr>
          <w:rFonts w:hint="eastAsia"/>
          <w:color w:val="000000"/>
          <w:lang w:val="en-US" w:eastAsia="zh-CN"/>
        </w:rPr>
        <w:t>4.</w:t>
      </w:r>
      <w:r>
        <w:rPr>
          <w:rFonts w:hint="eastAsia"/>
          <w:color w:val="000000"/>
        </w:rPr>
        <w:t>社会环境</w:t>
      </w:r>
    </w:p>
    <w:p>
      <w:pPr>
        <w:ind w:firstLine="560"/>
        <w:rPr>
          <w:rFonts w:hint="eastAsia"/>
          <w:color w:val="000000"/>
        </w:rPr>
      </w:pPr>
      <w:r>
        <w:rPr>
          <w:rFonts w:hint="eastAsia"/>
          <w:color w:val="000000"/>
        </w:rPr>
        <w:t>德州市位于山东省西北部，黄河下游北侧，北以漳卫新河为界，与河北省沧州市为邻；西以卫运河为界，与河北省衡水市毗连；西南与聊城市接壤；南隔黄河与济南市相望；东临滨州市。德州自古就有“九达天衢”“神京门户”之称，是全国重要的交通枢纽。</w:t>
      </w:r>
    </w:p>
    <w:p>
      <w:pPr>
        <w:pStyle w:val="4"/>
        <w:rPr>
          <w:b w:val="0"/>
          <w:bCs/>
          <w:sz w:val="32"/>
          <w:szCs w:val="32"/>
        </w:rPr>
      </w:pPr>
      <w:bookmarkStart w:id="36" w:name="_Toc18561"/>
      <w:r>
        <w:rPr>
          <w:b w:val="0"/>
          <w:bCs/>
          <w:sz w:val="32"/>
          <w:szCs w:val="32"/>
        </w:rPr>
        <w:t>2.</w:t>
      </w:r>
      <w:r>
        <w:rPr>
          <w:rFonts w:hint="eastAsia"/>
          <w:b w:val="0"/>
          <w:bCs/>
          <w:sz w:val="32"/>
          <w:szCs w:val="32"/>
        </w:rPr>
        <w:t>5</w:t>
      </w:r>
      <w:r>
        <w:rPr>
          <w:b w:val="0"/>
          <w:bCs/>
          <w:sz w:val="32"/>
          <w:szCs w:val="32"/>
        </w:rPr>
        <w:t xml:space="preserve">  </w:t>
      </w:r>
      <w:bookmarkEnd w:id="20"/>
      <w:r>
        <w:rPr>
          <w:rFonts w:hint="eastAsia" w:ascii="黑体" w:hAnsi="黑体" w:eastAsia="黑体" w:cs="黑体"/>
          <w:b w:val="0"/>
          <w:bCs/>
          <w:sz w:val="32"/>
          <w:szCs w:val="32"/>
        </w:rPr>
        <w:t>安全管理</w:t>
      </w:r>
      <w:bookmarkEnd w:id="36"/>
    </w:p>
    <w:p>
      <w:pPr>
        <w:pStyle w:val="5"/>
        <w:rPr>
          <w:b w:val="0"/>
          <w:bCs w:val="0"/>
          <w:snapToGrid w:val="0"/>
          <w:kern w:val="0"/>
        </w:rPr>
      </w:pPr>
      <w:r>
        <w:rPr>
          <w:b w:val="0"/>
          <w:bCs w:val="0"/>
          <w:snapToGrid w:val="0"/>
          <w:kern w:val="0"/>
        </w:rPr>
        <w:t>2.</w:t>
      </w:r>
      <w:r>
        <w:rPr>
          <w:rFonts w:hint="eastAsia"/>
          <w:b w:val="0"/>
          <w:bCs w:val="0"/>
          <w:snapToGrid w:val="0"/>
          <w:kern w:val="0"/>
          <w:lang w:val="en-US" w:eastAsia="zh-CN"/>
        </w:rPr>
        <w:t>5</w:t>
      </w:r>
      <w:r>
        <w:rPr>
          <w:b w:val="0"/>
          <w:bCs w:val="0"/>
          <w:snapToGrid w:val="0"/>
          <w:kern w:val="0"/>
        </w:rPr>
        <w:t xml:space="preserve">.1  </w:t>
      </w:r>
      <w:r>
        <w:rPr>
          <w:rFonts w:hint="eastAsia" w:ascii="黑体" w:hAnsi="黑体" w:eastAsia="黑体" w:cs="黑体"/>
          <w:b w:val="0"/>
          <w:bCs w:val="0"/>
          <w:snapToGrid w:val="0"/>
          <w:kern w:val="0"/>
        </w:rPr>
        <w:t>安全生产许可证</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5"/>
        <w:rPr>
          <w:rFonts w:hint="eastAsia"/>
          <w:b w:val="0"/>
          <w:bCs w:val="0"/>
        </w:rPr>
      </w:pPr>
      <w:r>
        <w:rPr>
          <w:rFonts w:hint="eastAsia"/>
          <w:b w:val="0"/>
          <w:bCs w:val="0"/>
        </w:rPr>
        <w:t>2.</w:t>
      </w:r>
      <w:r>
        <w:rPr>
          <w:rFonts w:hint="eastAsia"/>
          <w:b w:val="0"/>
          <w:bCs w:val="0"/>
          <w:lang w:val="en-US" w:eastAsia="zh-CN"/>
        </w:rPr>
        <w:t>5</w:t>
      </w:r>
      <w:r>
        <w:rPr>
          <w:rFonts w:hint="eastAsia"/>
          <w:b w:val="0"/>
          <w:bCs w:val="0"/>
        </w:rPr>
        <w:t xml:space="preserve">.2  </w:t>
      </w:r>
      <w:r>
        <w:rPr>
          <w:rFonts w:hint="eastAsia" w:ascii="黑体" w:hAnsi="黑体" w:eastAsia="黑体" w:cs="黑体"/>
          <w:b w:val="0"/>
          <w:bCs w:val="0"/>
        </w:rPr>
        <w:t>安全生产管理机构的设置和安全生产管理人员的配备</w:t>
      </w:r>
    </w:p>
    <w:p>
      <w:pPr>
        <w:ind w:firstLine="560"/>
        <w:rPr>
          <w:rFonts w:hint="eastAsia"/>
        </w:rPr>
      </w:pPr>
      <w:r>
        <w:rPr>
          <w:rFonts w:hint="eastAsia"/>
        </w:rPr>
        <w:t>根据《中华人民共和国安全生产法》（主席令[2021]第88号修订）第二十四条，“矿山、金属冶炼、建筑施工、运输单位和危险物品的生产、经营、储存、装卸单位，应当设置安全生产管理机构或者配备专职安全生产管理人员。”</w:t>
      </w:r>
    </w:p>
    <w:p>
      <w:pPr>
        <w:ind w:firstLine="560"/>
        <w:rPr>
          <w:rFonts w:hint="eastAsia"/>
        </w:rPr>
      </w:pPr>
      <w:r>
        <w:rPr>
          <w:rFonts w:hint="eastAsia"/>
        </w:rPr>
        <w:t>根据《山东省生产经营单位安全生产主体责任规定》（山东省人民政府令[2018]第311号）第九条，“矿山、金属冶炼、道路运输、建筑施工单位，危险物品的生产、经营、储存、装卸、运输单位和使用危险物品从事生产并且使用量达到规定数量的单位（以下简称高危生产经营单位），应当按照下列规定设置安全生产管理机构或者配备安全生产管理人员：从业人员在300人以上不足1000人的，应当设置专门的安全生产管理机构，并按不低于从业人员5‰但最低不少于3名的比例配备专职安全生产管理人员，其中至少应当有2名注册安全工程师。</w:t>
      </w:r>
    </w:p>
    <w:p>
      <w:pPr>
        <w:pStyle w:val="2"/>
        <w:spacing w:line="360" w:lineRule="auto"/>
        <w:ind w:firstLine="560"/>
        <w:rPr>
          <w:rFonts w:hint="eastAsia"/>
        </w:rPr>
      </w:pPr>
      <w:r>
        <w:rPr>
          <w:szCs w:val="24"/>
        </w:rPr>
        <w:t>《注册安全工程师管理规定》（国家安全生产监督管理总局令[2013]第63号修订）第六条</w:t>
      </w:r>
      <w:r>
        <w:rPr>
          <w:rFonts w:hint="eastAsia"/>
          <w:szCs w:val="24"/>
        </w:rPr>
        <w:t>：</w:t>
      </w:r>
      <w:r>
        <w:rPr>
          <w:szCs w:val="24"/>
        </w:rPr>
        <w:t>从业人员300人以上的煤矿、非煤矿矿山、建筑施工单位和危险物品生产、经营单位，应当按照不少于安全生产管理人员15%的比例配备注册安全工程师；安全生产管理人员在7人以下的，至少配备1名。</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ind w:firstLine="560"/>
        <w:rPr>
          <w:rFonts w:hint="eastAsia"/>
        </w:rPr>
      </w:pPr>
      <w:r>
        <w:rPr>
          <w:rFonts w:hint="eastAsia"/>
        </w:rPr>
        <w:t>综上，该公司安全生产管理机构的设置和专职安全生产管理人员（</w:t>
      </w:r>
      <w:r>
        <w:rPr>
          <w:rFonts w:hint="eastAsia"/>
          <w:lang w:val="en-US" w:eastAsia="zh-CN"/>
        </w:rPr>
        <w:t>3</w:t>
      </w:r>
      <w:r>
        <w:rPr>
          <w:rFonts w:hint="eastAsia"/>
        </w:rPr>
        <w:t>名）、注册安全工程师的配备情况符合相关要求。</w:t>
      </w:r>
    </w:p>
    <w:p>
      <w:pPr>
        <w:pStyle w:val="5"/>
        <w:rPr>
          <w:rFonts w:hint="eastAsia"/>
          <w:b w:val="0"/>
          <w:bCs w:val="0"/>
        </w:rPr>
      </w:pPr>
      <w:r>
        <w:rPr>
          <w:rFonts w:hint="eastAsia"/>
          <w:b w:val="0"/>
          <w:bCs w:val="0"/>
        </w:rPr>
        <w:t>2.</w:t>
      </w:r>
      <w:r>
        <w:rPr>
          <w:rFonts w:hint="eastAsia"/>
          <w:b w:val="0"/>
          <w:bCs w:val="0"/>
          <w:lang w:val="en-US" w:eastAsia="zh-CN"/>
        </w:rPr>
        <w:t>5</w:t>
      </w:r>
      <w:r>
        <w:rPr>
          <w:rFonts w:hint="eastAsia"/>
          <w:b w:val="0"/>
          <w:bCs w:val="0"/>
        </w:rPr>
        <w:t>.</w:t>
      </w:r>
      <w:r>
        <w:rPr>
          <w:rFonts w:hint="eastAsia"/>
          <w:b w:val="0"/>
          <w:bCs w:val="0"/>
          <w:lang w:val="en-US" w:eastAsia="zh-CN"/>
        </w:rPr>
        <w:t>3</w:t>
      </w:r>
      <w:r>
        <w:rPr>
          <w:rFonts w:hint="eastAsia"/>
          <w:b w:val="0"/>
          <w:bCs w:val="0"/>
        </w:rPr>
        <w:t xml:space="preserve">  </w:t>
      </w:r>
      <w:r>
        <w:rPr>
          <w:rFonts w:hint="eastAsia" w:ascii="黑体" w:hAnsi="黑体" w:eastAsia="黑体" w:cs="黑体"/>
          <w:b w:val="0"/>
          <w:bCs w:val="0"/>
        </w:rPr>
        <w:t>安全生产规章制度及操作规程</w:t>
      </w:r>
    </w:p>
    <w:p>
      <w:pPr>
        <w:ind w:firstLine="560"/>
        <w:rPr>
          <w:rFonts w:hint="eastAsia"/>
          <w:bCs/>
        </w:rPr>
      </w:pPr>
      <w:r>
        <w:rPr>
          <w:rFonts w:hint="eastAsia"/>
          <w:bCs/>
        </w:rPr>
        <w:t>东营大明钻井有限责任公司认真贯彻了《安全生产法》、《山东省生产经营单位安全生产主体责任规定》等法律法规，公司自成立以来，建立健全了以安全生产责任制为主要内容的各项安全管理制度，根据本单位施工工艺、设备和岗位特点制定了各岗位安全操作规程，并汇编成册。</w:t>
      </w: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outlineLvl w:val="3"/>
        <w:rPr>
          <w:rFonts w:hint="eastAsia"/>
          <w:b/>
          <w:bCs w:val="0"/>
        </w:rPr>
      </w:pPr>
      <w:r>
        <w:rPr>
          <w:rFonts w:hint="eastAsia"/>
          <w:b w:val="0"/>
          <w:bCs/>
          <w:lang w:val="en-US" w:eastAsia="zh-CN"/>
        </w:rPr>
        <w:t xml:space="preserve">2.5.3.1  </w:t>
      </w:r>
      <w:r>
        <w:rPr>
          <w:rFonts w:hint="eastAsia" w:ascii="黑体" w:hAnsi="黑体" w:eastAsia="黑体" w:cs="黑体"/>
          <w:b w:val="0"/>
          <w:bCs/>
        </w:rPr>
        <w:t>安全生产责任制</w:t>
      </w:r>
    </w:p>
    <w:p>
      <w:pPr>
        <w:ind w:firstLine="560"/>
        <w:rPr>
          <w:rFonts w:hint="eastAsia"/>
          <w:bCs/>
        </w:rPr>
      </w:pPr>
      <w:r>
        <w:rPr>
          <w:rFonts w:hint="eastAsia"/>
          <w:bCs/>
        </w:rPr>
        <w:t>安全生产责任制是根据我国的安全生产方针“安全第一，预防为主，综合治理”和安全生产法规建立的各级领导、职能部门</w:t>
      </w:r>
      <w:r>
        <w:rPr>
          <w:rFonts w:hint="eastAsia"/>
          <w:bCs/>
          <w:lang w:val="en-US" w:eastAsia="zh-CN"/>
        </w:rPr>
        <w:t>人员</w:t>
      </w:r>
      <w:r>
        <w:rPr>
          <w:rFonts w:hint="eastAsia"/>
          <w:bCs/>
        </w:rPr>
        <w:t>、工程技术人员、岗位操作人员在劳动生产过程中对安全生产层层负责的制度</w:t>
      </w:r>
      <w:r>
        <w:rPr>
          <w:rFonts w:hint="eastAsia"/>
          <w:bCs/>
          <w:lang w:eastAsia="zh-CN"/>
        </w:rPr>
        <w:t>，</w:t>
      </w:r>
      <w:r>
        <w:rPr>
          <w:rFonts w:hint="eastAsia"/>
          <w:bCs/>
          <w:lang w:val="en-US" w:eastAsia="zh-CN"/>
        </w:rPr>
        <w:t>详见报告附件24</w:t>
      </w:r>
      <w:r>
        <w:rPr>
          <w:rFonts w:hint="eastAsia"/>
          <w:bCs/>
        </w:rPr>
        <w:t>。安全生产责任制是企业岗位责任制的一个组成部分，是企业中最基本的一项安全制度，也是企业安全生产、劳动保护管理制度的核心。该公司已经建立的安全生产责任制主要包括：</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shd w:val="clear" w:color="auto"/>
          <w:lang w:val="en-US" w:eastAsia="zh-CN"/>
        </w:rPr>
      </w:pPr>
      <w:r>
        <w:rPr>
          <w:rFonts w:hint="eastAsia"/>
          <w:lang w:val="en-US" w:eastAsia="zh-CN"/>
        </w:rPr>
        <w:t>该公司已经建立了从经理到一般员工的安全生产责任制以及各部门的安全职责，符合《中华人民共和国安全生产法》（主席令[2014]第13号，[2021]第88号令修正）第二十二条、《山东省安全生产条例》（2021年12月3日山东省第十三届人民代表大会常务委员会第三十二次会议修订）第十六条、《山东省生产经营单位安全生产主体责任规定》（山东省人民政府令[2018]第311号）中第六条、</w:t>
      </w:r>
      <w:r>
        <w:rPr>
          <w:rFonts w:hint="eastAsia"/>
          <w:shd w:val="clear" w:color="auto"/>
          <w:lang w:val="en-US" w:eastAsia="zh-CN"/>
        </w:rPr>
        <w:t>《关于印发山东省生产经营单位全员安全生产责任清单的通知》《鲁安办发〔2021〕50号》的要求。</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3"/>
        <w:rPr>
          <w:rFonts w:hint="eastAsia"/>
          <w:b w:val="0"/>
          <w:bCs w:val="0"/>
          <w:lang w:val="en-US" w:eastAsia="zh-CN"/>
        </w:rPr>
      </w:pPr>
      <w:r>
        <w:rPr>
          <w:rFonts w:hint="eastAsia"/>
          <w:b w:val="0"/>
          <w:bCs w:val="0"/>
          <w:lang w:val="en-US" w:eastAsia="zh-CN"/>
        </w:rPr>
        <w:t xml:space="preserve">2.5.3.2  </w:t>
      </w:r>
      <w:r>
        <w:rPr>
          <w:rFonts w:hint="eastAsia" w:ascii="黑体" w:hAnsi="黑体" w:eastAsia="黑体" w:cs="黑体"/>
          <w:b w:val="0"/>
          <w:bCs w:val="0"/>
          <w:lang w:val="en-US" w:eastAsia="zh-CN"/>
        </w:rPr>
        <w:t>安全生产管理制度</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lang w:val="en-US" w:eastAsia="zh-CN"/>
        </w:rPr>
      </w:pPr>
      <w:r>
        <w:rPr>
          <w:rFonts w:hint="default"/>
          <w:lang w:val="en-US" w:eastAsia="zh-CN"/>
        </w:rPr>
        <w:t>公司制定的安全管理制度有（详见报告附件</w:t>
      </w:r>
      <w:r>
        <w:rPr>
          <w:rFonts w:hint="eastAsia"/>
          <w:lang w:val="en-US" w:eastAsia="zh-CN"/>
        </w:rPr>
        <w:t>25</w:t>
      </w:r>
      <w:r>
        <w:rPr>
          <w:rFonts w:hint="default"/>
          <w:lang w:val="en-US" w:eastAsia="zh-CN"/>
        </w:rPr>
        <w:t>）：</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keepNext w:val="0"/>
        <w:keepLines w:val="0"/>
        <w:pageBreakBefore w:val="0"/>
        <w:widowControl w:val="0"/>
        <w:shd w:val="clear"/>
        <w:kinsoku/>
        <w:wordWrap/>
        <w:overflowPunct/>
        <w:topLinePunct w:val="0"/>
        <w:autoSpaceDE/>
        <w:autoSpaceDN/>
        <w:bidi w:val="0"/>
        <w:adjustRightInd w:val="0"/>
        <w:snapToGrid w:val="0"/>
        <w:spacing w:before="313" w:beforeLines="100" w:line="360" w:lineRule="auto"/>
        <w:ind w:firstLine="560" w:firstLineChars="200"/>
        <w:jc w:val="both"/>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该企业目前</w:t>
      </w:r>
      <w:r>
        <w:rPr>
          <w:rFonts w:hint="eastAsia" w:ascii="Times New Roman" w:hAnsi="Times New Roman" w:eastAsia="宋体" w:cs="Times New Roman"/>
          <w:color w:val="auto"/>
          <w:kern w:val="2"/>
          <w:sz w:val="28"/>
          <w:szCs w:val="24"/>
          <w:lang w:val="en-US" w:eastAsia="zh-CN" w:bidi="ar-SA"/>
        </w:rPr>
        <w:t>运行的安全管理制度健全，经相关负责人审核签发，制度涵盖了《非煤矿矿山企业安全生产许可证实施办法》（原国家安全监管总局令第20号，2015年安全监管总局令第78号修正）第六条</w:t>
      </w:r>
      <w:r>
        <w:rPr>
          <w:rFonts w:hint="eastAsia"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《山东省安全生产条例》（2021年12月3日山东省第十三届人民代表大会常务委员会第三十二次会议修订）第十五条、《山东省生产经营单位安全生产主体责任规定》（山东省人民政府令[2018]第311号）第七条</w:t>
      </w:r>
      <w:r>
        <w:rPr>
          <w:rFonts w:hint="eastAsia" w:ascii="Times New Roman" w:hAnsi="Times New Roman" w:cs="Times New Roman"/>
          <w:color w:val="auto"/>
          <w:kern w:val="2"/>
          <w:sz w:val="28"/>
          <w:szCs w:val="24"/>
          <w:lang w:val="en-US" w:eastAsia="zh-CN" w:bidi="ar-SA"/>
        </w:rPr>
        <w:t>等的内容</w:t>
      </w:r>
      <w:r>
        <w:rPr>
          <w:rFonts w:hint="eastAsia" w:ascii="Times New Roman" w:hAnsi="Times New Roman" w:eastAsia="宋体" w:cs="Times New Roman"/>
          <w:kern w:val="2"/>
          <w:sz w:val="28"/>
          <w:szCs w:val="24"/>
          <w:lang w:val="en-US" w:eastAsia="zh-CN" w:bidi="ar-SA"/>
        </w:rPr>
        <w:t>，且运行情况良好。</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3"/>
        <w:rPr>
          <w:rFonts w:hint="default"/>
          <w:b w:val="0"/>
          <w:bCs w:val="0"/>
          <w:color w:val="auto"/>
          <w:lang w:val="en-US" w:eastAsia="zh-CN"/>
        </w:rPr>
      </w:pPr>
      <w:r>
        <w:rPr>
          <w:rFonts w:hint="eastAsia"/>
          <w:b w:val="0"/>
          <w:bCs w:val="0"/>
          <w:color w:val="auto"/>
          <w:lang w:val="en-US" w:eastAsia="zh-CN"/>
        </w:rPr>
        <w:t xml:space="preserve">2.5.3.3  </w:t>
      </w:r>
      <w:r>
        <w:rPr>
          <w:rFonts w:hint="eastAsia" w:ascii="黑体" w:hAnsi="黑体" w:eastAsia="黑体" w:cs="黑体"/>
          <w:b w:val="0"/>
          <w:bCs w:val="0"/>
          <w:color w:val="auto"/>
          <w:lang w:val="en-US" w:eastAsia="zh-CN"/>
        </w:rPr>
        <w:t>操作规程</w:t>
      </w:r>
    </w:p>
    <w:p>
      <w:pPr>
        <w:adjustRightInd w:val="0"/>
        <w:snapToGrid w:val="0"/>
        <w:spacing w:line="360" w:lineRule="auto"/>
        <w:ind w:firstLine="560" w:firstLineChars="200"/>
        <w:rPr>
          <w:rFonts w:ascii="Times New Roman" w:hAnsi="Times New Roman" w:eastAsia="宋体" w:cs="Times New Roman"/>
          <w:sz w:val="28"/>
          <w:szCs w:val="24"/>
        </w:rPr>
      </w:pPr>
      <w:r>
        <w:rPr>
          <w:rFonts w:hint="eastAsia" w:ascii="Times New Roman" w:hAnsi="Times New Roman" w:eastAsia="宋体" w:cs="Times New Roman"/>
          <w:sz w:val="28"/>
          <w:szCs w:val="24"/>
        </w:rPr>
        <w:t>公司制定的操作规程有</w:t>
      </w:r>
      <w:bookmarkStart w:id="37" w:name="_Hlk536086749"/>
      <w:r>
        <w:rPr>
          <w:rFonts w:hint="eastAsia" w:ascii="Times New Roman" w:hAnsi="Times New Roman" w:eastAsia="宋体" w:cs="Times New Roman"/>
          <w:sz w:val="28"/>
          <w:szCs w:val="24"/>
          <w:shd w:val="clear" w:color="auto" w:fill="auto"/>
        </w:rPr>
        <w:t>安全操作规程</w:t>
      </w:r>
      <w:r>
        <w:rPr>
          <w:rFonts w:hint="eastAsia" w:ascii="Times New Roman" w:hAnsi="Times New Roman" w:eastAsia="宋体" w:cs="Times New Roman"/>
          <w:sz w:val="28"/>
          <w:szCs w:val="24"/>
        </w:rPr>
        <w:t>（</w:t>
      </w:r>
      <w:r>
        <w:rPr>
          <w:rFonts w:hint="eastAsia" w:ascii="Times New Roman" w:hAnsi="Times New Roman" w:eastAsia="宋体" w:cs="Times New Roman"/>
          <w:sz w:val="28"/>
          <w:szCs w:val="24"/>
          <w:lang w:val="en-US" w:eastAsia="zh-CN"/>
        </w:rPr>
        <w:t>大明钻井公司井队</w:t>
      </w:r>
      <w:r>
        <w:rPr>
          <w:rFonts w:hint="eastAsia" w:ascii="Times New Roman" w:hAnsi="Times New Roman" w:eastAsia="宋体" w:cs="Times New Roman"/>
          <w:sz w:val="28"/>
          <w:szCs w:val="24"/>
        </w:rPr>
        <w:t>岗位安全操作规程、</w:t>
      </w:r>
      <w:bookmarkEnd w:id="37"/>
      <w:bookmarkStart w:id="38" w:name="_Toc461093892"/>
      <w:bookmarkStart w:id="39" w:name="_Toc461089791"/>
      <w:bookmarkStart w:id="40" w:name="_Toc458067915"/>
      <w:bookmarkStart w:id="41" w:name="_Toc461089917"/>
      <w:r>
        <w:rPr>
          <w:rFonts w:hint="eastAsia" w:ascii="Times New Roman" w:hAnsi="Times New Roman" w:eastAsia="宋体" w:cs="Times New Roman"/>
          <w:sz w:val="28"/>
          <w:szCs w:val="24"/>
        </w:rPr>
        <w:t>钻井设备使用规程</w:t>
      </w:r>
      <w:bookmarkEnd w:id="38"/>
      <w:bookmarkEnd w:id="39"/>
      <w:bookmarkEnd w:id="40"/>
      <w:bookmarkEnd w:id="41"/>
      <w:r>
        <w:rPr>
          <w:rFonts w:hint="eastAsia" w:ascii="Times New Roman" w:hAnsi="Times New Roman" w:eastAsia="宋体" w:cs="Times New Roman"/>
          <w:sz w:val="28"/>
          <w:szCs w:val="24"/>
        </w:rPr>
        <w:t>及钻井施工作业安全技术操作规程）</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default" w:ascii="Times New Roman" w:hAnsi="Times New Roman" w:eastAsia="宋体" w:cs="Times New Roman"/>
          <w:lang w:val="zh-CN" w:eastAsia="zh-CN"/>
        </w:rPr>
      </w:pPr>
      <w:r>
        <w:rPr>
          <w:rFonts w:hint="default" w:ascii="Times New Roman" w:hAnsi="Times New Roman" w:eastAsia="宋体" w:cs="Times New Roman"/>
          <w:lang w:val="zh-CN" w:eastAsia="zh-CN"/>
        </w:rPr>
        <w:t>企业制定了井队岗位安全操作规程、钻井设备使用规程及钻井施工作业安全技术操作规程，且现已执行</w:t>
      </w:r>
      <w:r>
        <w:rPr>
          <w:rFonts w:hint="eastAsia" w:ascii="Times New Roman" w:hAnsi="Times New Roman" w:eastAsia="宋体" w:cs="Times New Roman"/>
          <w:lang w:val="zh-CN" w:eastAsia="zh-CN"/>
        </w:rPr>
        <w:t>，</w:t>
      </w:r>
      <w:r>
        <w:rPr>
          <w:rFonts w:hint="eastAsia" w:cs="Times New Roman"/>
          <w:lang w:val="en-US" w:eastAsia="zh-CN"/>
        </w:rPr>
        <w:t>符合</w:t>
      </w:r>
      <w:r>
        <w:rPr>
          <w:rFonts w:hint="default" w:ascii="Times New Roman" w:hAnsi="Times New Roman" w:eastAsia="宋体" w:cs="Times New Roman"/>
          <w:lang w:val="zh-CN" w:eastAsia="zh-CN"/>
        </w:rPr>
        <w:t>《山东省生产经营单位安全生产主体责任规定》（山东省人民政府令[2018]第311号）中第七条</w:t>
      </w:r>
      <w:r>
        <w:rPr>
          <w:rFonts w:hint="eastAsia" w:ascii="Times New Roman" w:hAnsi="Times New Roman" w:eastAsia="宋体" w:cs="Times New Roman"/>
          <w:lang w:val="en-US" w:eastAsia="zh-CN"/>
        </w:rPr>
        <w:t>等相关</w:t>
      </w:r>
      <w:r>
        <w:rPr>
          <w:rFonts w:hint="default" w:ascii="Times New Roman" w:hAnsi="Times New Roman" w:eastAsia="宋体" w:cs="Times New Roman"/>
          <w:lang w:val="zh-CN" w:eastAsia="zh-CN"/>
        </w:rPr>
        <w:t>要求。</w:t>
      </w:r>
    </w:p>
    <w:p>
      <w:pPr>
        <w:pStyle w:val="5"/>
        <w:rPr>
          <w:snapToGrid w:val="0"/>
          <w:kern w:val="0"/>
        </w:rPr>
      </w:pPr>
      <w:r>
        <w:rPr>
          <w:rFonts w:hint="eastAsia"/>
          <w:b w:val="0"/>
          <w:bCs w:val="0"/>
          <w:snapToGrid w:val="0"/>
          <w:kern w:val="0"/>
        </w:rPr>
        <w:t>2.</w:t>
      </w:r>
      <w:r>
        <w:rPr>
          <w:rFonts w:hint="eastAsia"/>
          <w:b w:val="0"/>
          <w:bCs w:val="0"/>
          <w:snapToGrid w:val="0"/>
          <w:kern w:val="0"/>
          <w:lang w:val="en-US" w:eastAsia="zh-CN"/>
        </w:rPr>
        <w:t>5</w:t>
      </w:r>
      <w:r>
        <w:rPr>
          <w:rFonts w:hint="eastAsia"/>
          <w:b w:val="0"/>
          <w:bCs w:val="0"/>
          <w:snapToGrid w:val="0"/>
          <w:kern w:val="0"/>
        </w:rPr>
        <w:t xml:space="preserve">.4  </w:t>
      </w:r>
      <w:r>
        <w:rPr>
          <w:rFonts w:hint="eastAsia" w:ascii="黑体" w:hAnsi="黑体" w:eastAsia="黑体" w:cs="黑体"/>
          <w:b w:val="0"/>
          <w:bCs w:val="0"/>
        </w:rPr>
        <w:t>安全培训及持证上岗情况</w:t>
      </w:r>
    </w:p>
    <w:p>
      <w:pPr>
        <w:ind w:firstLine="560"/>
        <w:rPr>
          <w:rFonts w:hint="eastAsia"/>
          <w:bCs/>
          <w:lang w:val="en-US" w:eastAsia="zh-CN"/>
        </w:rPr>
      </w:pPr>
      <w:r>
        <w:rPr>
          <w:rFonts w:hint="eastAsia"/>
          <w:bCs/>
          <w:lang w:val="en-US" w:eastAsia="zh-CN"/>
        </w:rPr>
        <w:t>在安全教育培训方面，东营大明钻井有限责任公司始终严格执行安全教育培训制度，本着“培训指导于生产，培训服务于生产”的指导思想，坚持“立足实际、突出重点、讲求实效”的工作原则，积极采取各种措施，分层次、分专业有效的开展一系列安全教育培训工作。</w:t>
      </w: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outlineLvl w:val="3"/>
        <w:rPr>
          <w:rFonts w:hint="eastAsia"/>
          <w:b w:val="0"/>
          <w:bCs/>
          <w:lang w:val="en-US" w:eastAsia="zh-CN"/>
        </w:rPr>
      </w:pPr>
      <w:r>
        <w:rPr>
          <w:rFonts w:hint="eastAsia"/>
          <w:b w:val="0"/>
          <w:bCs/>
          <w:lang w:val="en-US" w:eastAsia="zh-CN"/>
        </w:rPr>
        <w:t xml:space="preserve">2.5.4.1 </w:t>
      </w:r>
      <w:r>
        <w:rPr>
          <w:rFonts w:hint="eastAsia" w:ascii="黑体" w:hAnsi="黑体" w:eastAsia="黑体" w:cs="黑体"/>
          <w:b w:val="0"/>
          <w:bCs/>
          <w:lang w:val="en-US" w:eastAsia="zh-CN"/>
        </w:rPr>
        <w:t>主要负责人和安全管理人员安全生产知识和管理能力及培训持证情况</w:t>
      </w:r>
    </w:p>
    <w:p>
      <w:pPr>
        <w:ind w:firstLine="560"/>
        <w:rPr>
          <w:rFonts w:hint="eastAsia"/>
          <w:bCs/>
        </w:rPr>
      </w:pPr>
      <w:r>
        <w:rPr>
          <w:rFonts w:hint="eastAsia"/>
          <w:bCs/>
        </w:rPr>
        <w:t>根据《中华人民共和国安全生产法》（主席令[2014]第13号</w:t>
      </w:r>
      <w:r>
        <w:rPr>
          <w:rFonts w:hint="eastAsia"/>
          <w:bCs/>
          <w:lang w:eastAsia="zh-CN"/>
        </w:rPr>
        <w:t>，</w:t>
      </w:r>
      <w:r>
        <w:rPr>
          <w:rFonts w:hint="eastAsia"/>
          <w:bCs/>
        </w:rPr>
        <w:t>[20</w:t>
      </w:r>
      <w:r>
        <w:rPr>
          <w:rFonts w:hint="eastAsia"/>
          <w:bCs/>
          <w:lang w:val="en-US" w:eastAsia="zh-CN"/>
        </w:rPr>
        <w:t>21</w:t>
      </w:r>
      <w:r>
        <w:rPr>
          <w:rFonts w:hint="eastAsia"/>
          <w:bCs/>
        </w:rPr>
        <w:t>]第</w:t>
      </w:r>
      <w:r>
        <w:rPr>
          <w:rFonts w:hint="eastAsia"/>
          <w:bCs/>
          <w:lang w:val="en-US" w:eastAsia="zh-CN"/>
        </w:rPr>
        <w:t>88号令修正</w:t>
      </w:r>
      <w:r>
        <w:rPr>
          <w:rFonts w:hint="eastAsia"/>
          <w:bCs/>
        </w:rPr>
        <w:t>）第二十</w:t>
      </w:r>
      <w:r>
        <w:rPr>
          <w:rFonts w:hint="eastAsia"/>
          <w:bCs/>
          <w:lang w:val="en-US" w:eastAsia="zh-CN"/>
        </w:rPr>
        <w:t>七</w:t>
      </w:r>
      <w:r>
        <w:rPr>
          <w:rFonts w:hint="eastAsia"/>
          <w:bCs/>
        </w:rPr>
        <w:t>条</w:t>
      </w:r>
      <w:r>
        <w:rPr>
          <w:rFonts w:hint="eastAsia"/>
          <w:bCs/>
          <w:lang w:eastAsia="zh-CN"/>
        </w:rPr>
        <w:t>：</w:t>
      </w:r>
      <w:r>
        <w:rPr>
          <w:rFonts w:hint="eastAsia"/>
          <w:bCs/>
        </w:rPr>
        <w:t>“矿山单位的主要负责人和安全生产管理人员，应当由主管的负有安全生产监督管理职责的部门对其安全生产知识和管理能力考核合格。矿山单位应当有注册安全工程师从事安全生产管理工作</w:t>
      </w:r>
      <w:r>
        <w:rPr>
          <w:rFonts w:hint="eastAsia"/>
          <w:bCs/>
          <w:lang w:eastAsia="zh-CN"/>
        </w:rPr>
        <w:t>”</w:t>
      </w:r>
      <w:r>
        <w:rPr>
          <w:rFonts w:hint="eastAsia"/>
          <w:bCs/>
        </w:rPr>
        <w:t>。</w:t>
      </w:r>
    </w:p>
    <w:p>
      <w:pPr>
        <w:ind w:firstLine="560"/>
        <w:rPr>
          <w:rFonts w:hint="eastAsia"/>
          <w:bCs/>
        </w:rPr>
      </w:pPr>
      <w:r>
        <w:rPr>
          <w:rFonts w:hint="eastAsia"/>
          <w:bCs/>
          <w:lang w:eastAsia="zh-CN"/>
        </w:rPr>
        <w:t>《生产经营单位安全培训规定》（</w:t>
      </w:r>
      <w:r>
        <w:rPr>
          <w:rFonts w:hint="eastAsia"/>
          <w:bCs/>
          <w:lang w:val="en-US" w:eastAsia="zh-CN"/>
        </w:rPr>
        <w:t>原国家安监总局令第3号，2015年修订</w:t>
      </w:r>
      <w:r>
        <w:rPr>
          <w:rFonts w:hint="eastAsia"/>
          <w:bCs/>
          <w:lang w:eastAsia="zh-CN"/>
        </w:rPr>
        <w:t>）</w:t>
      </w:r>
      <w:r>
        <w:rPr>
          <w:rFonts w:hint="eastAsia"/>
          <w:bCs/>
          <w:lang w:val="en-US" w:eastAsia="zh-CN"/>
        </w:rPr>
        <w:t>第二十四</w:t>
      </w:r>
      <w:r>
        <w:rPr>
          <w:rFonts w:hint="eastAsia"/>
          <w:bCs/>
          <w:lang w:eastAsia="zh-CN"/>
        </w:rPr>
        <w:t>条：“</w:t>
      </w:r>
      <w:r>
        <w:rPr>
          <w:rFonts w:hint="eastAsia"/>
          <w:bCs/>
        </w:rPr>
        <w:t>煤矿、非煤矿山、危险化学品、烟花爆竹、金属冶炼等生产经营单位主要负责人和安全生产管理人员，自任职之日起6个月内，必须经安全生产监管监察部门对其安全生产知识和管理能力考核合格</w:t>
      </w:r>
      <w:r>
        <w:rPr>
          <w:rFonts w:hint="eastAsia"/>
          <w:bCs/>
          <w:lang w:eastAsia="zh-CN"/>
        </w:rPr>
        <w:t>”</w:t>
      </w:r>
      <w:r>
        <w:rPr>
          <w:rFonts w:hint="eastAsia"/>
          <w:bCs/>
        </w:rPr>
        <w:t>。</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textAlignment w:val="auto"/>
        <w:rPr>
          <w:rFonts w:hint="eastAsia"/>
        </w:rPr>
      </w:pPr>
      <w:r>
        <w:rPr>
          <w:rFonts w:hint="eastAsia"/>
        </w:rPr>
        <w:t>综上，公司主要负责人和安全管理人员安全生产知识和管理能力，培训持证情况符合相关要求。</w:t>
      </w: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outlineLvl w:val="3"/>
        <w:rPr>
          <w:rFonts w:hint="eastAsia"/>
          <w:b/>
          <w:bCs w:val="0"/>
          <w:lang w:val="en-US" w:eastAsia="zh-CN"/>
        </w:rPr>
      </w:pPr>
      <w:r>
        <w:rPr>
          <w:rFonts w:hint="eastAsia"/>
          <w:b w:val="0"/>
          <w:bCs/>
          <w:lang w:val="en-US" w:eastAsia="zh-CN"/>
        </w:rPr>
        <w:t xml:space="preserve">2.5.4.2 </w:t>
      </w:r>
      <w:r>
        <w:rPr>
          <w:rFonts w:hint="eastAsia" w:ascii="黑体" w:hAnsi="黑体" w:eastAsia="黑体" w:cs="黑体"/>
          <w:b w:val="0"/>
          <w:bCs/>
          <w:lang w:val="en-US" w:eastAsia="zh-CN"/>
        </w:rPr>
        <w:t>特种作业人员教育培训及持证情况</w:t>
      </w:r>
    </w:p>
    <w:p>
      <w:pPr>
        <w:adjustRightInd w:val="0"/>
        <w:snapToGrid w:val="0"/>
        <w:spacing w:line="360" w:lineRule="auto"/>
        <w:ind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根据《特种作业人员安全技术培训考核管理规定》（国家安全生产监督管理总局令[2010]第30号，2015修订版）规定的要求：特种作业人员必须经专门的安全技术培训并考核合格，取得《中华人民共和国特种作业操作证》（以下简称特种作业操作证）后，方可上岗作业。</w:t>
      </w:r>
    </w:p>
    <w:p>
      <w:pPr>
        <w:adjustRightInd w:val="0"/>
        <w:snapToGrid w:val="0"/>
        <w:spacing w:line="360" w:lineRule="auto"/>
        <w:ind w:firstLine="560" w:firstLineChars="200"/>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rPr>
        <w:t>目前，</w:t>
      </w:r>
      <w:r>
        <w:rPr>
          <w:rFonts w:hint="eastAsia" w:ascii="Times New Roman" w:hAnsi="Times New Roman" w:eastAsia="宋体" w:cs="Times New Roman"/>
          <w:sz w:val="28"/>
          <w:szCs w:val="28"/>
          <w:lang w:eastAsia="zh-CN"/>
        </w:rPr>
        <w:t>东营大明钻井有限责任公司</w:t>
      </w:r>
      <w:r>
        <w:rPr>
          <w:rFonts w:hint="eastAsia" w:ascii="Times New Roman" w:hAnsi="Times New Roman" w:eastAsia="宋体" w:cs="Times New Roman"/>
          <w:sz w:val="28"/>
          <w:szCs w:val="28"/>
          <w:lang w:val="en-US" w:eastAsia="zh-CN"/>
        </w:rPr>
        <w:t>制定了《</w:t>
      </w:r>
      <w:r>
        <w:rPr>
          <w:rFonts w:hint="eastAsia" w:ascii="Times New Roman" w:hAnsi="Times New Roman" w:eastAsia="宋体" w:cs="Times New Roman"/>
          <w:sz w:val="28"/>
          <w:szCs w:val="28"/>
          <w:lang w:val="en-US" w:eastAsia="zh-CN"/>
        </w:rPr>
        <w:fldChar w:fldCharType="begin"/>
      </w:r>
      <w:r>
        <w:rPr>
          <w:rFonts w:hint="eastAsia" w:ascii="Times New Roman" w:hAnsi="Times New Roman" w:eastAsia="宋体" w:cs="Times New Roman"/>
          <w:sz w:val="28"/>
          <w:szCs w:val="28"/>
          <w:lang w:val="en-US" w:eastAsia="zh-CN"/>
        </w:rPr>
        <w:instrText xml:space="preserve"> HYPERLINK \l _Toc21400 </w:instrText>
      </w:r>
      <w:r>
        <w:rPr>
          <w:rFonts w:hint="eastAsia" w:ascii="Times New Roman" w:hAnsi="Times New Roman" w:eastAsia="宋体" w:cs="Times New Roman"/>
          <w:sz w:val="28"/>
          <w:szCs w:val="28"/>
          <w:lang w:val="en-US" w:eastAsia="zh-CN"/>
        </w:rPr>
        <w:fldChar w:fldCharType="separate"/>
      </w:r>
      <w:r>
        <w:rPr>
          <w:rFonts w:hint="eastAsia" w:ascii="Times New Roman" w:hAnsi="Times New Roman" w:eastAsia="宋体" w:cs="Times New Roman"/>
          <w:sz w:val="28"/>
          <w:szCs w:val="28"/>
          <w:lang w:val="en-US" w:eastAsia="zh-CN"/>
        </w:rPr>
        <w:t>特种作业人员管理制度</w:t>
      </w:r>
      <w:r>
        <w:rPr>
          <w:rFonts w:hint="eastAsia" w:ascii="Times New Roman" w:hAnsi="Times New Roman" w:eastAsia="宋体" w:cs="Times New Roman"/>
          <w:sz w:val="28"/>
          <w:szCs w:val="28"/>
          <w:lang w:val="en-US" w:eastAsia="zh-CN"/>
        </w:rPr>
        <w:fldChar w:fldCharType="end"/>
      </w:r>
      <w:r>
        <w:rPr>
          <w:rFonts w:hint="eastAsia"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rPr>
        <w:t>从业人员经专门的安全技术培训并考核合格</w:t>
      </w:r>
      <w:r>
        <w:rPr>
          <w:rFonts w:hint="eastAsia" w:ascii="Times New Roman" w:hAnsi="Times New Roman" w:eastAsia="宋体" w:cs="Times New Roman"/>
          <w:sz w:val="28"/>
          <w:szCs w:val="28"/>
          <w:lang w:eastAsia="zh-CN"/>
        </w:rPr>
        <w:t>，</w:t>
      </w:r>
      <w:r>
        <w:rPr>
          <w:rFonts w:hint="eastAsia" w:ascii="Times New Roman" w:hAnsi="Times New Roman" w:eastAsia="宋体" w:cs="Times New Roman"/>
          <w:sz w:val="28"/>
          <w:szCs w:val="28"/>
          <w:lang w:val="en-US" w:eastAsia="zh-CN"/>
        </w:rPr>
        <w:t>公司涉及的特种作业类型有电工作业、焊接与热切割作业</w:t>
      </w:r>
      <w:r>
        <w:rPr>
          <w:rFonts w:hint="eastAsia" w:cs="Times New Roman"/>
          <w:sz w:val="28"/>
          <w:szCs w:val="28"/>
          <w:lang w:val="en-US" w:eastAsia="zh-CN"/>
        </w:rPr>
        <w:t>、</w:t>
      </w:r>
      <w:r>
        <w:rPr>
          <w:rFonts w:hint="eastAsia" w:ascii="Times New Roman" w:hAnsi="Times New Roman" w:eastAsia="宋体" w:cs="Times New Roman"/>
          <w:sz w:val="28"/>
          <w:szCs w:val="28"/>
          <w:lang w:val="en-US" w:eastAsia="zh-CN"/>
        </w:rPr>
        <w:t>高处作业、石油天然气安全作业（司钻作业），公司特种作业人员</w:t>
      </w:r>
      <w:r>
        <w:rPr>
          <w:rFonts w:hint="eastAsia" w:cs="Times New Roman"/>
          <w:sz w:val="28"/>
          <w:szCs w:val="28"/>
          <w:lang w:val="en-US" w:eastAsia="zh-CN"/>
        </w:rPr>
        <w:t>取证情况符合</w:t>
      </w:r>
      <w:r>
        <w:rPr>
          <w:rFonts w:hint="eastAsia" w:ascii="Times New Roman" w:hAnsi="Times New Roman" w:eastAsia="宋体" w:cs="Times New Roman"/>
          <w:sz w:val="28"/>
          <w:szCs w:val="28"/>
        </w:rPr>
        <w:t>《特种作业人员安全技术培训考核管理规定》（国家安全生产监督管理总局令[2010]第30号，2015修订版）</w:t>
      </w:r>
      <w:r>
        <w:rPr>
          <w:rFonts w:hint="eastAsia" w:cs="Times New Roman"/>
          <w:sz w:val="28"/>
          <w:szCs w:val="28"/>
          <w:lang w:val="en-US" w:eastAsia="zh-CN"/>
        </w:rPr>
        <w:t>等相关要求，特种作业人员</w:t>
      </w:r>
      <w:r>
        <w:rPr>
          <w:rFonts w:hint="eastAsia" w:ascii="Times New Roman" w:hAnsi="Times New Roman" w:eastAsia="宋体" w:cs="Times New Roman"/>
          <w:sz w:val="28"/>
          <w:szCs w:val="28"/>
          <w:lang w:val="en-US" w:eastAsia="zh-CN"/>
        </w:rPr>
        <w:t>清单详见表2-</w:t>
      </w:r>
      <w:r>
        <w:rPr>
          <w:rFonts w:hint="eastAsia" w:cs="Times New Roman"/>
          <w:sz w:val="28"/>
          <w:szCs w:val="28"/>
          <w:lang w:val="en-US" w:eastAsia="zh-CN"/>
        </w:rPr>
        <w:t>6</w:t>
      </w:r>
      <w:r>
        <w:rPr>
          <w:rFonts w:hint="eastAsia" w:ascii="Times New Roman" w:hAnsi="Times New Roman" w:eastAsia="宋体" w:cs="Times New Roman"/>
          <w:sz w:val="28"/>
          <w:szCs w:val="28"/>
          <w:lang w:val="en-US" w:eastAsia="zh-CN"/>
        </w:rPr>
        <w:t>特种作业人员持证情况一览表，特种作业人员证详见报告附件9。</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outlineLvl w:val="3"/>
        <w:rPr>
          <w:rFonts w:hint="eastAsia"/>
          <w:b w:val="0"/>
          <w:bCs/>
          <w:lang w:val="en-US" w:eastAsia="zh-CN"/>
        </w:rPr>
      </w:pPr>
      <w:r>
        <w:rPr>
          <w:rFonts w:hint="eastAsia"/>
          <w:b w:val="0"/>
          <w:bCs/>
          <w:lang w:val="en-US" w:eastAsia="zh-CN"/>
        </w:rPr>
        <w:t xml:space="preserve">2.5.4.3 </w:t>
      </w:r>
      <w:r>
        <w:rPr>
          <w:rFonts w:hint="eastAsia" w:ascii="黑体" w:hAnsi="黑体" w:eastAsia="黑体" w:cs="黑体"/>
          <w:b w:val="0"/>
          <w:bCs/>
          <w:lang w:val="en-US" w:eastAsia="zh-CN"/>
        </w:rPr>
        <w:t>其他从业人员教育培训及持证情况</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lang w:val="en-US" w:eastAsia="zh-CN"/>
        </w:rPr>
      </w:pPr>
      <w:r>
        <w:rPr>
          <w:rFonts w:hint="eastAsia"/>
          <w:lang w:val="en-US" w:eastAsia="zh-CN"/>
        </w:rPr>
        <w:t>根据山东省、东营市全员安全生产“大学习、大培训、大考试”专项行动要求，大明钻井公司深入推进工作开展，筑牢安全防线，切实提高全体干部职工对安全生产法律、法规、规章、标准、应知应会知识的掌握程度，并将“大学习、大培训、大考试”专项行动培训列入2022年安全教育培训计划。</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lang w:val="en-US" w:eastAsia="zh-CN"/>
        </w:rPr>
      </w:pPr>
      <w:r>
        <w:rPr>
          <w:rFonts w:hint="eastAsia"/>
          <w:lang w:val="en-US" w:eastAsia="zh-CN"/>
        </w:rPr>
        <w:t>东营大明钻井有限责任公司按照《生产经营单位安全培训规定》（原国家安监总局令第3号，2015年修订）第十三条：“煤矿、非煤矿山、危险化学品、烟花爆竹、金属冶炼等生产经营单位新上岗的从业人员安全培训时间不得少于72学时，每年再培训的时间不得少于20学时”的要求制定了2022年安全教育培训计划，并对新员工进行公司级、井队级、班组级安全教育培训，详见报告附件22。</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lang w:val="en-US" w:eastAsia="zh-CN"/>
        </w:rPr>
      </w:pPr>
      <w:r>
        <w:rPr>
          <w:rFonts w:hint="eastAsia"/>
          <w:lang w:val="en-US" w:eastAsia="zh-CN"/>
        </w:rPr>
        <w:t>目前东营大明钻井有限责任公司负责现场作业管理、安全检查、监督的管理人员、现场作业人员持有硫化氢防护培训合格证、井控培训合格证和健康安全环境管理培训证书，建议企业及时组织证件过期或即将过期人员培训学习，待取证合格后进入施工现场工作。硫化氢防护培训合格证、井控培训合格证和健康安全环境管理培训证具体持证情况见下表。</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rPr>
        <w:sectPr>
          <w:pgSz w:w="11906" w:h="16838"/>
          <w:pgMar w:top="1440" w:right="1803" w:bottom="1440" w:left="1803" w:header="850" w:footer="992" w:gutter="0"/>
          <w:pgBorders>
            <w:top w:val="none" w:sz="0" w:space="0"/>
            <w:left w:val="none" w:sz="0" w:space="0"/>
            <w:bottom w:val="none" w:sz="0" w:space="0"/>
            <w:right w:val="none" w:sz="0" w:space="0"/>
          </w:pgBorders>
          <w:cols w:space="0" w:num="1"/>
          <w:rtlGutter w:val="0"/>
          <w:docGrid w:linePitch="312" w:charSpace="0"/>
        </w:sectPr>
      </w:pP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2"/>
        <w:keepNext w:val="0"/>
        <w:keepLines w:val="0"/>
        <w:pageBreakBefore w:val="0"/>
        <w:widowControl w:val="0"/>
        <w:kinsoku/>
        <w:wordWrap/>
        <w:overflowPunct/>
        <w:topLinePunct w:val="0"/>
        <w:autoSpaceDE/>
        <w:autoSpaceDN/>
        <w:bidi w:val="0"/>
        <w:adjustRightInd w:val="0"/>
        <w:snapToGrid w:val="0"/>
        <w:spacing w:before="157" w:beforeLines="50" w:line="360" w:lineRule="auto"/>
        <w:ind w:left="0" w:leftChars="0" w:firstLine="0" w:firstLineChars="0"/>
        <w:jc w:val="both"/>
        <w:textAlignment w:val="auto"/>
        <w:rPr>
          <w:rFonts w:hint="eastAsia" w:ascii="Times New Roman" w:hAnsi="Times New Roman" w:eastAsia="宋体" w:cs="Times New Roman"/>
          <w:bCs/>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color w:val="auto"/>
          <w:kern w:val="2"/>
          <w:sz w:val="24"/>
          <w:szCs w:val="24"/>
          <w:lang w:val="en-US" w:eastAsia="zh-CN" w:bidi="ar-SA"/>
        </w:rPr>
        <w:sectPr>
          <w:pgSz w:w="16838" w:h="11906" w:orient="landscape"/>
          <w:pgMar w:top="1803" w:right="1440" w:bottom="1803" w:left="1440" w:header="850" w:footer="992" w:gutter="0"/>
          <w:pgBorders>
            <w:top w:val="none" w:sz="0" w:space="0"/>
            <w:left w:val="none" w:sz="0" w:space="0"/>
            <w:bottom w:val="none" w:sz="0" w:space="0"/>
            <w:right w:val="none" w:sz="0" w:space="0"/>
          </w:pgBorders>
          <w:cols w:space="0" w:num="1"/>
          <w:rtlGutter w:val="0"/>
          <w:docGrid w:linePitch="312" w:charSpace="0"/>
        </w:sectPr>
      </w:pPr>
    </w:p>
    <w:p>
      <w:pPr>
        <w:pStyle w:val="5"/>
        <w:keepNext/>
        <w:keepLines/>
        <w:pageBreakBefore w:val="0"/>
        <w:widowControl w:val="0"/>
        <w:kinsoku/>
        <w:wordWrap/>
        <w:overflowPunct/>
        <w:topLinePunct w:val="0"/>
        <w:autoSpaceDE/>
        <w:autoSpaceDN/>
        <w:bidi w:val="0"/>
        <w:adjustRightInd w:val="0"/>
        <w:snapToGrid w:val="0"/>
        <w:spacing w:before="157" w:beforeLines="50"/>
        <w:textAlignment w:val="auto"/>
        <w:rPr>
          <w:b w:val="0"/>
          <w:bCs w:val="0"/>
        </w:rPr>
      </w:pPr>
      <w:r>
        <w:rPr>
          <w:b w:val="0"/>
          <w:bCs w:val="0"/>
        </w:rPr>
        <w:t>2.</w:t>
      </w:r>
      <w:r>
        <w:rPr>
          <w:rFonts w:hint="eastAsia"/>
          <w:b w:val="0"/>
          <w:bCs w:val="0"/>
          <w:lang w:val="en-US" w:eastAsia="zh-CN"/>
        </w:rPr>
        <w:t>5</w:t>
      </w:r>
      <w:r>
        <w:rPr>
          <w:b w:val="0"/>
          <w:bCs w:val="0"/>
        </w:rPr>
        <w:t>.5</w:t>
      </w:r>
      <w:r>
        <w:rPr>
          <w:rFonts w:hint="eastAsia"/>
          <w:b w:val="0"/>
          <w:bCs w:val="0"/>
        </w:rPr>
        <w:t xml:space="preserve">  </w:t>
      </w:r>
      <w:r>
        <w:rPr>
          <w:rFonts w:hint="eastAsia" w:ascii="黑体" w:hAnsi="黑体" w:eastAsia="黑体" w:cs="黑体"/>
          <w:b w:val="0"/>
          <w:bCs w:val="0"/>
        </w:rPr>
        <w:t>设备设施检测</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5"/>
        <w:shd w:val="clear"/>
        <w:rPr>
          <w:rFonts w:hint="default" w:eastAsia="宋体"/>
          <w:lang w:val="en-US" w:eastAsia="zh-CN"/>
        </w:rPr>
      </w:pPr>
      <w:r>
        <w:rPr>
          <w:b w:val="0"/>
          <w:bCs w:val="0"/>
        </w:rPr>
        <w:t>2.</w:t>
      </w:r>
      <w:r>
        <w:rPr>
          <w:rFonts w:hint="eastAsia"/>
          <w:b w:val="0"/>
          <w:bCs w:val="0"/>
          <w:lang w:val="en-US" w:eastAsia="zh-CN"/>
        </w:rPr>
        <w:t>5</w:t>
      </w:r>
      <w:r>
        <w:rPr>
          <w:b w:val="0"/>
          <w:bCs w:val="0"/>
        </w:rPr>
        <w:t>.6</w:t>
      </w:r>
      <w:r>
        <w:t xml:space="preserve"> </w:t>
      </w:r>
      <w:r>
        <w:rPr>
          <w:rFonts w:hint="eastAsia"/>
        </w:rPr>
        <w:t xml:space="preserve"> </w:t>
      </w:r>
      <w:r>
        <w:rPr>
          <w:rFonts w:hint="eastAsia" w:ascii="黑体" w:hAnsi="黑体" w:eastAsia="黑体" w:cs="黑体"/>
          <w:b w:val="0"/>
          <w:bCs w:val="0"/>
        </w:rPr>
        <w:t>应急预案</w:t>
      </w:r>
      <w:r>
        <w:rPr>
          <w:rFonts w:hint="eastAsia" w:ascii="黑体" w:hAnsi="黑体" w:eastAsia="黑体" w:cs="黑体"/>
          <w:b w:val="0"/>
          <w:bCs w:val="0"/>
          <w:lang w:val="en-US" w:eastAsia="zh-CN"/>
        </w:rPr>
        <w:t>及演练</w:t>
      </w: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outlineLvl w:val="3"/>
        <w:rPr>
          <w:rFonts w:hint="eastAsia"/>
          <w:bCs/>
        </w:rPr>
      </w:pPr>
      <w:r>
        <w:rPr>
          <w:rFonts w:hint="eastAsia" w:ascii="Times New Roman" w:eastAsia="宋体"/>
          <w:b w:val="0"/>
          <w:bCs/>
          <w:lang w:val="en-US" w:eastAsia="zh-CN"/>
        </w:rPr>
        <w:t>2.5.</w:t>
      </w:r>
      <w:r>
        <w:rPr>
          <w:rFonts w:hint="eastAsia" w:ascii="Times New Roman"/>
          <w:b w:val="0"/>
          <w:bCs/>
          <w:lang w:val="en-US" w:eastAsia="zh-CN"/>
        </w:rPr>
        <w:t>6</w:t>
      </w:r>
      <w:r>
        <w:rPr>
          <w:rFonts w:hint="eastAsia" w:ascii="Times New Roman" w:eastAsia="宋体"/>
          <w:b w:val="0"/>
          <w:bCs/>
          <w:lang w:val="en-US" w:eastAsia="zh-CN"/>
        </w:rPr>
        <w:t xml:space="preserve">.1 </w:t>
      </w:r>
      <w:r>
        <w:rPr>
          <w:rFonts w:hint="eastAsia" w:ascii="黑体" w:hAnsi="黑体" w:eastAsia="黑体" w:cs="黑体"/>
          <w:b w:val="0"/>
          <w:bCs/>
          <w:lang w:val="en-US" w:eastAsia="zh-CN"/>
        </w:rPr>
        <w:t>事故应急救援预案的编制情况</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3"/>
        <w:rPr>
          <w:rFonts w:hint="eastAsia" w:ascii="Times New Roman" w:eastAsia="宋体"/>
          <w:b w:val="0"/>
          <w:bCs/>
          <w:lang w:val="en-US" w:eastAsia="zh-CN"/>
        </w:rPr>
      </w:pPr>
      <w:r>
        <w:rPr>
          <w:rFonts w:hint="eastAsia" w:ascii="Times New Roman" w:eastAsia="宋体"/>
          <w:b w:val="0"/>
          <w:bCs/>
          <w:lang w:val="en-US" w:eastAsia="zh-CN"/>
        </w:rPr>
        <w:t>2.5.</w:t>
      </w:r>
      <w:r>
        <w:rPr>
          <w:rFonts w:hint="eastAsia" w:ascii="Times New Roman"/>
          <w:b w:val="0"/>
          <w:bCs/>
          <w:lang w:val="en-US" w:eastAsia="zh-CN"/>
        </w:rPr>
        <w:t>6</w:t>
      </w:r>
      <w:r>
        <w:rPr>
          <w:rFonts w:hint="eastAsia" w:ascii="Times New Roman" w:eastAsia="宋体"/>
          <w:b w:val="0"/>
          <w:bCs/>
          <w:lang w:val="en-US" w:eastAsia="zh-CN"/>
        </w:rPr>
        <w:t>.</w:t>
      </w:r>
      <w:r>
        <w:rPr>
          <w:rFonts w:hint="eastAsia" w:ascii="Times New Roman"/>
          <w:b w:val="0"/>
          <w:bCs/>
          <w:lang w:val="en-US" w:eastAsia="zh-CN"/>
        </w:rPr>
        <w:t>2</w:t>
      </w:r>
      <w:r>
        <w:rPr>
          <w:rFonts w:hint="eastAsia" w:ascii="Times New Roman" w:eastAsia="宋体"/>
          <w:b w:val="0"/>
          <w:bCs/>
          <w:lang w:val="en-US" w:eastAsia="zh-CN"/>
        </w:rPr>
        <w:t xml:space="preserve"> </w:t>
      </w:r>
      <w:r>
        <w:rPr>
          <w:rFonts w:hint="eastAsia" w:ascii="黑体" w:hAnsi="黑体" w:eastAsia="黑体" w:cs="黑体"/>
          <w:b w:val="0"/>
          <w:bCs/>
          <w:lang w:val="en-US" w:eastAsia="zh-CN"/>
        </w:rPr>
        <w:t>事故应急救援组织的建立和人员的配备情况</w:t>
      </w:r>
    </w:p>
    <w:p>
      <w:pPr>
        <w:bidi w:val="0"/>
        <w:rPr>
          <w:rFonts w:hint="eastAsia"/>
          <w:lang w:val="en-US" w:eastAsia="zh-CN"/>
        </w:rPr>
      </w:pPr>
      <w:r>
        <w:rPr>
          <w:rFonts w:hint="eastAsia" w:eastAsia="宋体"/>
          <w:sz w:val="28"/>
          <w:szCs w:val="28"/>
          <w:lang w:eastAsia="zh-CN"/>
        </w:rPr>
        <w:t>东营大明钻井有限责任公司</w:t>
      </w:r>
      <w:r>
        <w:rPr>
          <w:rFonts w:hint="eastAsia"/>
          <w:sz w:val="28"/>
          <w:szCs w:val="28"/>
        </w:rPr>
        <w:t>成立了由经理任总指挥的应急</w:t>
      </w:r>
      <w:r>
        <w:rPr>
          <w:rFonts w:hint="eastAsia"/>
          <w:sz w:val="28"/>
          <w:szCs w:val="28"/>
          <w:lang w:val="en-US" w:eastAsia="zh-CN"/>
        </w:rPr>
        <w:t>组织</w:t>
      </w:r>
      <w:r>
        <w:rPr>
          <w:rFonts w:hint="eastAsia"/>
          <w:sz w:val="28"/>
          <w:szCs w:val="28"/>
        </w:rPr>
        <w:t>机构</w:t>
      </w:r>
      <w:r>
        <w:rPr>
          <w:rFonts w:hint="eastAsia" w:ascii="Times New Roman" w:eastAsia="宋体"/>
          <w:sz w:val="28"/>
          <w:szCs w:val="28"/>
          <w:lang w:val="en-US" w:eastAsia="zh-CN"/>
        </w:rPr>
        <w:t>，应急指挥部下设应急办公室</w:t>
      </w:r>
      <w:r>
        <w:rPr>
          <w:rFonts w:hint="eastAsia" w:ascii="Times New Roman"/>
          <w:sz w:val="28"/>
          <w:szCs w:val="28"/>
          <w:lang w:val="en-US" w:eastAsia="zh-CN"/>
        </w:rPr>
        <w:t>及5个应急救援组：</w:t>
      </w:r>
      <w:r>
        <w:rPr>
          <w:rFonts w:hint="eastAsia" w:ascii="Times New Roman" w:eastAsia="宋体"/>
          <w:sz w:val="28"/>
          <w:szCs w:val="28"/>
          <w:lang w:val="en-US" w:eastAsia="zh-CN"/>
        </w:rPr>
        <w:t>抢险</w:t>
      </w:r>
      <w:r>
        <w:rPr>
          <w:rFonts w:hint="eastAsia" w:ascii="Times New Roman"/>
          <w:sz w:val="28"/>
          <w:szCs w:val="28"/>
          <w:lang w:val="en-US" w:eastAsia="zh-CN"/>
        </w:rPr>
        <w:t>救援</w:t>
      </w:r>
      <w:r>
        <w:rPr>
          <w:rFonts w:hint="eastAsia" w:ascii="Times New Roman" w:eastAsia="宋体"/>
          <w:sz w:val="28"/>
          <w:szCs w:val="28"/>
          <w:lang w:val="en-US" w:eastAsia="zh-CN"/>
        </w:rPr>
        <w:t>组、</w:t>
      </w:r>
      <w:r>
        <w:rPr>
          <w:rFonts w:hint="eastAsia" w:ascii="Times New Roman"/>
          <w:sz w:val="28"/>
          <w:szCs w:val="28"/>
          <w:lang w:val="en-US" w:eastAsia="zh-CN"/>
        </w:rPr>
        <w:t>警戒疏散</w:t>
      </w:r>
      <w:r>
        <w:rPr>
          <w:rFonts w:hint="eastAsia" w:ascii="Times New Roman" w:eastAsia="宋体"/>
          <w:sz w:val="28"/>
          <w:szCs w:val="28"/>
          <w:lang w:val="en-US" w:eastAsia="zh-CN"/>
        </w:rPr>
        <w:t>组、</w:t>
      </w:r>
      <w:r>
        <w:rPr>
          <w:rFonts w:hint="eastAsia" w:ascii="Times New Roman"/>
          <w:sz w:val="28"/>
          <w:szCs w:val="28"/>
          <w:lang w:val="en-US" w:eastAsia="zh-CN"/>
        </w:rPr>
        <w:t>医疗救护组、后勤保障组、环保监测组</w:t>
      </w:r>
      <w:r>
        <w:rPr>
          <w:rFonts w:hint="eastAsia" w:ascii="Times New Roman" w:eastAsia="宋体"/>
          <w:sz w:val="28"/>
          <w:szCs w:val="28"/>
          <w:lang w:val="en-US" w:eastAsia="zh-CN"/>
        </w:rPr>
        <w:t>，</w:t>
      </w:r>
      <w:r>
        <w:rPr>
          <w:rFonts w:hint="eastAsia" w:ascii="Times New Roman"/>
          <w:sz w:val="28"/>
          <w:szCs w:val="28"/>
          <w:lang w:val="en-US" w:eastAsia="zh-CN"/>
        </w:rPr>
        <w:t>明确了各应急救援组的职责，</w:t>
      </w:r>
      <w:r>
        <w:rPr>
          <w:rFonts w:hint="eastAsia"/>
          <w:sz w:val="28"/>
          <w:szCs w:val="28"/>
        </w:rPr>
        <w:t>确保发生重大事故时，以应急</w:t>
      </w:r>
      <w:r>
        <w:rPr>
          <w:rFonts w:hint="eastAsia"/>
          <w:sz w:val="28"/>
          <w:szCs w:val="28"/>
          <w:lang w:val="en-US" w:eastAsia="zh-CN"/>
        </w:rPr>
        <w:t>组织</w:t>
      </w:r>
      <w:r>
        <w:rPr>
          <w:rFonts w:hint="eastAsia"/>
          <w:sz w:val="28"/>
          <w:szCs w:val="28"/>
        </w:rPr>
        <w:t>机构为核心，负责公司应急求援工作的组织和指挥。</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outlineLvl w:val="3"/>
        <w:rPr>
          <w:rFonts w:hint="eastAsia" w:ascii="Times New Roman" w:hAnsi="Times New Roman" w:eastAsia="宋体" w:cs="Times New Roman"/>
          <w:b w:val="0"/>
          <w:bCs/>
          <w:color w:val="000000"/>
          <w:kern w:val="2"/>
          <w:sz w:val="28"/>
          <w:szCs w:val="28"/>
          <w:lang w:val="en-US" w:eastAsia="zh-CN" w:bidi="ar-SA"/>
        </w:rPr>
      </w:pPr>
      <w:r>
        <w:rPr>
          <w:rFonts w:hint="eastAsia" w:ascii="Times New Roman" w:hAnsi="Times New Roman" w:eastAsia="宋体" w:cs="Times New Roman"/>
          <w:b w:val="0"/>
          <w:bCs/>
          <w:color w:val="000000"/>
          <w:kern w:val="2"/>
          <w:sz w:val="28"/>
          <w:szCs w:val="28"/>
          <w:lang w:val="en-US" w:eastAsia="zh-CN" w:bidi="ar-SA"/>
        </w:rPr>
        <w:t xml:space="preserve">2.5.6.3 </w:t>
      </w:r>
      <w:r>
        <w:rPr>
          <w:rFonts w:hint="eastAsia" w:ascii="黑体" w:hAnsi="黑体" w:eastAsia="黑体" w:cs="黑体"/>
          <w:b w:val="0"/>
          <w:bCs/>
          <w:color w:val="000000"/>
          <w:kern w:val="2"/>
          <w:sz w:val="28"/>
          <w:szCs w:val="28"/>
          <w:lang w:val="en-US" w:eastAsia="zh-CN" w:bidi="ar-SA"/>
        </w:rPr>
        <w:t>事故应急救援预案的演练情况</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both"/>
        <w:textAlignment w:val="auto"/>
        <w:outlineLvl w:val="3"/>
        <w:rPr>
          <w:rFonts w:hint="eastAsia" w:ascii="Times New Roman" w:hAnsi="Times New Roman" w:eastAsia="宋体" w:cs="Times New Roman"/>
          <w:b w:val="0"/>
          <w:bCs/>
          <w:color w:val="000000"/>
          <w:kern w:val="2"/>
          <w:sz w:val="28"/>
          <w:szCs w:val="28"/>
          <w:lang w:val="en-US" w:eastAsia="zh-CN" w:bidi="ar-SA"/>
        </w:rPr>
      </w:pPr>
      <w:r>
        <w:rPr>
          <w:rFonts w:hint="eastAsia" w:ascii="Times New Roman" w:hAnsi="Times New Roman" w:eastAsia="宋体" w:cs="Times New Roman"/>
          <w:b w:val="0"/>
          <w:bCs/>
          <w:color w:val="000000"/>
          <w:kern w:val="2"/>
          <w:sz w:val="28"/>
          <w:szCs w:val="28"/>
          <w:lang w:val="en-US" w:eastAsia="zh-CN" w:bidi="ar-SA"/>
        </w:rPr>
        <w:t>2.5.6.</w:t>
      </w:r>
      <w:r>
        <w:rPr>
          <w:rFonts w:hint="eastAsia" w:ascii="Times New Roman" w:hAnsi="Times New Roman" w:cs="Times New Roman"/>
          <w:b w:val="0"/>
          <w:bCs/>
          <w:color w:val="000000"/>
          <w:kern w:val="2"/>
          <w:sz w:val="28"/>
          <w:szCs w:val="28"/>
          <w:lang w:val="en-US" w:eastAsia="zh-CN" w:bidi="ar-SA"/>
        </w:rPr>
        <w:t>4</w:t>
      </w:r>
      <w:r>
        <w:rPr>
          <w:rFonts w:hint="eastAsia" w:ascii="Times New Roman" w:hAnsi="Times New Roman" w:eastAsia="宋体" w:cs="Times New Roman"/>
          <w:b w:val="0"/>
          <w:bCs/>
          <w:color w:val="000000"/>
          <w:kern w:val="2"/>
          <w:sz w:val="28"/>
          <w:szCs w:val="28"/>
          <w:lang w:val="en-US" w:eastAsia="zh-CN" w:bidi="ar-SA"/>
        </w:rPr>
        <w:t xml:space="preserve"> </w:t>
      </w:r>
      <w:r>
        <w:rPr>
          <w:rFonts w:hint="eastAsia" w:ascii="黑体" w:hAnsi="黑体" w:eastAsia="黑体" w:cs="黑体"/>
          <w:b w:val="0"/>
          <w:bCs/>
          <w:color w:val="000000"/>
          <w:kern w:val="2"/>
          <w:sz w:val="28"/>
          <w:szCs w:val="28"/>
          <w:lang w:val="en-US" w:eastAsia="zh-CN" w:bidi="ar-SA"/>
        </w:rPr>
        <w:t>事故应急救援器材、设备的配备情况</w:t>
      </w:r>
    </w:p>
    <w:p>
      <w:pPr>
        <w:adjustRightInd w:val="0"/>
        <w:snapToGrid w:val="0"/>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该公司按照各岗位存在的危险、有害因素配备了相应的劳动防护用品及应急救援器材，其相关应急救援器材配备情况见下表：</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ascii="Times New Roman" w:hAnsi="Times New Roman" w:eastAsia="宋体" w:cs="Times New Roman"/>
          <w:bCs/>
          <w:sz w:val="32"/>
          <w:szCs w:val="32"/>
          <w:highlight w:val="yellow"/>
        </w:rPr>
      </w:pPr>
      <w:r>
        <w:rPr>
          <w:rFonts w:hint="eastAsia" w:ascii="Times New Roman" w:hAnsi="Times New Roman" w:eastAsia="宋体" w:cs="Times New Roman"/>
          <w:sz w:val="28"/>
          <w:szCs w:val="28"/>
          <w:highlight w:val="none"/>
        </w:rPr>
        <w:t>公司应急器材的配备能够满足事故应急救援的要求，企业制定了</w:t>
      </w:r>
      <w:r>
        <w:rPr>
          <w:rFonts w:hint="eastAsia" w:ascii="Times New Roman" w:hAnsi="Times New Roman" w:eastAsia="宋体" w:cs="Times New Roman"/>
          <w:sz w:val="28"/>
          <w:szCs w:val="28"/>
          <w:highlight w:val="none"/>
          <w:lang w:eastAsia="zh-CN"/>
        </w:rPr>
        <w:t>《</w:t>
      </w:r>
      <w:r>
        <w:rPr>
          <w:rFonts w:hint="eastAsia" w:ascii="Times New Roman" w:hAnsi="Times New Roman" w:eastAsia="宋体" w:cs="Times New Roman"/>
          <w:sz w:val="28"/>
          <w:szCs w:val="28"/>
          <w:highlight w:val="none"/>
          <w:lang w:val="en-US" w:eastAsia="zh-CN"/>
        </w:rPr>
        <w:t>安全事故管理规定</w:t>
      </w:r>
      <w:r>
        <w:rPr>
          <w:rFonts w:hint="default" w:ascii="Times New Roman" w:hAnsi="Times New Roman" w:eastAsia="宋体" w:cs="Times New Roman"/>
          <w:sz w:val="28"/>
          <w:szCs w:val="28"/>
          <w:highlight w:val="none"/>
          <w:lang w:eastAsia="zh-CN"/>
        </w:rPr>
        <w:t>》</w:t>
      </w:r>
      <w:r>
        <w:rPr>
          <w:rFonts w:hint="eastAsia" w:ascii="Times New Roman" w:hAnsi="Times New Roman" w:eastAsia="宋体" w:cs="Times New Roman"/>
          <w:sz w:val="28"/>
          <w:szCs w:val="28"/>
          <w:highlight w:val="none"/>
          <w:lang w:val="en-US" w:eastAsia="zh-CN"/>
        </w:rPr>
        <w:t>、《生产安全事故处罚制度》、《东营大明钻井有限责任公司应急管理规定》等管理制度</w:t>
      </w:r>
      <w:r>
        <w:rPr>
          <w:rFonts w:hint="eastAsia" w:ascii="Times New Roman" w:hAnsi="Times New Roman" w:eastAsia="宋体" w:cs="Times New Roman"/>
          <w:sz w:val="28"/>
          <w:szCs w:val="28"/>
          <w:highlight w:val="none"/>
        </w:rPr>
        <w:t>，并定期组织相关人员对国内外同类企业的安全事故进行学习，总结经验，不断提高企业人员技术及应急能力。</w:t>
      </w:r>
    </w:p>
    <w:p>
      <w:pPr>
        <w:pStyle w:val="5"/>
        <w:keepNext/>
        <w:keepLines/>
        <w:pageBreakBefore w:val="0"/>
        <w:widowControl w:val="0"/>
        <w:kinsoku/>
        <w:wordWrap/>
        <w:overflowPunct/>
        <w:topLinePunct w:val="0"/>
        <w:autoSpaceDE/>
        <w:autoSpaceDN/>
        <w:bidi w:val="0"/>
        <w:adjustRightInd w:val="0"/>
        <w:snapToGrid w:val="0"/>
        <w:spacing w:beforeLines="0"/>
        <w:textAlignment w:val="auto"/>
        <w:rPr>
          <w:rFonts w:hint="eastAsia" w:ascii="黑体" w:hAnsi="黑体" w:eastAsia="黑体" w:cs="黑体"/>
          <w:b w:val="0"/>
          <w:bCs w:val="0"/>
        </w:rPr>
      </w:pPr>
      <w:r>
        <w:rPr>
          <w:rFonts w:hint="default" w:ascii="Times New Roman" w:hAnsi="Times New Roman" w:eastAsia="黑体" w:cs="Times New Roman"/>
          <w:b w:val="0"/>
          <w:bCs w:val="0"/>
        </w:rPr>
        <w:t>2.</w:t>
      </w:r>
      <w:r>
        <w:rPr>
          <w:rFonts w:hint="default" w:ascii="Times New Roman" w:hAnsi="Times New Roman" w:eastAsia="黑体" w:cs="Times New Roman"/>
          <w:b w:val="0"/>
          <w:bCs w:val="0"/>
          <w:lang w:val="en-US" w:eastAsia="zh-CN"/>
        </w:rPr>
        <w:t>5</w:t>
      </w:r>
      <w:r>
        <w:rPr>
          <w:rFonts w:hint="default" w:ascii="Times New Roman" w:hAnsi="Times New Roman" w:eastAsia="黑体" w:cs="Times New Roman"/>
          <w:b w:val="0"/>
          <w:bCs w:val="0"/>
        </w:rPr>
        <w:t>.7</w:t>
      </w:r>
      <w:r>
        <w:rPr>
          <w:rFonts w:hint="eastAsia" w:ascii="黑体" w:hAnsi="黑体" w:eastAsia="黑体" w:cs="黑体"/>
          <w:b w:val="0"/>
          <w:bCs w:val="0"/>
        </w:rPr>
        <w:t xml:space="preserve">  安全生产投入</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5"/>
        <w:rPr>
          <w:rFonts w:hint="eastAsia" w:ascii="黑体" w:hAnsi="黑体" w:eastAsia="黑体" w:cs="黑体"/>
          <w:b w:val="0"/>
          <w:bCs w:val="0"/>
        </w:rPr>
      </w:pPr>
      <w:r>
        <w:rPr>
          <w:rFonts w:hint="default" w:ascii="Times New Roman" w:hAnsi="Times New Roman" w:eastAsia="黑体" w:cs="Times New Roman"/>
          <w:b w:val="0"/>
          <w:bCs w:val="0"/>
        </w:rPr>
        <w:t>2.</w:t>
      </w:r>
      <w:r>
        <w:rPr>
          <w:rFonts w:hint="default" w:ascii="Times New Roman" w:hAnsi="Times New Roman" w:eastAsia="黑体" w:cs="Times New Roman"/>
          <w:b w:val="0"/>
          <w:bCs w:val="0"/>
          <w:lang w:val="en-US" w:eastAsia="zh-CN"/>
        </w:rPr>
        <w:t>5</w:t>
      </w:r>
      <w:r>
        <w:rPr>
          <w:rFonts w:hint="default" w:ascii="Times New Roman" w:hAnsi="Times New Roman" w:eastAsia="黑体" w:cs="Times New Roman"/>
          <w:b w:val="0"/>
          <w:bCs w:val="0"/>
        </w:rPr>
        <w:t>.8</w:t>
      </w:r>
      <w:r>
        <w:rPr>
          <w:rFonts w:hint="eastAsia" w:ascii="黑体" w:hAnsi="黑体" w:eastAsia="黑体" w:cs="黑体"/>
          <w:b w:val="0"/>
          <w:bCs w:val="0"/>
        </w:rPr>
        <w:t xml:space="preserve">  保险缴纳情况</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5"/>
        <w:rPr>
          <w:b w:val="0"/>
          <w:bCs w:val="0"/>
        </w:rPr>
      </w:pPr>
      <w:r>
        <w:rPr>
          <w:b w:val="0"/>
          <w:bCs w:val="0"/>
        </w:rPr>
        <w:t>2.</w:t>
      </w:r>
      <w:r>
        <w:rPr>
          <w:rFonts w:hint="eastAsia"/>
          <w:b w:val="0"/>
          <w:bCs w:val="0"/>
          <w:lang w:val="en-US" w:eastAsia="zh-CN"/>
        </w:rPr>
        <w:t>5</w:t>
      </w:r>
      <w:r>
        <w:rPr>
          <w:b w:val="0"/>
          <w:bCs w:val="0"/>
        </w:rPr>
        <w:t xml:space="preserve">.9 </w:t>
      </w:r>
      <w:r>
        <w:rPr>
          <w:rFonts w:hint="eastAsia"/>
          <w:b w:val="0"/>
          <w:bCs w:val="0"/>
        </w:rPr>
        <w:t xml:space="preserve"> </w:t>
      </w:r>
      <w:r>
        <w:rPr>
          <w:rFonts w:hint="eastAsia" w:ascii="黑体" w:hAnsi="黑体" w:eastAsia="黑体" w:cs="黑体"/>
          <w:b w:val="0"/>
          <w:bCs w:val="0"/>
        </w:rPr>
        <w:t>职业危害防护及劳保用品发放</w:t>
      </w:r>
    </w:p>
    <w:p>
      <w:pPr>
        <w:ind w:firstLine="560"/>
        <w:rPr>
          <w:rFonts w:hint="eastAsia"/>
          <w:lang w:val="en-US" w:eastAsia="zh-CN"/>
        </w:rPr>
      </w:pPr>
      <w:r>
        <w:t>公司施工作业人员定期进行健康体检，建有员工职业卫生健康档案。公司制定有《</w:t>
      </w:r>
      <w:r>
        <w:rPr>
          <w:rFonts w:hint="eastAsia"/>
          <w:lang w:val="en-US" w:eastAsia="zh-CN"/>
        </w:rPr>
        <w:fldChar w:fldCharType="begin"/>
      </w:r>
      <w:r>
        <w:rPr>
          <w:rFonts w:hint="eastAsia"/>
          <w:lang w:val="en-US" w:eastAsia="zh-CN"/>
        </w:rPr>
        <w:instrText xml:space="preserve"> HYPERLINK \l _Toc9278 </w:instrText>
      </w:r>
      <w:r>
        <w:rPr>
          <w:rFonts w:hint="eastAsia"/>
          <w:lang w:val="en-US" w:eastAsia="zh-CN"/>
        </w:rPr>
        <w:fldChar w:fldCharType="separate"/>
      </w:r>
      <w:r>
        <w:rPr>
          <w:rFonts w:hint="eastAsia"/>
          <w:lang w:val="en-US" w:eastAsia="zh-CN"/>
        </w:rPr>
        <w:t>员工劳动防护用品管理规定</w:t>
      </w:r>
      <w:r>
        <w:rPr>
          <w:rFonts w:hint="eastAsia"/>
          <w:lang w:val="en-US" w:eastAsia="zh-CN"/>
        </w:rPr>
        <w:fldChar w:fldCharType="end"/>
      </w:r>
      <w:r>
        <w:t>》，在劳保用品发放方面，严格按照</w:t>
      </w:r>
      <w:r>
        <w:rPr>
          <w:rFonts w:hint="eastAsia"/>
        </w:rPr>
        <w:t>细则</w:t>
      </w:r>
      <w:r>
        <w:t>的要求，根据岗位特点，为职工配发劳动防护用品，按时、按标准向员工配发，并建有劳保用品发放台帐。</w:t>
      </w:r>
    </w:p>
    <w:p>
      <w:pPr>
        <w:pStyle w:val="2"/>
        <w:keepNext w:val="0"/>
        <w:keepLines w:val="0"/>
        <w:pageBreakBefore w:val="0"/>
        <w:widowControl w:val="0"/>
        <w:shd w:val="clear"/>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sz w:val="24"/>
          <w:szCs w:val="24"/>
        </w:rPr>
        <w:sectPr>
          <w:pgSz w:w="11906" w:h="16838"/>
          <w:pgMar w:top="1440" w:right="1803" w:bottom="1440" w:left="1803" w:header="850" w:footer="992" w:gutter="0"/>
          <w:pgBorders>
            <w:top w:val="none" w:sz="0" w:space="0"/>
            <w:left w:val="none" w:sz="0" w:space="0"/>
            <w:bottom w:val="none" w:sz="0" w:space="0"/>
            <w:right w:val="none" w:sz="0" w:space="0"/>
          </w:pgBorders>
          <w:cols w:space="0" w:num="1"/>
          <w:rtlGutter w:val="0"/>
          <w:docGrid w:linePitch="312" w:charSpace="0"/>
        </w:sectPr>
      </w:pPr>
    </w:p>
    <w:p>
      <w:pPr>
        <w:pStyle w:val="2"/>
        <w:keepNext w:val="0"/>
        <w:keepLines w:val="0"/>
        <w:pageBreakBefore w:val="0"/>
        <w:widowControl w:val="0"/>
        <w:shd w:val="clear"/>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4"/>
          <w:szCs w:val="24"/>
          <w:lang w:val="en-US" w:eastAsia="zh-CN"/>
        </w:rPr>
      </w:pPr>
      <w:r>
        <w:rPr>
          <w:rFonts w:hint="eastAsia" w:eastAsia="宋体"/>
          <w:b/>
          <w:bCs/>
          <w:sz w:val="24"/>
          <w:szCs w:val="24"/>
        </w:rPr>
        <w:t>表</w:t>
      </w:r>
      <w:r>
        <w:rPr>
          <w:rFonts w:eastAsia="宋体"/>
          <w:b/>
          <w:bCs/>
          <w:sz w:val="24"/>
          <w:szCs w:val="24"/>
        </w:rPr>
        <w:t>2-</w:t>
      </w:r>
      <w:r>
        <w:rPr>
          <w:rFonts w:hint="eastAsia"/>
          <w:b/>
          <w:bCs/>
          <w:sz w:val="24"/>
          <w:szCs w:val="24"/>
          <w:lang w:val="en-US" w:eastAsia="zh-CN"/>
        </w:rPr>
        <w:t>21</w:t>
      </w:r>
      <w:r>
        <w:rPr>
          <w:rFonts w:hint="eastAsia" w:eastAsia="宋体"/>
          <w:b/>
          <w:bCs/>
          <w:sz w:val="24"/>
          <w:szCs w:val="24"/>
          <w:lang w:val="en-US" w:eastAsia="zh-CN"/>
        </w:rPr>
        <w:t xml:space="preserve"> </w:t>
      </w:r>
      <w:r>
        <w:rPr>
          <w:rFonts w:hint="eastAsia"/>
          <w:b/>
          <w:bCs/>
          <w:sz w:val="24"/>
          <w:szCs w:val="24"/>
          <w:lang w:val="en-US" w:eastAsia="zh-CN"/>
        </w:rPr>
        <w:t xml:space="preserve"> </w:t>
      </w:r>
      <w:r>
        <w:rPr>
          <w:rFonts w:hint="eastAsia" w:eastAsia="宋体"/>
          <w:b/>
          <w:bCs/>
          <w:sz w:val="24"/>
          <w:szCs w:val="24"/>
          <w:lang w:val="en-US" w:eastAsia="zh-CN"/>
        </w:rPr>
        <w:t>职工个体</w:t>
      </w:r>
      <w:r>
        <w:rPr>
          <w:rFonts w:hint="eastAsia" w:eastAsia="宋体"/>
          <w:b/>
          <w:bCs/>
          <w:sz w:val="24"/>
          <w:szCs w:val="24"/>
        </w:rPr>
        <w:t>劳保用品配备标准</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bidi w:val="0"/>
        <w:rPr>
          <w:rFonts w:hint="default"/>
          <w:sz w:val="21"/>
          <w:szCs w:val="21"/>
          <w:lang w:val="en-US" w:eastAsia="zh-CN"/>
        </w:rPr>
        <w:sectPr>
          <w:pgSz w:w="16838" w:h="11906" w:orient="landscape"/>
          <w:pgMar w:top="1803" w:right="1440" w:bottom="1803" w:left="1440" w:header="850" w:footer="992" w:gutter="0"/>
          <w:pgBorders>
            <w:top w:val="none" w:sz="0" w:space="0"/>
            <w:left w:val="none" w:sz="0" w:space="0"/>
            <w:bottom w:val="none" w:sz="0" w:space="0"/>
            <w:right w:val="none" w:sz="0" w:space="0"/>
          </w:pgBorders>
          <w:cols w:space="0" w:num="1"/>
          <w:rtlGutter w:val="0"/>
          <w:docGrid w:linePitch="312" w:charSpace="0"/>
        </w:sectPr>
      </w:pPr>
      <w:r>
        <w:rPr>
          <w:rFonts w:hint="eastAsia"/>
          <w:sz w:val="21"/>
          <w:szCs w:val="21"/>
          <w:lang w:val="en-US" w:eastAsia="zh-CN"/>
        </w:rPr>
        <w:t>注：“/”表示不配备。</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adjustRightInd w:val="0"/>
        <w:snapToGrid w:val="0"/>
        <w:spacing w:line="360" w:lineRule="auto"/>
        <w:ind w:firstLine="560" w:firstLineChars="200"/>
        <w:rPr>
          <w:rFonts w:hint="eastAsia" w:ascii="Times New Roman" w:hAnsi="Times New Roman" w:cs="Times New Roman"/>
          <w:sz w:val="28"/>
          <w:szCs w:val="24"/>
          <w:lang w:val="en-US" w:eastAsia="zh-CN"/>
        </w:rPr>
      </w:pPr>
      <w:r>
        <w:rPr>
          <w:rFonts w:hint="eastAsia" w:ascii="Times New Roman" w:hAnsi="Times New Roman" w:cs="Times New Roman"/>
          <w:sz w:val="28"/>
          <w:szCs w:val="24"/>
          <w:lang w:val="en-US" w:eastAsia="zh-CN"/>
        </w:rPr>
        <w:t>综上，从业人员劳动、个体防护用品的配备符合《个体防护装备配备规范第2部分：石油、化工、天然气》（GB39800.2-2020）、《石油天然气作业场所劳动防护用品配备规范》（SY/T6524-2017）、《山东省劳动防护用品配备标准》（DB37/T1922-2011）的要求，可以满足日常劳保需要。</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2"/>
        <w:rPr>
          <w:rFonts w:hint="eastAsia" w:ascii="黑体" w:hAnsi="黑体" w:eastAsia="黑体" w:cs="黑体"/>
          <w:b w:val="0"/>
          <w:bCs w:val="0"/>
          <w:lang w:val="en-US" w:eastAsia="zh-CN"/>
        </w:rPr>
      </w:pPr>
      <w:r>
        <w:rPr>
          <w:rFonts w:hint="eastAsia"/>
          <w:b w:val="0"/>
          <w:bCs w:val="0"/>
        </w:rPr>
        <w:t>2.</w:t>
      </w:r>
      <w:r>
        <w:rPr>
          <w:rFonts w:hint="eastAsia" w:ascii="Times New Roman" w:eastAsia="宋体"/>
          <w:b w:val="0"/>
          <w:bCs w:val="0"/>
          <w:lang w:val="en-US" w:eastAsia="zh-CN"/>
        </w:rPr>
        <w:t>5</w:t>
      </w:r>
      <w:r>
        <w:rPr>
          <w:rFonts w:hint="eastAsia"/>
          <w:b w:val="0"/>
          <w:bCs w:val="0"/>
        </w:rPr>
        <w:t>.1</w:t>
      </w:r>
      <w:r>
        <w:rPr>
          <w:rFonts w:hint="eastAsia"/>
          <w:b w:val="0"/>
          <w:bCs w:val="0"/>
          <w:lang w:val="en-US" w:eastAsia="zh-CN"/>
        </w:rPr>
        <w:t>0</w:t>
      </w:r>
      <w:r>
        <w:rPr>
          <w:rFonts w:hint="eastAsia"/>
          <w:b w:val="0"/>
          <w:bCs w:val="0"/>
        </w:rPr>
        <w:t xml:space="preserve">  </w:t>
      </w:r>
      <w:r>
        <w:rPr>
          <w:rFonts w:hint="eastAsia" w:ascii="黑体" w:hAnsi="黑体" w:eastAsia="黑体" w:cs="黑体"/>
          <w:b w:val="0"/>
          <w:bCs w:val="0"/>
          <w:lang w:val="en-US" w:eastAsia="zh-CN"/>
        </w:rPr>
        <w:t>承包商管理</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lang w:val="en-US" w:eastAsia="zh-CN"/>
        </w:rPr>
      </w:pPr>
      <w:r>
        <w:rPr>
          <w:rFonts w:hint="eastAsia"/>
          <w:lang w:val="en-US" w:eastAsia="zh-CN"/>
        </w:rPr>
        <w:t>大明钻井公司主营业务为普通石油钻井，承包商主要为定向、录井、泥浆技术、泥浆不落地、运输公司等承包商。</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lang w:val="en-US" w:eastAsia="zh-CN"/>
        </w:rPr>
      </w:pPr>
      <w:r>
        <w:rPr>
          <w:rFonts w:hint="eastAsia"/>
          <w:lang w:val="en-US" w:eastAsia="zh-CN"/>
        </w:rPr>
        <w:t>企业按照《安全生产法》“管行业必须管安全、管业务必须管安全、管生产经营必须管安全”要求，公司机关部室分管各自业务范围内的承包商，比如技术部分管定向、录井、泥浆技术承包商，生产部分管泥浆不落地、运输公司承包商。主要管理内容如下：</w:t>
      </w:r>
    </w:p>
    <w:p>
      <w:pPr>
        <w:widowControl w:val="0"/>
        <w:numPr>
          <w:ilvl w:val="0"/>
          <w:numId w:val="9"/>
        </w:numPr>
        <w:adjustRightInd w:val="0"/>
        <w:snapToGrid w:val="0"/>
        <w:spacing w:line="360" w:lineRule="auto"/>
        <w:ind w:left="0" w:firstLine="560" w:firstLineChars="200"/>
        <w:jc w:val="both"/>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准入审核法：由公司经营部和业务分管部室对其进行资质审核，严禁引进无资质承包商。</w:t>
      </w:r>
    </w:p>
    <w:p>
      <w:pPr>
        <w:widowControl w:val="0"/>
        <w:numPr>
          <w:ilvl w:val="0"/>
          <w:numId w:val="9"/>
        </w:numPr>
        <w:adjustRightInd w:val="0"/>
        <w:snapToGrid w:val="0"/>
        <w:spacing w:line="360" w:lineRule="auto"/>
        <w:ind w:left="0" w:firstLine="560" w:firstLineChars="200"/>
        <w:jc w:val="both"/>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分级管控法：根据承包商施工风险和HSE评审情况，实行分类分级管理。</w:t>
      </w:r>
    </w:p>
    <w:p>
      <w:pPr>
        <w:widowControl w:val="0"/>
        <w:numPr>
          <w:ilvl w:val="0"/>
          <w:numId w:val="9"/>
        </w:numPr>
        <w:adjustRightInd w:val="0"/>
        <w:snapToGrid w:val="0"/>
        <w:spacing w:line="360" w:lineRule="auto"/>
        <w:ind w:left="0" w:firstLine="560" w:firstLineChars="200"/>
        <w:jc w:val="both"/>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资格许可法。对承包商人员持证、HSE管理体系建设、安全管理规章制度、现场管理等情况进行审核。</w:t>
      </w:r>
    </w:p>
    <w:p>
      <w:pPr>
        <w:widowControl w:val="0"/>
        <w:numPr>
          <w:ilvl w:val="0"/>
          <w:numId w:val="9"/>
        </w:numPr>
        <w:adjustRightInd w:val="0"/>
        <w:snapToGrid w:val="0"/>
        <w:spacing w:line="360" w:lineRule="auto"/>
        <w:ind w:left="0" w:firstLine="560" w:firstLineChars="200"/>
        <w:jc w:val="both"/>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统一管理法：将承包商纳入公司安全监管范畴，统一日常安全管理。</w:t>
      </w:r>
    </w:p>
    <w:p>
      <w:pPr>
        <w:widowControl w:val="0"/>
        <w:numPr>
          <w:ilvl w:val="0"/>
          <w:numId w:val="9"/>
        </w:numPr>
        <w:adjustRightInd w:val="0"/>
        <w:snapToGrid w:val="0"/>
        <w:spacing w:line="360" w:lineRule="auto"/>
        <w:ind w:left="0" w:firstLine="560" w:firstLineChars="200"/>
        <w:jc w:val="both"/>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风险评估法：对承包商施工风险进行评估，辨识隐患风险，制定控制措施。</w:t>
      </w:r>
    </w:p>
    <w:p>
      <w:pPr>
        <w:widowControl w:val="0"/>
        <w:numPr>
          <w:ilvl w:val="0"/>
          <w:numId w:val="9"/>
        </w:numPr>
        <w:adjustRightInd w:val="0"/>
        <w:snapToGrid w:val="0"/>
        <w:spacing w:line="360" w:lineRule="auto"/>
        <w:ind w:left="0" w:firstLine="560" w:firstLineChars="200"/>
        <w:jc w:val="both"/>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合同制约法。通过合同约定，签订交叉作业安全管理协议书，督促承包商自主提升现场安全管理。</w:t>
      </w:r>
    </w:p>
    <w:p>
      <w:pPr>
        <w:widowControl w:val="0"/>
        <w:numPr>
          <w:ilvl w:val="0"/>
          <w:numId w:val="9"/>
        </w:numPr>
        <w:adjustRightInd w:val="0"/>
        <w:snapToGrid w:val="0"/>
        <w:spacing w:line="360" w:lineRule="auto"/>
        <w:ind w:left="0" w:firstLine="560" w:firstLineChars="200"/>
        <w:jc w:val="both"/>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培训提升法。督促承包商针对临时用电、吊装作业等进行安全培训教育，提升人员安全素质。</w:t>
      </w:r>
    </w:p>
    <w:p>
      <w:pPr>
        <w:widowControl w:val="0"/>
        <w:numPr>
          <w:ilvl w:val="0"/>
          <w:numId w:val="9"/>
        </w:numPr>
        <w:adjustRightInd w:val="0"/>
        <w:snapToGrid w:val="0"/>
        <w:spacing w:line="360" w:lineRule="auto"/>
        <w:ind w:left="0" w:firstLine="560" w:firstLineChars="200"/>
        <w:jc w:val="both"/>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开工确认法。在施工作业前，从人机环管等四个方面进行确认是否符合开工安全条件。</w:t>
      </w:r>
    </w:p>
    <w:p>
      <w:pPr>
        <w:widowControl w:val="0"/>
        <w:numPr>
          <w:ilvl w:val="0"/>
          <w:numId w:val="9"/>
        </w:numPr>
        <w:adjustRightInd w:val="0"/>
        <w:snapToGrid w:val="0"/>
        <w:spacing w:line="360" w:lineRule="auto"/>
        <w:ind w:left="0" w:firstLine="560" w:firstLineChars="200"/>
        <w:jc w:val="both"/>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安全交底法。施工前对相关人员进行安全技术交底和约束控制，达到对风险进行事前辨识并有效规避。</w:t>
      </w:r>
    </w:p>
    <w:p>
      <w:pPr>
        <w:widowControl w:val="0"/>
        <w:numPr>
          <w:ilvl w:val="0"/>
          <w:numId w:val="9"/>
        </w:numPr>
        <w:adjustRightInd w:val="0"/>
        <w:snapToGrid w:val="0"/>
        <w:spacing w:line="360" w:lineRule="auto"/>
        <w:ind w:left="0" w:firstLine="560" w:firstLineChars="200"/>
        <w:jc w:val="both"/>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监督控制法。通过对承包商日常安全管理及施工现场监督检查，确保承包商施工安全。</w:t>
      </w:r>
    </w:p>
    <w:p>
      <w:pPr>
        <w:widowControl w:val="0"/>
        <w:numPr>
          <w:ilvl w:val="0"/>
          <w:numId w:val="9"/>
        </w:numPr>
        <w:adjustRightInd w:val="0"/>
        <w:snapToGrid w:val="0"/>
        <w:spacing w:line="360" w:lineRule="auto"/>
        <w:ind w:left="0" w:firstLine="560" w:firstLineChars="200"/>
        <w:jc w:val="both"/>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考核奖惩法。每月对承包商进行现场检查，定期对承包商进行考核，实施处罚。</w:t>
      </w:r>
    </w:p>
    <w:p>
      <w:pPr>
        <w:widowControl w:val="0"/>
        <w:numPr>
          <w:ilvl w:val="0"/>
          <w:numId w:val="9"/>
        </w:numPr>
        <w:adjustRightInd w:val="0"/>
        <w:snapToGrid w:val="0"/>
        <w:spacing w:line="360" w:lineRule="auto"/>
        <w:ind w:left="0" w:firstLine="560" w:firstLineChars="200"/>
        <w:jc w:val="both"/>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帮扶促进法。督导承包商问题整改，协助承包商解决各类问题，实现共同进步。</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lang w:val="en-US" w:eastAsia="zh-CN"/>
        </w:rPr>
      </w:pPr>
      <w:r>
        <w:rPr>
          <w:rFonts w:hint="default"/>
          <w:lang w:val="en-US" w:eastAsia="zh-CN"/>
        </w:rPr>
        <w:t>东营大明钻井有限责任公司</w:t>
      </w:r>
      <w:r>
        <w:rPr>
          <w:rFonts w:hint="eastAsia"/>
          <w:lang w:val="en-US" w:eastAsia="zh-CN"/>
        </w:rPr>
        <w:t>主要承包商详见表2-22大明钻井公司主要承包商统计表，承包商资质、考核记录等详见报告附件26。</w:t>
      </w:r>
    </w:p>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4"/>
          <w:szCs w:val="24"/>
          <w:lang w:val="en-US" w:eastAsia="zh-CN"/>
        </w:rPr>
      </w:pPr>
      <w:r>
        <w:rPr>
          <w:rFonts w:hint="eastAsia" w:eastAsia="宋体"/>
          <w:b/>
          <w:bCs/>
          <w:sz w:val="24"/>
          <w:szCs w:val="24"/>
        </w:rPr>
        <w:t>表</w:t>
      </w:r>
      <w:r>
        <w:rPr>
          <w:rFonts w:eastAsia="宋体"/>
          <w:b/>
          <w:bCs/>
          <w:sz w:val="24"/>
          <w:szCs w:val="24"/>
        </w:rPr>
        <w:t>2-</w:t>
      </w:r>
      <w:r>
        <w:rPr>
          <w:rFonts w:hint="eastAsia"/>
          <w:b/>
          <w:bCs/>
          <w:sz w:val="24"/>
          <w:szCs w:val="24"/>
          <w:lang w:val="en-US" w:eastAsia="zh-CN"/>
        </w:rPr>
        <w:t>22</w:t>
      </w:r>
      <w:r>
        <w:rPr>
          <w:rFonts w:hint="eastAsia" w:eastAsia="宋体"/>
          <w:b/>
          <w:bCs/>
          <w:sz w:val="24"/>
          <w:szCs w:val="24"/>
          <w:lang w:val="en-US" w:eastAsia="zh-CN"/>
        </w:rPr>
        <w:t xml:space="preserve">  大明钻井公司主要承包商统计表</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2"/>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0" w:firstLineChars="0"/>
        <w:textAlignment w:val="auto"/>
        <w:outlineLvl w:val="2"/>
        <w:rPr>
          <w:rFonts w:hint="eastAsia" w:ascii="黑体" w:hAnsi="黑体" w:eastAsia="黑体" w:cs="黑体"/>
          <w:b w:val="0"/>
          <w:bCs w:val="0"/>
          <w:lang w:val="en-US" w:eastAsia="zh-CN"/>
        </w:rPr>
      </w:pPr>
      <w:r>
        <w:rPr>
          <w:rFonts w:hint="eastAsia"/>
          <w:b w:val="0"/>
          <w:bCs w:val="0"/>
        </w:rPr>
        <w:t>2.</w:t>
      </w:r>
      <w:r>
        <w:rPr>
          <w:rFonts w:hint="eastAsia" w:ascii="Times New Roman" w:eastAsia="宋体"/>
          <w:b w:val="0"/>
          <w:bCs w:val="0"/>
          <w:lang w:val="en-US" w:eastAsia="zh-CN"/>
        </w:rPr>
        <w:t>5</w:t>
      </w:r>
      <w:r>
        <w:rPr>
          <w:rFonts w:hint="eastAsia"/>
          <w:b w:val="0"/>
          <w:bCs w:val="0"/>
        </w:rPr>
        <w:t>.1</w:t>
      </w:r>
      <w:r>
        <w:rPr>
          <w:rFonts w:hint="eastAsia"/>
          <w:b w:val="0"/>
          <w:bCs w:val="0"/>
          <w:lang w:val="en-US" w:eastAsia="zh-CN"/>
        </w:rPr>
        <w:t>1</w:t>
      </w:r>
      <w:r>
        <w:rPr>
          <w:rFonts w:hint="eastAsia"/>
          <w:b w:val="0"/>
          <w:bCs w:val="0"/>
        </w:rPr>
        <w:t xml:space="preserve">  </w:t>
      </w:r>
      <w:r>
        <w:rPr>
          <w:rFonts w:hint="eastAsia" w:ascii="黑体" w:hAnsi="黑体" w:eastAsia="黑体" w:cs="黑体"/>
          <w:b w:val="0"/>
          <w:bCs w:val="0"/>
          <w:lang w:val="en-US" w:eastAsia="zh-CN"/>
        </w:rPr>
        <w:t>危险作业管理</w:t>
      </w:r>
    </w:p>
    <w:bookmarkEnd w:id="19"/>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keepNext w:val="0"/>
        <w:keepLines w:val="0"/>
        <w:pageBreakBefore w:val="0"/>
        <w:widowControl w:val="0"/>
        <w:shd w:val="clear"/>
        <w:kinsoku/>
        <w:wordWrap/>
        <w:overflowPunct/>
        <w:topLinePunct w:val="0"/>
        <w:autoSpaceDE/>
        <w:autoSpaceDN/>
        <w:bidi w:val="0"/>
        <w:adjustRightInd w:val="0"/>
        <w:snapToGrid w:val="0"/>
        <w:ind w:firstLine="0" w:firstLineChars="0"/>
        <w:textAlignment w:val="auto"/>
        <w:outlineLvl w:val="2"/>
        <w:rPr>
          <w:rFonts w:hint="eastAsia" w:ascii="黑体" w:hAnsi="黑体" w:eastAsia="黑体" w:cs="黑体"/>
          <w:b w:val="0"/>
          <w:bCs w:val="0"/>
        </w:rPr>
      </w:pPr>
      <w:r>
        <w:rPr>
          <w:rFonts w:hint="eastAsia"/>
          <w:b w:val="0"/>
          <w:bCs w:val="0"/>
        </w:rPr>
        <w:t>2.</w:t>
      </w:r>
      <w:r>
        <w:rPr>
          <w:rFonts w:hint="eastAsia" w:ascii="Times New Roman" w:eastAsia="宋体"/>
          <w:b w:val="0"/>
          <w:bCs w:val="0"/>
          <w:lang w:val="en-US" w:eastAsia="zh-CN"/>
        </w:rPr>
        <w:t>5</w:t>
      </w:r>
      <w:r>
        <w:rPr>
          <w:rFonts w:hint="eastAsia"/>
          <w:b w:val="0"/>
          <w:bCs w:val="0"/>
        </w:rPr>
        <w:t>.1</w:t>
      </w:r>
      <w:r>
        <w:rPr>
          <w:rFonts w:hint="eastAsia" w:ascii="Times New Roman" w:eastAsia="宋体"/>
          <w:b w:val="0"/>
          <w:bCs w:val="0"/>
          <w:lang w:val="en-US" w:eastAsia="zh-CN"/>
        </w:rPr>
        <w:t>2</w:t>
      </w:r>
      <w:r>
        <w:rPr>
          <w:rFonts w:hint="eastAsia"/>
          <w:b w:val="0"/>
          <w:bCs w:val="0"/>
        </w:rPr>
        <w:t xml:space="preserve"> </w:t>
      </w:r>
      <w:r>
        <w:rPr>
          <w:rFonts w:hint="eastAsia"/>
          <w:b w:val="0"/>
          <w:bCs w:val="0"/>
          <w:lang w:val="en-US" w:eastAsia="zh-CN"/>
        </w:rPr>
        <w:t xml:space="preserve"> </w:t>
      </w:r>
      <w:r>
        <w:rPr>
          <w:rFonts w:hint="eastAsia" w:ascii="黑体" w:hAnsi="黑体" w:eastAsia="黑体" w:cs="黑体"/>
          <w:b w:val="0"/>
          <w:bCs w:val="0"/>
          <w:lang w:val="en-US" w:eastAsia="zh-CN"/>
        </w:rPr>
        <w:t>变更管理</w:t>
      </w:r>
      <w:r>
        <w:rPr>
          <w:rFonts w:hint="eastAsia" w:ascii="黑体" w:hAnsi="黑体" w:eastAsia="黑体" w:cs="黑体"/>
          <w:b w:val="0"/>
          <w:bCs w:val="0"/>
        </w:rPr>
        <w:t>情况</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keepNext w:val="0"/>
        <w:keepLines w:val="0"/>
        <w:pageBreakBefore w:val="0"/>
        <w:widowControl w:val="0"/>
        <w:shd w:val="clear"/>
        <w:kinsoku/>
        <w:wordWrap/>
        <w:overflowPunct/>
        <w:topLinePunct w:val="0"/>
        <w:autoSpaceDE/>
        <w:autoSpaceDN/>
        <w:bidi w:val="0"/>
        <w:adjustRightInd w:val="0"/>
        <w:snapToGrid w:val="0"/>
        <w:spacing w:line="360" w:lineRule="auto"/>
        <w:ind w:firstLine="0" w:firstLineChars="0"/>
        <w:textAlignment w:val="auto"/>
        <w:outlineLvl w:val="2"/>
        <w:rPr>
          <w:snapToGrid w:val="0"/>
          <w:kern w:val="0"/>
        </w:rPr>
      </w:pPr>
      <w:r>
        <w:rPr>
          <w:rFonts w:hint="eastAsia"/>
          <w:b w:val="0"/>
          <w:bCs w:val="0"/>
        </w:rPr>
        <w:t>2.</w:t>
      </w:r>
      <w:r>
        <w:rPr>
          <w:rFonts w:hint="eastAsia" w:ascii="Times New Roman" w:eastAsia="宋体"/>
          <w:b w:val="0"/>
          <w:bCs w:val="0"/>
          <w:lang w:val="en-US" w:eastAsia="zh-CN"/>
        </w:rPr>
        <w:t>5</w:t>
      </w:r>
      <w:r>
        <w:rPr>
          <w:rFonts w:hint="eastAsia"/>
          <w:b w:val="0"/>
          <w:bCs w:val="0"/>
        </w:rPr>
        <w:t>.1</w:t>
      </w:r>
      <w:r>
        <w:rPr>
          <w:rFonts w:hint="eastAsia" w:ascii="Times New Roman"/>
          <w:b w:val="0"/>
          <w:bCs w:val="0"/>
          <w:lang w:val="en-US" w:eastAsia="zh-CN"/>
        </w:rPr>
        <w:t>3</w:t>
      </w:r>
      <w:r>
        <w:rPr>
          <w:rFonts w:hint="eastAsia"/>
          <w:b w:val="0"/>
          <w:bCs w:val="0"/>
        </w:rPr>
        <w:t xml:space="preserve">  </w:t>
      </w:r>
      <w:r>
        <w:rPr>
          <w:rFonts w:hint="eastAsia" w:ascii="黑体" w:hAnsi="黑体" w:eastAsia="黑体" w:cs="黑体"/>
          <w:b w:val="0"/>
          <w:bCs w:val="0"/>
          <w:lang w:val="en-US" w:eastAsia="zh-CN"/>
        </w:rPr>
        <w:t>井控管理</w:t>
      </w:r>
      <w:r>
        <w:rPr>
          <w:rFonts w:hint="eastAsia" w:ascii="黑体" w:hAnsi="黑体" w:eastAsia="黑体" w:cs="黑体"/>
          <w:b w:val="0"/>
          <w:bCs w:val="0"/>
        </w:rPr>
        <w:t>情况</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5"/>
        <w:keepNext/>
        <w:keepLines/>
        <w:pageBreakBefore w:val="0"/>
        <w:widowControl w:val="0"/>
        <w:kinsoku/>
        <w:wordWrap/>
        <w:overflowPunct/>
        <w:topLinePunct w:val="0"/>
        <w:autoSpaceDE/>
        <w:autoSpaceDN/>
        <w:bidi w:val="0"/>
        <w:adjustRightInd w:val="0"/>
        <w:snapToGrid w:val="0"/>
        <w:spacing w:beforeLines="0" w:afterLines="0"/>
        <w:textAlignment w:val="auto"/>
        <w:rPr>
          <w:rFonts w:hint="eastAsia"/>
        </w:rPr>
      </w:pPr>
      <w:r>
        <w:rPr>
          <w:rFonts w:hint="eastAsia"/>
          <w:b w:val="0"/>
          <w:bCs w:val="0"/>
        </w:rPr>
        <w:t>2.</w:t>
      </w:r>
      <w:r>
        <w:rPr>
          <w:rFonts w:hint="eastAsia"/>
          <w:b w:val="0"/>
          <w:bCs w:val="0"/>
          <w:lang w:val="en-US" w:eastAsia="zh-CN"/>
        </w:rPr>
        <w:t>5</w:t>
      </w:r>
      <w:r>
        <w:rPr>
          <w:rFonts w:hint="eastAsia"/>
          <w:b w:val="0"/>
          <w:bCs w:val="0"/>
        </w:rPr>
        <w:t>.</w:t>
      </w:r>
      <w:r>
        <w:rPr>
          <w:rFonts w:hint="eastAsia"/>
          <w:b w:val="0"/>
          <w:bCs w:val="0"/>
          <w:lang w:val="en-US" w:eastAsia="zh-CN"/>
        </w:rPr>
        <w:t>14</w:t>
      </w:r>
      <w:r>
        <w:rPr>
          <w:rFonts w:hint="eastAsia"/>
          <w:b w:val="0"/>
          <w:bCs w:val="0"/>
        </w:rPr>
        <w:t xml:space="preserve">  </w:t>
      </w:r>
      <w:r>
        <w:rPr>
          <w:rFonts w:hint="eastAsia" w:ascii="黑体" w:hAnsi="黑体" w:eastAsia="黑体" w:cs="黑体"/>
          <w:b w:val="0"/>
          <w:bCs w:val="0"/>
        </w:rPr>
        <w:t>安全生产标准化</w:t>
      </w:r>
      <w:r>
        <w:rPr>
          <w:rFonts w:hint="eastAsia" w:ascii="黑体" w:hAnsi="黑体" w:eastAsia="黑体" w:cs="黑体"/>
          <w:b w:val="0"/>
          <w:bCs w:val="0"/>
          <w:lang w:eastAsia="zh-CN"/>
        </w:rPr>
        <w:t>、</w:t>
      </w:r>
      <w:r>
        <w:rPr>
          <w:rFonts w:hint="eastAsia" w:ascii="黑体" w:hAnsi="黑体" w:eastAsia="黑体" w:cs="黑体"/>
          <w:b w:val="0"/>
          <w:bCs w:val="0"/>
        </w:rPr>
        <w:t>双体系建设运行情况</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keepNext w:val="0"/>
        <w:keepLines w:val="0"/>
        <w:pageBreakBefore w:val="0"/>
        <w:widowControl w:val="0"/>
        <w:shd w:val="clear"/>
        <w:kinsoku/>
        <w:wordWrap/>
        <w:overflowPunct/>
        <w:topLinePunct w:val="0"/>
        <w:autoSpaceDE/>
        <w:autoSpaceDN/>
        <w:bidi w:val="0"/>
        <w:adjustRightInd w:val="0"/>
        <w:snapToGrid w:val="0"/>
        <w:ind w:firstLine="0" w:firstLineChars="0"/>
        <w:textAlignment w:val="auto"/>
        <w:outlineLvl w:val="2"/>
        <w:rPr>
          <w:snapToGrid w:val="0"/>
          <w:kern w:val="0"/>
        </w:rPr>
      </w:pPr>
      <w:r>
        <w:rPr>
          <w:rFonts w:hint="eastAsia"/>
          <w:b w:val="0"/>
          <w:bCs w:val="0"/>
        </w:rPr>
        <w:t>2.</w:t>
      </w:r>
      <w:r>
        <w:rPr>
          <w:rFonts w:hint="eastAsia" w:ascii="Times New Roman" w:eastAsia="宋体"/>
          <w:b w:val="0"/>
          <w:bCs w:val="0"/>
          <w:lang w:val="en-US" w:eastAsia="zh-CN"/>
        </w:rPr>
        <w:t>5</w:t>
      </w:r>
      <w:r>
        <w:rPr>
          <w:rFonts w:hint="eastAsia"/>
          <w:b w:val="0"/>
          <w:bCs w:val="0"/>
        </w:rPr>
        <w:t>.1</w:t>
      </w:r>
      <w:r>
        <w:rPr>
          <w:rFonts w:hint="eastAsia" w:ascii="Times New Roman"/>
          <w:b w:val="0"/>
          <w:bCs w:val="0"/>
          <w:lang w:val="en-US" w:eastAsia="zh-CN"/>
        </w:rPr>
        <w:t>5</w:t>
      </w:r>
      <w:r>
        <w:rPr>
          <w:rFonts w:hint="eastAsia"/>
          <w:b w:val="0"/>
          <w:bCs w:val="0"/>
        </w:rPr>
        <w:t xml:space="preserve">  </w:t>
      </w:r>
      <w:r>
        <w:rPr>
          <w:rFonts w:hint="eastAsia" w:ascii="黑体" w:hAnsi="黑体" w:eastAsia="黑体" w:cs="黑体"/>
          <w:b w:val="0"/>
          <w:bCs w:val="0"/>
          <w:lang w:val="en-US" w:eastAsia="zh-CN"/>
        </w:rPr>
        <w:t>事故管理</w:t>
      </w:r>
      <w:r>
        <w:rPr>
          <w:rFonts w:hint="eastAsia" w:ascii="黑体" w:hAnsi="黑体" w:eastAsia="黑体" w:cs="黑体"/>
          <w:b w:val="0"/>
          <w:bCs w:val="0"/>
        </w:rPr>
        <w:t>情况</w:t>
      </w:r>
    </w:p>
    <w:p>
      <w:pPr>
        <w:adjustRightInd w:val="0"/>
        <w:snapToGrid w:val="0"/>
        <w:spacing w:line="360" w:lineRule="auto"/>
        <w:ind w:firstLine="560" w:firstLineChars="200"/>
        <w:rPr>
          <w:rFonts w:hint="default" w:ascii="Times New Roman" w:hAnsi="Times New Roman" w:eastAsia="宋体" w:cs="Times New Roman"/>
          <w:color w:val="000000" w:themeColor="text1"/>
          <w:sz w:val="24"/>
          <w14:textFill>
            <w14:solidFill>
              <w14:schemeClr w14:val="tx1"/>
            </w14:solidFill>
          </w14:textFill>
        </w:rPr>
      </w:pPr>
      <w:r>
        <w:rPr>
          <w:rFonts w:hint="eastAsia"/>
        </w:rPr>
        <w:t>东营大明钻井有限责任公司</w:t>
      </w:r>
      <w:r>
        <w:rPr>
          <w:rFonts w:hint="default" w:ascii="Times New Roman" w:hAnsi="Times New Roman" w:eastAsia="宋体" w:cs="Times New Roman"/>
          <w:color w:val="000000" w:themeColor="text1"/>
          <w:sz w:val="28"/>
          <w:szCs w:val="28"/>
          <w14:textFill>
            <w14:solidFill>
              <w14:schemeClr w14:val="tx1"/>
            </w14:solidFill>
          </w14:textFill>
        </w:rPr>
        <w:t>制定了《安全事故管理</w:t>
      </w:r>
      <w:r>
        <w:rPr>
          <w:rFonts w:hint="eastAsia" w:eastAsia="宋体" w:cs="Times New Roman"/>
          <w:color w:val="000000" w:themeColor="text1"/>
          <w:sz w:val="28"/>
          <w:szCs w:val="28"/>
          <w:lang w:val="en-US" w:eastAsia="zh-CN"/>
          <w14:textFill>
            <w14:solidFill>
              <w14:schemeClr w14:val="tx1"/>
            </w14:solidFill>
          </w14:textFill>
        </w:rPr>
        <w:t>规定</w:t>
      </w:r>
      <w:r>
        <w:rPr>
          <w:rFonts w:hint="default" w:ascii="Times New Roman" w:hAnsi="Times New Roman" w:eastAsia="宋体" w:cs="Times New Roman"/>
          <w:color w:val="000000" w:themeColor="text1"/>
          <w:sz w:val="28"/>
          <w:szCs w:val="28"/>
          <w14:textFill>
            <w14:solidFill>
              <w14:schemeClr w14:val="tx1"/>
            </w14:solidFill>
          </w14:textFill>
        </w:rPr>
        <w:t>》</w:t>
      </w:r>
      <w:r>
        <w:rPr>
          <w:rFonts w:hint="eastAsia" w:eastAsia="宋体" w:cs="Times New Roman"/>
          <w:color w:val="000000" w:themeColor="text1"/>
          <w:sz w:val="28"/>
          <w:szCs w:val="28"/>
          <w:lang w:eastAsia="zh-CN"/>
          <w14:textFill>
            <w14:solidFill>
              <w14:schemeClr w14:val="tx1"/>
            </w14:solidFill>
          </w14:textFill>
        </w:rPr>
        <w:t>、《</w:t>
      </w:r>
      <w:r>
        <w:rPr>
          <w:rFonts w:hint="eastAsia" w:eastAsia="宋体" w:cs="Times New Roman"/>
          <w:color w:val="000000" w:themeColor="text1"/>
          <w:sz w:val="28"/>
          <w:szCs w:val="28"/>
          <w:lang w:val="en-US" w:eastAsia="zh-CN"/>
          <w14:textFill>
            <w14:solidFill>
              <w14:schemeClr w14:val="tx1"/>
            </w14:solidFill>
          </w14:textFill>
        </w:rPr>
        <w:t>生产安全事故处罚制度</w:t>
      </w:r>
      <w:r>
        <w:rPr>
          <w:rFonts w:hint="eastAsia" w:eastAsia="宋体" w:cs="Times New Roman"/>
          <w:color w:val="000000" w:themeColor="text1"/>
          <w:sz w:val="28"/>
          <w:szCs w:val="28"/>
          <w:lang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，制度明确了事故等级，规定了事故报告、事故调查处理</w:t>
      </w:r>
      <w:r>
        <w:rPr>
          <w:rFonts w:hint="eastAsia" w:cs="Times New Roman"/>
          <w:color w:val="000000" w:themeColor="text1"/>
          <w:sz w:val="28"/>
          <w:szCs w:val="28"/>
          <w:lang w:val="en-US" w:eastAsia="zh-CN"/>
          <w14:textFill>
            <w14:solidFill>
              <w14:schemeClr w14:val="tx1"/>
            </w14:solidFill>
          </w14:textFill>
        </w:rPr>
        <w:t>、</w:t>
      </w:r>
      <w:r>
        <w:rPr>
          <w:rFonts w:hint="eastAsia" w:eastAsia="宋体" w:cs="Times New Roman"/>
          <w:color w:val="000000" w:themeColor="text1"/>
          <w:sz w:val="28"/>
          <w:szCs w:val="28"/>
          <w:lang w:val="en-US" w:eastAsia="zh-CN"/>
          <w14:textFill>
            <w14:solidFill>
              <w14:schemeClr w14:val="tx1"/>
            </w14:solidFill>
          </w14:textFill>
        </w:rPr>
        <w:t>形成</w:t>
      </w:r>
      <w:r>
        <w:rPr>
          <w:rFonts w:hint="default" w:ascii="Times New Roman" w:hAnsi="Times New Roman" w:eastAsia="宋体" w:cs="Times New Roman"/>
          <w:color w:val="000000" w:themeColor="text1"/>
          <w:sz w:val="28"/>
          <w:szCs w:val="28"/>
          <w14:textFill>
            <w14:solidFill>
              <w14:schemeClr w14:val="tx1"/>
            </w14:solidFill>
          </w14:textFill>
        </w:rPr>
        <w:t>事故分析报告、</w:t>
      </w:r>
      <w:r>
        <w:rPr>
          <w:rFonts w:hint="eastAsia" w:eastAsia="宋体" w:cs="Times New Roman"/>
          <w:color w:val="000000" w:themeColor="text1"/>
          <w:sz w:val="28"/>
          <w:szCs w:val="28"/>
          <w:lang w:val="en-US" w:eastAsia="zh-CN"/>
          <w14:textFill>
            <w14:solidFill>
              <w14:schemeClr w14:val="tx1"/>
            </w14:solidFill>
          </w14:textFill>
        </w:rPr>
        <w:t>汇总</w:t>
      </w:r>
      <w:r>
        <w:rPr>
          <w:rFonts w:hint="default" w:ascii="Times New Roman" w:hAnsi="Times New Roman" w:eastAsia="宋体" w:cs="Times New Roman"/>
          <w:color w:val="000000" w:themeColor="text1"/>
          <w:sz w:val="28"/>
          <w:szCs w:val="28"/>
          <w14:textFill>
            <w14:solidFill>
              <w14:schemeClr w14:val="tx1"/>
            </w14:solidFill>
          </w14:textFill>
        </w:rPr>
        <w:t>事故现场图片及相关音像资料、</w:t>
      </w:r>
      <w:r>
        <w:rPr>
          <w:rFonts w:hint="eastAsia" w:eastAsia="宋体" w:cs="Times New Roman"/>
          <w:color w:val="000000" w:themeColor="text1"/>
          <w:sz w:val="28"/>
          <w:szCs w:val="28"/>
          <w:lang w:val="en-US" w:eastAsia="zh-CN"/>
          <w14:textFill>
            <w14:solidFill>
              <w14:schemeClr w14:val="tx1"/>
            </w14:solidFill>
          </w14:textFill>
        </w:rPr>
        <w:t>提出</w:t>
      </w:r>
      <w:r>
        <w:rPr>
          <w:rFonts w:hint="default" w:ascii="Times New Roman" w:hAnsi="Times New Roman" w:eastAsia="宋体" w:cs="Times New Roman"/>
          <w:color w:val="000000" w:themeColor="text1"/>
          <w:sz w:val="28"/>
          <w:szCs w:val="28"/>
          <w14:textFill>
            <w14:solidFill>
              <w14:schemeClr w14:val="tx1"/>
            </w14:solidFill>
          </w14:textFill>
        </w:rPr>
        <w:t>事故管理措施等</w:t>
      </w:r>
      <w:r>
        <w:rPr>
          <w:rFonts w:hint="eastAsia" w:eastAsia="宋体"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000000" w:themeColor="text1"/>
          <w:sz w:val="28"/>
          <w:szCs w:val="28"/>
          <w14:textFill>
            <w14:solidFill>
              <w14:schemeClr w14:val="tx1"/>
            </w14:solidFill>
          </w14:textFill>
        </w:rPr>
        <w:t>杜绝类似事故发生。经查询东营市人民政府政府信息公开目录《东营市2022年安全生产事故调查情况》、《东营市2021年安全生产事故调查情况》，均未查询到2021及2022年该企业生产安全事故信息。</w:t>
      </w:r>
    </w:p>
    <w:p>
      <w:pPr>
        <w:pStyle w:val="54"/>
        <w:sectPr>
          <w:pgSz w:w="11906" w:h="16838"/>
          <w:pgMar w:top="1440" w:right="1803" w:bottom="1440" w:left="1803" w:header="850" w:footer="992" w:gutter="0"/>
          <w:pgBorders>
            <w:top w:val="none" w:sz="0" w:space="0"/>
            <w:left w:val="none" w:sz="0" w:space="0"/>
            <w:bottom w:val="none" w:sz="0" w:space="0"/>
            <w:right w:val="none" w:sz="0" w:space="0"/>
          </w:pgBorders>
          <w:cols w:space="0" w:num="1"/>
          <w:rtlGutter w:val="0"/>
          <w:docGrid w:linePitch="312" w:charSpace="0"/>
        </w:sectPr>
      </w:pPr>
    </w:p>
    <w:bookmarkEnd w:id="13"/>
    <w:bookmarkEnd w:id="14"/>
    <w:bookmarkEnd w:id="15"/>
    <w:p>
      <w:pPr>
        <w:pStyle w:val="3"/>
      </w:pPr>
      <w:bookmarkStart w:id="42" w:name="装置危险有害因素及可靠性分析"/>
      <w:bookmarkStart w:id="43" w:name="_Toc25789"/>
      <w:bookmarkStart w:id="44" w:name="_Toc30574"/>
      <w:r>
        <w:t>3</w:t>
      </w:r>
      <w:r>
        <w:rPr>
          <w:rFonts w:hint="eastAsia"/>
        </w:rPr>
        <w:t xml:space="preserve">  </w:t>
      </w:r>
      <w:r>
        <w:rPr>
          <w:rFonts w:hint="eastAsia" w:ascii="楷体" w:hAnsi="楷体" w:eastAsia="楷体" w:cs="楷体"/>
        </w:rPr>
        <w:t>主要危险、有害因素分析</w:t>
      </w:r>
      <w:bookmarkEnd w:id="42"/>
      <w:bookmarkEnd w:id="43"/>
      <w:bookmarkEnd w:id="44"/>
    </w:p>
    <w:p>
      <w:pPr>
        <w:pStyle w:val="4"/>
        <w:rPr>
          <w:b w:val="0"/>
          <w:bCs w:val="0"/>
          <w:sz w:val="32"/>
          <w:szCs w:val="32"/>
        </w:rPr>
      </w:pPr>
      <w:bookmarkStart w:id="45" w:name="_Toc4764"/>
      <w:bookmarkStart w:id="46" w:name="_Toc24101"/>
      <w:bookmarkStart w:id="47" w:name="_Toc99770430"/>
      <w:bookmarkStart w:id="48" w:name="_Toc98850086"/>
      <w:r>
        <w:rPr>
          <w:b w:val="0"/>
          <w:bCs w:val="0"/>
          <w:sz w:val="32"/>
          <w:szCs w:val="32"/>
        </w:rPr>
        <w:t xml:space="preserve">3.1 </w:t>
      </w:r>
      <w:r>
        <w:rPr>
          <w:rFonts w:hint="eastAsia"/>
          <w:b w:val="0"/>
          <w:bCs w:val="0"/>
          <w:sz w:val="32"/>
          <w:szCs w:val="32"/>
        </w:rPr>
        <w:t xml:space="preserve"> </w:t>
      </w:r>
      <w:r>
        <w:rPr>
          <w:rFonts w:hint="eastAsia" w:ascii="黑体" w:hAnsi="黑体" w:eastAsia="黑体" w:cs="黑体"/>
          <w:b w:val="0"/>
          <w:bCs w:val="0"/>
          <w:sz w:val="32"/>
          <w:szCs w:val="32"/>
        </w:rPr>
        <w:t>物质的危险性分析</w:t>
      </w:r>
      <w:bookmarkEnd w:id="45"/>
      <w:bookmarkEnd w:id="46"/>
    </w:p>
    <w:p>
      <w:pPr>
        <w:ind w:firstLine="560"/>
        <w:rPr>
          <w:snapToGrid w:val="0"/>
          <w:kern w:val="0"/>
        </w:rPr>
      </w:pPr>
      <w:r>
        <w:rPr>
          <w:rFonts w:hint="eastAsia"/>
          <w:snapToGrid w:val="0"/>
          <w:kern w:val="0"/>
        </w:rPr>
        <w:t>东营大明钻井有限责任公司</w:t>
      </w:r>
      <w:r>
        <w:rPr>
          <w:snapToGrid w:val="0"/>
          <w:kern w:val="0"/>
        </w:rPr>
        <w:t>钻井作业过程中遇到的主要危险物质有原油、天然气、硫化氢、钻井液，以及钻井用柴油、硫化氢燃烧产物二氧化硫等。</w:t>
      </w:r>
    </w:p>
    <w:p>
      <w:pPr>
        <w:pStyle w:val="5"/>
        <w:rPr>
          <w:b w:val="0"/>
          <w:bCs w:val="0"/>
        </w:rPr>
      </w:pPr>
      <w:r>
        <w:rPr>
          <w:b w:val="0"/>
          <w:bCs w:val="0"/>
        </w:rPr>
        <w:t xml:space="preserve">3.1.1 </w:t>
      </w:r>
      <w:r>
        <w:rPr>
          <w:rFonts w:hint="eastAsia"/>
          <w:b w:val="0"/>
          <w:bCs w:val="0"/>
        </w:rPr>
        <w:t xml:space="preserve"> </w:t>
      </w:r>
      <w:r>
        <w:rPr>
          <w:rFonts w:hint="eastAsia" w:ascii="黑体" w:hAnsi="黑体" w:eastAsia="黑体" w:cs="黑体"/>
          <w:b w:val="0"/>
          <w:bCs w:val="0"/>
        </w:rPr>
        <w:t>原油</w:t>
      </w:r>
    </w:p>
    <w:p>
      <w:pPr>
        <w:ind w:firstLine="560"/>
        <w:rPr>
          <w:snapToGrid w:val="0"/>
          <w:kern w:val="0"/>
        </w:rPr>
      </w:pPr>
      <w:r>
        <w:rPr>
          <w:snapToGrid w:val="0"/>
          <w:kern w:val="0"/>
        </w:rPr>
        <w:t>原油是由各种烃类组成的一种复杂混合物，含有少量硫、氮、氧有机物及微量金属。外观是一种流动和半流动的粘稠液体，颜色大部分是暗色的（从褐色至深黑色）。根据《石油天然气工程设计防火规范》（GB50183-2004）分析，原油的火灾危险等级为甲B类。</w:t>
      </w:r>
    </w:p>
    <w:p>
      <w:pPr>
        <w:ind w:firstLine="560"/>
        <w:rPr>
          <w:snapToGrid w:val="0"/>
          <w:kern w:val="0"/>
        </w:rPr>
      </w:pPr>
      <w:r>
        <w:rPr>
          <w:snapToGrid w:val="0"/>
          <w:kern w:val="0"/>
        </w:rPr>
        <w:t>原油的主要危险性分析：</w:t>
      </w:r>
    </w:p>
    <w:p>
      <w:pPr>
        <w:ind w:firstLine="560"/>
        <w:rPr>
          <w:snapToGrid w:val="0"/>
          <w:kern w:val="0"/>
        </w:rPr>
      </w:pPr>
      <w:r>
        <w:rPr>
          <w:snapToGrid w:val="0"/>
          <w:kern w:val="0"/>
        </w:rPr>
        <w:t>① 易燃、易爆性</w:t>
      </w:r>
    </w:p>
    <w:p>
      <w:pPr>
        <w:ind w:firstLine="560"/>
        <w:rPr>
          <w:snapToGrid w:val="0"/>
          <w:kern w:val="0"/>
        </w:rPr>
      </w:pPr>
      <w:r>
        <w:rPr>
          <w:snapToGrid w:val="0"/>
          <w:kern w:val="0"/>
        </w:rPr>
        <w:t>原油的闪点低，挥发性强，在空气中只要有很小的点燃能量，就会闪燃。原油蒸气和空气混合后，可形成爆炸性混合气体，遇火即发生爆炸。原油的爆炸范围较宽，爆炸下限浓度值较低，爆炸危险性较大。因此，应十分重视原油的泄漏和爆炸性蒸气的产生与积聚，以防止爆炸事故的发生。</w:t>
      </w:r>
    </w:p>
    <w:p>
      <w:pPr>
        <w:ind w:firstLine="560"/>
        <w:rPr>
          <w:snapToGrid w:val="0"/>
          <w:kern w:val="0"/>
        </w:rPr>
      </w:pPr>
      <w:r>
        <w:rPr>
          <w:snapToGrid w:val="0"/>
          <w:kern w:val="0"/>
        </w:rPr>
        <w:t>原油蒸气比空气重，能在较低处扩散到相当远的地方，遇火源会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p>
    <w:p>
      <w:pPr>
        <w:ind w:firstLine="560"/>
        <w:rPr>
          <w:snapToGrid w:val="0"/>
          <w:kern w:val="0"/>
        </w:rPr>
      </w:pPr>
      <w:r>
        <w:rPr>
          <w:snapToGrid w:val="0"/>
          <w:kern w:val="0"/>
        </w:rPr>
        <w:t>② 毒性</w:t>
      </w:r>
    </w:p>
    <w:p>
      <w:pPr>
        <w:ind w:firstLine="560"/>
        <w:rPr>
          <w:snapToGrid w:val="0"/>
          <w:kern w:val="0"/>
        </w:rPr>
      </w:pPr>
      <w:r>
        <w:rPr>
          <w:snapToGrid w:val="0"/>
          <w:kern w:val="0"/>
        </w:rPr>
        <w:t>原油及其蒸气具有一定的毒性，特别是含硫原油的毒性更大。油气若经口、鼻进入呼吸系统，能使人体器官受害而产生急性和慢性中毒。</w:t>
      </w:r>
    </w:p>
    <w:p>
      <w:pPr>
        <w:ind w:firstLine="560"/>
        <w:rPr>
          <w:snapToGrid w:val="0"/>
          <w:kern w:val="0"/>
        </w:rPr>
      </w:pPr>
      <w:r>
        <w:rPr>
          <w:snapToGrid w:val="0"/>
          <w:kern w:val="0"/>
        </w:rPr>
        <w:t>如空气油气含量达到0.28%时，经过12～14min，人便会感到头晕；如含量达1.13～2.22%时，便会发生急性中毒，使人难于支持；当油气含量更高时，会使人立即昏倒，丧失知觉。</w:t>
      </w:r>
    </w:p>
    <w:p>
      <w:pPr>
        <w:ind w:firstLine="560"/>
        <w:rPr>
          <w:snapToGrid w:val="0"/>
          <w:kern w:val="0"/>
        </w:rPr>
      </w:pPr>
      <w:r>
        <w:rPr>
          <w:snapToGrid w:val="0"/>
          <w:kern w:val="0"/>
        </w:rPr>
        <w:t>油气慢性中毒的结果会使人患慢性病，产生头昏、疲倦、想睡等症状。若皮肤经常与原油接触，会产生脱脂、干燥、裂口、皮炎和局部神经麻木。原油落入口腔、眼睛时，会使粘膜枯萎，有时会出血。</w:t>
      </w:r>
    </w:p>
    <w:p>
      <w:pPr>
        <w:ind w:firstLine="560"/>
        <w:rPr>
          <w:snapToGrid w:val="0"/>
          <w:kern w:val="0"/>
        </w:rPr>
      </w:pPr>
      <w:r>
        <w:rPr>
          <w:snapToGrid w:val="0"/>
          <w:kern w:val="0"/>
        </w:rPr>
        <w:t>原油危险、有害特性见表3-1。</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napToGrid w:val="0"/>
          <w:kern w:val="0"/>
        </w:rPr>
      </w:pPr>
      <w:r>
        <w:rPr>
          <w:b/>
          <w:bCs/>
          <w:snapToGrid w:val="0"/>
          <w:kern w:val="0"/>
          <w:sz w:val="24"/>
          <w:szCs w:val="24"/>
        </w:rPr>
        <w:t>表3-1  原油危险有害特性及安全技术表</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3241"/>
        <w:gridCol w:w="505"/>
        <w:gridCol w:w="1289"/>
        <w:gridCol w:w="2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restart"/>
            <w:noWrap w:val="0"/>
            <w:vAlign w:val="center"/>
          </w:tcPr>
          <w:p>
            <w:pPr>
              <w:spacing w:line="240" w:lineRule="auto"/>
              <w:ind w:firstLine="0" w:firstLineChars="0"/>
              <w:rPr>
                <w:snapToGrid w:val="0"/>
                <w:kern w:val="0"/>
                <w:sz w:val="21"/>
                <w:szCs w:val="21"/>
              </w:rPr>
            </w:pPr>
            <w:r>
              <w:rPr>
                <w:snapToGrid w:val="0"/>
                <w:kern w:val="0"/>
                <w:sz w:val="21"/>
                <w:szCs w:val="21"/>
              </w:rPr>
              <w:t>标识</w:t>
            </w:r>
          </w:p>
        </w:tc>
        <w:tc>
          <w:tcPr>
            <w:tcW w:w="3241" w:type="dxa"/>
            <w:noWrap w:val="0"/>
            <w:vAlign w:val="center"/>
          </w:tcPr>
          <w:p>
            <w:pPr>
              <w:spacing w:line="240" w:lineRule="auto"/>
              <w:ind w:firstLine="0" w:firstLineChars="0"/>
              <w:rPr>
                <w:snapToGrid w:val="0"/>
                <w:kern w:val="0"/>
                <w:sz w:val="21"/>
                <w:szCs w:val="21"/>
              </w:rPr>
            </w:pPr>
            <w:r>
              <w:rPr>
                <w:snapToGrid w:val="0"/>
                <w:kern w:val="0"/>
                <w:sz w:val="21"/>
                <w:szCs w:val="21"/>
              </w:rPr>
              <w:t>中文名：原油</w:t>
            </w:r>
          </w:p>
        </w:tc>
        <w:tc>
          <w:tcPr>
            <w:tcW w:w="3977" w:type="dxa"/>
            <w:gridSpan w:val="3"/>
            <w:noWrap w:val="0"/>
            <w:vAlign w:val="center"/>
          </w:tcPr>
          <w:p>
            <w:pPr>
              <w:spacing w:line="240" w:lineRule="auto"/>
              <w:ind w:firstLine="0" w:firstLineChars="0"/>
              <w:rPr>
                <w:snapToGrid w:val="0"/>
                <w:kern w:val="0"/>
                <w:sz w:val="21"/>
                <w:szCs w:val="21"/>
              </w:rPr>
            </w:pPr>
            <w:r>
              <w:rPr>
                <w:snapToGrid w:val="0"/>
                <w:kern w:val="0"/>
                <w:sz w:val="21"/>
                <w:szCs w:val="21"/>
              </w:rPr>
              <w:t>英文名称crude oil；Petroleum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3241" w:type="dxa"/>
            <w:noWrap w:val="0"/>
            <w:vAlign w:val="center"/>
          </w:tcPr>
          <w:p>
            <w:pPr>
              <w:spacing w:line="240" w:lineRule="auto"/>
              <w:ind w:firstLine="0" w:firstLineChars="0"/>
              <w:rPr>
                <w:snapToGrid w:val="0"/>
                <w:kern w:val="0"/>
                <w:sz w:val="21"/>
                <w:szCs w:val="21"/>
              </w:rPr>
            </w:pPr>
            <w:r>
              <w:rPr>
                <w:snapToGrid w:val="0"/>
                <w:kern w:val="0"/>
                <w:sz w:val="21"/>
                <w:szCs w:val="21"/>
              </w:rPr>
              <w:t>危险货物编号：32003</w:t>
            </w:r>
          </w:p>
        </w:tc>
        <w:tc>
          <w:tcPr>
            <w:tcW w:w="1794" w:type="dxa"/>
            <w:gridSpan w:val="2"/>
            <w:noWrap w:val="0"/>
            <w:vAlign w:val="center"/>
          </w:tcPr>
          <w:p>
            <w:pPr>
              <w:spacing w:line="240" w:lineRule="auto"/>
              <w:ind w:firstLine="0" w:firstLineChars="0"/>
              <w:rPr>
                <w:snapToGrid w:val="0"/>
                <w:kern w:val="0"/>
                <w:sz w:val="21"/>
                <w:szCs w:val="21"/>
              </w:rPr>
            </w:pPr>
            <w:r>
              <w:rPr>
                <w:snapToGrid w:val="0"/>
                <w:kern w:val="0"/>
                <w:sz w:val="21"/>
                <w:szCs w:val="21"/>
              </w:rPr>
              <w:t>UN编号：1267</w:t>
            </w:r>
          </w:p>
        </w:tc>
        <w:tc>
          <w:tcPr>
            <w:tcW w:w="2183" w:type="dxa"/>
            <w:noWrap w:val="0"/>
            <w:vAlign w:val="center"/>
          </w:tcPr>
          <w:p>
            <w:pPr>
              <w:spacing w:line="240" w:lineRule="auto"/>
              <w:ind w:firstLine="0" w:firstLineChars="0"/>
              <w:rPr>
                <w:snapToGrid w:val="0"/>
                <w:kern w:val="0"/>
                <w:sz w:val="21"/>
                <w:szCs w:val="21"/>
              </w:rPr>
            </w:pPr>
            <w:r>
              <w:rPr>
                <w:snapToGrid w:val="0"/>
                <w:kern w:val="0"/>
                <w:sz w:val="21"/>
                <w:szCs w:val="21"/>
              </w:rPr>
              <w:t>CAS NO.： 8002-05-9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restart"/>
            <w:noWrap w:val="0"/>
            <w:vAlign w:val="center"/>
          </w:tcPr>
          <w:p>
            <w:pPr>
              <w:spacing w:line="240" w:lineRule="auto"/>
              <w:ind w:firstLine="0" w:firstLineChars="0"/>
              <w:rPr>
                <w:snapToGrid w:val="0"/>
                <w:kern w:val="0"/>
                <w:sz w:val="21"/>
                <w:szCs w:val="21"/>
              </w:rPr>
            </w:pPr>
            <w:r>
              <w:rPr>
                <w:snapToGrid w:val="0"/>
                <w:kern w:val="0"/>
                <w:sz w:val="21"/>
                <w:szCs w:val="21"/>
              </w:rPr>
              <w:t>理化性质</w:t>
            </w: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外观与气味：黄色乃至黑色，有绿色荧光的稠厚性油状液体。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3241" w:type="dxa"/>
            <w:noWrap w:val="0"/>
            <w:vAlign w:val="center"/>
          </w:tcPr>
          <w:p>
            <w:pPr>
              <w:spacing w:line="240" w:lineRule="auto"/>
              <w:ind w:firstLine="0" w:firstLineChars="0"/>
              <w:rPr>
                <w:snapToGrid w:val="0"/>
                <w:kern w:val="0"/>
                <w:sz w:val="21"/>
                <w:szCs w:val="21"/>
              </w:rPr>
            </w:pPr>
            <w:r>
              <w:rPr>
                <w:snapToGrid w:val="0"/>
                <w:kern w:val="0"/>
                <w:sz w:val="21"/>
                <w:szCs w:val="21"/>
              </w:rPr>
              <w:t>熔点（℃）：无资料</w:t>
            </w:r>
          </w:p>
        </w:tc>
        <w:tc>
          <w:tcPr>
            <w:tcW w:w="3977" w:type="dxa"/>
            <w:gridSpan w:val="3"/>
            <w:noWrap w:val="0"/>
            <w:vAlign w:val="center"/>
          </w:tcPr>
          <w:p>
            <w:pPr>
              <w:spacing w:line="240" w:lineRule="auto"/>
              <w:ind w:firstLine="0" w:firstLineChars="0"/>
              <w:rPr>
                <w:snapToGrid w:val="0"/>
                <w:kern w:val="0"/>
                <w:sz w:val="21"/>
                <w:szCs w:val="21"/>
              </w:rPr>
            </w:pPr>
            <w:r>
              <w:rPr>
                <w:snapToGrid w:val="0"/>
                <w:kern w:val="0"/>
                <w:sz w:val="21"/>
                <w:szCs w:val="21"/>
              </w:rPr>
              <w:t>溶解性：不溶于水，溶于多种有机溶剂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3241" w:type="dxa"/>
            <w:noWrap w:val="0"/>
            <w:vAlign w:val="center"/>
          </w:tcPr>
          <w:p>
            <w:pPr>
              <w:spacing w:line="240" w:lineRule="auto"/>
              <w:ind w:firstLine="0" w:firstLineChars="0"/>
              <w:rPr>
                <w:snapToGrid w:val="0"/>
                <w:kern w:val="0"/>
                <w:sz w:val="21"/>
                <w:szCs w:val="21"/>
              </w:rPr>
            </w:pPr>
            <w:r>
              <w:rPr>
                <w:snapToGrid w:val="0"/>
                <w:kern w:val="0"/>
                <w:sz w:val="21"/>
                <w:szCs w:val="21"/>
              </w:rPr>
              <w:t>沸点（℃）：自常温至500℃以上</w:t>
            </w:r>
          </w:p>
        </w:tc>
        <w:tc>
          <w:tcPr>
            <w:tcW w:w="3977" w:type="dxa"/>
            <w:gridSpan w:val="3"/>
            <w:noWrap w:val="0"/>
            <w:vAlign w:val="center"/>
          </w:tcPr>
          <w:p>
            <w:pPr>
              <w:spacing w:line="240" w:lineRule="auto"/>
              <w:ind w:firstLine="0" w:firstLineChars="0"/>
              <w:rPr>
                <w:snapToGrid w:val="0"/>
                <w:kern w:val="0"/>
                <w:sz w:val="21"/>
                <w:szCs w:val="21"/>
              </w:rPr>
            </w:pPr>
            <w:r>
              <w:rPr>
                <w:snapToGrid w:val="0"/>
                <w:kern w:val="0"/>
                <w:sz w:val="21"/>
                <w:szCs w:val="21"/>
              </w:rPr>
              <w:t>相对密度（水=1）：0.78～0.97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3241" w:type="dxa"/>
            <w:noWrap w:val="0"/>
            <w:vAlign w:val="center"/>
          </w:tcPr>
          <w:p>
            <w:pPr>
              <w:spacing w:line="240" w:lineRule="auto"/>
              <w:ind w:firstLine="0" w:firstLineChars="0"/>
              <w:rPr>
                <w:snapToGrid w:val="0"/>
                <w:kern w:val="0"/>
                <w:sz w:val="21"/>
                <w:szCs w:val="21"/>
              </w:rPr>
            </w:pPr>
            <w:r>
              <w:rPr>
                <w:snapToGrid w:val="0"/>
                <w:kern w:val="0"/>
                <w:sz w:val="21"/>
                <w:szCs w:val="21"/>
              </w:rPr>
              <w:t>燃烧热（kj/mol）:无资料</w:t>
            </w:r>
          </w:p>
        </w:tc>
        <w:tc>
          <w:tcPr>
            <w:tcW w:w="3977" w:type="dxa"/>
            <w:gridSpan w:val="3"/>
            <w:noWrap w:val="0"/>
            <w:vAlign w:val="center"/>
          </w:tcPr>
          <w:p>
            <w:pPr>
              <w:spacing w:line="240" w:lineRule="auto"/>
              <w:ind w:firstLine="0" w:firstLineChars="0"/>
              <w:rPr>
                <w:snapToGrid w:val="0"/>
                <w:kern w:val="0"/>
                <w:sz w:val="21"/>
                <w:szCs w:val="21"/>
              </w:rPr>
            </w:pPr>
            <w:r>
              <w:rPr>
                <w:snapToGrid w:val="0"/>
                <w:kern w:val="0"/>
                <w:sz w:val="21"/>
                <w:szCs w:val="21"/>
              </w:rPr>
              <w:t>相对密度（空气=1）：无资料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restart"/>
            <w:noWrap w:val="0"/>
            <w:vAlign w:val="center"/>
          </w:tcPr>
          <w:p>
            <w:pPr>
              <w:spacing w:line="240" w:lineRule="auto"/>
              <w:ind w:firstLine="0" w:firstLineChars="0"/>
              <w:rPr>
                <w:snapToGrid w:val="0"/>
                <w:kern w:val="0"/>
                <w:sz w:val="21"/>
                <w:szCs w:val="21"/>
              </w:rPr>
            </w:pPr>
            <w:r>
              <w:rPr>
                <w:snapToGrid w:val="0"/>
                <w:kern w:val="0"/>
                <w:sz w:val="21"/>
                <w:szCs w:val="21"/>
              </w:rPr>
              <w:t>燃烧爆炸危险性</w:t>
            </w:r>
          </w:p>
        </w:tc>
        <w:tc>
          <w:tcPr>
            <w:tcW w:w="3241" w:type="dxa"/>
            <w:noWrap w:val="0"/>
            <w:vAlign w:val="center"/>
          </w:tcPr>
          <w:p>
            <w:pPr>
              <w:spacing w:line="240" w:lineRule="auto"/>
              <w:ind w:firstLine="0" w:firstLineChars="0"/>
              <w:rPr>
                <w:snapToGrid w:val="0"/>
                <w:kern w:val="0"/>
                <w:sz w:val="21"/>
                <w:szCs w:val="21"/>
              </w:rPr>
            </w:pPr>
            <w:r>
              <w:rPr>
                <w:snapToGrid w:val="0"/>
                <w:kern w:val="0"/>
                <w:sz w:val="21"/>
                <w:szCs w:val="21"/>
              </w:rPr>
              <w:t>燃烧性：易燃</w:t>
            </w:r>
          </w:p>
        </w:tc>
        <w:tc>
          <w:tcPr>
            <w:tcW w:w="3977" w:type="dxa"/>
            <w:gridSpan w:val="3"/>
            <w:noWrap w:val="0"/>
            <w:vAlign w:val="center"/>
          </w:tcPr>
          <w:p>
            <w:pPr>
              <w:spacing w:line="240" w:lineRule="auto"/>
              <w:ind w:firstLine="0" w:firstLineChars="0"/>
              <w:rPr>
                <w:snapToGrid w:val="0"/>
                <w:kern w:val="0"/>
                <w:sz w:val="21"/>
                <w:szCs w:val="21"/>
              </w:rPr>
            </w:pPr>
            <w:r>
              <w:rPr>
                <w:snapToGrid w:val="0"/>
                <w:kern w:val="0"/>
                <w:sz w:val="21"/>
                <w:szCs w:val="21"/>
              </w:rPr>
              <w:t>燃烧分解产物：CO、CO</w:t>
            </w:r>
            <w:r>
              <w:rPr>
                <w:snapToGrid w:val="0"/>
                <w:kern w:val="0"/>
                <w:sz w:val="21"/>
                <w:szCs w:val="21"/>
                <w:vertAlign w:val="sub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3241" w:type="dxa"/>
            <w:noWrap w:val="0"/>
            <w:vAlign w:val="center"/>
          </w:tcPr>
          <w:p>
            <w:pPr>
              <w:spacing w:line="240" w:lineRule="auto"/>
              <w:ind w:firstLine="0" w:firstLineChars="0"/>
              <w:rPr>
                <w:snapToGrid w:val="0"/>
                <w:kern w:val="0"/>
                <w:sz w:val="21"/>
                <w:szCs w:val="21"/>
              </w:rPr>
            </w:pPr>
            <w:r>
              <w:rPr>
                <w:snapToGrid w:val="0"/>
                <w:kern w:val="0"/>
                <w:sz w:val="21"/>
                <w:szCs w:val="21"/>
              </w:rPr>
              <w:t>闪点（℃）：</w:t>
            </w:r>
            <w:r>
              <w:rPr>
                <w:rFonts w:hint="default" w:ascii="Times New Roman" w:hAnsi="Times New Roman" w:eastAsia="宋体" w:cs="Times New Roman"/>
                <w:color w:val="000000"/>
                <w:kern w:val="0"/>
                <w:sz w:val="20"/>
                <w:szCs w:val="20"/>
                <w:lang w:val="en-US" w:eastAsia="zh-CN" w:bidi="ar"/>
              </w:rPr>
              <w:t>20</w:t>
            </w:r>
            <w:r>
              <w:rPr>
                <w:rFonts w:hint="eastAsia" w:ascii="宋体" w:hAnsi="宋体" w:eastAsia="宋体" w:cs="宋体"/>
                <w:color w:val="000000"/>
                <w:kern w:val="0"/>
                <w:sz w:val="20"/>
                <w:szCs w:val="20"/>
                <w:lang w:val="en-US" w:eastAsia="zh-CN" w:bidi="ar"/>
              </w:rPr>
              <w:t>～</w:t>
            </w:r>
            <w:r>
              <w:rPr>
                <w:rFonts w:hint="default" w:ascii="Times New Roman" w:hAnsi="Times New Roman" w:eastAsia="宋体" w:cs="Times New Roman"/>
                <w:color w:val="000000"/>
                <w:kern w:val="0"/>
                <w:sz w:val="20"/>
                <w:szCs w:val="20"/>
                <w:lang w:val="en-US" w:eastAsia="zh-CN" w:bidi="ar"/>
              </w:rPr>
              <w:t>100</w:t>
            </w:r>
          </w:p>
        </w:tc>
        <w:tc>
          <w:tcPr>
            <w:tcW w:w="3977" w:type="dxa"/>
            <w:gridSpan w:val="3"/>
            <w:noWrap w:val="0"/>
            <w:vAlign w:val="center"/>
          </w:tcPr>
          <w:p>
            <w:pPr>
              <w:spacing w:line="240" w:lineRule="auto"/>
              <w:ind w:firstLine="0" w:firstLineChars="0"/>
              <w:rPr>
                <w:snapToGrid w:val="0"/>
                <w:kern w:val="0"/>
                <w:sz w:val="21"/>
                <w:szCs w:val="21"/>
              </w:rPr>
            </w:pPr>
            <w:r>
              <w:rPr>
                <w:snapToGrid w:val="0"/>
                <w:kern w:val="0"/>
                <w:sz w:val="21"/>
                <w:szCs w:val="21"/>
              </w:rPr>
              <w:t>聚合危害：不能出现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3241" w:type="dxa"/>
            <w:noWrap w:val="0"/>
            <w:vAlign w:val="center"/>
          </w:tcPr>
          <w:p>
            <w:pPr>
              <w:spacing w:line="240" w:lineRule="auto"/>
              <w:ind w:firstLine="0" w:firstLineChars="0"/>
              <w:rPr>
                <w:snapToGrid w:val="0"/>
                <w:kern w:val="0"/>
                <w:sz w:val="21"/>
                <w:szCs w:val="21"/>
              </w:rPr>
            </w:pPr>
            <w:r>
              <w:rPr>
                <w:snapToGrid w:val="0"/>
                <w:kern w:val="0"/>
                <w:sz w:val="21"/>
                <w:szCs w:val="21"/>
              </w:rPr>
              <w:t>爆炸极限(V%)：1.1～8.7</w:t>
            </w:r>
          </w:p>
        </w:tc>
        <w:tc>
          <w:tcPr>
            <w:tcW w:w="3977" w:type="dxa"/>
            <w:gridSpan w:val="3"/>
            <w:noWrap w:val="0"/>
            <w:vAlign w:val="center"/>
          </w:tcPr>
          <w:p>
            <w:pPr>
              <w:spacing w:line="240" w:lineRule="auto"/>
              <w:ind w:firstLine="0" w:firstLineChars="0"/>
              <w:rPr>
                <w:snapToGrid w:val="0"/>
                <w:kern w:val="0"/>
                <w:sz w:val="21"/>
                <w:szCs w:val="21"/>
              </w:rPr>
            </w:pPr>
            <w:r>
              <w:rPr>
                <w:snapToGrid w:val="0"/>
                <w:kern w:val="0"/>
                <w:sz w:val="21"/>
                <w:szCs w:val="21"/>
              </w:rPr>
              <w:t>自燃温度（℃）：350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3241" w:type="dxa"/>
            <w:noWrap w:val="0"/>
            <w:vAlign w:val="center"/>
          </w:tcPr>
          <w:p>
            <w:pPr>
              <w:spacing w:line="240" w:lineRule="auto"/>
              <w:ind w:firstLine="0" w:firstLineChars="0"/>
              <w:rPr>
                <w:snapToGrid w:val="0"/>
                <w:kern w:val="0"/>
                <w:sz w:val="21"/>
                <w:szCs w:val="21"/>
              </w:rPr>
            </w:pPr>
            <w:r>
              <w:rPr>
                <w:snapToGrid w:val="0"/>
                <w:kern w:val="0"/>
                <w:sz w:val="21"/>
                <w:szCs w:val="21"/>
              </w:rPr>
              <w:t>火灾危险性分类：甲B</w:t>
            </w:r>
          </w:p>
        </w:tc>
        <w:tc>
          <w:tcPr>
            <w:tcW w:w="3977" w:type="dxa"/>
            <w:gridSpan w:val="3"/>
            <w:noWrap w:val="0"/>
            <w:vAlign w:val="center"/>
          </w:tcPr>
          <w:p>
            <w:pPr>
              <w:spacing w:line="240" w:lineRule="auto"/>
              <w:ind w:firstLine="0" w:firstLineChars="0"/>
              <w:rPr>
                <w:snapToGrid w:val="0"/>
                <w:kern w:val="0"/>
                <w:sz w:val="21"/>
                <w:szCs w:val="21"/>
              </w:rPr>
            </w:pPr>
            <w:r>
              <w:rPr>
                <w:snapToGrid w:val="0"/>
                <w:kern w:val="0"/>
                <w:sz w:val="21"/>
                <w:szCs w:val="21"/>
              </w:rPr>
              <w:t>物质危险性类别：中闪点易燃液体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危险特性：其蒸气与空气形成爆炸性混合物，遇明火、高热能引起燃烧爆炸。若遇高热分解出有毒的烟雾。其燃烧、爆炸危险性与轻汽油相似。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灭火剂：泡沫、干粉、二氧化碳、砂土，用水灭火无效。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restart"/>
            <w:noWrap w:val="0"/>
            <w:vAlign w:val="center"/>
          </w:tcPr>
          <w:p>
            <w:pPr>
              <w:spacing w:line="240" w:lineRule="auto"/>
              <w:ind w:firstLine="0" w:firstLineChars="0"/>
              <w:rPr>
                <w:snapToGrid w:val="0"/>
                <w:kern w:val="0"/>
                <w:sz w:val="21"/>
                <w:szCs w:val="21"/>
              </w:rPr>
            </w:pPr>
            <w:r>
              <w:rPr>
                <w:snapToGrid w:val="0"/>
                <w:kern w:val="0"/>
                <w:sz w:val="21"/>
                <w:szCs w:val="21"/>
              </w:rPr>
              <w:t>健康危害</w:t>
            </w:r>
          </w:p>
        </w:tc>
        <w:tc>
          <w:tcPr>
            <w:tcW w:w="3746" w:type="dxa"/>
            <w:gridSpan w:val="2"/>
            <w:noWrap w:val="0"/>
            <w:vAlign w:val="center"/>
          </w:tcPr>
          <w:p>
            <w:pPr>
              <w:spacing w:line="240" w:lineRule="auto"/>
              <w:ind w:firstLine="0" w:firstLineChars="0"/>
              <w:rPr>
                <w:snapToGrid w:val="0"/>
                <w:kern w:val="0"/>
                <w:sz w:val="21"/>
                <w:szCs w:val="21"/>
              </w:rPr>
            </w:pPr>
            <w:r>
              <w:rPr>
                <w:snapToGrid w:val="0"/>
                <w:kern w:val="0"/>
                <w:sz w:val="21"/>
                <w:szCs w:val="21"/>
              </w:rPr>
              <w:t>毒性：500～5000mg/kg（哺乳动物吸入）</w:t>
            </w:r>
          </w:p>
        </w:tc>
        <w:tc>
          <w:tcPr>
            <w:tcW w:w="3472" w:type="dxa"/>
            <w:gridSpan w:val="2"/>
            <w:noWrap w:val="0"/>
            <w:vAlign w:val="center"/>
          </w:tcPr>
          <w:p>
            <w:pPr>
              <w:spacing w:line="240" w:lineRule="auto"/>
              <w:ind w:firstLine="0" w:firstLineChars="0"/>
              <w:rPr>
                <w:snapToGrid w:val="0"/>
                <w:kern w:val="0"/>
                <w:sz w:val="21"/>
                <w:szCs w:val="21"/>
              </w:rPr>
            </w:pPr>
            <w:r>
              <w:rPr>
                <w:snapToGrid w:val="0"/>
                <w:kern w:val="0"/>
                <w:sz w:val="21"/>
                <w:szCs w:val="21"/>
              </w:rPr>
              <w:t>毒物侵入途径：吸入、食入、经皮吸收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原油本身无明显毒性。其不同的产品和中间产品表现出不同的毒性。遇热分解释出有毒的烟雾。吸入大量蒸气能引起神经麻痹。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noWrap w:val="0"/>
            <w:vAlign w:val="center"/>
          </w:tcPr>
          <w:p>
            <w:pPr>
              <w:spacing w:line="240" w:lineRule="auto"/>
              <w:ind w:firstLine="0" w:firstLineChars="0"/>
              <w:rPr>
                <w:snapToGrid w:val="0"/>
                <w:kern w:val="0"/>
                <w:sz w:val="21"/>
                <w:szCs w:val="21"/>
              </w:rPr>
            </w:pPr>
            <w:r>
              <w:rPr>
                <w:snapToGrid w:val="0"/>
                <w:kern w:val="0"/>
                <w:sz w:val="21"/>
                <w:szCs w:val="21"/>
              </w:rPr>
              <w:t>操作处置</w:t>
            </w:r>
          </w:p>
          <w:p>
            <w:pPr>
              <w:spacing w:line="240" w:lineRule="auto"/>
              <w:ind w:firstLine="0" w:firstLineChars="0"/>
              <w:rPr>
                <w:snapToGrid w:val="0"/>
                <w:kern w:val="0"/>
                <w:sz w:val="21"/>
                <w:szCs w:val="21"/>
              </w:rPr>
            </w:pPr>
            <w:r>
              <w:rPr>
                <w:snapToGrid w:val="0"/>
                <w:kern w:val="0"/>
                <w:sz w:val="21"/>
                <w:szCs w:val="21"/>
              </w:rPr>
              <w:t>注意事项</w:t>
            </w: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生产过程密闭，全面通风。提供安全淋浴和洗眼设备。高浓度环境中，应该佩戴防毒口罩。紧急事态抢救或撤离时，建议佩戴自给式呼吸器。戴化学安全防护眼镜，穿防腐工作服，戴橡胶手套。工作后淋浴更衣，注意个人清洁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noWrap w:val="0"/>
            <w:vAlign w:val="center"/>
          </w:tcPr>
          <w:p>
            <w:pPr>
              <w:spacing w:line="240" w:lineRule="auto"/>
              <w:ind w:firstLine="0" w:firstLineChars="0"/>
              <w:rPr>
                <w:snapToGrid w:val="0"/>
                <w:kern w:val="0"/>
                <w:sz w:val="21"/>
                <w:szCs w:val="21"/>
              </w:rPr>
            </w:pPr>
            <w:r>
              <w:rPr>
                <w:snapToGrid w:val="0"/>
                <w:kern w:val="0"/>
                <w:sz w:val="21"/>
                <w:szCs w:val="21"/>
              </w:rPr>
              <w:t>泄漏紧急</w:t>
            </w:r>
          </w:p>
          <w:p>
            <w:pPr>
              <w:spacing w:line="240" w:lineRule="auto"/>
              <w:ind w:firstLine="0" w:firstLineChars="0"/>
              <w:rPr>
                <w:snapToGrid w:val="0"/>
                <w:kern w:val="0"/>
                <w:sz w:val="21"/>
                <w:szCs w:val="21"/>
              </w:rPr>
            </w:pPr>
            <w:r>
              <w:rPr>
                <w:snapToGrid w:val="0"/>
                <w:kern w:val="0"/>
                <w:sz w:val="21"/>
                <w:szCs w:val="21"/>
              </w:rPr>
              <w:t>处理</w:t>
            </w: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迅速撤离泄漏污染区人员至安全区，禁止无关人员进入污染区，切断火源。应急处理人员戴自给正压式呼吸器，穿一般消防防护服。在确保安全情况下堵漏。喷水雾可减少蒸发。用活性炭或其它惰性材料吸收，然后收集运至废物处理场所。也可以用大量水冲洗，经稀释的洗液放入废水系统。如大量泄漏，利用围堤收容，然后收集、转移、回收或无害处理后废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noWrap w:val="0"/>
            <w:vAlign w:val="center"/>
          </w:tcPr>
          <w:p>
            <w:pPr>
              <w:spacing w:line="240" w:lineRule="auto"/>
              <w:ind w:firstLine="0" w:firstLineChars="0"/>
              <w:rPr>
                <w:snapToGrid w:val="0"/>
                <w:kern w:val="0"/>
                <w:sz w:val="21"/>
                <w:szCs w:val="21"/>
              </w:rPr>
            </w:pPr>
            <w:r>
              <w:rPr>
                <w:snapToGrid w:val="0"/>
                <w:kern w:val="0"/>
                <w:sz w:val="21"/>
                <w:szCs w:val="21"/>
              </w:rPr>
              <w:t>储存注意</w:t>
            </w:r>
          </w:p>
          <w:p>
            <w:pPr>
              <w:spacing w:line="240" w:lineRule="auto"/>
              <w:ind w:firstLine="0" w:firstLineChars="0"/>
              <w:rPr>
                <w:snapToGrid w:val="0"/>
                <w:kern w:val="0"/>
                <w:sz w:val="21"/>
                <w:szCs w:val="21"/>
              </w:rPr>
            </w:pPr>
            <w:r>
              <w:rPr>
                <w:snapToGrid w:val="0"/>
                <w:kern w:val="0"/>
                <w:sz w:val="21"/>
                <w:szCs w:val="21"/>
              </w:rPr>
              <w:t>事项</w:t>
            </w: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储存于阴凉、通风仓间内。远离火种、热源。仓温不宜超过30度。防止阳光直射。保持容器密封，应与氧化剂分开存放，储存间内的照明、通风等设施应采用防爆型。配备相应品种和数量的消防器材。罐储时要有防火防爆技术措施。禁止使用易产生火花的机械设备和工具。灌装时注意流速(不超过3m／s)，且有接地装置，防止静电积聚。搬运时要轻装轻卸，防止包装及容器损坏。</w:t>
            </w:r>
          </w:p>
        </w:tc>
      </w:tr>
    </w:tbl>
    <w:p>
      <w:pPr>
        <w:pStyle w:val="5"/>
        <w:keepNext/>
        <w:keepLines/>
        <w:pageBreakBefore w:val="0"/>
        <w:widowControl w:val="0"/>
        <w:kinsoku/>
        <w:wordWrap/>
        <w:overflowPunct/>
        <w:topLinePunct w:val="0"/>
        <w:autoSpaceDE/>
        <w:autoSpaceDN/>
        <w:bidi w:val="0"/>
        <w:adjustRightInd w:val="0"/>
        <w:snapToGrid w:val="0"/>
        <w:spacing w:before="157" w:beforeLines="50"/>
        <w:textAlignment w:val="auto"/>
        <w:rPr>
          <w:b w:val="0"/>
          <w:bCs w:val="0"/>
        </w:rPr>
      </w:pPr>
      <w:bookmarkStart w:id="49" w:name="_Toc88547035"/>
      <w:bookmarkStart w:id="50" w:name="_Toc93819541"/>
      <w:bookmarkStart w:id="51" w:name="_Toc83285840"/>
      <w:bookmarkStart w:id="52" w:name="_Toc74028107"/>
      <w:bookmarkStart w:id="53" w:name="_Toc83286210"/>
      <w:bookmarkStart w:id="54" w:name="_Toc81289766"/>
      <w:r>
        <w:rPr>
          <w:b w:val="0"/>
          <w:bCs w:val="0"/>
        </w:rPr>
        <w:t>3.1.</w:t>
      </w:r>
      <w:bookmarkEnd w:id="49"/>
      <w:bookmarkEnd w:id="50"/>
      <w:bookmarkEnd w:id="51"/>
      <w:bookmarkEnd w:id="52"/>
      <w:bookmarkEnd w:id="53"/>
      <w:bookmarkEnd w:id="54"/>
      <w:r>
        <w:rPr>
          <w:b w:val="0"/>
          <w:bCs w:val="0"/>
        </w:rPr>
        <w:t xml:space="preserve">2 </w:t>
      </w:r>
      <w:r>
        <w:rPr>
          <w:rFonts w:hint="eastAsia"/>
          <w:b w:val="0"/>
          <w:bCs w:val="0"/>
        </w:rPr>
        <w:t xml:space="preserve"> </w:t>
      </w:r>
      <w:r>
        <w:rPr>
          <w:rFonts w:hint="eastAsia" w:ascii="黑体" w:hAnsi="黑体" w:eastAsia="黑体" w:cs="黑体"/>
          <w:b w:val="0"/>
          <w:bCs w:val="0"/>
        </w:rPr>
        <w:t>天然气</w:t>
      </w:r>
    </w:p>
    <w:p>
      <w:pPr>
        <w:ind w:firstLine="560"/>
        <w:rPr>
          <w:snapToGrid w:val="0"/>
          <w:kern w:val="0"/>
        </w:rPr>
      </w:pPr>
      <w:r>
        <w:rPr>
          <w:snapToGrid w:val="0"/>
          <w:kern w:val="0"/>
        </w:rPr>
        <w:t>天然气是一种混合气体，本项目天然气指伴生气，根据《石油天然气工程设计防火规范》（GB 50183-2004）中可燃物质火灾危险性分类，天然气火灾危险等级为甲</w:t>
      </w:r>
      <w:r>
        <w:rPr>
          <w:snapToGrid w:val="0"/>
          <w:kern w:val="0"/>
          <w:vertAlign w:val="subscript"/>
        </w:rPr>
        <w:t>B</w:t>
      </w:r>
      <w:r>
        <w:rPr>
          <w:snapToGrid w:val="0"/>
          <w:kern w:val="0"/>
        </w:rPr>
        <w:t>类，其火灾、爆炸特性参数如下：爆炸极限：5～15V%；自燃温度：482～632℃。</w:t>
      </w:r>
    </w:p>
    <w:p>
      <w:pPr>
        <w:ind w:firstLine="560"/>
        <w:rPr>
          <w:snapToGrid w:val="0"/>
          <w:kern w:val="0"/>
        </w:rPr>
      </w:pPr>
      <w:r>
        <w:rPr>
          <w:snapToGrid w:val="0"/>
          <w:kern w:val="0"/>
        </w:rPr>
        <w:t>天然气与空气混合可形成爆炸性混合物，遇明火极易燃烧爆炸。天然气如果出现泄漏，能无限制地扩散，易与空气形成爆炸性混合物，而且能顺风飘动，形成着火爆炸和蔓延扩散的重要条件，遇明火能够回燃。其危险性主要表现在以下几方面：</w:t>
      </w:r>
    </w:p>
    <w:p>
      <w:pPr>
        <w:ind w:firstLine="560"/>
        <w:rPr>
          <w:snapToGrid w:val="0"/>
          <w:kern w:val="0"/>
        </w:rPr>
      </w:pPr>
      <w:r>
        <w:rPr>
          <w:snapToGrid w:val="0"/>
          <w:kern w:val="0"/>
        </w:rPr>
        <w:t>① 易燃</w:t>
      </w:r>
    </w:p>
    <w:p>
      <w:pPr>
        <w:ind w:firstLine="560"/>
        <w:rPr>
          <w:snapToGrid w:val="0"/>
          <w:kern w:val="0"/>
        </w:rPr>
      </w:pPr>
      <w:r>
        <w:rPr>
          <w:snapToGrid w:val="0"/>
          <w:kern w:val="0"/>
        </w:rPr>
        <w:t>天然气的主要成份是甲烷，极易燃烧。</w:t>
      </w:r>
    </w:p>
    <w:p>
      <w:pPr>
        <w:ind w:firstLine="560"/>
        <w:rPr>
          <w:snapToGrid w:val="0"/>
          <w:kern w:val="0"/>
        </w:rPr>
      </w:pPr>
      <w:r>
        <w:rPr>
          <w:snapToGrid w:val="0"/>
          <w:kern w:val="0"/>
        </w:rPr>
        <w:t>② 易爆</w:t>
      </w:r>
    </w:p>
    <w:p>
      <w:pPr>
        <w:ind w:firstLine="560"/>
        <w:rPr>
          <w:snapToGrid w:val="0"/>
          <w:kern w:val="0"/>
        </w:rPr>
      </w:pPr>
      <w:r>
        <w:rPr>
          <w:snapToGrid w:val="0"/>
          <w:kern w:val="0"/>
        </w:rPr>
        <w:t>天然气的爆炸极限较宽，爆炸下限较低，泄漏到空气中能形成爆炸性混合物，遇明火、高热极易燃烧爆炸，燃烧分解产物为CO、CO</w:t>
      </w:r>
      <w:r>
        <w:rPr>
          <w:snapToGrid w:val="0"/>
          <w:kern w:val="0"/>
          <w:vertAlign w:val="subscript"/>
        </w:rPr>
        <w:t>2</w:t>
      </w:r>
      <w:r>
        <w:rPr>
          <w:snapToGrid w:val="0"/>
          <w:kern w:val="0"/>
        </w:rPr>
        <w:t>。在储运过程中若遇高热，容器内压增大，有开裂和爆炸的危险。</w:t>
      </w:r>
    </w:p>
    <w:p>
      <w:pPr>
        <w:ind w:firstLine="560"/>
        <w:rPr>
          <w:snapToGrid w:val="0"/>
          <w:kern w:val="0"/>
        </w:rPr>
      </w:pPr>
      <w:r>
        <w:rPr>
          <w:snapToGrid w:val="0"/>
          <w:kern w:val="0"/>
        </w:rPr>
        <w:t>天然气与空气混合时其体积占总体积的15%以上时着火正常燃烧，若占5%～15%时点火即燃爆。天然气的燃烧与爆炸是同一个序列的化学过程，但是在反应强度上爆炸比燃烧更为剧烈。天然气的爆炸是在一瞬间（数千分之一秒）产生高压、高温（2000℃～3000℃）的燃烧过程，爆炸波速可达3000m/s，造成很大破坏力。</w:t>
      </w:r>
    </w:p>
    <w:p>
      <w:pPr>
        <w:ind w:firstLine="560"/>
        <w:rPr>
          <w:snapToGrid w:val="0"/>
          <w:kern w:val="0"/>
        </w:rPr>
      </w:pPr>
      <w:r>
        <w:rPr>
          <w:snapToGrid w:val="0"/>
          <w:kern w:val="0"/>
        </w:rPr>
        <w:t>③ 易扩散</w:t>
      </w:r>
    </w:p>
    <w:p>
      <w:pPr>
        <w:ind w:firstLine="560"/>
        <w:rPr>
          <w:snapToGrid w:val="0"/>
          <w:kern w:val="0"/>
        </w:rPr>
      </w:pPr>
      <w:r>
        <w:rPr>
          <w:snapToGrid w:val="0"/>
          <w:kern w:val="0"/>
        </w:rPr>
        <w:t>天然气的密度比空气小，泄漏后不易留在低洼处，有较好的扩散性。</w:t>
      </w:r>
    </w:p>
    <w:p>
      <w:pPr>
        <w:ind w:firstLine="560"/>
        <w:rPr>
          <w:snapToGrid w:val="0"/>
          <w:kern w:val="0"/>
        </w:rPr>
      </w:pPr>
      <w:r>
        <w:rPr>
          <w:snapToGrid w:val="0"/>
          <w:kern w:val="0"/>
        </w:rPr>
        <w:t>④ 毒性</w:t>
      </w:r>
    </w:p>
    <w:p>
      <w:pPr>
        <w:ind w:firstLine="560"/>
        <w:rPr>
          <w:snapToGrid w:val="0"/>
          <w:kern w:val="0"/>
        </w:rPr>
      </w:pPr>
      <w:r>
        <w:rPr>
          <w:snapToGrid w:val="0"/>
          <w:kern w:val="0"/>
        </w:rPr>
        <w:t>天然气侵入人体途径主要是吸入，大量泄漏或雾天积聚等原因导致浓度过高时，使空气中氧含量明显降低，可致人窒息。当空气中甲烷含量达25%～30%时，可引起头痛、头晕、乏力、注意力不集中、呼吸和心跳加速。若不及时脱离，可致窒息死亡。</w:t>
      </w:r>
    </w:p>
    <w:p>
      <w:pPr>
        <w:ind w:firstLine="560"/>
        <w:rPr>
          <w:snapToGrid w:val="0"/>
          <w:kern w:val="0"/>
        </w:rPr>
      </w:pPr>
      <w:r>
        <w:rPr>
          <w:snapToGrid w:val="0"/>
          <w:kern w:val="0"/>
        </w:rPr>
        <w:t>天然气危险、有害特性见表3-2。</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napToGrid w:val="0"/>
          <w:kern w:val="0"/>
        </w:rPr>
      </w:pPr>
      <w:r>
        <w:rPr>
          <w:b/>
          <w:bCs/>
          <w:snapToGrid w:val="0"/>
          <w:kern w:val="0"/>
          <w:sz w:val="24"/>
          <w:szCs w:val="24"/>
        </w:rPr>
        <w:t>表3-2  天然气危险有害特性及安全技术表</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3241"/>
        <w:gridCol w:w="505"/>
        <w:gridCol w:w="1289"/>
        <w:gridCol w:w="2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restart"/>
            <w:noWrap w:val="0"/>
            <w:vAlign w:val="center"/>
          </w:tcPr>
          <w:p>
            <w:pPr>
              <w:spacing w:line="240" w:lineRule="auto"/>
              <w:ind w:firstLine="0" w:firstLineChars="0"/>
              <w:rPr>
                <w:snapToGrid w:val="0"/>
                <w:kern w:val="0"/>
                <w:sz w:val="21"/>
                <w:szCs w:val="21"/>
              </w:rPr>
            </w:pPr>
            <w:r>
              <w:rPr>
                <w:snapToGrid w:val="0"/>
                <w:kern w:val="0"/>
                <w:sz w:val="21"/>
                <w:szCs w:val="21"/>
              </w:rPr>
              <w:t>标识</w:t>
            </w:r>
          </w:p>
        </w:tc>
        <w:tc>
          <w:tcPr>
            <w:tcW w:w="3241" w:type="dxa"/>
            <w:noWrap w:val="0"/>
            <w:vAlign w:val="center"/>
          </w:tcPr>
          <w:p>
            <w:pPr>
              <w:spacing w:line="240" w:lineRule="auto"/>
              <w:ind w:firstLine="0" w:firstLineChars="0"/>
              <w:rPr>
                <w:snapToGrid w:val="0"/>
                <w:kern w:val="0"/>
                <w:sz w:val="21"/>
                <w:szCs w:val="21"/>
              </w:rPr>
            </w:pPr>
            <w:r>
              <w:rPr>
                <w:snapToGrid w:val="0"/>
                <w:kern w:val="0"/>
                <w:sz w:val="21"/>
                <w:szCs w:val="21"/>
              </w:rPr>
              <w:t>中文名：天然气；沼气</w:t>
            </w:r>
          </w:p>
        </w:tc>
        <w:tc>
          <w:tcPr>
            <w:tcW w:w="3977" w:type="dxa"/>
            <w:gridSpan w:val="3"/>
            <w:noWrap w:val="0"/>
            <w:vAlign w:val="center"/>
          </w:tcPr>
          <w:p>
            <w:pPr>
              <w:spacing w:line="240" w:lineRule="auto"/>
              <w:ind w:firstLine="0" w:firstLineChars="0"/>
              <w:rPr>
                <w:snapToGrid w:val="0"/>
                <w:kern w:val="0"/>
                <w:sz w:val="21"/>
                <w:szCs w:val="21"/>
              </w:rPr>
            </w:pPr>
            <w:r>
              <w:rPr>
                <w:snapToGrid w:val="0"/>
                <w:kern w:val="0"/>
                <w:sz w:val="21"/>
                <w:szCs w:val="21"/>
              </w:rPr>
              <w:t>英文名称natural gas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3241" w:type="dxa"/>
            <w:noWrap w:val="0"/>
            <w:vAlign w:val="center"/>
          </w:tcPr>
          <w:p>
            <w:pPr>
              <w:spacing w:line="240" w:lineRule="auto"/>
              <w:ind w:firstLine="0" w:firstLineChars="0"/>
              <w:rPr>
                <w:snapToGrid w:val="0"/>
                <w:kern w:val="0"/>
                <w:sz w:val="21"/>
                <w:szCs w:val="21"/>
              </w:rPr>
            </w:pPr>
            <w:r>
              <w:rPr>
                <w:snapToGrid w:val="0"/>
                <w:kern w:val="0"/>
                <w:sz w:val="21"/>
                <w:szCs w:val="21"/>
              </w:rPr>
              <w:t>危险货物编号：21007</w:t>
            </w:r>
          </w:p>
        </w:tc>
        <w:tc>
          <w:tcPr>
            <w:tcW w:w="1794" w:type="dxa"/>
            <w:gridSpan w:val="2"/>
            <w:noWrap w:val="0"/>
            <w:vAlign w:val="center"/>
          </w:tcPr>
          <w:p>
            <w:pPr>
              <w:spacing w:line="240" w:lineRule="auto"/>
              <w:ind w:firstLine="0" w:firstLineChars="0"/>
              <w:rPr>
                <w:snapToGrid w:val="0"/>
                <w:kern w:val="0"/>
                <w:sz w:val="21"/>
                <w:szCs w:val="21"/>
              </w:rPr>
            </w:pPr>
            <w:r>
              <w:rPr>
                <w:snapToGrid w:val="0"/>
                <w:kern w:val="0"/>
                <w:sz w:val="21"/>
                <w:szCs w:val="21"/>
              </w:rPr>
              <w:t>UN编号：1971</w:t>
            </w:r>
          </w:p>
        </w:tc>
        <w:tc>
          <w:tcPr>
            <w:tcW w:w="2183" w:type="dxa"/>
            <w:noWrap w:val="0"/>
            <w:vAlign w:val="center"/>
          </w:tcPr>
          <w:p>
            <w:pPr>
              <w:spacing w:line="240" w:lineRule="auto"/>
              <w:ind w:firstLine="0" w:firstLineChars="0"/>
              <w:rPr>
                <w:snapToGrid w:val="0"/>
                <w:kern w:val="0"/>
                <w:sz w:val="21"/>
                <w:szCs w:val="21"/>
              </w:rPr>
            </w:pPr>
            <w:r>
              <w:rPr>
                <w:snapToGrid w:val="0"/>
                <w:kern w:val="0"/>
                <w:sz w:val="21"/>
                <w:szCs w:val="21"/>
              </w:rPr>
              <w:t>CAS NO.： 8006-14-2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restart"/>
            <w:noWrap w:val="0"/>
            <w:vAlign w:val="center"/>
          </w:tcPr>
          <w:p>
            <w:pPr>
              <w:spacing w:line="240" w:lineRule="auto"/>
              <w:ind w:firstLine="0" w:firstLineChars="0"/>
              <w:rPr>
                <w:snapToGrid w:val="0"/>
                <w:kern w:val="0"/>
                <w:sz w:val="21"/>
                <w:szCs w:val="21"/>
              </w:rPr>
            </w:pPr>
            <w:r>
              <w:rPr>
                <w:snapToGrid w:val="0"/>
                <w:kern w:val="0"/>
                <w:sz w:val="21"/>
                <w:szCs w:val="21"/>
              </w:rPr>
              <w:t>理化性质</w:t>
            </w: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外观与气味：无色、无味气体。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成份：主要是低分子量烷烃混合物，如甲烷、乙烷、丁烷、戊烷等未净化的天然气，常含有二氧化碳、少量硫化氢、氮和氦等。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3746" w:type="dxa"/>
            <w:gridSpan w:val="2"/>
            <w:noWrap w:val="0"/>
            <w:vAlign w:val="center"/>
          </w:tcPr>
          <w:p>
            <w:pPr>
              <w:spacing w:line="240" w:lineRule="auto"/>
              <w:ind w:firstLine="0" w:firstLineChars="0"/>
              <w:rPr>
                <w:snapToGrid w:val="0"/>
                <w:kern w:val="0"/>
                <w:sz w:val="21"/>
                <w:szCs w:val="21"/>
              </w:rPr>
            </w:pPr>
            <w:r>
              <w:rPr>
                <w:snapToGrid w:val="0"/>
                <w:kern w:val="0"/>
                <w:sz w:val="21"/>
                <w:szCs w:val="21"/>
              </w:rPr>
              <w:t>熔点（℃）</w:t>
            </w:r>
          </w:p>
        </w:tc>
        <w:tc>
          <w:tcPr>
            <w:tcW w:w="3472" w:type="dxa"/>
            <w:gridSpan w:val="2"/>
            <w:noWrap w:val="0"/>
            <w:vAlign w:val="center"/>
          </w:tcPr>
          <w:p>
            <w:pPr>
              <w:spacing w:line="240" w:lineRule="auto"/>
              <w:ind w:firstLine="0" w:firstLineChars="0"/>
              <w:rPr>
                <w:snapToGrid w:val="0"/>
                <w:kern w:val="0"/>
                <w:sz w:val="21"/>
                <w:szCs w:val="21"/>
              </w:rPr>
            </w:pPr>
            <w:r>
              <w:rPr>
                <w:snapToGrid w:val="0"/>
                <w:kern w:val="0"/>
                <w:sz w:val="21"/>
                <w:szCs w:val="21"/>
              </w:rPr>
              <w:t>溶解性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3746" w:type="dxa"/>
            <w:gridSpan w:val="2"/>
            <w:noWrap w:val="0"/>
            <w:vAlign w:val="center"/>
          </w:tcPr>
          <w:p>
            <w:pPr>
              <w:spacing w:line="240" w:lineRule="auto"/>
              <w:ind w:firstLine="0" w:firstLineChars="0"/>
              <w:rPr>
                <w:snapToGrid w:val="0"/>
                <w:kern w:val="0"/>
                <w:sz w:val="21"/>
                <w:szCs w:val="21"/>
              </w:rPr>
            </w:pPr>
            <w:r>
              <w:rPr>
                <w:snapToGrid w:val="0"/>
                <w:kern w:val="0"/>
                <w:sz w:val="21"/>
                <w:szCs w:val="21"/>
              </w:rPr>
              <w:t>沸点（℃）：-160</w:t>
            </w:r>
          </w:p>
        </w:tc>
        <w:tc>
          <w:tcPr>
            <w:tcW w:w="3472" w:type="dxa"/>
            <w:gridSpan w:val="2"/>
            <w:noWrap w:val="0"/>
            <w:vAlign w:val="center"/>
          </w:tcPr>
          <w:p>
            <w:pPr>
              <w:spacing w:line="240" w:lineRule="auto"/>
              <w:ind w:firstLine="0" w:firstLineChars="0"/>
              <w:rPr>
                <w:snapToGrid w:val="0"/>
                <w:kern w:val="0"/>
                <w:sz w:val="21"/>
                <w:szCs w:val="21"/>
              </w:rPr>
            </w:pPr>
            <w:r>
              <w:rPr>
                <w:snapToGrid w:val="0"/>
                <w:kern w:val="0"/>
                <w:sz w:val="21"/>
                <w:szCs w:val="21"/>
              </w:rPr>
              <w:t>相对密度（水=1）：约0.45（液化）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3746" w:type="dxa"/>
            <w:gridSpan w:val="2"/>
            <w:noWrap w:val="0"/>
            <w:vAlign w:val="center"/>
          </w:tcPr>
          <w:p>
            <w:pPr>
              <w:spacing w:line="240" w:lineRule="auto"/>
              <w:ind w:firstLine="0" w:firstLineChars="0"/>
              <w:rPr>
                <w:snapToGrid w:val="0"/>
                <w:kern w:val="0"/>
                <w:sz w:val="21"/>
                <w:szCs w:val="21"/>
              </w:rPr>
            </w:pPr>
            <w:r>
              <w:rPr>
                <w:snapToGrid w:val="0"/>
                <w:kern w:val="0"/>
                <w:sz w:val="21"/>
                <w:szCs w:val="21"/>
              </w:rPr>
              <w:t>燃烧热（kj/mol）</w:t>
            </w:r>
          </w:p>
        </w:tc>
        <w:tc>
          <w:tcPr>
            <w:tcW w:w="3472" w:type="dxa"/>
            <w:gridSpan w:val="2"/>
            <w:noWrap w:val="0"/>
            <w:vAlign w:val="center"/>
          </w:tcPr>
          <w:p>
            <w:pPr>
              <w:spacing w:line="240" w:lineRule="auto"/>
              <w:ind w:firstLine="0" w:firstLineChars="0"/>
              <w:rPr>
                <w:snapToGrid w:val="0"/>
                <w:kern w:val="0"/>
                <w:sz w:val="21"/>
                <w:szCs w:val="21"/>
              </w:rPr>
            </w:pPr>
            <w:r>
              <w:rPr>
                <w:snapToGrid w:val="0"/>
                <w:kern w:val="0"/>
                <w:sz w:val="21"/>
                <w:szCs w:val="21"/>
              </w:rPr>
              <w:t>相对密度（空气=1）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restart"/>
            <w:noWrap w:val="0"/>
            <w:vAlign w:val="center"/>
          </w:tcPr>
          <w:p>
            <w:pPr>
              <w:spacing w:line="240" w:lineRule="auto"/>
              <w:ind w:firstLine="0" w:firstLineChars="0"/>
              <w:rPr>
                <w:snapToGrid w:val="0"/>
                <w:kern w:val="0"/>
                <w:sz w:val="21"/>
                <w:szCs w:val="21"/>
              </w:rPr>
            </w:pPr>
            <w:r>
              <w:rPr>
                <w:snapToGrid w:val="0"/>
                <w:kern w:val="0"/>
                <w:sz w:val="21"/>
                <w:szCs w:val="21"/>
              </w:rPr>
              <w:t>燃烧爆炸危险性</w:t>
            </w:r>
          </w:p>
        </w:tc>
        <w:tc>
          <w:tcPr>
            <w:tcW w:w="3746" w:type="dxa"/>
            <w:gridSpan w:val="2"/>
            <w:noWrap w:val="0"/>
            <w:vAlign w:val="center"/>
          </w:tcPr>
          <w:p>
            <w:pPr>
              <w:spacing w:line="240" w:lineRule="auto"/>
              <w:ind w:firstLine="0" w:firstLineChars="0"/>
              <w:rPr>
                <w:snapToGrid w:val="0"/>
                <w:kern w:val="0"/>
                <w:sz w:val="21"/>
                <w:szCs w:val="21"/>
              </w:rPr>
            </w:pPr>
            <w:r>
              <w:rPr>
                <w:snapToGrid w:val="0"/>
                <w:kern w:val="0"/>
                <w:sz w:val="21"/>
                <w:szCs w:val="21"/>
              </w:rPr>
              <w:t>燃烧性：易燃</w:t>
            </w:r>
          </w:p>
        </w:tc>
        <w:tc>
          <w:tcPr>
            <w:tcW w:w="3472" w:type="dxa"/>
            <w:gridSpan w:val="2"/>
            <w:noWrap w:val="0"/>
            <w:vAlign w:val="center"/>
          </w:tcPr>
          <w:p>
            <w:pPr>
              <w:spacing w:line="240" w:lineRule="auto"/>
              <w:ind w:firstLine="0" w:firstLineChars="0"/>
              <w:rPr>
                <w:snapToGrid w:val="0"/>
                <w:kern w:val="0"/>
                <w:sz w:val="21"/>
                <w:szCs w:val="21"/>
              </w:rPr>
            </w:pPr>
            <w:r>
              <w:rPr>
                <w:snapToGrid w:val="0"/>
                <w:kern w:val="0"/>
                <w:sz w:val="21"/>
                <w:szCs w:val="21"/>
              </w:rPr>
              <w:t>燃烧分解产物：CO、CO</w:t>
            </w:r>
            <w:r>
              <w:rPr>
                <w:snapToGrid w:val="0"/>
                <w:kern w:val="0"/>
                <w:sz w:val="21"/>
                <w:szCs w:val="21"/>
                <w:vertAlign w:val="sub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3746" w:type="dxa"/>
            <w:gridSpan w:val="2"/>
            <w:noWrap w:val="0"/>
            <w:vAlign w:val="center"/>
          </w:tcPr>
          <w:p>
            <w:pPr>
              <w:spacing w:line="240" w:lineRule="auto"/>
              <w:ind w:firstLine="0" w:firstLineChars="0"/>
              <w:rPr>
                <w:snapToGrid w:val="0"/>
                <w:kern w:val="0"/>
                <w:sz w:val="21"/>
                <w:szCs w:val="21"/>
              </w:rPr>
            </w:pPr>
            <w:r>
              <w:rPr>
                <w:snapToGrid w:val="0"/>
                <w:kern w:val="0"/>
                <w:sz w:val="21"/>
                <w:szCs w:val="21"/>
              </w:rPr>
              <w:t>闪点（℃）甲烷：-188；乙烷＜-50；丙烷：-104</w:t>
            </w:r>
          </w:p>
        </w:tc>
        <w:tc>
          <w:tcPr>
            <w:tcW w:w="3472" w:type="dxa"/>
            <w:gridSpan w:val="2"/>
            <w:noWrap w:val="0"/>
            <w:vAlign w:val="center"/>
          </w:tcPr>
          <w:p>
            <w:pPr>
              <w:spacing w:line="240" w:lineRule="auto"/>
              <w:ind w:firstLine="0" w:firstLineChars="0"/>
              <w:rPr>
                <w:snapToGrid w:val="0"/>
                <w:kern w:val="0"/>
                <w:sz w:val="21"/>
                <w:szCs w:val="21"/>
              </w:rPr>
            </w:pPr>
            <w:r>
              <w:rPr>
                <w:snapToGrid w:val="0"/>
                <w:kern w:val="0"/>
                <w:sz w:val="21"/>
                <w:szCs w:val="21"/>
              </w:rPr>
              <w:t>聚合危害：不能出现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3746" w:type="dxa"/>
            <w:gridSpan w:val="2"/>
            <w:noWrap w:val="0"/>
            <w:vAlign w:val="center"/>
          </w:tcPr>
          <w:p>
            <w:pPr>
              <w:spacing w:line="240" w:lineRule="auto"/>
              <w:ind w:firstLine="0" w:firstLineChars="0"/>
              <w:rPr>
                <w:snapToGrid w:val="0"/>
                <w:kern w:val="0"/>
                <w:sz w:val="21"/>
                <w:szCs w:val="21"/>
              </w:rPr>
            </w:pPr>
            <w:r>
              <w:rPr>
                <w:snapToGrid w:val="0"/>
                <w:kern w:val="0"/>
                <w:sz w:val="21"/>
                <w:szCs w:val="21"/>
              </w:rPr>
              <w:t>爆炸极限(V%)：5～14</w:t>
            </w:r>
          </w:p>
        </w:tc>
        <w:tc>
          <w:tcPr>
            <w:tcW w:w="3472" w:type="dxa"/>
            <w:gridSpan w:val="2"/>
            <w:noWrap w:val="0"/>
            <w:vAlign w:val="center"/>
          </w:tcPr>
          <w:p>
            <w:pPr>
              <w:spacing w:line="240" w:lineRule="auto"/>
              <w:ind w:firstLine="0" w:firstLineChars="0"/>
              <w:rPr>
                <w:snapToGrid w:val="0"/>
                <w:kern w:val="0"/>
                <w:sz w:val="21"/>
                <w:szCs w:val="21"/>
              </w:rPr>
            </w:pPr>
            <w:r>
              <w:rPr>
                <w:snapToGrid w:val="0"/>
                <w:kern w:val="0"/>
                <w:sz w:val="21"/>
                <w:szCs w:val="21"/>
              </w:rPr>
              <w:t>自燃温度（℃）：482～632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3746" w:type="dxa"/>
            <w:gridSpan w:val="2"/>
            <w:noWrap w:val="0"/>
            <w:vAlign w:val="center"/>
          </w:tcPr>
          <w:p>
            <w:pPr>
              <w:spacing w:line="240" w:lineRule="auto"/>
              <w:ind w:firstLine="0" w:firstLineChars="0"/>
              <w:rPr>
                <w:snapToGrid w:val="0"/>
                <w:kern w:val="0"/>
                <w:sz w:val="21"/>
                <w:szCs w:val="21"/>
              </w:rPr>
            </w:pPr>
            <w:r>
              <w:rPr>
                <w:snapToGrid w:val="0"/>
                <w:kern w:val="0"/>
                <w:sz w:val="21"/>
                <w:szCs w:val="21"/>
              </w:rPr>
              <w:t>火灾危险性分类：甲B</w:t>
            </w:r>
          </w:p>
        </w:tc>
        <w:tc>
          <w:tcPr>
            <w:tcW w:w="3472" w:type="dxa"/>
            <w:gridSpan w:val="2"/>
            <w:noWrap w:val="0"/>
            <w:vAlign w:val="center"/>
          </w:tcPr>
          <w:p>
            <w:pPr>
              <w:spacing w:line="240" w:lineRule="auto"/>
              <w:ind w:firstLine="0" w:firstLineChars="0"/>
              <w:rPr>
                <w:snapToGrid w:val="0"/>
                <w:kern w:val="0"/>
                <w:sz w:val="21"/>
                <w:szCs w:val="21"/>
              </w:rPr>
            </w:pPr>
            <w:r>
              <w:rPr>
                <w:snapToGrid w:val="0"/>
                <w:kern w:val="0"/>
                <w:sz w:val="21"/>
                <w:szCs w:val="21"/>
              </w:rPr>
              <w:t>危险性类别：易燃气体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危险特性：易燃，与空气形成爆炸性混合物，遇明火、高热能引起燃烧爆炸。与五氧化溴、氯气、次氯酸、三氟化氮、液氧、二氟化氧及其他强氧化剂接触剧烈反应。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灭火剂：雾状水、泡沫、二氧化碳、干粉。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restart"/>
            <w:noWrap w:val="0"/>
            <w:vAlign w:val="center"/>
          </w:tcPr>
          <w:p>
            <w:pPr>
              <w:spacing w:line="240" w:lineRule="auto"/>
              <w:ind w:firstLine="0" w:firstLineChars="0"/>
              <w:rPr>
                <w:snapToGrid w:val="0"/>
                <w:kern w:val="0"/>
                <w:sz w:val="21"/>
                <w:szCs w:val="21"/>
              </w:rPr>
            </w:pPr>
            <w:r>
              <w:rPr>
                <w:snapToGrid w:val="0"/>
                <w:kern w:val="0"/>
                <w:sz w:val="21"/>
                <w:szCs w:val="21"/>
              </w:rPr>
              <w:t>健康危害</w:t>
            </w:r>
          </w:p>
        </w:tc>
        <w:tc>
          <w:tcPr>
            <w:tcW w:w="3746" w:type="dxa"/>
            <w:gridSpan w:val="2"/>
            <w:noWrap w:val="0"/>
            <w:vAlign w:val="center"/>
          </w:tcPr>
          <w:p>
            <w:pPr>
              <w:spacing w:line="240" w:lineRule="auto"/>
              <w:ind w:firstLine="0" w:firstLineChars="0"/>
              <w:rPr>
                <w:snapToGrid w:val="0"/>
                <w:kern w:val="0"/>
                <w:sz w:val="21"/>
                <w:szCs w:val="21"/>
              </w:rPr>
            </w:pPr>
            <w:r>
              <w:rPr>
                <w:snapToGrid w:val="0"/>
                <w:kern w:val="0"/>
                <w:sz w:val="21"/>
                <w:szCs w:val="21"/>
              </w:rPr>
              <w:t>毒性：无资料</w:t>
            </w:r>
          </w:p>
        </w:tc>
        <w:tc>
          <w:tcPr>
            <w:tcW w:w="3472" w:type="dxa"/>
            <w:gridSpan w:val="2"/>
            <w:noWrap w:val="0"/>
            <w:vAlign w:val="center"/>
          </w:tcPr>
          <w:p>
            <w:pPr>
              <w:spacing w:line="240" w:lineRule="auto"/>
              <w:ind w:firstLine="0" w:firstLineChars="0"/>
              <w:rPr>
                <w:snapToGrid w:val="0"/>
                <w:kern w:val="0"/>
                <w:sz w:val="21"/>
                <w:szCs w:val="21"/>
              </w:rPr>
            </w:pPr>
            <w:r>
              <w:rPr>
                <w:snapToGrid w:val="0"/>
                <w:kern w:val="0"/>
                <w:sz w:val="21"/>
                <w:szCs w:val="21"/>
              </w:rPr>
              <w:t>毒物侵入途径：吸入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vMerge w:val="continue"/>
            <w:noWrap w:val="0"/>
            <w:vAlign w:val="center"/>
          </w:tcPr>
          <w:p>
            <w:pPr>
              <w:spacing w:line="240" w:lineRule="auto"/>
              <w:ind w:firstLine="0" w:firstLineChars="0"/>
              <w:rPr>
                <w:snapToGrid w:val="0"/>
                <w:kern w:val="0"/>
                <w:sz w:val="21"/>
                <w:szCs w:val="21"/>
              </w:rPr>
            </w:pP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天然气对人基本无毒，但浓度过高时，使空气中氧含量明显降低，使人窒息。当空气中甲烷达25%～30%时，可引起头痛、头晕、乏力、注意力不集中、呼吸和心跳加速、共济失调。若不及时脱离，可致窒息死亡。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noWrap w:val="0"/>
            <w:vAlign w:val="center"/>
          </w:tcPr>
          <w:p>
            <w:pPr>
              <w:spacing w:line="240" w:lineRule="auto"/>
              <w:ind w:firstLine="0" w:firstLineChars="0"/>
              <w:rPr>
                <w:snapToGrid w:val="0"/>
                <w:kern w:val="0"/>
                <w:sz w:val="21"/>
                <w:szCs w:val="21"/>
              </w:rPr>
            </w:pPr>
            <w:r>
              <w:rPr>
                <w:snapToGrid w:val="0"/>
                <w:kern w:val="0"/>
                <w:sz w:val="21"/>
                <w:szCs w:val="21"/>
              </w:rPr>
              <w:t>急救</w:t>
            </w: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吸入：迅速脱离现场至空气新鲜处，保持呼吸道通畅。如呼吸困难，给输氧；如呼吸停止，立即进行人工呼吸，就医。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noWrap w:val="0"/>
            <w:vAlign w:val="center"/>
          </w:tcPr>
          <w:p>
            <w:pPr>
              <w:spacing w:line="240" w:lineRule="auto"/>
              <w:ind w:firstLine="0" w:firstLineChars="0"/>
              <w:rPr>
                <w:snapToGrid w:val="0"/>
                <w:kern w:val="0"/>
                <w:sz w:val="21"/>
                <w:szCs w:val="21"/>
              </w:rPr>
            </w:pPr>
            <w:r>
              <w:rPr>
                <w:snapToGrid w:val="0"/>
                <w:kern w:val="0"/>
                <w:sz w:val="21"/>
                <w:szCs w:val="21"/>
              </w:rPr>
              <w:t>防护措施</w:t>
            </w: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工程控制：生产过程密闭，全面通风。</w:t>
            </w:r>
          </w:p>
          <w:p>
            <w:pPr>
              <w:spacing w:line="240" w:lineRule="auto"/>
              <w:ind w:firstLine="0" w:firstLineChars="0"/>
              <w:rPr>
                <w:snapToGrid w:val="0"/>
                <w:kern w:val="0"/>
                <w:sz w:val="21"/>
                <w:szCs w:val="21"/>
              </w:rPr>
            </w:pPr>
            <w:r>
              <w:rPr>
                <w:snapToGrid w:val="0"/>
                <w:kern w:val="0"/>
                <w:sz w:val="21"/>
                <w:szCs w:val="21"/>
              </w:rPr>
              <w:t>呼吸系统防护：一般不需要特殊防护，但建议在特殊情况下，佩戴自吸过滤式防毒面具（半面罩）。</w:t>
            </w:r>
          </w:p>
          <w:p>
            <w:pPr>
              <w:spacing w:line="240" w:lineRule="auto"/>
              <w:ind w:firstLine="0" w:firstLineChars="0"/>
              <w:rPr>
                <w:snapToGrid w:val="0"/>
                <w:kern w:val="0"/>
                <w:sz w:val="21"/>
                <w:szCs w:val="21"/>
              </w:rPr>
            </w:pPr>
            <w:r>
              <w:rPr>
                <w:snapToGrid w:val="0"/>
                <w:kern w:val="0"/>
                <w:sz w:val="21"/>
                <w:szCs w:val="21"/>
              </w:rPr>
              <w:t>眼睛防护：一般不需要特殊防护，高浓度接触时可戴安全防护眼镜。</w:t>
            </w:r>
          </w:p>
          <w:p>
            <w:pPr>
              <w:spacing w:line="240" w:lineRule="auto"/>
              <w:ind w:firstLine="0" w:firstLineChars="0"/>
              <w:rPr>
                <w:snapToGrid w:val="0"/>
                <w:kern w:val="0"/>
                <w:sz w:val="21"/>
                <w:szCs w:val="21"/>
              </w:rPr>
            </w:pPr>
            <w:r>
              <w:rPr>
                <w:snapToGrid w:val="0"/>
                <w:kern w:val="0"/>
                <w:sz w:val="21"/>
                <w:szCs w:val="21"/>
              </w:rPr>
              <w:t>身体防护：穿防静电工作服。</w:t>
            </w:r>
          </w:p>
          <w:p>
            <w:pPr>
              <w:spacing w:line="240" w:lineRule="auto"/>
              <w:ind w:firstLine="0" w:firstLineChars="0"/>
              <w:rPr>
                <w:snapToGrid w:val="0"/>
                <w:kern w:val="0"/>
                <w:sz w:val="21"/>
                <w:szCs w:val="21"/>
              </w:rPr>
            </w:pPr>
            <w:r>
              <w:rPr>
                <w:snapToGrid w:val="0"/>
                <w:kern w:val="0"/>
                <w:sz w:val="21"/>
                <w:szCs w:val="21"/>
              </w:rPr>
              <w:t>手防护：戴一般作业防护手套。</w:t>
            </w:r>
          </w:p>
          <w:p>
            <w:pPr>
              <w:spacing w:line="240" w:lineRule="auto"/>
              <w:ind w:firstLine="0" w:firstLineChars="0"/>
              <w:rPr>
                <w:snapToGrid w:val="0"/>
                <w:kern w:val="0"/>
                <w:sz w:val="21"/>
                <w:szCs w:val="21"/>
              </w:rPr>
            </w:pPr>
            <w:r>
              <w:rPr>
                <w:snapToGrid w:val="0"/>
                <w:kern w:val="0"/>
                <w:sz w:val="21"/>
                <w:szCs w:val="21"/>
              </w:rPr>
              <w:t>其他：工作现场严禁吸烟，避免长期反复接触。进入罐、限制性空间或其它高浓度区作业，须有人监护。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noWrap w:val="0"/>
            <w:vAlign w:val="center"/>
          </w:tcPr>
          <w:p>
            <w:pPr>
              <w:spacing w:line="240" w:lineRule="auto"/>
              <w:ind w:firstLine="0" w:firstLineChars="0"/>
              <w:rPr>
                <w:snapToGrid w:val="0"/>
                <w:kern w:val="0"/>
                <w:sz w:val="21"/>
                <w:szCs w:val="21"/>
              </w:rPr>
            </w:pPr>
            <w:r>
              <w:rPr>
                <w:snapToGrid w:val="0"/>
                <w:kern w:val="0"/>
                <w:sz w:val="21"/>
                <w:szCs w:val="21"/>
              </w:rPr>
              <w:t>泄漏紧急</w:t>
            </w:r>
          </w:p>
          <w:p>
            <w:pPr>
              <w:spacing w:line="240" w:lineRule="auto"/>
              <w:ind w:firstLine="0" w:firstLineChars="0"/>
              <w:rPr>
                <w:snapToGrid w:val="0"/>
                <w:kern w:val="0"/>
                <w:sz w:val="21"/>
                <w:szCs w:val="21"/>
              </w:rPr>
            </w:pPr>
            <w:r>
              <w:rPr>
                <w:snapToGrid w:val="0"/>
                <w:kern w:val="0"/>
                <w:sz w:val="21"/>
                <w:szCs w:val="21"/>
              </w:rPr>
              <w:t>处理</w:t>
            </w: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迅速撤离泄漏污染区人员至上风向，并进行隔离，禁止无关人员进入污染区，切断火源。应急处理人员戴自给正压式呼吸器，穿一般消防防护服。合理通风，加速扩散。喷水雾稀释、溶解，构筑物围堤或挖坑收容产生的大量废水。如有可能，将漏出气用排风机送至空旷地方或装设适当喷头烧掉，也可将漏气的容器移至空旷处，注意通风。漏气容器要妥善处理，修复、检验后再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276" w:type="dxa"/>
            <w:noWrap w:val="0"/>
            <w:vAlign w:val="center"/>
          </w:tcPr>
          <w:p>
            <w:pPr>
              <w:spacing w:line="240" w:lineRule="auto"/>
              <w:ind w:firstLine="0" w:firstLineChars="0"/>
              <w:rPr>
                <w:snapToGrid w:val="0"/>
                <w:kern w:val="0"/>
                <w:sz w:val="21"/>
                <w:szCs w:val="21"/>
              </w:rPr>
            </w:pPr>
            <w:r>
              <w:rPr>
                <w:snapToGrid w:val="0"/>
                <w:kern w:val="0"/>
                <w:sz w:val="21"/>
                <w:szCs w:val="21"/>
              </w:rPr>
              <w:t>储存注意</w:t>
            </w:r>
          </w:p>
          <w:p>
            <w:pPr>
              <w:spacing w:line="240" w:lineRule="auto"/>
              <w:ind w:firstLine="0" w:firstLineChars="0"/>
              <w:rPr>
                <w:snapToGrid w:val="0"/>
                <w:kern w:val="0"/>
                <w:sz w:val="21"/>
                <w:szCs w:val="21"/>
              </w:rPr>
            </w:pPr>
            <w:r>
              <w:rPr>
                <w:snapToGrid w:val="0"/>
                <w:kern w:val="0"/>
                <w:sz w:val="21"/>
                <w:szCs w:val="21"/>
              </w:rPr>
              <w:t>事项</w:t>
            </w:r>
          </w:p>
        </w:tc>
        <w:tc>
          <w:tcPr>
            <w:tcW w:w="7218" w:type="dxa"/>
            <w:gridSpan w:val="4"/>
            <w:noWrap w:val="0"/>
            <w:vAlign w:val="center"/>
          </w:tcPr>
          <w:p>
            <w:pPr>
              <w:spacing w:line="240" w:lineRule="auto"/>
              <w:ind w:firstLine="0" w:firstLineChars="0"/>
              <w:rPr>
                <w:snapToGrid w:val="0"/>
                <w:kern w:val="0"/>
                <w:sz w:val="21"/>
                <w:szCs w:val="21"/>
              </w:rPr>
            </w:pPr>
            <w:r>
              <w:rPr>
                <w:snapToGrid w:val="0"/>
                <w:kern w:val="0"/>
                <w:sz w:val="21"/>
                <w:szCs w:val="21"/>
              </w:rPr>
              <w:t>储存于阴凉、干燥、通风良好的不燃库房内。远离火种、热源。仓温不宜超过30度。防止阳光直射。保持容器密封，应与氧气、压缩空气、卤素等分开存放。切忌混储混运。库房内的照明、通风等设施应采用防爆型，开关设在仓库外。配备相应品种和数量的消防器材。罐储时要有防火防爆技术措施。露天储罐夏季要有降温措施。禁止使用易产生火花的机械设备和工具。</w:t>
            </w:r>
          </w:p>
        </w:tc>
      </w:tr>
    </w:tbl>
    <w:p>
      <w:pPr>
        <w:pStyle w:val="5"/>
        <w:keepNext/>
        <w:keepLines/>
        <w:pageBreakBefore w:val="0"/>
        <w:widowControl w:val="0"/>
        <w:kinsoku/>
        <w:wordWrap/>
        <w:overflowPunct/>
        <w:topLinePunct w:val="0"/>
        <w:autoSpaceDE/>
        <w:autoSpaceDN/>
        <w:bidi w:val="0"/>
        <w:adjustRightInd w:val="0"/>
        <w:snapToGrid w:val="0"/>
        <w:spacing w:before="157" w:beforeLines="50"/>
        <w:textAlignment w:val="auto"/>
        <w:rPr>
          <w:b w:val="0"/>
          <w:bCs w:val="0"/>
        </w:rPr>
      </w:pPr>
      <w:bookmarkStart w:id="55" w:name="_Toc88547036"/>
      <w:bookmarkStart w:id="56" w:name="_Toc93819542"/>
      <w:bookmarkStart w:id="57" w:name="_Toc60752780"/>
      <w:bookmarkStart w:id="58" w:name="_Toc81289767"/>
      <w:bookmarkStart w:id="59" w:name="_Toc74028108"/>
      <w:bookmarkStart w:id="60" w:name="_Toc83286211"/>
      <w:bookmarkStart w:id="61" w:name="_Toc83285841"/>
      <w:r>
        <w:rPr>
          <w:b w:val="0"/>
          <w:bCs w:val="0"/>
        </w:rPr>
        <w:t xml:space="preserve">3.1.3 </w:t>
      </w:r>
      <w:r>
        <w:rPr>
          <w:rFonts w:hint="eastAsia"/>
          <w:b w:val="0"/>
          <w:bCs w:val="0"/>
        </w:rPr>
        <w:t xml:space="preserve"> </w:t>
      </w:r>
      <w:r>
        <w:rPr>
          <w:rFonts w:hint="eastAsia" w:ascii="黑体" w:hAnsi="黑体" w:eastAsia="黑体" w:cs="黑体"/>
          <w:b w:val="0"/>
          <w:bCs w:val="0"/>
        </w:rPr>
        <w:t>硫化氢</w:t>
      </w:r>
      <w:bookmarkEnd w:id="55"/>
      <w:bookmarkEnd w:id="56"/>
      <w:bookmarkEnd w:id="57"/>
      <w:bookmarkEnd w:id="58"/>
      <w:bookmarkEnd w:id="59"/>
      <w:bookmarkEnd w:id="60"/>
      <w:bookmarkEnd w:id="61"/>
    </w:p>
    <w:p>
      <w:pPr>
        <w:ind w:firstLine="560"/>
      </w:pPr>
      <w:r>
        <w:t>硫化氢分子式为H</w:t>
      </w:r>
      <w:r>
        <w:rPr>
          <w:vertAlign w:val="subscript"/>
        </w:rPr>
        <w:t>2</w:t>
      </w:r>
      <w:r>
        <w:t>S，是一种易燃、有毒的无色气体，具有典型的臭鸡蛋味，有时存在于油气开采和气体加工的流体中。硫化氢沸点大约为60℃，对空气的相对密度1.19，经常在通风条件差的环境、低凹处聚集。易燃，与空气混合能形成爆炸性混合物，遇明火、高热能引起燃烧爆炸。该气体比空气重，能在较低处扩散到相当远的地方，遇火源会着火回燃。</w:t>
      </w:r>
    </w:p>
    <w:p>
      <w:pPr>
        <w:ind w:firstLine="560"/>
        <w:rPr>
          <w:snapToGrid w:val="0"/>
          <w:kern w:val="0"/>
        </w:rPr>
      </w:pPr>
      <w:r>
        <w:rPr>
          <w:snapToGrid w:val="0"/>
          <w:kern w:val="0"/>
          <w:lang w:val="zh-TW"/>
        </w:rPr>
        <w:t>硫化氢的主要危险有害特性见表3.-</w:t>
      </w:r>
      <w:r>
        <w:rPr>
          <w:rFonts w:hint="eastAsia"/>
          <w:snapToGrid w:val="0"/>
          <w:kern w:val="0"/>
        </w:rPr>
        <w:t>3</w:t>
      </w:r>
      <w:r>
        <w:rPr>
          <w:snapToGrid w:val="0"/>
          <w:kern w:val="0"/>
          <w:lang w:val="zh-TW"/>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napToGrid w:val="0"/>
          <w:kern w:val="0"/>
        </w:rPr>
      </w:pPr>
      <w:bookmarkStart w:id="62" w:name="_Toc464737491"/>
      <w:r>
        <w:rPr>
          <w:b/>
          <w:bCs/>
          <w:snapToGrid w:val="0"/>
          <w:kern w:val="0"/>
          <w:sz w:val="24"/>
          <w:szCs w:val="24"/>
        </w:rPr>
        <w:t>表3-</w:t>
      </w:r>
      <w:r>
        <w:rPr>
          <w:rFonts w:hint="eastAsia"/>
          <w:b/>
          <w:bCs/>
          <w:snapToGrid w:val="0"/>
          <w:kern w:val="0"/>
          <w:sz w:val="24"/>
          <w:szCs w:val="24"/>
        </w:rPr>
        <w:t>3</w:t>
      </w:r>
      <w:r>
        <w:rPr>
          <w:b/>
          <w:bCs/>
          <w:snapToGrid w:val="0"/>
          <w:kern w:val="0"/>
          <w:sz w:val="24"/>
          <w:szCs w:val="24"/>
        </w:rPr>
        <w:t xml:space="preserve">  硫化氢的危险有害特性及安全技术表</w:t>
      </w:r>
      <w:bookmarkEnd w:id="62"/>
    </w:p>
    <w:tbl>
      <w:tblPr>
        <w:tblStyle w:val="4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2"/>
        <w:gridCol w:w="1278"/>
        <w:gridCol w:w="99"/>
        <w:gridCol w:w="109"/>
        <w:gridCol w:w="659"/>
        <w:gridCol w:w="325"/>
        <w:gridCol w:w="809"/>
        <w:gridCol w:w="165"/>
        <w:gridCol w:w="165"/>
        <w:gridCol w:w="813"/>
        <w:gridCol w:w="978"/>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noWrap w:val="0"/>
            <w:vAlign w:val="center"/>
          </w:tcPr>
          <w:p>
            <w:pPr>
              <w:spacing w:line="240" w:lineRule="auto"/>
              <w:ind w:firstLine="0" w:firstLineChars="0"/>
              <w:rPr>
                <w:color w:val="000000"/>
                <w:sz w:val="21"/>
                <w:szCs w:val="21"/>
              </w:rPr>
            </w:pPr>
            <w:r>
              <w:rPr>
                <w:color w:val="000000"/>
                <w:sz w:val="21"/>
                <w:szCs w:val="21"/>
              </w:rPr>
              <w:t>中文名称</w:t>
            </w:r>
          </w:p>
        </w:tc>
        <w:tc>
          <w:tcPr>
            <w:tcW w:w="2022" w:type="pct"/>
            <w:gridSpan w:val="7"/>
            <w:noWrap w:val="0"/>
            <w:vAlign w:val="center"/>
          </w:tcPr>
          <w:p>
            <w:pPr>
              <w:spacing w:line="240" w:lineRule="auto"/>
              <w:ind w:firstLine="0" w:firstLineChars="0"/>
              <w:rPr>
                <w:color w:val="000000"/>
                <w:sz w:val="21"/>
                <w:szCs w:val="21"/>
              </w:rPr>
            </w:pPr>
            <w:r>
              <w:rPr>
                <w:color w:val="000000"/>
                <w:sz w:val="21"/>
                <w:szCs w:val="21"/>
              </w:rPr>
              <w:t>硫化氢</w:t>
            </w:r>
          </w:p>
        </w:tc>
        <w:tc>
          <w:tcPr>
            <w:tcW w:w="1148" w:type="pct"/>
            <w:gridSpan w:val="3"/>
            <w:noWrap w:val="0"/>
            <w:vAlign w:val="center"/>
          </w:tcPr>
          <w:p>
            <w:pPr>
              <w:spacing w:line="240" w:lineRule="auto"/>
              <w:ind w:firstLine="0" w:firstLineChars="0"/>
              <w:rPr>
                <w:color w:val="000000"/>
                <w:sz w:val="21"/>
                <w:szCs w:val="21"/>
              </w:rPr>
            </w:pPr>
            <w:r>
              <w:rPr>
                <w:color w:val="000000"/>
                <w:sz w:val="21"/>
                <w:szCs w:val="21"/>
              </w:rPr>
              <w:t>包装标志</w:t>
            </w:r>
          </w:p>
        </w:tc>
        <w:tc>
          <w:tcPr>
            <w:tcW w:w="1017" w:type="pct"/>
            <w:noWrap w:val="0"/>
            <w:vAlign w:val="center"/>
          </w:tcPr>
          <w:p>
            <w:pPr>
              <w:spacing w:line="240" w:lineRule="auto"/>
              <w:ind w:firstLine="0" w:firstLineChars="0"/>
              <w:rPr>
                <w:color w:val="000000"/>
                <w:sz w:val="21"/>
                <w:szCs w:val="21"/>
              </w:rPr>
            </w:pPr>
            <w:r>
              <w:rPr>
                <w:color w:val="000000"/>
                <w:sz w:val="21"/>
                <w:szCs w:val="21"/>
              </w:rPr>
              <w:t>易燃气体；有毒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noWrap w:val="0"/>
            <w:vAlign w:val="center"/>
          </w:tcPr>
          <w:p>
            <w:pPr>
              <w:spacing w:line="240" w:lineRule="auto"/>
              <w:ind w:firstLine="0" w:firstLineChars="0"/>
              <w:rPr>
                <w:color w:val="000000"/>
                <w:sz w:val="21"/>
                <w:szCs w:val="21"/>
              </w:rPr>
            </w:pPr>
            <w:r>
              <w:rPr>
                <w:color w:val="000000"/>
                <w:sz w:val="21"/>
                <w:szCs w:val="21"/>
              </w:rPr>
              <w:t>英文名称</w:t>
            </w:r>
          </w:p>
        </w:tc>
        <w:tc>
          <w:tcPr>
            <w:tcW w:w="2022" w:type="pct"/>
            <w:gridSpan w:val="7"/>
            <w:noWrap w:val="0"/>
            <w:vAlign w:val="center"/>
          </w:tcPr>
          <w:p>
            <w:pPr>
              <w:spacing w:line="240" w:lineRule="auto"/>
              <w:ind w:firstLine="0" w:firstLineChars="0"/>
              <w:rPr>
                <w:color w:val="000000"/>
                <w:sz w:val="21"/>
                <w:szCs w:val="21"/>
              </w:rPr>
            </w:pPr>
            <w:r>
              <w:rPr>
                <w:rStyle w:val="292"/>
                <w:rFonts w:hint="default" w:ascii="Times New Roman" w:hAnsi="Times New Roman"/>
                <w:color w:val="000000"/>
                <w:sz w:val="21"/>
                <w:szCs w:val="21"/>
              </w:rPr>
              <w:t>hydrogen sulfide</w:t>
            </w:r>
          </w:p>
        </w:tc>
        <w:tc>
          <w:tcPr>
            <w:tcW w:w="1148" w:type="pct"/>
            <w:gridSpan w:val="3"/>
            <w:noWrap w:val="0"/>
            <w:vAlign w:val="center"/>
          </w:tcPr>
          <w:p>
            <w:pPr>
              <w:spacing w:line="240" w:lineRule="auto"/>
              <w:ind w:firstLine="0" w:firstLineChars="0"/>
              <w:rPr>
                <w:color w:val="000000"/>
                <w:sz w:val="21"/>
                <w:szCs w:val="21"/>
              </w:rPr>
            </w:pPr>
            <w:r>
              <w:rPr>
                <w:color w:val="000000"/>
                <w:sz w:val="21"/>
                <w:szCs w:val="21"/>
              </w:rPr>
              <w:t>包装类别</w:t>
            </w:r>
          </w:p>
        </w:tc>
        <w:tc>
          <w:tcPr>
            <w:tcW w:w="1017" w:type="pct"/>
            <w:noWrap w:val="0"/>
            <w:vAlign w:val="center"/>
          </w:tcPr>
          <w:p>
            <w:pPr>
              <w:spacing w:line="240" w:lineRule="auto"/>
              <w:ind w:firstLine="0" w:firstLineChars="0"/>
              <w:rPr>
                <w:color w:val="000000"/>
                <w:sz w:val="21"/>
                <w:szCs w:val="21"/>
              </w:rPr>
            </w:pPr>
            <w:r>
              <w:rPr>
                <w:rFonts w:hint="eastAsia" w:cs="宋体"/>
                <w:color w:val="000000"/>
                <w:sz w:val="21"/>
                <w:szCs w:val="21"/>
              </w:rPr>
              <w:t>Ⅱ</w:t>
            </w:r>
            <w:r>
              <w:rPr>
                <w:color w:val="000000"/>
                <w:sz w:val="21"/>
                <w:szCs w:val="21"/>
              </w:rPr>
              <w:t>类包装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noWrap w:val="0"/>
            <w:vAlign w:val="center"/>
          </w:tcPr>
          <w:p>
            <w:pPr>
              <w:spacing w:line="240" w:lineRule="auto"/>
              <w:ind w:firstLine="0" w:firstLineChars="0"/>
              <w:rPr>
                <w:color w:val="000000"/>
                <w:sz w:val="21"/>
                <w:szCs w:val="21"/>
              </w:rPr>
            </w:pPr>
            <w:r>
              <w:rPr>
                <w:color w:val="000000"/>
                <w:sz w:val="21"/>
                <w:szCs w:val="21"/>
              </w:rPr>
              <w:t>危险性类别</w:t>
            </w:r>
          </w:p>
        </w:tc>
        <w:tc>
          <w:tcPr>
            <w:tcW w:w="2022" w:type="pct"/>
            <w:gridSpan w:val="7"/>
            <w:noWrap w:val="0"/>
            <w:vAlign w:val="center"/>
          </w:tcPr>
          <w:p>
            <w:pPr>
              <w:spacing w:line="240" w:lineRule="auto"/>
              <w:ind w:firstLine="0" w:firstLineChars="0"/>
              <w:rPr>
                <w:color w:val="000000"/>
                <w:sz w:val="21"/>
                <w:szCs w:val="21"/>
              </w:rPr>
            </w:pPr>
            <w:r>
              <w:rPr>
                <w:color w:val="000000"/>
                <w:sz w:val="21"/>
                <w:szCs w:val="21"/>
              </w:rPr>
              <w:t>第2.1类  易燃气体</w:t>
            </w:r>
          </w:p>
        </w:tc>
        <w:tc>
          <w:tcPr>
            <w:tcW w:w="1148" w:type="pct"/>
            <w:gridSpan w:val="3"/>
            <w:noWrap w:val="0"/>
            <w:vAlign w:val="center"/>
          </w:tcPr>
          <w:p>
            <w:pPr>
              <w:spacing w:line="240" w:lineRule="auto"/>
              <w:ind w:firstLine="0" w:firstLineChars="0"/>
              <w:rPr>
                <w:color w:val="000000"/>
                <w:sz w:val="21"/>
                <w:szCs w:val="21"/>
              </w:rPr>
            </w:pPr>
            <w:r>
              <w:rPr>
                <w:color w:val="000000"/>
                <w:sz w:val="21"/>
                <w:szCs w:val="21"/>
              </w:rPr>
              <w:t>危险货物编号</w:t>
            </w:r>
          </w:p>
        </w:tc>
        <w:tc>
          <w:tcPr>
            <w:tcW w:w="1017" w:type="pct"/>
            <w:noWrap w:val="0"/>
            <w:vAlign w:val="center"/>
          </w:tcPr>
          <w:p>
            <w:pPr>
              <w:spacing w:line="240" w:lineRule="auto"/>
              <w:ind w:firstLine="0" w:firstLineChars="0"/>
              <w:rPr>
                <w:color w:val="000000"/>
                <w:sz w:val="21"/>
                <w:szCs w:val="21"/>
              </w:rPr>
            </w:pPr>
            <w:r>
              <w:rPr>
                <w:color w:val="000000"/>
                <w:sz w:val="21"/>
                <w:szCs w:val="21"/>
              </w:rPr>
              <w:t>21006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noWrap w:val="0"/>
            <w:vAlign w:val="center"/>
          </w:tcPr>
          <w:p>
            <w:pPr>
              <w:spacing w:line="240" w:lineRule="auto"/>
              <w:ind w:firstLine="0" w:firstLineChars="0"/>
              <w:rPr>
                <w:color w:val="000000"/>
                <w:sz w:val="21"/>
                <w:szCs w:val="21"/>
              </w:rPr>
            </w:pPr>
            <w:r>
              <w:rPr>
                <w:color w:val="000000"/>
                <w:sz w:val="21"/>
                <w:szCs w:val="21"/>
              </w:rPr>
              <w:t>UN编号</w:t>
            </w:r>
          </w:p>
        </w:tc>
        <w:tc>
          <w:tcPr>
            <w:tcW w:w="2022" w:type="pct"/>
            <w:gridSpan w:val="7"/>
            <w:noWrap w:val="0"/>
            <w:vAlign w:val="center"/>
          </w:tcPr>
          <w:p>
            <w:pPr>
              <w:pStyle w:val="190"/>
              <w:spacing w:line="240" w:lineRule="auto"/>
              <w:ind w:firstLine="0" w:firstLineChars="0"/>
              <w:rPr>
                <w:color w:val="000000"/>
                <w:sz w:val="21"/>
                <w:szCs w:val="21"/>
              </w:rPr>
            </w:pPr>
            <w:r>
              <w:rPr>
                <w:color w:val="000000"/>
                <w:sz w:val="21"/>
                <w:szCs w:val="21"/>
              </w:rPr>
              <w:t>1053</w:t>
            </w:r>
          </w:p>
        </w:tc>
        <w:tc>
          <w:tcPr>
            <w:tcW w:w="1148" w:type="pct"/>
            <w:gridSpan w:val="3"/>
            <w:noWrap w:val="0"/>
            <w:vAlign w:val="center"/>
          </w:tcPr>
          <w:p>
            <w:pPr>
              <w:spacing w:line="240" w:lineRule="auto"/>
              <w:ind w:firstLine="0" w:firstLineChars="0"/>
              <w:rPr>
                <w:color w:val="000000"/>
                <w:sz w:val="21"/>
                <w:szCs w:val="21"/>
              </w:rPr>
            </w:pPr>
            <w:r>
              <w:rPr>
                <w:color w:val="000000"/>
                <w:sz w:val="21"/>
                <w:szCs w:val="21"/>
              </w:rPr>
              <w:t>闪点（</w:t>
            </w:r>
            <w:r>
              <w:rPr>
                <w:rFonts w:hint="eastAsia" w:cs="宋体"/>
                <w:color w:val="000000"/>
                <w:sz w:val="21"/>
                <w:szCs w:val="21"/>
              </w:rPr>
              <w:t>℃</w:t>
            </w:r>
            <w:r>
              <w:rPr>
                <w:color w:val="000000"/>
                <w:sz w:val="21"/>
                <w:szCs w:val="21"/>
              </w:rPr>
              <w:t>）</w:t>
            </w:r>
          </w:p>
        </w:tc>
        <w:tc>
          <w:tcPr>
            <w:tcW w:w="1017" w:type="pct"/>
            <w:noWrap w:val="0"/>
            <w:vAlign w:val="center"/>
          </w:tcPr>
          <w:p>
            <w:pPr>
              <w:spacing w:line="240" w:lineRule="auto"/>
              <w:ind w:firstLine="0" w:firstLineChars="0"/>
              <w:rPr>
                <w:color w:val="000000"/>
                <w:sz w:val="21"/>
                <w:szCs w:val="21"/>
              </w:rPr>
            </w:pPr>
            <w:r>
              <w:rPr>
                <w:color w:val="000000"/>
                <w:sz w:val="21"/>
                <w:szCs w:val="21"/>
              </w:rPr>
              <w:t>无意义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vMerge w:val="restart"/>
            <w:noWrap w:val="0"/>
            <w:vAlign w:val="center"/>
          </w:tcPr>
          <w:p>
            <w:pPr>
              <w:spacing w:line="240" w:lineRule="auto"/>
              <w:ind w:firstLine="0" w:firstLineChars="0"/>
              <w:rPr>
                <w:color w:val="000000"/>
                <w:sz w:val="21"/>
                <w:szCs w:val="21"/>
              </w:rPr>
            </w:pPr>
            <w:r>
              <w:rPr>
                <w:color w:val="000000"/>
                <w:sz w:val="21"/>
                <w:szCs w:val="21"/>
              </w:rPr>
              <w:t>理化特性</w:t>
            </w:r>
          </w:p>
        </w:tc>
        <w:tc>
          <w:tcPr>
            <w:tcW w:w="750" w:type="pct"/>
            <w:noWrap w:val="0"/>
            <w:vAlign w:val="center"/>
          </w:tcPr>
          <w:p>
            <w:pPr>
              <w:spacing w:line="240" w:lineRule="auto"/>
              <w:ind w:firstLine="0" w:firstLineChars="0"/>
              <w:rPr>
                <w:color w:val="000000"/>
                <w:sz w:val="21"/>
                <w:szCs w:val="21"/>
              </w:rPr>
            </w:pPr>
            <w:r>
              <w:rPr>
                <w:color w:val="000000"/>
                <w:sz w:val="21"/>
                <w:szCs w:val="21"/>
              </w:rPr>
              <w:t>外观与性状</w:t>
            </w:r>
          </w:p>
        </w:tc>
        <w:tc>
          <w:tcPr>
            <w:tcW w:w="1271" w:type="pct"/>
            <w:gridSpan w:val="6"/>
            <w:noWrap w:val="0"/>
            <w:vAlign w:val="center"/>
          </w:tcPr>
          <w:p>
            <w:pPr>
              <w:spacing w:line="240" w:lineRule="auto"/>
              <w:ind w:firstLine="0" w:firstLineChars="0"/>
              <w:rPr>
                <w:color w:val="000000"/>
                <w:sz w:val="21"/>
                <w:szCs w:val="21"/>
              </w:rPr>
            </w:pPr>
            <w:r>
              <w:rPr>
                <w:color w:val="000000"/>
                <w:sz w:val="21"/>
                <w:szCs w:val="21"/>
              </w:rPr>
              <w:t>无色、有恶臭的气体。</w:t>
            </w:r>
          </w:p>
        </w:tc>
        <w:tc>
          <w:tcPr>
            <w:tcW w:w="1148" w:type="pct"/>
            <w:gridSpan w:val="3"/>
            <w:noWrap w:val="0"/>
            <w:vAlign w:val="center"/>
          </w:tcPr>
          <w:p>
            <w:pPr>
              <w:spacing w:line="240" w:lineRule="auto"/>
              <w:ind w:firstLine="0" w:firstLineChars="0"/>
              <w:rPr>
                <w:color w:val="000000"/>
                <w:sz w:val="21"/>
                <w:szCs w:val="21"/>
              </w:rPr>
            </w:pPr>
            <w:r>
              <w:rPr>
                <w:color w:val="000000"/>
                <w:sz w:val="21"/>
                <w:szCs w:val="21"/>
              </w:rPr>
              <w:t>熔点（</w:t>
            </w:r>
            <w:r>
              <w:rPr>
                <w:rFonts w:hint="eastAsia" w:cs="宋体"/>
                <w:color w:val="000000"/>
                <w:sz w:val="21"/>
                <w:szCs w:val="21"/>
              </w:rPr>
              <w:t>℃</w:t>
            </w:r>
            <w:r>
              <w:rPr>
                <w:color w:val="000000"/>
                <w:sz w:val="21"/>
                <w:szCs w:val="21"/>
              </w:rPr>
              <w:t>）</w:t>
            </w:r>
          </w:p>
        </w:tc>
        <w:tc>
          <w:tcPr>
            <w:tcW w:w="1017" w:type="pct"/>
            <w:noWrap w:val="0"/>
            <w:vAlign w:val="center"/>
          </w:tcPr>
          <w:p>
            <w:pPr>
              <w:spacing w:line="240" w:lineRule="auto"/>
              <w:ind w:firstLine="0" w:firstLineChars="0"/>
              <w:rPr>
                <w:color w:val="000000"/>
                <w:sz w:val="21"/>
                <w:szCs w:val="21"/>
              </w:rPr>
            </w:pPr>
            <w:r>
              <w:rPr>
                <w:color w:val="000000"/>
                <w:sz w:val="21"/>
                <w:szCs w:val="21"/>
              </w:rPr>
              <w:t>-85.5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vMerge w:val="continue"/>
            <w:noWrap w:val="0"/>
            <w:vAlign w:val="center"/>
          </w:tcPr>
          <w:p>
            <w:pPr>
              <w:spacing w:line="240" w:lineRule="auto"/>
              <w:ind w:firstLine="0" w:firstLineChars="0"/>
              <w:rPr>
                <w:color w:val="000000"/>
                <w:sz w:val="21"/>
                <w:szCs w:val="21"/>
              </w:rPr>
            </w:pPr>
          </w:p>
        </w:tc>
        <w:tc>
          <w:tcPr>
            <w:tcW w:w="1259" w:type="pct"/>
            <w:gridSpan w:val="4"/>
            <w:noWrap w:val="0"/>
            <w:vAlign w:val="center"/>
          </w:tcPr>
          <w:p>
            <w:pPr>
              <w:spacing w:line="240" w:lineRule="auto"/>
              <w:ind w:firstLine="0" w:firstLineChars="0"/>
              <w:rPr>
                <w:color w:val="000000"/>
                <w:sz w:val="21"/>
                <w:szCs w:val="21"/>
              </w:rPr>
            </w:pPr>
            <w:r>
              <w:rPr>
                <w:color w:val="000000"/>
                <w:sz w:val="21"/>
                <w:szCs w:val="21"/>
              </w:rPr>
              <w:t>相对密度（水＝1）</w:t>
            </w:r>
          </w:p>
        </w:tc>
        <w:tc>
          <w:tcPr>
            <w:tcW w:w="762" w:type="pct"/>
            <w:gridSpan w:val="3"/>
            <w:noWrap w:val="0"/>
            <w:vAlign w:val="center"/>
          </w:tcPr>
          <w:p>
            <w:pPr>
              <w:spacing w:line="240" w:lineRule="auto"/>
              <w:ind w:firstLine="0" w:firstLineChars="0"/>
              <w:rPr>
                <w:color w:val="000000"/>
                <w:sz w:val="21"/>
                <w:szCs w:val="21"/>
              </w:rPr>
            </w:pPr>
            <w:r>
              <w:rPr>
                <w:color w:val="000000"/>
                <w:sz w:val="21"/>
                <w:szCs w:val="21"/>
              </w:rPr>
              <w:t>无资料</w:t>
            </w:r>
          </w:p>
        </w:tc>
        <w:tc>
          <w:tcPr>
            <w:tcW w:w="1148" w:type="pct"/>
            <w:gridSpan w:val="3"/>
            <w:noWrap w:val="0"/>
            <w:vAlign w:val="center"/>
          </w:tcPr>
          <w:p>
            <w:pPr>
              <w:spacing w:line="240" w:lineRule="auto"/>
              <w:ind w:firstLine="0" w:firstLineChars="0"/>
              <w:rPr>
                <w:color w:val="000000"/>
                <w:sz w:val="21"/>
                <w:szCs w:val="21"/>
              </w:rPr>
            </w:pPr>
            <w:r>
              <w:rPr>
                <w:color w:val="000000"/>
                <w:sz w:val="21"/>
                <w:szCs w:val="21"/>
              </w:rPr>
              <w:t>沸点（</w:t>
            </w:r>
            <w:r>
              <w:rPr>
                <w:rFonts w:hint="eastAsia" w:cs="宋体"/>
                <w:color w:val="000000"/>
                <w:sz w:val="21"/>
                <w:szCs w:val="21"/>
              </w:rPr>
              <w:t>℃</w:t>
            </w:r>
            <w:r>
              <w:rPr>
                <w:color w:val="000000"/>
                <w:sz w:val="21"/>
                <w:szCs w:val="21"/>
              </w:rPr>
              <w:t>）</w:t>
            </w:r>
          </w:p>
        </w:tc>
        <w:tc>
          <w:tcPr>
            <w:tcW w:w="1017" w:type="pct"/>
            <w:noWrap w:val="0"/>
            <w:vAlign w:val="center"/>
          </w:tcPr>
          <w:p>
            <w:pPr>
              <w:spacing w:line="240" w:lineRule="auto"/>
              <w:ind w:firstLine="0" w:firstLineChars="0"/>
              <w:rPr>
                <w:color w:val="000000"/>
                <w:sz w:val="21"/>
                <w:szCs w:val="21"/>
              </w:rPr>
            </w:pPr>
            <w:r>
              <w:rPr>
                <w:color w:val="000000"/>
                <w:sz w:val="21"/>
                <w:szCs w:val="21"/>
              </w:rPr>
              <w:t>-60.4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vMerge w:val="continue"/>
            <w:noWrap w:val="0"/>
            <w:vAlign w:val="center"/>
          </w:tcPr>
          <w:p>
            <w:pPr>
              <w:spacing w:line="240" w:lineRule="auto"/>
              <w:ind w:firstLine="0" w:firstLineChars="0"/>
              <w:rPr>
                <w:color w:val="000000"/>
                <w:sz w:val="21"/>
                <w:szCs w:val="21"/>
              </w:rPr>
            </w:pPr>
          </w:p>
        </w:tc>
        <w:tc>
          <w:tcPr>
            <w:tcW w:w="1259" w:type="pct"/>
            <w:gridSpan w:val="4"/>
            <w:noWrap w:val="0"/>
            <w:vAlign w:val="center"/>
          </w:tcPr>
          <w:p>
            <w:pPr>
              <w:spacing w:line="240" w:lineRule="auto"/>
              <w:ind w:firstLine="0" w:firstLineChars="0"/>
              <w:rPr>
                <w:color w:val="000000"/>
                <w:sz w:val="21"/>
                <w:szCs w:val="21"/>
              </w:rPr>
            </w:pPr>
            <w:r>
              <w:rPr>
                <w:color w:val="000000"/>
                <w:sz w:val="21"/>
                <w:szCs w:val="21"/>
              </w:rPr>
              <w:t>相对密度（空气＝1）</w:t>
            </w:r>
          </w:p>
        </w:tc>
        <w:tc>
          <w:tcPr>
            <w:tcW w:w="762" w:type="pct"/>
            <w:gridSpan w:val="3"/>
            <w:noWrap w:val="0"/>
            <w:vAlign w:val="center"/>
          </w:tcPr>
          <w:p>
            <w:pPr>
              <w:spacing w:line="240" w:lineRule="auto"/>
              <w:ind w:firstLine="0" w:firstLineChars="0"/>
              <w:rPr>
                <w:color w:val="000000"/>
                <w:sz w:val="21"/>
                <w:szCs w:val="21"/>
              </w:rPr>
            </w:pPr>
            <w:r>
              <w:rPr>
                <w:color w:val="000000"/>
                <w:sz w:val="21"/>
                <w:szCs w:val="21"/>
              </w:rPr>
              <w:t>1.19</w:t>
            </w:r>
          </w:p>
        </w:tc>
        <w:tc>
          <w:tcPr>
            <w:tcW w:w="1148" w:type="pct"/>
            <w:gridSpan w:val="3"/>
            <w:noWrap w:val="0"/>
            <w:vAlign w:val="center"/>
          </w:tcPr>
          <w:p>
            <w:pPr>
              <w:spacing w:line="240" w:lineRule="auto"/>
              <w:ind w:firstLine="0" w:firstLineChars="0"/>
              <w:rPr>
                <w:color w:val="000000"/>
                <w:sz w:val="21"/>
                <w:szCs w:val="21"/>
              </w:rPr>
            </w:pPr>
            <w:r>
              <w:rPr>
                <w:color w:val="000000"/>
                <w:sz w:val="21"/>
                <w:szCs w:val="21"/>
              </w:rPr>
              <w:t>饱和蒸气压（kPa）</w:t>
            </w:r>
          </w:p>
        </w:tc>
        <w:tc>
          <w:tcPr>
            <w:tcW w:w="1017" w:type="pct"/>
            <w:noWrap w:val="0"/>
            <w:vAlign w:val="center"/>
          </w:tcPr>
          <w:p>
            <w:pPr>
              <w:spacing w:line="240" w:lineRule="auto"/>
              <w:ind w:firstLine="0" w:firstLineChars="0"/>
              <w:rPr>
                <w:color w:val="000000"/>
                <w:sz w:val="21"/>
                <w:szCs w:val="21"/>
              </w:rPr>
            </w:pPr>
            <w:r>
              <w:rPr>
                <w:rStyle w:val="292"/>
                <w:rFonts w:hint="default" w:ascii="Times New Roman" w:hAnsi="Times New Roman"/>
                <w:color w:val="000000"/>
                <w:sz w:val="21"/>
                <w:szCs w:val="21"/>
              </w:rPr>
              <w:t>2026.5（25.5</w:t>
            </w:r>
            <w:r>
              <w:rPr>
                <w:rStyle w:val="292"/>
                <w:rFonts w:hint="default" w:ascii="Times New Roman" w:hAnsi="Times New Roman" w:cs="宋体"/>
                <w:color w:val="000000"/>
                <w:sz w:val="21"/>
                <w:szCs w:val="21"/>
              </w:rPr>
              <w:t>℃</w:t>
            </w:r>
            <w:r>
              <w:rPr>
                <w:rStyle w:val="292"/>
                <w:rFonts w:hint="default" w:ascii="Times New Roman" w:hAnsi="Times New Roman"/>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vMerge w:val="continue"/>
            <w:noWrap w:val="0"/>
            <w:vAlign w:val="center"/>
          </w:tcPr>
          <w:p>
            <w:pPr>
              <w:spacing w:line="240" w:lineRule="auto"/>
              <w:ind w:firstLine="0" w:firstLineChars="0"/>
              <w:rPr>
                <w:color w:val="000000"/>
                <w:sz w:val="21"/>
                <w:szCs w:val="21"/>
              </w:rPr>
            </w:pPr>
          </w:p>
        </w:tc>
        <w:tc>
          <w:tcPr>
            <w:tcW w:w="1259" w:type="pct"/>
            <w:gridSpan w:val="4"/>
            <w:noWrap w:val="0"/>
            <w:vAlign w:val="center"/>
          </w:tcPr>
          <w:p>
            <w:pPr>
              <w:spacing w:line="240" w:lineRule="auto"/>
              <w:ind w:firstLine="0" w:firstLineChars="0"/>
              <w:rPr>
                <w:color w:val="000000"/>
                <w:sz w:val="21"/>
                <w:szCs w:val="21"/>
              </w:rPr>
            </w:pPr>
            <w:r>
              <w:rPr>
                <w:color w:val="000000"/>
                <w:sz w:val="21"/>
                <w:szCs w:val="21"/>
              </w:rPr>
              <w:t>临界温度（</w:t>
            </w:r>
            <w:r>
              <w:rPr>
                <w:rFonts w:hint="eastAsia" w:cs="宋体"/>
                <w:color w:val="000000"/>
                <w:sz w:val="21"/>
                <w:szCs w:val="21"/>
              </w:rPr>
              <w:t>℃</w:t>
            </w:r>
            <w:r>
              <w:rPr>
                <w:color w:val="000000"/>
                <w:sz w:val="21"/>
                <w:szCs w:val="21"/>
              </w:rPr>
              <w:t>）</w:t>
            </w:r>
          </w:p>
        </w:tc>
        <w:tc>
          <w:tcPr>
            <w:tcW w:w="762" w:type="pct"/>
            <w:gridSpan w:val="3"/>
            <w:noWrap w:val="0"/>
            <w:vAlign w:val="center"/>
          </w:tcPr>
          <w:p>
            <w:pPr>
              <w:spacing w:line="240" w:lineRule="auto"/>
              <w:ind w:firstLine="0" w:firstLineChars="0"/>
              <w:rPr>
                <w:color w:val="000000"/>
                <w:sz w:val="21"/>
                <w:szCs w:val="21"/>
              </w:rPr>
            </w:pPr>
            <w:r>
              <w:rPr>
                <w:color w:val="000000"/>
                <w:sz w:val="21"/>
                <w:szCs w:val="21"/>
              </w:rPr>
              <w:t>100.4</w:t>
            </w:r>
          </w:p>
        </w:tc>
        <w:tc>
          <w:tcPr>
            <w:tcW w:w="1148" w:type="pct"/>
            <w:gridSpan w:val="3"/>
            <w:noWrap w:val="0"/>
            <w:vAlign w:val="center"/>
          </w:tcPr>
          <w:p>
            <w:pPr>
              <w:spacing w:line="240" w:lineRule="auto"/>
              <w:ind w:firstLine="0" w:firstLineChars="0"/>
              <w:rPr>
                <w:color w:val="000000"/>
                <w:sz w:val="21"/>
                <w:szCs w:val="21"/>
              </w:rPr>
            </w:pPr>
            <w:r>
              <w:rPr>
                <w:color w:val="000000"/>
                <w:sz w:val="21"/>
                <w:szCs w:val="21"/>
              </w:rPr>
              <w:t>临界压力（MPa）</w:t>
            </w:r>
          </w:p>
        </w:tc>
        <w:tc>
          <w:tcPr>
            <w:tcW w:w="1017" w:type="pct"/>
            <w:noWrap w:val="0"/>
            <w:vAlign w:val="center"/>
          </w:tcPr>
          <w:p>
            <w:pPr>
              <w:spacing w:line="240" w:lineRule="auto"/>
              <w:ind w:firstLine="0" w:firstLineChars="0"/>
              <w:rPr>
                <w:color w:val="000000"/>
                <w:sz w:val="21"/>
                <w:szCs w:val="21"/>
              </w:rPr>
            </w:pPr>
            <w:r>
              <w:rPr>
                <w:color w:val="000000"/>
                <w:sz w:val="21"/>
                <w:szCs w:val="21"/>
              </w:rPr>
              <w:t>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vMerge w:val="continue"/>
            <w:noWrap w:val="0"/>
            <w:vAlign w:val="center"/>
          </w:tcPr>
          <w:p>
            <w:pPr>
              <w:spacing w:line="240" w:lineRule="auto"/>
              <w:ind w:firstLine="0" w:firstLineChars="0"/>
              <w:rPr>
                <w:color w:val="000000"/>
                <w:sz w:val="21"/>
                <w:szCs w:val="21"/>
              </w:rPr>
            </w:pPr>
          </w:p>
        </w:tc>
        <w:tc>
          <w:tcPr>
            <w:tcW w:w="1259" w:type="pct"/>
            <w:gridSpan w:val="4"/>
            <w:noWrap w:val="0"/>
            <w:vAlign w:val="center"/>
          </w:tcPr>
          <w:p>
            <w:pPr>
              <w:spacing w:line="240" w:lineRule="auto"/>
              <w:ind w:firstLine="0" w:firstLineChars="0"/>
              <w:rPr>
                <w:color w:val="000000"/>
                <w:sz w:val="21"/>
                <w:szCs w:val="21"/>
              </w:rPr>
            </w:pPr>
            <w:r>
              <w:rPr>
                <w:color w:val="000000"/>
                <w:sz w:val="21"/>
                <w:szCs w:val="21"/>
              </w:rPr>
              <w:t>爆炸下限〔％（V/V）〕</w:t>
            </w:r>
          </w:p>
        </w:tc>
        <w:tc>
          <w:tcPr>
            <w:tcW w:w="762" w:type="pct"/>
            <w:gridSpan w:val="3"/>
            <w:noWrap w:val="0"/>
            <w:vAlign w:val="center"/>
          </w:tcPr>
          <w:p>
            <w:pPr>
              <w:spacing w:line="240" w:lineRule="auto"/>
              <w:ind w:firstLine="0" w:firstLineChars="0"/>
              <w:rPr>
                <w:color w:val="000000"/>
                <w:sz w:val="21"/>
                <w:szCs w:val="21"/>
              </w:rPr>
            </w:pPr>
            <w:r>
              <w:rPr>
                <w:color w:val="000000"/>
                <w:sz w:val="21"/>
                <w:szCs w:val="21"/>
              </w:rPr>
              <w:t>4.0</w:t>
            </w:r>
          </w:p>
        </w:tc>
        <w:tc>
          <w:tcPr>
            <w:tcW w:w="1148" w:type="pct"/>
            <w:gridSpan w:val="3"/>
            <w:noWrap w:val="0"/>
            <w:vAlign w:val="center"/>
          </w:tcPr>
          <w:p>
            <w:pPr>
              <w:spacing w:line="240" w:lineRule="auto"/>
              <w:ind w:firstLine="0" w:firstLineChars="0"/>
              <w:rPr>
                <w:color w:val="000000"/>
                <w:sz w:val="21"/>
                <w:szCs w:val="21"/>
              </w:rPr>
            </w:pPr>
            <w:r>
              <w:rPr>
                <w:color w:val="000000"/>
                <w:sz w:val="21"/>
                <w:szCs w:val="21"/>
              </w:rPr>
              <w:t>爆炸上限〔％（V/V）〕</w:t>
            </w:r>
          </w:p>
        </w:tc>
        <w:tc>
          <w:tcPr>
            <w:tcW w:w="1017" w:type="pct"/>
            <w:noWrap w:val="0"/>
            <w:vAlign w:val="center"/>
          </w:tcPr>
          <w:p>
            <w:pPr>
              <w:spacing w:line="240" w:lineRule="auto"/>
              <w:ind w:firstLine="0" w:firstLineChars="0"/>
              <w:rPr>
                <w:color w:val="000000"/>
                <w:sz w:val="21"/>
                <w:szCs w:val="21"/>
              </w:rPr>
            </w:pPr>
            <w:r>
              <w:rPr>
                <w:color w:val="000000"/>
                <w:sz w:val="21"/>
                <w:szCs w:val="21"/>
              </w:rPr>
              <w:t>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vMerge w:val="continue"/>
            <w:noWrap w:val="0"/>
            <w:vAlign w:val="center"/>
          </w:tcPr>
          <w:p>
            <w:pPr>
              <w:spacing w:line="240" w:lineRule="auto"/>
              <w:ind w:firstLine="0" w:firstLineChars="0"/>
              <w:rPr>
                <w:color w:val="000000"/>
                <w:sz w:val="21"/>
                <w:szCs w:val="21"/>
              </w:rPr>
            </w:pPr>
          </w:p>
        </w:tc>
        <w:tc>
          <w:tcPr>
            <w:tcW w:w="1259" w:type="pct"/>
            <w:gridSpan w:val="4"/>
            <w:noWrap w:val="0"/>
            <w:vAlign w:val="center"/>
          </w:tcPr>
          <w:p>
            <w:pPr>
              <w:spacing w:line="240" w:lineRule="auto"/>
              <w:ind w:firstLine="0" w:firstLineChars="0"/>
              <w:rPr>
                <w:color w:val="000000"/>
                <w:sz w:val="21"/>
                <w:szCs w:val="21"/>
              </w:rPr>
            </w:pPr>
            <w:r>
              <w:rPr>
                <w:color w:val="000000"/>
                <w:sz w:val="21"/>
                <w:szCs w:val="21"/>
              </w:rPr>
              <w:t>引燃温度（</w:t>
            </w:r>
            <w:r>
              <w:rPr>
                <w:rFonts w:hint="eastAsia" w:cs="宋体"/>
                <w:color w:val="000000"/>
                <w:sz w:val="21"/>
                <w:szCs w:val="21"/>
              </w:rPr>
              <w:t>℃</w:t>
            </w:r>
            <w:r>
              <w:rPr>
                <w:color w:val="000000"/>
                <w:sz w:val="21"/>
                <w:szCs w:val="21"/>
              </w:rPr>
              <w:t>）</w:t>
            </w:r>
          </w:p>
        </w:tc>
        <w:tc>
          <w:tcPr>
            <w:tcW w:w="762" w:type="pct"/>
            <w:gridSpan w:val="3"/>
            <w:noWrap w:val="0"/>
            <w:vAlign w:val="center"/>
          </w:tcPr>
          <w:p>
            <w:pPr>
              <w:spacing w:line="240" w:lineRule="auto"/>
              <w:ind w:firstLine="0" w:firstLineChars="0"/>
              <w:rPr>
                <w:color w:val="000000"/>
                <w:sz w:val="21"/>
                <w:szCs w:val="21"/>
              </w:rPr>
            </w:pPr>
            <w:r>
              <w:rPr>
                <w:color w:val="000000"/>
                <w:sz w:val="21"/>
                <w:szCs w:val="21"/>
              </w:rPr>
              <w:t>260</w:t>
            </w:r>
          </w:p>
        </w:tc>
        <w:tc>
          <w:tcPr>
            <w:tcW w:w="1148" w:type="pct"/>
            <w:gridSpan w:val="3"/>
            <w:noWrap w:val="0"/>
            <w:vAlign w:val="center"/>
          </w:tcPr>
          <w:p>
            <w:pPr>
              <w:spacing w:line="240" w:lineRule="auto"/>
              <w:ind w:firstLine="0" w:firstLineChars="0"/>
              <w:rPr>
                <w:color w:val="000000"/>
                <w:sz w:val="21"/>
                <w:szCs w:val="21"/>
              </w:rPr>
            </w:pPr>
            <w:r>
              <w:rPr>
                <w:color w:val="000000"/>
                <w:sz w:val="21"/>
                <w:szCs w:val="21"/>
              </w:rPr>
              <w:t>最小点火能（mJ）</w:t>
            </w:r>
          </w:p>
        </w:tc>
        <w:tc>
          <w:tcPr>
            <w:tcW w:w="1017" w:type="pct"/>
            <w:noWrap w:val="0"/>
            <w:vAlign w:val="center"/>
          </w:tcPr>
          <w:p>
            <w:pPr>
              <w:spacing w:line="240" w:lineRule="auto"/>
              <w:ind w:firstLine="0" w:firstLineChars="0"/>
              <w:rPr>
                <w:color w:val="000000"/>
                <w:sz w:val="21"/>
                <w:szCs w:val="21"/>
              </w:rPr>
            </w:pPr>
            <w:r>
              <w:rPr>
                <w:color w:val="000000"/>
                <w:sz w:val="21"/>
                <w:szCs w:val="21"/>
              </w:rPr>
              <w:t>0.077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vMerge w:val="continue"/>
            <w:noWrap w:val="0"/>
            <w:vAlign w:val="center"/>
          </w:tcPr>
          <w:p>
            <w:pPr>
              <w:spacing w:line="240" w:lineRule="auto"/>
              <w:ind w:firstLine="0" w:firstLineChars="0"/>
              <w:rPr>
                <w:color w:val="000000"/>
                <w:sz w:val="21"/>
                <w:szCs w:val="21"/>
              </w:rPr>
            </w:pPr>
          </w:p>
        </w:tc>
        <w:tc>
          <w:tcPr>
            <w:tcW w:w="808" w:type="pct"/>
            <w:gridSpan w:val="2"/>
            <w:noWrap w:val="0"/>
            <w:vAlign w:val="center"/>
          </w:tcPr>
          <w:p>
            <w:pPr>
              <w:spacing w:line="240" w:lineRule="auto"/>
              <w:ind w:firstLine="0" w:firstLineChars="0"/>
              <w:rPr>
                <w:color w:val="000000"/>
                <w:sz w:val="21"/>
                <w:szCs w:val="21"/>
              </w:rPr>
            </w:pPr>
            <w:r>
              <w:rPr>
                <w:color w:val="000000"/>
                <w:sz w:val="21"/>
                <w:szCs w:val="21"/>
              </w:rPr>
              <w:t>溶解性</w:t>
            </w:r>
          </w:p>
        </w:tc>
        <w:tc>
          <w:tcPr>
            <w:tcW w:w="3379" w:type="pct"/>
            <w:gridSpan w:val="9"/>
            <w:noWrap w:val="0"/>
            <w:vAlign w:val="center"/>
          </w:tcPr>
          <w:p>
            <w:pPr>
              <w:spacing w:line="240" w:lineRule="auto"/>
              <w:ind w:firstLine="0" w:firstLineChars="0"/>
              <w:rPr>
                <w:color w:val="000000"/>
                <w:sz w:val="21"/>
                <w:szCs w:val="21"/>
              </w:rPr>
            </w:pPr>
            <w:r>
              <w:rPr>
                <w:color w:val="000000"/>
                <w:sz w:val="21"/>
                <w:szCs w:val="21"/>
              </w:rPr>
              <w:t>溶于水、乙醇。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noWrap w:val="0"/>
            <w:vAlign w:val="center"/>
          </w:tcPr>
          <w:p>
            <w:pPr>
              <w:spacing w:line="240" w:lineRule="auto"/>
              <w:ind w:firstLine="0" w:firstLineChars="0"/>
              <w:rPr>
                <w:color w:val="000000"/>
                <w:sz w:val="21"/>
                <w:szCs w:val="21"/>
              </w:rPr>
            </w:pPr>
            <w:r>
              <w:rPr>
                <w:color w:val="000000"/>
                <w:sz w:val="21"/>
                <w:szCs w:val="21"/>
              </w:rPr>
              <w:t>主要用途</w:t>
            </w:r>
          </w:p>
        </w:tc>
        <w:tc>
          <w:tcPr>
            <w:tcW w:w="4188" w:type="pct"/>
            <w:gridSpan w:val="11"/>
            <w:noWrap w:val="0"/>
            <w:vAlign w:val="center"/>
          </w:tcPr>
          <w:p>
            <w:pPr>
              <w:spacing w:line="240" w:lineRule="auto"/>
              <w:ind w:firstLine="0" w:firstLineChars="0"/>
              <w:rPr>
                <w:color w:val="000000"/>
                <w:sz w:val="21"/>
                <w:szCs w:val="21"/>
              </w:rPr>
            </w:pPr>
            <w:r>
              <w:rPr>
                <w:rStyle w:val="292"/>
                <w:rFonts w:hint="default" w:ascii="Times New Roman" w:hAnsi="Times New Roman"/>
                <w:color w:val="000000"/>
                <w:sz w:val="21"/>
                <w:szCs w:val="21"/>
              </w:rPr>
              <w:t>用于化学分析如鉴定金属离子。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noWrap w:val="0"/>
            <w:vAlign w:val="center"/>
          </w:tcPr>
          <w:p>
            <w:pPr>
              <w:spacing w:line="240" w:lineRule="auto"/>
              <w:ind w:firstLine="0" w:firstLineChars="0"/>
              <w:rPr>
                <w:color w:val="000000"/>
                <w:sz w:val="21"/>
                <w:szCs w:val="21"/>
              </w:rPr>
            </w:pPr>
            <w:r>
              <w:rPr>
                <w:color w:val="000000"/>
                <w:sz w:val="21"/>
                <w:szCs w:val="21"/>
              </w:rPr>
              <w:t>侵入途径</w:t>
            </w:r>
          </w:p>
        </w:tc>
        <w:tc>
          <w:tcPr>
            <w:tcW w:w="4188" w:type="pct"/>
            <w:gridSpan w:val="11"/>
            <w:noWrap w:val="0"/>
            <w:vAlign w:val="center"/>
          </w:tcPr>
          <w:p>
            <w:pPr>
              <w:spacing w:line="240" w:lineRule="auto"/>
              <w:ind w:firstLine="0" w:firstLineChars="0"/>
              <w:rPr>
                <w:color w:val="000000"/>
                <w:sz w:val="21"/>
                <w:szCs w:val="21"/>
              </w:rPr>
            </w:pPr>
            <w:r>
              <w:rPr>
                <w:color w:val="000000"/>
                <w:sz w:val="21"/>
                <w:szCs w:val="21"/>
              </w:rPr>
              <w:t>吸入、经皮吸收。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noWrap w:val="0"/>
            <w:vAlign w:val="center"/>
          </w:tcPr>
          <w:p>
            <w:pPr>
              <w:spacing w:line="240" w:lineRule="auto"/>
              <w:ind w:firstLine="0" w:firstLineChars="0"/>
              <w:rPr>
                <w:color w:val="000000"/>
                <w:sz w:val="21"/>
                <w:szCs w:val="21"/>
              </w:rPr>
            </w:pPr>
            <w:r>
              <w:rPr>
                <w:color w:val="000000"/>
                <w:sz w:val="21"/>
                <w:szCs w:val="21"/>
              </w:rPr>
              <w:t>健康危害</w:t>
            </w:r>
          </w:p>
        </w:tc>
        <w:tc>
          <w:tcPr>
            <w:tcW w:w="4188" w:type="pct"/>
            <w:gridSpan w:val="11"/>
            <w:noWrap w:val="0"/>
            <w:vAlign w:val="center"/>
          </w:tcPr>
          <w:p>
            <w:pPr>
              <w:spacing w:line="240" w:lineRule="auto"/>
              <w:ind w:firstLine="0" w:firstLineChars="0"/>
              <w:rPr>
                <w:color w:val="000000"/>
                <w:sz w:val="21"/>
                <w:szCs w:val="21"/>
              </w:rPr>
            </w:pPr>
            <w:r>
              <w:rPr>
                <w:rStyle w:val="292"/>
                <w:rFonts w:hint="default" w:ascii="Times New Roman" w:hAnsi="Times New Roman"/>
                <w:color w:val="000000"/>
                <w:sz w:val="21"/>
                <w:szCs w:val="21"/>
              </w:rPr>
              <w:t>本品是强烈的神经毒物，对粘膜有强烈刺激作用。急性中毒：短期内吸入高浓度硫化氢后出现流泪、眼痛、眼内异物感、畏光、视物模糊、流涕、咽喉部灼热感、咳嗽、胸闷、头痛、头晕、乏力、意识模糊等。部分患者可有心肌损害。重者可出现脑水肿、肺水肿。极高浓度（1000mg/m</w:t>
            </w:r>
            <w:r>
              <w:rPr>
                <w:rStyle w:val="292"/>
                <w:rFonts w:hint="default" w:ascii="Times New Roman" w:hAnsi="Times New Roman"/>
                <w:color w:val="000000"/>
                <w:sz w:val="21"/>
                <w:szCs w:val="21"/>
                <w:vertAlign w:val="superscript"/>
              </w:rPr>
              <w:t>3</w:t>
            </w:r>
            <w:r>
              <w:rPr>
                <w:rStyle w:val="292"/>
                <w:rFonts w:hint="default" w:ascii="Times New Roman" w:hAnsi="Times New Roman"/>
                <w:color w:val="000000"/>
                <w:sz w:val="21"/>
                <w:szCs w:val="21"/>
              </w:rPr>
              <w:t xml:space="preserve"> 以上）时可在数秒钟内突然昏迷，呼吸和心跳骤停，发生闪电型死亡。高浓度接触眼结膜发生水肿和角膜溃疡。长期低浓度接触，引起神经衰弱综合征和植物神经功能紊乱。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noWrap w:val="0"/>
            <w:vAlign w:val="center"/>
          </w:tcPr>
          <w:p>
            <w:pPr>
              <w:spacing w:line="240" w:lineRule="auto"/>
              <w:ind w:firstLine="0" w:firstLineChars="0"/>
              <w:rPr>
                <w:color w:val="000000"/>
                <w:sz w:val="21"/>
                <w:szCs w:val="21"/>
              </w:rPr>
            </w:pPr>
            <w:r>
              <w:rPr>
                <w:color w:val="000000"/>
                <w:sz w:val="21"/>
                <w:szCs w:val="21"/>
              </w:rPr>
              <w:t>毒理学资料</w:t>
            </w:r>
          </w:p>
        </w:tc>
        <w:tc>
          <w:tcPr>
            <w:tcW w:w="4188" w:type="pct"/>
            <w:gridSpan w:val="11"/>
            <w:noWrap w:val="0"/>
            <w:vAlign w:val="center"/>
          </w:tcPr>
          <w:p>
            <w:pPr>
              <w:spacing w:line="240" w:lineRule="auto"/>
              <w:ind w:firstLine="0" w:firstLineChars="0"/>
              <w:rPr>
                <w:rStyle w:val="292"/>
                <w:rFonts w:hint="default" w:ascii="Times New Roman" w:hAnsi="Times New Roman"/>
                <w:color w:val="000000"/>
                <w:sz w:val="21"/>
                <w:szCs w:val="21"/>
              </w:rPr>
            </w:pPr>
            <w:r>
              <w:rPr>
                <w:color w:val="000000"/>
                <w:sz w:val="21"/>
                <w:szCs w:val="21"/>
              </w:rPr>
              <w:t>LD</w:t>
            </w:r>
            <w:r>
              <w:rPr>
                <w:color w:val="000000"/>
                <w:sz w:val="21"/>
                <w:szCs w:val="21"/>
                <w:vertAlign w:val="subscript"/>
              </w:rPr>
              <w:t>50</w:t>
            </w:r>
            <w:r>
              <w:rPr>
                <w:color w:val="000000"/>
                <w:sz w:val="21"/>
                <w:szCs w:val="21"/>
              </w:rPr>
              <w:t>：无资料，LC</w:t>
            </w:r>
            <w:r>
              <w:rPr>
                <w:color w:val="000000"/>
                <w:sz w:val="21"/>
                <w:szCs w:val="21"/>
                <w:vertAlign w:val="subscript"/>
              </w:rPr>
              <w:t>50</w:t>
            </w:r>
            <w:r>
              <w:rPr>
                <w:color w:val="000000"/>
                <w:sz w:val="21"/>
                <w:szCs w:val="21"/>
              </w:rPr>
              <w:t>：</w:t>
            </w:r>
            <w:r>
              <w:rPr>
                <w:rStyle w:val="292"/>
                <w:rFonts w:hint="default" w:ascii="Times New Roman" w:hAnsi="Times New Roman"/>
                <w:color w:val="000000"/>
                <w:sz w:val="21"/>
                <w:szCs w:val="21"/>
              </w:rPr>
              <w:t>618 mg/m</w:t>
            </w:r>
            <w:r>
              <w:rPr>
                <w:rStyle w:val="292"/>
                <w:rFonts w:hint="default" w:ascii="Times New Roman" w:hAnsi="Times New Roman"/>
                <w:color w:val="000000"/>
                <w:sz w:val="21"/>
                <w:szCs w:val="21"/>
                <w:vertAlign w:val="superscript"/>
              </w:rPr>
              <w:t>3</w:t>
            </w:r>
            <w:r>
              <w:rPr>
                <w:rStyle w:val="292"/>
                <w:rFonts w:hint="default" w:ascii="Times New Roman" w:hAnsi="Times New Roman"/>
                <w:color w:val="000000"/>
                <w:sz w:val="21"/>
                <w:szCs w:val="21"/>
              </w:rPr>
              <w:t>（大鼠吸入）。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noWrap w:val="0"/>
            <w:vAlign w:val="center"/>
          </w:tcPr>
          <w:p>
            <w:pPr>
              <w:spacing w:line="240" w:lineRule="auto"/>
              <w:ind w:firstLine="0" w:firstLineChars="0"/>
              <w:rPr>
                <w:color w:val="000000"/>
                <w:sz w:val="21"/>
                <w:szCs w:val="21"/>
              </w:rPr>
            </w:pPr>
            <w:r>
              <w:rPr>
                <w:color w:val="000000"/>
                <w:sz w:val="21"/>
                <w:szCs w:val="21"/>
              </w:rPr>
              <w:t>消防措施</w:t>
            </w:r>
          </w:p>
        </w:tc>
        <w:tc>
          <w:tcPr>
            <w:tcW w:w="4188" w:type="pct"/>
            <w:gridSpan w:val="11"/>
            <w:noWrap w:val="0"/>
            <w:vAlign w:val="center"/>
          </w:tcPr>
          <w:p>
            <w:pPr>
              <w:spacing w:line="240" w:lineRule="auto"/>
              <w:ind w:firstLine="0" w:firstLineChars="0"/>
              <w:rPr>
                <w:color w:val="000000"/>
                <w:sz w:val="21"/>
                <w:szCs w:val="21"/>
              </w:rPr>
            </w:pPr>
            <w:r>
              <w:rPr>
                <w:rStyle w:val="292"/>
                <w:rFonts w:hint="default" w:ascii="Times New Roman" w:hAnsi="Times New Roman"/>
                <w:color w:val="000000"/>
                <w:sz w:val="21"/>
                <w:szCs w:val="21"/>
              </w:rPr>
              <w:t>本品易燃，具强刺激性。</w:t>
            </w:r>
            <w:r>
              <w:rPr>
                <w:color w:val="000000"/>
                <w:sz w:val="21"/>
                <w:szCs w:val="21"/>
              </w:rPr>
              <w:t>危险特性：</w:t>
            </w:r>
            <w:r>
              <w:rPr>
                <w:rStyle w:val="292"/>
                <w:rFonts w:hint="default" w:ascii="Times New Roman" w:hAnsi="Times New Roman"/>
                <w:color w:val="000000"/>
                <w:sz w:val="21"/>
                <w:szCs w:val="21"/>
              </w:rPr>
              <w:t>与空气混合能形成爆炸性混合物，遇明火、高热能引起燃烧爆炸。与浓硝酸、发烟硝酸或其它强氧化剂剧烈反应，发生爆炸。气体比空气重，能在较低处扩散到相当远的地方，遇火源会着火回燃。有害燃烧产物:氧化硫。灭火方法: 消防人员必须穿全身防火防毒服，在上风向灭火。切断气源。若不能切断气源，则不允许熄灭泄漏处的火焰。喷水冷却容器，可能的话将容器从火场移至空旷处。灭火剂：雾状水、抗溶性泡沫、干粉。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vMerge w:val="restart"/>
            <w:noWrap w:val="0"/>
            <w:vAlign w:val="center"/>
          </w:tcPr>
          <w:p>
            <w:pPr>
              <w:spacing w:line="240" w:lineRule="auto"/>
              <w:ind w:firstLine="0" w:firstLineChars="0"/>
              <w:rPr>
                <w:color w:val="000000"/>
                <w:sz w:val="21"/>
                <w:szCs w:val="21"/>
              </w:rPr>
            </w:pPr>
            <w:r>
              <w:rPr>
                <w:color w:val="000000"/>
                <w:sz w:val="21"/>
                <w:szCs w:val="21"/>
              </w:rPr>
              <w:t>稳定性和反应活性</w:t>
            </w:r>
          </w:p>
        </w:tc>
        <w:tc>
          <w:tcPr>
            <w:tcW w:w="872" w:type="pct"/>
            <w:gridSpan w:val="3"/>
            <w:noWrap w:val="0"/>
            <w:vAlign w:val="center"/>
          </w:tcPr>
          <w:p>
            <w:pPr>
              <w:pStyle w:val="190"/>
              <w:spacing w:line="240" w:lineRule="auto"/>
              <w:ind w:firstLine="0" w:firstLineChars="0"/>
              <w:rPr>
                <w:color w:val="000000"/>
                <w:sz w:val="21"/>
                <w:szCs w:val="21"/>
              </w:rPr>
            </w:pPr>
            <w:r>
              <w:rPr>
                <w:color w:val="000000"/>
                <w:sz w:val="21"/>
                <w:szCs w:val="21"/>
              </w:rPr>
              <w:t>稳定性</w:t>
            </w:r>
          </w:p>
        </w:tc>
        <w:tc>
          <w:tcPr>
            <w:tcW w:w="578" w:type="pct"/>
            <w:gridSpan w:val="2"/>
            <w:noWrap w:val="0"/>
            <w:vAlign w:val="center"/>
          </w:tcPr>
          <w:p>
            <w:pPr>
              <w:spacing w:line="240" w:lineRule="auto"/>
              <w:ind w:firstLine="0" w:firstLineChars="0"/>
              <w:rPr>
                <w:color w:val="000000"/>
                <w:sz w:val="21"/>
                <w:szCs w:val="21"/>
              </w:rPr>
            </w:pPr>
            <w:r>
              <w:rPr>
                <w:color w:val="000000"/>
                <w:sz w:val="21"/>
                <w:szCs w:val="21"/>
              </w:rPr>
              <w:t>稳定</w:t>
            </w:r>
          </w:p>
        </w:tc>
        <w:tc>
          <w:tcPr>
            <w:tcW w:w="668" w:type="pct"/>
            <w:gridSpan w:val="3"/>
            <w:noWrap w:val="0"/>
            <w:vAlign w:val="center"/>
          </w:tcPr>
          <w:p>
            <w:pPr>
              <w:spacing w:line="240" w:lineRule="auto"/>
              <w:ind w:firstLine="0" w:firstLineChars="0"/>
              <w:rPr>
                <w:color w:val="000000"/>
                <w:sz w:val="21"/>
                <w:szCs w:val="21"/>
              </w:rPr>
            </w:pPr>
            <w:r>
              <w:rPr>
                <w:color w:val="000000"/>
                <w:sz w:val="21"/>
                <w:szCs w:val="21"/>
              </w:rPr>
              <w:t>聚合危害</w:t>
            </w:r>
          </w:p>
        </w:tc>
        <w:tc>
          <w:tcPr>
            <w:tcW w:w="2068" w:type="pct"/>
            <w:gridSpan w:val="3"/>
            <w:noWrap w:val="0"/>
            <w:vAlign w:val="center"/>
          </w:tcPr>
          <w:p>
            <w:pPr>
              <w:spacing w:line="240" w:lineRule="auto"/>
              <w:ind w:firstLine="0" w:firstLineChars="0"/>
              <w:rPr>
                <w:color w:val="000000"/>
                <w:sz w:val="21"/>
                <w:szCs w:val="21"/>
              </w:rPr>
            </w:pPr>
            <w:r>
              <w:rPr>
                <w:color w:val="000000"/>
                <w:sz w:val="21"/>
                <w:szCs w:val="21"/>
              </w:rPr>
              <w:t>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vMerge w:val="continue"/>
            <w:noWrap w:val="0"/>
            <w:vAlign w:val="center"/>
          </w:tcPr>
          <w:p>
            <w:pPr>
              <w:spacing w:line="240" w:lineRule="auto"/>
              <w:ind w:firstLine="0" w:firstLineChars="0"/>
              <w:rPr>
                <w:color w:val="000000"/>
                <w:sz w:val="21"/>
                <w:szCs w:val="21"/>
              </w:rPr>
            </w:pPr>
          </w:p>
        </w:tc>
        <w:tc>
          <w:tcPr>
            <w:tcW w:w="872" w:type="pct"/>
            <w:gridSpan w:val="3"/>
            <w:noWrap w:val="0"/>
            <w:vAlign w:val="center"/>
          </w:tcPr>
          <w:p>
            <w:pPr>
              <w:spacing w:line="240" w:lineRule="auto"/>
              <w:ind w:firstLine="0" w:firstLineChars="0"/>
              <w:rPr>
                <w:color w:val="000000"/>
                <w:sz w:val="21"/>
                <w:szCs w:val="21"/>
              </w:rPr>
            </w:pPr>
            <w:r>
              <w:rPr>
                <w:color w:val="000000"/>
                <w:sz w:val="21"/>
                <w:szCs w:val="21"/>
              </w:rPr>
              <w:t>避免接触条件</w:t>
            </w:r>
          </w:p>
        </w:tc>
        <w:tc>
          <w:tcPr>
            <w:tcW w:w="578" w:type="pct"/>
            <w:gridSpan w:val="2"/>
            <w:noWrap w:val="0"/>
            <w:vAlign w:val="center"/>
          </w:tcPr>
          <w:p>
            <w:pPr>
              <w:spacing w:line="240" w:lineRule="auto"/>
              <w:ind w:firstLine="0" w:firstLineChars="0"/>
              <w:rPr>
                <w:color w:val="000000"/>
                <w:sz w:val="21"/>
                <w:szCs w:val="21"/>
              </w:rPr>
            </w:pPr>
            <w:r>
              <w:rPr>
                <w:color w:val="000000"/>
                <w:sz w:val="21"/>
                <w:szCs w:val="21"/>
              </w:rPr>
              <w:t>——</w:t>
            </w:r>
          </w:p>
        </w:tc>
        <w:tc>
          <w:tcPr>
            <w:tcW w:w="668" w:type="pct"/>
            <w:gridSpan w:val="3"/>
            <w:noWrap w:val="0"/>
            <w:vAlign w:val="center"/>
          </w:tcPr>
          <w:p>
            <w:pPr>
              <w:spacing w:line="240" w:lineRule="auto"/>
              <w:ind w:firstLine="0" w:firstLineChars="0"/>
              <w:rPr>
                <w:color w:val="000000"/>
                <w:sz w:val="21"/>
                <w:szCs w:val="21"/>
              </w:rPr>
            </w:pPr>
            <w:r>
              <w:rPr>
                <w:color w:val="000000"/>
                <w:sz w:val="21"/>
                <w:szCs w:val="21"/>
              </w:rPr>
              <w:t>禁配物</w:t>
            </w:r>
          </w:p>
        </w:tc>
        <w:tc>
          <w:tcPr>
            <w:tcW w:w="2068" w:type="pct"/>
            <w:gridSpan w:val="3"/>
            <w:noWrap w:val="0"/>
            <w:vAlign w:val="center"/>
          </w:tcPr>
          <w:p>
            <w:pPr>
              <w:spacing w:line="240" w:lineRule="auto"/>
              <w:ind w:firstLine="0" w:firstLineChars="0"/>
              <w:rPr>
                <w:color w:val="000000"/>
                <w:sz w:val="21"/>
                <w:szCs w:val="21"/>
              </w:rPr>
            </w:pPr>
            <w:r>
              <w:rPr>
                <w:color w:val="000000"/>
                <w:sz w:val="21"/>
                <w:szCs w:val="21"/>
              </w:rPr>
              <w:t>强氧化剂、碱类。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noWrap w:val="0"/>
            <w:vAlign w:val="center"/>
          </w:tcPr>
          <w:p>
            <w:pPr>
              <w:spacing w:line="240" w:lineRule="auto"/>
              <w:ind w:firstLine="0" w:firstLineChars="0"/>
              <w:rPr>
                <w:color w:val="000000"/>
                <w:sz w:val="21"/>
                <w:szCs w:val="21"/>
              </w:rPr>
            </w:pPr>
            <w:r>
              <w:rPr>
                <w:color w:val="000000"/>
                <w:sz w:val="21"/>
                <w:szCs w:val="21"/>
              </w:rPr>
              <w:t>操作处置注意事项</w:t>
            </w:r>
          </w:p>
        </w:tc>
        <w:tc>
          <w:tcPr>
            <w:tcW w:w="4188" w:type="pct"/>
            <w:gridSpan w:val="11"/>
            <w:noWrap w:val="0"/>
            <w:vAlign w:val="center"/>
          </w:tcPr>
          <w:p>
            <w:pPr>
              <w:spacing w:line="240" w:lineRule="auto"/>
              <w:ind w:firstLine="0" w:firstLineChars="0"/>
              <w:rPr>
                <w:color w:val="000000"/>
                <w:sz w:val="21"/>
                <w:szCs w:val="21"/>
              </w:rPr>
            </w:pPr>
            <w:r>
              <w:rPr>
                <w:rStyle w:val="292"/>
                <w:rFonts w:hint="default" w:ascii="Times New Roman" w:hAnsi="Times New Roman"/>
                <w:color w:val="000000"/>
                <w:sz w:val="21"/>
                <w:szCs w:val="21"/>
              </w:rPr>
              <w:t>严加密闭，提供充分的局部排风和全面通风。操作人员必须经过专门培训，严格遵守操作规程。建议操作人员佩戴过滤式防毒面具（半面罩），戴化学安全防护眼镜，穿防静电工作服，戴防化学品手套。远离火种、热源，工作场所严禁吸烟。使用防爆型的通风系统和设备。防止气体泄漏到工作场所空气中。避免与氧化剂、碱类接触。在传送过程中，钢瓶和容器必须接地和跨接，防止产生静电。搬运时轻装轻卸，防止钢瓶及附件破损。配备相应品种和数量的消防器材及泄漏应急处理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noWrap w:val="0"/>
            <w:vAlign w:val="center"/>
          </w:tcPr>
          <w:p>
            <w:pPr>
              <w:spacing w:line="240" w:lineRule="auto"/>
              <w:ind w:firstLine="0" w:firstLineChars="0"/>
              <w:rPr>
                <w:color w:val="000000"/>
                <w:sz w:val="21"/>
                <w:szCs w:val="21"/>
              </w:rPr>
            </w:pPr>
            <w:r>
              <w:rPr>
                <w:color w:val="000000"/>
                <w:sz w:val="21"/>
                <w:szCs w:val="21"/>
              </w:rPr>
              <w:t>储存注意事项</w:t>
            </w:r>
          </w:p>
        </w:tc>
        <w:tc>
          <w:tcPr>
            <w:tcW w:w="4188" w:type="pct"/>
            <w:gridSpan w:val="11"/>
            <w:noWrap w:val="0"/>
            <w:vAlign w:val="center"/>
          </w:tcPr>
          <w:p>
            <w:pPr>
              <w:spacing w:line="240" w:lineRule="auto"/>
              <w:ind w:firstLine="0" w:firstLineChars="0"/>
              <w:rPr>
                <w:color w:val="000000"/>
                <w:sz w:val="21"/>
                <w:szCs w:val="21"/>
              </w:rPr>
            </w:pPr>
            <w:r>
              <w:rPr>
                <w:rStyle w:val="292"/>
                <w:rFonts w:hint="default" w:ascii="Times New Roman" w:hAnsi="Times New Roman"/>
                <w:color w:val="000000"/>
                <w:sz w:val="21"/>
                <w:szCs w:val="21"/>
              </w:rPr>
              <w:t>储存于阴凉、通风的库房。远离火种、热源。库温不宜超过30</w:t>
            </w:r>
            <w:r>
              <w:rPr>
                <w:rStyle w:val="292"/>
                <w:rFonts w:hint="default" w:ascii="Times New Roman" w:hAnsi="Times New Roman" w:cs="宋体"/>
                <w:color w:val="000000"/>
                <w:sz w:val="21"/>
                <w:szCs w:val="21"/>
              </w:rPr>
              <w:t>℃</w:t>
            </w:r>
            <w:r>
              <w:rPr>
                <w:rStyle w:val="292"/>
                <w:rFonts w:hint="default" w:ascii="Times New Roman" w:hAnsi="Times New Roman"/>
                <w:color w:val="000000"/>
                <w:sz w:val="21"/>
                <w:szCs w:val="21"/>
              </w:rPr>
              <w:t>。保持容器密封。应与氧化剂、碱类分开存放，切忌混储。采用防爆型照明、通风设施。禁止使用易产生火花的机械设备和工具。储区应备有泄漏应急处理设备。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noWrap w:val="0"/>
            <w:vAlign w:val="center"/>
          </w:tcPr>
          <w:p>
            <w:pPr>
              <w:spacing w:line="240" w:lineRule="auto"/>
              <w:ind w:firstLine="0" w:firstLineChars="0"/>
              <w:rPr>
                <w:color w:val="000000"/>
                <w:sz w:val="21"/>
                <w:szCs w:val="21"/>
              </w:rPr>
            </w:pPr>
            <w:r>
              <w:rPr>
                <w:color w:val="000000"/>
                <w:sz w:val="21"/>
                <w:szCs w:val="21"/>
              </w:rPr>
              <w:t>运输注意事项</w:t>
            </w:r>
          </w:p>
        </w:tc>
        <w:tc>
          <w:tcPr>
            <w:tcW w:w="4188" w:type="pct"/>
            <w:gridSpan w:val="11"/>
            <w:noWrap w:val="0"/>
            <w:vAlign w:val="center"/>
          </w:tcPr>
          <w:p>
            <w:pPr>
              <w:pStyle w:val="190"/>
              <w:spacing w:line="240" w:lineRule="auto"/>
              <w:ind w:firstLine="0" w:firstLineChars="0"/>
              <w:rPr>
                <w:color w:val="000000"/>
                <w:sz w:val="21"/>
                <w:szCs w:val="21"/>
              </w:rPr>
            </w:pPr>
            <w:r>
              <w:rPr>
                <w:rStyle w:val="292"/>
                <w:rFonts w:hint="default" w:ascii="Times New Roman" w:hAnsi="Times New Roman"/>
                <w:color w:val="000000"/>
                <w:sz w:val="21"/>
                <w:szCs w:val="21"/>
              </w:rPr>
              <w:t>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noWrap w:val="0"/>
            <w:vAlign w:val="center"/>
          </w:tcPr>
          <w:p>
            <w:pPr>
              <w:spacing w:line="240" w:lineRule="auto"/>
              <w:ind w:firstLine="0" w:firstLineChars="0"/>
              <w:rPr>
                <w:color w:val="000000"/>
                <w:sz w:val="21"/>
                <w:szCs w:val="21"/>
              </w:rPr>
            </w:pPr>
            <w:r>
              <w:rPr>
                <w:color w:val="000000"/>
                <w:sz w:val="21"/>
                <w:szCs w:val="21"/>
              </w:rPr>
              <w:t>急救措施</w:t>
            </w:r>
          </w:p>
        </w:tc>
        <w:tc>
          <w:tcPr>
            <w:tcW w:w="4188" w:type="pct"/>
            <w:gridSpan w:val="11"/>
            <w:noWrap w:val="0"/>
            <w:vAlign w:val="center"/>
          </w:tcPr>
          <w:p>
            <w:pPr>
              <w:spacing w:line="240" w:lineRule="auto"/>
              <w:ind w:firstLine="0" w:firstLineChars="0"/>
              <w:rPr>
                <w:color w:val="000000"/>
                <w:sz w:val="21"/>
                <w:szCs w:val="21"/>
              </w:rPr>
            </w:pPr>
            <w:r>
              <w:rPr>
                <w:color w:val="000000"/>
                <w:sz w:val="21"/>
                <w:szCs w:val="21"/>
              </w:rPr>
              <w:t>眼睛接触：立即翻开上下眼睑，用大量流动清水或生理盐水彻底冲洗至少15分钟。就医。吸入：迅速脱离现场至空气新鲜处，保持呼吸道通畅，呼吸困难时给输氧。呼吸停止时，立即进行人工呼吸。就医。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noWrap w:val="0"/>
            <w:vAlign w:val="center"/>
          </w:tcPr>
          <w:p>
            <w:pPr>
              <w:spacing w:line="240" w:lineRule="auto"/>
              <w:ind w:firstLine="0" w:firstLineChars="0"/>
              <w:rPr>
                <w:color w:val="000000"/>
                <w:sz w:val="21"/>
                <w:szCs w:val="21"/>
              </w:rPr>
            </w:pPr>
            <w:r>
              <w:rPr>
                <w:color w:val="000000"/>
                <w:sz w:val="21"/>
                <w:szCs w:val="21"/>
              </w:rPr>
              <w:t>泄漏应急处理及废弃处置</w:t>
            </w:r>
          </w:p>
        </w:tc>
        <w:tc>
          <w:tcPr>
            <w:tcW w:w="4188" w:type="pct"/>
            <w:gridSpan w:val="11"/>
            <w:noWrap w:val="0"/>
            <w:vAlign w:val="center"/>
          </w:tcPr>
          <w:p>
            <w:pPr>
              <w:spacing w:line="240" w:lineRule="auto"/>
              <w:ind w:firstLine="0" w:firstLineChars="0"/>
              <w:rPr>
                <w:rStyle w:val="292"/>
                <w:rFonts w:hint="default" w:ascii="Times New Roman" w:hAnsi="Times New Roman"/>
                <w:color w:val="000000"/>
                <w:sz w:val="21"/>
                <w:szCs w:val="21"/>
              </w:rPr>
            </w:pPr>
            <w:r>
              <w:rPr>
                <w:rStyle w:val="292"/>
                <w:rFonts w:hint="default" w:ascii="Times New Roman" w:hAnsi="Times New Roman"/>
                <w:color w:val="000000"/>
                <w:sz w:val="21"/>
                <w:szCs w:val="21"/>
              </w:rPr>
              <w:t>迅速撤离泄漏污染区人员至上风处，并立即进行隔离，小泄漏时隔离150m，大泄漏时隔离300m，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p>
            <w:pPr>
              <w:spacing w:line="240" w:lineRule="auto"/>
              <w:ind w:firstLine="0" w:firstLineChars="0"/>
              <w:rPr>
                <w:color w:val="000000"/>
                <w:sz w:val="21"/>
                <w:szCs w:val="21"/>
              </w:rPr>
            </w:pPr>
            <w:r>
              <w:rPr>
                <w:rStyle w:val="292"/>
                <w:rFonts w:hint="default" w:ascii="Times New Roman" w:hAnsi="Times New Roman"/>
                <w:color w:val="000000"/>
                <w:sz w:val="21"/>
                <w:szCs w:val="21"/>
              </w:rPr>
              <w:t>废弃处置方法：用焚烧法处置。焚烧炉排出的硫氧化物通过洗涤器除去。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vMerge w:val="restart"/>
            <w:noWrap w:val="0"/>
            <w:vAlign w:val="center"/>
          </w:tcPr>
          <w:p>
            <w:pPr>
              <w:spacing w:line="240" w:lineRule="auto"/>
              <w:ind w:firstLine="0" w:firstLineChars="0"/>
              <w:rPr>
                <w:color w:val="000000"/>
                <w:sz w:val="21"/>
                <w:szCs w:val="21"/>
              </w:rPr>
            </w:pPr>
            <w:r>
              <w:rPr>
                <w:color w:val="000000"/>
                <w:sz w:val="21"/>
                <w:szCs w:val="21"/>
              </w:rPr>
              <w:t>个体防护</w:t>
            </w:r>
          </w:p>
        </w:tc>
        <w:tc>
          <w:tcPr>
            <w:tcW w:w="750" w:type="pct"/>
            <w:noWrap w:val="0"/>
            <w:vAlign w:val="center"/>
          </w:tcPr>
          <w:p>
            <w:pPr>
              <w:spacing w:line="240" w:lineRule="auto"/>
              <w:ind w:firstLine="0" w:firstLineChars="0"/>
              <w:rPr>
                <w:color w:val="000000"/>
                <w:sz w:val="21"/>
                <w:szCs w:val="21"/>
              </w:rPr>
            </w:pPr>
            <w:r>
              <w:rPr>
                <w:color w:val="000000"/>
                <w:sz w:val="21"/>
                <w:szCs w:val="21"/>
              </w:rPr>
              <w:t>工程控制</w:t>
            </w:r>
          </w:p>
        </w:tc>
        <w:tc>
          <w:tcPr>
            <w:tcW w:w="1175" w:type="pct"/>
            <w:gridSpan w:val="5"/>
            <w:noWrap w:val="0"/>
            <w:vAlign w:val="center"/>
          </w:tcPr>
          <w:p>
            <w:pPr>
              <w:spacing w:line="240" w:lineRule="auto"/>
              <w:ind w:firstLine="0" w:firstLineChars="0"/>
              <w:rPr>
                <w:color w:val="000000"/>
                <w:sz w:val="21"/>
                <w:szCs w:val="21"/>
              </w:rPr>
            </w:pPr>
            <w:r>
              <w:rPr>
                <w:rStyle w:val="292"/>
                <w:rFonts w:hint="default" w:ascii="Times New Roman" w:hAnsi="Times New Roman"/>
                <w:color w:val="000000"/>
                <w:sz w:val="21"/>
                <w:szCs w:val="21"/>
              </w:rPr>
              <w:t>严加密闭，提供充分的局部排风和全面通风。提供安全淋浴和洗眼设备。</w:t>
            </w:r>
            <w:r>
              <w:rPr>
                <w:color w:val="000000"/>
                <w:sz w:val="21"/>
                <w:szCs w:val="21"/>
              </w:rPr>
              <w:t xml:space="preserve"> </w:t>
            </w:r>
          </w:p>
        </w:tc>
        <w:tc>
          <w:tcPr>
            <w:tcW w:w="670" w:type="pct"/>
            <w:gridSpan w:val="3"/>
            <w:noWrap w:val="0"/>
            <w:vAlign w:val="center"/>
          </w:tcPr>
          <w:p>
            <w:pPr>
              <w:spacing w:line="240" w:lineRule="auto"/>
              <w:ind w:firstLine="0" w:firstLineChars="0"/>
              <w:rPr>
                <w:color w:val="000000"/>
                <w:sz w:val="21"/>
                <w:szCs w:val="21"/>
              </w:rPr>
            </w:pPr>
            <w:r>
              <w:rPr>
                <w:color w:val="000000"/>
                <w:sz w:val="21"/>
                <w:szCs w:val="21"/>
              </w:rPr>
              <w:t>呼吸系统防护</w:t>
            </w:r>
          </w:p>
        </w:tc>
        <w:tc>
          <w:tcPr>
            <w:tcW w:w="1591" w:type="pct"/>
            <w:gridSpan w:val="2"/>
            <w:noWrap w:val="0"/>
            <w:vAlign w:val="center"/>
          </w:tcPr>
          <w:p>
            <w:pPr>
              <w:spacing w:line="240" w:lineRule="auto"/>
              <w:ind w:firstLine="0" w:firstLineChars="0"/>
              <w:rPr>
                <w:color w:val="000000"/>
                <w:sz w:val="21"/>
                <w:szCs w:val="21"/>
              </w:rPr>
            </w:pPr>
            <w:r>
              <w:rPr>
                <w:rStyle w:val="292"/>
                <w:rFonts w:hint="default" w:ascii="Times New Roman" w:hAnsi="Times New Roman"/>
                <w:color w:val="000000"/>
                <w:sz w:val="21"/>
                <w:szCs w:val="21"/>
              </w:rPr>
              <w:t>空气中浓度超标时，佩戴过滤式防毒面具（半面罩）。紧急事态抢救或撤离时，建议佩戴氧气呼吸器或空气呼吸器。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vMerge w:val="continue"/>
            <w:noWrap w:val="0"/>
            <w:vAlign w:val="center"/>
          </w:tcPr>
          <w:p>
            <w:pPr>
              <w:spacing w:line="240" w:lineRule="auto"/>
              <w:ind w:firstLine="0" w:firstLineChars="0"/>
              <w:rPr>
                <w:color w:val="000000"/>
                <w:sz w:val="21"/>
                <w:szCs w:val="21"/>
              </w:rPr>
            </w:pPr>
          </w:p>
        </w:tc>
        <w:tc>
          <w:tcPr>
            <w:tcW w:w="750" w:type="pct"/>
            <w:noWrap w:val="0"/>
            <w:vAlign w:val="center"/>
          </w:tcPr>
          <w:p>
            <w:pPr>
              <w:spacing w:line="240" w:lineRule="auto"/>
              <w:ind w:firstLine="0" w:firstLineChars="0"/>
              <w:rPr>
                <w:color w:val="000000"/>
                <w:sz w:val="21"/>
                <w:szCs w:val="21"/>
              </w:rPr>
            </w:pPr>
            <w:r>
              <w:rPr>
                <w:color w:val="000000"/>
                <w:sz w:val="21"/>
                <w:szCs w:val="21"/>
              </w:rPr>
              <w:t>眼睛防护</w:t>
            </w:r>
          </w:p>
        </w:tc>
        <w:tc>
          <w:tcPr>
            <w:tcW w:w="1175" w:type="pct"/>
            <w:gridSpan w:val="5"/>
            <w:noWrap w:val="0"/>
            <w:vAlign w:val="center"/>
          </w:tcPr>
          <w:p>
            <w:pPr>
              <w:spacing w:line="240" w:lineRule="auto"/>
              <w:ind w:firstLine="0" w:firstLineChars="0"/>
              <w:rPr>
                <w:color w:val="000000"/>
                <w:sz w:val="21"/>
                <w:szCs w:val="21"/>
              </w:rPr>
            </w:pPr>
            <w:r>
              <w:rPr>
                <w:color w:val="000000"/>
                <w:sz w:val="21"/>
                <w:szCs w:val="21"/>
              </w:rPr>
              <w:t>戴化学安全防护眼镜。</w:t>
            </w:r>
          </w:p>
        </w:tc>
        <w:tc>
          <w:tcPr>
            <w:tcW w:w="670" w:type="pct"/>
            <w:gridSpan w:val="3"/>
            <w:noWrap w:val="0"/>
            <w:vAlign w:val="center"/>
          </w:tcPr>
          <w:p>
            <w:pPr>
              <w:spacing w:line="240" w:lineRule="auto"/>
              <w:ind w:firstLine="0" w:firstLineChars="0"/>
              <w:rPr>
                <w:color w:val="000000"/>
                <w:sz w:val="21"/>
                <w:szCs w:val="21"/>
              </w:rPr>
            </w:pPr>
            <w:r>
              <w:rPr>
                <w:color w:val="000000"/>
                <w:sz w:val="21"/>
                <w:szCs w:val="21"/>
              </w:rPr>
              <w:t>身体防护</w:t>
            </w:r>
          </w:p>
        </w:tc>
        <w:tc>
          <w:tcPr>
            <w:tcW w:w="1591" w:type="pct"/>
            <w:gridSpan w:val="2"/>
            <w:noWrap w:val="0"/>
            <w:vAlign w:val="center"/>
          </w:tcPr>
          <w:p>
            <w:pPr>
              <w:spacing w:line="240" w:lineRule="auto"/>
              <w:ind w:firstLine="0" w:firstLineChars="0"/>
              <w:rPr>
                <w:color w:val="000000"/>
                <w:sz w:val="21"/>
                <w:szCs w:val="21"/>
              </w:rPr>
            </w:pPr>
            <w:r>
              <w:rPr>
                <w:color w:val="000000"/>
                <w:sz w:val="21"/>
                <w:szCs w:val="21"/>
              </w:rPr>
              <w:t>穿防静电工作服。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vMerge w:val="continue"/>
            <w:noWrap w:val="0"/>
            <w:vAlign w:val="center"/>
          </w:tcPr>
          <w:p>
            <w:pPr>
              <w:spacing w:line="240" w:lineRule="auto"/>
              <w:ind w:firstLine="0" w:firstLineChars="0"/>
              <w:rPr>
                <w:color w:val="000000"/>
                <w:sz w:val="21"/>
                <w:szCs w:val="21"/>
              </w:rPr>
            </w:pPr>
          </w:p>
        </w:tc>
        <w:tc>
          <w:tcPr>
            <w:tcW w:w="750" w:type="pct"/>
            <w:noWrap w:val="0"/>
            <w:vAlign w:val="center"/>
          </w:tcPr>
          <w:p>
            <w:pPr>
              <w:spacing w:line="240" w:lineRule="auto"/>
              <w:ind w:firstLine="0" w:firstLineChars="0"/>
              <w:rPr>
                <w:color w:val="000000"/>
                <w:sz w:val="21"/>
                <w:szCs w:val="21"/>
              </w:rPr>
            </w:pPr>
            <w:r>
              <w:rPr>
                <w:color w:val="000000"/>
                <w:sz w:val="21"/>
                <w:szCs w:val="21"/>
              </w:rPr>
              <w:t>手防护</w:t>
            </w:r>
          </w:p>
        </w:tc>
        <w:tc>
          <w:tcPr>
            <w:tcW w:w="1175" w:type="pct"/>
            <w:gridSpan w:val="5"/>
            <w:noWrap w:val="0"/>
            <w:vAlign w:val="center"/>
          </w:tcPr>
          <w:p>
            <w:pPr>
              <w:spacing w:line="240" w:lineRule="auto"/>
              <w:ind w:firstLine="0" w:firstLineChars="0"/>
              <w:rPr>
                <w:color w:val="000000"/>
                <w:sz w:val="21"/>
                <w:szCs w:val="21"/>
              </w:rPr>
            </w:pPr>
            <w:r>
              <w:rPr>
                <w:color w:val="000000"/>
                <w:sz w:val="21"/>
                <w:szCs w:val="21"/>
              </w:rPr>
              <w:t>戴防化学品手套。</w:t>
            </w:r>
          </w:p>
        </w:tc>
        <w:tc>
          <w:tcPr>
            <w:tcW w:w="670" w:type="pct"/>
            <w:gridSpan w:val="3"/>
            <w:vMerge w:val="restart"/>
            <w:noWrap w:val="0"/>
            <w:vAlign w:val="center"/>
          </w:tcPr>
          <w:p>
            <w:pPr>
              <w:spacing w:line="240" w:lineRule="auto"/>
              <w:ind w:firstLine="0" w:firstLineChars="0"/>
              <w:rPr>
                <w:color w:val="000000"/>
                <w:sz w:val="21"/>
                <w:szCs w:val="21"/>
              </w:rPr>
            </w:pPr>
            <w:r>
              <w:rPr>
                <w:color w:val="000000"/>
                <w:sz w:val="21"/>
                <w:szCs w:val="21"/>
              </w:rPr>
              <w:t>其他防护</w:t>
            </w:r>
          </w:p>
        </w:tc>
        <w:tc>
          <w:tcPr>
            <w:tcW w:w="1591" w:type="pct"/>
            <w:gridSpan w:val="2"/>
            <w:vMerge w:val="restart"/>
            <w:noWrap w:val="0"/>
            <w:vAlign w:val="center"/>
          </w:tcPr>
          <w:p>
            <w:pPr>
              <w:spacing w:line="240" w:lineRule="auto"/>
              <w:ind w:firstLine="0" w:firstLineChars="0"/>
              <w:rPr>
                <w:color w:val="000000"/>
                <w:sz w:val="21"/>
                <w:szCs w:val="21"/>
              </w:rPr>
            </w:pPr>
            <w:r>
              <w:rPr>
                <w:rStyle w:val="292"/>
                <w:rFonts w:hint="default" w:ascii="Times New Roman" w:hAnsi="Times New Roman"/>
                <w:color w:val="000000"/>
                <w:sz w:val="21"/>
                <w:szCs w:val="21"/>
              </w:rPr>
              <w:t>工作现场禁止吸烟、进食和饮水。及时换洗工作服。作业人员应学会自救互救。进入罐、限制性空间或其它高浓度区作业，须有人监护。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1" w:type="pct"/>
            <w:vMerge w:val="continue"/>
            <w:noWrap w:val="0"/>
            <w:vAlign w:val="center"/>
          </w:tcPr>
          <w:p>
            <w:pPr>
              <w:spacing w:line="240" w:lineRule="auto"/>
              <w:ind w:firstLine="0" w:firstLineChars="0"/>
              <w:rPr>
                <w:color w:val="000000"/>
                <w:sz w:val="21"/>
                <w:szCs w:val="21"/>
              </w:rPr>
            </w:pPr>
          </w:p>
        </w:tc>
        <w:tc>
          <w:tcPr>
            <w:tcW w:w="750" w:type="pct"/>
            <w:noWrap w:val="0"/>
            <w:vAlign w:val="center"/>
          </w:tcPr>
          <w:p>
            <w:pPr>
              <w:spacing w:line="240" w:lineRule="auto"/>
              <w:ind w:firstLine="0" w:firstLineChars="0"/>
              <w:rPr>
                <w:color w:val="000000"/>
                <w:sz w:val="21"/>
                <w:szCs w:val="21"/>
              </w:rPr>
            </w:pPr>
            <w:r>
              <w:rPr>
                <w:rStyle w:val="292"/>
                <w:rFonts w:hint="default" w:ascii="Times New Roman" w:hAnsi="Times New Roman"/>
                <w:color w:val="000000"/>
                <w:sz w:val="21"/>
                <w:szCs w:val="21"/>
              </w:rPr>
              <w:t>最高容许浓度</w:t>
            </w:r>
          </w:p>
        </w:tc>
        <w:tc>
          <w:tcPr>
            <w:tcW w:w="1175" w:type="pct"/>
            <w:gridSpan w:val="5"/>
            <w:noWrap w:val="0"/>
            <w:vAlign w:val="center"/>
          </w:tcPr>
          <w:p>
            <w:pPr>
              <w:spacing w:line="240" w:lineRule="auto"/>
              <w:ind w:firstLine="0" w:firstLineChars="0"/>
              <w:rPr>
                <w:color w:val="000000"/>
                <w:sz w:val="21"/>
                <w:szCs w:val="21"/>
              </w:rPr>
            </w:pPr>
            <w:r>
              <w:rPr>
                <w:rStyle w:val="292"/>
                <w:rFonts w:hint="default" w:ascii="Times New Roman" w:hAnsi="Times New Roman"/>
                <w:color w:val="000000"/>
                <w:sz w:val="21"/>
                <w:szCs w:val="21"/>
              </w:rPr>
              <w:t>中国MAC：10 mg/m</w:t>
            </w:r>
            <w:r>
              <w:rPr>
                <w:rStyle w:val="292"/>
                <w:rFonts w:hint="default" w:ascii="Times New Roman" w:hAnsi="Times New Roman"/>
                <w:color w:val="000000"/>
                <w:sz w:val="21"/>
                <w:szCs w:val="21"/>
                <w:vertAlign w:val="superscript"/>
              </w:rPr>
              <w:t>3</w:t>
            </w:r>
          </w:p>
        </w:tc>
        <w:tc>
          <w:tcPr>
            <w:tcW w:w="670" w:type="pct"/>
            <w:gridSpan w:val="3"/>
            <w:vMerge w:val="continue"/>
            <w:noWrap w:val="0"/>
            <w:vAlign w:val="center"/>
          </w:tcPr>
          <w:p>
            <w:pPr>
              <w:spacing w:line="240" w:lineRule="auto"/>
              <w:ind w:firstLine="0" w:firstLineChars="0"/>
              <w:rPr>
                <w:color w:val="000000"/>
                <w:sz w:val="21"/>
                <w:szCs w:val="21"/>
              </w:rPr>
            </w:pPr>
          </w:p>
        </w:tc>
        <w:tc>
          <w:tcPr>
            <w:tcW w:w="1591" w:type="pct"/>
            <w:gridSpan w:val="2"/>
            <w:vMerge w:val="continue"/>
            <w:noWrap w:val="0"/>
            <w:vAlign w:val="center"/>
          </w:tcPr>
          <w:p>
            <w:pPr>
              <w:spacing w:line="240" w:lineRule="auto"/>
              <w:ind w:firstLine="0" w:firstLineChars="0"/>
              <w:rPr>
                <w:rStyle w:val="292"/>
                <w:rFonts w:hint="default" w:ascii="Times New Roman" w:hAnsi="Times New Roman"/>
                <w:color w:val="000000"/>
                <w:sz w:val="21"/>
                <w:szCs w:val="21"/>
              </w:rPr>
            </w:pPr>
          </w:p>
        </w:tc>
      </w:tr>
    </w:tbl>
    <w:p>
      <w:pPr>
        <w:pStyle w:val="5"/>
        <w:keepNext/>
        <w:keepLines/>
        <w:pageBreakBefore w:val="0"/>
        <w:widowControl w:val="0"/>
        <w:kinsoku/>
        <w:wordWrap/>
        <w:overflowPunct/>
        <w:topLinePunct w:val="0"/>
        <w:autoSpaceDE/>
        <w:autoSpaceDN/>
        <w:bidi w:val="0"/>
        <w:adjustRightInd w:val="0"/>
        <w:snapToGrid w:val="0"/>
        <w:spacing w:before="157" w:beforeLines="50"/>
        <w:textAlignment w:val="auto"/>
      </w:pPr>
      <w:r>
        <w:rPr>
          <w:b w:val="0"/>
          <w:bCs w:val="0"/>
        </w:rPr>
        <w:t>3.1.4</w:t>
      </w:r>
      <w:r>
        <w:t xml:space="preserve"> </w:t>
      </w:r>
      <w:r>
        <w:rPr>
          <w:rFonts w:hint="eastAsia"/>
        </w:rPr>
        <w:t xml:space="preserve"> </w:t>
      </w:r>
      <w:r>
        <w:rPr>
          <w:rFonts w:hint="eastAsia" w:ascii="黑体" w:hAnsi="黑体" w:eastAsia="黑体" w:cs="黑体"/>
          <w:b w:val="0"/>
          <w:bCs w:val="0"/>
        </w:rPr>
        <w:t>钻井液</w:t>
      </w:r>
    </w:p>
    <w:p>
      <w:pPr>
        <w:ind w:firstLine="560"/>
        <w:rPr>
          <w:snapToGrid w:val="0"/>
          <w:kern w:val="0"/>
        </w:rPr>
      </w:pPr>
      <w:r>
        <w:rPr>
          <w:snapToGrid w:val="0"/>
          <w:kern w:val="0"/>
        </w:rPr>
        <w:t>钻井液是用于钻井工艺中的一种循环液体。其主要功能是净化井底，携带岩屑，增加井壁的稳定性和防止井下发生卡、塌、漏、喷等问题。</w:t>
      </w:r>
    </w:p>
    <w:p>
      <w:pPr>
        <w:ind w:firstLine="560"/>
        <w:rPr>
          <w:snapToGrid w:val="0"/>
          <w:kern w:val="0"/>
        </w:rPr>
      </w:pPr>
      <w:r>
        <w:rPr>
          <w:snapToGrid w:val="0"/>
          <w:kern w:val="0"/>
        </w:rPr>
        <w:t>钻井液主要由水、粘土、化学处理剂和加重剂等物质混合而成。具有一定的密度、粘度、切力、失水、泥饼、固相含量、PH值等性能指标要求，以满足安全、优质、快捷钻井的需要。钻井液的PH值较高，易对人的皮肤造成烧伤。化学处理剂大多是粉状的，加入过程中有粉尘污染，对人体呼吸道和肺部造成损害。含有的杀菌剂有强烈的杀生作用，对人或哺乳动物，特别是水生动物（鱼类）都有很大的毒性。可以引起急性和慢性中毒。</w:t>
      </w:r>
    </w:p>
    <w:p>
      <w:pPr>
        <w:ind w:firstLine="560"/>
        <w:rPr>
          <w:snapToGrid w:val="0"/>
          <w:kern w:val="0"/>
        </w:rPr>
      </w:pPr>
      <w:r>
        <w:rPr>
          <w:snapToGrid w:val="0"/>
          <w:kern w:val="0"/>
        </w:rPr>
        <w:t>预防措施：在操作时应</w:t>
      </w:r>
      <w:r>
        <w:rPr>
          <w:rFonts w:hint="eastAsia"/>
          <w:snapToGrid w:val="0"/>
          <w:kern w:val="0"/>
          <w:lang w:val="en-US" w:eastAsia="zh-CN"/>
        </w:rPr>
        <w:t>穿戴劳动防护用品</w:t>
      </w:r>
      <w:r>
        <w:rPr>
          <w:snapToGrid w:val="0"/>
          <w:kern w:val="0"/>
        </w:rPr>
        <w:t>。眼睛、皮肤或衣服</w:t>
      </w:r>
      <w:r>
        <w:rPr>
          <w:rFonts w:hint="eastAsia"/>
          <w:snapToGrid w:val="0"/>
          <w:kern w:val="0"/>
          <w:lang w:val="en-US" w:eastAsia="zh-CN"/>
        </w:rPr>
        <w:t>不慎接触时，</w:t>
      </w:r>
      <w:r>
        <w:rPr>
          <w:snapToGrid w:val="0"/>
          <w:kern w:val="0"/>
        </w:rPr>
        <w:t>它会使眼睛和皮肤受到严重损伤；不</w:t>
      </w:r>
      <w:r>
        <w:rPr>
          <w:rFonts w:hint="eastAsia"/>
          <w:snapToGrid w:val="0"/>
          <w:kern w:val="0"/>
          <w:lang w:val="en-US" w:eastAsia="zh-CN"/>
        </w:rPr>
        <w:t>得</w:t>
      </w:r>
      <w:r>
        <w:rPr>
          <w:snapToGrid w:val="0"/>
          <w:kern w:val="0"/>
        </w:rPr>
        <w:t>在近火或明火附近储存、使用、倾倒或泄漏出来；</w:t>
      </w:r>
      <w:r>
        <w:rPr>
          <w:rFonts w:hint="eastAsia"/>
          <w:snapToGrid w:val="0"/>
          <w:kern w:val="0"/>
          <w:lang w:val="en-US" w:eastAsia="zh-CN"/>
        </w:rPr>
        <w:t>还应</w:t>
      </w:r>
      <w:r>
        <w:rPr>
          <w:snapToGrid w:val="0"/>
          <w:kern w:val="0"/>
        </w:rPr>
        <w:t>避免污染食物，否则吞食后会中毒或致死。</w:t>
      </w:r>
    </w:p>
    <w:p>
      <w:pPr>
        <w:ind w:firstLine="560"/>
        <w:rPr>
          <w:snapToGrid w:val="0"/>
          <w:kern w:val="0"/>
        </w:rPr>
      </w:pPr>
      <w:r>
        <w:rPr>
          <w:snapToGrid w:val="0"/>
          <w:kern w:val="0"/>
        </w:rPr>
        <w:t>急救措施：溅到眼睛中或皮肤上时，应立即用大量清水冲洗至少15分钟，脱去被污染的衣服，再使用前必须洗净。如果溅到眼睛内，应请医生治疗；如果吞食了，不要催吐，要饮用大量流体，并立即请医生。如果粘膜受损，要禁止洗胃、灌肠。另外，尚需观察血液循环和呼吸情况，若出现异常应及时处理。</w:t>
      </w:r>
    </w:p>
    <w:p>
      <w:pPr>
        <w:pStyle w:val="5"/>
        <w:rPr>
          <w:rFonts w:hint="eastAsia" w:ascii="黑体" w:hAnsi="黑体" w:eastAsia="黑体" w:cs="黑体"/>
          <w:b w:val="0"/>
          <w:bCs w:val="0"/>
        </w:rPr>
      </w:pPr>
      <w:r>
        <w:rPr>
          <w:b w:val="0"/>
          <w:bCs w:val="0"/>
        </w:rPr>
        <w:t xml:space="preserve">3.1.5 </w:t>
      </w:r>
      <w:r>
        <w:rPr>
          <w:rFonts w:hint="eastAsia"/>
          <w:b w:val="0"/>
          <w:bCs w:val="0"/>
        </w:rPr>
        <w:t xml:space="preserve"> </w:t>
      </w:r>
      <w:r>
        <w:rPr>
          <w:rFonts w:hint="eastAsia" w:ascii="黑体" w:hAnsi="黑体" w:eastAsia="黑体" w:cs="黑体"/>
          <w:b w:val="0"/>
          <w:bCs w:val="0"/>
        </w:rPr>
        <w:t>柴油</w:t>
      </w:r>
    </w:p>
    <w:p>
      <w:pPr>
        <w:ind w:firstLine="560"/>
        <w:rPr>
          <w:snapToGrid w:val="0"/>
          <w:kern w:val="0"/>
        </w:rPr>
      </w:pPr>
      <w:r>
        <w:rPr>
          <w:snapToGrid w:val="0"/>
          <w:kern w:val="0"/>
        </w:rPr>
        <w:t>柴油主要由原油蒸馏、催化裂化、热裂化、加氢裂化、石油焦化等过程生产的柴油馏分调配而成；也可由页岩油加工和煤液化制取。分为轻柴油（沸点范围约180～370℃）和重柴油（沸点范围约350～410℃）两大类。柴油的毒性类似于煤油，但由于添加剂（如硫化酯类）的影响，毒性可能比煤油略大，主要有麻醉和刺激作用。</w:t>
      </w:r>
    </w:p>
    <w:p>
      <w:pPr>
        <w:ind w:firstLine="560"/>
        <w:rPr>
          <w:snapToGrid w:val="0"/>
          <w:kern w:val="0"/>
        </w:rPr>
      </w:pPr>
      <w:r>
        <w:rPr>
          <w:snapToGrid w:val="0"/>
          <w:kern w:val="0"/>
        </w:rPr>
        <w:t>柴油的雾滴吸入后可致吸入性肺炎，皮肤接触柴油可致接触性皮炎，多见于两手、腕部与前臂。柴油废气，内燃机燃烧柴油所产生的废气常能严重污染环境，废气中含有氮氧化物、一氧化碳、二氧化碳、醛类和不完全燃烧时的大量黑烟，黑烟中有未经燃烧的油雾、碳粒，一些高沸点的杂环和芳烃物质，并有些致癌物如3.4-苯并芘。</w:t>
      </w:r>
    </w:p>
    <w:p>
      <w:pPr>
        <w:ind w:firstLine="560"/>
        <w:rPr>
          <w:snapToGrid w:val="0"/>
          <w:kern w:val="0"/>
        </w:rPr>
      </w:pPr>
      <w:r>
        <w:rPr>
          <w:snapToGrid w:val="0"/>
          <w:kern w:val="0"/>
        </w:rPr>
        <w:t>柴油危险、有害特性见表3-</w:t>
      </w:r>
      <w:r>
        <w:rPr>
          <w:rFonts w:hint="eastAsia"/>
          <w:snapToGrid w:val="0"/>
          <w:kern w:val="0"/>
        </w:rPr>
        <w:t>4</w:t>
      </w:r>
      <w:r>
        <w:rPr>
          <w:snapToGrid w:val="0"/>
          <w:kern w:val="0"/>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napToGrid w:val="0"/>
          <w:kern w:val="0"/>
        </w:rPr>
      </w:pPr>
      <w:r>
        <w:rPr>
          <w:b/>
          <w:bCs/>
          <w:snapToGrid w:val="0"/>
          <w:kern w:val="0"/>
          <w:sz w:val="24"/>
          <w:szCs w:val="24"/>
        </w:rPr>
        <w:t>表3-</w:t>
      </w:r>
      <w:r>
        <w:rPr>
          <w:rFonts w:hint="eastAsia"/>
          <w:b/>
          <w:bCs/>
          <w:snapToGrid w:val="0"/>
          <w:kern w:val="0"/>
          <w:sz w:val="24"/>
          <w:szCs w:val="24"/>
        </w:rPr>
        <w:t>4</w:t>
      </w:r>
      <w:r>
        <w:rPr>
          <w:b/>
          <w:bCs/>
          <w:snapToGrid w:val="0"/>
          <w:kern w:val="0"/>
          <w:sz w:val="24"/>
          <w:szCs w:val="24"/>
        </w:rPr>
        <w:t xml:space="preserve">  柴油危险、有害特性表</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3853"/>
        <w:gridCol w:w="3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0" w:type="dxa"/>
            <w:vMerge w:val="restart"/>
            <w:noWrap w:val="0"/>
            <w:vAlign w:val="center"/>
          </w:tcPr>
          <w:p>
            <w:pPr>
              <w:spacing w:line="240" w:lineRule="auto"/>
              <w:ind w:firstLine="0" w:firstLineChars="0"/>
              <w:rPr>
                <w:snapToGrid w:val="0"/>
                <w:kern w:val="0"/>
                <w:sz w:val="21"/>
                <w:szCs w:val="21"/>
              </w:rPr>
            </w:pPr>
            <w:r>
              <w:rPr>
                <w:snapToGrid w:val="0"/>
                <w:kern w:val="0"/>
                <w:sz w:val="21"/>
                <w:szCs w:val="21"/>
              </w:rPr>
              <w:t>标识</w:t>
            </w:r>
          </w:p>
        </w:tc>
        <w:tc>
          <w:tcPr>
            <w:tcW w:w="3853" w:type="dxa"/>
            <w:noWrap w:val="0"/>
            <w:vAlign w:val="center"/>
          </w:tcPr>
          <w:p>
            <w:pPr>
              <w:spacing w:line="240" w:lineRule="auto"/>
              <w:ind w:firstLine="0" w:firstLineChars="0"/>
              <w:rPr>
                <w:snapToGrid w:val="0"/>
                <w:kern w:val="0"/>
                <w:sz w:val="21"/>
                <w:szCs w:val="21"/>
              </w:rPr>
            </w:pPr>
            <w:r>
              <w:rPr>
                <w:snapToGrid w:val="0"/>
                <w:kern w:val="0"/>
                <w:sz w:val="21"/>
                <w:szCs w:val="21"/>
              </w:rPr>
              <w:t>中文名：柴油</w:t>
            </w:r>
          </w:p>
        </w:tc>
        <w:tc>
          <w:tcPr>
            <w:tcW w:w="3851" w:type="dxa"/>
            <w:noWrap w:val="0"/>
            <w:vAlign w:val="center"/>
          </w:tcPr>
          <w:p>
            <w:pPr>
              <w:spacing w:line="240" w:lineRule="auto"/>
              <w:ind w:firstLine="0" w:firstLineChars="0"/>
              <w:rPr>
                <w:snapToGrid w:val="0"/>
                <w:kern w:val="0"/>
                <w:sz w:val="21"/>
                <w:szCs w:val="21"/>
              </w:rPr>
            </w:pPr>
            <w:r>
              <w:rPr>
                <w:snapToGrid w:val="0"/>
                <w:kern w:val="0"/>
                <w:sz w:val="21"/>
                <w:szCs w:val="21"/>
              </w:rPr>
              <w:t>英文名：Diesel Oil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0" w:type="dxa"/>
            <w:vMerge w:val="continue"/>
            <w:noWrap w:val="0"/>
            <w:vAlign w:val="center"/>
          </w:tcPr>
          <w:p>
            <w:pPr>
              <w:spacing w:line="240" w:lineRule="auto"/>
              <w:ind w:firstLine="0" w:firstLineChars="0"/>
              <w:rPr>
                <w:snapToGrid w:val="0"/>
                <w:kern w:val="0"/>
                <w:sz w:val="21"/>
                <w:szCs w:val="21"/>
              </w:rPr>
            </w:pPr>
          </w:p>
        </w:tc>
        <w:tc>
          <w:tcPr>
            <w:tcW w:w="3853" w:type="dxa"/>
            <w:noWrap w:val="0"/>
            <w:vAlign w:val="center"/>
          </w:tcPr>
          <w:p>
            <w:pPr>
              <w:spacing w:line="240" w:lineRule="auto"/>
              <w:ind w:firstLine="0" w:firstLineChars="0"/>
              <w:rPr>
                <w:snapToGrid w:val="0"/>
                <w:kern w:val="0"/>
                <w:sz w:val="21"/>
                <w:szCs w:val="21"/>
              </w:rPr>
            </w:pPr>
            <w:r>
              <w:rPr>
                <w:snapToGrid w:val="0"/>
                <w:kern w:val="0"/>
                <w:sz w:val="21"/>
                <w:szCs w:val="21"/>
              </w:rPr>
              <w:t>危险性类别：</w:t>
            </w:r>
          </w:p>
        </w:tc>
        <w:tc>
          <w:tcPr>
            <w:tcW w:w="3851" w:type="dxa"/>
            <w:noWrap w:val="0"/>
            <w:vAlign w:val="center"/>
          </w:tcPr>
          <w:p>
            <w:pPr>
              <w:spacing w:line="240" w:lineRule="auto"/>
              <w:ind w:firstLine="0" w:firstLineChars="0"/>
              <w:rPr>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0" w:type="dxa"/>
            <w:vMerge w:val="restart"/>
            <w:noWrap w:val="0"/>
            <w:vAlign w:val="center"/>
          </w:tcPr>
          <w:p>
            <w:pPr>
              <w:spacing w:line="240" w:lineRule="auto"/>
              <w:ind w:firstLine="0" w:firstLineChars="0"/>
              <w:rPr>
                <w:snapToGrid w:val="0"/>
                <w:kern w:val="0"/>
                <w:sz w:val="21"/>
                <w:szCs w:val="21"/>
              </w:rPr>
            </w:pPr>
            <w:r>
              <w:rPr>
                <w:snapToGrid w:val="0"/>
                <w:kern w:val="0"/>
                <w:sz w:val="21"/>
                <w:szCs w:val="21"/>
              </w:rPr>
              <w:t>理化</w:t>
            </w:r>
          </w:p>
          <w:p>
            <w:pPr>
              <w:spacing w:line="240" w:lineRule="auto"/>
              <w:ind w:firstLine="0" w:firstLineChars="0"/>
              <w:rPr>
                <w:snapToGrid w:val="0"/>
                <w:kern w:val="0"/>
                <w:sz w:val="21"/>
                <w:szCs w:val="21"/>
              </w:rPr>
            </w:pPr>
            <w:r>
              <w:rPr>
                <w:snapToGrid w:val="0"/>
                <w:kern w:val="0"/>
                <w:sz w:val="21"/>
                <w:szCs w:val="21"/>
              </w:rPr>
              <w:t>特性</w:t>
            </w:r>
          </w:p>
        </w:tc>
        <w:tc>
          <w:tcPr>
            <w:tcW w:w="3853" w:type="dxa"/>
            <w:noWrap w:val="0"/>
            <w:vAlign w:val="center"/>
          </w:tcPr>
          <w:p>
            <w:pPr>
              <w:spacing w:line="240" w:lineRule="auto"/>
              <w:ind w:firstLine="0" w:firstLineChars="0"/>
              <w:rPr>
                <w:snapToGrid w:val="0"/>
                <w:kern w:val="0"/>
                <w:sz w:val="21"/>
                <w:szCs w:val="21"/>
              </w:rPr>
            </w:pPr>
            <w:r>
              <w:rPr>
                <w:snapToGrid w:val="0"/>
                <w:kern w:val="0"/>
                <w:sz w:val="21"/>
                <w:szCs w:val="21"/>
              </w:rPr>
              <w:t>主要组成：烃类混合物</w:t>
            </w:r>
          </w:p>
        </w:tc>
        <w:tc>
          <w:tcPr>
            <w:tcW w:w="3851" w:type="dxa"/>
            <w:noWrap w:val="0"/>
            <w:vAlign w:val="center"/>
          </w:tcPr>
          <w:p>
            <w:pPr>
              <w:spacing w:line="240" w:lineRule="auto"/>
              <w:ind w:firstLine="0" w:firstLineChars="0"/>
              <w:rPr>
                <w:snapToGrid w:val="0"/>
                <w:kern w:val="0"/>
                <w:sz w:val="21"/>
                <w:szCs w:val="21"/>
              </w:rPr>
            </w:pPr>
            <w:r>
              <w:rPr>
                <w:snapToGrid w:val="0"/>
                <w:kern w:val="0"/>
                <w:sz w:val="21"/>
                <w:szCs w:val="21"/>
              </w:rPr>
              <w:t>外观：稍有粘性的棕色液体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0" w:type="dxa"/>
            <w:vMerge w:val="continue"/>
            <w:noWrap w:val="0"/>
            <w:vAlign w:val="center"/>
          </w:tcPr>
          <w:p>
            <w:pPr>
              <w:spacing w:line="240" w:lineRule="auto"/>
              <w:ind w:firstLine="0" w:firstLineChars="0"/>
              <w:rPr>
                <w:snapToGrid w:val="0"/>
                <w:kern w:val="0"/>
                <w:sz w:val="21"/>
                <w:szCs w:val="21"/>
              </w:rPr>
            </w:pPr>
          </w:p>
        </w:tc>
        <w:tc>
          <w:tcPr>
            <w:tcW w:w="3853" w:type="dxa"/>
            <w:noWrap w:val="0"/>
            <w:vAlign w:val="center"/>
          </w:tcPr>
          <w:p>
            <w:pPr>
              <w:spacing w:line="240" w:lineRule="auto"/>
              <w:ind w:firstLine="0" w:firstLineChars="0"/>
              <w:rPr>
                <w:snapToGrid w:val="0"/>
                <w:kern w:val="0"/>
                <w:sz w:val="21"/>
                <w:szCs w:val="21"/>
              </w:rPr>
            </w:pPr>
            <w:r>
              <w:rPr>
                <w:snapToGrid w:val="0"/>
                <w:kern w:val="0"/>
                <w:sz w:val="21"/>
                <w:szCs w:val="21"/>
              </w:rPr>
              <w:t>相对密度（水=1）：0.87～0.9</w:t>
            </w:r>
          </w:p>
        </w:tc>
        <w:tc>
          <w:tcPr>
            <w:tcW w:w="3851" w:type="dxa"/>
            <w:noWrap w:val="0"/>
            <w:vAlign w:val="center"/>
          </w:tcPr>
          <w:p>
            <w:pPr>
              <w:spacing w:line="240" w:lineRule="auto"/>
              <w:ind w:firstLine="0" w:firstLineChars="0"/>
              <w:rPr>
                <w:snapToGrid w:val="0"/>
                <w:kern w:val="0"/>
                <w:sz w:val="21"/>
                <w:szCs w:val="21"/>
              </w:rPr>
            </w:pPr>
            <w:r>
              <w:rPr>
                <w:snapToGrid w:val="0"/>
                <w:kern w:val="0"/>
                <w:sz w:val="21"/>
                <w:szCs w:val="21"/>
              </w:rPr>
              <w:t>危险类别：乙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0" w:type="dxa"/>
            <w:vMerge w:val="restart"/>
            <w:noWrap w:val="0"/>
            <w:vAlign w:val="center"/>
          </w:tcPr>
          <w:p>
            <w:pPr>
              <w:spacing w:line="240" w:lineRule="auto"/>
              <w:ind w:firstLine="0" w:firstLineChars="0"/>
              <w:rPr>
                <w:snapToGrid w:val="0"/>
                <w:kern w:val="0"/>
                <w:sz w:val="21"/>
                <w:szCs w:val="21"/>
              </w:rPr>
            </w:pPr>
            <w:r>
              <w:rPr>
                <w:snapToGrid w:val="0"/>
                <w:kern w:val="0"/>
                <w:sz w:val="21"/>
                <w:szCs w:val="21"/>
              </w:rPr>
              <w:t>燃爆</w:t>
            </w:r>
          </w:p>
          <w:p>
            <w:pPr>
              <w:spacing w:line="240" w:lineRule="auto"/>
              <w:ind w:firstLine="0" w:firstLineChars="0"/>
              <w:rPr>
                <w:snapToGrid w:val="0"/>
                <w:kern w:val="0"/>
                <w:sz w:val="21"/>
                <w:szCs w:val="21"/>
              </w:rPr>
            </w:pPr>
            <w:r>
              <w:rPr>
                <w:snapToGrid w:val="0"/>
                <w:kern w:val="0"/>
                <w:sz w:val="21"/>
                <w:szCs w:val="21"/>
              </w:rPr>
              <w:t>特性</w:t>
            </w:r>
          </w:p>
        </w:tc>
        <w:tc>
          <w:tcPr>
            <w:tcW w:w="3853" w:type="dxa"/>
            <w:noWrap w:val="0"/>
            <w:vAlign w:val="center"/>
          </w:tcPr>
          <w:p>
            <w:pPr>
              <w:spacing w:line="240" w:lineRule="auto"/>
              <w:ind w:firstLine="0" w:firstLineChars="0"/>
              <w:rPr>
                <w:snapToGrid w:val="0"/>
                <w:kern w:val="0"/>
                <w:sz w:val="21"/>
                <w:szCs w:val="21"/>
              </w:rPr>
            </w:pPr>
            <w:r>
              <w:rPr>
                <w:snapToGrid w:val="0"/>
                <w:kern w:val="0"/>
                <w:sz w:val="21"/>
                <w:szCs w:val="21"/>
              </w:rPr>
              <w:t>闪点（℃）：&gt;55</w:t>
            </w:r>
          </w:p>
        </w:tc>
        <w:tc>
          <w:tcPr>
            <w:tcW w:w="3851" w:type="dxa"/>
            <w:noWrap w:val="0"/>
            <w:vAlign w:val="center"/>
          </w:tcPr>
          <w:p>
            <w:pPr>
              <w:spacing w:line="240" w:lineRule="auto"/>
              <w:ind w:firstLine="0" w:firstLineChars="0"/>
              <w:rPr>
                <w:snapToGrid w:val="0"/>
                <w:kern w:val="0"/>
                <w:sz w:val="21"/>
                <w:szCs w:val="21"/>
              </w:rPr>
            </w:pPr>
            <w:r>
              <w:rPr>
                <w:snapToGrid w:val="0"/>
                <w:kern w:val="0"/>
                <w:sz w:val="21"/>
                <w:szCs w:val="21"/>
              </w:rPr>
              <w:t>引燃温度（℃）：257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0" w:type="dxa"/>
            <w:vMerge w:val="continue"/>
            <w:noWrap w:val="0"/>
            <w:vAlign w:val="center"/>
          </w:tcPr>
          <w:p>
            <w:pPr>
              <w:spacing w:line="240" w:lineRule="auto"/>
              <w:ind w:firstLine="0" w:firstLineChars="0"/>
              <w:rPr>
                <w:snapToGrid w:val="0"/>
                <w:kern w:val="0"/>
                <w:sz w:val="21"/>
                <w:szCs w:val="21"/>
              </w:rPr>
            </w:pPr>
          </w:p>
        </w:tc>
        <w:tc>
          <w:tcPr>
            <w:tcW w:w="3853" w:type="dxa"/>
            <w:noWrap w:val="0"/>
            <w:vAlign w:val="center"/>
          </w:tcPr>
          <w:p>
            <w:pPr>
              <w:spacing w:line="240" w:lineRule="auto"/>
              <w:ind w:firstLine="0" w:firstLineChars="0"/>
              <w:rPr>
                <w:snapToGrid w:val="0"/>
                <w:kern w:val="0"/>
                <w:sz w:val="21"/>
                <w:szCs w:val="21"/>
              </w:rPr>
            </w:pPr>
            <w:r>
              <w:rPr>
                <w:snapToGrid w:val="0"/>
                <w:kern w:val="0"/>
                <w:sz w:val="21"/>
                <w:szCs w:val="21"/>
              </w:rPr>
              <w:t>燃烧性：可燃</w:t>
            </w:r>
          </w:p>
        </w:tc>
        <w:tc>
          <w:tcPr>
            <w:tcW w:w="3851" w:type="dxa"/>
            <w:noWrap w:val="0"/>
            <w:vAlign w:val="center"/>
          </w:tcPr>
          <w:p>
            <w:pPr>
              <w:spacing w:line="240" w:lineRule="auto"/>
              <w:ind w:firstLine="0" w:firstLineChars="0"/>
              <w:rPr>
                <w:snapToGrid w:val="0"/>
                <w:kern w:val="0"/>
                <w:sz w:val="21"/>
                <w:szCs w:val="21"/>
              </w:rPr>
            </w:pPr>
            <w:r>
              <w:rPr>
                <w:snapToGrid w:val="0"/>
                <w:kern w:val="0"/>
                <w:sz w:val="21"/>
                <w:szCs w:val="21"/>
              </w:rPr>
              <w:t>禁忌物：强氧化剂、卤素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0" w:type="dxa"/>
            <w:vMerge w:val="continue"/>
            <w:noWrap w:val="0"/>
            <w:vAlign w:val="center"/>
          </w:tcPr>
          <w:p>
            <w:pPr>
              <w:spacing w:line="240" w:lineRule="auto"/>
              <w:ind w:firstLine="0" w:firstLineChars="0"/>
              <w:rPr>
                <w:snapToGrid w:val="0"/>
                <w:kern w:val="0"/>
                <w:sz w:val="21"/>
                <w:szCs w:val="21"/>
              </w:rPr>
            </w:pPr>
          </w:p>
        </w:tc>
        <w:tc>
          <w:tcPr>
            <w:tcW w:w="7704" w:type="dxa"/>
            <w:gridSpan w:val="2"/>
            <w:noWrap w:val="0"/>
            <w:vAlign w:val="center"/>
          </w:tcPr>
          <w:p>
            <w:pPr>
              <w:spacing w:line="240" w:lineRule="auto"/>
              <w:ind w:firstLine="0" w:firstLineChars="0"/>
              <w:rPr>
                <w:snapToGrid w:val="0"/>
                <w:kern w:val="0"/>
                <w:sz w:val="21"/>
                <w:szCs w:val="21"/>
              </w:rPr>
            </w:pPr>
            <w:r>
              <w:rPr>
                <w:snapToGrid w:val="0"/>
                <w:kern w:val="0"/>
                <w:sz w:val="21"/>
                <w:szCs w:val="21"/>
              </w:rPr>
              <w:t>危险特性：遇明火、高热或与强氧化剂接触，有引起燃烧爆炸的危险。若遇高热，容器内压增大，有开裂和爆炸的危险。其密度比水轻，能在水面上扩散，或随地势流淌，遇明火等会引着回燃。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0" w:type="dxa"/>
            <w:vMerge w:val="continue"/>
            <w:noWrap w:val="0"/>
            <w:vAlign w:val="center"/>
          </w:tcPr>
          <w:p>
            <w:pPr>
              <w:spacing w:line="240" w:lineRule="auto"/>
              <w:ind w:firstLine="0" w:firstLineChars="0"/>
              <w:rPr>
                <w:snapToGrid w:val="0"/>
                <w:kern w:val="0"/>
                <w:sz w:val="21"/>
                <w:szCs w:val="21"/>
              </w:rPr>
            </w:pPr>
          </w:p>
        </w:tc>
        <w:tc>
          <w:tcPr>
            <w:tcW w:w="7704" w:type="dxa"/>
            <w:gridSpan w:val="2"/>
            <w:noWrap w:val="0"/>
            <w:vAlign w:val="center"/>
          </w:tcPr>
          <w:p>
            <w:pPr>
              <w:spacing w:line="240" w:lineRule="auto"/>
              <w:ind w:firstLine="0" w:firstLineChars="0"/>
              <w:rPr>
                <w:snapToGrid w:val="0"/>
                <w:kern w:val="0"/>
                <w:sz w:val="21"/>
                <w:szCs w:val="21"/>
              </w:rPr>
            </w:pPr>
            <w:r>
              <w:rPr>
                <w:snapToGrid w:val="0"/>
                <w:kern w:val="0"/>
                <w:sz w:val="21"/>
                <w:szCs w:val="21"/>
              </w:rPr>
              <w:t>灭火方法：泡沫、二氧化碳、干粉、砂土，1211灭火剂。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0" w:type="dxa"/>
            <w:noWrap w:val="0"/>
            <w:vAlign w:val="center"/>
          </w:tcPr>
          <w:p>
            <w:pPr>
              <w:spacing w:line="240" w:lineRule="auto"/>
              <w:ind w:firstLine="0" w:firstLineChars="0"/>
              <w:rPr>
                <w:snapToGrid w:val="0"/>
                <w:kern w:val="0"/>
                <w:sz w:val="21"/>
                <w:szCs w:val="21"/>
              </w:rPr>
            </w:pPr>
            <w:r>
              <w:rPr>
                <w:snapToGrid w:val="0"/>
                <w:kern w:val="0"/>
                <w:sz w:val="21"/>
                <w:szCs w:val="21"/>
              </w:rPr>
              <w:t>健康</w:t>
            </w:r>
          </w:p>
          <w:p>
            <w:pPr>
              <w:spacing w:line="240" w:lineRule="auto"/>
              <w:ind w:firstLine="0" w:firstLineChars="0"/>
              <w:rPr>
                <w:snapToGrid w:val="0"/>
                <w:kern w:val="0"/>
                <w:sz w:val="21"/>
                <w:szCs w:val="21"/>
              </w:rPr>
            </w:pPr>
            <w:r>
              <w:rPr>
                <w:snapToGrid w:val="0"/>
                <w:kern w:val="0"/>
                <w:sz w:val="21"/>
                <w:szCs w:val="21"/>
              </w:rPr>
              <w:t>危害</w:t>
            </w:r>
          </w:p>
        </w:tc>
        <w:tc>
          <w:tcPr>
            <w:tcW w:w="7704" w:type="dxa"/>
            <w:gridSpan w:val="2"/>
            <w:noWrap w:val="0"/>
            <w:vAlign w:val="center"/>
          </w:tcPr>
          <w:p>
            <w:pPr>
              <w:spacing w:line="240" w:lineRule="auto"/>
              <w:ind w:firstLine="0" w:firstLineChars="0"/>
              <w:rPr>
                <w:snapToGrid w:val="0"/>
                <w:kern w:val="0"/>
                <w:sz w:val="21"/>
                <w:szCs w:val="21"/>
              </w:rPr>
            </w:pPr>
            <w:r>
              <w:rPr>
                <w:snapToGrid w:val="0"/>
                <w:kern w:val="0"/>
                <w:sz w:val="21"/>
                <w:szCs w:val="21"/>
              </w:rPr>
              <w:t>侵入途径：吸入、食入，经皮肤吸收。</w:t>
            </w:r>
          </w:p>
          <w:p>
            <w:pPr>
              <w:spacing w:line="240" w:lineRule="auto"/>
              <w:ind w:firstLine="0" w:firstLineChars="0"/>
              <w:rPr>
                <w:snapToGrid w:val="0"/>
                <w:kern w:val="0"/>
                <w:sz w:val="21"/>
                <w:szCs w:val="21"/>
              </w:rPr>
            </w:pPr>
            <w:r>
              <w:rPr>
                <w:snapToGrid w:val="0"/>
                <w:kern w:val="0"/>
                <w:sz w:val="21"/>
                <w:szCs w:val="21"/>
              </w:rPr>
              <w:t>毒性：皮肤接触柴油可引起接触性皮炎、油性痤疮；吸入可引起吸入性肺炎。能经胎盘进入胎儿血中。柴油废气可引起眼、鼻刺激症状，头晕及头痛。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0" w:type="dxa"/>
            <w:noWrap w:val="0"/>
            <w:vAlign w:val="center"/>
          </w:tcPr>
          <w:p>
            <w:pPr>
              <w:spacing w:line="240" w:lineRule="auto"/>
              <w:ind w:firstLine="0" w:firstLineChars="0"/>
              <w:rPr>
                <w:snapToGrid w:val="0"/>
                <w:kern w:val="0"/>
                <w:sz w:val="21"/>
                <w:szCs w:val="21"/>
              </w:rPr>
            </w:pPr>
            <w:r>
              <w:rPr>
                <w:snapToGrid w:val="0"/>
                <w:kern w:val="0"/>
                <w:sz w:val="21"/>
                <w:szCs w:val="21"/>
              </w:rPr>
              <w:t>物料特性</w:t>
            </w:r>
          </w:p>
        </w:tc>
        <w:tc>
          <w:tcPr>
            <w:tcW w:w="7704" w:type="dxa"/>
            <w:gridSpan w:val="2"/>
            <w:noWrap w:val="0"/>
            <w:vAlign w:val="center"/>
          </w:tcPr>
          <w:p>
            <w:pPr>
              <w:spacing w:line="240" w:lineRule="auto"/>
              <w:ind w:firstLine="0" w:firstLineChars="0"/>
              <w:rPr>
                <w:snapToGrid w:val="0"/>
                <w:kern w:val="0"/>
                <w:sz w:val="21"/>
                <w:szCs w:val="21"/>
              </w:rPr>
            </w:pPr>
            <w:r>
              <w:rPr>
                <w:snapToGrid w:val="0"/>
                <w:kern w:val="0"/>
                <w:sz w:val="21"/>
                <w:szCs w:val="21"/>
              </w:rPr>
              <w:t>①挥发性</w:t>
            </w:r>
          </w:p>
          <w:p>
            <w:pPr>
              <w:spacing w:line="240" w:lineRule="auto"/>
              <w:ind w:firstLine="0" w:firstLineChars="0"/>
              <w:rPr>
                <w:snapToGrid w:val="0"/>
                <w:kern w:val="0"/>
                <w:sz w:val="21"/>
                <w:szCs w:val="21"/>
              </w:rPr>
            </w:pPr>
            <w:r>
              <w:rPr>
                <w:snapToGrid w:val="0"/>
                <w:kern w:val="0"/>
                <w:sz w:val="21"/>
                <w:szCs w:val="21"/>
              </w:rPr>
              <w:t>随着温度上升，挥发速度加快，由于柴油蒸气比空气重，易于在作业场所及低洼、通风不良的地方积聚，是造成火灾、爆炸事故的不安全因素之一。</w:t>
            </w:r>
          </w:p>
          <w:p>
            <w:pPr>
              <w:spacing w:line="240" w:lineRule="auto"/>
              <w:ind w:firstLine="0" w:firstLineChars="0"/>
              <w:rPr>
                <w:snapToGrid w:val="0"/>
                <w:kern w:val="0"/>
                <w:sz w:val="21"/>
                <w:szCs w:val="21"/>
              </w:rPr>
            </w:pPr>
            <w:r>
              <w:rPr>
                <w:snapToGrid w:val="0"/>
                <w:kern w:val="0"/>
                <w:sz w:val="21"/>
                <w:szCs w:val="21"/>
              </w:rPr>
              <w:t>②燃烧性</w:t>
            </w:r>
          </w:p>
          <w:p>
            <w:pPr>
              <w:spacing w:line="240" w:lineRule="auto"/>
              <w:ind w:firstLine="0" w:firstLineChars="0"/>
              <w:rPr>
                <w:snapToGrid w:val="0"/>
                <w:kern w:val="0"/>
                <w:sz w:val="21"/>
                <w:szCs w:val="21"/>
              </w:rPr>
            </w:pPr>
            <w:r>
              <w:rPr>
                <w:snapToGrid w:val="0"/>
                <w:kern w:val="0"/>
                <w:sz w:val="21"/>
                <w:szCs w:val="21"/>
              </w:rPr>
              <w:t>柴油属于高闪点可燃液体，可引燃，具有火灾危险性。柴油在储罐、泵输及其他作业时出现异常或人员操作失误时可能泄漏出来，迅速挥发形成可燃性混合气体，遇到一定的诱导能量或火源就会燃烧。</w:t>
            </w:r>
          </w:p>
          <w:p>
            <w:pPr>
              <w:spacing w:line="240" w:lineRule="auto"/>
              <w:ind w:firstLine="0" w:firstLineChars="0"/>
              <w:rPr>
                <w:snapToGrid w:val="0"/>
                <w:kern w:val="0"/>
                <w:sz w:val="21"/>
                <w:szCs w:val="21"/>
              </w:rPr>
            </w:pPr>
            <w:r>
              <w:rPr>
                <w:snapToGrid w:val="0"/>
                <w:kern w:val="0"/>
                <w:sz w:val="21"/>
                <w:szCs w:val="21"/>
              </w:rPr>
              <w:t>③扩散性</w:t>
            </w:r>
          </w:p>
          <w:p>
            <w:pPr>
              <w:spacing w:line="240" w:lineRule="auto"/>
              <w:ind w:firstLine="0" w:firstLineChars="0"/>
              <w:rPr>
                <w:snapToGrid w:val="0"/>
                <w:kern w:val="0"/>
                <w:sz w:val="21"/>
                <w:szCs w:val="21"/>
              </w:rPr>
            </w:pPr>
            <w:r>
              <w:rPr>
                <w:snapToGrid w:val="0"/>
                <w:kern w:val="0"/>
                <w:sz w:val="21"/>
                <w:szCs w:val="21"/>
              </w:rPr>
              <w:t>柴油的扩散性对火灾爆炸危险的影响主要表现在以下三个方面：柴油的泄漏、柴油的流动性、柴油蒸气的扩散性。</w:t>
            </w:r>
          </w:p>
          <w:p>
            <w:pPr>
              <w:spacing w:line="240" w:lineRule="auto"/>
              <w:ind w:firstLine="0" w:firstLineChars="0"/>
              <w:rPr>
                <w:snapToGrid w:val="0"/>
                <w:kern w:val="0"/>
                <w:sz w:val="21"/>
                <w:szCs w:val="21"/>
              </w:rPr>
            </w:pPr>
            <w:r>
              <w:rPr>
                <w:snapToGrid w:val="0"/>
                <w:kern w:val="0"/>
                <w:sz w:val="21"/>
                <w:szCs w:val="21"/>
              </w:rPr>
              <w:t>④易产生静电</w:t>
            </w:r>
          </w:p>
          <w:p>
            <w:pPr>
              <w:spacing w:line="240" w:lineRule="auto"/>
              <w:ind w:firstLine="0" w:firstLineChars="0"/>
              <w:rPr>
                <w:snapToGrid w:val="0"/>
                <w:kern w:val="0"/>
                <w:sz w:val="21"/>
                <w:szCs w:val="21"/>
              </w:rPr>
            </w:pPr>
            <w:r>
              <w:rPr>
                <w:snapToGrid w:val="0"/>
                <w:kern w:val="0"/>
                <w:sz w:val="21"/>
                <w:szCs w:val="21"/>
              </w:rPr>
              <w:t>柴油是绝缘物质，其导电性比较差，柴油在收发输转及加注过程中，柴油和管道、容器、油泵、过滤介质以及水、杂质、空气等发生碰撞、摩擦，都会产生静电，容易造成静电积累，当静电积累到一定程度就可能在薄弱环节跳火放电，引起火灾、爆炸事故。</w:t>
            </w:r>
          </w:p>
          <w:p>
            <w:pPr>
              <w:spacing w:line="240" w:lineRule="auto"/>
              <w:ind w:firstLine="0" w:firstLineChars="0"/>
              <w:rPr>
                <w:snapToGrid w:val="0"/>
                <w:kern w:val="0"/>
                <w:sz w:val="21"/>
                <w:szCs w:val="21"/>
              </w:rPr>
            </w:pPr>
            <w:r>
              <w:rPr>
                <w:snapToGrid w:val="0"/>
                <w:kern w:val="0"/>
                <w:sz w:val="21"/>
                <w:szCs w:val="21"/>
              </w:rPr>
              <w:t>⑤毒性</w:t>
            </w:r>
          </w:p>
          <w:p>
            <w:pPr>
              <w:spacing w:line="240" w:lineRule="auto"/>
              <w:ind w:firstLine="0" w:firstLineChars="0"/>
              <w:rPr>
                <w:snapToGrid w:val="0"/>
                <w:kern w:val="0"/>
                <w:sz w:val="21"/>
                <w:szCs w:val="21"/>
              </w:rPr>
            </w:pPr>
            <w:r>
              <w:rPr>
                <w:snapToGrid w:val="0"/>
                <w:kern w:val="0"/>
                <w:sz w:val="21"/>
                <w:szCs w:val="21"/>
              </w:rPr>
              <w:t>柴油是由各种碳氢化合物组成的，具有一定的毒性。柴油的有害物质是通过人体呼吸道、消化道及皮肤三个途径进入人体内，造成对人体的危害。危害程度是由柴油蒸气浓度，作用时间的长短来决定的。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0" w:type="dxa"/>
            <w:noWrap w:val="0"/>
            <w:vAlign w:val="center"/>
          </w:tcPr>
          <w:p>
            <w:pPr>
              <w:spacing w:line="240" w:lineRule="auto"/>
              <w:ind w:firstLine="0" w:firstLineChars="0"/>
              <w:rPr>
                <w:snapToGrid w:val="0"/>
                <w:kern w:val="0"/>
                <w:sz w:val="21"/>
                <w:szCs w:val="21"/>
              </w:rPr>
            </w:pPr>
            <w:r>
              <w:rPr>
                <w:snapToGrid w:val="0"/>
                <w:kern w:val="0"/>
                <w:sz w:val="21"/>
                <w:szCs w:val="21"/>
              </w:rPr>
              <w:t>泄漏处理</w:t>
            </w:r>
          </w:p>
        </w:tc>
        <w:tc>
          <w:tcPr>
            <w:tcW w:w="7704" w:type="dxa"/>
            <w:gridSpan w:val="2"/>
            <w:noWrap w:val="0"/>
            <w:vAlign w:val="center"/>
          </w:tcPr>
          <w:p>
            <w:pPr>
              <w:spacing w:line="240" w:lineRule="auto"/>
              <w:ind w:firstLine="0" w:firstLineChars="0"/>
              <w:rPr>
                <w:snapToGrid w:val="0"/>
                <w:kern w:val="0"/>
                <w:sz w:val="21"/>
                <w:szCs w:val="21"/>
              </w:rPr>
            </w:pPr>
            <w:r>
              <w:rPr>
                <w:snapToGrid w:val="0"/>
                <w:kern w:val="0"/>
                <w:sz w:val="21"/>
                <w:szCs w:val="21"/>
              </w:rPr>
              <w:t>切断火源。建议应急处理人员戴好防毒面具，穿化学防护服。在确保安全情况下堵漏。用活性炭或其它惰性材料吸收，然后收集运至空旷处焚烧。如大量泄漏，利用围堤收容，然后收集、转移、回收或无害处理后废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0" w:type="dxa"/>
            <w:noWrap w:val="0"/>
            <w:vAlign w:val="center"/>
          </w:tcPr>
          <w:p>
            <w:pPr>
              <w:spacing w:line="240" w:lineRule="auto"/>
              <w:ind w:firstLine="0" w:firstLineChars="0"/>
              <w:rPr>
                <w:snapToGrid w:val="0"/>
                <w:kern w:val="0"/>
                <w:sz w:val="21"/>
                <w:szCs w:val="21"/>
              </w:rPr>
            </w:pPr>
            <w:r>
              <w:rPr>
                <w:snapToGrid w:val="0"/>
                <w:kern w:val="0"/>
                <w:sz w:val="21"/>
                <w:szCs w:val="21"/>
              </w:rPr>
              <w:t>防护措施</w:t>
            </w:r>
          </w:p>
        </w:tc>
        <w:tc>
          <w:tcPr>
            <w:tcW w:w="7704" w:type="dxa"/>
            <w:gridSpan w:val="2"/>
            <w:noWrap w:val="0"/>
            <w:vAlign w:val="center"/>
          </w:tcPr>
          <w:p>
            <w:pPr>
              <w:spacing w:line="240" w:lineRule="auto"/>
              <w:ind w:firstLine="0" w:firstLineChars="0"/>
              <w:rPr>
                <w:snapToGrid w:val="0"/>
                <w:kern w:val="0"/>
                <w:sz w:val="21"/>
                <w:szCs w:val="21"/>
              </w:rPr>
            </w:pPr>
            <w:r>
              <w:rPr>
                <w:snapToGrid w:val="0"/>
                <w:kern w:val="0"/>
                <w:sz w:val="21"/>
                <w:szCs w:val="21"/>
              </w:rPr>
              <w:t>工程控制：密闭操作，注意通风；呼吸系统防护：一般不需特殊防护。但建议特殊情况下佩带供气式呼吸器；眼睛防护：必要时戴安全防护眼镜；防护服：穿工作服；手防护：必要时戴防护手套；其他：工作现场严禁吸烟，避免长期反复接触。</w:t>
            </w:r>
          </w:p>
        </w:tc>
      </w:tr>
    </w:tbl>
    <w:p>
      <w:pPr>
        <w:pStyle w:val="5"/>
        <w:keepNext/>
        <w:keepLines/>
        <w:pageBreakBefore w:val="0"/>
        <w:widowControl w:val="0"/>
        <w:kinsoku/>
        <w:wordWrap/>
        <w:overflowPunct/>
        <w:topLinePunct w:val="0"/>
        <w:autoSpaceDE/>
        <w:autoSpaceDN/>
        <w:bidi w:val="0"/>
        <w:adjustRightInd w:val="0"/>
        <w:snapToGrid w:val="0"/>
        <w:spacing w:before="157" w:beforeLines="50"/>
        <w:textAlignment w:val="auto"/>
        <w:rPr>
          <w:b w:val="0"/>
          <w:bCs w:val="0"/>
        </w:rPr>
      </w:pPr>
      <w:bookmarkStart w:id="63" w:name="_Toc162068732"/>
      <w:bookmarkStart w:id="64" w:name="_Toc60752781"/>
      <w:bookmarkStart w:id="65" w:name="_Toc86564202"/>
      <w:bookmarkStart w:id="66" w:name="_Toc129166398"/>
      <w:bookmarkStart w:id="67" w:name="_Toc93917832"/>
      <w:bookmarkStart w:id="68" w:name="_Toc92253395"/>
      <w:bookmarkStart w:id="69" w:name="_Toc81289769"/>
      <w:bookmarkStart w:id="70" w:name="_Toc74028110"/>
      <w:bookmarkStart w:id="71" w:name="_Toc99086551"/>
      <w:bookmarkStart w:id="72" w:name="_Toc88878089"/>
      <w:r>
        <w:rPr>
          <w:b w:val="0"/>
          <w:bCs w:val="0"/>
        </w:rPr>
        <w:t xml:space="preserve">3.1.6 </w:t>
      </w:r>
      <w:r>
        <w:rPr>
          <w:rFonts w:hint="eastAsia"/>
          <w:b w:val="0"/>
          <w:bCs w:val="0"/>
        </w:rPr>
        <w:t xml:space="preserve"> </w:t>
      </w:r>
      <w:r>
        <w:rPr>
          <w:rFonts w:hint="eastAsia" w:ascii="黑体" w:hAnsi="黑体" w:eastAsia="黑体" w:cs="黑体"/>
          <w:b w:val="0"/>
          <w:bCs w:val="0"/>
        </w:rPr>
        <w:t>二氧化硫</w:t>
      </w:r>
      <w:bookmarkEnd w:id="63"/>
    </w:p>
    <w:p>
      <w:pPr>
        <w:keepNext w:val="0"/>
        <w:keepLines w:val="0"/>
        <w:pageBreakBefore w:val="0"/>
        <w:widowControl w:val="0"/>
        <w:kinsoku/>
        <w:wordWrap/>
        <w:overflowPunct/>
        <w:topLinePunct w:val="0"/>
        <w:autoSpaceDE/>
        <w:autoSpaceDN/>
        <w:bidi w:val="0"/>
        <w:adjustRightInd w:val="0"/>
        <w:snapToGrid w:val="0"/>
        <w:ind w:firstLine="560"/>
        <w:textAlignment w:val="auto"/>
      </w:pPr>
      <w:r>
        <w:t>二氧化硫是最常见的硫氧化物。无色气体，有强烈刺激性气味。大气主要污染物之一。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w:t>
      </w:r>
    </w:p>
    <w:bookmarkEnd w:id="47"/>
    <w:bookmarkEnd w:id="48"/>
    <w:bookmarkEnd w:id="64"/>
    <w:bookmarkEnd w:id="65"/>
    <w:bookmarkEnd w:id="66"/>
    <w:bookmarkEnd w:id="67"/>
    <w:bookmarkEnd w:id="68"/>
    <w:bookmarkEnd w:id="69"/>
    <w:bookmarkEnd w:id="70"/>
    <w:bookmarkEnd w:id="71"/>
    <w:bookmarkEnd w:id="72"/>
    <w:p>
      <w:pPr>
        <w:ind w:firstLine="560"/>
        <w:rPr>
          <w:snapToGrid w:val="0"/>
          <w:kern w:val="0"/>
        </w:rPr>
      </w:pPr>
      <w:bookmarkStart w:id="73" w:name="_Toc474142058"/>
      <w:bookmarkStart w:id="74" w:name="_Toc392228430"/>
      <w:r>
        <w:rPr>
          <w:snapToGrid w:val="0"/>
          <w:kern w:val="0"/>
        </w:rPr>
        <w:t>二氧化硫危险、有害特性见表3-</w:t>
      </w:r>
      <w:r>
        <w:rPr>
          <w:rFonts w:hint="eastAsia"/>
          <w:snapToGrid w:val="0"/>
          <w:kern w:val="0"/>
        </w:rPr>
        <w:t>5</w:t>
      </w:r>
      <w:r>
        <w:rPr>
          <w:snapToGrid w:val="0"/>
          <w:kern w:val="0"/>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napToGrid w:val="0"/>
          <w:kern w:val="0"/>
        </w:rPr>
      </w:pPr>
      <w:r>
        <w:rPr>
          <w:b/>
          <w:bCs/>
          <w:snapToGrid w:val="0"/>
          <w:kern w:val="0"/>
          <w:sz w:val="24"/>
          <w:szCs w:val="24"/>
        </w:rPr>
        <w:t>表3-</w:t>
      </w:r>
      <w:r>
        <w:rPr>
          <w:rFonts w:hint="eastAsia"/>
          <w:b/>
          <w:bCs/>
          <w:snapToGrid w:val="0"/>
          <w:kern w:val="0"/>
          <w:sz w:val="24"/>
          <w:szCs w:val="24"/>
        </w:rPr>
        <w:t>5</w:t>
      </w:r>
      <w:r>
        <w:rPr>
          <w:b/>
          <w:bCs/>
          <w:snapToGrid w:val="0"/>
          <w:kern w:val="0"/>
          <w:sz w:val="24"/>
          <w:szCs w:val="24"/>
        </w:rPr>
        <w:t xml:space="preserve">  二氧化硫危险、有害特性表</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1932"/>
        <w:gridCol w:w="1559"/>
        <w:gridCol w:w="835"/>
        <w:gridCol w:w="1008"/>
        <w:gridCol w:w="142"/>
        <w:gridCol w:w="709"/>
        <w:gridCol w:w="1120"/>
        <w:gridCol w:w="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restart"/>
            <w:noWrap w:val="0"/>
            <w:vAlign w:val="center"/>
          </w:tcPr>
          <w:p>
            <w:pPr>
              <w:spacing w:line="240" w:lineRule="auto"/>
              <w:ind w:firstLine="0" w:firstLineChars="0"/>
              <w:jc w:val="center"/>
              <w:rPr>
                <w:snapToGrid w:val="0"/>
                <w:kern w:val="0"/>
                <w:sz w:val="21"/>
                <w:szCs w:val="21"/>
              </w:rPr>
            </w:pPr>
            <w:r>
              <w:rPr>
                <w:snapToGrid w:val="0"/>
                <w:kern w:val="0"/>
                <w:sz w:val="21"/>
                <w:szCs w:val="21"/>
              </w:rPr>
              <w:t>标识</w:t>
            </w: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中文名</w:t>
            </w:r>
          </w:p>
        </w:tc>
        <w:tc>
          <w:tcPr>
            <w:tcW w:w="1559" w:type="dxa"/>
            <w:noWrap w:val="0"/>
            <w:vAlign w:val="center"/>
          </w:tcPr>
          <w:p>
            <w:pPr>
              <w:spacing w:line="240" w:lineRule="auto"/>
              <w:ind w:firstLine="0" w:firstLineChars="0"/>
              <w:rPr>
                <w:snapToGrid w:val="0"/>
                <w:kern w:val="0"/>
                <w:sz w:val="21"/>
                <w:szCs w:val="21"/>
              </w:rPr>
            </w:pPr>
            <w:r>
              <w:rPr>
                <w:snapToGrid w:val="0"/>
                <w:kern w:val="0"/>
                <w:sz w:val="21"/>
                <w:szCs w:val="21"/>
              </w:rPr>
              <w:t>二氧化硫</w:t>
            </w:r>
          </w:p>
        </w:tc>
        <w:tc>
          <w:tcPr>
            <w:tcW w:w="1985" w:type="dxa"/>
            <w:gridSpan w:val="3"/>
            <w:noWrap w:val="0"/>
            <w:vAlign w:val="center"/>
          </w:tcPr>
          <w:p>
            <w:pPr>
              <w:spacing w:line="240" w:lineRule="auto"/>
              <w:ind w:firstLine="0" w:firstLineChars="0"/>
              <w:rPr>
                <w:snapToGrid w:val="0"/>
                <w:kern w:val="0"/>
                <w:sz w:val="21"/>
                <w:szCs w:val="21"/>
              </w:rPr>
            </w:pPr>
            <w:r>
              <w:rPr>
                <w:snapToGrid w:val="0"/>
                <w:kern w:val="0"/>
                <w:sz w:val="21"/>
                <w:szCs w:val="21"/>
              </w:rPr>
              <w:t>CAS</w:t>
            </w:r>
          </w:p>
        </w:tc>
        <w:tc>
          <w:tcPr>
            <w:tcW w:w="2446" w:type="dxa"/>
            <w:gridSpan w:val="3"/>
            <w:noWrap w:val="0"/>
            <w:vAlign w:val="center"/>
          </w:tcPr>
          <w:p>
            <w:pPr>
              <w:spacing w:line="240" w:lineRule="auto"/>
              <w:ind w:firstLine="0" w:firstLineChars="0"/>
              <w:rPr>
                <w:snapToGrid w:val="0"/>
                <w:kern w:val="0"/>
                <w:sz w:val="21"/>
                <w:szCs w:val="21"/>
              </w:rPr>
            </w:pPr>
            <w:r>
              <w:rPr>
                <w:snapToGrid w:val="0"/>
                <w:kern w:val="0"/>
                <w:sz w:val="21"/>
                <w:szCs w:val="21"/>
              </w:rPr>
              <w:t>7446-09-5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UN编号</w:t>
            </w:r>
          </w:p>
        </w:tc>
        <w:tc>
          <w:tcPr>
            <w:tcW w:w="1559" w:type="dxa"/>
            <w:noWrap w:val="0"/>
            <w:vAlign w:val="center"/>
          </w:tcPr>
          <w:p>
            <w:pPr>
              <w:spacing w:line="240" w:lineRule="auto"/>
              <w:ind w:firstLine="0" w:firstLineChars="0"/>
              <w:rPr>
                <w:snapToGrid w:val="0"/>
                <w:kern w:val="0"/>
                <w:sz w:val="21"/>
                <w:szCs w:val="21"/>
              </w:rPr>
            </w:pPr>
            <w:r>
              <w:rPr>
                <w:snapToGrid w:val="0"/>
                <w:kern w:val="0"/>
                <w:sz w:val="21"/>
                <w:szCs w:val="21"/>
              </w:rPr>
              <w:t>1079</w:t>
            </w:r>
          </w:p>
        </w:tc>
        <w:tc>
          <w:tcPr>
            <w:tcW w:w="1985" w:type="dxa"/>
            <w:gridSpan w:val="3"/>
            <w:noWrap w:val="0"/>
            <w:vAlign w:val="center"/>
          </w:tcPr>
          <w:p>
            <w:pPr>
              <w:spacing w:line="240" w:lineRule="auto"/>
              <w:ind w:firstLine="0" w:firstLineChars="0"/>
              <w:rPr>
                <w:snapToGrid w:val="0"/>
                <w:kern w:val="0"/>
                <w:sz w:val="21"/>
                <w:szCs w:val="21"/>
              </w:rPr>
            </w:pPr>
            <w:r>
              <w:rPr>
                <w:snapToGrid w:val="0"/>
                <w:kern w:val="0"/>
                <w:sz w:val="21"/>
                <w:szCs w:val="21"/>
              </w:rPr>
              <w:t>危险货物编号</w:t>
            </w:r>
          </w:p>
        </w:tc>
        <w:tc>
          <w:tcPr>
            <w:tcW w:w="2446" w:type="dxa"/>
            <w:gridSpan w:val="3"/>
            <w:noWrap w:val="0"/>
            <w:vAlign w:val="center"/>
          </w:tcPr>
          <w:p>
            <w:pPr>
              <w:spacing w:line="240" w:lineRule="auto"/>
              <w:ind w:firstLine="0" w:firstLineChars="0"/>
              <w:rPr>
                <w:snapToGrid w:val="0"/>
                <w:kern w:val="0"/>
                <w:sz w:val="21"/>
                <w:szCs w:val="21"/>
              </w:rPr>
            </w:pPr>
            <w:r>
              <w:rPr>
                <w:snapToGrid w:val="0"/>
                <w:kern w:val="0"/>
                <w:sz w:val="21"/>
                <w:szCs w:val="21"/>
              </w:rPr>
              <w:t>23013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restart"/>
            <w:noWrap w:val="0"/>
            <w:vAlign w:val="center"/>
          </w:tcPr>
          <w:p>
            <w:pPr>
              <w:spacing w:line="240" w:lineRule="auto"/>
              <w:ind w:firstLine="0" w:firstLineChars="0"/>
              <w:jc w:val="center"/>
              <w:rPr>
                <w:snapToGrid w:val="0"/>
                <w:kern w:val="0"/>
                <w:sz w:val="21"/>
                <w:szCs w:val="21"/>
              </w:rPr>
            </w:pPr>
            <w:r>
              <w:rPr>
                <w:snapToGrid w:val="0"/>
                <w:kern w:val="0"/>
                <w:sz w:val="21"/>
                <w:szCs w:val="21"/>
              </w:rPr>
              <w:t>理化性质</w:t>
            </w: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外观性状</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无色气体，特臭。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主要用途</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用于制造硫酸和保险粉等。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溶解性</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溶于水、乙醇。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熔点（℃）</w:t>
            </w:r>
          </w:p>
        </w:tc>
        <w:tc>
          <w:tcPr>
            <w:tcW w:w="1559" w:type="dxa"/>
            <w:noWrap w:val="0"/>
            <w:vAlign w:val="center"/>
          </w:tcPr>
          <w:p>
            <w:pPr>
              <w:spacing w:line="240" w:lineRule="auto"/>
              <w:ind w:firstLine="0" w:firstLineChars="0"/>
              <w:rPr>
                <w:snapToGrid w:val="0"/>
                <w:kern w:val="0"/>
                <w:sz w:val="21"/>
                <w:szCs w:val="21"/>
              </w:rPr>
            </w:pPr>
            <w:r>
              <w:rPr>
                <w:snapToGrid w:val="0"/>
                <w:kern w:val="0"/>
                <w:sz w:val="21"/>
                <w:szCs w:val="21"/>
              </w:rPr>
              <w:t>-75.5</w:t>
            </w:r>
          </w:p>
        </w:tc>
        <w:tc>
          <w:tcPr>
            <w:tcW w:w="1985" w:type="dxa"/>
            <w:gridSpan w:val="3"/>
            <w:noWrap w:val="0"/>
            <w:vAlign w:val="center"/>
          </w:tcPr>
          <w:p>
            <w:pPr>
              <w:spacing w:line="240" w:lineRule="auto"/>
              <w:ind w:firstLine="0" w:firstLineChars="0"/>
              <w:rPr>
                <w:snapToGrid w:val="0"/>
                <w:kern w:val="0"/>
                <w:sz w:val="21"/>
                <w:szCs w:val="21"/>
              </w:rPr>
            </w:pPr>
            <w:r>
              <w:rPr>
                <w:snapToGrid w:val="0"/>
                <w:kern w:val="0"/>
                <w:sz w:val="21"/>
                <w:szCs w:val="21"/>
              </w:rPr>
              <w:t>燃烧热（kJ/mol）</w:t>
            </w:r>
          </w:p>
        </w:tc>
        <w:tc>
          <w:tcPr>
            <w:tcW w:w="2446" w:type="dxa"/>
            <w:gridSpan w:val="3"/>
            <w:noWrap w:val="0"/>
            <w:vAlign w:val="center"/>
          </w:tcPr>
          <w:p>
            <w:pPr>
              <w:spacing w:line="240" w:lineRule="auto"/>
              <w:ind w:firstLine="0" w:firstLineChars="0"/>
              <w:rPr>
                <w:snapToGrid w:val="0"/>
                <w:kern w:val="0"/>
                <w:sz w:val="21"/>
                <w:szCs w:val="21"/>
              </w:rPr>
            </w:pPr>
            <w:r>
              <w:rPr>
                <w:snapToGrid w:val="0"/>
                <w:kern w:val="0"/>
                <w:sz w:val="21"/>
                <w:szCs w:val="21"/>
              </w:rPr>
              <w:t>无意义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沸点（℃）</w:t>
            </w:r>
          </w:p>
        </w:tc>
        <w:tc>
          <w:tcPr>
            <w:tcW w:w="1559" w:type="dxa"/>
            <w:noWrap w:val="0"/>
            <w:vAlign w:val="center"/>
          </w:tcPr>
          <w:p>
            <w:pPr>
              <w:spacing w:line="240" w:lineRule="auto"/>
              <w:ind w:firstLine="0" w:firstLineChars="0"/>
              <w:rPr>
                <w:snapToGrid w:val="0"/>
                <w:kern w:val="0"/>
                <w:sz w:val="21"/>
                <w:szCs w:val="21"/>
              </w:rPr>
            </w:pPr>
            <w:r>
              <w:rPr>
                <w:snapToGrid w:val="0"/>
                <w:kern w:val="0"/>
                <w:sz w:val="21"/>
                <w:szCs w:val="21"/>
              </w:rPr>
              <w:t>-10</w:t>
            </w:r>
          </w:p>
        </w:tc>
        <w:tc>
          <w:tcPr>
            <w:tcW w:w="1985" w:type="dxa"/>
            <w:gridSpan w:val="3"/>
            <w:noWrap w:val="0"/>
            <w:vAlign w:val="center"/>
          </w:tcPr>
          <w:p>
            <w:pPr>
              <w:spacing w:line="240" w:lineRule="auto"/>
              <w:ind w:firstLine="0" w:firstLineChars="0"/>
              <w:rPr>
                <w:snapToGrid w:val="0"/>
                <w:kern w:val="0"/>
                <w:sz w:val="21"/>
                <w:szCs w:val="21"/>
              </w:rPr>
            </w:pPr>
            <w:r>
              <w:rPr>
                <w:snapToGrid w:val="0"/>
                <w:kern w:val="0"/>
                <w:sz w:val="21"/>
                <w:szCs w:val="21"/>
              </w:rPr>
              <w:t>饱和蒸气压（kPa）</w:t>
            </w:r>
          </w:p>
        </w:tc>
        <w:tc>
          <w:tcPr>
            <w:tcW w:w="2446" w:type="dxa"/>
            <w:gridSpan w:val="3"/>
            <w:noWrap w:val="0"/>
            <w:vAlign w:val="center"/>
          </w:tcPr>
          <w:p>
            <w:pPr>
              <w:spacing w:line="240" w:lineRule="auto"/>
              <w:ind w:firstLine="0" w:firstLineChars="0"/>
              <w:rPr>
                <w:snapToGrid w:val="0"/>
                <w:kern w:val="0"/>
                <w:sz w:val="21"/>
                <w:szCs w:val="21"/>
              </w:rPr>
            </w:pPr>
            <w:r>
              <w:rPr>
                <w:snapToGrid w:val="0"/>
                <w:kern w:val="0"/>
                <w:sz w:val="21"/>
                <w:szCs w:val="21"/>
              </w:rPr>
              <w:t>338.42(21.1℃)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相对密度（水=1）</w:t>
            </w:r>
          </w:p>
        </w:tc>
        <w:tc>
          <w:tcPr>
            <w:tcW w:w="1559" w:type="dxa"/>
            <w:noWrap w:val="0"/>
            <w:vAlign w:val="center"/>
          </w:tcPr>
          <w:p>
            <w:pPr>
              <w:spacing w:line="240" w:lineRule="auto"/>
              <w:ind w:firstLine="0" w:firstLineChars="0"/>
              <w:rPr>
                <w:snapToGrid w:val="0"/>
                <w:kern w:val="0"/>
                <w:sz w:val="21"/>
                <w:szCs w:val="21"/>
              </w:rPr>
            </w:pPr>
            <w:r>
              <w:rPr>
                <w:snapToGrid w:val="0"/>
                <w:kern w:val="0"/>
                <w:sz w:val="21"/>
                <w:szCs w:val="21"/>
              </w:rPr>
              <w:t>1.43</w:t>
            </w:r>
          </w:p>
        </w:tc>
        <w:tc>
          <w:tcPr>
            <w:tcW w:w="1985" w:type="dxa"/>
            <w:gridSpan w:val="3"/>
            <w:noWrap w:val="0"/>
            <w:vAlign w:val="center"/>
          </w:tcPr>
          <w:p>
            <w:pPr>
              <w:spacing w:line="240" w:lineRule="auto"/>
              <w:ind w:firstLine="0" w:firstLineChars="0"/>
              <w:rPr>
                <w:snapToGrid w:val="0"/>
                <w:kern w:val="0"/>
                <w:sz w:val="21"/>
                <w:szCs w:val="21"/>
              </w:rPr>
            </w:pPr>
            <w:r>
              <w:rPr>
                <w:snapToGrid w:val="0"/>
                <w:kern w:val="0"/>
                <w:sz w:val="21"/>
                <w:szCs w:val="21"/>
              </w:rPr>
              <w:t>临界温度（℃）</w:t>
            </w:r>
          </w:p>
        </w:tc>
        <w:tc>
          <w:tcPr>
            <w:tcW w:w="2446" w:type="dxa"/>
            <w:gridSpan w:val="3"/>
            <w:noWrap w:val="0"/>
            <w:vAlign w:val="center"/>
          </w:tcPr>
          <w:p>
            <w:pPr>
              <w:spacing w:line="240" w:lineRule="auto"/>
              <w:ind w:firstLine="0" w:firstLineChars="0"/>
              <w:rPr>
                <w:snapToGrid w:val="0"/>
                <w:kern w:val="0"/>
                <w:sz w:val="21"/>
                <w:szCs w:val="21"/>
              </w:rPr>
            </w:pPr>
            <w:r>
              <w:rPr>
                <w:snapToGrid w:val="0"/>
                <w:kern w:val="0"/>
                <w:sz w:val="21"/>
                <w:szCs w:val="21"/>
              </w:rPr>
              <w:t>157.8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相对密度（空气=1）</w:t>
            </w:r>
          </w:p>
        </w:tc>
        <w:tc>
          <w:tcPr>
            <w:tcW w:w="1559" w:type="dxa"/>
            <w:noWrap w:val="0"/>
            <w:vAlign w:val="center"/>
          </w:tcPr>
          <w:p>
            <w:pPr>
              <w:spacing w:line="240" w:lineRule="auto"/>
              <w:ind w:firstLine="0" w:firstLineChars="0"/>
              <w:rPr>
                <w:snapToGrid w:val="0"/>
                <w:kern w:val="0"/>
                <w:sz w:val="21"/>
                <w:szCs w:val="21"/>
              </w:rPr>
            </w:pPr>
            <w:r>
              <w:rPr>
                <w:snapToGrid w:val="0"/>
                <w:kern w:val="0"/>
                <w:sz w:val="21"/>
                <w:szCs w:val="21"/>
              </w:rPr>
              <w:t>2.26</w:t>
            </w:r>
          </w:p>
        </w:tc>
        <w:tc>
          <w:tcPr>
            <w:tcW w:w="1985" w:type="dxa"/>
            <w:gridSpan w:val="3"/>
            <w:noWrap w:val="0"/>
            <w:vAlign w:val="center"/>
          </w:tcPr>
          <w:p>
            <w:pPr>
              <w:spacing w:line="240" w:lineRule="auto"/>
              <w:ind w:firstLine="0" w:firstLineChars="0"/>
              <w:rPr>
                <w:snapToGrid w:val="0"/>
                <w:kern w:val="0"/>
                <w:sz w:val="21"/>
                <w:szCs w:val="21"/>
              </w:rPr>
            </w:pPr>
            <w:r>
              <w:rPr>
                <w:snapToGrid w:val="0"/>
                <w:kern w:val="0"/>
                <w:sz w:val="21"/>
                <w:szCs w:val="21"/>
              </w:rPr>
              <w:t>临界压力（MPa）</w:t>
            </w:r>
          </w:p>
        </w:tc>
        <w:tc>
          <w:tcPr>
            <w:tcW w:w="2446" w:type="dxa"/>
            <w:gridSpan w:val="3"/>
            <w:noWrap w:val="0"/>
            <w:vAlign w:val="center"/>
          </w:tcPr>
          <w:p>
            <w:pPr>
              <w:spacing w:line="240" w:lineRule="auto"/>
              <w:ind w:firstLine="0" w:firstLineChars="0"/>
              <w:rPr>
                <w:snapToGrid w:val="0"/>
                <w:kern w:val="0"/>
                <w:sz w:val="21"/>
                <w:szCs w:val="21"/>
              </w:rPr>
            </w:pPr>
            <w:r>
              <w:rPr>
                <w:snapToGrid w:val="0"/>
                <w:kern w:val="0"/>
                <w:sz w:val="21"/>
                <w:szCs w:val="21"/>
              </w:rPr>
              <w:t>7.87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restart"/>
            <w:noWrap w:val="0"/>
            <w:vAlign w:val="center"/>
          </w:tcPr>
          <w:p>
            <w:pPr>
              <w:spacing w:line="240" w:lineRule="auto"/>
              <w:ind w:firstLine="0" w:firstLineChars="0"/>
              <w:jc w:val="center"/>
              <w:rPr>
                <w:snapToGrid w:val="0"/>
                <w:kern w:val="0"/>
                <w:sz w:val="21"/>
                <w:szCs w:val="21"/>
              </w:rPr>
            </w:pPr>
            <w:r>
              <w:rPr>
                <w:snapToGrid w:val="0"/>
                <w:kern w:val="0"/>
                <w:sz w:val="21"/>
                <w:szCs w:val="21"/>
              </w:rPr>
              <w:t>燃烧爆炸危险性</w:t>
            </w: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燃烧性：</w:t>
            </w:r>
          </w:p>
        </w:tc>
        <w:tc>
          <w:tcPr>
            <w:tcW w:w="1559" w:type="dxa"/>
            <w:noWrap w:val="0"/>
            <w:vAlign w:val="center"/>
          </w:tcPr>
          <w:p>
            <w:pPr>
              <w:spacing w:line="240" w:lineRule="auto"/>
              <w:ind w:firstLine="0" w:firstLineChars="0"/>
              <w:rPr>
                <w:snapToGrid w:val="0"/>
                <w:kern w:val="0"/>
                <w:sz w:val="21"/>
                <w:szCs w:val="21"/>
              </w:rPr>
            </w:pPr>
            <w:r>
              <w:rPr>
                <w:snapToGrid w:val="0"/>
                <w:kern w:val="0"/>
                <w:sz w:val="21"/>
                <w:szCs w:val="21"/>
              </w:rPr>
              <w:t>不燃</w:t>
            </w:r>
          </w:p>
        </w:tc>
        <w:tc>
          <w:tcPr>
            <w:tcW w:w="1985" w:type="dxa"/>
            <w:gridSpan w:val="3"/>
            <w:vMerge w:val="restart"/>
            <w:noWrap w:val="0"/>
            <w:vAlign w:val="center"/>
          </w:tcPr>
          <w:p>
            <w:pPr>
              <w:spacing w:line="240" w:lineRule="auto"/>
              <w:ind w:firstLine="0" w:firstLineChars="0"/>
              <w:rPr>
                <w:snapToGrid w:val="0"/>
                <w:kern w:val="0"/>
                <w:sz w:val="21"/>
                <w:szCs w:val="21"/>
              </w:rPr>
            </w:pPr>
            <w:r>
              <w:rPr>
                <w:snapToGrid w:val="0"/>
                <w:kern w:val="0"/>
                <w:sz w:val="21"/>
                <w:szCs w:val="21"/>
              </w:rPr>
              <w:t>危险特性</w:t>
            </w:r>
          </w:p>
        </w:tc>
        <w:tc>
          <w:tcPr>
            <w:tcW w:w="2446" w:type="dxa"/>
            <w:gridSpan w:val="3"/>
            <w:vMerge w:val="restart"/>
            <w:noWrap w:val="0"/>
            <w:vAlign w:val="center"/>
          </w:tcPr>
          <w:p>
            <w:pPr>
              <w:spacing w:line="240" w:lineRule="auto"/>
              <w:ind w:firstLine="0" w:firstLineChars="0"/>
              <w:rPr>
                <w:snapToGrid w:val="0"/>
                <w:kern w:val="0"/>
                <w:sz w:val="21"/>
                <w:szCs w:val="21"/>
              </w:rPr>
            </w:pPr>
            <w:r>
              <w:rPr>
                <w:snapToGrid w:val="0"/>
                <w:kern w:val="0"/>
                <w:sz w:val="21"/>
                <w:szCs w:val="21"/>
              </w:rPr>
              <w:t>不燃。若遇高热，容器内压增大，有开裂和爆炸的危险。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建规火险分级</w:t>
            </w:r>
          </w:p>
        </w:tc>
        <w:tc>
          <w:tcPr>
            <w:tcW w:w="1559" w:type="dxa"/>
            <w:noWrap w:val="0"/>
            <w:vAlign w:val="center"/>
          </w:tcPr>
          <w:p>
            <w:pPr>
              <w:spacing w:line="240" w:lineRule="auto"/>
              <w:ind w:firstLine="0" w:firstLineChars="0"/>
              <w:rPr>
                <w:snapToGrid w:val="0"/>
                <w:kern w:val="0"/>
                <w:sz w:val="21"/>
                <w:szCs w:val="21"/>
              </w:rPr>
            </w:pPr>
            <w:r>
              <w:rPr>
                <w:snapToGrid w:val="0"/>
                <w:kern w:val="0"/>
                <w:sz w:val="21"/>
                <w:szCs w:val="21"/>
              </w:rPr>
              <w:t>戊</w:t>
            </w:r>
          </w:p>
        </w:tc>
        <w:tc>
          <w:tcPr>
            <w:tcW w:w="1985" w:type="dxa"/>
            <w:gridSpan w:val="3"/>
            <w:vMerge w:val="continue"/>
            <w:noWrap w:val="0"/>
            <w:vAlign w:val="center"/>
          </w:tcPr>
          <w:p>
            <w:pPr>
              <w:spacing w:line="240" w:lineRule="auto"/>
              <w:ind w:firstLine="0" w:firstLineChars="0"/>
              <w:rPr>
                <w:snapToGrid w:val="0"/>
                <w:kern w:val="0"/>
                <w:sz w:val="21"/>
                <w:szCs w:val="21"/>
              </w:rPr>
            </w:pPr>
          </w:p>
        </w:tc>
        <w:tc>
          <w:tcPr>
            <w:tcW w:w="2446" w:type="dxa"/>
            <w:gridSpan w:val="3"/>
            <w:vMerge w:val="continue"/>
            <w:noWrap w:val="0"/>
            <w:vAlign w:val="center"/>
          </w:tcPr>
          <w:p>
            <w:pPr>
              <w:spacing w:line="240" w:lineRule="auto"/>
              <w:ind w:firstLine="0" w:firstLineChars="0"/>
              <w:rPr>
                <w:snapToGrid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爆炸上限（V/%）</w:t>
            </w:r>
          </w:p>
        </w:tc>
        <w:tc>
          <w:tcPr>
            <w:tcW w:w="1559" w:type="dxa"/>
            <w:noWrap w:val="0"/>
            <w:vAlign w:val="center"/>
          </w:tcPr>
          <w:p>
            <w:pPr>
              <w:spacing w:line="240" w:lineRule="auto"/>
              <w:ind w:firstLine="0" w:firstLineChars="0"/>
              <w:rPr>
                <w:snapToGrid w:val="0"/>
                <w:kern w:val="0"/>
                <w:sz w:val="21"/>
                <w:szCs w:val="21"/>
              </w:rPr>
            </w:pPr>
            <w:r>
              <w:rPr>
                <w:snapToGrid w:val="0"/>
                <w:kern w:val="0"/>
                <w:sz w:val="21"/>
                <w:szCs w:val="21"/>
              </w:rPr>
              <w:t>无意义</w:t>
            </w:r>
          </w:p>
        </w:tc>
        <w:tc>
          <w:tcPr>
            <w:tcW w:w="1985" w:type="dxa"/>
            <w:gridSpan w:val="3"/>
            <w:noWrap w:val="0"/>
            <w:vAlign w:val="center"/>
          </w:tcPr>
          <w:p>
            <w:pPr>
              <w:spacing w:line="240" w:lineRule="auto"/>
              <w:ind w:firstLine="0" w:firstLineChars="0"/>
              <w:rPr>
                <w:snapToGrid w:val="0"/>
                <w:kern w:val="0"/>
                <w:sz w:val="21"/>
                <w:szCs w:val="21"/>
              </w:rPr>
            </w:pPr>
            <w:r>
              <w:rPr>
                <w:snapToGrid w:val="0"/>
                <w:kern w:val="0"/>
                <w:sz w:val="21"/>
                <w:szCs w:val="21"/>
              </w:rPr>
              <w:t>燃烧（分解）产物</w:t>
            </w:r>
          </w:p>
        </w:tc>
        <w:tc>
          <w:tcPr>
            <w:tcW w:w="2446" w:type="dxa"/>
            <w:gridSpan w:val="3"/>
            <w:noWrap w:val="0"/>
            <w:vAlign w:val="center"/>
          </w:tcPr>
          <w:p>
            <w:pPr>
              <w:spacing w:line="240" w:lineRule="auto"/>
              <w:ind w:firstLine="0" w:firstLineChars="0"/>
              <w:rPr>
                <w:snapToGrid w:val="0"/>
                <w:kern w:val="0"/>
                <w:sz w:val="21"/>
                <w:szCs w:val="21"/>
              </w:rPr>
            </w:pPr>
            <w:r>
              <w:rPr>
                <w:snapToGrid w:val="0"/>
                <w:kern w:val="0"/>
                <w:sz w:val="21"/>
                <w:szCs w:val="21"/>
              </w:rPr>
              <w:t>氧化硫。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稳定性</w:t>
            </w:r>
          </w:p>
        </w:tc>
        <w:tc>
          <w:tcPr>
            <w:tcW w:w="1559" w:type="dxa"/>
            <w:noWrap w:val="0"/>
            <w:vAlign w:val="center"/>
          </w:tcPr>
          <w:p>
            <w:pPr>
              <w:spacing w:line="240" w:lineRule="auto"/>
              <w:ind w:firstLine="0" w:firstLineChars="0"/>
              <w:rPr>
                <w:snapToGrid w:val="0"/>
                <w:kern w:val="0"/>
                <w:sz w:val="21"/>
                <w:szCs w:val="21"/>
              </w:rPr>
            </w:pPr>
            <w:r>
              <w:rPr>
                <w:snapToGrid w:val="0"/>
                <w:kern w:val="0"/>
                <w:sz w:val="21"/>
                <w:szCs w:val="21"/>
              </w:rPr>
              <w:t>稳定</w:t>
            </w:r>
          </w:p>
        </w:tc>
        <w:tc>
          <w:tcPr>
            <w:tcW w:w="835" w:type="dxa"/>
            <w:noWrap w:val="0"/>
            <w:vAlign w:val="center"/>
          </w:tcPr>
          <w:p>
            <w:pPr>
              <w:spacing w:line="240" w:lineRule="auto"/>
              <w:ind w:firstLine="0" w:firstLineChars="0"/>
              <w:rPr>
                <w:snapToGrid w:val="0"/>
                <w:kern w:val="0"/>
                <w:sz w:val="21"/>
                <w:szCs w:val="21"/>
              </w:rPr>
            </w:pPr>
            <w:r>
              <w:rPr>
                <w:snapToGrid w:val="0"/>
                <w:kern w:val="0"/>
                <w:sz w:val="21"/>
                <w:szCs w:val="21"/>
              </w:rPr>
              <w:t>灭火方法</w:t>
            </w:r>
          </w:p>
        </w:tc>
        <w:tc>
          <w:tcPr>
            <w:tcW w:w="3596" w:type="dxa"/>
            <w:gridSpan w:val="5"/>
            <w:noWrap w:val="0"/>
            <w:vAlign w:val="center"/>
          </w:tcPr>
          <w:p>
            <w:pPr>
              <w:spacing w:line="240" w:lineRule="auto"/>
              <w:ind w:firstLine="0" w:firstLineChars="0"/>
              <w:rPr>
                <w:snapToGrid w:val="0"/>
                <w:kern w:val="0"/>
                <w:sz w:val="21"/>
                <w:szCs w:val="21"/>
              </w:rPr>
            </w:pPr>
            <w:r>
              <w:rPr>
                <w:snapToGrid w:val="0"/>
                <w:kern w:val="0"/>
                <w:sz w:val="21"/>
                <w:szCs w:val="21"/>
              </w:rPr>
              <w:t>本品不燃。消防人员必须佩戴过滤式防毒面具(全面罩)或隔离式呼吸器、穿全身防火防毒服，在上风向灭火。切断气源。喷水冷却容器，可能的话将容器从火场移至空旷处。灭火剂：雾状水、泡沫、二氧化碳。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聚合危害</w:t>
            </w:r>
          </w:p>
        </w:tc>
        <w:tc>
          <w:tcPr>
            <w:tcW w:w="1559" w:type="dxa"/>
            <w:noWrap w:val="0"/>
            <w:vAlign w:val="center"/>
          </w:tcPr>
          <w:p>
            <w:pPr>
              <w:spacing w:line="240" w:lineRule="auto"/>
              <w:ind w:firstLine="0" w:firstLineChars="0"/>
              <w:rPr>
                <w:snapToGrid w:val="0"/>
                <w:kern w:val="0"/>
                <w:sz w:val="21"/>
                <w:szCs w:val="21"/>
              </w:rPr>
            </w:pPr>
            <w:r>
              <w:rPr>
                <w:snapToGrid w:val="0"/>
                <w:kern w:val="0"/>
                <w:sz w:val="21"/>
                <w:szCs w:val="21"/>
              </w:rPr>
              <w:t>不能出现</w:t>
            </w:r>
          </w:p>
        </w:tc>
        <w:tc>
          <w:tcPr>
            <w:tcW w:w="1843" w:type="dxa"/>
            <w:gridSpan w:val="2"/>
            <w:noWrap w:val="0"/>
            <w:vAlign w:val="center"/>
          </w:tcPr>
          <w:p>
            <w:pPr>
              <w:spacing w:line="240" w:lineRule="auto"/>
              <w:ind w:firstLine="0" w:firstLineChars="0"/>
              <w:rPr>
                <w:snapToGrid w:val="0"/>
                <w:kern w:val="0"/>
                <w:sz w:val="21"/>
                <w:szCs w:val="21"/>
              </w:rPr>
            </w:pPr>
            <w:r>
              <w:rPr>
                <w:snapToGrid w:val="0"/>
                <w:kern w:val="0"/>
                <w:sz w:val="21"/>
                <w:szCs w:val="21"/>
              </w:rPr>
              <w:t>禁忌物</w:t>
            </w:r>
          </w:p>
        </w:tc>
        <w:tc>
          <w:tcPr>
            <w:tcW w:w="2588" w:type="dxa"/>
            <w:gridSpan w:val="4"/>
            <w:noWrap w:val="0"/>
            <w:vAlign w:val="center"/>
          </w:tcPr>
          <w:p>
            <w:pPr>
              <w:spacing w:line="240" w:lineRule="auto"/>
              <w:ind w:firstLine="0" w:firstLineChars="0"/>
              <w:rPr>
                <w:snapToGrid w:val="0"/>
                <w:kern w:val="0"/>
                <w:sz w:val="21"/>
                <w:szCs w:val="21"/>
              </w:rPr>
            </w:pPr>
            <w:r>
              <w:rPr>
                <w:snapToGrid w:val="0"/>
                <w:kern w:val="0"/>
                <w:sz w:val="21"/>
                <w:szCs w:val="21"/>
              </w:rPr>
              <w:t>强还原剂、强氧化剂、易燃或可燃物。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restart"/>
            <w:noWrap w:val="0"/>
            <w:vAlign w:val="center"/>
          </w:tcPr>
          <w:p>
            <w:pPr>
              <w:spacing w:line="240" w:lineRule="auto"/>
              <w:ind w:firstLine="0" w:firstLineChars="0"/>
              <w:jc w:val="center"/>
              <w:rPr>
                <w:snapToGrid w:val="0"/>
                <w:kern w:val="0"/>
                <w:sz w:val="21"/>
                <w:szCs w:val="21"/>
              </w:rPr>
            </w:pPr>
            <w:r>
              <w:rPr>
                <w:snapToGrid w:val="0"/>
                <w:kern w:val="0"/>
                <w:sz w:val="21"/>
                <w:szCs w:val="21"/>
              </w:rPr>
              <w:t>包装与储运</w:t>
            </w: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危险性类别</w:t>
            </w:r>
          </w:p>
        </w:tc>
        <w:tc>
          <w:tcPr>
            <w:tcW w:w="1559" w:type="dxa"/>
            <w:noWrap w:val="0"/>
            <w:vAlign w:val="center"/>
          </w:tcPr>
          <w:p>
            <w:pPr>
              <w:spacing w:line="240" w:lineRule="auto"/>
              <w:ind w:firstLine="0" w:firstLineChars="0"/>
              <w:rPr>
                <w:snapToGrid w:val="0"/>
                <w:kern w:val="0"/>
                <w:sz w:val="21"/>
                <w:szCs w:val="21"/>
              </w:rPr>
            </w:pPr>
            <w:r>
              <w:rPr>
                <w:snapToGrid w:val="0"/>
                <w:kern w:val="0"/>
                <w:sz w:val="21"/>
                <w:szCs w:val="21"/>
              </w:rPr>
              <w:t>第2.3 类</w:t>
            </w:r>
          </w:p>
          <w:p>
            <w:pPr>
              <w:spacing w:line="240" w:lineRule="auto"/>
              <w:ind w:firstLine="0" w:firstLineChars="0"/>
              <w:rPr>
                <w:snapToGrid w:val="0"/>
                <w:kern w:val="0"/>
                <w:sz w:val="21"/>
                <w:szCs w:val="21"/>
              </w:rPr>
            </w:pPr>
            <w:r>
              <w:rPr>
                <w:snapToGrid w:val="0"/>
                <w:kern w:val="0"/>
                <w:sz w:val="21"/>
                <w:szCs w:val="21"/>
              </w:rPr>
              <w:t>有毒气体</w:t>
            </w:r>
          </w:p>
        </w:tc>
        <w:tc>
          <w:tcPr>
            <w:tcW w:w="1843" w:type="dxa"/>
            <w:gridSpan w:val="2"/>
            <w:noWrap w:val="0"/>
            <w:vAlign w:val="center"/>
          </w:tcPr>
          <w:p>
            <w:pPr>
              <w:spacing w:line="240" w:lineRule="auto"/>
              <w:ind w:firstLine="0" w:firstLineChars="0"/>
              <w:rPr>
                <w:snapToGrid w:val="0"/>
                <w:kern w:val="0"/>
                <w:sz w:val="21"/>
                <w:szCs w:val="21"/>
              </w:rPr>
            </w:pPr>
            <w:r>
              <w:rPr>
                <w:snapToGrid w:val="0"/>
                <w:kern w:val="0"/>
                <w:sz w:val="21"/>
                <w:szCs w:val="21"/>
              </w:rPr>
              <w:t>危险货物包装标志</w:t>
            </w:r>
          </w:p>
        </w:tc>
        <w:tc>
          <w:tcPr>
            <w:tcW w:w="851" w:type="dxa"/>
            <w:gridSpan w:val="2"/>
            <w:noWrap w:val="0"/>
            <w:vAlign w:val="center"/>
          </w:tcPr>
          <w:p>
            <w:pPr>
              <w:spacing w:line="240" w:lineRule="auto"/>
              <w:ind w:firstLine="0" w:firstLineChars="0"/>
              <w:rPr>
                <w:snapToGrid w:val="0"/>
                <w:kern w:val="0"/>
                <w:sz w:val="21"/>
                <w:szCs w:val="21"/>
              </w:rPr>
            </w:pPr>
            <w:r>
              <w:rPr>
                <w:snapToGrid w:val="0"/>
                <w:kern w:val="0"/>
                <w:sz w:val="21"/>
                <w:szCs w:val="21"/>
              </w:rPr>
              <w:t>无资料</w:t>
            </w:r>
          </w:p>
        </w:tc>
        <w:tc>
          <w:tcPr>
            <w:tcW w:w="1120" w:type="dxa"/>
            <w:noWrap w:val="0"/>
            <w:vAlign w:val="center"/>
          </w:tcPr>
          <w:p>
            <w:pPr>
              <w:spacing w:line="240" w:lineRule="auto"/>
              <w:ind w:firstLine="0" w:firstLineChars="0"/>
              <w:rPr>
                <w:snapToGrid w:val="0"/>
                <w:kern w:val="0"/>
                <w:sz w:val="21"/>
                <w:szCs w:val="21"/>
              </w:rPr>
            </w:pPr>
            <w:r>
              <w:rPr>
                <w:snapToGrid w:val="0"/>
                <w:kern w:val="0"/>
                <w:sz w:val="21"/>
                <w:szCs w:val="21"/>
              </w:rPr>
              <w:t>包装类别</w:t>
            </w:r>
          </w:p>
        </w:tc>
        <w:tc>
          <w:tcPr>
            <w:tcW w:w="617" w:type="dxa"/>
            <w:noWrap w:val="0"/>
            <w:vAlign w:val="center"/>
          </w:tcPr>
          <w:p>
            <w:pPr>
              <w:spacing w:line="240" w:lineRule="auto"/>
              <w:ind w:firstLine="0" w:firstLineChars="0"/>
              <w:rPr>
                <w:snapToGrid w:val="0"/>
                <w:kern w:val="0"/>
                <w:sz w:val="21"/>
                <w:szCs w:val="21"/>
              </w:rPr>
            </w:pPr>
            <w:r>
              <w:rPr>
                <w:snapToGrid w:val="0"/>
                <w:kern w:val="0"/>
                <w:sz w:val="21"/>
                <w:szCs w:val="21"/>
              </w:rPr>
              <w:t>O52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储运注意事项：</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储存注意事项：储存于阴凉、通风的库房。远离火种、热源。库温不宜超过30℃。应与易（可）燃物、氧化剂、还原剂、食用化学品分开存放，切忌混储。储区应备有泄漏应急处理设备。</w:t>
            </w:r>
          </w:p>
          <w:p>
            <w:pPr>
              <w:spacing w:line="240" w:lineRule="auto"/>
              <w:ind w:firstLine="0" w:firstLineChars="0"/>
              <w:rPr>
                <w:snapToGrid w:val="0"/>
                <w:kern w:val="0"/>
                <w:sz w:val="21"/>
                <w:szCs w:val="21"/>
              </w:rPr>
            </w:pPr>
            <w:r>
              <w:rPr>
                <w:snapToGrid w:val="0"/>
                <w:kern w:val="0"/>
                <w:sz w:val="21"/>
                <w:szCs w:val="21"/>
              </w:rPr>
              <w:t>运输注意事项：本品铁路运输时限使用耐压液化气企业自备罐车装运，装运前需报有关部门批准。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严禁与易燃物或可燃物、氧化剂、还原剂、食用化学品等混装混运。夏季应早晚运输，防止日光曝晒。公路运输时要按规定路线行驶，禁止在居民区和人口稠密区停留。铁路运输时要禁止溜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restart"/>
            <w:noWrap w:val="0"/>
            <w:vAlign w:val="center"/>
          </w:tcPr>
          <w:p>
            <w:pPr>
              <w:spacing w:line="240" w:lineRule="auto"/>
              <w:ind w:firstLine="0" w:firstLineChars="0"/>
              <w:jc w:val="center"/>
              <w:rPr>
                <w:snapToGrid w:val="0"/>
                <w:kern w:val="0"/>
                <w:sz w:val="21"/>
                <w:szCs w:val="21"/>
              </w:rPr>
            </w:pPr>
            <w:r>
              <w:rPr>
                <w:snapToGrid w:val="0"/>
                <w:kern w:val="0"/>
                <w:sz w:val="21"/>
                <w:szCs w:val="21"/>
              </w:rPr>
              <w:t>毒性与健康危害性</w:t>
            </w: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接触限值</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中国TLV(mg/m3)：5.4（2ppm）</w:t>
            </w:r>
          </w:p>
          <w:p>
            <w:pPr>
              <w:spacing w:line="240" w:lineRule="auto"/>
              <w:ind w:firstLine="0" w:firstLineChars="0"/>
              <w:rPr>
                <w:snapToGrid w:val="0"/>
                <w:kern w:val="0"/>
                <w:sz w:val="21"/>
                <w:szCs w:val="21"/>
              </w:rPr>
            </w:pPr>
            <w:r>
              <w:rPr>
                <w:snapToGrid w:val="0"/>
                <w:kern w:val="0"/>
                <w:sz w:val="21"/>
                <w:szCs w:val="21"/>
              </w:rPr>
              <w:t>前苏联MAC(mg/m3)：10</w:t>
            </w:r>
          </w:p>
          <w:p>
            <w:pPr>
              <w:spacing w:line="240" w:lineRule="auto"/>
              <w:ind w:firstLine="0" w:firstLineChars="0"/>
              <w:rPr>
                <w:snapToGrid w:val="0"/>
                <w:kern w:val="0"/>
                <w:sz w:val="21"/>
                <w:szCs w:val="21"/>
              </w:rPr>
            </w:pPr>
            <w:r>
              <w:rPr>
                <w:snapToGrid w:val="0"/>
                <w:kern w:val="0"/>
                <w:sz w:val="21"/>
                <w:szCs w:val="21"/>
              </w:rPr>
              <w:t>TLVTN：OSHA 5ppm，13mg/m3; ACGIH 2ppm，5.2mg/m3</w:t>
            </w:r>
          </w:p>
          <w:p>
            <w:pPr>
              <w:spacing w:line="240" w:lineRule="auto"/>
              <w:ind w:firstLine="0" w:firstLineChars="0"/>
              <w:rPr>
                <w:snapToGrid w:val="0"/>
                <w:kern w:val="0"/>
                <w:sz w:val="21"/>
                <w:szCs w:val="21"/>
              </w:rPr>
            </w:pPr>
            <w:r>
              <w:rPr>
                <w:snapToGrid w:val="0"/>
                <w:kern w:val="0"/>
                <w:sz w:val="21"/>
                <w:szCs w:val="21"/>
              </w:rPr>
              <w:t>TLVWN：ACGIH 5ppm，13mg/m3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毒性</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LC50：6600mg/m3，1小时(大鼠吸入)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健康危害</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易被湿润的粘膜表面吸收生成亚硫酸、硫酸。对眼及呼吸道粘膜有强烈的刺激作用。大量吸入可引起肺水肿、喉水肿、声带痉挛而致窒息。 急性中毒：轻度中毒时，发生流泪、畏光、咳嗽，咽、喉灼痛等；严重中毒可在数小时内发生肺水肿；极高浓度吸入可引起反射性声门痉挛而致窒息。皮肤或眼接触发生炎症或灼伤。 慢性影响：长期低浓度接触，可有头痛、头昏、乏力等全身症状以及慢性鼻炎、咽喉炎、支气管炎、嗅觉及味觉减退等。少数工人有牙齿酸蚀症。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侵入途径</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接触、吸入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restart"/>
            <w:noWrap w:val="0"/>
            <w:vAlign w:val="center"/>
          </w:tcPr>
          <w:p>
            <w:pPr>
              <w:spacing w:line="240" w:lineRule="auto"/>
              <w:ind w:firstLine="0" w:firstLineChars="0"/>
              <w:jc w:val="center"/>
              <w:rPr>
                <w:snapToGrid w:val="0"/>
                <w:kern w:val="0"/>
                <w:sz w:val="21"/>
                <w:szCs w:val="21"/>
              </w:rPr>
            </w:pPr>
            <w:r>
              <w:rPr>
                <w:snapToGrid w:val="0"/>
                <w:kern w:val="0"/>
                <w:sz w:val="21"/>
                <w:szCs w:val="21"/>
              </w:rPr>
              <w:t>急救</w:t>
            </w: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皮肤接触</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立即脱去污染的衣着，用大量流动清水冲洗。就医。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眼睛接触</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提起眼睑，用流动清水或生理盐水冲洗。就医。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吸入</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迅速脱离现场至空气新鲜处。保持呼吸道通畅。如呼吸困难，给输氧。如呼吸停止，立即进行人工呼吸。就医。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食入</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restart"/>
            <w:noWrap w:val="0"/>
            <w:vAlign w:val="center"/>
          </w:tcPr>
          <w:p>
            <w:pPr>
              <w:spacing w:line="240" w:lineRule="auto"/>
              <w:ind w:firstLine="0" w:firstLineChars="0"/>
              <w:jc w:val="center"/>
              <w:rPr>
                <w:snapToGrid w:val="0"/>
                <w:kern w:val="0"/>
                <w:sz w:val="21"/>
                <w:szCs w:val="21"/>
              </w:rPr>
            </w:pPr>
            <w:r>
              <w:rPr>
                <w:snapToGrid w:val="0"/>
                <w:kern w:val="0"/>
                <w:sz w:val="21"/>
                <w:szCs w:val="21"/>
              </w:rPr>
              <w:t>防护措施</w:t>
            </w: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工程控制</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严加密闭，提供充分的局部排风和全面通风。提供安全淋浴和洗眼设备。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呼吸系统防护</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空气中浓度超标时，佩戴自吸过滤式防毒面具（全面罩）。紧急事态抢救或撤离时，建议佩戴正压自给式呼吸器。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眼睛防护</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呼吸系统防护中已作防护。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防护服</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穿聚乙烯防毒服。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手防护</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戴橡胶手套。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vMerge w:val="continue"/>
            <w:noWrap w:val="0"/>
            <w:vAlign w:val="center"/>
          </w:tcPr>
          <w:p>
            <w:pPr>
              <w:spacing w:line="240" w:lineRule="auto"/>
              <w:ind w:firstLine="0" w:firstLineChars="0"/>
              <w:jc w:val="center"/>
              <w:rPr>
                <w:snapToGrid w:val="0"/>
                <w:kern w:val="0"/>
                <w:sz w:val="21"/>
                <w:szCs w:val="21"/>
              </w:rPr>
            </w:pPr>
          </w:p>
        </w:tc>
        <w:tc>
          <w:tcPr>
            <w:tcW w:w="1932" w:type="dxa"/>
            <w:noWrap w:val="0"/>
            <w:vAlign w:val="center"/>
          </w:tcPr>
          <w:p>
            <w:pPr>
              <w:spacing w:line="240" w:lineRule="auto"/>
              <w:ind w:firstLine="0" w:firstLineChars="0"/>
              <w:rPr>
                <w:snapToGrid w:val="0"/>
                <w:kern w:val="0"/>
                <w:sz w:val="21"/>
                <w:szCs w:val="21"/>
              </w:rPr>
            </w:pPr>
            <w:r>
              <w:rPr>
                <w:snapToGrid w:val="0"/>
                <w:kern w:val="0"/>
                <w:sz w:val="21"/>
                <w:szCs w:val="21"/>
              </w:rPr>
              <w:t>其它</w:t>
            </w:r>
          </w:p>
        </w:tc>
        <w:tc>
          <w:tcPr>
            <w:tcW w:w="5990" w:type="dxa"/>
            <w:gridSpan w:val="7"/>
            <w:noWrap w:val="0"/>
            <w:vAlign w:val="center"/>
          </w:tcPr>
          <w:p>
            <w:pPr>
              <w:spacing w:line="240" w:lineRule="auto"/>
              <w:ind w:firstLine="0" w:firstLineChars="0"/>
              <w:rPr>
                <w:snapToGrid w:val="0"/>
                <w:kern w:val="0"/>
                <w:sz w:val="21"/>
                <w:szCs w:val="21"/>
              </w:rPr>
            </w:pPr>
            <w:r>
              <w:rPr>
                <w:snapToGrid w:val="0"/>
                <w:kern w:val="0"/>
                <w:sz w:val="21"/>
                <w:szCs w:val="21"/>
              </w:rPr>
              <w:t>工作现场禁止吸烟、进食和饮水。工作完毕，淋浴更衣。保持良好的卫生习惯。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1" w:type="dxa"/>
            <w:noWrap w:val="0"/>
            <w:vAlign w:val="center"/>
          </w:tcPr>
          <w:p>
            <w:pPr>
              <w:spacing w:line="240" w:lineRule="auto"/>
              <w:ind w:firstLine="0" w:firstLineChars="0"/>
              <w:jc w:val="center"/>
              <w:rPr>
                <w:snapToGrid w:val="0"/>
                <w:kern w:val="0"/>
                <w:sz w:val="21"/>
                <w:szCs w:val="21"/>
              </w:rPr>
            </w:pPr>
            <w:r>
              <w:rPr>
                <w:snapToGrid w:val="0"/>
                <w:kern w:val="0"/>
                <w:sz w:val="21"/>
                <w:szCs w:val="21"/>
              </w:rPr>
              <w:t>泄漏处置</w:t>
            </w:r>
          </w:p>
        </w:tc>
        <w:tc>
          <w:tcPr>
            <w:tcW w:w="7922" w:type="dxa"/>
            <w:gridSpan w:val="8"/>
            <w:noWrap w:val="0"/>
            <w:vAlign w:val="center"/>
          </w:tcPr>
          <w:p>
            <w:pPr>
              <w:spacing w:line="240" w:lineRule="auto"/>
              <w:ind w:firstLine="0" w:firstLineChars="0"/>
              <w:rPr>
                <w:snapToGrid w:val="0"/>
                <w:kern w:val="0"/>
                <w:sz w:val="21"/>
                <w:szCs w:val="21"/>
              </w:rPr>
            </w:pPr>
            <w:r>
              <w:rPr>
                <w:snapToGrid w:val="0"/>
                <w:kern w:val="0"/>
                <w:sz w:val="21"/>
                <w:szCs w:val="21"/>
              </w:rPr>
              <w:t>迅速撤离泄漏污染区人员至上风处，并立即进行隔离，小泄漏时隔离150m，大泄漏时隔离450m，严格限制出入。建议应急处理人员戴自给正压式呼吸器，穿防毒服。从上风处进入现场。尽可能切断泄漏源。用工业覆盖层或吸附/ 吸收剂盖住泄漏点附近的下水道等地方，防止气体进入。合理通风，加速扩散。喷雾状水稀释、溶解。构筑围堤或挖坑收容产生的大量废水。如有可能，用一捉捕器使气体通过次氯酸钠溶液。漏气容器要妥善处理，修复、检验后再用。</w:t>
            </w:r>
          </w:p>
        </w:tc>
      </w:tr>
    </w:tbl>
    <w:p>
      <w:pPr>
        <w:pStyle w:val="4"/>
        <w:keepNext/>
        <w:keepLines/>
        <w:pageBreakBefore w:val="0"/>
        <w:widowControl w:val="0"/>
        <w:kinsoku/>
        <w:wordWrap/>
        <w:overflowPunct/>
        <w:topLinePunct w:val="0"/>
        <w:autoSpaceDE/>
        <w:autoSpaceDN/>
        <w:bidi w:val="0"/>
        <w:adjustRightInd w:val="0"/>
        <w:snapToGrid w:val="0"/>
        <w:spacing w:before="157" w:beforeLines="50"/>
        <w:textAlignment w:val="auto"/>
        <w:rPr>
          <w:sz w:val="32"/>
          <w:szCs w:val="32"/>
        </w:rPr>
      </w:pPr>
      <w:bookmarkStart w:id="75" w:name="_Toc3514"/>
      <w:bookmarkStart w:id="76" w:name="_Toc16543"/>
      <w:r>
        <w:rPr>
          <w:b w:val="0"/>
          <w:bCs w:val="0"/>
          <w:sz w:val="32"/>
          <w:szCs w:val="32"/>
        </w:rPr>
        <w:t xml:space="preserve">3.2 </w:t>
      </w:r>
      <w:r>
        <w:rPr>
          <w:rFonts w:hint="eastAsia"/>
          <w:sz w:val="32"/>
          <w:szCs w:val="32"/>
        </w:rPr>
        <w:t xml:space="preserve"> </w:t>
      </w:r>
      <w:r>
        <w:rPr>
          <w:rFonts w:hint="eastAsia" w:ascii="黑体" w:hAnsi="黑体" w:eastAsia="黑体" w:cs="黑体"/>
          <w:b w:val="0"/>
          <w:bCs w:val="0"/>
          <w:sz w:val="32"/>
          <w:szCs w:val="32"/>
        </w:rPr>
        <w:t>钻前、钻机搬迁和拆安作业过程中的危害因素与风险</w:t>
      </w:r>
      <w:bookmarkEnd w:id="73"/>
      <w:bookmarkEnd w:id="75"/>
      <w:bookmarkEnd w:id="76"/>
    </w:p>
    <w:p>
      <w:pPr>
        <w:pStyle w:val="5"/>
        <w:rPr>
          <w:rFonts w:hint="eastAsia" w:ascii="黑体" w:hAnsi="黑体" w:eastAsia="黑体" w:cs="黑体"/>
          <w:b w:val="0"/>
          <w:bCs w:val="0"/>
        </w:rPr>
      </w:pPr>
      <w:r>
        <w:rPr>
          <w:rFonts w:hint="default" w:ascii="Times New Roman" w:hAnsi="Times New Roman" w:eastAsia="黑体" w:cs="Times New Roman"/>
          <w:b w:val="0"/>
          <w:bCs w:val="0"/>
        </w:rPr>
        <w:t>3.2.1</w:t>
      </w:r>
      <w:r>
        <w:rPr>
          <w:rFonts w:hint="eastAsia" w:ascii="黑体" w:hAnsi="黑体" w:eastAsia="黑体" w:cs="黑体"/>
          <w:b w:val="0"/>
          <w:bCs w:val="0"/>
        </w:rPr>
        <w:t xml:space="preserve">  钻前工程中的危害因素与风险</w:t>
      </w:r>
    </w:p>
    <w:p>
      <w:pPr>
        <w:ind w:firstLine="560"/>
        <w:rPr>
          <w:snapToGrid w:val="0"/>
          <w:kern w:val="0"/>
        </w:rPr>
      </w:pPr>
      <w:r>
        <w:rPr>
          <w:snapToGrid w:val="0"/>
          <w:kern w:val="0"/>
        </w:rPr>
        <w:t>钻前工程施工作业过程中需要用到推土机、挖掘机、吊（卡）车等设备，因此主要存在的危害因素与风险有：</w:t>
      </w:r>
    </w:p>
    <w:p>
      <w:pPr>
        <w:ind w:firstLine="560"/>
        <w:rPr>
          <w:snapToGrid w:val="0"/>
          <w:kern w:val="0"/>
        </w:rPr>
      </w:pPr>
      <w:r>
        <w:rPr>
          <w:snapToGrid w:val="0"/>
          <w:kern w:val="0"/>
        </w:rPr>
        <w:t>1）施工人员操作施工设备超负荷或失误有造成设备损坏、人员伤害的风险。</w:t>
      </w:r>
    </w:p>
    <w:p>
      <w:pPr>
        <w:ind w:firstLine="560"/>
        <w:rPr>
          <w:snapToGrid w:val="0"/>
          <w:kern w:val="0"/>
        </w:rPr>
      </w:pPr>
      <w:r>
        <w:rPr>
          <w:snapToGrid w:val="0"/>
          <w:kern w:val="0"/>
        </w:rPr>
        <w:t>2）施工人员防护力差，不按规定穿戴和使用劳动防护用品，违章操作造成高处坠落和人员伤害。</w:t>
      </w:r>
    </w:p>
    <w:p>
      <w:pPr>
        <w:ind w:firstLine="560"/>
        <w:rPr>
          <w:snapToGrid w:val="0"/>
          <w:kern w:val="0"/>
        </w:rPr>
      </w:pPr>
      <w:r>
        <w:rPr>
          <w:snapToGrid w:val="0"/>
          <w:kern w:val="0"/>
        </w:rPr>
        <w:t>3）装、卸物件指挥不当，操作失误，造成人员伤害、设备损坏。</w:t>
      </w:r>
    </w:p>
    <w:p>
      <w:pPr>
        <w:ind w:firstLine="560"/>
        <w:rPr>
          <w:snapToGrid w:val="0"/>
          <w:kern w:val="0"/>
        </w:rPr>
      </w:pPr>
      <w:r>
        <w:rPr>
          <w:snapToGrid w:val="0"/>
          <w:kern w:val="0"/>
        </w:rPr>
        <w:t>4）天气条件恶劣（如暴雨雪、五级以上大风等）造成工作条件差，易引发人员伤害、设备损坏。</w:t>
      </w:r>
    </w:p>
    <w:p>
      <w:pPr>
        <w:ind w:firstLine="560"/>
        <w:rPr>
          <w:snapToGrid w:val="0"/>
          <w:kern w:val="0"/>
        </w:rPr>
      </w:pPr>
      <w:r>
        <w:rPr>
          <w:snapToGrid w:val="0"/>
          <w:kern w:val="0"/>
        </w:rPr>
        <w:t>5）进行现场踏勘、测量和作业过程中，存在涉水、有毒有害动植物的危害。</w:t>
      </w:r>
    </w:p>
    <w:p>
      <w:pPr>
        <w:ind w:firstLine="560"/>
        <w:rPr>
          <w:snapToGrid w:val="0"/>
          <w:kern w:val="0"/>
        </w:rPr>
      </w:pPr>
      <w:r>
        <w:rPr>
          <w:snapToGrid w:val="0"/>
          <w:kern w:val="0"/>
        </w:rPr>
        <w:t>6）井场及压实达不到要求，造成搬迁安装缓慢、返工或质量不达标，增加员工劳动强度，钻前土方工程没有识别和防范地上、地下的油、气、水、电管线，导致管线断裂，造成人身伤害、停产、停工和财产损失。</w:t>
      </w:r>
    </w:p>
    <w:p>
      <w:pPr>
        <w:pStyle w:val="5"/>
      </w:pPr>
      <w:r>
        <w:rPr>
          <w:b w:val="0"/>
          <w:bCs w:val="0"/>
        </w:rPr>
        <w:t xml:space="preserve">3.2.2 </w:t>
      </w:r>
      <w:r>
        <w:rPr>
          <w:rFonts w:hint="eastAsia"/>
          <w:b w:val="0"/>
          <w:bCs w:val="0"/>
        </w:rPr>
        <w:t xml:space="preserve"> </w:t>
      </w:r>
      <w:r>
        <w:rPr>
          <w:rFonts w:hint="eastAsia" w:ascii="黑体" w:hAnsi="黑体" w:eastAsia="黑体" w:cs="黑体"/>
          <w:b w:val="0"/>
          <w:bCs w:val="0"/>
        </w:rPr>
        <w:t>整拖井架、设备过程中的危害因素与风险</w:t>
      </w:r>
    </w:p>
    <w:p>
      <w:pPr>
        <w:ind w:firstLine="560"/>
        <w:rPr>
          <w:snapToGrid w:val="0"/>
          <w:kern w:val="0"/>
        </w:rPr>
      </w:pPr>
      <w:r>
        <w:rPr>
          <w:snapToGrid w:val="0"/>
          <w:kern w:val="0"/>
        </w:rPr>
        <w:t>1）牵引机组操作人员配合不好、指挥失误、地面条件差造成设备损坏（井架倾倒或井架变形等），有油、气、水管线等在施工地下通过，操作失误造成拖断、压坏管线。</w:t>
      </w:r>
    </w:p>
    <w:p>
      <w:pPr>
        <w:ind w:firstLine="560"/>
        <w:rPr>
          <w:snapToGrid w:val="0"/>
          <w:kern w:val="0"/>
        </w:rPr>
      </w:pPr>
      <w:r>
        <w:rPr>
          <w:snapToGrid w:val="0"/>
          <w:kern w:val="0"/>
        </w:rPr>
        <w:t>2）施工人员未使用劳保用品、违章作业造成物体打击、机械伤害。</w:t>
      </w:r>
    </w:p>
    <w:p>
      <w:pPr>
        <w:ind w:firstLine="560"/>
        <w:rPr>
          <w:snapToGrid w:val="0"/>
          <w:kern w:val="0"/>
        </w:rPr>
      </w:pPr>
      <w:r>
        <w:rPr>
          <w:snapToGrid w:val="0"/>
          <w:kern w:val="0"/>
        </w:rPr>
        <w:t>3）天气条件差（如暴雨雪、五级以上大风）、能见度差，整拖施工造成人员伤害。</w:t>
      </w:r>
    </w:p>
    <w:p>
      <w:pPr>
        <w:pStyle w:val="5"/>
        <w:rPr>
          <w:b w:val="0"/>
          <w:bCs w:val="0"/>
        </w:rPr>
      </w:pPr>
      <w:r>
        <w:rPr>
          <w:b w:val="0"/>
          <w:bCs w:val="0"/>
        </w:rPr>
        <w:t xml:space="preserve">3.2.3 </w:t>
      </w:r>
      <w:r>
        <w:rPr>
          <w:rFonts w:hint="eastAsia"/>
          <w:b w:val="0"/>
          <w:bCs w:val="0"/>
        </w:rPr>
        <w:t xml:space="preserve"> </w:t>
      </w:r>
      <w:r>
        <w:rPr>
          <w:rFonts w:hint="eastAsia" w:ascii="黑体" w:hAnsi="黑体" w:eastAsia="黑体" w:cs="黑体"/>
          <w:b w:val="0"/>
          <w:bCs w:val="0"/>
        </w:rPr>
        <w:t>钻井设备搬迁运输过程中的危害因素</w:t>
      </w:r>
    </w:p>
    <w:p>
      <w:pPr>
        <w:ind w:firstLine="560"/>
        <w:rPr>
          <w:snapToGrid w:val="0"/>
          <w:kern w:val="0"/>
        </w:rPr>
      </w:pPr>
      <w:r>
        <w:rPr>
          <w:snapToGrid w:val="0"/>
          <w:kern w:val="0"/>
        </w:rPr>
        <w:t>1）指挥不当，操作失误造成人员伤害、车辆损坏及设备损坏。</w:t>
      </w:r>
    </w:p>
    <w:p>
      <w:pPr>
        <w:ind w:firstLine="560"/>
        <w:rPr>
          <w:snapToGrid w:val="0"/>
          <w:kern w:val="0"/>
        </w:rPr>
      </w:pPr>
      <w:r>
        <w:rPr>
          <w:snapToGrid w:val="0"/>
          <w:kern w:val="0"/>
        </w:rPr>
        <w:t>2）人员防护力差，未穿戴劳保用品，未使用专用绳索，违章操作造成设备损坏、人员伤害。</w:t>
      </w:r>
    </w:p>
    <w:p>
      <w:pPr>
        <w:ind w:firstLine="560"/>
        <w:rPr>
          <w:snapToGrid w:val="0"/>
          <w:kern w:val="0"/>
        </w:rPr>
      </w:pPr>
      <w:r>
        <w:rPr>
          <w:snapToGrid w:val="0"/>
          <w:kern w:val="0"/>
        </w:rPr>
        <w:t>3）未对使用工具、吊索绳套进行安全性能检查，造成设备损坏、人员伤害。</w:t>
      </w:r>
    </w:p>
    <w:p>
      <w:pPr>
        <w:ind w:firstLine="560"/>
        <w:rPr>
          <w:snapToGrid w:val="0"/>
          <w:kern w:val="0"/>
        </w:rPr>
      </w:pPr>
      <w:r>
        <w:rPr>
          <w:snapToGrid w:val="0"/>
          <w:kern w:val="0"/>
        </w:rPr>
        <w:t>4）恶劣的天气，如狂风、大雪、暴雨、大雾造成工作条件差或不具备搬迁条件而强行搬迁，易引发交通事故、起吊装卸事故。</w:t>
      </w:r>
    </w:p>
    <w:p>
      <w:pPr>
        <w:ind w:firstLine="560"/>
        <w:rPr>
          <w:snapToGrid w:val="0"/>
          <w:kern w:val="0"/>
        </w:rPr>
      </w:pPr>
      <w:r>
        <w:rPr>
          <w:snapToGrid w:val="0"/>
          <w:kern w:val="0"/>
        </w:rPr>
        <w:t>5）路况不好、车速不稳、驾驶员操作不当，有造成设备损坏、交通事故的风险。</w:t>
      </w:r>
    </w:p>
    <w:p>
      <w:pPr>
        <w:ind w:firstLine="560"/>
        <w:rPr>
          <w:snapToGrid w:val="0"/>
          <w:kern w:val="0"/>
        </w:rPr>
      </w:pPr>
      <w:r>
        <w:rPr>
          <w:snapToGrid w:val="0"/>
          <w:kern w:val="0"/>
        </w:rPr>
        <w:t xml:space="preserve">6）行车前未检查或检查不细，出现爆胎、制动系统失灵等情况，危及交通安全。 </w:t>
      </w:r>
    </w:p>
    <w:p>
      <w:pPr>
        <w:ind w:firstLine="560"/>
        <w:rPr>
          <w:snapToGrid w:val="0"/>
          <w:kern w:val="0"/>
        </w:rPr>
      </w:pPr>
      <w:r>
        <w:rPr>
          <w:snapToGrid w:val="0"/>
          <w:kern w:val="0"/>
        </w:rPr>
        <w:t>7）装载物件捆绑不牢，发生挤碰、脱落，造成人员伤害。</w:t>
      </w:r>
    </w:p>
    <w:p>
      <w:pPr>
        <w:pStyle w:val="5"/>
        <w:rPr>
          <w:b w:val="0"/>
          <w:bCs w:val="0"/>
        </w:rPr>
      </w:pPr>
      <w:r>
        <w:rPr>
          <w:b w:val="0"/>
          <w:bCs w:val="0"/>
        </w:rPr>
        <w:t xml:space="preserve">3.2.4 </w:t>
      </w:r>
      <w:r>
        <w:rPr>
          <w:rFonts w:hint="eastAsia"/>
          <w:b w:val="0"/>
          <w:bCs w:val="0"/>
        </w:rPr>
        <w:t xml:space="preserve"> </w:t>
      </w:r>
      <w:r>
        <w:rPr>
          <w:rFonts w:hint="eastAsia" w:ascii="黑体" w:hAnsi="黑体" w:eastAsia="黑体" w:cs="黑体"/>
          <w:b w:val="0"/>
          <w:bCs w:val="0"/>
        </w:rPr>
        <w:t>钻井设备拆卸、安装过程中的危害因素</w:t>
      </w:r>
    </w:p>
    <w:p>
      <w:pPr>
        <w:ind w:firstLine="560"/>
        <w:rPr>
          <w:snapToGrid w:val="0"/>
          <w:kern w:val="0"/>
        </w:rPr>
      </w:pPr>
      <w:r>
        <w:rPr>
          <w:snapToGrid w:val="0"/>
          <w:kern w:val="0"/>
        </w:rPr>
        <w:t>（1）钻机拆卸和安装作业过程中的危害因素</w:t>
      </w:r>
    </w:p>
    <w:p>
      <w:pPr>
        <w:ind w:firstLine="560"/>
        <w:rPr>
          <w:snapToGrid w:val="0"/>
          <w:kern w:val="0"/>
        </w:rPr>
      </w:pPr>
      <w:r>
        <w:rPr>
          <w:snapToGrid w:val="0"/>
          <w:kern w:val="0"/>
        </w:rPr>
        <w:t>1）起吊物件指挥不当，操作失误，被吊起的物体碰撞挤压，造成设备损坏、人员伤害。</w:t>
      </w:r>
    </w:p>
    <w:p>
      <w:pPr>
        <w:ind w:firstLine="560"/>
        <w:rPr>
          <w:snapToGrid w:val="0"/>
          <w:kern w:val="0"/>
        </w:rPr>
      </w:pPr>
      <w:r>
        <w:rPr>
          <w:snapToGrid w:val="0"/>
          <w:kern w:val="0"/>
        </w:rPr>
        <w:t>2）施工人员防护力差、不带防护品、违章操作，造成高处坠落和人员伤害。</w:t>
      </w:r>
    </w:p>
    <w:p>
      <w:pPr>
        <w:ind w:firstLine="560"/>
        <w:rPr>
          <w:snapToGrid w:val="0"/>
          <w:kern w:val="0"/>
        </w:rPr>
      </w:pPr>
      <w:r>
        <w:rPr>
          <w:snapToGrid w:val="0"/>
          <w:kern w:val="0"/>
        </w:rPr>
        <w:t>3）天气条件差（如暴雨雪、五级以上大风）、能见度差，造成吊装设备损坏、人员伤害。</w:t>
      </w:r>
    </w:p>
    <w:p>
      <w:pPr>
        <w:ind w:firstLine="560"/>
        <w:rPr>
          <w:snapToGrid w:val="0"/>
          <w:kern w:val="0"/>
        </w:rPr>
      </w:pPr>
      <w:r>
        <w:rPr>
          <w:snapToGrid w:val="0"/>
          <w:kern w:val="0"/>
        </w:rPr>
        <w:t>4）人员配合不当，动作不协调，造成设备损坏、人员伤害。</w:t>
      </w:r>
    </w:p>
    <w:p>
      <w:pPr>
        <w:ind w:firstLine="560"/>
        <w:rPr>
          <w:snapToGrid w:val="0"/>
          <w:kern w:val="0"/>
        </w:rPr>
      </w:pPr>
      <w:r>
        <w:rPr>
          <w:snapToGrid w:val="0"/>
          <w:kern w:val="0"/>
        </w:rPr>
        <w:t>5）带电拆卸和安装，设备未停止运转提前拆卸固定护罩或附件。</w:t>
      </w:r>
    </w:p>
    <w:p>
      <w:pPr>
        <w:ind w:firstLine="560"/>
        <w:rPr>
          <w:snapToGrid w:val="0"/>
          <w:kern w:val="0"/>
        </w:rPr>
      </w:pPr>
      <w:bookmarkStart w:id="77" w:name="_Toc357177105"/>
      <w:bookmarkStart w:id="78" w:name="_Toc357093052"/>
      <w:bookmarkStart w:id="79" w:name="_Toc357176499"/>
      <w:r>
        <w:rPr>
          <w:snapToGrid w:val="0"/>
          <w:kern w:val="0"/>
        </w:rPr>
        <w:t>（2）防喷器拆卸和安装过程中的危害因素</w:t>
      </w:r>
      <w:bookmarkEnd w:id="77"/>
      <w:bookmarkEnd w:id="78"/>
      <w:bookmarkEnd w:id="79"/>
    </w:p>
    <w:p>
      <w:pPr>
        <w:ind w:firstLine="560"/>
        <w:rPr>
          <w:snapToGrid w:val="0"/>
          <w:kern w:val="0"/>
        </w:rPr>
      </w:pPr>
      <w:r>
        <w:rPr>
          <w:snapToGrid w:val="0"/>
          <w:kern w:val="0"/>
        </w:rPr>
        <w:t>1）施工人员防护意识差、违章操作造成坠落、挤、碰伤。</w:t>
      </w:r>
    </w:p>
    <w:p>
      <w:pPr>
        <w:ind w:firstLine="560"/>
        <w:rPr>
          <w:snapToGrid w:val="0"/>
          <w:kern w:val="0"/>
        </w:rPr>
      </w:pPr>
      <w:r>
        <w:rPr>
          <w:snapToGrid w:val="0"/>
          <w:kern w:val="0"/>
        </w:rPr>
        <w:t>2）吊装时指挥不当，操作失误造成起重伤害。</w:t>
      </w:r>
    </w:p>
    <w:p>
      <w:pPr>
        <w:ind w:firstLine="560"/>
        <w:rPr>
          <w:snapToGrid w:val="0"/>
          <w:kern w:val="0"/>
        </w:rPr>
      </w:pPr>
      <w:r>
        <w:rPr>
          <w:snapToGrid w:val="0"/>
          <w:kern w:val="0"/>
        </w:rPr>
        <w:t>3）检查不细、吊具断裂、人站位不合理，造成物件脱落砸伤人员。</w:t>
      </w:r>
    </w:p>
    <w:p>
      <w:pPr>
        <w:ind w:firstLine="560"/>
        <w:rPr>
          <w:snapToGrid w:val="0"/>
          <w:kern w:val="0"/>
        </w:rPr>
      </w:pPr>
      <w:r>
        <w:rPr>
          <w:snapToGrid w:val="0"/>
          <w:kern w:val="0"/>
        </w:rPr>
        <w:t>4）上螺栓时所用手工具打滑、断裂、伤人。</w:t>
      </w:r>
    </w:p>
    <w:p>
      <w:pPr>
        <w:ind w:firstLine="560"/>
        <w:rPr>
          <w:snapToGrid w:val="0"/>
          <w:kern w:val="0"/>
        </w:rPr>
      </w:pPr>
      <w:r>
        <w:rPr>
          <w:snapToGrid w:val="0"/>
          <w:kern w:val="0"/>
        </w:rPr>
        <w:t>5）配合不当、相互照顾监控不周伤人。</w:t>
      </w:r>
    </w:p>
    <w:p>
      <w:pPr>
        <w:ind w:firstLine="560"/>
        <w:rPr>
          <w:snapToGrid w:val="0"/>
          <w:kern w:val="0"/>
        </w:rPr>
      </w:pPr>
      <w:r>
        <w:rPr>
          <w:snapToGrid w:val="0"/>
          <w:kern w:val="0"/>
        </w:rPr>
        <w:t>（3）钻台、机房、泵房安装过程中主要的危害因素</w:t>
      </w:r>
    </w:p>
    <w:p>
      <w:pPr>
        <w:ind w:firstLine="560"/>
        <w:rPr>
          <w:snapToGrid w:val="0"/>
          <w:kern w:val="0"/>
        </w:rPr>
      </w:pPr>
      <w:r>
        <w:rPr>
          <w:snapToGrid w:val="0"/>
          <w:kern w:val="0"/>
        </w:rPr>
        <w:t>1）指挥不当或操作失误可导致碰坏或摔坏设备、挤伤工作人员。</w:t>
      </w:r>
    </w:p>
    <w:p>
      <w:pPr>
        <w:ind w:firstLine="560"/>
        <w:rPr>
          <w:snapToGrid w:val="0"/>
          <w:kern w:val="0"/>
        </w:rPr>
      </w:pPr>
      <w:r>
        <w:rPr>
          <w:snapToGrid w:val="0"/>
          <w:kern w:val="0"/>
        </w:rPr>
        <w:t>2）转盘校正不好，容易发生方钻杆偏磨，井架载荷不均匀，井架振动加剧，导致井架连接件松动，容易造成井架变形、倒塌以及物体打击事故。</w:t>
      </w:r>
    </w:p>
    <w:p>
      <w:pPr>
        <w:ind w:firstLine="560"/>
        <w:rPr>
          <w:snapToGrid w:val="0"/>
          <w:kern w:val="0"/>
        </w:rPr>
      </w:pPr>
      <w:r>
        <w:rPr>
          <w:snapToGrid w:val="0"/>
          <w:kern w:val="0"/>
        </w:rPr>
        <w:t>3）未办理许可证、违章作业造成人员伤害、设备损坏、高处坠落、触电、烧烫伤。</w:t>
      </w:r>
    </w:p>
    <w:p>
      <w:pPr>
        <w:ind w:firstLine="560"/>
        <w:rPr>
          <w:snapToGrid w:val="0"/>
          <w:kern w:val="0"/>
        </w:rPr>
      </w:pPr>
      <w:r>
        <w:rPr>
          <w:snapToGrid w:val="0"/>
          <w:kern w:val="0"/>
        </w:rPr>
        <w:t>4）人员踏空容易造成身体各部关节扭伤和挫伤。</w:t>
      </w:r>
    </w:p>
    <w:p>
      <w:pPr>
        <w:ind w:firstLine="560"/>
        <w:rPr>
          <w:snapToGrid w:val="0"/>
          <w:kern w:val="0"/>
        </w:rPr>
      </w:pPr>
      <w:r>
        <w:rPr>
          <w:snapToGrid w:val="0"/>
          <w:kern w:val="0"/>
        </w:rPr>
        <w:t>5）人员防护意识差、未穿戴劳保用品造成人员伤害。</w:t>
      </w:r>
    </w:p>
    <w:p>
      <w:pPr>
        <w:ind w:firstLine="560"/>
        <w:rPr>
          <w:snapToGrid w:val="0"/>
          <w:kern w:val="0"/>
        </w:rPr>
      </w:pPr>
      <w:r>
        <w:rPr>
          <w:snapToGrid w:val="0"/>
          <w:kern w:val="0"/>
        </w:rPr>
        <w:t>（4）井架照明、井场电气设备安装拆卸作业过程中主要的危害因素</w:t>
      </w:r>
    </w:p>
    <w:p>
      <w:pPr>
        <w:ind w:firstLine="560"/>
        <w:rPr>
          <w:snapToGrid w:val="0"/>
          <w:kern w:val="0"/>
        </w:rPr>
      </w:pPr>
      <w:r>
        <w:rPr>
          <w:snapToGrid w:val="0"/>
          <w:kern w:val="0"/>
        </w:rPr>
        <w:t>1）电线、电缆和控制系统受损发生电路不畅、漏电造成人员触电。</w:t>
      </w:r>
    </w:p>
    <w:p>
      <w:pPr>
        <w:ind w:firstLine="560"/>
        <w:rPr>
          <w:snapToGrid w:val="0"/>
          <w:kern w:val="0"/>
        </w:rPr>
      </w:pPr>
      <w:r>
        <w:rPr>
          <w:snapToGrid w:val="0"/>
          <w:kern w:val="0"/>
        </w:rPr>
        <w:t>2）登高架设电线、电缆时不系安全带或站立不稳发生高处坠落。</w:t>
      </w:r>
    </w:p>
    <w:p>
      <w:pPr>
        <w:ind w:firstLine="560"/>
        <w:rPr>
          <w:snapToGrid w:val="0"/>
          <w:kern w:val="0"/>
        </w:rPr>
      </w:pPr>
      <w:r>
        <w:rPr>
          <w:snapToGrid w:val="0"/>
          <w:kern w:val="0"/>
        </w:rPr>
        <w:t>3）拆卸、安装井架灯具时，工具不系安全绳，一旦其高空坠落砸伤人员。</w:t>
      </w:r>
    </w:p>
    <w:p>
      <w:pPr>
        <w:ind w:firstLine="560"/>
        <w:rPr>
          <w:snapToGrid w:val="0"/>
          <w:kern w:val="0"/>
        </w:rPr>
      </w:pPr>
      <w:r>
        <w:rPr>
          <w:snapToGrid w:val="0"/>
          <w:kern w:val="0"/>
        </w:rPr>
        <w:t>4）带电作业、未经验电作业、临时线路架设、超职责范围作业等引起的用电风险。</w:t>
      </w:r>
    </w:p>
    <w:p>
      <w:pPr>
        <w:pStyle w:val="4"/>
        <w:rPr>
          <w:rFonts w:hint="eastAsia" w:ascii="黑体" w:hAnsi="黑体" w:eastAsia="黑体" w:cs="黑体"/>
          <w:b w:val="0"/>
          <w:bCs w:val="0"/>
          <w:sz w:val="32"/>
          <w:szCs w:val="32"/>
        </w:rPr>
      </w:pPr>
      <w:bookmarkStart w:id="80" w:name="_Toc370828250"/>
      <w:bookmarkStart w:id="81" w:name="_Toc4517"/>
      <w:bookmarkStart w:id="82" w:name="_Toc474142059"/>
      <w:bookmarkStart w:id="83" w:name="_Toc7425"/>
      <w:r>
        <w:rPr>
          <w:rFonts w:hint="default" w:ascii="Times New Roman" w:hAnsi="Times New Roman" w:eastAsia="黑体" w:cs="Times New Roman"/>
          <w:b w:val="0"/>
          <w:bCs w:val="0"/>
          <w:sz w:val="32"/>
          <w:szCs w:val="32"/>
        </w:rPr>
        <w:t>3.3</w:t>
      </w:r>
      <w:r>
        <w:rPr>
          <w:rFonts w:hint="eastAsia" w:ascii="黑体" w:hAnsi="黑体" w:eastAsia="黑体" w:cs="黑体"/>
          <w:b w:val="0"/>
          <w:bCs w:val="0"/>
          <w:sz w:val="32"/>
          <w:szCs w:val="32"/>
        </w:rPr>
        <w:t xml:space="preserve">  钻进过程中的危险因素</w:t>
      </w:r>
      <w:bookmarkEnd w:id="80"/>
      <w:bookmarkEnd w:id="81"/>
      <w:bookmarkEnd w:id="82"/>
      <w:bookmarkEnd w:id="83"/>
    </w:p>
    <w:p>
      <w:pPr>
        <w:pStyle w:val="5"/>
        <w:rPr>
          <w:b w:val="0"/>
          <w:bCs w:val="0"/>
        </w:rPr>
      </w:pPr>
      <w:bookmarkStart w:id="84" w:name="_Toc195626676"/>
      <w:bookmarkStart w:id="85" w:name="_Toc370828251"/>
      <w:bookmarkStart w:id="86" w:name="_Toc194400262"/>
      <w:bookmarkStart w:id="87" w:name="_Toc254533709"/>
      <w:r>
        <w:rPr>
          <w:b w:val="0"/>
          <w:bCs w:val="0"/>
        </w:rPr>
        <w:t xml:space="preserve">3.3.1 </w:t>
      </w:r>
      <w:r>
        <w:rPr>
          <w:rFonts w:hint="eastAsia"/>
          <w:b w:val="0"/>
          <w:bCs w:val="0"/>
        </w:rPr>
        <w:t xml:space="preserve"> </w:t>
      </w:r>
      <w:r>
        <w:rPr>
          <w:rFonts w:hint="eastAsia" w:ascii="黑体" w:hAnsi="黑体" w:eastAsia="黑体" w:cs="黑体"/>
          <w:b w:val="0"/>
          <w:bCs w:val="0"/>
        </w:rPr>
        <w:t>首次开钻施工过程中的危害因素</w:t>
      </w:r>
      <w:bookmarkEnd w:id="84"/>
      <w:bookmarkEnd w:id="85"/>
      <w:bookmarkEnd w:id="86"/>
      <w:bookmarkEnd w:id="87"/>
    </w:p>
    <w:p>
      <w:pPr>
        <w:ind w:firstLine="560"/>
        <w:rPr>
          <w:snapToGrid w:val="0"/>
          <w:kern w:val="0"/>
        </w:rPr>
      </w:pPr>
      <w:r>
        <w:rPr>
          <w:snapToGrid w:val="0"/>
          <w:kern w:val="0"/>
        </w:rPr>
        <w:t>1）安装质量差，造成钻进过程中设备出问题，停停打打、返工、返修等非预期作业。</w:t>
      </w:r>
    </w:p>
    <w:p>
      <w:pPr>
        <w:ind w:firstLine="560"/>
        <w:rPr>
          <w:snapToGrid w:val="0"/>
          <w:kern w:val="0"/>
        </w:rPr>
      </w:pPr>
      <w:r>
        <w:rPr>
          <w:snapToGrid w:val="0"/>
          <w:kern w:val="0"/>
        </w:rPr>
        <w:t>2）人员配合不当、防范意识差，容易造成碰、撞、砸伤事故。</w:t>
      </w:r>
    </w:p>
    <w:p>
      <w:pPr>
        <w:ind w:firstLine="560"/>
        <w:rPr>
          <w:snapToGrid w:val="0"/>
          <w:kern w:val="0"/>
        </w:rPr>
      </w:pPr>
      <w:r>
        <w:rPr>
          <w:snapToGrid w:val="0"/>
          <w:kern w:val="0"/>
        </w:rPr>
        <w:t>3）吊钻具时操作不当、钢丝绳套达不到安全性能要求造成人员伤害、财产损失。</w:t>
      </w:r>
    </w:p>
    <w:p>
      <w:pPr>
        <w:ind w:firstLine="560"/>
        <w:rPr>
          <w:snapToGrid w:val="0"/>
          <w:kern w:val="0"/>
        </w:rPr>
      </w:pPr>
      <w:r>
        <w:rPr>
          <w:snapToGrid w:val="0"/>
          <w:kern w:val="0"/>
        </w:rPr>
        <w:t>4）操作不当、制动系统和防碰天车失灵造成顶天车、顿钻事故。</w:t>
      </w:r>
    </w:p>
    <w:p>
      <w:pPr>
        <w:ind w:firstLine="560"/>
        <w:rPr>
          <w:snapToGrid w:val="0"/>
          <w:kern w:val="0"/>
        </w:rPr>
      </w:pPr>
      <w:r>
        <w:rPr>
          <w:snapToGrid w:val="0"/>
          <w:kern w:val="0"/>
        </w:rPr>
        <w:t>5）发生井口落物、井斜、井塌等井下复杂情况，造成财产损失。</w:t>
      </w:r>
    </w:p>
    <w:p>
      <w:pPr>
        <w:ind w:firstLine="560"/>
        <w:rPr>
          <w:snapToGrid w:val="0"/>
          <w:kern w:val="0"/>
        </w:rPr>
      </w:pPr>
      <w:r>
        <w:rPr>
          <w:snapToGrid w:val="0"/>
          <w:kern w:val="0"/>
        </w:rPr>
        <w:t>6）下表层套管用旋绳和猫头上扣是比较危险的作业。</w:t>
      </w:r>
    </w:p>
    <w:p>
      <w:pPr>
        <w:ind w:firstLine="560"/>
        <w:rPr>
          <w:snapToGrid w:val="0"/>
          <w:kern w:val="0"/>
        </w:rPr>
      </w:pPr>
      <w:r>
        <w:rPr>
          <w:snapToGrid w:val="0"/>
          <w:kern w:val="0"/>
        </w:rPr>
        <w:t>7）检查不仔细，漏气、漏油、漏电造成刺伤、土壤污染、人员触电。</w:t>
      </w:r>
    </w:p>
    <w:p>
      <w:pPr>
        <w:ind w:firstLine="560"/>
        <w:rPr>
          <w:snapToGrid w:val="0"/>
          <w:kern w:val="0"/>
        </w:rPr>
      </w:pPr>
      <w:r>
        <w:rPr>
          <w:snapToGrid w:val="0"/>
          <w:kern w:val="0"/>
        </w:rPr>
        <w:t>8）未穿戴劳保用品造成人员伤害。</w:t>
      </w:r>
    </w:p>
    <w:p>
      <w:pPr>
        <w:pStyle w:val="5"/>
        <w:rPr>
          <w:rFonts w:hint="eastAsia" w:ascii="黑体" w:hAnsi="黑体" w:eastAsia="黑体" w:cs="黑体"/>
          <w:b w:val="0"/>
          <w:bCs w:val="0"/>
        </w:rPr>
      </w:pPr>
      <w:r>
        <w:rPr>
          <w:rFonts w:hint="default" w:ascii="Times New Roman" w:hAnsi="Times New Roman" w:eastAsia="黑体" w:cs="Times New Roman"/>
          <w:b w:val="0"/>
          <w:bCs w:val="0"/>
        </w:rPr>
        <w:t>3.3.2</w:t>
      </w:r>
      <w:r>
        <w:rPr>
          <w:rFonts w:hint="eastAsia" w:ascii="黑体" w:hAnsi="黑体" w:eastAsia="黑体" w:cs="黑体"/>
          <w:b w:val="0"/>
          <w:bCs w:val="0"/>
        </w:rPr>
        <w:t xml:space="preserve">  再次开钻施工过程中的危险因素</w:t>
      </w:r>
    </w:p>
    <w:p>
      <w:pPr>
        <w:ind w:firstLine="560"/>
        <w:rPr>
          <w:snapToGrid w:val="0"/>
          <w:kern w:val="0"/>
        </w:rPr>
      </w:pPr>
      <w:r>
        <w:rPr>
          <w:snapToGrid w:val="0"/>
          <w:kern w:val="0"/>
        </w:rPr>
        <w:t>1）人员配合不当、防范意识差造成人员伤害、财产损失。</w:t>
      </w:r>
    </w:p>
    <w:p>
      <w:pPr>
        <w:ind w:firstLine="560"/>
        <w:rPr>
          <w:snapToGrid w:val="0"/>
          <w:kern w:val="0"/>
        </w:rPr>
      </w:pPr>
      <w:r>
        <w:rPr>
          <w:snapToGrid w:val="0"/>
          <w:kern w:val="0"/>
        </w:rPr>
        <w:t>2）吊钻具时操作不当、钢丝绳套达不到安全性能要求造成人员伤害、财产损失。</w:t>
      </w:r>
    </w:p>
    <w:p>
      <w:pPr>
        <w:ind w:firstLine="560"/>
        <w:rPr>
          <w:snapToGrid w:val="0"/>
          <w:kern w:val="0"/>
        </w:rPr>
      </w:pPr>
      <w:r>
        <w:rPr>
          <w:snapToGrid w:val="0"/>
          <w:kern w:val="0"/>
        </w:rPr>
        <w:t xml:space="preserve">3）操作不当、制动系统和防碰天车失灵造成顶天车、顿钻事故。 </w:t>
      </w:r>
    </w:p>
    <w:p>
      <w:pPr>
        <w:ind w:firstLine="560"/>
        <w:rPr>
          <w:snapToGrid w:val="0"/>
          <w:kern w:val="0"/>
        </w:rPr>
      </w:pPr>
      <w:r>
        <w:rPr>
          <w:snapToGrid w:val="0"/>
          <w:kern w:val="0"/>
        </w:rPr>
        <w:t>4）井口落物、井下复杂情况，造成财产损失。</w:t>
      </w:r>
    </w:p>
    <w:p>
      <w:pPr>
        <w:ind w:firstLine="560"/>
        <w:rPr>
          <w:snapToGrid w:val="0"/>
          <w:kern w:val="0"/>
        </w:rPr>
      </w:pPr>
      <w:r>
        <w:rPr>
          <w:snapToGrid w:val="0"/>
          <w:kern w:val="0"/>
        </w:rPr>
        <w:t>5）由于设备的安装质量或产品质量不合格引发高压试运转和钻进过程中突发憋开、刺漏事件造成人员伤害。</w:t>
      </w:r>
    </w:p>
    <w:p>
      <w:pPr>
        <w:ind w:firstLine="560"/>
        <w:rPr>
          <w:snapToGrid w:val="0"/>
          <w:kern w:val="0"/>
        </w:rPr>
      </w:pPr>
      <w:r>
        <w:rPr>
          <w:snapToGrid w:val="0"/>
          <w:kern w:val="0"/>
        </w:rPr>
        <w:t>6）未穿戴劳保用品造成人员伤害。</w:t>
      </w:r>
    </w:p>
    <w:p>
      <w:pPr>
        <w:pStyle w:val="5"/>
        <w:rPr>
          <w:b w:val="0"/>
          <w:bCs w:val="0"/>
        </w:rPr>
      </w:pPr>
      <w:r>
        <w:rPr>
          <w:b w:val="0"/>
          <w:bCs w:val="0"/>
        </w:rPr>
        <w:t xml:space="preserve">3.3.3 </w:t>
      </w:r>
      <w:r>
        <w:rPr>
          <w:rFonts w:hint="eastAsia"/>
          <w:b w:val="0"/>
          <w:bCs w:val="0"/>
        </w:rPr>
        <w:t xml:space="preserve"> </w:t>
      </w:r>
      <w:r>
        <w:rPr>
          <w:rFonts w:hint="eastAsia" w:ascii="黑体" w:hAnsi="黑体" w:eastAsia="黑体" w:cs="黑体"/>
          <w:b w:val="0"/>
          <w:bCs w:val="0"/>
        </w:rPr>
        <w:t>起下钻作业过程中的危害因素</w:t>
      </w:r>
    </w:p>
    <w:p>
      <w:pPr>
        <w:ind w:firstLine="560"/>
        <w:rPr>
          <w:snapToGrid w:val="0"/>
          <w:kern w:val="0"/>
        </w:rPr>
      </w:pPr>
      <w:r>
        <w:rPr>
          <w:snapToGrid w:val="0"/>
          <w:kern w:val="0"/>
        </w:rPr>
        <w:t>1）操作不当引发单吊环起钻、顿钻造成钻具折断、人员伤害、财产损失。</w:t>
      </w:r>
    </w:p>
    <w:p>
      <w:pPr>
        <w:ind w:firstLine="560"/>
        <w:rPr>
          <w:snapToGrid w:val="0"/>
          <w:kern w:val="0"/>
        </w:rPr>
      </w:pPr>
      <w:r>
        <w:rPr>
          <w:snapToGrid w:val="0"/>
          <w:kern w:val="0"/>
        </w:rPr>
        <w:t xml:space="preserve">2）灌注钻井液不及时造成井塌卡钻具，液柱压力小引发井涌、井喷造成财产损失、周期延长。 </w:t>
      </w:r>
    </w:p>
    <w:p>
      <w:pPr>
        <w:ind w:firstLine="560"/>
        <w:rPr>
          <w:snapToGrid w:val="0"/>
          <w:kern w:val="0"/>
        </w:rPr>
      </w:pPr>
      <w:r>
        <w:rPr>
          <w:snapToGrid w:val="0"/>
          <w:kern w:val="0"/>
        </w:rPr>
        <w:t>3）注意力不集中上提钻具摆动、遇阻卡钻、拔断钻具、拔活塞造成人员伤害、财产损失。</w:t>
      </w:r>
    </w:p>
    <w:p>
      <w:pPr>
        <w:ind w:firstLine="560"/>
        <w:rPr>
          <w:snapToGrid w:val="0"/>
          <w:kern w:val="0"/>
        </w:rPr>
      </w:pPr>
      <w:r>
        <w:rPr>
          <w:snapToGrid w:val="0"/>
          <w:kern w:val="0"/>
        </w:rPr>
        <w:t>4）在具体操作中，当司钻操作失误或与井口操作人员配合不好时，会造成（单吊环）起钻、砸飞井口工具、顶天车等事故。</w:t>
      </w:r>
    </w:p>
    <w:p>
      <w:pPr>
        <w:ind w:firstLine="560"/>
        <w:rPr>
          <w:snapToGrid w:val="0"/>
          <w:kern w:val="0"/>
        </w:rPr>
      </w:pPr>
      <w:r>
        <w:rPr>
          <w:snapToGrid w:val="0"/>
          <w:kern w:val="0"/>
        </w:rPr>
        <w:t>5）下放游车时配合不当、刹车不及时造成井口人员伤害。</w:t>
      </w:r>
    </w:p>
    <w:p>
      <w:pPr>
        <w:ind w:firstLine="560"/>
        <w:rPr>
          <w:snapToGrid w:val="0"/>
          <w:kern w:val="0"/>
        </w:rPr>
      </w:pPr>
      <w:r>
        <w:rPr>
          <w:snapToGrid w:val="0"/>
          <w:kern w:val="0"/>
        </w:rPr>
        <w:t>6）起下钻作业过程中易引发井下事故和复杂情况，如井眼垮塌、缩径、沉砂、油气上窜等等。</w:t>
      </w:r>
    </w:p>
    <w:p>
      <w:pPr>
        <w:ind w:firstLine="560"/>
        <w:rPr>
          <w:snapToGrid w:val="0"/>
          <w:kern w:val="0"/>
        </w:rPr>
      </w:pPr>
      <w:r>
        <w:rPr>
          <w:snapToGrid w:val="0"/>
          <w:kern w:val="0"/>
        </w:rPr>
        <w:t>7）下钻速度快，会产生很大的激动压力，容易憋漏地层。</w:t>
      </w:r>
    </w:p>
    <w:p>
      <w:pPr>
        <w:ind w:firstLine="560"/>
        <w:rPr>
          <w:snapToGrid w:val="0"/>
          <w:kern w:val="0"/>
        </w:rPr>
      </w:pPr>
      <w:r>
        <w:rPr>
          <w:snapToGrid w:val="0"/>
          <w:kern w:val="0"/>
        </w:rPr>
        <w:t>8）用大钳紧扣操作猫头失误时，有可能造成人员伤害。</w:t>
      </w:r>
    </w:p>
    <w:p>
      <w:pPr>
        <w:ind w:firstLine="560"/>
        <w:rPr>
          <w:snapToGrid w:val="0"/>
          <w:kern w:val="0"/>
        </w:rPr>
      </w:pPr>
      <w:r>
        <w:rPr>
          <w:snapToGrid w:val="0"/>
          <w:kern w:val="0"/>
        </w:rPr>
        <w:t>9）爬井架梯子未使用防坠落装置或攀升保护器，高处作业不系好安全带，造成人员高处坠落；工具未拴保险绳，导致高空落物事件或有可能人员被砸伤。</w:t>
      </w:r>
    </w:p>
    <w:p>
      <w:pPr>
        <w:ind w:firstLine="560"/>
        <w:rPr>
          <w:snapToGrid w:val="0"/>
          <w:kern w:val="0"/>
        </w:rPr>
      </w:pPr>
      <w:r>
        <w:rPr>
          <w:snapToGrid w:val="0"/>
          <w:kern w:val="0"/>
        </w:rPr>
        <w:t>10）未穿戴劳保护用品造成人员伤害。</w:t>
      </w:r>
    </w:p>
    <w:p>
      <w:pPr>
        <w:ind w:firstLine="560"/>
        <w:rPr>
          <w:snapToGrid w:val="0"/>
          <w:kern w:val="0"/>
        </w:rPr>
      </w:pPr>
      <w:r>
        <w:rPr>
          <w:snapToGrid w:val="0"/>
          <w:kern w:val="0"/>
        </w:rPr>
        <w:t>11）起下钻前有关岗位未对钻井大绳进行检查，大绳的缺陷不能及时发现，有断大绳造成恶性事故的风险。</w:t>
      </w:r>
    </w:p>
    <w:p>
      <w:pPr>
        <w:pStyle w:val="4"/>
        <w:rPr>
          <w:b w:val="0"/>
          <w:bCs w:val="0"/>
          <w:sz w:val="32"/>
          <w:szCs w:val="32"/>
        </w:rPr>
      </w:pPr>
      <w:bookmarkStart w:id="88" w:name="_Toc16466"/>
      <w:bookmarkStart w:id="89" w:name="_Toc200"/>
      <w:bookmarkStart w:id="90" w:name="_Toc474142060"/>
      <w:r>
        <w:rPr>
          <w:b w:val="0"/>
          <w:bCs w:val="0"/>
          <w:sz w:val="32"/>
          <w:szCs w:val="32"/>
        </w:rPr>
        <w:t xml:space="preserve">3.4 </w:t>
      </w:r>
      <w:r>
        <w:rPr>
          <w:rFonts w:hint="eastAsia"/>
          <w:b w:val="0"/>
          <w:bCs w:val="0"/>
          <w:sz w:val="32"/>
          <w:szCs w:val="32"/>
        </w:rPr>
        <w:t xml:space="preserve"> </w:t>
      </w:r>
      <w:r>
        <w:rPr>
          <w:rFonts w:hint="eastAsia" w:ascii="黑体" w:hAnsi="黑体" w:eastAsia="黑体" w:cs="黑体"/>
          <w:b w:val="0"/>
          <w:bCs w:val="0"/>
          <w:sz w:val="32"/>
          <w:szCs w:val="32"/>
          <w:lang w:val="en-US" w:eastAsia="zh-CN"/>
        </w:rPr>
        <w:t>交叉</w:t>
      </w:r>
      <w:r>
        <w:rPr>
          <w:rFonts w:hint="eastAsia" w:ascii="黑体" w:hAnsi="黑体" w:eastAsia="黑体" w:cs="黑体"/>
          <w:b w:val="0"/>
          <w:bCs w:val="0"/>
          <w:sz w:val="32"/>
          <w:szCs w:val="32"/>
        </w:rPr>
        <w:t>作业过程中的危害因素</w:t>
      </w:r>
      <w:bookmarkEnd w:id="88"/>
      <w:bookmarkEnd w:id="89"/>
      <w:bookmarkEnd w:id="90"/>
    </w:p>
    <w:p>
      <w:pPr>
        <w:ind w:firstLine="560"/>
        <w:rPr>
          <w:snapToGrid w:val="0"/>
          <w:kern w:val="0"/>
        </w:rPr>
      </w:pPr>
      <w:r>
        <w:rPr>
          <w:snapToGrid w:val="0"/>
          <w:kern w:val="0"/>
        </w:rPr>
        <w:t>1）交叉作业时，指挥不当、人员不服从指挥造成人员伤害、财产损失。</w:t>
      </w:r>
    </w:p>
    <w:p>
      <w:pPr>
        <w:ind w:firstLine="560"/>
        <w:rPr>
          <w:snapToGrid w:val="0"/>
          <w:kern w:val="0"/>
        </w:rPr>
      </w:pPr>
      <w:r>
        <w:rPr>
          <w:snapToGrid w:val="0"/>
          <w:kern w:val="0"/>
        </w:rPr>
        <w:t>2）车辆摆放不当造成人员触电、设备损坏。</w:t>
      </w:r>
    </w:p>
    <w:p>
      <w:pPr>
        <w:ind w:firstLine="560"/>
        <w:rPr>
          <w:snapToGrid w:val="0"/>
          <w:kern w:val="0"/>
        </w:rPr>
      </w:pPr>
      <w:r>
        <w:rPr>
          <w:snapToGrid w:val="0"/>
          <w:kern w:val="0"/>
        </w:rPr>
        <w:t>3）高压管线连接不当造成刺伤、碰伤。</w:t>
      </w:r>
    </w:p>
    <w:p>
      <w:pPr>
        <w:ind w:firstLine="560"/>
        <w:rPr>
          <w:snapToGrid w:val="0"/>
          <w:kern w:val="0"/>
        </w:rPr>
      </w:pPr>
      <w:r>
        <w:rPr>
          <w:snapToGrid w:val="0"/>
          <w:kern w:val="0"/>
        </w:rPr>
        <w:t>4）水龙头摆动使水泥头短节脱落造成人员伤害、环境污染。</w:t>
      </w:r>
    </w:p>
    <w:p>
      <w:pPr>
        <w:ind w:firstLine="560"/>
        <w:rPr>
          <w:snapToGrid w:val="0"/>
          <w:kern w:val="0"/>
        </w:rPr>
      </w:pPr>
      <w:r>
        <w:rPr>
          <w:snapToGrid w:val="0"/>
          <w:kern w:val="0"/>
        </w:rPr>
        <w:t>5）立管安全阀固定不牢阀门飞出造成人员伤害。</w:t>
      </w:r>
    </w:p>
    <w:p>
      <w:pPr>
        <w:ind w:firstLine="560"/>
        <w:rPr>
          <w:snapToGrid w:val="0"/>
          <w:kern w:val="0"/>
        </w:rPr>
      </w:pPr>
      <w:r>
        <w:rPr>
          <w:snapToGrid w:val="0"/>
          <w:kern w:val="0"/>
        </w:rPr>
        <w:t>6）冬季施工安装管线中的余水冻结将管线堵塞，憋泵造成人员伤害、环境污染。</w:t>
      </w:r>
    </w:p>
    <w:p>
      <w:pPr>
        <w:ind w:firstLine="560"/>
        <w:rPr>
          <w:snapToGrid w:val="0"/>
          <w:kern w:val="0"/>
        </w:rPr>
      </w:pPr>
      <w:r>
        <w:rPr>
          <w:snapToGrid w:val="0"/>
          <w:kern w:val="0"/>
        </w:rPr>
        <w:t>7）水泥浆提前凝固或闪凝，致使替浆压力升高，提前憋断保险销，导致“灌香肠”的风险。</w:t>
      </w:r>
    </w:p>
    <w:p>
      <w:pPr>
        <w:pStyle w:val="4"/>
        <w:rPr>
          <w:sz w:val="32"/>
          <w:szCs w:val="32"/>
        </w:rPr>
      </w:pPr>
      <w:bookmarkStart w:id="91" w:name="_Toc7570"/>
      <w:bookmarkStart w:id="92" w:name="_Toc474142061"/>
      <w:bookmarkStart w:id="93" w:name="_Toc30268"/>
      <w:r>
        <w:rPr>
          <w:b w:val="0"/>
          <w:bCs w:val="0"/>
          <w:sz w:val="32"/>
          <w:szCs w:val="32"/>
        </w:rPr>
        <w:t>3.5</w:t>
      </w:r>
      <w:r>
        <w:rPr>
          <w:sz w:val="32"/>
          <w:szCs w:val="32"/>
        </w:rPr>
        <w:t xml:space="preserve"> </w:t>
      </w:r>
      <w:r>
        <w:rPr>
          <w:rFonts w:hint="eastAsia"/>
          <w:sz w:val="32"/>
          <w:szCs w:val="32"/>
        </w:rPr>
        <w:t xml:space="preserve"> </w:t>
      </w:r>
      <w:r>
        <w:rPr>
          <w:rFonts w:hint="eastAsia" w:ascii="黑体" w:hAnsi="黑体" w:eastAsia="黑体" w:cs="黑体"/>
          <w:b w:val="0"/>
          <w:bCs w:val="0"/>
          <w:sz w:val="32"/>
          <w:szCs w:val="32"/>
        </w:rPr>
        <w:t>辅助作业的危害因素</w:t>
      </w:r>
      <w:bookmarkEnd w:id="91"/>
      <w:bookmarkEnd w:id="92"/>
      <w:bookmarkEnd w:id="93"/>
    </w:p>
    <w:p>
      <w:pPr>
        <w:pStyle w:val="5"/>
        <w:rPr>
          <w:b w:val="0"/>
          <w:bCs w:val="0"/>
        </w:rPr>
      </w:pPr>
      <w:r>
        <w:rPr>
          <w:b w:val="0"/>
          <w:bCs w:val="0"/>
        </w:rPr>
        <w:t xml:space="preserve">3.5.1 </w:t>
      </w:r>
      <w:r>
        <w:rPr>
          <w:rFonts w:hint="eastAsia"/>
          <w:b w:val="0"/>
          <w:bCs w:val="0"/>
        </w:rPr>
        <w:t xml:space="preserve"> </w:t>
      </w:r>
      <w:r>
        <w:rPr>
          <w:rFonts w:hint="eastAsia" w:ascii="黑体" w:hAnsi="黑体" w:eastAsia="黑体" w:cs="黑体"/>
          <w:b w:val="0"/>
          <w:bCs w:val="0"/>
        </w:rPr>
        <w:t>井架起放过程中的危害因素</w:t>
      </w:r>
    </w:p>
    <w:p>
      <w:pPr>
        <w:ind w:firstLine="560"/>
        <w:rPr>
          <w:snapToGrid w:val="0"/>
          <w:kern w:val="0"/>
        </w:rPr>
      </w:pPr>
      <w:r>
        <w:rPr>
          <w:snapToGrid w:val="0"/>
          <w:kern w:val="0"/>
        </w:rPr>
        <w:t>1）恶劣天气（如雪雨雾、五级以上大风、沙尘天气等）易造成人员伤害、财产损失。</w:t>
      </w:r>
    </w:p>
    <w:p>
      <w:pPr>
        <w:ind w:firstLine="560"/>
        <w:rPr>
          <w:snapToGrid w:val="0"/>
          <w:kern w:val="0"/>
        </w:rPr>
      </w:pPr>
      <w:r>
        <w:rPr>
          <w:snapToGrid w:val="0"/>
          <w:kern w:val="0"/>
        </w:rPr>
        <w:t>2）地面设施故障影响（高压线、低压线、通讯线、地面建筑、油井等其他设施）造成人员伤害。</w:t>
      </w:r>
    </w:p>
    <w:p>
      <w:pPr>
        <w:ind w:firstLine="560"/>
        <w:rPr>
          <w:snapToGrid w:val="0"/>
          <w:kern w:val="0"/>
        </w:rPr>
      </w:pPr>
      <w:r>
        <w:rPr>
          <w:snapToGrid w:val="0"/>
          <w:kern w:val="0"/>
        </w:rPr>
        <w:t>3）起放前检查不仔细，物体脱落造成人员伤害、财产损失。</w:t>
      </w:r>
    </w:p>
    <w:p>
      <w:pPr>
        <w:ind w:firstLine="560"/>
        <w:rPr>
          <w:snapToGrid w:val="0"/>
          <w:kern w:val="0"/>
        </w:rPr>
      </w:pPr>
      <w:r>
        <w:rPr>
          <w:snapToGrid w:val="0"/>
          <w:kern w:val="0"/>
        </w:rPr>
        <w:t>4）指挥不当、操作失误造成人员伤害、财产损失。</w:t>
      </w:r>
    </w:p>
    <w:p>
      <w:pPr>
        <w:pStyle w:val="5"/>
        <w:rPr>
          <w:b w:val="0"/>
          <w:bCs w:val="0"/>
        </w:rPr>
      </w:pPr>
      <w:r>
        <w:rPr>
          <w:b w:val="0"/>
          <w:bCs w:val="0"/>
        </w:rPr>
        <w:t xml:space="preserve">3.5.2 </w:t>
      </w:r>
      <w:r>
        <w:rPr>
          <w:rFonts w:hint="eastAsia"/>
          <w:b w:val="0"/>
          <w:bCs w:val="0"/>
        </w:rPr>
        <w:t xml:space="preserve"> </w:t>
      </w:r>
      <w:r>
        <w:rPr>
          <w:rFonts w:hint="eastAsia" w:ascii="黑体" w:hAnsi="黑体" w:eastAsia="黑体" w:cs="黑体"/>
          <w:b w:val="0"/>
          <w:bCs w:val="0"/>
        </w:rPr>
        <w:t>更换大绳（或穿大绳〉作业过程的危害因素</w:t>
      </w:r>
    </w:p>
    <w:p>
      <w:pPr>
        <w:ind w:firstLine="560"/>
        <w:rPr>
          <w:snapToGrid w:val="0"/>
          <w:kern w:val="0"/>
        </w:rPr>
      </w:pPr>
      <w:r>
        <w:rPr>
          <w:snapToGrid w:val="0"/>
          <w:kern w:val="0"/>
        </w:rPr>
        <w:t>1）大绳断丝、绳头散开刺伤手或身体其他部位。</w:t>
      </w:r>
    </w:p>
    <w:p>
      <w:pPr>
        <w:ind w:firstLine="560"/>
        <w:rPr>
          <w:snapToGrid w:val="0"/>
          <w:kern w:val="0"/>
        </w:rPr>
      </w:pPr>
      <w:r>
        <w:rPr>
          <w:snapToGrid w:val="0"/>
          <w:kern w:val="0"/>
        </w:rPr>
        <w:t>2）使用电焊金属飞溅、电弧造成人员眼睛伤害。</w:t>
      </w:r>
    </w:p>
    <w:p>
      <w:pPr>
        <w:ind w:firstLine="560"/>
        <w:rPr>
          <w:snapToGrid w:val="0"/>
          <w:kern w:val="0"/>
        </w:rPr>
      </w:pPr>
      <w:r>
        <w:rPr>
          <w:snapToGrid w:val="0"/>
          <w:kern w:val="0"/>
        </w:rPr>
        <w:t>3）钢丝绳头碰刮、断开、弹出打伤人员。</w:t>
      </w:r>
    </w:p>
    <w:p>
      <w:pPr>
        <w:ind w:firstLine="560"/>
        <w:rPr>
          <w:snapToGrid w:val="0"/>
          <w:kern w:val="0"/>
        </w:rPr>
      </w:pPr>
      <w:r>
        <w:rPr>
          <w:snapToGrid w:val="0"/>
          <w:kern w:val="0"/>
        </w:rPr>
        <w:t>4）倒绳装置旋转部位护罩安装不牢造成机械伤害。</w:t>
      </w:r>
    </w:p>
    <w:p>
      <w:pPr>
        <w:ind w:firstLine="560"/>
        <w:rPr>
          <w:snapToGrid w:val="0"/>
          <w:kern w:val="0"/>
        </w:rPr>
      </w:pPr>
      <w:r>
        <w:rPr>
          <w:snapToGrid w:val="0"/>
          <w:kern w:val="0"/>
        </w:rPr>
        <w:t>5）未系安全带、工具未拴保险绳而从高空坠落，落物造成人员伤害。</w:t>
      </w:r>
    </w:p>
    <w:p>
      <w:pPr>
        <w:ind w:firstLine="560"/>
        <w:rPr>
          <w:snapToGrid w:val="0"/>
          <w:kern w:val="0"/>
        </w:rPr>
      </w:pPr>
      <w:r>
        <w:rPr>
          <w:snapToGrid w:val="0"/>
          <w:kern w:val="0"/>
        </w:rPr>
        <w:t>6）施工人员未穿戴劳保用品（如安全帽、防砸工鞋、工作服、帆布手套、电气焊专用护具等）造成人员伤害。</w:t>
      </w:r>
    </w:p>
    <w:p>
      <w:pPr>
        <w:pStyle w:val="5"/>
        <w:rPr>
          <w:b w:val="0"/>
          <w:bCs w:val="0"/>
        </w:rPr>
      </w:pPr>
      <w:r>
        <w:rPr>
          <w:b w:val="0"/>
          <w:bCs w:val="0"/>
        </w:rPr>
        <w:t>3.5.3</w:t>
      </w:r>
      <w:r>
        <w:rPr>
          <w:rFonts w:hint="eastAsia"/>
          <w:b w:val="0"/>
          <w:bCs w:val="0"/>
        </w:rPr>
        <w:t xml:space="preserve"> </w:t>
      </w:r>
      <w:r>
        <w:rPr>
          <w:b w:val="0"/>
          <w:bCs w:val="0"/>
        </w:rPr>
        <w:t xml:space="preserve"> </w:t>
      </w:r>
      <w:r>
        <w:rPr>
          <w:rFonts w:hint="eastAsia" w:ascii="黑体" w:hAnsi="黑体" w:eastAsia="黑体" w:cs="黑体"/>
          <w:b w:val="0"/>
          <w:bCs w:val="0"/>
        </w:rPr>
        <w:t>顶驱安装拆卸作业过程的危害因素</w:t>
      </w:r>
    </w:p>
    <w:p>
      <w:pPr>
        <w:ind w:firstLine="560"/>
        <w:rPr>
          <w:snapToGrid w:val="0"/>
          <w:kern w:val="0"/>
        </w:rPr>
      </w:pPr>
      <w:r>
        <w:rPr>
          <w:snapToGrid w:val="0"/>
          <w:kern w:val="0"/>
        </w:rPr>
        <w:t>1）指挥不当、起吊失控、提升设备故障、钢丝绳选择不当导致断裂、滑脱，损坏设备，造成高空坠落，压伤或碰伤场地人员。</w:t>
      </w:r>
    </w:p>
    <w:p>
      <w:pPr>
        <w:ind w:firstLine="560"/>
        <w:rPr>
          <w:snapToGrid w:val="0"/>
          <w:kern w:val="0"/>
        </w:rPr>
      </w:pPr>
      <w:r>
        <w:rPr>
          <w:snapToGrid w:val="0"/>
          <w:kern w:val="0"/>
        </w:rPr>
        <w:t>2）施工人员配合不当、违章操作、脱岗造成人员伤害。</w:t>
      </w:r>
    </w:p>
    <w:p>
      <w:pPr>
        <w:ind w:firstLine="560"/>
        <w:rPr>
          <w:snapToGrid w:val="0"/>
          <w:kern w:val="0"/>
        </w:rPr>
      </w:pPr>
      <w:r>
        <w:rPr>
          <w:snapToGrid w:val="0"/>
          <w:kern w:val="0"/>
        </w:rPr>
        <w:t>3）井架上有杂物未清理绊倒、磕碰人员及设备造成人员伤害、设备损坏。</w:t>
      </w:r>
    </w:p>
    <w:p>
      <w:pPr>
        <w:ind w:firstLine="560"/>
        <w:rPr>
          <w:snapToGrid w:val="0"/>
          <w:kern w:val="0"/>
        </w:rPr>
      </w:pPr>
      <w:r>
        <w:rPr>
          <w:snapToGrid w:val="0"/>
          <w:kern w:val="0"/>
        </w:rPr>
        <w:t>4）螺栓、销轴、保险销不全、不符合标准造成设备损坏、人员伤害。</w:t>
      </w:r>
    </w:p>
    <w:p>
      <w:pPr>
        <w:ind w:firstLine="560"/>
        <w:rPr>
          <w:snapToGrid w:val="0"/>
          <w:kern w:val="0"/>
        </w:rPr>
      </w:pPr>
      <w:r>
        <w:rPr>
          <w:snapToGrid w:val="0"/>
          <w:kern w:val="0"/>
        </w:rPr>
        <w:t>5）作业人员未穿戴好劳保用品（如安全帽、防护眼镜、防砸工鞋、工作服等），高处作业时未系安全带造成人员伤害。</w:t>
      </w:r>
    </w:p>
    <w:p>
      <w:pPr>
        <w:pStyle w:val="5"/>
      </w:pPr>
      <w:r>
        <w:rPr>
          <w:b w:val="0"/>
          <w:bCs w:val="0"/>
        </w:rPr>
        <w:t>3.5.4</w:t>
      </w:r>
      <w:r>
        <w:rPr>
          <w:rFonts w:hint="eastAsia"/>
          <w:b w:val="0"/>
          <w:bCs w:val="0"/>
        </w:rPr>
        <w:t xml:space="preserve"> </w:t>
      </w:r>
      <w:r>
        <w:rPr>
          <w:b w:val="0"/>
          <w:bCs w:val="0"/>
        </w:rPr>
        <w:t xml:space="preserve"> </w:t>
      </w:r>
      <w:r>
        <w:rPr>
          <w:rFonts w:hint="eastAsia" w:ascii="黑体" w:hAnsi="黑体" w:eastAsia="黑体" w:cs="黑体"/>
          <w:b w:val="0"/>
          <w:bCs w:val="0"/>
        </w:rPr>
        <w:t>电焊过程中的危害因素</w:t>
      </w:r>
    </w:p>
    <w:p>
      <w:pPr>
        <w:ind w:firstLine="560"/>
        <w:rPr>
          <w:snapToGrid w:val="0"/>
          <w:kern w:val="0"/>
        </w:rPr>
      </w:pPr>
      <w:r>
        <w:rPr>
          <w:snapToGrid w:val="0"/>
          <w:kern w:val="0"/>
        </w:rPr>
        <w:t>1）操作者未持有具有发证资格机构颁发的电焊操作证，违章操作造成人员伤害。</w:t>
      </w:r>
    </w:p>
    <w:p>
      <w:pPr>
        <w:ind w:firstLine="560"/>
        <w:rPr>
          <w:snapToGrid w:val="0"/>
          <w:kern w:val="0"/>
        </w:rPr>
      </w:pPr>
      <w:r>
        <w:rPr>
          <w:snapToGrid w:val="0"/>
          <w:kern w:val="0"/>
        </w:rPr>
        <w:t>2）未办理工业“动火票”，无动火措施和监护人造成人员伤害。</w:t>
      </w:r>
    </w:p>
    <w:p>
      <w:pPr>
        <w:ind w:firstLine="560"/>
        <w:rPr>
          <w:snapToGrid w:val="0"/>
          <w:kern w:val="0"/>
        </w:rPr>
      </w:pPr>
      <w:r>
        <w:rPr>
          <w:snapToGrid w:val="0"/>
          <w:kern w:val="0"/>
        </w:rPr>
        <w:t>3）工作环境通风条件差，无机械通风设备，未穿戴使用劳保护具，电焊接</w:t>
      </w:r>
      <w:r>
        <w:rPr>
          <w:rFonts w:hint="eastAsia"/>
          <w:snapToGrid w:val="0"/>
          <w:kern w:val="0"/>
          <w:lang w:eastAsia="zh-CN"/>
        </w:rPr>
        <w:t>、</w:t>
      </w:r>
      <w:r>
        <w:rPr>
          <w:rFonts w:hint="eastAsia"/>
          <w:snapToGrid w:val="0"/>
          <w:kern w:val="0"/>
          <w:lang w:val="en-US" w:eastAsia="zh-CN"/>
        </w:rPr>
        <w:t>切</w:t>
      </w:r>
      <w:r>
        <w:rPr>
          <w:snapToGrid w:val="0"/>
          <w:kern w:val="0"/>
        </w:rPr>
        <w:t>割金属元素、焊药等在高温火焰作用下会产生各种有害气体、紫外线和焊割烟，人员吸入有毒有害气体造成中毒。</w:t>
      </w:r>
    </w:p>
    <w:p>
      <w:pPr>
        <w:ind w:firstLine="560"/>
        <w:rPr>
          <w:snapToGrid w:val="0"/>
          <w:kern w:val="0"/>
        </w:rPr>
      </w:pPr>
      <w:r>
        <w:rPr>
          <w:snapToGrid w:val="0"/>
          <w:kern w:val="0"/>
        </w:rPr>
        <w:t>4）检查不细致、完工清理不彻底造成火灾、爆炸、中毒。</w:t>
      </w:r>
    </w:p>
    <w:p>
      <w:pPr>
        <w:ind w:firstLine="560"/>
        <w:rPr>
          <w:snapToGrid w:val="0"/>
          <w:kern w:val="0"/>
        </w:rPr>
      </w:pPr>
      <w:r>
        <w:rPr>
          <w:rFonts w:hint="eastAsia"/>
          <w:snapToGrid w:val="0"/>
          <w:kern w:val="0"/>
          <w:lang w:val="en-US" w:eastAsia="zh-CN"/>
        </w:rPr>
        <w:t>5</w:t>
      </w:r>
      <w:r>
        <w:rPr>
          <w:snapToGrid w:val="0"/>
          <w:kern w:val="0"/>
        </w:rPr>
        <w:t>）完工后，对残余火源未进行彻底清理造成火灾、爆炸。</w:t>
      </w:r>
    </w:p>
    <w:p>
      <w:pPr>
        <w:pStyle w:val="5"/>
        <w:rPr>
          <w:b w:val="0"/>
          <w:bCs w:val="0"/>
        </w:rPr>
      </w:pPr>
      <w:r>
        <w:rPr>
          <w:b w:val="0"/>
          <w:bCs w:val="0"/>
        </w:rPr>
        <w:t xml:space="preserve">3.5.5 </w:t>
      </w:r>
      <w:r>
        <w:rPr>
          <w:rFonts w:hint="eastAsia"/>
          <w:b w:val="0"/>
          <w:bCs w:val="0"/>
        </w:rPr>
        <w:t xml:space="preserve"> </w:t>
      </w:r>
      <w:r>
        <w:rPr>
          <w:rFonts w:hint="eastAsia" w:ascii="黑体" w:hAnsi="黑体" w:eastAsia="黑体" w:cs="黑体"/>
          <w:b w:val="0"/>
          <w:bCs w:val="0"/>
        </w:rPr>
        <w:t>其他辅助作业过程中的危害因素</w:t>
      </w:r>
    </w:p>
    <w:p>
      <w:pPr>
        <w:ind w:firstLine="560"/>
        <w:rPr>
          <w:snapToGrid w:val="0"/>
          <w:kern w:val="0"/>
        </w:rPr>
      </w:pPr>
      <w:r>
        <w:rPr>
          <w:snapToGrid w:val="0"/>
          <w:kern w:val="0"/>
        </w:rPr>
        <w:t>钻井生产过程中，除工业动火、高处作业、吊装作业等直接作业环节外，还有一些人员之间相互配合的辅助作业活动，如果人员之间配合不当或个人作业不当，也容易对操作者或他人造成人身伤害。以下所列均为不正确的事项。</w:t>
      </w:r>
    </w:p>
    <w:p>
      <w:pPr>
        <w:ind w:firstLine="560"/>
        <w:rPr>
          <w:snapToGrid w:val="0"/>
          <w:kern w:val="0"/>
        </w:rPr>
      </w:pPr>
      <w:r>
        <w:rPr>
          <w:rFonts w:hint="eastAsia"/>
          <w:snapToGrid w:val="0"/>
          <w:kern w:val="0"/>
          <w:lang w:val="en-US" w:eastAsia="zh-CN"/>
        </w:rPr>
        <w:t>1</w:t>
      </w:r>
      <w:r>
        <w:rPr>
          <w:snapToGrid w:val="0"/>
          <w:kern w:val="0"/>
        </w:rPr>
        <w:t>）用撬杠撬重物时，不用双手侧握，撬杠头直对胸前，不互相联系，不前后照应一起撬动。</w:t>
      </w:r>
    </w:p>
    <w:p>
      <w:pPr>
        <w:ind w:firstLine="560"/>
        <w:rPr>
          <w:snapToGrid w:val="0"/>
          <w:kern w:val="0"/>
        </w:rPr>
      </w:pPr>
      <w:r>
        <w:rPr>
          <w:rFonts w:hint="eastAsia"/>
          <w:snapToGrid w:val="0"/>
          <w:kern w:val="0"/>
          <w:lang w:val="en-US" w:eastAsia="zh-CN"/>
        </w:rPr>
        <w:t>2</w:t>
      </w:r>
      <w:r>
        <w:rPr>
          <w:snapToGrid w:val="0"/>
          <w:kern w:val="0"/>
        </w:rPr>
        <w:t>）抬重物时绳索拴固不牢，重物离地面过高（超过 0.3 m）。</w:t>
      </w:r>
    </w:p>
    <w:p>
      <w:pPr>
        <w:ind w:firstLine="560"/>
        <w:rPr>
          <w:snapToGrid w:val="0"/>
          <w:kern w:val="0"/>
        </w:rPr>
      </w:pPr>
      <w:r>
        <w:rPr>
          <w:rFonts w:hint="eastAsia"/>
          <w:snapToGrid w:val="0"/>
          <w:kern w:val="0"/>
          <w:lang w:val="en-US" w:eastAsia="zh-CN"/>
        </w:rPr>
        <w:t>3</w:t>
      </w:r>
      <w:r>
        <w:rPr>
          <w:snapToGrid w:val="0"/>
          <w:kern w:val="0"/>
        </w:rPr>
        <w:t>）重物上钻台不从坡道机械提升，人员在起吊重物下走动逗留。</w:t>
      </w:r>
    </w:p>
    <w:p>
      <w:pPr>
        <w:ind w:firstLine="560"/>
        <w:rPr>
          <w:snapToGrid w:val="0"/>
          <w:kern w:val="0"/>
        </w:rPr>
      </w:pPr>
      <w:r>
        <w:rPr>
          <w:rFonts w:hint="eastAsia"/>
          <w:snapToGrid w:val="0"/>
          <w:kern w:val="0"/>
          <w:lang w:val="en-US" w:eastAsia="zh-CN"/>
        </w:rPr>
        <w:t>4</w:t>
      </w:r>
      <w:r>
        <w:rPr>
          <w:snapToGrid w:val="0"/>
          <w:kern w:val="0"/>
        </w:rPr>
        <w:t>）从天车台、二层台、钻台等高处往下扔东西。</w:t>
      </w:r>
    </w:p>
    <w:p>
      <w:pPr>
        <w:ind w:firstLine="560"/>
        <w:rPr>
          <w:snapToGrid w:val="0"/>
          <w:kern w:val="0"/>
        </w:rPr>
      </w:pPr>
      <w:r>
        <w:rPr>
          <w:rFonts w:hint="eastAsia"/>
          <w:snapToGrid w:val="0"/>
          <w:kern w:val="0"/>
          <w:lang w:val="en-US" w:eastAsia="zh-CN"/>
        </w:rPr>
        <w:t>5</w:t>
      </w:r>
      <w:r>
        <w:rPr>
          <w:snapToGrid w:val="0"/>
          <w:kern w:val="0"/>
        </w:rPr>
        <w:t>）使用管钳时，不用手掌按管钳手柄，手指全握管钳柄，使用加力管。</w:t>
      </w:r>
    </w:p>
    <w:p>
      <w:pPr>
        <w:ind w:firstLine="560"/>
        <w:rPr>
          <w:snapToGrid w:val="0"/>
          <w:kern w:val="0"/>
        </w:rPr>
      </w:pPr>
      <w:r>
        <w:rPr>
          <w:rFonts w:hint="eastAsia"/>
          <w:snapToGrid w:val="0"/>
          <w:kern w:val="0"/>
          <w:lang w:val="en-US" w:eastAsia="zh-CN"/>
        </w:rPr>
        <w:t>6</w:t>
      </w:r>
      <w:r>
        <w:rPr>
          <w:snapToGrid w:val="0"/>
          <w:kern w:val="0"/>
        </w:rPr>
        <w:t>）井场使用明火，离油、气及易燃物品较近，没有防火措施和用火监护人。</w:t>
      </w:r>
    </w:p>
    <w:p>
      <w:pPr>
        <w:ind w:firstLine="560"/>
        <w:rPr>
          <w:snapToGrid w:val="0"/>
          <w:kern w:val="0"/>
        </w:rPr>
      </w:pPr>
      <w:r>
        <w:rPr>
          <w:rFonts w:hint="eastAsia"/>
          <w:snapToGrid w:val="0"/>
          <w:kern w:val="0"/>
          <w:lang w:val="en-US" w:eastAsia="zh-CN"/>
        </w:rPr>
        <w:t>7</w:t>
      </w:r>
      <w:r>
        <w:rPr>
          <w:snapToGrid w:val="0"/>
          <w:kern w:val="0"/>
        </w:rPr>
        <w:t>）紧固螺丝时，不按规定的扭矩扭紧，任意加长力臂致使螺杆受力过大，发生变形或扭断伤人。</w:t>
      </w:r>
    </w:p>
    <w:p>
      <w:pPr>
        <w:ind w:firstLine="560"/>
        <w:rPr>
          <w:snapToGrid w:val="0"/>
          <w:kern w:val="0"/>
        </w:rPr>
      </w:pPr>
      <w:r>
        <w:rPr>
          <w:rFonts w:hint="eastAsia"/>
          <w:snapToGrid w:val="0"/>
          <w:kern w:val="0"/>
          <w:lang w:val="en-US" w:eastAsia="zh-CN"/>
        </w:rPr>
        <w:t>8</w:t>
      </w:r>
      <w:r>
        <w:rPr>
          <w:snapToGrid w:val="0"/>
          <w:kern w:val="0"/>
        </w:rPr>
        <w:t>）使用大锤时，大锤起落不注意锤头甩落范围内有无障碍。锤头把柄未安装牢固，锤头脱落伤人。</w:t>
      </w:r>
    </w:p>
    <w:p>
      <w:pPr>
        <w:ind w:firstLine="560"/>
        <w:rPr>
          <w:snapToGrid w:val="0"/>
          <w:kern w:val="0"/>
        </w:rPr>
      </w:pPr>
      <w:r>
        <w:rPr>
          <w:rFonts w:hint="eastAsia"/>
          <w:snapToGrid w:val="0"/>
          <w:kern w:val="0"/>
          <w:lang w:val="en-US" w:eastAsia="zh-CN"/>
        </w:rPr>
        <w:t>9</w:t>
      </w:r>
      <w:r>
        <w:rPr>
          <w:snapToGrid w:val="0"/>
          <w:kern w:val="0"/>
        </w:rPr>
        <w:t>）砸烧碱及腐蚀性较强的化学药品时，不戴护目镜和围裙，未让场地来往人员躲避。</w:t>
      </w:r>
    </w:p>
    <w:p>
      <w:pPr>
        <w:ind w:firstLine="560"/>
        <w:rPr>
          <w:snapToGrid w:val="0"/>
          <w:kern w:val="0"/>
        </w:rPr>
      </w:pPr>
      <w:r>
        <w:rPr>
          <w:rFonts w:hint="eastAsia"/>
          <w:snapToGrid w:val="0"/>
          <w:kern w:val="0"/>
          <w:lang w:val="en-US" w:eastAsia="zh-CN"/>
        </w:rPr>
        <w:t>10</w:t>
      </w:r>
      <w:r>
        <w:rPr>
          <w:snapToGrid w:val="0"/>
          <w:kern w:val="0"/>
        </w:rPr>
        <w:t>）使用大门绷绳时，不注意绷绳周围及危险区内是否站人。</w:t>
      </w:r>
    </w:p>
    <w:p>
      <w:pPr>
        <w:pStyle w:val="4"/>
        <w:keepNext/>
        <w:keepLines/>
        <w:pageBreakBefore w:val="0"/>
        <w:widowControl w:val="0"/>
        <w:kinsoku/>
        <w:wordWrap/>
        <w:overflowPunct/>
        <w:topLinePunct w:val="0"/>
        <w:autoSpaceDE/>
        <w:autoSpaceDN/>
        <w:bidi w:val="0"/>
        <w:adjustRightInd w:val="0"/>
        <w:snapToGrid w:val="0"/>
        <w:textAlignment w:val="auto"/>
        <w:rPr>
          <w:sz w:val="32"/>
          <w:szCs w:val="32"/>
        </w:rPr>
      </w:pPr>
      <w:bookmarkStart w:id="94" w:name="_Toc474142062"/>
      <w:bookmarkStart w:id="95" w:name="_Toc14339"/>
      <w:bookmarkStart w:id="96" w:name="_Toc22814"/>
      <w:bookmarkStart w:id="97" w:name="_Toc194400263"/>
      <w:bookmarkStart w:id="98" w:name="_Toc254533710"/>
      <w:bookmarkStart w:id="99" w:name="_Toc370828252"/>
      <w:bookmarkStart w:id="100" w:name="_Toc195626677"/>
      <w:r>
        <w:rPr>
          <w:b w:val="0"/>
          <w:bCs w:val="0"/>
          <w:sz w:val="32"/>
          <w:szCs w:val="32"/>
        </w:rPr>
        <w:t>3.6</w:t>
      </w:r>
      <w:r>
        <w:rPr>
          <w:sz w:val="32"/>
          <w:szCs w:val="32"/>
        </w:rPr>
        <w:t xml:space="preserve"> </w:t>
      </w:r>
      <w:r>
        <w:rPr>
          <w:rFonts w:hint="eastAsia"/>
          <w:sz w:val="32"/>
          <w:szCs w:val="32"/>
        </w:rPr>
        <w:t xml:space="preserve"> </w:t>
      </w:r>
      <w:r>
        <w:rPr>
          <w:rFonts w:hint="eastAsia" w:ascii="黑体" w:hAnsi="黑体" w:eastAsia="黑体" w:cs="黑体"/>
          <w:b w:val="0"/>
          <w:bCs w:val="0"/>
          <w:sz w:val="32"/>
          <w:szCs w:val="32"/>
        </w:rPr>
        <w:t>钻井施工过程主要风险类别、危害特点及分布情况</w:t>
      </w:r>
      <w:bookmarkEnd w:id="94"/>
      <w:bookmarkEnd w:id="95"/>
      <w:bookmarkEnd w:id="96"/>
    </w:p>
    <w:p>
      <w:pPr>
        <w:pStyle w:val="5"/>
        <w:keepNext/>
        <w:keepLines/>
        <w:pageBreakBefore w:val="0"/>
        <w:widowControl w:val="0"/>
        <w:kinsoku/>
        <w:wordWrap/>
        <w:overflowPunct/>
        <w:topLinePunct w:val="0"/>
        <w:autoSpaceDE/>
        <w:autoSpaceDN/>
        <w:bidi w:val="0"/>
        <w:adjustRightInd w:val="0"/>
        <w:snapToGrid w:val="0"/>
        <w:textAlignment w:val="auto"/>
        <w:rPr>
          <w:b w:val="0"/>
          <w:bCs w:val="0"/>
        </w:rPr>
      </w:pPr>
      <w:r>
        <w:rPr>
          <w:b w:val="0"/>
          <w:bCs w:val="0"/>
        </w:rPr>
        <w:t xml:space="preserve">3.6.1 </w:t>
      </w:r>
      <w:r>
        <w:rPr>
          <w:rFonts w:hint="eastAsia"/>
          <w:b w:val="0"/>
          <w:bCs w:val="0"/>
        </w:rPr>
        <w:t xml:space="preserve"> </w:t>
      </w:r>
      <w:r>
        <w:rPr>
          <w:rFonts w:hint="eastAsia" w:ascii="黑体" w:hAnsi="黑体" w:eastAsia="黑体" w:cs="黑体"/>
          <w:b w:val="0"/>
          <w:bCs w:val="0"/>
        </w:rPr>
        <w:t>风险类别</w:t>
      </w:r>
    </w:p>
    <w:bookmarkEnd w:id="97"/>
    <w:bookmarkEnd w:id="98"/>
    <w:bookmarkEnd w:id="99"/>
    <w:bookmarkEnd w:id="100"/>
    <w:p>
      <w:pPr>
        <w:ind w:firstLine="560"/>
        <w:rPr>
          <w:snapToGrid w:val="0"/>
          <w:kern w:val="0"/>
        </w:rPr>
      </w:pPr>
      <w:r>
        <w:rPr>
          <w:snapToGrid w:val="0"/>
          <w:kern w:val="0"/>
        </w:rPr>
        <w:t>在钻井施工过程中，因为设备、人员、环境和管理上的缺陷，存在着众多的危险因素，并由此决定了钻井是石油天然气工程各个部门中的一个相对高危的行业，钻井过程中的事故发生概率相对较高。</w:t>
      </w:r>
    </w:p>
    <w:p>
      <w:pPr>
        <w:ind w:firstLine="560"/>
        <w:rPr>
          <w:snapToGrid w:val="0"/>
          <w:kern w:val="0"/>
        </w:rPr>
      </w:pPr>
      <w:r>
        <w:rPr>
          <w:snapToGrid w:val="0"/>
          <w:kern w:val="0"/>
        </w:rPr>
        <w:t>碳氢化合物及硫化氢在钻探作业过程中发生泄漏后的影响后果严重，即井喷失控、着火爆炸、硫化氢中毒是钻井工作中最重大的危险。根据主要作业工序的危险、有害因素识别，钻井工程存在的危险类别主要有：</w:t>
      </w:r>
    </w:p>
    <w:p>
      <w:pPr>
        <w:ind w:firstLine="560"/>
        <w:rPr>
          <w:snapToGrid w:val="0"/>
          <w:kern w:val="0"/>
        </w:rPr>
      </w:pPr>
      <w:r>
        <w:rPr>
          <w:snapToGrid w:val="0"/>
          <w:kern w:val="0"/>
        </w:rPr>
        <w:t>（1）井喷和井喷失控</w:t>
      </w:r>
    </w:p>
    <w:p>
      <w:pPr>
        <w:ind w:firstLine="560"/>
        <w:rPr>
          <w:snapToGrid w:val="0"/>
          <w:kern w:val="0"/>
        </w:rPr>
      </w:pPr>
      <w:r>
        <w:rPr>
          <w:snapToGrid w:val="0"/>
          <w:kern w:val="0"/>
        </w:rPr>
        <w:t>井喷是指当井底压力远小于地层压力时，井内流体大量喷出，在地面形成较大喷势的现象称之为井喷，此外严重的井漏（钻井过程中，井筒内钻井液或其他介质(固井水泥浆等)漏入地层孔隙、裂缝等空间的现象）会导致井内压力下降，影响正常钻井、引起井壁失稳、诱发地层流体涌入井筒并井喷。</w:t>
      </w:r>
    </w:p>
    <w:p>
      <w:pPr>
        <w:ind w:firstLine="560"/>
        <w:rPr>
          <w:snapToGrid w:val="0"/>
          <w:kern w:val="0"/>
        </w:rPr>
      </w:pPr>
      <w:r>
        <w:rPr>
          <w:snapToGrid w:val="0"/>
          <w:kern w:val="0"/>
        </w:rPr>
        <w:t>井喷失控是指井喷发生后，无法用常规方法控制井口而出现井口敞喷的现象称之为井喷失控。</w:t>
      </w:r>
    </w:p>
    <w:p>
      <w:pPr>
        <w:ind w:firstLine="560"/>
        <w:rPr>
          <w:snapToGrid w:val="0"/>
          <w:kern w:val="0"/>
        </w:rPr>
      </w:pPr>
      <w:r>
        <w:rPr>
          <w:snapToGrid w:val="0"/>
          <w:kern w:val="0"/>
        </w:rPr>
        <w:t>钻井作业过程中，井喷失控泛指井喷后井口装置和井控管汇失去了对油气井的有效控制，甚至着火。</w:t>
      </w:r>
    </w:p>
    <w:p>
      <w:pPr>
        <w:ind w:firstLine="560"/>
        <w:rPr>
          <w:snapToGrid w:val="0"/>
          <w:kern w:val="0"/>
        </w:rPr>
      </w:pPr>
      <w:r>
        <w:rPr>
          <w:snapToGrid w:val="0"/>
          <w:kern w:val="0"/>
        </w:rPr>
        <w:t>在钻井作业过程中，导致井喷及井喷失控的因素主要有：</w:t>
      </w:r>
    </w:p>
    <w:p>
      <w:pPr>
        <w:ind w:firstLine="560"/>
        <w:rPr>
          <w:snapToGrid w:val="0"/>
          <w:kern w:val="0"/>
        </w:rPr>
      </w:pPr>
      <w:r>
        <w:rPr>
          <w:snapToGrid w:val="0"/>
          <w:kern w:val="0"/>
        </w:rPr>
        <w:t>1）在起管过程中不坚持边起边灌压井液，会使井筒液柱不断被降低而导致井喷；</w:t>
      </w:r>
    </w:p>
    <w:p>
      <w:pPr>
        <w:ind w:firstLine="560"/>
        <w:rPr>
          <w:snapToGrid w:val="0"/>
          <w:kern w:val="0"/>
        </w:rPr>
      </w:pPr>
      <w:r>
        <w:rPr>
          <w:snapToGrid w:val="0"/>
          <w:kern w:val="0"/>
        </w:rPr>
        <w:t>2）当上提管柱时，一些较大直径工具造成抽汲现象，如胶皮处于膨胀状态下的封隔器在上提过程中产生抽汲现象，这种抽汲现象会将压井液带出井外从而造成井喷；</w:t>
      </w:r>
    </w:p>
    <w:p>
      <w:pPr>
        <w:ind w:firstLine="560"/>
        <w:rPr>
          <w:snapToGrid w:val="0"/>
          <w:kern w:val="0"/>
        </w:rPr>
      </w:pPr>
      <w:r>
        <w:rPr>
          <w:snapToGrid w:val="0"/>
          <w:kern w:val="0"/>
        </w:rPr>
        <w:t>3）在起封隔器时，由于封隔器胶筒收缩不好、上提速度过快，使封隔器像活塞一样，造成封隔器下部井筒形成真空，抽汲井筒液体和地层油气，低密度的油气上窜，降低井筒内液体密度和回压，油气加速向井内浸入，造成井喷；</w:t>
      </w:r>
    </w:p>
    <w:p>
      <w:pPr>
        <w:ind w:firstLine="560"/>
        <w:rPr>
          <w:snapToGrid w:val="0"/>
          <w:kern w:val="0"/>
        </w:rPr>
      </w:pPr>
      <w:r>
        <w:rPr>
          <w:snapToGrid w:val="0"/>
          <w:kern w:val="0"/>
        </w:rPr>
        <w:t>4）由于固井质量太差，水泥环严重窜槽或水泥返高太低，试压时高压油气层的油气就会沿着井眼和环形套管空间窜出地面，导致井喷；</w:t>
      </w:r>
    </w:p>
    <w:p>
      <w:pPr>
        <w:ind w:firstLine="560"/>
        <w:rPr>
          <w:snapToGrid w:val="0"/>
          <w:kern w:val="0"/>
        </w:rPr>
      </w:pPr>
      <w:r>
        <w:rPr>
          <w:snapToGrid w:val="0"/>
          <w:kern w:val="0"/>
        </w:rPr>
        <w:t>5）井口装置和井控流程的承压能力不够，在超载下不能有效地控制井内流体导致井喷失控；</w:t>
      </w:r>
    </w:p>
    <w:p>
      <w:pPr>
        <w:ind w:firstLine="560"/>
        <w:rPr>
          <w:snapToGrid w:val="0"/>
          <w:kern w:val="0"/>
        </w:rPr>
      </w:pPr>
      <w:r>
        <w:rPr>
          <w:snapToGrid w:val="0"/>
          <w:kern w:val="0"/>
        </w:rPr>
        <w:t>6）事前没有物资准备和技术保障，没有事先采取应急措施和安装防喷设施，导致井喷；</w:t>
      </w:r>
    </w:p>
    <w:p>
      <w:pPr>
        <w:ind w:firstLine="560"/>
        <w:rPr>
          <w:snapToGrid w:val="0"/>
          <w:kern w:val="0"/>
        </w:rPr>
      </w:pPr>
      <w:r>
        <w:rPr>
          <w:snapToGrid w:val="0"/>
          <w:kern w:val="0"/>
        </w:rPr>
        <w:t>7）井口装置和井控管汇缺乏保养和检验，在应急使用时出现刺漏、故障和失灵，或井喷装置防喷配件虽然完好，但所用规格与井内管柱不配套或管柱变形，致使井口装置与井控管汇失去控制能力发生井喷；</w:t>
      </w:r>
    </w:p>
    <w:p>
      <w:pPr>
        <w:ind w:firstLine="560"/>
        <w:rPr>
          <w:snapToGrid w:val="0"/>
          <w:kern w:val="0"/>
        </w:rPr>
      </w:pPr>
      <w:r>
        <w:rPr>
          <w:snapToGrid w:val="0"/>
          <w:kern w:val="0"/>
        </w:rPr>
        <w:t>8）施工队伍组织涣散、抢险组织不力、采取措施不当、违章作业、冒险作业等是造成井喷及井喷失控的另一类重要因素。</w:t>
      </w:r>
    </w:p>
    <w:p>
      <w:pPr>
        <w:ind w:firstLine="560"/>
        <w:rPr>
          <w:snapToGrid w:val="0"/>
          <w:kern w:val="0"/>
        </w:rPr>
      </w:pPr>
      <w:r>
        <w:rPr>
          <w:snapToGrid w:val="0"/>
          <w:kern w:val="0"/>
        </w:rPr>
        <w:t>（2）火灾</w:t>
      </w:r>
    </w:p>
    <w:p>
      <w:pPr>
        <w:ind w:firstLine="560"/>
        <w:rPr>
          <w:snapToGrid w:val="0"/>
          <w:kern w:val="0"/>
        </w:rPr>
      </w:pPr>
      <w:r>
        <w:rPr>
          <w:snapToGrid w:val="0"/>
          <w:kern w:val="0"/>
        </w:rPr>
        <w:t>爆炸</w:t>
      </w:r>
    </w:p>
    <w:p>
      <w:pPr>
        <w:ind w:firstLine="560"/>
        <w:rPr>
          <w:snapToGrid w:val="0"/>
          <w:kern w:val="0"/>
        </w:rPr>
      </w:pPr>
      <w:r>
        <w:rPr>
          <w:snapToGrid w:val="0"/>
          <w:kern w:val="0"/>
        </w:rPr>
        <w:t>1）在作业过程中发生井喷及由于设备本身存在缺陷或违章操作等导致油气泄露、聚集，遇火源可能引起火灾、爆炸。</w:t>
      </w:r>
    </w:p>
    <w:p>
      <w:pPr>
        <w:ind w:firstLine="560"/>
        <w:rPr>
          <w:snapToGrid w:val="0"/>
          <w:kern w:val="0"/>
        </w:rPr>
      </w:pPr>
      <w:r>
        <w:rPr>
          <w:snapToGrid w:val="0"/>
          <w:kern w:val="0"/>
        </w:rPr>
        <w:t>2）仪器短路、过载、接触不良、散热不良，照明器具安置或使用不当等，易发生电气火灾。</w:t>
      </w:r>
    </w:p>
    <w:p>
      <w:pPr>
        <w:ind w:firstLine="560"/>
        <w:rPr>
          <w:rFonts w:hint="eastAsia" w:eastAsia="宋体"/>
          <w:snapToGrid w:val="0"/>
          <w:kern w:val="0"/>
          <w:lang w:eastAsia="zh-CN"/>
        </w:rPr>
      </w:pPr>
      <w:r>
        <w:rPr>
          <w:snapToGrid w:val="0"/>
          <w:kern w:val="0"/>
        </w:rPr>
        <w:t>（3）</w:t>
      </w:r>
      <w:r>
        <w:rPr>
          <w:rFonts w:hint="eastAsia"/>
          <w:snapToGrid w:val="0"/>
          <w:kern w:val="0"/>
          <w:lang w:eastAsia="zh-CN"/>
        </w:rPr>
        <w:t>中毒和窒息</w:t>
      </w:r>
    </w:p>
    <w:p>
      <w:pPr>
        <w:ind w:firstLine="560"/>
        <w:rPr>
          <w:snapToGrid w:val="0"/>
          <w:kern w:val="0"/>
        </w:rPr>
      </w:pPr>
      <w:r>
        <w:rPr>
          <w:snapToGrid w:val="0"/>
          <w:kern w:val="0"/>
        </w:rPr>
        <w:t>由于设备、管线腐蚀、损坏漏气，或者井场周围地面大面积冒气，天然气在大气中达到一定浓度，会造成人员中毒。</w:t>
      </w:r>
    </w:p>
    <w:p>
      <w:pPr>
        <w:ind w:firstLine="560"/>
        <w:rPr>
          <w:snapToGrid w:val="0"/>
          <w:kern w:val="0"/>
        </w:rPr>
      </w:pPr>
      <w:r>
        <w:rPr>
          <w:snapToGrid w:val="0"/>
          <w:kern w:val="0"/>
        </w:rPr>
        <w:t>含硫气体对人体具有一定的毒性，当油气井内含有大量的硫化氢气体时，作业人员在此类油气井进行钻井作业时，如果因井下情况不明或其他意外原因发生大量硫化氢气体泄漏，作业人员没有可靠的防护措施，可能导致作业人员中毒。</w:t>
      </w:r>
    </w:p>
    <w:p>
      <w:pPr>
        <w:ind w:firstLine="560"/>
        <w:rPr>
          <w:snapToGrid w:val="0"/>
          <w:kern w:val="0"/>
        </w:rPr>
      </w:pPr>
      <w:r>
        <w:rPr>
          <w:snapToGrid w:val="0"/>
          <w:kern w:val="0"/>
        </w:rPr>
        <w:t>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w:t>
      </w:r>
    </w:p>
    <w:p>
      <w:pPr>
        <w:ind w:firstLine="560"/>
        <w:rPr>
          <w:snapToGrid w:val="0"/>
          <w:kern w:val="0"/>
        </w:rPr>
      </w:pPr>
      <w:r>
        <w:rPr>
          <w:snapToGrid w:val="0"/>
          <w:kern w:val="0"/>
        </w:rPr>
        <w:t>（4）物体打击</w:t>
      </w:r>
    </w:p>
    <w:p>
      <w:pPr>
        <w:ind w:firstLine="560"/>
        <w:rPr>
          <w:snapToGrid w:val="0"/>
          <w:kern w:val="0"/>
        </w:rPr>
      </w:pPr>
      <w:r>
        <w:rPr>
          <w:snapToGrid w:val="0"/>
          <w:kern w:val="0"/>
        </w:rPr>
        <w:t>物体打击事故是钻井作业施工过程中发生频率最高的事故，引起物体打击事故的原因有：</w:t>
      </w:r>
    </w:p>
    <w:p>
      <w:pPr>
        <w:ind w:firstLine="560"/>
        <w:rPr>
          <w:snapToGrid w:val="0"/>
          <w:kern w:val="0"/>
        </w:rPr>
      </w:pPr>
      <w:r>
        <w:rPr>
          <w:snapToGrid w:val="0"/>
          <w:kern w:val="0"/>
        </w:rPr>
        <w:t>1）高空物品（如大钩、游动滑车、天车、井架及井架构件、二层台附件、高空作业工具等）坠落或空中运移发生伤人；</w:t>
      </w:r>
    </w:p>
    <w:p>
      <w:pPr>
        <w:ind w:firstLine="560"/>
        <w:rPr>
          <w:snapToGrid w:val="0"/>
          <w:kern w:val="0"/>
        </w:rPr>
      </w:pPr>
      <w:r>
        <w:rPr>
          <w:snapToGrid w:val="0"/>
          <w:kern w:val="0"/>
        </w:rPr>
        <w:t>2）人员施工操作（如操作大钳）过程中，工具或部件打击人体；</w:t>
      </w:r>
    </w:p>
    <w:p>
      <w:pPr>
        <w:ind w:firstLine="560"/>
        <w:rPr>
          <w:snapToGrid w:val="0"/>
          <w:kern w:val="0"/>
        </w:rPr>
      </w:pPr>
      <w:r>
        <w:rPr>
          <w:snapToGrid w:val="0"/>
          <w:kern w:val="0"/>
        </w:rPr>
        <w:t>3）张紧的钢丝绳、绷绳等抽出伤人；</w:t>
      </w:r>
    </w:p>
    <w:p>
      <w:pPr>
        <w:ind w:firstLine="560"/>
        <w:rPr>
          <w:snapToGrid w:val="0"/>
          <w:kern w:val="0"/>
        </w:rPr>
      </w:pPr>
      <w:r>
        <w:rPr>
          <w:snapToGrid w:val="0"/>
          <w:kern w:val="0"/>
        </w:rPr>
        <w:t>4）高压流体刺漏、压力系统部件飞出伤人；</w:t>
      </w:r>
    </w:p>
    <w:p>
      <w:pPr>
        <w:ind w:firstLine="560"/>
        <w:rPr>
          <w:snapToGrid w:val="0"/>
          <w:kern w:val="0"/>
        </w:rPr>
      </w:pPr>
      <w:r>
        <w:rPr>
          <w:snapToGrid w:val="0"/>
          <w:kern w:val="0"/>
        </w:rPr>
        <w:t>5）高压管线未可靠固定，在升压过程中发生摆动伤人。</w:t>
      </w:r>
    </w:p>
    <w:p>
      <w:pPr>
        <w:ind w:firstLine="560"/>
        <w:rPr>
          <w:snapToGrid w:val="0"/>
          <w:kern w:val="0"/>
        </w:rPr>
      </w:pPr>
      <w:r>
        <w:rPr>
          <w:snapToGrid w:val="0"/>
          <w:kern w:val="0"/>
        </w:rPr>
        <w:t>6）检查钻机及设备、绳索时，将锤子、管子或一副卡瓦遗忘或乱放横梁上。</w:t>
      </w:r>
    </w:p>
    <w:p>
      <w:pPr>
        <w:ind w:firstLine="560"/>
        <w:rPr>
          <w:rFonts w:hint="eastAsia"/>
          <w:snapToGrid w:val="0"/>
          <w:kern w:val="0"/>
          <w:lang w:val="en-US" w:eastAsia="zh-CN"/>
        </w:rPr>
      </w:pPr>
      <w:r>
        <w:rPr>
          <w:rFonts w:hint="eastAsia"/>
          <w:snapToGrid w:val="0"/>
          <w:kern w:val="0"/>
          <w:lang w:eastAsia="zh-CN"/>
        </w:rPr>
        <w:t>（</w:t>
      </w:r>
      <w:r>
        <w:rPr>
          <w:rFonts w:hint="eastAsia"/>
          <w:snapToGrid w:val="0"/>
          <w:kern w:val="0"/>
          <w:lang w:val="en-US" w:eastAsia="zh-CN"/>
        </w:rPr>
        <w:t>5</w:t>
      </w:r>
      <w:r>
        <w:rPr>
          <w:rFonts w:hint="eastAsia"/>
          <w:snapToGrid w:val="0"/>
          <w:kern w:val="0"/>
          <w:lang w:eastAsia="zh-CN"/>
        </w:rPr>
        <w:t>）</w:t>
      </w:r>
      <w:r>
        <w:rPr>
          <w:rFonts w:hint="eastAsia"/>
          <w:snapToGrid w:val="0"/>
          <w:kern w:val="0"/>
          <w:lang w:val="en-US" w:eastAsia="zh-CN"/>
        </w:rPr>
        <w:t>容器爆炸</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lang w:val="en-US" w:eastAsia="zh-CN"/>
        </w:rPr>
      </w:pPr>
      <w:r>
        <w:rPr>
          <w:rFonts w:hint="eastAsia"/>
          <w:lang w:val="en-US" w:eastAsia="zh-CN"/>
        </w:rPr>
        <w:t>井场部分储气罐</w:t>
      </w:r>
      <w:r>
        <w:rPr>
          <w:rFonts w:hint="default"/>
          <w:lang w:val="en-US" w:eastAsia="zh-CN"/>
        </w:rPr>
        <w:t>属于压力容器。</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lang w:val="en-US" w:eastAsia="zh-CN"/>
        </w:rPr>
      </w:pPr>
      <w:r>
        <w:rPr>
          <w:rFonts w:hint="default"/>
          <w:lang w:val="en-US" w:eastAsia="zh-CN"/>
        </w:rPr>
        <w:t>压力容器发生事故主要原因包括：设计错误、容器结构不合理、选材不当、腐蚀或冲蚀致强度不足、制造缺陷、安装不符合技术要求以及运行中的超压、超负荷和操作不当，没有执行在用压力容器定期检验和安全等级评定，导致压力容器失效，从而引发事故。压力容器的操作条件的频繁波动，对容器的抗疲劳破坏性能不利，过高的加载速度会降低材料的断裂韧性，即使容器存在微小缺陷，也可能在压力的快速冲击而发生脆性断裂。压力容器运行过程中如果发生误操作、过量冲载切安全保护装置失效，都会导致压力容器的压力升高，以至于超载，进而可能引发爆炸事故，一旦发生爆炸破裂，不但设备遭到严重破坏，而且往往波及很大的范围，毁坏周围的设备、设施，影响安全生产。</w:t>
      </w:r>
    </w:p>
    <w:p>
      <w:pPr>
        <w:ind w:firstLine="560"/>
        <w:rPr>
          <w:snapToGrid w:val="0"/>
          <w:kern w:val="0"/>
        </w:rPr>
      </w:pPr>
      <w:r>
        <w:rPr>
          <w:snapToGrid w:val="0"/>
          <w:kern w:val="0"/>
        </w:rPr>
        <w:t>（</w:t>
      </w:r>
      <w:r>
        <w:rPr>
          <w:rFonts w:hint="eastAsia"/>
          <w:snapToGrid w:val="0"/>
          <w:kern w:val="0"/>
          <w:lang w:val="en-US" w:eastAsia="zh-CN"/>
        </w:rPr>
        <w:t>6</w:t>
      </w:r>
      <w:r>
        <w:rPr>
          <w:snapToGrid w:val="0"/>
          <w:kern w:val="0"/>
        </w:rPr>
        <w:t>）机械伤害</w:t>
      </w:r>
    </w:p>
    <w:p>
      <w:pPr>
        <w:ind w:firstLine="560"/>
        <w:rPr>
          <w:snapToGrid w:val="0"/>
          <w:kern w:val="0"/>
        </w:rPr>
      </w:pPr>
      <w:r>
        <w:rPr>
          <w:snapToGrid w:val="0"/>
          <w:kern w:val="0"/>
        </w:rPr>
        <w:t>钻井作业施工过程中使用的机器或设备，多数是重型或大容量的，机械化、自动化、复杂化程度比较高，一个不容易检查出来的、极微小的内在缺陷，或制造、装配过程中未能消除的附加应力，都可能会成为引发重大机械事故的隐患。</w:t>
      </w:r>
    </w:p>
    <w:p>
      <w:pPr>
        <w:ind w:firstLine="560"/>
        <w:rPr>
          <w:snapToGrid w:val="0"/>
          <w:kern w:val="0"/>
        </w:rPr>
      </w:pPr>
      <w:r>
        <w:rPr>
          <w:snapToGrid w:val="0"/>
          <w:kern w:val="0"/>
        </w:rPr>
        <w:t>机械外露的运动部分，在运行中可引起绞、辗等伤害，或因运动部件断脱、飞出而造成人身伤亡及机器损坏事故。</w:t>
      </w:r>
    </w:p>
    <w:p>
      <w:pPr>
        <w:ind w:firstLine="560"/>
        <w:rPr>
          <w:snapToGrid w:val="0"/>
          <w:kern w:val="0"/>
        </w:rPr>
      </w:pPr>
      <w:r>
        <w:rPr>
          <w:snapToGrid w:val="0"/>
          <w:kern w:val="0"/>
        </w:rPr>
        <w:t>机械设备检修时，存在惯性的机械部件未可靠的停止、未可靠切断动力源（如电源、气源等）、检修过程中发生违章操作（如意外送电）、大型机械运转设备的安全防护装置失灵都可能引起机械伤害事故。</w:t>
      </w:r>
    </w:p>
    <w:p>
      <w:pPr>
        <w:ind w:firstLine="560"/>
        <w:rPr>
          <w:snapToGrid w:val="0"/>
          <w:kern w:val="0"/>
        </w:rPr>
      </w:pPr>
      <w:r>
        <w:rPr>
          <w:snapToGrid w:val="0"/>
          <w:kern w:val="0"/>
        </w:rPr>
        <w:t>（</w:t>
      </w:r>
      <w:r>
        <w:rPr>
          <w:rFonts w:hint="eastAsia"/>
          <w:snapToGrid w:val="0"/>
          <w:kern w:val="0"/>
          <w:lang w:val="en-US" w:eastAsia="zh-CN"/>
        </w:rPr>
        <w:t>7</w:t>
      </w:r>
      <w:r>
        <w:rPr>
          <w:snapToGrid w:val="0"/>
          <w:kern w:val="0"/>
        </w:rPr>
        <w:t>）高处坠落</w:t>
      </w:r>
    </w:p>
    <w:p>
      <w:pPr>
        <w:ind w:firstLine="560"/>
        <w:rPr>
          <w:snapToGrid w:val="0"/>
          <w:kern w:val="0"/>
        </w:rPr>
      </w:pPr>
      <w:r>
        <w:rPr>
          <w:snapToGrid w:val="0"/>
          <w:kern w:val="0"/>
        </w:rPr>
        <w:t>在钻井施工的各个环节，都存在高处作业，甚至是特高处作业。在进行高处作业时，防护措施不完善或存在缺陷、人员违章不系安全带或安全带系扎不可靠、因其他突发事故等原因导致人员坠下，引发高处坠落事故。</w:t>
      </w:r>
    </w:p>
    <w:p>
      <w:pPr>
        <w:ind w:firstLine="560"/>
        <w:rPr>
          <w:snapToGrid w:val="0"/>
          <w:kern w:val="0"/>
        </w:rPr>
      </w:pPr>
      <w:r>
        <w:rPr>
          <w:snapToGrid w:val="0"/>
          <w:kern w:val="0"/>
        </w:rPr>
        <w:t>人员失误或不慎掉入地坑或水池中，也会造成高处坠落伤害。</w:t>
      </w:r>
    </w:p>
    <w:p>
      <w:pPr>
        <w:ind w:firstLine="560"/>
        <w:rPr>
          <w:snapToGrid w:val="0"/>
          <w:kern w:val="0"/>
        </w:rPr>
      </w:pPr>
      <w:r>
        <w:rPr>
          <w:snapToGrid w:val="0"/>
          <w:kern w:val="0"/>
        </w:rPr>
        <w:t>（</w:t>
      </w:r>
      <w:r>
        <w:rPr>
          <w:rFonts w:hint="eastAsia"/>
          <w:snapToGrid w:val="0"/>
          <w:kern w:val="0"/>
          <w:lang w:val="en-US" w:eastAsia="zh-CN"/>
        </w:rPr>
        <w:t>8</w:t>
      </w:r>
      <w:r>
        <w:rPr>
          <w:snapToGrid w:val="0"/>
          <w:kern w:val="0"/>
        </w:rPr>
        <w:t>）起重伤害</w:t>
      </w:r>
    </w:p>
    <w:p>
      <w:pPr>
        <w:ind w:firstLine="560"/>
        <w:rPr>
          <w:snapToGrid w:val="0"/>
          <w:kern w:val="0"/>
        </w:rPr>
      </w:pPr>
      <w:r>
        <w:rPr>
          <w:snapToGrid w:val="0"/>
          <w:kern w:val="0"/>
        </w:rPr>
        <w:t>在钻井作业的各个环节都使用大量的起重吊装设备，起重机若存在设备机械或电气系统发生故障、安全防护装置失效、违章操作、指挥不力等原因，有可能发生吊重或吊具打击、挤压人体、人员坠落、等起重伤害事故。</w:t>
      </w:r>
    </w:p>
    <w:p>
      <w:pPr>
        <w:ind w:firstLine="560"/>
        <w:rPr>
          <w:snapToGrid w:val="0"/>
          <w:kern w:val="0"/>
        </w:rPr>
      </w:pPr>
      <w:r>
        <w:rPr>
          <w:snapToGrid w:val="0"/>
          <w:kern w:val="0"/>
        </w:rPr>
        <w:t>（</w:t>
      </w:r>
      <w:r>
        <w:rPr>
          <w:rFonts w:hint="eastAsia"/>
          <w:snapToGrid w:val="0"/>
          <w:kern w:val="0"/>
          <w:lang w:val="en-US" w:eastAsia="zh-CN"/>
        </w:rPr>
        <w:t>9</w:t>
      </w:r>
      <w:r>
        <w:rPr>
          <w:snapToGrid w:val="0"/>
          <w:kern w:val="0"/>
        </w:rPr>
        <w:t>）触电</w:t>
      </w:r>
    </w:p>
    <w:p>
      <w:pPr>
        <w:ind w:firstLine="560"/>
        <w:rPr>
          <w:snapToGrid w:val="0"/>
          <w:kern w:val="0"/>
        </w:rPr>
      </w:pPr>
      <w:r>
        <w:rPr>
          <w:snapToGrid w:val="0"/>
          <w:kern w:val="0"/>
        </w:rPr>
        <w:t>电气设备、电气线路是引发触电事故的危险源。若电气设备、线路的绝缘损坏或因腐蚀、老化引起绝缘性能降低，带电体外露，安全距离不足，未设可靠的接地保护或漏电保护装置，高压电窜入低压线路，非专业人员违章进行电气作业，电气作业人员违反电气作业安全规程等，人体直接或间接触及带电体，都会导致触电事故发生。</w:t>
      </w:r>
    </w:p>
    <w:p>
      <w:pPr>
        <w:ind w:firstLine="560"/>
        <w:rPr>
          <w:snapToGrid w:val="0"/>
          <w:kern w:val="0"/>
        </w:rPr>
      </w:pPr>
      <w:r>
        <w:rPr>
          <w:snapToGrid w:val="0"/>
          <w:kern w:val="0"/>
        </w:rPr>
        <w:t>进行起重吊装作业时，若作业场地附近有高压线，吊物、钢丝绳等与高压线搭接，可能发生触电；运输超高、超长设备时，与沿途的架空线路搭接，也会发生触电。</w:t>
      </w:r>
    </w:p>
    <w:p>
      <w:pPr>
        <w:ind w:firstLine="560"/>
        <w:rPr>
          <w:snapToGrid w:val="0"/>
          <w:kern w:val="0"/>
        </w:rPr>
      </w:pPr>
      <w:r>
        <w:rPr>
          <w:snapToGrid w:val="0"/>
          <w:kern w:val="0"/>
        </w:rPr>
        <w:t>（</w:t>
      </w:r>
      <w:r>
        <w:rPr>
          <w:rFonts w:hint="eastAsia"/>
          <w:snapToGrid w:val="0"/>
          <w:kern w:val="0"/>
          <w:lang w:val="en-US" w:eastAsia="zh-CN"/>
        </w:rPr>
        <w:t>10</w:t>
      </w:r>
      <w:r>
        <w:rPr>
          <w:snapToGrid w:val="0"/>
          <w:kern w:val="0"/>
        </w:rPr>
        <w:t>）车辆伤害</w:t>
      </w:r>
    </w:p>
    <w:p>
      <w:pPr>
        <w:ind w:firstLine="560"/>
        <w:rPr>
          <w:snapToGrid w:val="0"/>
          <w:kern w:val="0"/>
        </w:rPr>
      </w:pPr>
      <w:r>
        <w:rPr>
          <w:snapToGrid w:val="0"/>
          <w:kern w:val="0"/>
        </w:rPr>
        <w:t>作业现场情况复杂，施工车辆在井场内移动（摆车）时，由于机械故障、视野不良、人员操作失误或违章等，可能造成井场内的人员碰伤、碾压、撞击等车辆伤害事故。</w:t>
      </w:r>
    </w:p>
    <w:p>
      <w:pPr>
        <w:ind w:firstLine="560"/>
        <w:rPr>
          <w:snapToGrid w:val="0"/>
          <w:kern w:val="0"/>
        </w:rPr>
      </w:pPr>
      <w:r>
        <w:rPr>
          <w:snapToGrid w:val="0"/>
          <w:kern w:val="0"/>
        </w:rPr>
        <w:t>钻井作业流动性大，人员和设备的搬迁全部依靠运输车辆完成。石油企业的交通运输，往往车多路窄、各种特种车辆车体大而笨重，经常在路面状况不良的道路上行驶，受人员、车辆、路况、天气等原因容易发生各种交通事故。</w:t>
      </w:r>
    </w:p>
    <w:p>
      <w:pPr>
        <w:keepNext w:val="0"/>
        <w:keepLines w:val="0"/>
        <w:pageBreakBefore w:val="0"/>
        <w:widowControl w:val="0"/>
        <w:numPr>
          <w:ilvl w:val="0"/>
          <w:numId w:val="0"/>
        </w:numPr>
        <w:kinsoku/>
        <w:wordWrap/>
        <w:overflowPunct/>
        <w:topLinePunct w:val="0"/>
        <w:autoSpaceDE/>
        <w:autoSpaceDN/>
        <w:bidi w:val="0"/>
        <w:adjustRightInd w:val="0"/>
        <w:snapToGrid w:val="0"/>
        <w:ind w:firstLine="560" w:firstLineChars="200"/>
        <w:textAlignment w:val="auto"/>
        <w:rPr>
          <w:rFonts w:hint="eastAsia"/>
          <w:snapToGrid w:val="0"/>
          <w:kern w:val="0"/>
          <w:lang w:val="en-US" w:eastAsia="zh-CN"/>
        </w:rPr>
      </w:pPr>
      <w:r>
        <w:rPr>
          <w:rFonts w:hint="eastAsia"/>
          <w:snapToGrid w:val="0"/>
          <w:kern w:val="0"/>
          <w:lang w:val="en-US" w:eastAsia="zh-CN"/>
        </w:rPr>
        <w:t>（11）淹溺</w:t>
      </w:r>
    </w:p>
    <w:p>
      <w:pPr>
        <w:ind w:firstLine="560"/>
        <w:rPr>
          <w:rFonts w:hint="default"/>
          <w:snapToGrid w:val="0"/>
          <w:kern w:val="0"/>
          <w:lang w:val="en-US" w:eastAsia="zh-CN"/>
        </w:rPr>
      </w:pPr>
      <w:r>
        <w:rPr>
          <w:rFonts w:hint="default"/>
          <w:snapToGrid w:val="0"/>
          <w:kern w:val="0"/>
          <w:lang w:val="en-US" w:eastAsia="zh-CN"/>
        </w:rPr>
        <w:t>在</w:t>
      </w:r>
      <w:r>
        <w:rPr>
          <w:rFonts w:hint="eastAsia"/>
          <w:snapToGrid w:val="0"/>
          <w:kern w:val="0"/>
          <w:lang w:val="en-US" w:eastAsia="zh-CN"/>
        </w:rPr>
        <w:t>施工</w:t>
      </w:r>
      <w:r>
        <w:rPr>
          <w:rFonts w:hint="default"/>
          <w:snapToGrid w:val="0"/>
          <w:kern w:val="0"/>
          <w:lang w:val="en-US" w:eastAsia="zh-CN"/>
        </w:rPr>
        <w:t>中设置的</w:t>
      </w:r>
      <w:r>
        <w:rPr>
          <w:rFonts w:hint="eastAsia"/>
          <w:snapToGrid w:val="0"/>
          <w:kern w:val="0"/>
          <w:lang w:val="en-US" w:eastAsia="zh-CN"/>
        </w:rPr>
        <w:t>泥浆罐、水罐等</w:t>
      </w:r>
      <w:r>
        <w:rPr>
          <w:rFonts w:hint="default"/>
          <w:snapToGrid w:val="0"/>
          <w:kern w:val="0"/>
          <w:lang w:val="en-US" w:eastAsia="zh-CN"/>
        </w:rPr>
        <w:t>一般深度均在2m以上，因此存在淹溺危险。安全警示不到位，场地视线不清，人员安全意识不强等因素均可能引发人员淹溺事故。</w:t>
      </w:r>
    </w:p>
    <w:p>
      <w:pPr>
        <w:ind w:firstLine="560"/>
        <w:rPr>
          <w:snapToGrid w:val="0"/>
          <w:kern w:val="0"/>
        </w:rPr>
      </w:pPr>
      <w:r>
        <w:rPr>
          <w:snapToGrid w:val="0"/>
          <w:kern w:val="0"/>
        </w:rPr>
        <w:t>（</w:t>
      </w:r>
      <w:r>
        <w:rPr>
          <w:rFonts w:hint="eastAsia"/>
          <w:snapToGrid w:val="0"/>
          <w:kern w:val="0"/>
          <w:lang w:val="en-US" w:eastAsia="zh-CN"/>
        </w:rPr>
        <w:t>12</w:t>
      </w:r>
      <w:r>
        <w:rPr>
          <w:snapToGrid w:val="0"/>
          <w:kern w:val="0"/>
        </w:rPr>
        <w:t>）其它</w:t>
      </w:r>
    </w:p>
    <w:p>
      <w:pPr>
        <w:ind w:firstLine="560"/>
        <w:rPr>
          <w:snapToGrid w:val="0"/>
          <w:kern w:val="0"/>
        </w:rPr>
      </w:pPr>
      <w:r>
        <w:rPr>
          <w:snapToGrid w:val="0"/>
          <w:kern w:val="0"/>
        </w:rPr>
        <w:t>在井架安装、搬迁和使用过程中可能会发生井架倒塌事故。</w:t>
      </w:r>
    </w:p>
    <w:p>
      <w:pPr>
        <w:ind w:firstLine="560"/>
        <w:rPr>
          <w:snapToGrid w:val="0"/>
          <w:kern w:val="0"/>
        </w:rPr>
      </w:pPr>
      <w:r>
        <w:rPr>
          <w:snapToGrid w:val="0"/>
          <w:kern w:val="0"/>
        </w:rPr>
        <w:t>在井架整体搬迁时，施工机械配合不好、地面存在障碍容易发生井架倾倒事故；井架安装过程中，尤其是井架起升过程中，井架与底座之间未可靠联接、起升设备或钢丝绳存在缺陷、操作人员不按操作规程操作或观察不力、就位后未可靠定位或未张紧绷绳等，井架在起升过程中可能发生倾倒或变形事故；井架基础不平、不稳固，井架的固定或张紧装置失效，起下钻遇阻时强拉硬顿等，都可能导致井架失去平衡倾倒，或受力超过负荷极限，导致井架被拉垮的事故。</w:t>
      </w:r>
    </w:p>
    <w:p>
      <w:pPr>
        <w:ind w:firstLine="560"/>
        <w:rPr>
          <w:snapToGrid w:val="0"/>
          <w:kern w:val="0"/>
        </w:rPr>
      </w:pPr>
      <w:r>
        <w:rPr>
          <w:snapToGrid w:val="0"/>
          <w:kern w:val="0"/>
        </w:rPr>
        <w:t>此外，在井架安装、搬迁、使用过程中，恶劣天气如大风、雨雪等可能成为引发井架事故的直接或间接原因。</w:t>
      </w:r>
    </w:p>
    <w:p>
      <w:pPr>
        <w:pStyle w:val="5"/>
        <w:keepNext/>
        <w:keepLines/>
        <w:pageBreakBefore w:val="0"/>
        <w:widowControl w:val="0"/>
        <w:kinsoku/>
        <w:wordWrap/>
        <w:overflowPunct/>
        <w:topLinePunct w:val="0"/>
        <w:autoSpaceDE/>
        <w:autoSpaceDN/>
        <w:bidi w:val="0"/>
        <w:adjustRightInd w:val="0"/>
        <w:snapToGrid w:val="0"/>
        <w:textAlignment w:val="auto"/>
        <w:rPr>
          <w:b w:val="0"/>
          <w:bCs w:val="0"/>
        </w:rPr>
      </w:pPr>
      <w:r>
        <w:rPr>
          <w:b w:val="0"/>
          <w:bCs w:val="0"/>
        </w:rPr>
        <w:t xml:space="preserve">3.6.2 </w:t>
      </w:r>
      <w:r>
        <w:rPr>
          <w:rFonts w:hint="eastAsia"/>
          <w:b w:val="0"/>
          <w:bCs w:val="0"/>
        </w:rPr>
        <w:t xml:space="preserve"> </w:t>
      </w:r>
      <w:r>
        <w:rPr>
          <w:rFonts w:hint="eastAsia" w:ascii="黑体" w:hAnsi="黑体" w:eastAsia="黑体" w:cs="黑体"/>
          <w:b w:val="0"/>
          <w:bCs w:val="0"/>
        </w:rPr>
        <w:t>危险分布</w:t>
      </w:r>
    </w:p>
    <w:p>
      <w:pPr>
        <w:ind w:firstLine="560"/>
        <w:rPr>
          <w:snapToGrid w:val="0"/>
          <w:kern w:val="0"/>
        </w:rPr>
      </w:pPr>
      <w:r>
        <w:rPr>
          <w:snapToGrid w:val="0"/>
          <w:kern w:val="0"/>
        </w:rPr>
        <w:t>（1）钻探施工各工序主要危害和风险</w:t>
      </w:r>
    </w:p>
    <w:p>
      <w:pPr>
        <w:ind w:firstLine="560"/>
        <w:rPr>
          <w:rFonts w:hint="eastAsia"/>
        </w:rPr>
      </w:pPr>
      <w:r>
        <w:t>钻井工程是一个多工种、多工序、立体交叉、连续作业的系统工程</w:t>
      </w:r>
      <w:r>
        <w:rPr>
          <w:rFonts w:hint="eastAsia"/>
        </w:rPr>
        <w:t>。钻井施工过程主要危险因素见表3-</w:t>
      </w:r>
      <w:r>
        <w:rPr>
          <w:rFonts w:hint="eastAsia"/>
          <w:lang w:val="en-US" w:eastAsia="zh-CN"/>
        </w:rPr>
        <w:t>6</w:t>
      </w:r>
      <w:r>
        <w:rPr>
          <w:rFonts w:hint="eastAsia"/>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napToGrid w:val="0"/>
          <w:kern w:val="0"/>
        </w:rPr>
      </w:pPr>
      <w:r>
        <w:rPr>
          <w:b/>
          <w:bCs/>
          <w:snapToGrid w:val="0"/>
          <w:kern w:val="0"/>
          <w:sz w:val="24"/>
          <w:szCs w:val="24"/>
        </w:rPr>
        <w:t>表3-</w:t>
      </w:r>
      <w:r>
        <w:rPr>
          <w:rFonts w:hint="eastAsia"/>
          <w:b/>
          <w:bCs/>
          <w:snapToGrid w:val="0"/>
          <w:kern w:val="0"/>
          <w:sz w:val="24"/>
          <w:szCs w:val="24"/>
          <w:lang w:val="en-US" w:eastAsia="zh-CN"/>
        </w:rPr>
        <w:t>6</w:t>
      </w:r>
      <w:r>
        <w:rPr>
          <w:b/>
          <w:bCs/>
          <w:snapToGrid w:val="0"/>
          <w:kern w:val="0"/>
          <w:sz w:val="24"/>
          <w:szCs w:val="24"/>
        </w:rPr>
        <w:t xml:space="preserve">  钻探施工各工序主要危害和风险</w:t>
      </w:r>
    </w:p>
    <w:tbl>
      <w:tblPr>
        <w:tblStyle w:val="4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716"/>
        <w:gridCol w:w="2609"/>
        <w:gridCol w:w="35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649" w:type="dxa"/>
            <w:tcBorders>
              <w:tl2br w:val="nil"/>
              <w:tr2bl w:val="nil"/>
            </w:tcBorders>
            <w:noWrap w:val="0"/>
            <w:vAlign w:val="center"/>
          </w:tcPr>
          <w:p>
            <w:pPr>
              <w:spacing w:line="240" w:lineRule="auto"/>
              <w:ind w:firstLine="0" w:firstLineChars="0"/>
              <w:jc w:val="center"/>
              <w:rPr>
                <w:b/>
                <w:bCs/>
                <w:snapToGrid w:val="0"/>
                <w:kern w:val="0"/>
                <w:sz w:val="21"/>
                <w:szCs w:val="21"/>
              </w:rPr>
            </w:pPr>
            <w:r>
              <w:rPr>
                <w:b/>
                <w:bCs/>
                <w:snapToGrid w:val="0"/>
                <w:kern w:val="0"/>
                <w:sz w:val="21"/>
                <w:szCs w:val="21"/>
              </w:rPr>
              <w:t>序号</w:t>
            </w:r>
          </w:p>
        </w:tc>
        <w:tc>
          <w:tcPr>
            <w:tcW w:w="1716" w:type="dxa"/>
            <w:tcBorders>
              <w:tl2br w:val="nil"/>
              <w:tr2bl w:val="nil"/>
            </w:tcBorders>
            <w:noWrap w:val="0"/>
            <w:vAlign w:val="center"/>
          </w:tcPr>
          <w:p>
            <w:pPr>
              <w:spacing w:line="240" w:lineRule="auto"/>
              <w:ind w:firstLine="0" w:firstLineChars="0"/>
              <w:jc w:val="center"/>
              <w:rPr>
                <w:b/>
                <w:bCs/>
                <w:snapToGrid w:val="0"/>
                <w:kern w:val="0"/>
                <w:sz w:val="21"/>
                <w:szCs w:val="21"/>
              </w:rPr>
            </w:pPr>
            <w:r>
              <w:rPr>
                <w:b/>
                <w:bCs/>
                <w:snapToGrid w:val="0"/>
                <w:kern w:val="0"/>
                <w:sz w:val="21"/>
                <w:szCs w:val="21"/>
              </w:rPr>
              <w:t>作业工序（部位）</w:t>
            </w:r>
          </w:p>
        </w:tc>
        <w:tc>
          <w:tcPr>
            <w:tcW w:w="6129" w:type="dxa"/>
            <w:gridSpan w:val="2"/>
            <w:tcBorders>
              <w:tl2br w:val="nil"/>
              <w:tr2bl w:val="nil"/>
            </w:tcBorders>
            <w:noWrap w:val="0"/>
            <w:vAlign w:val="center"/>
          </w:tcPr>
          <w:p>
            <w:pPr>
              <w:spacing w:line="240" w:lineRule="auto"/>
              <w:ind w:firstLine="0" w:firstLineChars="0"/>
              <w:jc w:val="center"/>
              <w:rPr>
                <w:b/>
                <w:bCs/>
                <w:snapToGrid w:val="0"/>
                <w:kern w:val="0"/>
                <w:sz w:val="21"/>
                <w:szCs w:val="21"/>
              </w:rPr>
            </w:pPr>
            <w:r>
              <w:rPr>
                <w:b/>
                <w:bCs/>
                <w:snapToGrid w:val="0"/>
                <w:kern w:val="0"/>
                <w:sz w:val="21"/>
                <w:szCs w:val="21"/>
              </w:rPr>
              <w:t>危害和风险类型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9"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1</w:t>
            </w:r>
          </w:p>
        </w:tc>
        <w:tc>
          <w:tcPr>
            <w:tcW w:w="1716"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钻前工程、钻机搬迁和拆安作业</w:t>
            </w:r>
          </w:p>
        </w:tc>
        <w:tc>
          <w:tcPr>
            <w:tcW w:w="2609"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（1）高处坠落</w:t>
            </w:r>
          </w:p>
          <w:p>
            <w:pPr>
              <w:spacing w:line="240" w:lineRule="auto"/>
              <w:ind w:firstLine="0" w:firstLineChars="0"/>
              <w:rPr>
                <w:snapToGrid w:val="0"/>
                <w:kern w:val="0"/>
                <w:sz w:val="21"/>
                <w:szCs w:val="21"/>
              </w:rPr>
            </w:pPr>
            <w:r>
              <w:rPr>
                <w:snapToGrid w:val="0"/>
                <w:kern w:val="0"/>
                <w:sz w:val="21"/>
                <w:szCs w:val="21"/>
              </w:rPr>
              <w:t>（3）暴雨雪、大风危害</w:t>
            </w:r>
          </w:p>
          <w:p>
            <w:pPr>
              <w:spacing w:line="240" w:lineRule="auto"/>
              <w:ind w:firstLine="0" w:firstLineChars="0"/>
              <w:rPr>
                <w:snapToGrid w:val="0"/>
                <w:kern w:val="0"/>
                <w:sz w:val="21"/>
                <w:szCs w:val="21"/>
              </w:rPr>
            </w:pPr>
            <w:r>
              <w:rPr>
                <w:snapToGrid w:val="0"/>
                <w:kern w:val="0"/>
                <w:sz w:val="21"/>
                <w:szCs w:val="21"/>
              </w:rPr>
              <w:t>（5）车辆伤害</w:t>
            </w:r>
          </w:p>
          <w:p>
            <w:pPr>
              <w:spacing w:line="240" w:lineRule="auto"/>
              <w:ind w:firstLine="0" w:firstLineChars="0"/>
              <w:rPr>
                <w:snapToGrid w:val="0"/>
                <w:kern w:val="0"/>
                <w:sz w:val="21"/>
                <w:szCs w:val="21"/>
              </w:rPr>
            </w:pPr>
            <w:r>
              <w:rPr>
                <w:snapToGrid w:val="0"/>
                <w:kern w:val="0"/>
                <w:sz w:val="21"/>
                <w:szCs w:val="21"/>
              </w:rPr>
              <w:t>（7）触电</w:t>
            </w:r>
          </w:p>
          <w:p>
            <w:pPr>
              <w:spacing w:line="240" w:lineRule="auto"/>
              <w:ind w:firstLine="0" w:firstLineChars="0"/>
              <w:rPr>
                <w:snapToGrid w:val="0"/>
                <w:kern w:val="0"/>
                <w:sz w:val="21"/>
                <w:szCs w:val="21"/>
              </w:rPr>
            </w:pPr>
            <w:r>
              <w:rPr>
                <w:snapToGrid w:val="0"/>
                <w:kern w:val="0"/>
                <w:sz w:val="21"/>
                <w:szCs w:val="21"/>
              </w:rPr>
              <w:t>（9）烧烫伤</w:t>
            </w:r>
          </w:p>
        </w:tc>
        <w:tc>
          <w:tcPr>
            <w:tcW w:w="3520"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（2）物体打击</w:t>
            </w:r>
          </w:p>
          <w:p>
            <w:pPr>
              <w:spacing w:line="240" w:lineRule="auto"/>
              <w:ind w:firstLine="0" w:firstLineChars="0"/>
              <w:rPr>
                <w:snapToGrid w:val="0"/>
                <w:kern w:val="0"/>
                <w:sz w:val="21"/>
                <w:szCs w:val="21"/>
              </w:rPr>
            </w:pPr>
            <w:r>
              <w:rPr>
                <w:snapToGrid w:val="0"/>
                <w:kern w:val="0"/>
                <w:sz w:val="21"/>
                <w:szCs w:val="21"/>
              </w:rPr>
              <w:t>（4）机械伤害</w:t>
            </w:r>
          </w:p>
          <w:p>
            <w:pPr>
              <w:spacing w:line="240" w:lineRule="auto"/>
              <w:ind w:firstLine="0" w:firstLineChars="0"/>
              <w:rPr>
                <w:snapToGrid w:val="0"/>
                <w:kern w:val="0"/>
                <w:sz w:val="21"/>
                <w:szCs w:val="21"/>
              </w:rPr>
            </w:pPr>
            <w:r>
              <w:rPr>
                <w:snapToGrid w:val="0"/>
                <w:kern w:val="0"/>
                <w:sz w:val="21"/>
                <w:szCs w:val="21"/>
              </w:rPr>
              <w:t>（6）起重伤害</w:t>
            </w:r>
          </w:p>
          <w:p>
            <w:pPr>
              <w:spacing w:line="240" w:lineRule="auto"/>
              <w:ind w:firstLine="0" w:firstLineChars="0"/>
              <w:rPr>
                <w:snapToGrid w:val="0"/>
                <w:kern w:val="0"/>
                <w:sz w:val="21"/>
                <w:szCs w:val="21"/>
              </w:rPr>
            </w:pPr>
            <w:r>
              <w:rPr>
                <w:snapToGrid w:val="0"/>
                <w:kern w:val="0"/>
                <w:sz w:val="21"/>
                <w:szCs w:val="21"/>
              </w:rPr>
              <w:t>（8）人员跌倒</w:t>
            </w:r>
          </w:p>
          <w:p>
            <w:pPr>
              <w:spacing w:line="240" w:lineRule="auto"/>
              <w:ind w:firstLine="0" w:firstLineChars="0"/>
              <w:rPr>
                <w:snapToGrid w:val="0"/>
                <w:kern w:val="0"/>
                <w:sz w:val="21"/>
                <w:szCs w:val="21"/>
              </w:rPr>
            </w:pPr>
            <w:r>
              <w:rPr>
                <w:snapToGrid w:val="0"/>
                <w:kern w:val="0"/>
                <w:sz w:val="21"/>
                <w:szCs w:val="21"/>
              </w:rPr>
              <w:t>（10）工具伤害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9"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2</w:t>
            </w:r>
          </w:p>
        </w:tc>
        <w:tc>
          <w:tcPr>
            <w:tcW w:w="1716"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钻进作业</w:t>
            </w:r>
          </w:p>
        </w:tc>
        <w:tc>
          <w:tcPr>
            <w:tcW w:w="2609"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（1）井喷</w:t>
            </w:r>
          </w:p>
          <w:p>
            <w:pPr>
              <w:spacing w:line="240" w:lineRule="auto"/>
              <w:ind w:firstLine="0" w:firstLineChars="0"/>
              <w:rPr>
                <w:snapToGrid w:val="0"/>
                <w:kern w:val="0"/>
                <w:sz w:val="21"/>
                <w:szCs w:val="21"/>
              </w:rPr>
            </w:pPr>
            <w:r>
              <w:rPr>
                <w:snapToGrid w:val="0"/>
                <w:kern w:val="0"/>
                <w:sz w:val="21"/>
                <w:szCs w:val="21"/>
              </w:rPr>
              <w:t>（3）高处坠落</w:t>
            </w:r>
          </w:p>
          <w:p>
            <w:pPr>
              <w:spacing w:line="240" w:lineRule="auto"/>
              <w:ind w:firstLine="0" w:firstLineChars="0"/>
              <w:rPr>
                <w:snapToGrid w:val="0"/>
                <w:kern w:val="0"/>
                <w:sz w:val="21"/>
                <w:szCs w:val="21"/>
              </w:rPr>
            </w:pPr>
            <w:r>
              <w:rPr>
                <w:snapToGrid w:val="0"/>
                <w:kern w:val="0"/>
                <w:sz w:val="21"/>
                <w:szCs w:val="21"/>
              </w:rPr>
              <w:t>（5）物体打击</w:t>
            </w:r>
          </w:p>
          <w:p>
            <w:pPr>
              <w:spacing w:line="240" w:lineRule="auto"/>
              <w:ind w:firstLine="0" w:firstLineChars="0"/>
              <w:rPr>
                <w:snapToGrid w:val="0"/>
                <w:kern w:val="0"/>
                <w:sz w:val="21"/>
                <w:szCs w:val="21"/>
              </w:rPr>
            </w:pPr>
            <w:r>
              <w:rPr>
                <w:snapToGrid w:val="0"/>
                <w:kern w:val="0"/>
                <w:sz w:val="21"/>
                <w:szCs w:val="21"/>
              </w:rPr>
              <w:t>（7）机械伤害</w:t>
            </w:r>
          </w:p>
          <w:p>
            <w:pPr>
              <w:spacing w:line="240" w:lineRule="auto"/>
              <w:ind w:firstLine="0" w:firstLineChars="0"/>
              <w:rPr>
                <w:snapToGrid w:val="0"/>
                <w:kern w:val="0"/>
                <w:sz w:val="21"/>
                <w:szCs w:val="21"/>
              </w:rPr>
            </w:pPr>
            <w:r>
              <w:rPr>
                <w:snapToGrid w:val="0"/>
                <w:kern w:val="0"/>
                <w:sz w:val="21"/>
                <w:szCs w:val="21"/>
              </w:rPr>
              <w:t>（9）高压伤害</w:t>
            </w:r>
          </w:p>
          <w:p>
            <w:pPr>
              <w:spacing w:line="240" w:lineRule="auto"/>
              <w:ind w:firstLine="0" w:firstLineChars="0"/>
              <w:rPr>
                <w:snapToGrid w:val="0"/>
                <w:kern w:val="0"/>
                <w:sz w:val="21"/>
                <w:szCs w:val="21"/>
              </w:rPr>
            </w:pPr>
            <w:r>
              <w:rPr>
                <w:snapToGrid w:val="0"/>
                <w:kern w:val="0"/>
                <w:sz w:val="21"/>
                <w:szCs w:val="21"/>
              </w:rPr>
              <w:t>（11）化学物品腐蚀</w:t>
            </w:r>
          </w:p>
          <w:p>
            <w:pPr>
              <w:spacing w:line="240" w:lineRule="auto"/>
              <w:ind w:firstLine="0" w:firstLineChars="0"/>
              <w:rPr>
                <w:snapToGrid w:val="0"/>
                <w:kern w:val="0"/>
                <w:sz w:val="21"/>
                <w:szCs w:val="21"/>
              </w:rPr>
            </w:pPr>
            <w:r>
              <w:rPr>
                <w:snapToGrid w:val="0"/>
                <w:kern w:val="0"/>
                <w:sz w:val="21"/>
                <w:szCs w:val="21"/>
              </w:rPr>
              <w:t>（13）井漏、井塌</w:t>
            </w:r>
          </w:p>
          <w:p>
            <w:pPr>
              <w:spacing w:line="240" w:lineRule="auto"/>
              <w:ind w:firstLine="0" w:firstLineChars="0"/>
              <w:rPr>
                <w:snapToGrid w:val="0"/>
                <w:kern w:val="0"/>
                <w:sz w:val="21"/>
                <w:szCs w:val="21"/>
              </w:rPr>
            </w:pPr>
            <w:r>
              <w:rPr>
                <w:snapToGrid w:val="0"/>
                <w:kern w:val="0"/>
                <w:sz w:val="21"/>
                <w:szCs w:val="21"/>
              </w:rPr>
              <w:t>（15）井下落物</w:t>
            </w:r>
          </w:p>
          <w:p>
            <w:pPr>
              <w:spacing w:line="240" w:lineRule="auto"/>
              <w:ind w:firstLine="0" w:firstLineChars="0"/>
              <w:rPr>
                <w:snapToGrid w:val="0"/>
                <w:kern w:val="0"/>
                <w:sz w:val="21"/>
                <w:szCs w:val="21"/>
              </w:rPr>
            </w:pPr>
            <w:r>
              <w:rPr>
                <w:snapToGrid w:val="0"/>
                <w:kern w:val="0"/>
                <w:sz w:val="21"/>
                <w:szCs w:val="21"/>
              </w:rPr>
              <w:t>（17）雷电、静电危害</w:t>
            </w:r>
          </w:p>
          <w:p>
            <w:pPr>
              <w:spacing w:line="240" w:lineRule="auto"/>
              <w:ind w:firstLine="0" w:firstLineChars="0"/>
              <w:rPr>
                <w:snapToGrid w:val="0"/>
                <w:kern w:val="0"/>
                <w:sz w:val="21"/>
                <w:szCs w:val="21"/>
              </w:rPr>
            </w:pPr>
            <w:r>
              <w:rPr>
                <w:snapToGrid w:val="0"/>
                <w:kern w:val="0"/>
                <w:sz w:val="21"/>
                <w:szCs w:val="21"/>
              </w:rPr>
              <w:t>（19）高温烫伤</w:t>
            </w:r>
          </w:p>
        </w:tc>
        <w:tc>
          <w:tcPr>
            <w:tcW w:w="3520"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（2）中毒</w:t>
            </w:r>
          </w:p>
          <w:p>
            <w:pPr>
              <w:spacing w:line="240" w:lineRule="auto"/>
              <w:ind w:firstLine="0" w:firstLineChars="0"/>
              <w:rPr>
                <w:snapToGrid w:val="0"/>
                <w:kern w:val="0"/>
                <w:sz w:val="21"/>
                <w:szCs w:val="21"/>
              </w:rPr>
            </w:pPr>
            <w:r>
              <w:rPr>
                <w:snapToGrid w:val="0"/>
                <w:kern w:val="0"/>
                <w:sz w:val="21"/>
                <w:szCs w:val="21"/>
              </w:rPr>
              <w:t>（4）起重伤害</w:t>
            </w:r>
          </w:p>
          <w:p>
            <w:pPr>
              <w:spacing w:line="240" w:lineRule="auto"/>
              <w:ind w:firstLine="0" w:firstLineChars="0"/>
              <w:rPr>
                <w:snapToGrid w:val="0"/>
                <w:kern w:val="0"/>
                <w:sz w:val="21"/>
                <w:szCs w:val="21"/>
              </w:rPr>
            </w:pPr>
            <w:r>
              <w:rPr>
                <w:snapToGrid w:val="0"/>
                <w:kern w:val="0"/>
                <w:sz w:val="21"/>
                <w:szCs w:val="21"/>
              </w:rPr>
              <w:t>（6）触电</w:t>
            </w:r>
          </w:p>
          <w:p>
            <w:pPr>
              <w:spacing w:line="240" w:lineRule="auto"/>
              <w:ind w:firstLine="0" w:firstLineChars="0"/>
              <w:rPr>
                <w:snapToGrid w:val="0"/>
                <w:kern w:val="0"/>
                <w:sz w:val="21"/>
                <w:szCs w:val="21"/>
              </w:rPr>
            </w:pPr>
            <w:r>
              <w:rPr>
                <w:snapToGrid w:val="0"/>
                <w:kern w:val="0"/>
                <w:sz w:val="21"/>
                <w:szCs w:val="21"/>
              </w:rPr>
              <w:t>（8）人员跌倒</w:t>
            </w:r>
          </w:p>
          <w:p>
            <w:pPr>
              <w:spacing w:line="240" w:lineRule="auto"/>
              <w:ind w:firstLine="0" w:firstLineChars="0"/>
              <w:rPr>
                <w:snapToGrid w:val="0"/>
                <w:kern w:val="0"/>
                <w:sz w:val="21"/>
                <w:szCs w:val="21"/>
              </w:rPr>
            </w:pPr>
            <w:r>
              <w:rPr>
                <w:snapToGrid w:val="0"/>
                <w:kern w:val="0"/>
                <w:sz w:val="21"/>
                <w:szCs w:val="21"/>
              </w:rPr>
              <w:t>（10）卡钻</w:t>
            </w:r>
          </w:p>
          <w:p>
            <w:pPr>
              <w:spacing w:line="240" w:lineRule="auto"/>
              <w:ind w:firstLine="0" w:firstLineChars="0"/>
              <w:rPr>
                <w:snapToGrid w:val="0"/>
                <w:kern w:val="0"/>
                <w:sz w:val="21"/>
                <w:szCs w:val="21"/>
              </w:rPr>
            </w:pPr>
            <w:r>
              <w:rPr>
                <w:snapToGrid w:val="0"/>
                <w:kern w:val="0"/>
                <w:sz w:val="21"/>
                <w:szCs w:val="21"/>
              </w:rPr>
              <w:t>（12）钻具事故</w:t>
            </w:r>
          </w:p>
          <w:p>
            <w:pPr>
              <w:spacing w:line="240" w:lineRule="auto"/>
              <w:ind w:firstLine="0" w:firstLineChars="0"/>
              <w:rPr>
                <w:snapToGrid w:val="0"/>
                <w:kern w:val="0"/>
                <w:sz w:val="21"/>
                <w:szCs w:val="21"/>
              </w:rPr>
            </w:pPr>
            <w:r>
              <w:rPr>
                <w:snapToGrid w:val="0"/>
                <w:kern w:val="0"/>
                <w:sz w:val="21"/>
                <w:szCs w:val="21"/>
              </w:rPr>
              <w:t>（14）火灾、爆炸</w:t>
            </w:r>
          </w:p>
          <w:p>
            <w:pPr>
              <w:spacing w:line="240" w:lineRule="auto"/>
              <w:ind w:firstLine="0" w:firstLineChars="0"/>
              <w:rPr>
                <w:snapToGrid w:val="0"/>
                <w:kern w:val="0"/>
                <w:sz w:val="21"/>
                <w:szCs w:val="21"/>
              </w:rPr>
            </w:pPr>
            <w:r>
              <w:rPr>
                <w:snapToGrid w:val="0"/>
                <w:kern w:val="0"/>
                <w:sz w:val="21"/>
                <w:szCs w:val="21"/>
              </w:rPr>
              <w:t>（16）金属材料的腐蚀</w:t>
            </w:r>
          </w:p>
          <w:p>
            <w:pPr>
              <w:spacing w:line="240" w:lineRule="auto"/>
              <w:ind w:firstLine="0" w:firstLineChars="0"/>
              <w:rPr>
                <w:snapToGrid w:val="0"/>
                <w:kern w:val="0"/>
                <w:sz w:val="21"/>
                <w:szCs w:val="21"/>
              </w:rPr>
            </w:pPr>
            <w:r>
              <w:rPr>
                <w:snapToGrid w:val="0"/>
                <w:kern w:val="0"/>
                <w:sz w:val="21"/>
                <w:szCs w:val="21"/>
              </w:rPr>
              <w:t>（18）钻井液的污染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9"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3</w:t>
            </w:r>
          </w:p>
        </w:tc>
        <w:tc>
          <w:tcPr>
            <w:tcW w:w="1716"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起下钻作业</w:t>
            </w:r>
          </w:p>
        </w:tc>
        <w:tc>
          <w:tcPr>
            <w:tcW w:w="2609"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（1）井喷</w:t>
            </w:r>
          </w:p>
          <w:p>
            <w:pPr>
              <w:spacing w:line="240" w:lineRule="auto"/>
              <w:ind w:firstLine="0" w:firstLineChars="0"/>
              <w:rPr>
                <w:snapToGrid w:val="0"/>
                <w:kern w:val="0"/>
                <w:sz w:val="21"/>
                <w:szCs w:val="21"/>
              </w:rPr>
            </w:pPr>
            <w:r>
              <w:rPr>
                <w:snapToGrid w:val="0"/>
                <w:kern w:val="0"/>
                <w:sz w:val="21"/>
                <w:szCs w:val="21"/>
              </w:rPr>
              <w:t>（3）高处坠落</w:t>
            </w:r>
          </w:p>
          <w:p>
            <w:pPr>
              <w:spacing w:line="240" w:lineRule="auto"/>
              <w:ind w:firstLine="0" w:firstLineChars="0"/>
              <w:rPr>
                <w:snapToGrid w:val="0"/>
                <w:kern w:val="0"/>
                <w:sz w:val="21"/>
                <w:szCs w:val="21"/>
              </w:rPr>
            </w:pPr>
            <w:r>
              <w:rPr>
                <w:snapToGrid w:val="0"/>
                <w:kern w:val="0"/>
                <w:sz w:val="21"/>
                <w:szCs w:val="21"/>
              </w:rPr>
              <w:t>（5）物体打击</w:t>
            </w:r>
          </w:p>
          <w:p>
            <w:pPr>
              <w:spacing w:line="240" w:lineRule="auto"/>
              <w:ind w:firstLine="0" w:firstLineChars="0"/>
              <w:rPr>
                <w:snapToGrid w:val="0"/>
                <w:kern w:val="0"/>
                <w:sz w:val="21"/>
                <w:szCs w:val="21"/>
              </w:rPr>
            </w:pPr>
            <w:r>
              <w:rPr>
                <w:snapToGrid w:val="0"/>
                <w:kern w:val="0"/>
                <w:sz w:val="21"/>
                <w:szCs w:val="21"/>
              </w:rPr>
              <w:t>（7）机械伤人</w:t>
            </w:r>
          </w:p>
          <w:p>
            <w:pPr>
              <w:spacing w:line="240" w:lineRule="auto"/>
              <w:ind w:firstLine="0" w:firstLineChars="0"/>
              <w:rPr>
                <w:snapToGrid w:val="0"/>
                <w:kern w:val="0"/>
                <w:sz w:val="21"/>
                <w:szCs w:val="21"/>
              </w:rPr>
            </w:pPr>
            <w:r>
              <w:rPr>
                <w:snapToGrid w:val="0"/>
                <w:kern w:val="0"/>
                <w:sz w:val="21"/>
                <w:szCs w:val="21"/>
              </w:rPr>
              <w:t>（9）工具伤害</w:t>
            </w:r>
          </w:p>
          <w:p>
            <w:pPr>
              <w:spacing w:line="240" w:lineRule="auto"/>
              <w:ind w:firstLine="0" w:firstLineChars="0"/>
              <w:rPr>
                <w:snapToGrid w:val="0"/>
                <w:kern w:val="0"/>
                <w:sz w:val="21"/>
                <w:szCs w:val="21"/>
              </w:rPr>
            </w:pPr>
            <w:r>
              <w:rPr>
                <w:snapToGrid w:val="0"/>
                <w:kern w:val="0"/>
                <w:sz w:val="21"/>
                <w:szCs w:val="21"/>
              </w:rPr>
              <w:t>（11）卡钻</w:t>
            </w:r>
          </w:p>
          <w:p>
            <w:pPr>
              <w:spacing w:line="240" w:lineRule="auto"/>
              <w:ind w:firstLine="0" w:firstLineChars="0"/>
              <w:rPr>
                <w:snapToGrid w:val="0"/>
                <w:kern w:val="0"/>
                <w:sz w:val="21"/>
                <w:szCs w:val="21"/>
              </w:rPr>
            </w:pPr>
            <w:r>
              <w:rPr>
                <w:snapToGrid w:val="0"/>
                <w:kern w:val="0"/>
                <w:sz w:val="21"/>
                <w:szCs w:val="21"/>
              </w:rPr>
              <w:t>（13）钻具事故</w:t>
            </w:r>
          </w:p>
          <w:p>
            <w:pPr>
              <w:spacing w:line="240" w:lineRule="auto"/>
              <w:ind w:firstLine="0" w:firstLineChars="0"/>
              <w:rPr>
                <w:snapToGrid w:val="0"/>
                <w:kern w:val="0"/>
                <w:sz w:val="21"/>
                <w:szCs w:val="21"/>
              </w:rPr>
            </w:pPr>
            <w:r>
              <w:rPr>
                <w:snapToGrid w:val="0"/>
                <w:kern w:val="0"/>
                <w:sz w:val="21"/>
                <w:szCs w:val="21"/>
              </w:rPr>
              <w:t>（15）顿钻</w:t>
            </w:r>
          </w:p>
          <w:p>
            <w:pPr>
              <w:spacing w:line="240" w:lineRule="auto"/>
              <w:ind w:firstLine="0" w:firstLineChars="0"/>
              <w:rPr>
                <w:snapToGrid w:val="0"/>
                <w:kern w:val="0"/>
                <w:sz w:val="21"/>
                <w:szCs w:val="21"/>
              </w:rPr>
            </w:pPr>
            <w:r>
              <w:rPr>
                <w:snapToGrid w:val="0"/>
                <w:kern w:val="0"/>
                <w:sz w:val="21"/>
                <w:szCs w:val="21"/>
              </w:rPr>
              <w:t>（17）雷电、静电危害</w:t>
            </w:r>
          </w:p>
        </w:tc>
        <w:tc>
          <w:tcPr>
            <w:tcW w:w="3520"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（2）中毒</w:t>
            </w:r>
          </w:p>
          <w:p>
            <w:pPr>
              <w:spacing w:line="240" w:lineRule="auto"/>
              <w:ind w:firstLine="0" w:firstLineChars="0"/>
              <w:rPr>
                <w:snapToGrid w:val="0"/>
                <w:kern w:val="0"/>
                <w:sz w:val="21"/>
                <w:szCs w:val="21"/>
              </w:rPr>
            </w:pPr>
            <w:r>
              <w:rPr>
                <w:snapToGrid w:val="0"/>
                <w:kern w:val="0"/>
                <w:sz w:val="21"/>
                <w:szCs w:val="21"/>
              </w:rPr>
              <w:t>（4）起重伤害</w:t>
            </w:r>
          </w:p>
          <w:p>
            <w:pPr>
              <w:spacing w:line="240" w:lineRule="auto"/>
              <w:ind w:firstLine="0" w:firstLineChars="0"/>
              <w:rPr>
                <w:snapToGrid w:val="0"/>
                <w:kern w:val="0"/>
                <w:sz w:val="21"/>
                <w:szCs w:val="21"/>
              </w:rPr>
            </w:pPr>
            <w:r>
              <w:rPr>
                <w:snapToGrid w:val="0"/>
                <w:kern w:val="0"/>
                <w:sz w:val="21"/>
                <w:szCs w:val="21"/>
              </w:rPr>
              <w:t>（6）触电</w:t>
            </w:r>
          </w:p>
          <w:p>
            <w:pPr>
              <w:spacing w:line="240" w:lineRule="auto"/>
              <w:ind w:firstLine="0" w:firstLineChars="0"/>
              <w:rPr>
                <w:snapToGrid w:val="0"/>
                <w:kern w:val="0"/>
                <w:sz w:val="21"/>
                <w:szCs w:val="21"/>
              </w:rPr>
            </w:pPr>
            <w:r>
              <w:rPr>
                <w:snapToGrid w:val="0"/>
                <w:kern w:val="0"/>
                <w:sz w:val="21"/>
                <w:szCs w:val="21"/>
              </w:rPr>
              <w:t>（8）高压伤害</w:t>
            </w:r>
          </w:p>
          <w:p>
            <w:pPr>
              <w:spacing w:line="240" w:lineRule="auto"/>
              <w:ind w:firstLine="0" w:firstLineChars="0"/>
              <w:rPr>
                <w:snapToGrid w:val="0"/>
                <w:kern w:val="0"/>
                <w:sz w:val="21"/>
                <w:szCs w:val="21"/>
              </w:rPr>
            </w:pPr>
            <w:r>
              <w:rPr>
                <w:snapToGrid w:val="0"/>
                <w:kern w:val="0"/>
                <w:sz w:val="21"/>
                <w:szCs w:val="21"/>
              </w:rPr>
              <w:t>（10）化学物品腐蚀</w:t>
            </w:r>
          </w:p>
          <w:p>
            <w:pPr>
              <w:spacing w:line="240" w:lineRule="auto"/>
              <w:ind w:firstLine="0" w:firstLineChars="0"/>
              <w:rPr>
                <w:snapToGrid w:val="0"/>
                <w:kern w:val="0"/>
                <w:sz w:val="21"/>
                <w:szCs w:val="21"/>
              </w:rPr>
            </w:pPr>
            <w:r>
              <w:rPr>
                <w:snapToGrid w:val="0"/>
                <w:kern w:val="0"/>
                <w:sz w:val="21"/>
                <w:szCs w:val="21"/>
              </w:rPr>
              <w:t>（12）井下落物</w:t>
            </w:r>
          </w:p>
          <w:p>
            <w:pPr>
              <w:spacing w:line="240" w:lineRule="auto"/>
              <w:ind w:firstLine="0" w:firstLineChars="0"/>
              <w:rPr>
                <w:snapToGrid w:val="0"/>
                <w:kern w:val="0"/>
                <w:sz w:val="21"/>
                <w:szCs w:val="21"/>
              </w:rPr>
            </w:pPr>
            <w:r>
              <w:rPr>
                <w:snapToGrid w:val="0"/>
                <w:kern w:val="0"/>
                <w:sz w:val="21"/>
                <w:szCs w:val="21"/>
              </w:rPr>
              <w:t>（14）火灾、爆炸</w:t>
            </w:r>
          </w:p>
          <w:p>
            <w:pPr>
              <w:spacing w:line="240" w:lineRule="auto"/>
              <w:ind w:firstLine="0" w:firstLineChars="0"/>
              <w:rPr>
                <w:snapToGrid w:val="0"/>
                <w:kern w:val="0"/>
                <w:sz w:val="21"/>
                <w:szCs w:val="21"/>
              </w:rPr>
            </w:pPr>
            <w:r>
              <w:rPr>
                <w:snapToGrid w:val="0"/>
                <w:kern w:val="0"/>
                <w:sz w:val="21"/>
                <w:szCs w:val="21"/>
              </w:rPr>
              <w:t>（16）顶天车</w:t>
            </w:r>
          </w:p>
          <w:p>
            <w:pPr>
              <w:spacing w:line="240" w:lineRule="auto"/>
              <w:ind w:firstLine="0" w:firstLineChars="0"/>
              <w:rPr>
                <w:snapToGrid w:val="0"/>
                <w:kern w:val="0"/>
                <w:sz w:val="21"/>
                <w:szCs w:val="21"/>
              </w:rPr>
            </w:pPr>
            <w:r>
              <w:rPr>
                <w:snapToGrid w:val="0"/>
                <w:kern w:val="0"/>
                <w:sz w:val="21"/>
                <w:szCs w:val="21"/>
              </w:rPr>
              <w:t>（18）高温烫伤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9"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4</w:t>
            </w:r>
          </w:p>
        </w:tc>
        <w:tc>
          <w:tcPr>
            <w:tcW w:w="1716"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固井</w:t>
            </w:r>
          </w:p>
        </w:tc>
        <w:tc>
          <w:tcPr>
            <w:tcW w:w="2609"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（1）井喷</w:t>
            </w:r>
          </w:p>
          <w:p>
            <w:pPr>
              <w:spacing w:line="240" w:lineRule="auto"/>
              <w:ind w:firstLine="0" w:firstLineChars="0"/>
              <w:rPr>
                <w:snapToGrid w:val="0"/>
                <w:kern w:val="0"/>
                <w:sz w:val="21"/>
                <w:szCs w:val="21"/>
              </w:rPr>
            </w:pPr>
            <w:r>
              <w:rPr>
                <w:snapToGrid w:val="0"/>
                <w:kern w:val="0"/>
                <w:sz w:val="21"/>
                <w:szCs w:val="21"/>
              </w:rPr>
              <w:t>（3）高处坠落</w:t>
            </w:r>
          </w:p>
          <w:p>
            <w:pPr>
              <w:spacing w:line="240" w:lineRule="auto"/>
              <w:ind w:firstLine="0" w:firstLineChars="0"/>
              <w:rPr>
                <w:snapToGrid w:val="0"/>
                <w:kern w:val="0"/>
                <w:sz w:val="21"/>
                <w:szCs w:val="21"/>
              </w:rPr>
            </w:pPr>
            <w:r>
              <w:rPr>
                <w:snapToGrid w:val="0"/>
                <w:kern w:val="0"/>
                <w:sz w:val="21"/>
                <w:szCs w:val="21"/>
              </w:rPr>
              <w:t>（5）物体打击</w:t>
            </w:r>
          </w:p>
          <w:p>
            <w:pPr>
              <w:spacing w:line="240" w:lineRule="auto"/>
              <w:ind w:firstLine="0" w:firstLineChars="0"/>
              <w:rPr>
                <w:snapToGrid w:val="0"/>
                <w:kern w:val="0"/>
                <w:sz w:val="21"/>
                <w:szCs w:val="21"/>
              </w:rPr>
            </w:pPr>
            <w:r>
              <w:rPr>
                <w:snapToGrid w:val="0"/>
                <w:kern w:val="0"/>
                <w:sz w:val="21"/>
                <w:szCs w:val="21"/>
              </w:rPr>
              <w:t>（7）机械伤人</w:t>
            </w:r>
          </w:p>
          <w:p>
            <w:pPr>
              <w:spacing w:line="240" w:lineRule="auto"/>
              <w:ind w:firstLine="0" w:firstLineChars="0"/>
              <w:rPr>
                <w:snapToGrid w:val="0"/>
                <w:kern w:val="0"/>
                <w:sz w:val="21"/>
                <w:szCs w:val="21"/>
              </w:rPr>
            </w:pPr>
            <w:r>
              <w:rPr>
                <w:snapToGrid w:val="0"/>
                <w:kern w:val="0"/>
                <w:sz w:val="21"/>
                <w:szCs w:val="21"/>
              </w:rPr>
              <w:t>（9）高压伤害</w:t>
            </w:r>
          </w:p>
          <w:p>
            <w:pPr>
              <w:spacing w:line="240" w:lineRule="auto"/>
              <w:ind w:firstLine="0" w:firstLineChars="0"/>
              <w:rPr>
                <w:snapToGrid w:val="0"/>
                <w:kern w:val="0"/>
                <w:sz w:val="21"/>
                <w:szCs w:val="21"/>
              </w:rPr>
            </w:pPr>
            <w:r>
              <w:rPr>
                <w:snapToGrid w:val="0"/>
                <w:kern w:val="0"/>
                <w:sz w:val="21"/>
                <w:szCs w:val="21"/>
              </w:rPr>
              <w:t>（11）化学物品腐蚀</w:t>
            </w:r>
          </w:p>
          <w:p>
            <w:pPr>
              <w:spacing w:line="240" w:lineRule="auto"/>
              <w:ind w:firstLine="0" w:firstLineChars="0"/>
              <w:rPr>
                <w:snapToGrid w:val="0"/>
                <w:kern w:val="0"/>
                <w:sz w:val="21"/>
                <w:szCs w:val="21"/>
              </w:rPr>
            </w:pPr>
            <w:r>
              <w:rPr>
                <w:snapToGrid w:val="0"/>
                <w:kern w:val="0"/>
                <w:sz w:val="21"/>
                <w:szCs w:val="21"/>
              </w:rPr>
              <w:t>（13）井下套管断裂</w:t>
            </w:r>
          </w:p>
          <w:p>
            <w:pPr>
              <w:spacing w:line="240" w:lineRule="auto"/>
              <w:ind w:firstLine="0" w:firstLineChars="0"/>
              <w:rPr>
                <w:snapToGrid w:val="0"/>
                <w:kern w:val="0"/>
                <w:sz w:val="21"/>
                <w:szCs w:val="21"/>
              </w:rPr>
            </w:pPr>
            <w:r>
              <w:rPr>
                <w:snapToGrid w:val="0"/>
                <w:kern w:val="0"/>
                <w:sz w:val="21"/>
                <w:szCs w:val="21"/>
              </w:rPr>
              <w:t>（15）井漏</w:t>
            </w:r>
          </w:p>
        </w:tc>
        <w:tc>
          <w:tcPr>
            <w:tcW w:w="3520"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（2）中毒</w:t>
            </w:r>
          </w:p>
          <w:p>
            <w:pPr>
              <w:spacing w:line="240" w:lineRule="auto"/>
              <w:ind w:firstLine="0" w:firstLineChars="0"/>
              <w:rPr>
                <w:snapToGrid w:val="0"/>
                <w:kern w:val="0"/>
                <w:sz w:val="21"/>
                <w:szCs w:val="21"/>
              </w:rPr>
            </w:pPr>
            <w:r>
              <w:rPr>
                <w:snapToGrid w:val="0"/>
                <w:kern w:val="0"/>
                <w:sz w:val="21"/>
                <w:szCs w:val="21"/>
              </w:rPr>
              <w:t>（4）起重伤害</w:t>
            </w:r>
          </w:p>
          <w:p>
            <w:pPr>
              <w:spacing w:line="240" w:lineRule="auto"/>
              <w:ind w:firstLine="0" w:firstLineChars="0"/>
              <w:rPr>
                <w:snapToGrid w:val="0"/>
                <w:kern w:val="0"/>
                <w:sz w:val="21"/>
                <w:szCs w:val="21"/>
              </w:rPr>
            </w:pPr>
            <w:r>
              <w:rPr>
                <w:snapToGrid w:val="0"/>
                <w:kern w:val="0"/>
                <w:sz w:val="21"/>
                <w:szCs w:val="21"/>
              </w:rPr>
              <w:t>（6）触电</w:t>
            </w:r>
          </w:p>
          <w:p>
            <w:pPr>
              <w:spacing w:line="240" w:lineRule="auto"/>
              <w:ind w:firstLine="0" w:firstLineChars="0"/>
              <w:rPr>
                <w:snapToGrid w:val="0"/>
                <w:kern w:val="0"/>
                <w:sz w:val="21"/>
                <w:szCs w:val="21"/>
              </w:rPr>
            </w:pPr>
            <w:r>
              <w:rPr>
                <w:snapToGrid w:val="0"/>
                <w:kern w:val="0"/>
                <w:sz w:val="21"/>
                <w:szCs w:val="21"/>
              </w:rPr>
              <w:t>（8）人员跌倒</w:t>
            </w:r>
          </w:p>
          <w:p>
            <w:pPr>
              <w:spacing w:line="240" w:lineRule="auto"/>
              <w:ind w:firstLine="0" w:firstLineChars="0"/>
              <w:rPr>
                <w:snapToGrid w:val="0"/>
                <w:kern w:val="0"/>
                <w:sz w:val="21"/>
                <w:szCs w:val="21"/>
              </w:rPr>
            </w:pPr>
            <w:r>
              <w:rPr>
                <w:snapToGrid w:val="0"/>
                <w:kern w:val="0"/>
                <w:sz w:val="21"/>
                <w:szCs w:val="21"/>
              </w:rPr>
              <w:t>（10）工具伤害</w:t>
            </w:r>
          </w:p>
          <w:p>
            <w:pPr>
              <w:spacing w:line="240" w:lineRule="auto"/>
              <w:ind w:firstLine="0" w:firstLineChars="0"/>
              <w:rPr>
                <w:snapToGrid w:val="0"/>
                <w:kern w:val="0"/>
                <w:sz w:val="21"/>
                <w:szCs w:val="21"/>
              </w:rPr>
            </w:pPr>
            <w:r>
              <w:rPr>
                <w:snapToGrid w:val="0"/>
                <w:kern w:val="0"/>
                <w:sz w:val="21"/>
                <w:szCs w:val="21"/>
              </w:rPr>
              <w:t>（12）噪声危害</w:t>
            </w:r>
          </w:p>
          <w:p>
            <w:pPr>
              <w:spacing w:line="240" w:lineRule="auto"/>
              <w:ind w:firstLine="0" w:firstLineChars="0"/>
              <w:rPr>
                <w:snapToGrid w:val="0"/>
                <w:kern w:val="0"/>
                <w:sz w:val="21"/>
                <w:szCs w:val="21"/>
              </w:rPr>
            </w:pPr>
            <w:r>
              <w:rPr>
                <w:snapToGrid w:val="0"/>
                <w:kern w:val="0"/>
                <w:sz w:val="21"/>
                <w:szCs w:val="21"/>
              </w:rPr>
              <w:t>（14）实心套管</w:t>
            </w:r>
          </w:p>
          <w:p>
            <w:pPr>
              <w:spacing w:line="240" w:lineRule="auto"/>
              <w:ind w:firstLine="0" w:firstLineChars="0"/>
              <w:rPr>
                <w:snapToGrid w:val="0"/>
                <w:kern w:val="0"/>
                <w:sz w:val="21"/>
                <w:szCs w:val="21"/>
              </w:rPr>
            </w:pPr>
            <w:r>
              <w:rPr>
                <w:snapToGrid w:val="0"/>
                <w:kern w:val="0"/>
                <w:sz w:val="21"/>
                <w:szCs w:val="21"/>
              </w:rPr>
              <w:t>（16）高温烫伤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9"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5</w:t>
            </w:r>
          </w:p>
        </w:tc>
        <w:tc>
          <w:tcPr>
            <w:tcW w:w="1716"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换装井口作业</w:t>
            </w:r>
          </w:p>
        </w:tc>
        <w:tc>
          <w:tcPr>
            <w:tcW w:w="2609"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（1）高处坠落</w:t>
            </w:r>
          </w:p>
          <w:p>
            <w:pPr>
              <w:spacing w:line="240" w:lineRule="auto"/>
              <w:ind w:firstLine="0" w:firstLineChars="0"/>
              <w:rPr>
                <w:snapToGrid w:val="0"/>
                <w:kern w:val="0"/>
                <w:sz w:val="21"/>
                <w:szCs w:val="21"/>
              </w:rPr>
            </w:pPr>
            <w:r>
              <w:rPr>
                <w:snapToGrid w:val="0"/>
                <w:kern w:val="0"/>
                <w:sz w:val="21"/>
                <w:szCs w:val="21"/>
              </w:rPr>
              <w:t>（3）触电</w:t>
            </w:r>
          </w:p>
          <w:p>
            <w:pPr>
              <w:spacing w:line="240" w:lineRule="auto"/>
              <w:ind w:firstLine="0" w:firstLineChars="0"/>
              <w:rPr>
                <w:snapToGrid w:val="0"/>
                <w:kern w:val="0"/>
                <w:sz w:val="21"/>
                <w:szCs w:val="21"/>
              </w:rPr>
            </w:pPr>
            <w:r>
              <w:rPr>
                <w:snapToGrid w:val="0"/>
                <w:kern w:val="0"/>
                <w:sz w:val="21"/>
                <w:szCs w:val="21"/>
              </w:rPr>
              <w:t>（5）起重伤害</w:t>
            </w:r>
          </w:p>
        </w:tc>
        <w:tc>
          <w:tcPr>
            <w:tcW w:w="3520"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（2）物体打击</w:t>
            </w:r>
          </w:p>
          <w:p>
            <w:pPr>
              <w:spacing w:line="240" w:lineRule="auto"/>
              <w:ind w:firstLine="0" w:firstLineChars="0"/>
              <w:rPr>
                <w:snapToGrid w:val="0"/>
                <w:kern w:val="0"/>
                <w:sz w:val="21"/>
                <w:szCs w:val="21"/>
              </w:rPr>
            </w:pPr>
            <w:r>
              <w:rPr>
                <w:snapToGrid w:val="0"/>
                <w:kern w:val="0"/>
                <w:sz w:val="21"/>
                <w:szCs w:val="21"/>
              </w:rPr>
              <w:t>（4）机械伤人</w:t>
            </w:r>
          </w:p>
          <w:p>
            <w:pPr>
              <w:spacing w:line="240" w:lineRule="auto"/>
              <w:ind w:firstLine="0" w:firstLineChars="0"/>
              <w:rPr>
                <w:snapToGrid w:val="0"/>
                <w:kern w:val="0"/>
                <w:sz w:val="21"/>
                <w:szCs w:val="21"/>
              </w:rPr>
            </w:pPr>
            <w:r>
              <w:rPr>
                <w:snapToGrid w:val="0"/>
                <w:kern w:val="0"/>
                <w:sz w:val="21"/>
                <w:szCs w:val="21"/>
              </w:rPr>
              <w:t>（6）高压伤害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9"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6</w:t>
            </w:r>
          </w:p>
        </w:tc>
        <w:tc>
          <w:tcPr>
            <w:tcW w:w="1716"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安装防（放）喷管线</w:t>
            </w:r>
          </w:p>
        </w:tc>
        <w:tc>
          <w:tcPr>
            <w:tcW w:w="2609"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（1）高处坠落</w:t>
            </w:r>
          </w:p>
          <w:p>
            <w:pPr>
              <w:spacing w:line="240" w:lineRule="auto"/>
              <w:ind w:firstLine="0" w:firstLineChars="0"/>
              <w:rPr>
                <w:snapToGrid w:val="0"/>
                <w:kern w:val="0"/>
                <w:sz w:val="21"/>
                <w:szCs w:val="21"/>
              </w:rPr>
            </w:pPr>
            <w:r>
              <w:rPr>
                <w:snapToGrid w:val="0"/>
                <w:kern w:val="0"/>
                <w:sz w:val="21"/>
                <w:szCs w:val="21"/>
              </w:rPr>
              <w:t>（3）人员跌倒</w:t>
            </w:r>
          </w:p>
        </w:tc>
        <w:tc>
          <w:tcPr>
            <w:tcW w:w="3520"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（2）物体打击</w:t>
            </w:r>
          </w:p>
          <w:p>
            <w:pPr>
              <w:spacing w:line="240" w:lineRule="auto"/>
              <w:ind w:firstLine="0" w:firstLineChars="0"/>
              <w:rPr>
                <w:snapToGrid w:val="0"/>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9"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7</w:t>
            </w:r>
          </w:p>
        </w:tc>
        <w:tc>
          <w:tcPr>
            <w:tcW w:w="1716"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泥浆净化与处理</w:t>
            </w:r>
          </w:p>
        </w:tc>
        <w:tc>
          <w:tcPr>
            <w:tcW w:w="2609"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（1）高处坠落</w:t>
            </w:r>
          </w:p>
          <w:p>
            <w:pPr>
              <w:spacing w:line="240" w:lineRule="auto"/>
              <w:ind w:firstLine="0" w:firstLineChars="0"/>
              <w:rPr>
                <w:snapToGrid w:val="0"/>
                <w:kern w:val="0"/>
                <w:sz w:val="21"/>
                <w:szCs w:val="21"/>
              </w:rPr>
            </w:pPr>
            <w:r>
              <w:rPr>
                <w:snapToGrid w:val="0"/>
                <w:kern w:val="0"/>
                <w:sz w:val="21"/>
                <w:szCs w:val="21"/>
              </w:rPr>
              <w:t>（3）人员跌倒</w:t>
            </w:r>
          </w:p>
          <w:p>
            <w:pPr>
              <w:spacing w:line="240" w:lineRule="auto"/>
              <w:ind w:firstLine="0" w:firstLineChars="0"/>
              <w:rPr>
                <w:snapToGrid w:val="0"/>
                <w:kern w:val="0"/>
                <w:sz w:val="21"/>
                <w:szCs w:val="21"/>
              </w:rPr>
            </w:pPr>
            <w:r>
              <w:rPr>
                <w:snapToGrid w:val="0"/>
                <w:kern w:val="0"/>
                <w:sz w:val="21"/>
                <w:szCs w:val="21"/>
              </w:rPr>
              <w:t>（5）机械伤人</w:t>
            </w:r>
          </w:p>
          <w:p>
            <w:pPr>
              <w:spacing w:line="240" w:lineRule="auto"/>
              <w:ind w:firstLine="0" w:firstLineChars="0"/>
              <w:rPr>
                <w:snapToGrid w:val="0"/>
                <w:kern w:val="0"/>
                <w:sz w:val="21"/>
                <w:szCs w:val="21"/>
              </w:rPr>
            </w:pPr>
            <w:r>
              <w:rPr>
                <w:snapToGrid w:val="0"/>
                <w:kern w:val="0"/>
                <w:sz w:val="21"/>
                <w:szCs w:val="21"/>
              </w:rPr>
              <w:t>（7）工具伤害</w:t>
            </w:r>
          </w:p>
          <w:p>
            <w:pPr>
              <w:spacing w:line="240" w:lineRule="auto"/>
              <w:ind w:firstLine="0" w:firstLineChars="0"/>
              <w:rPr>
                <w:snapToGrid w:val="0"/>
                <w:kern w:val="0"/>
                <w:sz w:val="21"/>
                <w:szCs w:val="21"/>
              </w:rPr>
            </w:pPr>
            <w:r>
              <w:rPr>
                <w:snapToGrid w:val="0"/>
                <w:kern w:val="0"/>
                <w:sz w:val="21"/>
                <w:szCs w:val="21"/>
              </w:rPr>
              <w:t>（9）噪声危害</w:t>
            </w:r>
          </w:p>
          <w:p>
            <w:pPr>
              <w:spacing w:line="240" w:lineRule="auto"/>
              <w:ind w:firstLine="0" w:firstLineChars="0"/>
              <w:rPr>
                <w:snapToGrid w:val="0"/>
                <w:kern w:val="0"/>
                <w:sz w:val="21"/>
                <w:szCs w:val="21"/>
              </w:rPr>
            </w:pPr>
            <w:r>
              <w:rPr>
                <w:snapToGrid w:val="0"/>
                <w:kern w:val="0"/>
                <w:sz w:val="21"/>
                <w:szCs w:val="21"/>
              </w:rPr>
              <w:t>（11）火灾、爆炸</w:t>
            </w:r>
          </w:p>
          <w:p>
            <w:pPr>
              <w:spacing w:line="240" w:lineRule="auto"/>
              <w:ind w:firstLine="0" w:firstLineChars="0"/>
              <w:rPr>
                <w:snapToGrid w:val="0"/>
                <w:kern w:val="0"/>
                <w:sz w:val="21"/>
                <w:szCs w:val="21"/>
              </w:rPr>
            </w:pPr>
            <w:r>
              <w:rPr>
                <w:snapToGrid w:val="0"/>
                <w:kern w:val="0"/>
                <w:sz w:val="21"/>
                <w:szCs w:val="21"/>
              </w:rPr>
              <w:t>（13）淹溺</w:t>
            </w:r>
          </w:p>
        </w:tc>
        <w:tc>
          <w:tcPr>
            <w:tcW w:w="3520"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（2）物体打击</w:t>
            </w:r>
          </w:p>
          <w:p>
            <w:pPr>
              <w:spacing w:line="240" w:lineRule="auto"/>
              <w:ind w:firstLine="0" w:firstLineChars="0"/>
              <w:rPr>
                <w:snapToGrid w:val="0"/>
                <w:kern w:val="0"/>
                <w:sz w:val="21"/>
                <w:szCs w:val="21"/>
              </w:rPr>
            </w:pPr>
            <w:r>
              <w:rPr>
                <w:snapToGrid w:val="0"/>
                <w:kern w:val="0"/>
                <w:sz w:val="21"/>
                <w:szCs w:val="21"/>
              </w:rPr>
              <w:t>（4）触电</w:t>
            </w:r>
          </w:p>
          <w:p>
            <w:pPr>
              <w:spacing w:line="240" w:lineRule="auto"/>
              <w:ind w:firstLine="0" w:firstLineChars="0"/>
              <w:rPr>
                <w:snapToGrid w:val="0"/>
                <w:kern w:val="0"/>
                <w:sz w:val="21"/>
                <w:szCs w:val="21"/>
              </w:rPr>
            </w:pPr>
            <w:r>
              <w:rPr>
                <w:snapToGrid w:val="0"/>
                <w:kern w:val="0"/>
                <w:sz w:val="21"/>
                <w:szCs w:val="21"/>
              </w:rPr>
              <w:t>（6）高压伤害</w:t>
            </w:r>
          </w:p>
          <w:p>
            <w:pPr>
              <w:spacing w:line="240" w:lineRule="auto"/>
              <w:ind w:firstLine="0" w:firstLineChars="0"/>
              <w:rPr>
                <w:snapToGrid w:val="0"/>
                <w:kern w:val="0"/>
                <w:sz w:val="21"/>
                <w:szCs w:val="21"/>
              </w:rPr>
            </w:pPr>
            <w:r>
              <w:rPr>
                <w:snapToGrid w:val="0"/>
                <w:kern w:val="0"/>
                <w:sz w:val="21"/>
                <w:szCs w:val="21"/>
              </w:rPr>
              <w:t>（8）化学物品腐蚀</w:t>
            </w:r>
          </w:p>
          <w:p>
            <w:pPr>
              <w:spacing w:line="240" w:lineRule="auto"/>
              <w:ind w:firstLine="0" w:firstLineChars="0"/>
              <w:rPr>
                <w:snapToGrid w:val="0"/>
                <w:kern w:val="0"/>
                <w:sz w:val="21"/>
                <w:szCs w:val="21"/>
              </w:rPr>
            </w:pPr>
            <w:r>
              <w:rPr>
                <w:snapToGrid w:val="0"/>
                <w:kern w:val="0"/>
                <w:sz w:val="21"/>
                <w:szCs w:val="21"/>
              </w:rPr>
              <w:t>（10）中毒</w:t>
            </w:r>
          </w:p>
          <w:p>
            <w:pPr>
              <w:spacing w:line="240" w:lineRule="auto"/>
              <w:ind w:firstLine="0" w:firstLineChars="0"/>
              <w:rPr>
                <w:snapToGrid w:val="0"/>
                <w:kern w:val="0"/>
                <w:sz w:val="21"/>
                <w:szCs w:val="21"/>
              </w:rPr>
            </w:pPr>
            <w:r>
              <w:rPr>
                <w:snapToGrid w:val="0"/>
                <w:kern w:val="0"/>
                <w:sz w:val="21"/>
                <w:szCs w:val="21"/>
              </w:rPr>
              <w:t>（12）钻井液的污染</w:t>
            </w:r>
          </w:p>
          <w:p>
            <w:pPr>
              <w:spacing w:line="240" w:lineRule="auto"/>
              <w:ind w:firstLine="0" w:firstLineChars="0"/>
              <w:rPr>
                <w:snapToGrid w:val="0"/>
                <w:kern w:val="0"/>
                <w:sz w:val="21"/>
                <w:szCs w:val="21"/>
              </w:rPr>
            </w:pPr>
            <w:r>
              <w:rPr>
                <w:snapToGrid w:val="0"/>
                <w:kern w:val="0"/>
                <w:sz w:val="21"/>
                <w:szCs w:val="21"/>
              </w:rPr>
              <w:t>（14）高温烫伤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9"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8</w:t>
            </w:r>
          </w:p>
        </w:tc>
        <w:tc>
          <w:tcPr>
            <w:tcW w:w="1716"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设备修理</w:t>
            </w:r>
          </w:p>
        </w:tc>
        <w:tc>
          <w:tcPr>
            <w:tcW w:w="2609"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（1）高处坠落</w:t>
            </w:r>
          </w:p>
          <w:p>
            <w:pPr>
              <w:spacing w:line="240" w:lineRule="auto"/>
              <w:ind w:firstLine="0" w:firstLineChars="0"/>
              <w:rPr>
                <w:snapToGrid w:val="0"/>
                <w:kern w:val="0"/>
                <w:sz w:val="21"/>
                <w:szCs w:val="21"/>
              </w:rPr>
            </w:pPr>
            <w:r>
              <w:rPr>
                <w:snapToGrid w:val="0"/>
                <w:kern w:val="0"/>
                <w:sz w:val="21"/>
                <w:szCs w:val="21"/>
              </w:rPr>
              <w:t>（3）人员跌倒</w:t>
            </w:r>
          </w:p>
          <w:p>
            <w:pPr>
              <w:spacing w:line="240" w:lineRule="auto"/>
              <w:ind w:firstLine="0" w:firstLineChars="0"/>
              <w:rPr>
                <w:snapToGrid w:val="0"/>
                <w:kern w:val="0"/>
                <w:sz w:val="21"/>
                <w:szCs w:val="21"/>
              </w:rPr>
            </w:pPr>
            <w:r>
              <w:rPr>
                <w:snapToGrid w:val="0"/>
                <w:kern w:val="0"/>
                <w:sz w:val="21"/>
                <w:szCs w:val="21"/>
              </w:rPr>
              <w:t>（5）机械伤害</w:t>
            </w:r>
          </w:p>
          <w:p>
            <w:pPr>
              <w:spacing w:line="240" w:lineRule="auto"/>
              <w:ind w:firstLine="0" w:firstLineChars="0"/>
              <w:rPr>
                <w:snapToGrid w:val="0"/>
                <w:kern w:val="0"/>
                <w:sz w:val="21"/>
                <w:szCs w:val="21"/>
              </w:rPr>
            </w:pPr>
            <w:r>
              <w:rPr>
                <w:snapToGrid w:val="0"/>
                <w:kern w:val="0"/>
                <w:sz w:val="21"/>
                <w:szCs w:val="21"/>
              </w:rPr>
              <w:t>（7）火灾、爆炸</w:t>
            </w:r>
          </w:p>
        </w:tc>
        <w:tc>
          <w:tcPr>
            <w:tcW w:w="3520"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（2）物体打击</w:t>
            </w:r>
          </w:p>
          <w:p>
            <w:pPr>
              <w:spacing w:line="240" w:lineRule="auto"/>
              <w:ind w:firstLine="0" w:firstLineChars="0"/>
              <w:rPr>
                <w:snapToGrid w:val="0"/>
                <w:kern w:val="0"/>
                <w:sz w:val="21"/>
                <w:szCs w:val="21"/>
              </w:rPr>
            </w:pPr>
            <w:r>
              <w:rPr>
                <w:snapToGrid w:val="0"/>
                <w:kern w:val="0"/>
                <w:sz w:val="21"/>
                <w:szCs w:val="21"/>
              </w:rPr>
              <w:t>（4）触电</w:t>
            </w:r>
          </w:p>
          <w:p>
            <w:pPr>
              <w:spacing w:line="240" w:lineRule="auto"/>
              <w:ind w:firstLine="0" w:firstLineChars="0"/>
              <w:rPr>
                <w:snapToGrid w:val="0"/>
                <w:kern w:val="0"/>
                <w:sz w:val="21"/>
                <w:szCs w:val="21"/>
              </w:rPr>
            </w:pPr>
            <w:r>
              <w:rPr>
                <w:snapToGrid w:val="0"/>
                <w:kern w:val="0"/>
                <w:sz w:val="21"/>
                <w:szCs w:val="21"/>
              </w:rPr>
              <w:t>（6）工具伤害</w:t>
            </w:r>
          </w:p>
          <w:p>
            <w:pPr>
              <w:spacing w:line="240" w:lineRule="auto"/>
              <w:ind w:firstLine="0" w:firstLineChars="0"/>
              <w:rPr>
                <w:snapToGrid w:val="0"/>
                <w:kern w:val="0"/>
                <w:sz w:val="21"/>
                <w:szCs w:val="21"/>
              </w:rPr>
            </w:pPr>
            <w:r>
              <w:rPr>
                <w:snapToGrid w:val="0"/>
                <w:kern w:val="0"/>
                <w:sz w:val="21"/>
                <w:szCs w:val="21"/>
              </w:rPr>
              <w:t>（8）雷电、静电危害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49"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9</w:t>
            </w:r>
          </w:p>
        </w:tc>
        <w:tc>
          <w:tcPr>
            <w:tcW w:w="1716" w:type="dxa"/>
            <w:tcBorders>
              <w:tl2br w:val="nil"/>
              <w:tr2bl w:val="nil"/>
            </w:tcBorders>
            <w:noWrap w:val="0"/>
            <w:vAlign w:val="center"/>
          </w:tcPr>
          <w:p>
            <w:pPr>
              <w:spacing w:line="240" w:lineRule="auto"/>
              <w:ind w:firstLine="0" w:firstLineChars="0"/>
              <w:jc w:val="center"/>
              <w:rPr>
                <w:snapToGrid w:val="0"/>
                <w:kern w:val="0"/>
                <w:sz w:val="21"/>
                <w:szCs w:val="21"/>
              </w:rPr>
            </w:pPr>
            <w:r>
              <w:rPr>
                <w:snapToGrid w:val="0"/>
                <w:kern w:val="0"/>
                <w:sz w:val="21"/>
                <w:szCs w:val="21"/>
              </w:rPr>
              <w:t>辅助作业</w:t>
            </w:r>
          </w:p>
        </w:tc>
        <w:tc>
          <w:tcPr>
            <w:tcW w:w="2609"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（1）高处坠落</w:t>
            </w:r>
          </w:p>
          <w:p>
            <w:pPr>
              <w:spacing w:line="240" w:lineRule="auto"/>
              <w:ind w:firstLine="0" w:firstLineChars="0"/>
              <w:rPr>
                <w:snapToGrid w:val="0"/>
                <w:kern w:val="0"/>
                <w:sz w:val="21"/>
                <w:szCs w:val="21"/>
              </w:rPr>
            </w:pPr>
            <w:r>
              <w:rPr>
                <w:snapToGrid w:val="0"/>
                <w:kern w:val="0"/>
                <w:sz w:val="21"/>
                <w:szCs w:val="21"/>
              </w:rPr>
              <w:t>（3）人员跌倒</w:t>
            </w:r>
          </w:p>
          <w:p>
            <w:pPr>
              <w:spacing w:line="240" w:lineRule="auto"/>
              <w:ind w:firstLine="0" w:firstLineChars="0"/>
              <w:rPr>
                <w:snapToGrid w:val="0"/>
                <w:kern w:val="0"/>
                <w:sz w:val="21"/>
                <w:szCs w:val="21"/>
              </w:rPr>
            </w:pPr>
            <w:r>
              <w:rPr>
                <w:snapToGrid w:val="0"/>
                <w:kern w:val="0"/>
                <w:sz w:val="21"/>
                <w:szCs w:val="21"/>
              </w:rPr>
              <w:t>（5）机械伤害</w:t>
            </w:r>
          </w:p>
          <w:p>
            <w:pPr>
              <w:spacing w:line="240" w:lineRule="auto"/>
              <w:ind w:firstLine="0" w:firstLineChars="0"/>
              <w:rPr>
                <w:snapToGrid w:val="0"/>
                <w:kern w:val="0"/>
                <w:sz w:val="21"/>
                <w:szCs w:val="21"/>
              </w:rPr>
            </w:pPr>
            <w:r>
              <w:rPr>
                <w:snapToGrid w:val="0"/>
                <w:kern w:val="0"/>
                <w:sz w:val="21"/>
                <w:szCs w:val="21"/>
              </w:rPr>
              <w:t>（7）中毒</w:t>
            </w:r>
          </w:p>
          <w:p>
            <w:pPr>
              <w:spacing w:line="240" w:lineRule="auto"/>
              <w:ind w:firstLine="0" w:firstLineChars="0"/>
              <w:rPr>
                <w:snapToGrid w:val="0"/>
                <w:kern w:val="0"/>
                <w:sz w:val="21"/>
                <w:szCs w:val="21"/>
              </w:rPr>
            </w:pPr>
            <w:r>
              <w:rPr>
                <w:snapToGrid w:val="0"/>
                <w:kern w:val="0"/>
                <w:sz w:val="21"/>
                <w:szCs w:val="21"/>
              </w:rPr>
              <w:t>（9）雷电、静电危害</w:t>
            </w:r>
          </w:p>
          <w:p>
            <w:pPr>
              <w:spacing w:line="240" w:lineRule="auto"/>
              <w:ind w:firstLine="0" w:firstLineChars="0"/>
              <w:rPr>
                <w:snapToGrid w:val="0"/>
                <w:kern w:val="0"/>
                <w:sz w:val="21"/>
                <w:szCs w:val="21"/>
              </w:rPr>
            </w:pPr>
            <w:r>
              <w:rPr>
                <w:snapToGrid w:val="0"/>
                <w:kern w:val="0"/>
                <w:sz w:val="21"/>
                <w:szCs w:val="21"/>
              </w:rPr>
              <w:t>（11）暴雨洪灾</w:t>
            </w:r>
          </w:p>
        </w:tc>
        <w:tc>
          <w:tcPr>
            <w:tcW w:w="3520" w:type="dxa"/>
            <w:tcBorders>
              <w:tl2br w:val="nil"/>
              <w:tr2bl w:val="nil"/>
            </w:tcBorders>
            <w:noWrap w:val="0"/>
            <w:vAlign w:val="center"/>
          </w:tcPr>
          <w:p>
            <w:pPr>
              <w:spacing w:line="240" w:lineRule="auto"/>
              <w:ind w:firstLine="0" w:firstLineChars="0"/>
              <w:rPr>
                <w:snapToGrid w:val="0"/>
                <w:kern w:val="0"/>
                <w:sz w:val="21"/>
                <w:szCs w:val="21"/>
              </w:rPr>
            </w:pPr>
            <w:r>
              <w:rPr>
                <w:snapToGrid w:val="0"/>
                <w:kern w:val="0"/>
                <w:sz w:val="21"/>
                <w:szCs w:val="21"/>
              </w:rPr>
              <w:t>（2）物体打击</w:t>
            </w:r>
          </w:p>
          <w:p>
            <w:pPr>
              <w:spacing w:line="240" w:lineRule="auto"/>
              <w:ind w:firstLine="0" w:firstLineChars="0"/>
              <w:rPr>
                <w:snapToGrid w:val="0"/>
                <w:kern w:val="0"/>
                <w:sz w:val="21"/>
                <w:szCs w:val="21"/>
              </w:rPr>
            </w:pPr>
            <w:r>
              <w:rPr>
                <w:snapToGrid w:val="0"/>
                <w:kern w:val="0"/>
                <w:sz w:val="21"/>
                <w:szCs w:val="21"/>
              </w:rPr>
              <w:t>（4）触电</w:t>
            </w:r>
          </w:p>
          <w:p>
            <w:pPr>
              <w:spacing w:line="240" w:lineRule="auto"/>
              <w:ind w:firstLine="0" w:firstLineChars="0"/>
              <w:rPr>
                <w:snapToGrid w:val="0"/>
                <w:kern w:val="0"/>
                <w:sz w:val="21"/>
                <w:szCs w:val="21"/>
              </w:rPr>
            </w:pPr>
            <w:r>
              <w:rPr>
                <w:snapToGrid w:val="0"/>
                <w:kern w:val="0"/>
                <w:sz w:val="21"/>
                <w:szCs w:val="21"/>
              </w:rPr>
              <w:t>（6）工具伤害</w:t>
            </w:r>
          </w:p>
          <w:p>
            <w:pPr>
              <w:spacing w:line="240" w:lineRule="auto"/>
              <w:ind w:firstLine="0" w:firstLineChars="0"/>
              <w:rPr>
                <w:snapToGrid w:val="0"/>
                <w:kern w:val="0"/>
                <w:sz w:val="21"/>
                <w:szCs w:val="21"/>
              </w:rPr>
            </w:pPr>
            <w:r>
              <w:rPr>
                <w:snapToGrid w:val="0"/>
                <w:kern w:val="0"/>
                <w:sz w:val="21"/>
                <w:szCs w:val="21"/>
              </w:rPr>
              <w:t>（8）火灾、爆炸</w:t>
            </w:r>
          </w:p>
          <w:p>
            <w:pPr>
              <w:spacing w:line="240" w:lineRule="auto"/>
              <w:ind w:firstLine="0" w:firstLineChars="0"/>
              <w:rPr>
                <w:snapToGrid w:val="0"/>
                <w:kern w:val="0"/>
                <w:sz w:val="21"/>
                <w:szCs w:val="21"/>
              </w:rPr>
            </w:pPr>
            <w:r>
              <w:rPr>
                <w:snapToGrid w:val="0"/>
                <w:kern w:val="0"/>
                <w:sz w:val="21"/>
                <w:szCs w:val="21"/>
              </w:rPr>
              <w:t>（10）化学物品腐蚀</w:t>
            </w:r>
          </w:p>
          <w:p>
            <w:pPr>
              <w:spacing w:line="240" w:lineRule="auto"/>
              <w:ind w:firstLine="0" w:firstLineChars="0"/>
              <w:rPr>
                <w:snapToGrid w:val="0"/>
                <w:kern w:val="0"/>
                <w:sz w:val="21"/>
                <w:szCs w:val="21"/>
              </w:rPr>
            </w:pPr>
            <w:r>
              <w:rPr>
                <w:snapToGrid w:val="0"/>
                <w:kern w:val="0"/>
                <w:sz w:val="21"/>
                <w:szCs w:val="21"/>
              </w:rPr>
              <w:t>（12）起重伤害</w:t>
            </w:r>
          </w:p>
        </w:tc>
      </w:tr>
      <w:bookmarkEnd w:id="74"/>
    </w:tbl>
    <w:p>
      <w:pPr>
        <w:pStyle w:val="4"/>
        <w:keepNext/>
        <w:keepLines/>
        <w:pageBreakBefore w:val="0"/>
        <w:widowControl w:val="0"/>
        <w:kinsoku/>
        <w:wordWrap/>
        <w:overflowPunct/>
        <w:topLinePunct w:val="0"/>
        <w:autoSpaceDE/>
        <w:autoSpaceDN/>
        <w:bidi w:val="0"/>
        <w:adjustRightInd w:val="0"/>
        <w:snapToGrid w:val="0"/>
        <w:spacing w:before="157" w:beforeLines="50"/>
        <w:textAlignment w:val="auto"/>
        <w:rPr>
          <w:sz w:val="32"/>
          <w:szCs w:val="32"/>
        </w:rPr>
      </w:pPr>
      <w:bookmarkStart w:id="101" w:name="_Toc838"/>
      <w:bookmarkStart w:id="102" w:name="_Toc31413"/>
      <w:r>
        <w:rPr>
          <w:b w:val="0"/>
          <w:bCs w:val="0"/>
          <w:sz w:val="32"/>
          <w:szCs w:val="32"/>
        </w:rPr>
        <w:t>3.7</w:t>
      </w:r>
      <w:r>
        <w:rPr>
          <w:sz w:val="32"/>
          <w:szCs w:val="32"/>
        </w:rPr>
        <w:t xml:space="preserve"> </w:t>
      </w:r>
      <w:r>
        <w:rPr>
          <w:rFonts w:hint="eastAsia"/>
          <w:sz w:val="32"/>
          <w:szCs w:val="32"/>
        </w:rPr>
        <w:t xml:space="preserve"> </w:t>
      </w:r>
      <w:r>
        <w:rPr>
          <w:rFonts w:hint="eastAsia" w:ascii="黑体" w:hAnsi="黑体" w:eastAsia="黑体" w:cs="黑体"/>
          <w:b w:val="0"/>
          <w:bCs w:val="0"/>
          <w:sz w:val="32"/>
          <w:szCs w:val="32"/>
          <w:lang w:val="en-US" w:eastAsia="zh-CN"/>
        </w:rPr>
        <w:t>主要设备设施危险性</w:t>
      </w:r>
      <w:r>
        <w:rPr>
          <w:rFonts w:hint="eastAsia" w:ascii="黑体" w:hAnsi="黑体" w:eastAsia="黑体" w:cs="黑体"/>
          <w:b w:val="0"/>
          <w:bCs w:val="0"/>
          <w:sz w:val="32"/>
          <w:szCs w:val="32"/>
        </w:rPr>
        <w:t>分析</w:t>
      </w:r>
      <w:bookmarkEnd w:id="101"/>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right="0" w:firstLine="560" w:firstLineChars="200"/>
        <w:jc w:val="both"/>
        <w:textAlignment w:val="auto"/>
        <w:rPr>
          <w:rFonts w:ascii="Times New Roman" w:hAnsi="Times New Roman" w:eastAsia="宋体" w:cs="Times New Roman"/>
          <w:sz w:val="28"/>
          <w:szCs w:val="28"/>
          <w:lang w:val="zh-CN" w:eastAsia="zh-CN" w:bidi="zh-CN"/>
        </w:rPr>
      </w:pPr>
      <w:r>
        <w:rPr>
          <w:rFonts w:ascii="Times New Roman" w:hAnsi="Times New Roman" w:eastAsia="宋体" w:cs="Times New Roman"/>
          <w:sz w:val="28"/>
          <w:szCs w:val="28"/>
          <w:lang w:val="zh-CN" w:eastAsia="zh-CN" w:bidi="zh-CN"/>
        </w:rPr>
        <w:t>钻井主要由提升系统（包括：绞车、井架、天车、游车大钩及钢丝绳等）、旋转系统（包括：地面的转盘、井下钻具等）、循环系统、动力设备、传动系统、控制系统等系统组成。</w:t>
      </w:r>
    </w:p>
    <w:p>
      <w:pPr>
        <w:keepNext w:val="0"/>
        <w:keepLines w:val="0"/>
        <w:pageBreakBefore w:val="0"/>
        <w:widowControl w:val="0"/>
        <w:numPr>
          <w:ilvl w:val="0"/>
          <w:numId w:val="0"/>
        </w:numPr>
        <w:tabs>
          <w:tab w:val="left" w:pos="1210"/>
        </w:tabs>
        <w:kinsoku/>
        <w:wordWrap/>
        <w:overflowPunct/>
        <w:topLinePunct w:val="0"/>
        <w:autoSpaceDE w:val="0"/>
        <w:autoSpaceDN w:val="0"/>
        <w:bidi w:val="0"/>
        <w:adjustRightInd w:val="0"/>
        <w:snapToGrid w:val="0"/>
        <w:spacing w:before="0" w:after="0" w:line="360" w:lineRule="auto"/>
        <w:ind w:left="0" w:leftChars="0" w:right="0" w:rightChars="0" w:firstLine="552" w:firstLineChars="200"/>
        <w:jc w:val="left"/>
        <w:textAlignment w:val="auto"/>
        <w:rPr>
          <w:rFonts w:ascii="Times New Roman" w:hAnsi="Times New Roman" w:eastAsia="宋体" w:cs="Times New Roman"/>
          <w:sz w:val="9"/>
          <w:szCs w:val="28"/>
          <w:lang w:val="zh-CN" w:eastAsia="zh-CN" w:bidi="zh-CN"/>
        </w:rPr>
      </w:pPr>
      <w:r>
        <w:rPr>
          <w:rFonts w:hint="eastAsia" w:ascii="Times New Roman" w:hAnsi="Times New Roman" w:eastAsia="宋体" w:cs="Times New Roman"/>
          <w:spacing w:val="-2"/>
          <w:sz w:val="28"/>
          <w:szCs w:val="22"/>
          <w:lang w:val="zh-CN" w:eastAsia="zh-CN" w:bidi="zh-CN"/>
        </w:rPr>
        <w:t>（</w:t>
      </w:r>
      <w:r>
        <w:rPr>
          <w:rFonts w:hint="eastAsia" w:ascii="Times New Roman" w:hAnsi="Times New Roman" w:eastAsia="宋体" w:cs="Times New Roman"/>
          <w:spacing w:val="-2"/>
          <w:sz w:val="28"/>
          <w:szCs w:val="22"/>
          <w:lang w:val="en-US" w:eastAsia="zh-CN" w:bidi="zh-CN"/>
        </w:rPr>
        <w:t>1</w:t>
      </w:r>
      <w:r>
        <w:rPr>
          <w:rFonts w:hint="eastAsia" w:ascii="Times New Roman" w:hAnsi="Times New Roman" w:eastAsia="宋体" w:cs="Times New Roman"/>
          <w:spacing w:val="-2"/>
          <w:sz w:val="28"/>
          <w:szCs w:val="22"/>
          <w:lang w:val="zh-CN" w:eastAsia="zh-CN" w:bidi="zh-CN"/>
        </w:rPr>
        <w:t>）</w:t>
      </w:r>
      <w:r>
        <w:rPr>
          <w:rFonts w:ascii="Times New Roman" w:hAnsi="Times New Roman" w:eastAsia="宋体" w:cs="Times New Roman"/>
          <w:spacing w:val="-2"/>
          <w:sz w:val="28"/>
          <w:szCs w:val="22"/>
          <w:lang w:val="zh-CN" w:eastAsia="zh-CN" w:bidi="zh-CN"/>
        </w:rPr>
        <w:t>绞车</w:t>
      </w:r>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right="0" w:firstLine="560" w:firstLineChars="200"/>
        <w:jc w:val="both"/>
        <w:textAlignment w:val="auto"/>
        <w:rPr>
          <w:rFonts w:ascii="Times New Roman" w:hAnsi="Times New Roman" w:eastAsia="宋体" w:cs="Times New Roman"/>
          <w:sz w:val="28"/>
          <w:szCs w:val="28"/>
          <w:lang w:val="zh-CN" w:eastAsia="zh-CN" w:bidi="zh-CN"/>
        </w:rPr>
      </w:pPr>
      <w:r>
        <w:rPr>
          <w:rFonts w:ascii="Times New Roman" w:hAnsi="Times New Roman" w:eastAsia="宋体" w:cs="Times New Roman"/>
          <w:sz w:val="28"/>
          <w:szCs w:val="28"/>
          <w:lang w:val="zh-CN" w:eastAsia="zh-CN" w:bidi="zh-CN"/>
        </w:rPr>
        <w:t>绞车是现场起升设备的组成部件，主要功能是起下钻具、进行抽汲、提捞作业、吊升重物或进行其它辅助工作。绞车具有巨大动能，钢丝绳如果与绞车滚筒联接不好、绞车刹车机构失灵、钢丝绳断裂等都会造成重大钻进或安全事故。绞车滚筒部位、绞车链条、传动机构等部位防护罩缺陷会产生机械危险，将人卷入，碾、绞伤致残。</w:t>
      </w:r>
    </w:p>
    <w:p>
      <w:pPr>
        <w:keepNext w:val="0"/>
        <w:keepLines w:val="0"/>
        <w:pageBreakBefore w:val="0"/>
        <w:widowControl w:val="0"/>
        <w:numPr>
          <w:ilvl w:val="0"/>
          <w:numId w:val="0"/>
        </w:numPr>
        <w:tabs>
          <w:tab w:val="left" w:pos="1210"/>
        </w:tabs>
        <w:kinsoku/>
        <w:wordWrap/>
        <w:overflowPunct/>
        <w:topLinePunct w:val="0"/>
        <w:autoSpaceDE w:val="0"/>
        <w:autoSpaceDN w:val="0"/>
        <w:bidi w:val="0"/>
        <w:adjustRightInd w:val="0"/>
        <w:snapToGrid w:val="0"/>
        <w:spacing w:before="0" w:after="0" w:line="360" w:lineRule="auto"/>
        <w:ind w:left="0" w:leftChars="0" w:right="0" w:rightChars="0" w:firstLine="552" w:firstLineChars="200"/>
        <w:jc w:val="left"/>
        <w:textAlignment w:val="auto"/>
        <w:rPr>
          <w:rFonts w:ascii="Times New Roman" w:hAnsi="Times New Roman" w:eastAsia="宋体" w:cs="Times New Roman"/>
          <w:sz w:val="28"/>
          <w:szCs w:val="22"/>
          <w:lang w:val="zh-CN" w:eastAsia="zh-CN" w:bidi="zh-CN"/>
        </w:rPr>
      </w:pPr>
      <w:r>
        <w:rPr>
          <w:rFonts w:hint="eastAsia" w:ascii="Times New Roman" w:hAnsi="Times New Roman" w:eastAsia="宋体" w:cs="Times New Roman"/>
          <w:spacing w:val="-2"/>
          <w:sz w:val="28"/>
          <w:szCs w:val="22"/>
          <w:lang w:val="en-US" w:eastAsia="zh-CN" w:bidi="zh-CN"/>
        </w:rPr>
        <w:t>（2）</w:t>
      </w:r>
      <w:r>
        <w:rPr>
          <w:rFonts w:ascii="Times New Roman" w:hAnsi="Times New Roman" w:eastAsia="宋体" w:cs="Times New Roman"/>
          <w:spacing w:val="-2"/>
          <w:sz w:val="28"/>
          <w:szCs w:val="22"/>
          <w:lang w:val="zh-CN" w:eastAsia="zh-CN" w:bidi="zh-CN"/>
        </w:rPr>
        <w:t>井架</w:t>
      </w:r>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right="0" w:firstLine="548" w:firstLineChars="200"/>
        <w:jc w:val="left"/>
        <w:textAlignment w:val="auto"/>
        <w:rPr>
          <w:rFonts w:ascii="Times New Roman" w:hAnsi="Times New Roman" w:eastAsia="宋体" w:cs="Times New Roman"/>
          <w:sz w:val="28"/>
          <w:szCs w:val="28"/>
          <w:lang w:val="zh-CN" w:eastAsia="zh-CN" w:bidi="zh-CN"/>
        </w:rPr>
      </w:pPr>
      <w:r>
        <w:rPr>
          <w:rFonts w:ascii="Times New Roman" w:hAnsi="Times New Roman" w:eastAsia="宋体" w:cs="Times New Roman"/>
          <w:spacing w:val="-3"/>
          <w:sz w:val="28"/>
          <w:szCs w:val="28"/>
          <w:lang w:val="zh-CN" w:eastAsia="zh-CN" w:bidi="zh-CN"/>
        </w:rPr>
        <w:t>井架用于安装和悬挂天车、游车、大钩、吊环等提升设备与工具的。井架联接不牢固、部件发生形变、井架绷绳拉力不均匀等存在井架不稳、</w:t>
      </w:r>
      <w:r>
        <w:rPr>
          <w:rFonts w:ascii="Times New Roman" w:hAnsi="Times New Roman" w:eastAsia="宋体" w:cs="Times New Roman"/>
          <w:spacing w:val="-13"/>
          <w:sz w:val="28"/>
          <w:szCs w:val="28"/>
          <w:lang w:val="zh-CN" w:eastAsia="zh-CN" w:bidi="zh-CN"/>
        </w:rPr>
        <w:t>倒塌危险；钻井作业时，如超负荷使用井架或井架基础地面不平整、坚实、</w:t>
      </w:r>
      <w:r>
        <w:rPr>
          <w:rFonts w:ascii="Times New Roman" w:hAnsi="Times New Roman" w:eastAsia="宋体" w:cs="Times New Roman"/>
          <w:spacing w:val="-5"/>
          <w:sz w:val="28"/>
          <w:szCs w:val="28"/>
          <w:lang w:val="zh-CN" w:eastAsia="zh-CN" w:bidi="zh-CN"/>
        </w:rPr>
        <w:t>有污油泥等，会使井架下沉、倾斜与翻转；起放井架前</w:t>
      </w:r>
      <w:r>
        <w:rPr>
          <w:rFonts w:hint="eastAsia" w:cs="Times New Roman"/>
          <w:spacing w:val="-5"/>
          <w:sz w:val="28"/>
          <w:szCs w:val="28"/>
          <w:lang w:val="en-US" w:eastAsia="zh-CN" w:bidi="zh-CN"/>
        </w:rPr>
        <w:t>底座</w:t>
      </w:r>
      <w:r>
        <w:rPr>
          <w:rFonts w:ascii="Times New Roman" w:hAnsi="Times New Roman" w:eastAsia="宋体" w:cs="Times New Roman"/>
          <w:spacing w:val="-5"/>
          <w:sz w:val="28"/>
          <w:szCs w:val="28"/>
          <w:lang w:val="zh-CN" w:eastAsia="zh-CN" w:bidi="zh-CN"/>
        </w:rPr>
        <w:t>不平衡，易</w:t>
      </w:r>
      <w:r>
        <w:rPr>
          <w:rFonts w:ascii="Times New Roman" w:hAnsi="Times New Roman" w:eastAsia="宋体" w:cs="Times New Roman"/>
          <w:spacing w:val="-3"/>
          <w:sz w:val="28"/>
          <w:szCs w:val="28"/>
          <w:lang w:val="zh-CN" w:eastAsia="zh-CN" w:bidi="zh-CN"/>
        </w:rPr>
        <w:t>导致井架倾斜，造成恶性事故。</w:t>
      </w:r>
    </w:p>
    <w:p>
      <w:pPr>
        <w:keepNext w:val="0"/>
        <w:keepLines w:val="0"/>
        <w:pageBreakBefore w:val="0"/>
        <w:widowControl w:val="0"/>
        <w:numPr>
          <w:ilvl w:val="0"/>
          <w:numId w:val="0"/>
        </w:numPr>
        <w:tabs>
          <w:tab w:val="left" w:pos="1210"/>
        </w:tabs>
        <w:kinsoku/>
        <w:wordWrap/>
        <w:overflowPunct/>
        <w:topLinePunct w:val="0"/>
        <w:autoSpaceDE w:val="0"/>
        <w:autoSpaceDN w:val="0"/>
        <w:bidi w:val="0"/>
        <w:adjustRightInd w:val="0"/>
        <w:snapToGrid w:val="0"/>
        <w:spacing w:before="0" w:after="0" w:line="360" w:lineRule="auto"/>
        <w:ind w:left="0" w:leftChars="0" w:right="0" w:rightChars="0" w:firstLine="548" w:firstLineChars="200"/>
        <w:jc w:val="left"/>
        <w:textAlignment w:val="auto"/>
        <w:rPr>
          <w:rFonts w:ascii="Times New Roman" w:hAnsi="Times New Roman" w:eastAsia="宋体" w:cs="Times New Roman"/>
          <w:sz w:val="28"/>
          <w:szCs w:val="22"/>
          <w:lang w:val="zh-CN" w:eastAsia="zh-CN" w:bidi="zh-CN"/>
        </w:rPr>
      </w:pPr>
      <w:r>
        <w:rPr>
          <w:rFonts w:hint="eastAsia" w:ascii="Times New Roman" w:hAnsi="Times New Roman" w:eastAsia="宋体" w:cs="Times New Roman"/>
          <w:spacing w:val="-3"/>
          <w:sz w:val="28"/>
          <w:szCs w:val="22"/>
          <w:lang w:val="en-US" w:eastAsia="zh-CN" w:bidi="zh-CN"/>
        </w:rPr>
        <w:t>（3）</w:t>
      </w:r>
      <w:r>
        <w:rPr>
          <w:rFonts w:ascii="Times New Roman" w:hAnsi="Times New Roman" w:eastAsia="宋体" w:cs="Times New Roman"/>
          <w:spacing w:val="-3"/>
          <w:sz w:val="28"/>
          <w:szCs w:val="22"/>
          <w:lang w:val="zh-CN" w:eastAsia="zh-CN" w:bidi="zh-CN"/>
        </w:rPr>
        <w:t>游车、大钩</w:t>
      </w:r>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right="0" w:firstLine="560" w:firstLineChars="200"/>
        <w:jc w:val="both"/>
        <w:textAlignment w:val="auto"/>
        <w:rPr>
          <w:rFonts w:ascii="Times New Roman" w:hAnsi="Times New Roman" w:eastAsia="宋体" w:cs="Times New Roman"/>
          <w:sz w:val="28"/>
          <w:szCs w:val="28"/>
          <w:lang w:val="zh-CN" w:eastAsia="zh-CN" w:bidi="zh-CN"/>
        </w:rPr>
      </w:pPr>
      <w:r>
        <w:rPr>
          <w:rFonts w:ascii="Times New Roman" w:hAnsi="Times New Roman" w:eastAsia="宋体" w:cs="Times New Roman"/>
          <w:sz w:val="28"/>
          <w:szCs w:val="28"/>
          <w:lang w:val="zh-CN" w:eastAsia="zh-CN" w:bidi="zh-CN"/>
        </w:rPr>
        <w:t>游车大钩组成游动系统，悬挂在井架上的部件，具有势能。如果天车和游车的轴与底座固定不牢，滑轮槽严重磨损或磨偏，滑轮本身有裂痕或轮缘缺损时，焊接钢板的焊缝出现裂纹等问题都有可能导致起吊物高空坠落和天车、游车大钩从高处坠落危险</w:t>
      </w:r>
      <w:r>
        <w:rPr>
          <w:rFonts w:hint="eastAsia" w:ascii="Times New Roman" w:hAnsi="Times New Roman" w:eastAsia="宋体" w:cs="Times New Roman"/>
          <w:sz w:val="28"/>
          <w:szCs w:val="28"/>
          <w:lang w:val="zh-CN" w:eastAsia="zh-CN" w:bidi="zh-CN"/>
        </w:rPr>
        <w:t>。</w:t>
      </w:r>
      <w:r>
        <w:rPr>
          <w:rFonts w:ascii="Times New Roman" w:hAnsi="Times New Roman" w:eastAsia="宋体" w:cs="Times New Roman"/>
          <w:sz w:val="28"/>
          <w:szCs w:val="28"/>
          <w:lang w:val="zh-CN" w:eastAsia="zh-CN" w:bidi="zh-CN"/>
        </w:rPr>
        <w:t>游车与大钩连接的轴销固定螺丝断脱，在起下钻施工中可引起锁块脱落，易导致伤亡事故。大钩没有按规定保养会使大钩颈锈死，在进行旋转作业时，钩颈不能随管柱转动导致游车与大钩整体旋转，与管柱形成的反扭力会造成人身伤害或钢丝绳打扭。</w:t>
      </w:r>
    </w:p>
    <w:p>
      <w:pPr>
        <w:keepNext w:val="0"/>
        <w:keepLines w:val="0"/>
        <w:pageBreakBefore w:val="0"/>
        <w:widowControl w:val="0"/>
        <w:numPr>
          <w:ilvl w:val="0"/>
          <w:numId w:val="0"/>
        </w:numPr>
        <w:tabs>
          <w:tab w:val="left" w:pos="1210"/>
        </w:tabs>
        <w:kinsoku/>
        <w:wordWrap/>
        <w:overflowPunct/>
        <w:topLinePunct w:val="0"/>
        <w:autoSpaceDE w:val="0"/>
        <w:autoSpaceDN w:val="0"/>
        <w:bidi w:val="0"/>
        <w:adjustRightInd w:val="0"/>
        <w:snapToGrid w:val="0"/>
        <w:spacing w:before="0" w:after="0" w:line="360" w:lineRule="auto"/>
        <w:ind w:left="0" w:leftChars="0" w:right="0" w:rightChars="0" w:firstLine="552" w:firstLineChars="200"/>
        <w:jc w:val="left"/>
        <w:textAlignment w:val="auto"/>
        <w:rPr>
          <w:rFonts w:ascii="Times New Roman" w:hAnsi="Times New Roman" w:eastAsia="宋体" w:cs="Times New Roman"/>
          <w:sz w:val="28"/>
          <w:szCs w:val="22"/>
          <w:lang w:val="zh-CN" w:eastAsia="zh-CN" w:bidi="zh-CN"/>
        </w:rPr>
      </w:pPr>
      <w:r>
        <w:rPr>
          <w:rFonts w:hint="eastAsia" w:ascii="Times New Roman" w:hAnsi="Times New Roman" w:eastAsia="宋体" w:cs="Times New Roman"/>
          <w:spacing w:val="-2"/>
          <w:sz w:val="28"/>
          <w:szCs w:val="22"/>
          <w:lang w:val="zh-CN" w:eastAsia="zh-CN" w:bidi="zh-CN"/>
        </w:rPr>
        <w:t>（</w:t>
      </w:r>
      <w:r>
        <w:rPr>
          <w:rFonts w:hint="eastAsia" w:ascii="Times New Roman" w:hAnsi="Times New Roman" w:eastAsia="宋体" w:cs="Times New Roman"/>
          <w:spacing w:val="-2"/>
          <w:sz w:val="28"/>
          <w:szCs w:val="22"/>
          <w:lang w:val="en-US" w:eastAsia="zh-CN" w:bidi="zh-CN"/>
        </w:rPr>
        <w:t>4</w:t>
      </w:r>
      <w:r>
        <w:rPr>
          <w:rFonts w:hint="eastAsia" w:ascii="Times New Roman" w:hAnsi="Times New Roman" w:eastAsia="宋体" w:cs="Times New Roman"/>
          <w:spacing w:val="-2"/>
          <w:sz w:val="28"/>
          <w:szCs w:val="22"/>
          <w:lang w:val="zh-CN" w:eastAsia="zh-CN" w:bidi="zh-CN"/>
        </w:rPr>
        <w:t>）</w:t>
      </w:r>
      <w:r>
        <w:rPr>
          <w:rFonts w:ascii="Times New Roman" w:hAnsi="Times New Roman" w:eastAsia="宋体" w:cs="Times New Roman"/>
          <w:spacing w:val="-2"/>
          <w:sz w:val="28"/>
          <w:szCs w:val="22"/>
          <w:lang w:val="zh-CN" w:eastAsia="zh-CN" w:bidi="zh-CN"/>
        </w:rPr>
        <w:t>液压钳</w:t>
      </w:r>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right="0" w:firstLine="560" w:firstLineChars="200"/>
        <w:jc w:val="left"/>
        <w:textAlignment w:val="auto"/>
        <w:rPr>
          <w:rFonts w:ascii="Times New Roman" w:hAnsi="Times New Roman" w:eastAsia="宋体" w:cs="Times New Roman"/>
          <w:sz w:val="28"/>
          <w:szCs w:val="28"/>
          <w:lang w:val="zh-CN" w:eastAsia="zh-CN" w:bidi="zh-CN"/>
        </w:rPr>
      </w:pPr>
      <w:r>
        <w:rPr>
          <w:rFonts w:ascii="Times New Roman" w:hAnsi="Times New Roman" w:eastAsia="宋体" w:cs="Times New Roman"/>
          <w:sz w:val="28"/>
          <w:szCs w:val="28"/>
          <w:lang w:val="zh-CN" w:eastAsia="zh-CN" w:bidi="zh-CN"/>
        </w:rPr>
        <w:t>液压钳的产生结束了钻井作业用管钳上、卸油管的时代，减少了工人们很大一部分的体力劳动。</w:t>
      </w:r>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right="0" w:firstLine="560" w:firstLineChars="200"/>
        <w:jc w:val="both"/>
        <w:textAlignment w:val="auto"/>
        <w:rPr>
          <w:rFonts w:ascii="Times New Roman" w:hAnsi="Times New Roman" w:eastAsia="宋体" w:cs="Times New Roman"/>
          <w:sz w:val="9"/>
          <w:szCs w:val="28"/>
          <w:lang w:val="zh-CN" w:eastAsia="zh-CN" w:bidi="zh-CN"/>
        </w:rPr>
      </w:pPr>
      <w:r>
        <w:rPr>
          <w:rFonts w:ascii="Times New Roman" w:hAnsi="Times New Roman" w:eastAsia="宋体" w:cs="Times New Roman"/>
          <w:sz w:val="28"/>
          <w:szCs w:val="28"/>
          <w:lang w:val="zh-CN" w:eastAsia="zh-CN" w:bidi="zh-CN"/>
        </w:rPr>
        <w:t>液压钳尾绳钢丝绳，当被钳未咬住时很有可能将不合格的尾绳扯断，从而打伤井口人员。被钳处螺栓容易松动，应经常检查并上紧，防止螺栓松脱造成打伤或砸伤。</w:t>
      </w:r>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right="0" w:firstLine="560" w:firstLineChars="200"/>
        <w:jc w:val="both"/>
        <w:textAlignment w:val="auto"/>
        <w:rPr>
          <w:rFonts w:ascii="Times New Roman" w:hAnsi="Times New Roman" w:eastAsia="宋体" w:cs="Times New Roman"/>
          <w:sz w:val="28"/>
          <w:szCs w:val="28"/>
          <w:lang w:val="zh-CN" w:eastAsia="zh-CN" w:bidi="zh-CN"/>
        </w:rPr>
      </w:pPr>
      <w:r>
        <w:rPr>
          <w:rFonts w:ascii="Times New Roman" w:hAnsi="Times New Roman" w:eastAsia="宋体" w:cs="Times New Roman"/>
          <w:sz w:val="28"/>
          <w:szCs w:val="28"/>
          <w:lang w:val="zh-CN" w:eastAsia="zh-CN" w:bidi="zh-CN"/>
        </w:rPr>
        <w:t>当液压钳防绞手装置不灵活或缺失时，工人在作业中就有可能不慎把手放入钳口内绞伤。用于悬挂液压钳的索具无锁舌或者锁舌损坏时，液压钳在使用过程中就有可能发生坠落伤人。当液压钳的牙板磨损较严重时应立即更换，主钳牙板磨损容易损坏管柱，而背钳牙板磨损则容易造成打伤事故此外，天车、游车润滑不好会导致轴承温度过高，发生噪声。</w:t>
      </w:r>
    </w:p>
    <w:p>
      <w:pPr>
        <w:keepNext w:val="0"/>
        <w:keepLines w:val="0"/>
        <w:pageBreakBefore w:val="0"/>
        <w:widowControl w:val="0"/>
        <w:numPr>
          <w:ilvl w:val="0"/>
          <w:numId w:val="0"/>
        </w:numPr>
        <w:tabs>
          <w:tab w:val="left" w:pos="1210"/>
        </w:tabs>
        <w:kinsoku/>
        <w:wordWrap/>
        <w:overflowPunct/>
        <w:topLinePunct w:val="0"/>
        <w:autoSpaceDE w:val="0"/>
        <w:autoSpaceDN w:val="0"/>
        <w:bidi w:val="0"/>
        <w:adjustRightInd w:val="0"/>
        <w:snapToGrid w:val="0"/>
        <w:spacing w:before="0" w:after="0" w:line="360" w:lineRule="auto"/>
        <w:ind w:left="0" w:leftChars="0" w:right="0" w:rightChars="0" w:firstLine="552" w:firstLineChars="200"/>
        <w:jc w:val="left"/>
        <w:textAlignment w:val="auto"/>
        <w:rPr>
          <w:rFonts w:ascii="Times New Roman" w:hAnsi="Times New Roman" w:eastAsia="宋体" w:cs="Times New Roman"/>
          <w:sz w:val="28"/>
          <w:szCs w:val="22"/>
          <w:lang w:val="zh-CN" w:eastAsia="zh-CN" w:bidi="zh-CN"/>
        </w:rPr>
      </w:pPr>
      <w:r>
        <w:rPr>
          <w:rFonts w:hint="eastAsia" w:ascii="Times New Roman" w:hAnsi="Times New Roman" w:eastAsia="宋体" w:cs="Times New Roman"/>
          <w:spacing w:val="-2"/>
          <w:sz w:val="28"/>
          <w:szCs w:val="22"/>
          <w:lang w:val="zh-CN" w:eastAsia="zh-CN" w:bidi="zh-CN"/>
        </w:rPr>
        <w:t>（</w:t>
      </w:r>
      <w:r>
        <w:rPr>
          <w:rFonts w:hint="eastAsia" w:ascii="Times New Roman" w:hAnsi="Times New Roman" w:eastAsia="宋体" w:cs="Times New Roman"/>
          <w:spacing w:val="-2"/>
          <w:sz w:val="28"/>
          <w:szCs w:val="22"/>
          <w:lang w:val="en-US" w:eastAsia="zh-CN" w:bidi="zh-CN"/>
        </w:rPr>
        <w:t>5</w:t>
      </w:r>
      <w:r>
        <w:rPr>
          <w:rFonts w:hint="eastAsia" w:ascii="Times New Roman" w:hAnsi="Times New Roman" w:eastAsia="宋体" w:cs="Times New Roman"/>
          <w:spacing w:val="-2"/>
          <w:sz w:val="28"/>
          <w:szCs w:val="22"/>
          <w:lang w:val="zh-CN" w:eastAsia="zh-CN" w:bidi="zh-CN"/>
        </w:rPr>
        <w:t>）</w:t>
      </w:r>
      <w:r>
        <w:rPr>
          <w:rFonts w:ascii="Times New Roman" w:hAnsi="Times New Roman" w:eastAsia="宋体" w:cs="Times New Roman"/>
          <w:spacing w:val="-2"/>
          <w:sz w:val="28"/>
          <w:szCs w:val="22"/>
          <w:lang w:val="zh-CN" w:eastAsia="zh-CN" w:bidi="zh-CN"/>
        </w:rPr>
        <w:t>钢丝绳</w:t>
      </w:r>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right="0" w:firstLine="560" w:firstLineChars="200"/>
        <w:jc w:val="both"/>
        <w:textAlignment w:val="auto"/>
        <w:rPr>
          <w:rFonts w:ascii="Times New Roman" w:hAnsi="Times New Roman" w:eastAsia="宋体" w:cs="Times New Roman"/>
          <w:sz w:val="28"/>
          <w:szCs w:val="28"/>
          <w:lang w:val="zh-CN" w:eastAsia="zh-CN" w:bidi="zh-CN"/>
        </w:rPr>
      </w:pPr>
      <w:r>
        <w:rPr>
          <w:rFonts w:ascii="Times New Roman" w:hAnsi="Times New Roman" w:eastAsia="宋体" w:cs="Times New Roman"/>
          <w:sz w:val="28"/>
          <w:szCs w:val="28"/>
          <w:lang w:val="zh-CN" w:eastAsia="zh-CN" w:bidi="zh-CN"/>
        </w:rPr>
        <w:t>钢丝绳超期使用，超负荷使用或出现断股、磨损严重等会造成钢丝绳断裂，钢丝绳一旦断裂，极有可能引发其它次生事故，造成人员伤害和财产损失。</w:t>
      </w:r>
    </w:p>
    <w:p>
      <w:pPr>
        <w:keepNext w:val="0"/>
        <w:keepLines w:val="0"/>
        <w:pageBreakBefore w:val="0"/>
        <w:widowControl w:val="0"/>
        <w:numPr>
          <w:ilvl w:val="0"/>
          <w:numId w:val="0"/>
        </w:numPr>
        <w:tabs>
          <w:tab w:val="left" w:pos="1210"/>
        </w:tabs>
        <w:kinsoku/>
        <w:wordWrap/>
        <w:overflowPunct/>
        <w:topLinePunct w:val="0"/>
        <w:autoSpaceDE w:val="0"/>
        <w:autoSpaceDN w:val="0"/>
        <w:bidi w:val="0"/>
        <w:adjustRightInd w:val="0"/>
        <w:snapToGrid w:val="0"/>
        <w:spacing w:before="0" w:after="0" w:line="360" w:lineRule="auto"/>
        <w:ind w:left="0" w:leftChars="0" w:right="0" w:rightChars="0" w:firstLine="552" w:firstLineChars="200"/>
        <w:jc w:val="left"/>
        <w:textAlignment w:val="auto"/>
        <w:rPr>
          <w:rFonts w:ascii="Times New Roman" w:hAnsi="Times New Roman" w:eastAsia="宋体" w:cs="Times New Roman"/>
          <w:sz w:val="28"/>
          <w:szCs w:val="22"/>
          <w:lang w:val="zh-CN" w:eastAsia="zh-CN" w:bidi="zh-CN"/>
        </w:rPr>
      </w:pPr>
      <w:r>
        <w:rPr>
          <w:rFonts w:hint="eastAsia" w:ascii="Times New Roman" w:hAnsi="Times New Roman" w:eastAsia="宋体" w:cs="Times New Roman"/>
          <w:spacing w:val="-2"/>
          <w:sz w:val="28"/>
          <w:szCs w:val="22"/>
          <w:lang w:val="zh-CN" w:eastAsia="zh-CN" w:bidi="zh-CN"/>
        </w:rPr>
        <w:t>（</w:t>
      </w:r>
      <w:r>
        <w:rPr>
          <w:rFonts w:hint="eastAsia" w:ascii="Times New Roman" w:hAnsi="Times New Roman" w:eastAsia="宋体" w:cs="Times New Roman"/>
          <w:spacing w:val="-2"/>
          <w:sz w:val="28"/>
          <w:szCs w:val="22"/>
          <w:lang w:val="en-US" w:eastAsia="zh-CN" w:bidi="zh-CN"/>
        </w:rPr>
        <w:t>6</w:t>
      </w:r>
      <w:r>
        <w:rPr>
          <w:rFonts w:hint="eastAsia" w:ascii="Times New Roman" w:hAnsi="Times New Roman" w:eastAsia="宋体" w:cs="Times New Roman"/>
          <w:spacing w:val="-2"/>
          <w:sz w:val="28"/>
          <w:szCs w:val="22"/>
          <w:lang w:val="zh-CN" w:eastAsia="zh-CN" w:bidi="zh-CN"/>
        </w:rPr>
        <w:t>）</w:t>
      </w:r>
      <w:r>
        <w:rPr>
          <w:rFonts w:ascii="Times New Roman" w:hAnsi="Times New Roman" w:eastAsia="宋体" w:cs="Times New Roman"/>
          <w:spacing w:val="-2"/>
          <w:sz w:val="28"/>
          <w:szCs w:val="22"/>
          <w:lang w:val="zh-CN" w:eastAsia="zh-CN" w:bidi="zh-CN"/>
        </w:rPr>
        <w:t>调速器</w:t>
      </w:r>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right="0" w:firstLine="560" w:firstLineChars="200"/>
        <w:jc w:val="left"/>
        <w:textAlignment w:val="auto"/>
        <w:rPr>
          <w:rFonts w:ascii="Times New Roman" w:hAnsi="Times New Roman" w:eastAsia="宋体" w:cs="Times New Roman"/>
          <w:sz w:val="28"/>
          <w:szCs w:val="28"/>
          <w:lang w:val="zh-CN" w:eastAsia="zh-CN" w:bidi="zh-CN"/>
        </w:rPr>
      </w:pPr>
      <w:r>
        <w:rPr>
          <w:rFonts w:ascii="Times New Roman" w:hAnsi="Times New Roman" w:eastAsia="宋体" w:cs="Times New Roman"/>
          <w:sz w:val="28"/>
          <w:szCs w:val="28"/>
          <w:lang w:val="zh-CN" w:eastAsia="zh-CN" w:bidi="zh-CN"/>
        </w:rPr>
        <w:t>调速器故障没有及时排除，可能造成机毁人亡。刹车制动系统故障，出现刹车失灵，造成绞车前进或倒车。</w:t>
      </w:r>
    </w:p>
    <w:p>
      <w:pPr>
        <w:keepNext w:val="0"/>
        <w:keepLines w:val="0"/>
        <w:pageBreakBefore w:val="0"/>
        <w:widowControl w:val="0"/>
        <w:numPr>
          <w:ilvl w:val="0"/>
          <w:numId w:val="0"/>
        </w:numPr>
        <w:tabs>
          <w:tab w:val="left" w:pos="1210"/>
        </w:tabs>
        <w:kinsoku/>
        <w:wordWrap/>
        <w:overflowPunct/>
        <w:topLinePunct w:val="0"/>
        <w:autoSpaceDE w:val="0"/>
        <w:autoSpaceDN w:val="0"/>
        <w:bidi w:val="0"/>
        <w:adjustRightInd w:val="0"/>
        <w:snapToGrid w:val="0"/>
        <w:spacing w:before="0" w:after="0" w:line="360" w:lineRule="auto"/>
        <w:ind w:left="0" w:leftChars="0" w:right="0" w:rightChars="0" w:firstLine="552" w:firstLineChars="200"/>
        <w:jc w:val="left"/>
        <w:textAlignment w:val="auto"/>
        <w:rPr>
          <w:rFonts w:ascii="Times New Roman" w:hAnsi="Times New Roman" w:eastAsia="宋体" w:cs="Times New Roman"/>
          <w:sz w:val="28"/>
          <w:szCs w:val="22"/>
          <w:lang w:val="zh-CN" w:eastAsia="zh-CN" w:bidi="zh-CN"/>
        </w:rPr>
      </w:pPr>
      <w:r>
        <w:rPr>
          <w:rFonts w:hint="eastAsia" w:ascii="Times New Roman" w:hAnsi="Times New Roman" w:eastAsia="宋体" w:cs="Times New Roman"/>
          <w:spacing w:val="-2"/>
          <w:sz w:val="28"/>
          <w:szCs w:val="22"/>
          <w:lang w:val="zh-CN" w:eastAsia="zh-CN" w:bidi="zh-CN"/>
        </w:rPr>
        <w:t>（</w:t>
      </w:r>
      <w:r>
        <w:rPr>
          <w:rFonts w:hint="eastAsia" w:ascii="Times New Roman" w:hAnsi="Times New Roman" w:eastAsia="宋体" w:cs="Times New Roman"/>
          <w:spacing w:val="-2"/>
          <w:sz w:val="28"/>
          <w:szCs w:val="22"/>
          <w:lang w:val="en-US" w:eastAsia="zh-CN" w:bidi="zh-CN"/>
        </w:rPr>
        <w:t>7</w:t>
      </w:r>
      <w:r>
        <w:rPr>
          <w:rFonts w:hint="eastAsia" w:ascii="Times New Roman" w:hAnsi="Times New Roman" w:eastAsia="宋体" w:cs="Times New Roman"/>
          <w:spacing w:val="-2"/>
          <w:sz w:val="28"/>
          <w:szCs w:val="22"/>
          <w:lang w:val="zh-CN" w:eastAsia="zh-CN" w:bidi="zh-CN"/>
        </w:rPr>
        <w:t>）</w:t>
      </w:r>
      <w:r>
        <w:rPr>
          <w:rFonts w:ascii="Times New Roman" w:hAnsi="Times New Roman" w:eastAsia="宋体" w:cs="Times New Roman"/>
          <w:spacing w:val="-2"/>
          <w:sz w:val="28"/>
          <w:szCs w:val="22"/>
          <w:lang w:val="zh-CN" w:eastAsia="zh-CN" w:bidi="zh-CN"/>
        </w:rPr>
        <w:t>仪器仪表</w:t>
      </w:r>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right="0" w:firstLine="560" w:firstLineChars="200"/>
        <w:jc w:val="left"/>
        <w:textAlignment w:val="auto"/>
        <w:rPr>
          <w:rFonts w:ascii="Times New Roman" w:hAnsi="Times New Roman" w:eastAsia="宋体" w:cs="Times New Roman"/>
          <w:sz w:val="28"/>
          <w:szCs w:val="28"/>
          <w:lang w:val="zh-CN" w:eastAsia="zh-CN" w:bidi="zh-CN"/>
        </w:rPr>
      </w:pPr>
      <w:r>
        <w:rPr>
          <w:rFonts w:ascii="Times New Roman" w:hAnsi="Times New Roman" w:eastAsia="宋体" w:cs="Times New Roman"/>
          <w:sz w:val="28"/>
          <w:szCs w:val="28"/>
          <w:lang w:val="zh-CN" w:eastAsia="zh-CN" w:bidi="zh-CN"/>
        </w:rPr>
        <w:t>仪器仪表自身的危险有害性较小。主要危险来自仪器、仪表与电源连接时，接口接触不良有可能发生漏电，从而导致操作人员触电。</w:t>
      </w:r>
    </w:p>
    <w:p>
      <w:pPr>
        <w:keepNext w:val="0"/>
        <w:keepLines w:val="0"/>
        <w:pageBreakBefore w:val="0"/>
        <w:widowControl w:val="0"/>
        <w:numPr>
          <w:ilvl w:val="0"/>
          <w:numId w:val="0"/>
        </w:numPr>
        <w:tabs>
          <w:tab w:val="left" w:pos="1210"/>
        </w:tabs>
        <w:kinsoku/>
        <w:wordWrap/>
        <w:overflowPunct/>
        <w:topLinePunct w:val="0"/>
        <w:autoSpaceDE w:val="0"/>
        <w:autoSpaceDN w:val="0"/>
        <w:bidi w:val="0"/>
        <w:adjustRightInd w:val="0"/>
        <w:snapToGrid w:val="0"/>
        <w:spacing w:before="0" w:after="0" w:line="360" w:lineRule="auto"/>
        <w:ind w:left="0" w:leftChars="0" w:right="0" w:rightChars="0" w:firstLine="548" w:firstLineChars="200"/>
        <w:jc w:val="left"/>
        <w:textAlignment w:val="auto"/>
        <w:rPr>
          <w:rFonts w:ascii="Times New Roman" w:hAnsi="Times New Roman" w:eastAsia="宋体" w:cs="Times New Roman"/>
          <w:sz w:val="28"/>
          <w:szCs w:val="22"/>
          <w:lang w:val="zh-CN" w:eastAsia="zh-CN" w:bidi="zh-CN"/>
        </w:rPr>
      </w:pPr>
      <w:r>
        <w:rPr>
          <w:rFonts w:hint="eastAsia" w:ascii="Times New Roman" w:hAnsi="Times New Roman" w:eastAsia="宋体" w:cs="Times New Roman"/>
          <w:spacing w:val="-3"/>
          <w:sz w:val="28"/>
          <w:szCs w:val="22"/>
          <w:lang w:val="zh-CN" w:eastAsia="zh-CN" w:bidi="zh-CN"/>
        </w:rPr>
        <w:t>（</w:t>
      </w:r>
      <w:r>
        <w:rPr>
          <w:rFonts w:hint="eastAsia" w:ascii="Times New Roman" w:hAnsi="Times New Roman" w:eastAsia="宋体" w:cs="Times New Roman"/>
          <w:spacing w:val="-3"/>
          <w:sz w:val="28"/>
          <w:szCs w:val="22"/>
          <w:lang w:val="en-US" w:eastAsia="zh-CN" w:bidi="zh-CN"/>
        </w:rPr>
        <w:t>8</w:t>
      </w:r>
      <w:r>
        <w:rPr>
          <w:rFonts w:hint="eastAsia" w:ascii="Times New Roman" w:hAnsi="Times New Roman" w:eastAsia="宋体" w:cs="Times New Roman"/>
          <w:spacing w:val="-3"/>
          <w:sz w:val="28"/>
          <w:szCs w:val="22"/>
          <w:lang w:val="zh-CN" w:eastAsia="zh-CN" w:bidi="zh-CN"/>
        </w:rPr>
        <w:t>）</w:t>
      </w:r>
      <w:r>
        <w:rPr>
          <w:rFonts w:ascii="Times New Roman" w:hAnsi="Times New Roman" w:eastAsia="宋体" w:cs="Times New Roman"/>
          <w:spacing w:val="-3"/>
          <w:sz w:val="28"/>
          <w:szCs w:val="22"/>
          <w:lang w:val="zh-CN" w:eastAsia="zh-CN" w:bidi="zh-CN"/>
        </w:rPr>
        <w:t>传动系统</w:t>
      </w:r>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right="0" w:firstLine="560" w:firstLineChars="200"/>
        <w:jc w:val="left"/>
        <w:textAlignment w:val="auto"/>
        <w:rPr>
          <w:rFonts w:ascii="Times New Roman" w:hAnsi="Times New Roman" w:eastAsia="宋体" w:cs="Times New Roman"/>
          <w:sz w:val="28"/>
          <w:szCs w:val="28"/>
          <w:lang w:val="zh-CN" w:eastAsia="zh-CN" w:bidi="zh-CN"/>
        </w:rPr>
      </w:pPr>
      <w:r>
        <w:rPr>
          <w:rFonts w:ascii="Times New Roman" w:hAnsi="Times New Roman" w:eastAsia="宋体" w:cs="Times New Roman"/>
          <w:sz w:val="28"/>
          <w:szCs w:val="28"/>
          <w:lang w:val="zh-CN" w:eastAsia="zh-CN" w:bidi="zh-CN"/>
        </w:rPr>
        <w:t>传动系统齿轮、链条、锁、手柄等部件故障会有潜在钻探事故危险。传动部分护罩，防护栏杆等缺陷会有将人卷入、绞伤危险。</w:t>
      </w:r>
    </w:p>
    <w:p>
      <w:pPr>
        <w:keepNext w:val="0"/>
        <w:keepLines w:val="0"/>
        <w:pageBreakBefore w:val="0"/>
        <w:widowControl w:val="0"/>
        <w:numPr>
          <w:ilvl w:val="0"/>
          <w:numId w:val="0"/>
        </w:numPr>
        <w:tabs>
          <w:tab w:val="left" w:pos="1339"/>
        </w:tabs>
        <w:kinsoku/>
        <w:wordWrap/>
        <w:overflowPunct/>
        <w:topLinePunct w:val="0"/>
        <w:autoSpaceDE w:val="0"/>
        <w:autoSpaceDN w:val="0"/>
        <w:bidi w:val="0"/>
        <w:adjustRightInd w:val="0"/>
        <w:snapToGrid w:val="0"/>
        <w:spacing w:before="0" w:after="0" w:line="360" w:lineRule="auto"/>
        <w:ind w:left="0" w:leftChars="0" w:right="0" w:rightChars="0" w:firstLine="552" w:firstLineChars="200"/>
        <w:jc w:val="left"/>
        <w:textAlignment w:val="auto"/>
        <w:rPr>
          <w:rFonts w:ascii="Times New Roman" w:hAnsi="Times New Roman" w:eastAsia="宋体" w:cs="Times New Roman"/>
          <w:sz w:val="28"/>
          <w:szCs w:val="22"/>
          <w:lang w:val="zh-CN" w:eastAsia="zh-CN" w:bidi="zh-CN"/>
        </w:rPr>
      </w:pPr>
      <w:r>
        <w:rPr>
          <w:rFonts w:hint="eastAsia" w:ascii="Times New Roman" w:hAnsi="Times New Roman" w:eastAsia="宋体" w:cs="Times New Roman"/>
          <w:spacing w:val="-2"/>
          <w:sz w:val="28"/>
          <w:szCs w:val="22"/>
          <w:lang w:val="zh-CN" w:eastAsia="zh-CN" w:bidi="zh-CN"/>
        </w:rPr>
        <w:t>（</w:t>
      </w:r>
      <w:r>
        <w:rPr>
          <w:rFonts w:hint="eastAsia" w:ascii="Times New Roman" w:hAnsi="Times New Roman" w:eastAsia="宋体" w:cs="Times New Roman"/>
          <w:spacing w:val="-2"/>
          <w:sz w:val="28"/>
          <w:szCs w:val="22"/>
          <w:lang w:val="en-US" w:eastAsia="zh-CN" w:bidi="zh-CN"/>
        </w:rPr>
        <w:t>9</w:t>
      </w:r>
      <w:r>
        <w:rPr>
          <w:rFonts w:hint="eastAsia" w:ascii="Times New Roman" w:hAnsi="Times New Roman" w:eastAsia="宋体" w:cs="Times New Roman"/>
          <w:spacing w:val="-2"/>
          <w:sz w:val="28"/>
          <w:szCs w:val="22"/>
          <w:lang w:val="zh-CN" w:eastAsia="zh-CN" w:bidi="zh-CN"/>
        </w:rPr>
        <w:t>）</w:t>
      </w:r>
      <w:r>
        <w:rPr>
          <w:rFonts w:ascii="Times New Roman" w:hAnsi="Times New Roman" w:eastAsia="宋体" w:cs="Times New Roman"/>
          <w:spacing w:val="-2"/>
          <w:sz w:val="28"/>
          <w:szCs w:val="22"/>
          <w:lang w:val="zh-CN" w:eastAsia="zh-CN" w:bidi="zh-CN"/>
        </w:rPr>
        <w:t>施工车辆</w:t>
      </w:r>
    </w:p>
    <w:p>
      <w:pPr>
        <w:keepNext w:val="0"/>
        <w:keepLines w:val="0"/>
        <w:pageBreakBefore w:val="0"/>
        <w:widowControl w:val="0"/>
        <w:kinsoku/>
        <w:wordWrap/>
        <w:overflowPunct/>
        <w:topLinePunct w:val="0"/>
        <w:autoSpaceDE w:val="0"/>
        <w:autoSpaceDN w:val="0"/>
        <w:bidi w:val="0"/>
        <w:adjustRightInd w:val="0"/>
        <w:snapToGrid w:val="0"/>
        <w:spacing w:before="0" w:after="0" w:line="360" w:lineRule="auto"/>
        <w:ind w:left="0" w:right="0" w:firstLine="548" w:firstLineChars="200"/>
        <w:jc w:val="left"/>
        <w:textAlignment w:val="auto"/>
        <w:rPr>
          <w:rFonts w:ascii="Times New Roman" w:hAnsi="Times New Roman" w:eastAsia="宋体" w:cs="Times New Roman"/>
          <w:sz w:val="28"/>
          <w:szCs w:val="28"/>
          <w:lang w:val="zh-CN" w:eastAsia="zh-CN" w:bidi="zh-CN"/>
        </w:rPr>
      </w:pPr>
      <w:r>
        <w:rPr>
          <w:rFonts w:ascii="Times New Roman" w:hAnsi="Times New Roman" w:eastAsia="宋体" w:cs="Times New Roman"/>
          <w:spacing w:val="-3"/>
          <w:sz w:val="28"/>
          <w:szCs w:val="28"/>
          <w:lang w:val="zh-CN" w:eastAsia="zh-CN" w:bidi="zh-CN"/>
        </w:rPr>
        <w:t>因井场交通条件较差，道路曲折狭窄、路基不平或松软，施工现场地</w:t>
      </w:r>
      <w:r>
        <w:rPr>
          <w:rFonts w:ascii="Times New Roman" w:hAnsi="Times New Roman" w:eastAsia="宋体" w:cs="Times New Roman"/>
          <w:spacing w:val="-14"/>
          <w:sz w:val="28"/>
          <w:szCs w:val="28"/>
          <w:lang w:val="zh-CN" w:eastAsia="zh-CN" w:bidi="zh-CN"/>
        </w:rPr>
        <w:t>形高低不平或者场地受限，车辆在交通途中和作业现场都有可能发生翻车、</w:t>
      </w:r>
      <w:r>
        <w:rPr>
          <w:rFonts w:ascii="Times New Roman" w:hAnsi="Times New Roman" w:eastAsia="宋体" w:cs="Times New Roman"/>
          <w:spacing w:val="-5"/>
          <w:sz w:val="28"/>
          <w:szCs w:val="28"/>
          <w:lang w:val="zh-CN" w:eastAsia="zh-CN" w:bidi="zh-CN"/>
        </w:rPr>
        <w:t>车载物体坠落、停驶车辆意外前进或后退等车辆事故，会导致人员伤害或</w:t>
      </w:r>
      <w:r>
        <w:rPr>
          <w:rFonts w:ascii="Times New Roman" w:hAnsi="Times New Roman" w:eastAsia="宋体" w:cs="Times New Roman"/>
          <w:spacing w:val="-14"/>
          <w:sz w:val="28"/>
          <w:szCs w:val="28"/>
          <w:lang w:val="zh-CN" w:eastAsia="zh-CN" w:bidi="zh-CN"/>
        </w:rPr>
        <w:t>设备损毁。因此，驾驶人员不仅要具备在野外恶劣环境中的丰富驾驶经验，</w:t>
      </w:r>
      <w:r>
        <w:rPr>
          <w:rFonts w:ascii="Times New Roman" w:hAnsi="Times New Roman" w:eastAsia="宋体" w:cs="Times New Roman"/>
          <w:spacing w:val="-5"/>
          <w:sz w:val="28"/>
          <w:szCs w:val="28"/>
          <w:lang w:val="zh-CN" w:eastAsia="zh-CN" w:bidi="zh-CN"/>
        </w:rPr>
        <w:t>而且要经常检查车辆安全状况，装载时应注意配载均衡、紧固牢靠、不得</w:t>
      </w:r>
      <w:r>
        <w:rPr>
          <w:rFonts w:ascii="Times New Roman" w:hAnsi="Times New Roman" w:eastAsia="宋体" w:cs="Times New Roman"/>
          <w:spacing w:val="-3"/>
          <w:sz w:val="28"/>
          <w:szCs w:val="28"/>
          <w:lang w:val="zh-CN" w:eastAsia="zh-CN" w:bidi="zh-CN"/>
        </w:rPr>
        <w:t>超载。</w:t>
      </w:r>
    </w:p>
    <w:p>
      <w:pPr>
        <w:keepNext w:val="0"/>
        <w:keepLines w:val="0"/>
        <w:pageBreakBefore w:val="0"/>
        <w:widowControl w:val="0"/>
        <w:numPr>
          <w:ilvl w:val="0"/>
          <w:numId w:val="0"/>
        </w:numPr>
        <w:tabs>
          <w:tab w:val="left" w:pos="1349"/>
        </w:tabs>
        <w:kinsoku/>
        <w:wordWrap/>
        <w:overflowPunct/>
        <w:topLinePunct w:val="0"/>
        <w:autoSpaceDE w:val="0"/>
        <w:autoSpaceDN w:val="0"/>
        <w:bidi w:val="0"/>
        <w:adjustRightInd w:val="0"/>
        <w:snapToGrid w:val="0"/>
        <w:spacing w:before="0" w:after="0" w:line="360" w:lineRule="auto"/>
        <w:ind w:left="0" w:leftChars="0" w:right="0" w:rightChars="0" w:firstLine="548" w:firstLineChars="200"/>
        <w:jc w:val="left"/>
        <w:textAlignment w:val="auto"/>
        <w:rPr>
          <w:rFonts w:ascii="Times New Roman" w:hAnsi="Times New Roman" w:eastAsia="宋体" w:cs="Times New Roman"/>
          <w:sz w:val="28"/>
          <w:szCs w:val="22"/>
          <w:lang w:val="zh-CN" w:eastAsia="zh-CN" w:bidi="zh-CN"/>
        </w:rPr>
      </w:pPr>
      <w:r>
        <w:rPr>
          <w:rFonts w:hint="eastAsia" w:ascii="Times New Roman" w:hAnsi="Times New Roman" w:eastAsia="宋体" w:cs="Times New Roman"/>
          <w:spacing w:val="-3"/>
          <w:sz w:val="28"/>
          <w:szCs w:val="22"/>
          <w:lang w:val="zh-CN" w:eastAsia="zh-CN" w:bidi="zh-CN"/>
        </w:rPr>
        <w:t>（</w:t>
      </w:r>
      <w:r>
        <w:rPr>
          <w:rFonts w:hint="eastAsia" w:ascii="Times New Roman" w:hAnsi="Times New Roman" w:eastAsia="宋体" w:cs="Times New Roman"/>
          <w:spacing w:val="-3"/>
          <w:sz w:val="28"/>
          <w:szCs w:val="22"/>
          <w:lang w:val="en-US" w:eastAsia="zh-CN" w:bidi="zh-CN"/>
        </w:rPr>
        <w:t>10</w:t>
      </w:r>
      <w:r>
        <w:rPr>
          <w:rFonts w:hint="eastAsia" w:ascii="Times New Roman" w:hAnsi="Times New Roman" w:eastAsia="宋体" w:cs="Times New Roman"/>
          <w:spacing w:val="-3"/>
          <w:sz w:val="28"/>
          <w:szCs w:val="22"/>
          <w:lang w:val="zh-CN" w:eastAsia="zh-CN" w:bidi="zh-CN"/>
        </w:rPr>
        <w:t>）</w:t>
      </w:r>
      <w:r>
        <w:rPr>
          <w:rFonts w:ascii="Times New Roman" w:hAnsi="Times New Roman" w:eastAsia="宋体" w:cs="Times New Roman"/>
          <w:spacing w:val="-3"/>
          <w:sz w:val="28"/>
          <w:szCs w:val="22"/>
          <w:lang w:val="zh-CN" w:eastAsia="zh-CN" w:bidi="zh-CN"/>
        </w:rPr>
        <w:t>柴油发电机</w:t>
      </w:r>
    </w:p>
    <w:p>
      <w:pPr>
        <w:keepNext w:val="0"/>
        <w:keepLines w:val="0"/>
        <w:pageBreakBefore w:val="0"/>
        <w:widowControl w:val="0"/>
        <w:numPr>
          <w:ilvl w:val="0"/>
          <w:numId w:val="0"/>
        </w:numPr>
        <w:tabs>
          <w:tab w:val="left" w:pos="1490"/>
        </w:tabs>
        <w:kinsoku/>
        <w:wordWrap/>
        <w:overflowPunct/>
        <w:topLinePunct w:val="0"/>
        <w:autoSpaceDE w:val="0"/>
        <w:autoSpaceDN w:val="0"/>
        <w:bidi w:val="0"/>
        <w:adjustRightInd w:val="0"/>
        <w:snapToGrid w:val="0"/>
        <w:spacing w:before="0" w:after="0" w:line="360" w:lineRule="auto"/>
        <w:ind w:left="0" w:leftChars="0" w:right="0" w:rightChars="0" w:firstLine="532" w:firstLineChars="200"/>
        <w:jc w:val="left"/>
        <w:textAlignment w:val="auto"/>
        <w:rPr>
          <w:rFonts w:ascii="Times New Roman" w:hAnsi="Times New Roman" w:eastAsia="宋体" w:cs="Times New Roman"/>
          <w:sz w:val="28"/>
          <w:szCs w:val="22"/>
          <w:lang w:val="zh-CN" w:eastAsia="zh-CN" w:bidi="zh-CN"/>
        </w:rPr>
      </w:pPr>
      <w:r>
        <w:rPr>
          <w:rFonts w:hint="eastAsia" w:ascii="Times New Roman" w:hAnsi="Times New Roman" w:eastAsia="宋体" w:cs="Times New Roman"/>
          <w:spacing w:val="-7"/>
          <w:kern w:val="2"/>
          <w:sz w:val="28"/>
          <w:szCs w:val="22"/>
          <w:lang w:val="zh-CN" w:eastAsia="zh-CN" w:bidi="zh-CN"/>
        </w:rPr>
        <w:t>①</w:t>
      </w:r>
      <w:r>
        <w:rPr>
          <w:rFonts w:ascii="Times New Roman" w:hAnsi="Times New Roman" w:eastAsia="宋体" w:cs="Times New Roman"/>
          <w:spacing w:val="-8"/>
          <w:sz w:val="28"/>
          <w:szCs w:val="22"/>
          <w:lang w:val="zh-CN" w:eastAsia="zh-CN" w:bidi="zh-CN"/>
        </w:rPr>
        <w:t>柴油发电机组未做到可靠接地，或者未使用绝缘工具进行带电</w:t>
      </w:r>
      <w:r>
        <w:rPr>
          <w:rFonts w:ascii="Times New Roman" w:hAnsi="Times New Roman" w:eastAsia="宋体" w:cs="Times New Roman"/>
          <w:spacing w:val="-5"/>
          <w:sz w:val="28"/>
          <w:szCs w:val="22"/>
          <w:lang w:val="zh-CN" w:eastAsia="zh-CN" w:bidi="zh-CN"/>
        </w:rPr>
        <w:t>设备的检修，或是在潮湿的环境下有触电危险发生。</w:t>
      </w:r>
    </w:p>
    <w:p>
      <w:pPr>
        <w:keepNext w:val="0"/>
        <w:keepLines w:val="0"/>
        <w:pageBreakBefore w:val="0"/>
        <w:widowControl w:val="0"/>
        <w:numPr>
          <w:ilvl w:val="0"/>
          <w:numId w:val="0"/>
        </w:numPr>
        <w:tabs>
          <w:tab w:val="left" w:pos="1490"/>
        </w:tabs>
        <w:kinsoku/>
        <w:wordWrap/>
        <w:overflowPunct/>
        <w:topLinePunct w:val="0"/>
        <w:autoSpaceDE w:val="0"/>
        <w:autoSpaceDN w:val="0"/>
        <w:bidi w:val="0"/>
        <w:adjustRightInd w:val="0"/>
        <w:snapToGrid w:val="0"/>
        <w:spacing w:before="0" w:after="0" w:line="360" w:lineRule="auto"/>
        <w:ind w:left="0" w:leftChars="0" w:right="0" w:rightChars="0" w:firstLine="532" w:firstLineChars="200"/>
        <w:jc w:val="left"/>
        <w:textAlignment w:val="auto"/>
        <w:rPr>
          <w:rFonts w:ascii="Times New Roman" w:hAnsi="Times New Roman" w:eastAsia="宋体" w:cs="Times New Roman"/>
          <w:sz w:val="28"/>
          <w:szCs w:val="22"/>
          <w:lang w:val="zh-CN" w:eastAsia="zh-CN" w:bidi="zh-CN"/>
        </w:rPr>
      </w:pPr>
      <w:r>
        <w:rPr>
          <w:rFonts w:hint="eastAsia" w:ascii="Times New Roman" w:hAnsi="Times New Roman" w:eastAsia="宋体" w:cs="Times New Roman"/>
          <w:spacing w:val="-7"/>
          <w:kern w:val="2"/>
          <w:sz w:val="28"/>
          <w:szCs w:val="22"/>
          <w:lang w:val="zh-CN" w:eastAsia="zh-CN" w:bidi="zh-CN"/>
        </w:rPr>
        <w:t>②</w:t>
      </w:r>
      <w:r>
        <w:rPr>
          <w:rFonts w:ascii="Times New Roman" w:hAnsi="Times New Roman" w:eastAsia="宋体" w:cs="Times New Roman"/>
          <w:spacing w:val="-9"/>
          <w:sz w:val="28"/>
          <w:szCs w:val="22"/>
          <w:lang w:val="zh-CN" w:eastAsia="zh-CN" w:bidi="zh-CN"/>
        </w:rPr>
        <w:t>当柴油发电机房内有废气时，发电机房通风不畅，人员进入可</w:t>
      </w:r>
      <w:r>
        <w:rPr>
          <w:rFonts w:ascii="Times New Roman" w:hAnsi="Times New Roman" w:eastAsia="宋体" w:cs="Times New Roman"/>
          <w:spacing w:val="-3"/>
          <w:sz w:val="28"/>
          <w:szCs w:val="22"/>
          <w:lang w:val="zh-CN" w:eastAsia="zh-CN" w:bidi="zh-CN"/>
        </w:rPr>
        <w:t>能导致一氧化碳中毒。</w:t>
      </w:r>
    </w:p>
    <w:p>
      <w:pPr>
        <w:keepNext w:val="0"/>
        <w:keepLines w:val="0"/>
        <w:pageBreakBefore w:val="0"/>
        <w:widowControl w:val="0"/>
        <w:numPr>
          <w:ilvl w:val="0"/>
          <w:numId w:val="0"/>
        </w:numPr>
        <w:tabs>
          <w:tab w:val="left" w:pos="1490"/>
        </w:tabs>
        <w:kinsoku/>
        <w:wordWrap/>
        <w:overflowPunct/>
        <w:topLinePunct w:val="0"/>
        <w:autoSpaceDE w:val="0"/>
        <w:autoSpaceDN w:val="0"/>
        <w:bidi w:val="0"/>
        <w:adjustRightInd w:val="0"/>
        <w:snapToGrid w:val="0"/>
        <w:spacing w:before="0" w:after="0" w:line="360" w:lineRule="auto"/>
        <w:ind w:left="0" w:leftChars="0" w:right="0" w:rightChars="0" w:firstLine="532" w:firstLineChars="200"/>
        <w:jc w:val="left"/>
        <w:textAlignment w:val="auto"/>
        <w:rPr>
          <w:rFonts w:ascii="Times New Roman" w:hAnsi="Times New Roman" w:eastAsia="宋体" w:cs="Times New Roman"/>
          <w:sz w:val="28"/>
          <w:szCs w:val="22"/>
          <w:lang w:val="zh-CN" w:eastAsia="zh-CN" w:bidi="zh-CN"/>
        </w:rPr>
      </w:pPr>
      <w:r>
        <w:rPr>
          <w:rFonts w:hint="eastAsia" w:ascii="Times New Roman" w:hAnsi="Times New Roman" w:eastAsia="宋体" w:cs="Times New Roman"/>
          <w:spacing w:val="-7"/>
          <w:kern w:val="2"/>
          <w:sz w:val="28"/>
          <w:szCs w:val="22"/>
          <w:lang w:val="zh-CN" w:eastAsia="zh-CN" w:bidi="zh-CN"/>
        </w:rPr>
        <w:t>③</w:t>
      </w:r>
      <w:r>
        <w:rPr>
          <w:rFonts w:ascii="Times New Roman" w:hAnsi="Times New Roman" w:eastAsia="宋体" w:cs="Times New Roman"/>
          <w:spacing w:val="-3"/>
          <w:sz w:val="28"/>
          <w:szCs w:val="22"/>
          <w:lang w:val="zh-CN" w:eastAsia="zh-CN" w:bidi="zh-CN"/>
        </w:rPr>
        <w:t>在有爆炸物危险的地方使用发电机组。</w:t>
      </w:r>
    </w:p>
    <w:p>
      <w:pPr>
        <w:keepNext w:val="0"/>
        <w:keepLines w:val="0"/>
        <w:pageBreakBefore w:val="0"/>
        <w:widowControl w:val="0"/>
        <w:numPr>
          <w:ilvl w:val="0"/>
          <w:numId w:val="0"/>
        </w:numPr>
        <w:tabs>
          <w:tab w:val="left" w:pos="1490"/>
        </w:tabs>
        <w:kinsoku/>
        <w:wordWrap/>
        <w:overflowPunct/>
        <w:topLinePunct w:val="0"/>
        <w:autoSpaceDE w:val="0"/>
        <w:autoSpaceDN w:val="0"/>
        <w:bidi w:val="0"/>
        <w:adjustRightInd w:val="0"/>
        <w:snapToGrid w:val="0"/>
        <w:spacing w:before="0" w:after="0" w:line="360" w:lineRule="auto"/>
        <w:ind w:left="0" w:leftChars="0" w:right="0" w:rightChars="0" w:firstLine="532" w:firstLineChars="200"/>
        <w:jc w:val="left"/>
        <w:textAlignment w:val="auto"/>
        <w:rPr>
          <w:rFonts w:ascii="Times New Roman" w:hAnsi="Times New Roman" w:eastAsia="宋体" w:cs="Times New Roman"/>
          <w:sz w:val="28"/>
          <w:szCs w:val="22"/>
          <w:lang w:val="zh-CN" w:eastAsia="zh-CN" w:bidi="zh-CN"/>
        </w:rPr>
      </w:pPr>
      <w:r>
        <w:rPr>
          <w:rFonts w:hint="eastAsia" w:ascii="Times New Roman" w:hAnsi="Times New Roman" w:eastAsia="宋体" w:cs="Times New Roman"/>
          <w:spacing w:val="-7"/>
          <w:kern w:val="2"/>
          <w:sz w:val="28"/>
          <w:szCs w:val="22"/>
          <w:lang w:val="zh-CN" w:eastAsia="zh-CN" w:bidi="zh-CN"/>
        </w:rPr>
        <w:t>④</w:t>
      </w:r>
      <w:r>
        <w:rPr>
          <w:rFonts w:ascii="Times New Roman" w:hAnsi="Times New Roman" w:eastAsia="宋体" w:cs="Times New Roman"/>
          <w:spacing w:val="-11"/>
          <w:sz w:val="28"/>
          <w:szCs w:val="22"/>
          <w:lang w:val="zh-CN" w:eastAsia="zh-CN" w:bidi="zh-CN"/>
        </w:rPr>
        <w:t>靠近运转的柴油发电机，宽松的衣服、头发和坠落的工具会可</w:t>
      </w:r>
      <w:r>
        <w:rPr>
          <w:rFonts w:ascii="Times New Roman" w:hAnsi="Times New Roman" w:eastAsia="宋体" w:cs="Times New Roman"/>
          <w:spacing w:val="-6"/>
          <w:sz w:val="28"/>
          <w:szCs w:val="22"/>
          <w:lang w:val="zh-CN" w:eastAsia="zh-CN" w:bidi="zh-CN"/>
        </w:rPr>
        <w:t>能会造成人身及设备的重大事故。</w:t>
      </w:r>
    </w:p>
    <w:p>
      <w:pPr>
        <w:keepNext w:val="0"/>
        <w:keepLines w:val="0"/>
        <w:pageBreakBefore w:val="0"/>
        <w:widowControl w:val="0"/>
        <w:numPr>
          <w:ilvl w:val="0"/>
          <w:numId w:val="0"/>
        </w:numPr>
        <w:tabs>
          <w:tab w:val="left" w:pos="1490"/>
        </w:tabs>
        <w:kinsoku/>
        <w:wordWrap/>
        <w:overflowPunct/>
        <w:topLinePunct w:val="0"/>
        <w:autoSpaceDE w:val="0"/>
        <w:autoSpaceDN w:val="0"/>
        <w:bidi w:val="0"/>
        <w:adjustRightInd w:val="0"/>
        <w:snapToGrid w:val="0"/>
        <w:spacing w:before="0" w:after="0" w:line="360" w:lineRule="auto"/>
        <w:ind w:left="0" w:leftChars="0" w:right="0" w:rightChars="0" w:firstLine="532" w:firstLineChars="200"/>
        <w:jc w:val="left"/>
        <w:textAlignment w:val="auto"/>
        <w:rPr>
          <w:rFonts w:ascii="Times New Roman" w:hAnsi="Times New Roman" w:eastAsia="宋体" w:cs="Times New Roman"/>
          <w:sz w:val="28"/>
          <w:szCs w:val="28"/>
          <w:lang w:val="zh-CN" w:eastAsia="zh-CN" w:bidi="zh-CN"/>
        </w:rPr>
      </w:pPr>
      <w:r>
        <w:rPr>
          <w:rFonts w:hint="eastAsia" w:ascii="Times New Roman" w:hAnsi="Times New Roman" w:eastAsia="宋体" w:cs="Times New Roman"/>
          <w:spacing w:val="-7"/>
          <w:kern w:val="2"/>
          <w:sz w:val="28"/>
          <w:szCs w:val="22"/>
          <w:lang w:val="zh-CN" w:eastAsia="zh-CN" w:bidi="zh-CN"/>
        </w:rPr>
        <w:t>⑤</w:t>
      </w:r>
      <w:r>
        <w:rPr>
          <w:rFonts w:ascii="Times New Roman" w:hAnsi="Times New Roman" w:eastAsia="宋体" w:cs="Times New Roman"/>
          <w:spacing w:val="-3"/>
          <w:sz w:val="28"/>
          <w:szCs w:val="22"/>
          <w:lang w:val="zh-CN" w:eastAsia="zh-CN" w:bidi="zh-CN"/>
        </w:rPr>
        <w:t>运行中的柴油发电机组，部分裸露的管道和部件处于高温状态，</w:t>
      </w:r>
      <w:r>
        <w:rPr>
          <w:rFonts w:ascii="Times New Roman" w:hAnsi="Times New Roman" w:eastAsia="宋体" w:cs="Times New Roman"/>
          <w:sz w:val="28"/>
          <w:szCs w:val="28"/>
          <w:lang w:val="zh-CN" w:eastAsia="zh-CN" w:bidi="zh-CN"/>
        </w:rPr>
        <w:t>人员触摸可能会导致灼伤。</w:t>
      </w:r>
    </w:p>
    <w:p>
      <w:pPr>
        <w:keepNext w:val="0"/>
        <w:keepLines w:val="0"/>
        <w:pageBreakBefore w:val="0"/>
        <w:widowControl w:val="0"/>
        <w:numPr>
          <w:ilvl w:val="0"/>
          <w:numId w:val="0"/>
        </w:numPr>
        <w:tabs>
          <w:tab w:val="left" w:pos="1490"/>
        </w:tabs>
        <w:kinsoku/>
        <w:wordWrap/>
        <w:overflowPunct/>
        <w:topLinePunct w:val="0"/>
        <w:autoSpaceDE w:val="0"/>
        <w:autoSpaceDN w:val="0"/>
        <w:bidi w:val="0"/>
        <w:adjustRightInd w:val="0"/>
        <w:snapToGrid w:val="0"/>
        <w:spacing w:before="0" w:after="0" w:line="360" w:lineRule="auto"/>
        <w:ind w:left="0" w:leftChars="0" w:right="0" w:rightChars="0" w:firstLine="532" w:firstLineChars="200"/>
        <w:jc w:val="left"/>
        <w:textAlignment w:val="auto"/>
        <w:rPr>
          <w:rFonts w:ascii="Times New Roman" w:hAnsi="Times New Roman" w:eastAsia="宋体" w:cs="Times New Roman"/>
          <w:sz w:val="28"/>
          <w:szCs w:val="22"/>
          <w:lang w:val="zh-CN" w:eastAsia="zh-CN" w:bidi="zh-CN"/>
        </w:rPr>
      </w:pPr>
      <w:r>
        <w:rPr>
          <w:rFonts w:hint="eastAsia" w:ascii="Times New Roman" w:hAnsi="Times New Roman" w:eastAsia="宋体" w:cs="Times New Roman"/>
          <w:spacing w:val="-7"/>
          <w:kern w:val="2"/>
          <w:sz w:val="28"/>
          <w:szCs w:val="22"/>
          <w:lang w:val="zh-CN" w:eastAsia="zh-CN" w:bidi="zh-CN"/>
        </w:rPr>
        <w:t>⑥</w:t>
      </w:r>
      <w:r>
        <w:rPr>
          <w:rFonts w:ascii="Times New Roman" w:hAnsi="Times New Roman" w:eastAsia="宋体" w:cs="Times New Roman"/>
          <w:spacing w:val="-10"/>
          <w:sz w:val="28"/>
          <w:szCs w:val="22"/>
          <w:lang w:val="zh-CN" w:eastAsia="zh-CN" w:bidi="zh-CN"/>
        </w:rPr>
        <w:t>金属物品将导致电线短路，可引发火灾隐患。柴油发电机上如</w:t>
      </w:r>
      <w:r>
        <w:rPr>
          <w:rFonts w:ascii="Times New Roman" w:hAnsi="Times New Roman" w:eastAsia="宋体" w:cs="Times New Roman"/>
          <w:spacing w:val="-5"/>
          <w:sz w:val="28"/>
          <w:szCs w:val="22"/>
          <w:lang w:val="zh-CN" w:eastAsia="zh-CN" w:bidi="zh-CN"/>
        </w:rPr>
        <w:t>果有过量的油污有可能引发机体过热所造成损坏及火灾发生。</w:t>
      </w:r>
    </w:p>
    <w:p>
      <w:pPr>
        <w:keepNext w:val="0"/>
        <w:keepLines w:val="0"/>
        <w:pageBreakBefore w:val="0"/>
        <w:widowControl w:val="0"/>
        <w:numPr>
          <w:ilvl w:val="0"/>
          <w:numId w:val="0"/>
        </w:numPr>
        <w:tabs>
          <w:tab w:val="left" w:pos="1490"/>
        </w:tabs>
        <w:kinsoku/>
        <w:wordWrap/>
        <w:overflowPunct/>
        <w:topLinePunct w:val="0"/>
        <w:autoSpaceDE w:val="0"/>
        <w:autoSpaceDN w:val="0"/>
        <w:bidi w:val="0"/>
        <w:adjustRightInd w:val="0"/>
        <w:snapToGrid w:val="0"/>
        <w:spacing w:before="0" w:after="0" w:line="360" w:lineRule="auto"/>
        <w:ind w:left="0" w:leftChars="0" w:right="0" w:rightChars="0" w:firstLine="532" w:firstLineChars="200"/>
        <w:jc w:val="left"/>
        <w:textAlignment w:val="auto"/>
        <w:rPr>
          <w:rFonts w:ascii="Times New Roman" w:hAnsi="Times New Roman" w:eastAsia="宋体" w:cs="Times New Roman"/>
          <w:sz w:val="28"/>
          <w:szCs w:val="22"/>
          <w:lang w:val="zh-CN" w:eastAsia="zh-CN" w:bidi="zh-CN"/>
        </w:rPr>
      </w:pPr>
      <w:r>
        <w:rPr>
          <w:rFonts w:hint="default" w:ascii="Times New Roman" w:hAnsi="Times New Roman" w:eastAsia="宋体" w:cs="Times New Roman"/>
          <w:spacing w:val="-7"/>
          <w:sz w:val="28"/>
          <w:szCs w:val="22"/>
          <w:lang w:val="zh-CN" w:eastAsia="zh-CN" w:bidi="zh-CN"/>
        </w:rPr>
        <w:t>⑦</w:t>
      </w:r>
      <w:r>
        <w:rPr>
          <w:rFonts w:ascii="Times New Roman" w:hAnsi="Times New Roman" w:eastAsia="宋体" w:cs="Times New Roman"/>
          <w:spacing w:val="-7"/>
          <w:sz w:val="28"/>
          <w:szCs w:val="22"/>
          <w:lang w:val="zh-CN" w:eastAsia="zh-CN" w:bidi="zh-CN"/>
        </w:rPr>
        <w:t>铅酸电池的稀硫酸电解液有毒并具有腐蚀性，接触到皮肤会造</w:t>
      </w:r>
      <w:r>
        <w:rPr>
          <w:rFonts w:ascii="Times New Roman" w:hAnsi="Times New Roman" w:eastAsia="宋体" w:cs="Times New Roman"/>
          <w:spacing w:val="-5"/>
          <w:sz w:val="28"/>
          <w:szCs w:val="22"/>
          <w:lang w:val="zh-CN" w:eastAsia="zh-CN" w:bidi="zh-CN"/>
        </w:rPr>
        <w:t>成灼伤。</w:t>
      </w:r>
    </w:p>
    <w:p>
      <w:pPr>
        <w:pStyle w:val="4"/>
        <w:keepNext/>
        <w:keepLines/>
        <w:pageBreakBefore w:val="0"/>
        <w:widowControl w:val="0"/>
        <w:kinsoku/>
        <w:wordWrap/>
        <w:overflowPunct/>
        <w:topLinePunct w:val="0"/>
        <w:autoSpaceDE/>
        <w:autoSpaceDN/>
        <w:bidi w:val="0"/>
        <w:adjustRightInd w:val="0"/>
        <w:snapToGrid w:val="0"/>
        <w:spacing w:beforeLines="0"/>
        <w:textAlignment w:val="auto"/>
        <w:rPr>
          <w:sz w:val="32"/>
          <w:szCs w:val="32"/>
        </w:rPr>
      </w:pPr>
      <w:bookmarkStart w:id="103" w:name="_Toc10836"/>
      <w:r>
        <w:rPr>
          <w:b w:val="0"/>
          <w:bCs w:val="0"/>
          <w:sz w:val="32"/>
          <w:szCs w:val="32"/>
        </w:rPr>
        <w:t>3.</w:t>
      </w:r>
      <w:r>
        <w:rPr>
          <w:rFonts w:hint="eastAsia"/>
          <w:b w:val="0"/>
          <w:bCs w:val="0"/>
          <w:sz w:val="32"/>
          <w:szCs w:val="32"/>
          <w:lang w:val="en-US" w:eastAsia="zh-CN"/>
        </w:rPr>
        <w:t>8</w:t>
      </w:r>
      <w:r>
        <w:rPr>
          <w:sz w:val="32"/>
          <w:szCs w:val="32"/>
        </w:rPr>
        <w:t xml:space="preserve"> </w:t>
      </w:r>
      <w:bookmarkStart w:id="104" w:name="_Toc316046833"/>
      <w:bookmarkStart w:id="105" w:name="_Toc378432328"/>
      <w:r>
        <w:rPr>
          <w:rFonts w:hint="eastAsia"/>
          <w:sz w:val="32"/>
          <w:szCs w:val="32"/>
        </w:rPr>
        <w:t xml:space="preserve"> </w:t>
      </w:r>
      <w:r>
        <w:rPr>
          <w:rFonts w:hint="eastAsia" w:ascii="黑体" w:hAnsi="黑体" w:eastAsia="黑体" w:cs="黑体"/>
          <w:b w:val="0"/>
          <w:bCs w:val="0"/>
          <w:sz w:val="32"/>
          <w:szCs w:val="32"/>
        </w:rPr>
        <w:t>自然环境影响因素分析</w:t>
      </w:r>
      <w:bookmarkEnd w:id="102"/>
      <w:bookmarkEnd w:id="103"/>
      <w:bookmarkEnd w:id="104"/>
      <w:bookmarkEnd w:id="105"/>
    </w:p>
    <w:p>
      <w:pPr>
        <w:ind w:firstLine="560"/>
      </w:pPr>
      <w:r>
        <w:t>无论是平原、山区、沙漠，石油作业队伍长年处于野外作业环境中，易受到自然灾害如：雷电、大风、雨、汛、山洪、大雪、寒冷、高温酷暑等的侵袭，发生一些灾害性的事故。此外施工作业流动性大，长距离的流动可能造成人员水土不服、气候不适等。</w:t>
      </w:r>
    </w:p>
    <w:p>
      <w:pPr>
        <w:ind w:firstLine="560"/>
        <w:rPr>
          <w:snapToGrid w:val="0"/>
          <w:kern w:val="0"/>
        </w:rPr>
      </w:pPr>
      <w:r>
        <w:rPr>
          <w:snapToGrid w:val="0"/>
          <w:kern w:val="0"/>
        </w:rPr>
        <w:t>对本项目施工影响较大的自然灾害有：雷击、地震、洪涝灾害、大风和高温、低温等。</w:t>
      </w:r>
    </w:p>
    <w:p>
      <w:pPr>
        <w:pStyle w:val="5"/>
        <w:rPr>
          <w:b w:val="0"/>
          <w:bCs w:val="0"/>
        </w:rPr>
      </w:pPr>
      <w:r>
        <w:rPr>
          <w:b w:val="0"/>
          <w:bCs w:val="0"/>
        </w:rPr>
        <w:t>3.</w:t>
      </w:r>
      <w:r>
        <w:rPr>
          <w:rFonts w:hint="eastAsia"/>
          <w:b w:val="0"/>
          <w:bCs w:val="0"/>
          <w:lang w:val="en-US" w:eastAsia="zh-CN"/>
        </w:rPr>
        <w:t>8</w:t>
      </w:r>
      <w:r>
        <w:rPr>
          <w:b w:val="0"/>
          <w:bCs w:val="0"/>
        </w:rPr>
        <w:t xml:space="preserve">.1 </w:t>
      </w:r>
      <w:r>
        <w:rPr>
          <w:rFonts w:hint="eastAsia"/>
          <w:b w:val="0"/>
          <w:bCs w:val="0"/>
        </w:rPr>
        <w:t xml:space="preserve"> </w:t>
      </w:r>
      <w:r>
        <w:rPr>
          <w:rFonts w:hint="eastAsia" w:ascii="黑体" w:hAnsi="黑体" w:eastAsia="黑体" w:cs="黑体"/>
          <w:b w:val="0"/>
          <w:bCs w:val="0"/>
        </w:rPr>
        <w:t>雷击</w:t>
      </w:r>
    </w:p>
    <w:p>
      <w:pPr>
        <w:ind w:firstLine="560"/>
        <w:rPr>
          <w:snapToGrid w:val="0"/>
          <w:kern w:val="0"/>
        </w:rPr>
      </w:pPr>
      <w:r>
        <w:rPr>
          <w:snapToGrid w:val="0"/>
          <w:kern w:val="0"/>
        </w:rPr>
        <w:t>雷电是大自然中的静电放电现象，建构筑物（如井架）、输变电线路和变配电装置等设施及设备遭到雷电袭击时，会产生极高的电压和极大的电流，在其波及的范围内，可能造成设备或设施的损坏，直接或间接地造成人员伤亡，引发火灾、爆炸事故的发生。</w:t>
      </w:r>
    </w:p>
    <w:p>
      <w:pPr>
        <w:pStyle w:val="5"/>
      </w:pPr>
      <w:r>
        <w:rPr>
          <w:b w:val="0"/>
          <w:bCs w:val="0"/>
        </w:rPr>
        <w:t>3.</w:t>
      </w:r>
      <w:r>
        <w:rPr>
          <w:rFonts w:hint="eastAsia"/>
          <w:b w:val="0"/>
          <w:bCs w:val="0"/>
          <w:lang w:val="en-US" w:eastAsia="zh-CN"/>
        </w:rPr>
        <w:t>8</w:t>
      </w:r>
      <w:r>
        <w:rPr>
          <w:b w:val="0"/>
          <w:bCs w:val="0"/>
        </w:rPr>
        <w:t xml:space="preserve">.2 </w:t>
      </w:r>
      <w:r>
        <w:rPr>
          <w:rFonts w:hint="eastAsia"/>
          <w:b w:val="0"/>
          <w:bCs w:val="0"/>
        </w:rPr>
        <w:t xml:space="preserve"> </w:t>
      </w:r>
      <w:r>
        <w:rPr>
          <w:rFonts w:hint="eastAsia" w:ascii="黑体" w:hAnsi="黑体" w:eastAsia="黑体" w:cs="黑体"/>
          <w:b w:val="0"/>
          <w:bCs w:val="0"/>
        </w:rPr>
        <w:t>地震</w:t>
      </w:r>
    </w:p>
    <w:p>
      <w:pPr>
        <w:ind w:firstLine="560"/>
        <w:rPr>
          <w:snapToGrid w:val="0"/>
          <w:kern w:val="0"/>
        </w:rPr>
      </w:pPr>
      <w:r>
        <w:rPr>
          <w:snapToGrid w:val="0"/>
          <w:kern w:val="0"/>
        </w:rPr>
        <w:t>地震是地球内部突然发生的一系列弹性波，具有突发性和难以预报的特点，地震产生的强烈振动除可直接导致建构筑物倒塌、电杆折断、容器管道破裂、火灾爆炸之外，还会伴随出现海啸、断层、地裂、山崩、滑坡及地面隆起和下沉现象。对石油工业生产来说，地震会造成钻机倾覆、油（气）井毁坏、管道及阀件断裂等震害，同时还往往伴随火灾、爆炸等严重的二次灾害的发生。</w:t>
      </w:r>
    </w:p>
    <w:p>
      <w:pPr>
        <w:pStyle w:val="5"/>
        <w:rPr>
          <w:rFonts w:hint="eastAsia" w:ascii="黑体" w:hAnsi="黑体" w:eastAsia="黑体" w:cs="黑体"/>
        </w:rPr>
      </w:pPr>
      <w:r>
        <w:rPr>
          <w:b w:val="0"/>
          <w:bCs w:val="0"/>
        </w:rPr>
        <w:t>3.</w:t>
      </w:r>
      <w:r>
        <w:rPr>
          <w:rFonts w:hint="eastAsia"/>
          <w:b w:val="0"/>
          <w:bCs w:val="0"/>
          <w:lang w:val="en-US" w:eastAsia="zh-CN"/>
        </w:rPr>
        <w:t>8</w:t>
      </w:r>
      <w:r>
        <w:rPr>
          <w:b w:val="0"/>
          <w:bCs w:val="0"/>
        </w:rPr>
        <w:t xml:space="preserve">.3 </w:t>
      </w:r>
      <w:r>
        <w:rPr>
          <w:rFonts w:hint="eastAsia"/>
          <w:b w:val="0"/>
          <w:bCs w:val="0"/>
        </w:rPr>
        <w:t xml:space="preserve"> </w:t>
      </w:r>
      <w:r>
        <w:rPr>
          <w:rFonts w:hint="eastAsia" w:ascii="黑体" w:hAnsi="黑体" w:eastAsia="黑体" w:cs="黑体"/>
          <w:b w:val="0"/>
          <w:bCs w:val="0"/>
        </w:rPr>
        <w:t>洪涝灾害</w:t>
      </w:r>
    </w:p>
    <w:p>
      <w:pPr>
        <w:ind w:firstLine="560"/>
        <w:rPr>
          <w:rFonts w:hint="default" w:eastAsia="宋体"/>
          <w:snapToGrid w:val="0"/>
          <w:kern w:val="0"/>
          <w:lang w:val="en-US" w:eastAsia="zh-CN"/>
        </w:rPr>
      </w:pPr>
      <w:r>
        <w:rPr>
          <w:snapToGrid w:val="0"/>
          <w:kern w:val="0"/>
        </w:rPr>
        <w:t>由山洪爆发、江河决堤、水库破裂或持续暴雨酿成的水灾，统称为洪涝灾害。其中前三种来势迅猛，所以造成的灾害更大。从季节上说，洪涝灾害主要发生于夏秋两季，而且与当地或江河上游连降暴雨分不开。</w:t>
      </w:r>
    </w:p>
    <w:p>
      <w:pPr>
        <w:pStyle w:val="5"/>
        <w:rPr>
          <w:b w:val="0"/>
          <w:bCs w:val="0"/>
        </w:rPr>
      </w:pPr>
      <w:r>
        <w:rPr>
          <w:b w:val="0"/>
          <w:bCs w:val="0"/>
        </w:rPr>
        <w:t>3.</w:t>
      </w:r>
      <w:r>
        <w:rPr>
          <w:rFonts w:hint="eastAsia"/>
          <w:b w:val="0"/>
          <w:bCs w:val="0"/>
          <w:lang w:val="en-US" w:eastAsia="zh-CN"/>
        </w:rPr>
        <w:t>8</w:t>
      </w:r>
      <w:r>
        <w:rPr>
          <w:b w:val="0"/>
          <w:bCs w:val="0"/>
        </w:rPr>
        <w:t xml:space="preserve">.4 </w:t>
      </w:r>
      <w:r>
        <w:rPr>
          <w:rFonts w:hint="eastAsia"/>
          <w:b w:val="0"/>
          <w:bCs w:val="0"/>
        </w:rPr>
        <w:t xml:space="preserve"> </w:t>
      </w:r>
      <w:r>
        <w:rPr>
          <w:rFonts w:hint="eastAsia" w:ascii="黑体" w:hAnsi="黑体" w:eastAsia="黑体" w:cs="黑体"/>
          <w:b w:val="0"/>
          <w:bCs w:val="0"/>
        </w:rPr>
        <w:t>大风</w:t>
      </w:r>
    </w:p>
    <w:p>
      <w:pPr>
        <w:ind w:firstLine="560"/>
        <w:rPr>
          <w:snapToGrid w:val="0"/>
          <w:kern w:val="0"/>
        </w:rPr>
      </w:pPr>
      <w:r>
        <w:rPr>
          <w:snapToGrid w:val="0"/>
          <w:kern w:val="0"/>
        </w:rPr>
        <w:t>大风会吹折或吹倒树木、电杆、井架等细高直立的物体，它们在倒落过程中则可能发生砸伤人、砸毁房屋及设备、刮断电线、引发火灾等二次事故。更大的风力还可能直接摧毁建筑物及大型设备。对石油工程施工来说，易遭大风损坏的设备是钻机，易受大风影响的作业是高处作业，尤其是特高处作业，因此，六级大风时应停止高处作业。</w:t>
      </w:r>
    </w:p>
    <w:p>
      <w:pPr>
        <w:pStyle w:val="5"/>
        <w:rPr>
          <w:b w:val="0"/>
          <w:bCs w:val="0"/>
        </w:rPr>
      </w:pPr>
      <w:r>
        <w:rPr>
          <w:b w:val="0"/>
          <w:bCs w:val="0"/>
        </w:rPr>
        <w:t>3.</w:t>
      </w:r>
      <w:r>
        <w:rPr>
          <w:rFonts w:hint="eastAsia"/>
          <w:b w:val="0"/>
          <w:bCs w:val="0"/>
          <w:lang w:val="en-US" w:eastAsia="zh-CN"/>
        </w:rPr>
        <w:t>8</w:t>
      </w:r>
      <w:r>
        <w:rPr>
          <w:b w:val="0"/>
          <w:bCs w:val="0"/>
        </w:rPr>
        <w:t xml:space="preserve">.5 </w:t>
      </w:r>
      <w:r>
        <w:rPr>
          <w:rFonts w:hint="eastAsia"/>
          <w:b w:val="0"/>
          <w:bCs w:val="0"/>
        </w:rPr>
        <w:t xml:space="preserve"> </w:t>
      </w:r>
      <w:r>
        <w:rPr>
          <w:rFonts w:hint="eastAsia" w:ascii="黑体" w:hAnsi="黑体" w:eastAsia="黑体" w:cs="黑体"/>
          <w:b w:val="0"/>
          <w:bCs w:val="0"/>
        </w:rPr>
        <w:t>高温、低温</w:t>
      </w:r>
    </w:p>
    <w:p>
      <w:pPr>
        <w:ind w:firstLine="560"/>
        <w:rPr>
          <w:snapToGrid w:val="0"/>
          <w:kern w:val="0"/>
        </w:rPr>
      </w:pPr>
      <w:r>
        <w:rPr>
          <w:snapToGrid w:val="0"/>
          <w:kern w:val="0"/>
        </w:rPr>
        <w:t>温度的升高会引起爆炸性气体的爆炸浓度极限范围扩大，增加易燃、易爆介质的火灾、爆炸危险性。夏季高温环境下，野外作业的施工人员室外工作时间过长且无有效的防暑降温措施，可能引起人员的高温中暑。</w:t>
      </w:r>
    </w:p>
    <w:p>
      <w:pPr>
        <w:ind w:firstLine="560"/>
        <w:rPr>
          <w:snapToGrid w:val="0"/>
          <w:kern w:val="0"/>
        </w:rPr>
      </w:pPr>
      <w:r>
        <w:rPr>
          <w:snapToGrid w:val="0"/>
          <w:kern w:val="0"/>
        </w:rPr>
        <w:t>在极端低温条件下，若无有效的防冻保温措施，可引起管线中介质的冻堵，泵压升高，引起管线损坏、介质泄漏；人员在室外作业工作时间过长，可能引起人员冻伤。</w:t>
      </w:r>
    </w:p>
    <w:p>
      <w:pPr>
        <w:ind w:firstLine="560"/>
        <w:rPr>
          <w:snapToGrid w:val="0"/>
          <w:kern w:val="0"/>
        </w:rPr>
      </w:pPr>
      <w:r>
        <w:rPr>
          <w:snapToGrid w:val="0"/>
          <w:kern w:val="0"/>
        </w:rPr>
        <w:t>无论是高温还是低温环境，都可影响人员的情绪、反应灵敏性，增加违章事故发生的频率，并可能成为引发其他事故的诱因。</w:t>
      </w:r>
    </w:p>
    <w:p>
      <w:pPr>
        <w:pStyle w:val="4"/>
        <w:rPr>
          <w:sz w:val="32"/>
          <w:szCs w:val="32"/>
        </w:rPr>
      </w:pPr>
      <w:bookmarkStart w:id="106" w:name="_Toc3904"/>
      <w:bookmarkStart w:id="107" w:name="_Toc10957"/>
      <w:r>
        <w:rPr>
          <w:b w:val="0"/>
          <w:bCs w:val="0"/>
          <w:sz w:val="32"/>
          <w:szCs w:val="32"/>
        </w:rPr>
        <w:t>3.</w:t>
      </w:r>
      <w:r>
        <w:rPr>
          <w:rFonts w:hint="eastAsia"/>
          <w:b w:val="0"/>
          <w:bCs w:val="0"/>
          <w:sz w:val="32"/>
          <w:szCs w:val="32"/>
          <w:lang w:val="en-US" w:eastAsia="zh-CN"/>
        </w:rPr>
        <w:t>9</w:t>
      </w:r>
      <w:r>
        <w:rPr>
          <w:sz w:val="32"/>
          <w:szCs w:val="32"/>
        </w:rPr>
        <w:t xml:space="preserve"> </w:t>
      </w:r>
      <w:r>
        <w:rPr>
          <w:rFonts w:hint="eastAsia"/>
          <w:sz w:val="32"/>
          <w:szCs w:val="32"/>
        </w:rPr>
        <w:t xml:space="preserve"> </w:t>
      </w:r>
      <w:r>
        <w:rPr>
          <w:rFonts w:hint="eastAsia" w:ascii="黑体" w:hAnsi="黑体" w:eastAsia="黑体" w:cs="黑体"/>
          <w:b w:val="0"/>
          <w:bCs w:val="0"/>
          <w:sz w:val="32"/>
          <w:szCs w:val="32"/>
        </w:rPr>
        <w:t>重大危险源辨识</w:t>
      </w:r>
      <w:bookmarkEnd w:id="106"/>
      <w:bookmarkEnd w:id="107"/>
    </w:p>
    <w:p>
      <w:pPr>
        <w:ind w:firstLine="560"/>
        <w:rPr>
          <w:snapToGrid w:val="0"/>
          <w:kern w:val="0"/>
        </w:rPr>
      </w:pPr>
      <w:r>
        <w:rPr>
          <w:snapToGrid w:val="0"/>
          <w:kern w:val="0"/>
        </w:rPr>
        <w:t>重大危险源的定义为：长期或临时生产、加工、使用或储存危险化学品，且危险化学品的数量等于或超过临界量的单元。重大危险源涉及到大量易燃、易爆或有毒物质，发生事故后将造成大范围灾难性影响。</w:t>
      </w:r>
    </w:p>
    <w:p>
      <w:pPr>
        <w:ind w:firstLine="560"/>
        <w:rPr>
          <w:snapToGrid w:val="0"/>
          <w:kern w:val="0"/>
        </w:rPr>
      </w:pPr>
      <w:r>
        <w:rPr>
          <w:snapToGrid w:val="0"/>
          <w:kern w:val="0"/>
        </w:rPr>
        <w:t>按照《危险化学品重大危险源辨识》（GB18218-20</w:t>
      </w:r>
      <w:r>
        <w:rPr>
          <w:rFonts w:hint="eastAsia"/>
          <w:snapToGrid w:val="0"/>
          <w:kern w:val="0"/>
        </w:rPr>
        <w:t>18</w:t>
      </w:r>
      <w:r>
        <w:rPr>
          <w:snapToGrid w:val="0"/>
          <w:kern w:val="0"/>
        </w:rPr>
        <w:t>）对重大危险源申报范围进行辨识。</w:t>
      </w:r>
    </w:p>
    <w:p>
      <w:pPr>
        <w:ind w:firstLine="560"/>
        <w:rPr>
          <w:snapToGrid w:val="0"/>
          <w:kern w:val="0"/>
        </w:rPr>
      </w:pPr>
      <w:r>
        <w:rPr>
          <w:snapToGrid w:val="0"/>
          <w:kern w:val="0"/>
        </w:rPr>
        <w:t>重大危险源的辨识依据物质的危险特性及其数量。</w:t>
      </w:r>
    </w:p>
    <w:p>
      <w:pPr>
        <w:ind w:firstLine="560"/>
        <w:rPr>
          <w:snapToGrid w:val="0"/>
          <w:kern w:val="0"/>
        </w:rPr>
      </w:pPr>
      <w:r>
        <w:rPr>
          <w:snapToGrid w:val="0"/>
          <w:kern w:val="0"/>
        </w:rPr>
        <w:t>辨识的方法如下：</w:t>
      </w:r>
    </w:p>
    <w:p>
      <w:pPr>
        <w:ind w:firstLine="560"/>
        <w:rPr>
          <w:snapToGrid w:val="0"/>
          <w:kern w:val="0"/>
        </w:rPr>
      </w:pPr>
      <w:r>
        <w:rPr>
          <w:snapToGrid w:val="0"/>
          <w:kern w:val="0"/>
        </w:rPr>
        <w:t>1）单元内存在的危险物质为单一品种，则该物质的数量即为单元内危险物质的总量，若大于等于相应的临界量，则定为重大危险源。</w:t>
      </w:r>
    </w:p>
    <w:p>
      <w:pPr>
        <w:ind w:firstLine="560"/>
        <w:rPr>
          <w:snapToGrid w:val="0"/>
          <w:kern w:val="0"/>
        </w:rPr>
      </w:pPr>
      <w:r>
        <w:rPr>
          <w:snapToGrid w:val="0"/>
          <w:kern w:val="0"/>
        </w:rPr>
        <w:t>2）单元内存在的危险物质为多品种时，则按下式计算，若满足下式的规定，则定为重大危险源。</w:t>
      </w:r>
    </w:p>
    <w:p>
      <w:pPr>
        <w:ind w:firstLine="560"/>
        <w:rPr>
          <w:snapToGrid w:val="0"/>
          <w:kern w:val="0"/>
        </w:rPr>
      </w:pPr>
      <w:r>
        <w:rPr>
          <w:snapToGrid w:val="0"/>
          <w:kern w:val="0"/>
        </w:rPr>
        <w:t>q1/Q1+q2/Q2+…+qn/Qn=1</w:t>
      </w:r>
    </w:p>
    <w:p>
      <w:pPr>
        <w:ind w:firstLine="560"/>
        <w:rPr>
          <w:snapToGrid w:val="0"/>
          <w:kern w:val="0"/>
        </w:rPr>
      </w:pPr>
      <w:r>
        <w:rPr>
          <w:snapToGrid w:val="0"/>
          <w:kern w:val="0"/>
        </w:rPr>
        <w:t>式中：q1，q2……qn——每种危险物质实际存在量，t；</w:t>
      </w:r>
    </w:p>
    <w:p>
      <w:pPr>
        <w:ind w:firstLine="560"/>
        <w:rPr>
          <w:snapToGrid w:val="0"/>
          <w:kern w:val="0"/>
        </w:rPr>
      </w:pPr>
      <w:r>
        <w:rPr>
          <w:snapToGrid w:val="0"/>
          <w:kern w:val="0"/>
        </w:rPr>
        <w:t>Q1，Q2……Qn——与各危险物质相对应的生产场所或储存区的临界量，t。</w:t>
      </w:r>
    </w:p>
    <w:p>
      <w:pPr>
        <w:ind w:firstLine="560"/>
        <w:rPr>
          <w:rFonts w:hint="eastAsia" w:eastAsia="宋体"/>
          <w:snapToGrid w:val="0"/>
          <w:color w:val="auto"/>
          <w:kern w:val="0"/>
          <w:lang w:eastAsia="zh-CN"/>
        </w:rPr>
      </w:pPr>
      <w:r>
        <w:rPr>
          <w:snapToGrid w:val="0"/>
          <w:color w:val="auto"/>
          <w:kern w:val="0"/>
        </w:rPr>
        <w:t>3）辨识</w:t>
      </w:r>
      <w:r>
        <w:rPr>
          <w:rFonts w:hint="eastAsia"/>
          <w:snapToGrid w:val="0"/>
          <w:color w:val="auto"/>
          <w:kern w:val="0"/>
          <w:lang w:val="en-US" w:eastAsia="zh-CN"/>
        </w:rPr>
        <w:t>过程</w:t>
      </w:r>
    </w:p>
    <w:p>
      <w:pPr>
        <w:adjustRightInd w:val="0"/>
        <w:snapToGrid w:val="0"/>
        <w:spacing w:line="360" w:lineRule="auto"/>
        <w:ind w:firstLine="560" w:firstLineChars="200"/>
        <w:rPr>
          <w:rFonts w:hint="default" w:eastAsia="宋体"/>
          <w:color w:val="auto"/>
          <w:sz w:val="28"/>
          <w:szCs w:val="28"/>
          <w:lang w:val="en-US" w:eastAsia="zh-CN"/>
        </w:rPr>
      </w:pPr>
      <w:r>
        <w:rPr>
          <w:rFonts w:hint="eastAsia"/>
          <w:color w:val="auto"/>
        </w:rPr>
        <w:t>东营大明钻井有限责任公司</w:t>
      </w:r>
      <w:r>
        <w:rPr>
          <w:rFonts w:hint="eastAsia" w:ascii="Times New Roman" w:hAnsi="Times New Roman" w:eastAsia="宋体" w:cs="Times New Roman"/>
          <w:color w:val="auto"/>
          <w:sz w:val="28"/>
          <w:szCs w:val="28"/>
        </w:rPr>
        <w:t>施工队流动性很大，无固定的作业场所。</w:t>
      </w:r>
      <w:r>
        <w:rPr>
          <w:rFonts w:hint="eastAsia" w:cs="Times New Roman"/>
          <w:color w:val="auto"/>
          <w:sz w:val="28"/>
          <w:szCs w:val="28"/>
          <w:lang w:val="en-US" w:eastAsia="zh-CN"/>
        </w:rPr>
        <w:t>钻井</w:t>
      </w:r>
      <w:r>
        <w:rPr>
          <w:rFonts w:hint="eastAsia"/>
          <w:color w:val="auto"/>
          <w:sz w:val="28"/>
          <w:szCs w:val="28"/>
          <w:lang w:val="en-US" w:eastAsia="zh-CN"/>
        </w:rPr>
        <w:t>施工</w:t>
      </w:r>
      <w:r>
        <w:rPr>
          <w:rFonts w:hint="eastAsia" w:ascii="Times New Roman" w:eastAsia="宋体"/>
          <w:color w:val="auto"/>
          <w:sz w:val="28"/>
          <w:szCs w:val="28"/>
          <w:lang w:val="en-US" w:eastAsia="zh-CN"/>
        </w:rPr>
        <w:t>过程中发电和驱动设备涉及危险物质柴油，现场</w:t>
      </w:r>
      <w:r>
        <w:rPr>
          <w:rFonts w:hint="eastAsia"/>
          <w:color w:val="auto"/>
          <w:sz w:val="28"/>
          <w:szCs w:val="28"/>
          <w:lang w:val="en-US" w:eastAsia="zh-CN"/>
        </w:rPr>
        <w:t>柴油储罐最大为28m³</w:t>
      </w:r>
      <w:r>
        <w:rPr>
          <w:rFonts w:hint="eastAsia" w:ascii="Times New Roman" w:eastAsia="宋体"/>
          <w:color w:val="auto"/>
          <w:sz w:val="28"/>
          <w:szCs w:val="28"/>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rPr>
        <w:t>表3-</w:t>
      </w:r>
      <w:r>
        <w:rPr>
          <w:rFonts w:hint="eastAsia" w:cs="Times New Roman"/>
          <w:b/>
          <w:bCs/>
          <w:sz w:val="24"/>
          <w:szCs w:val="24"/>
          <w:lang w:val="en-US" w:eastAsia="zh-CN"/>
        </w:rPr>
        <w:t>7</w:t>
      </w:r>
      <w:r>
        <w:rPr>
          <w:rFonts w:hint="eastAsia" w:ascii="Times New Roman" w:hAnsi="Times New Roman" w:eastAsia="宋体" w:cs="Times New Roman"/>
          <w:b/>
          <w:bCs/>
          <w:sz w:val="24"/>
          <w:szCs w:val="24"/>
        </w:rPr>
        <w:t xml:space="preserve"> </w:t>
      </w:r>
      <w:r>
        <w:rPr>
          <w:rFonts w:hint="eastAsia" w:cs="Times New Roman"/>
          <w:b/>
          <w:bCs/>
          <w:sz w:val="24"/>
          <w:szCs w:val="24"/>
          <w:lang w:val="en-US" w:eastAsia="zh-CN"/>
        </w:rPr>
        <w:t xml:space="preserve"> </w:t>
      </w:r>
      <w:r>
        <w:rPr>
          <w:rFonts w:hint="eastAsia" w:ascii="Times New Roman" w:hAnsi="Times New Roman" w:eastAsia="宋体" w:cs="Times New Roman"/>
          <w:b/>
          <w:bCs/>
          <w:sz w:val="24"/>
          <w:szCs w:val="24"/>
        </w:rPr>
        <w:t>重大危险源辨识过程</w:t>
      </w:r>
    </w:p>
    <w:tbl>
      <w:tblPr>
        <w:tblStyle w:val="46"/>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1177"/>
        <w:gridCol w:w="1926"/>
        <w:gridCol w:w="1472"/>
        <w:gridCol w:w="1747"/>
        <w:gridCol w:w="14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3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bCs/>
                <w:color w:val="000000"/>
                <w:kern w:val="2"/>
                <w:sz w:val="21"/>
                <w:szCs w:val="21"/>
                <w:vertAlign w:val="baseline"/>
                <w:lang w:val="en-US" w:eastAsia="zh-CN" w:bidi="ar-SA"/>
              </w:rPr>
              <w:t>序号</w:t>
            </w:r>
          </w:p>
        </w:tc>
        <w:tc>
          <w:tcPr>
            <w:tcW w:w="6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bCs/>
                <w:color w:val="000000"/>
                <w:kern w:val="2"/>
                <w:sz w:val="21"/>
                <w:szCs w:val="21"/>
                <w:vertAlign w:val="baseline"/>
                <w:lang w:val="en-US" w:eastAsia="zh-CN" w:bidi="ar-SA"/>
              </w:rPr>
              <w:t>危险化学品名称</w:t>
            </w:r>
          </w:p>
        </w:tc>
        <w:tc>
          <w:tcPr>
            <w:tcW w:w="113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bCs/>
                <w:color w:val="000000"/>
                <w:kern w:val="2"/>
                <w:sz w:val="21"/>
                <w:szCs w:val="21"/>
                <w:vertAlign w:val="baseline"/>
                <w:lang w:val="en-US" w:eastAsia="zh-CN" w:bidi="ar-SA"/>
              </w:rPr>
              <w:t>数量</w:t>
            </w:r>
          </w:p>
        </w:tc>
        <w:tc>
          <w:tcPr>
            <w:tcW w:w="86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bCs/>
                <w:color w:val="000000"/>
                <w:kern w:val="2"/>
                <w:sz w:val="21"/>
                <w:szCs w:val="21"/>
                <w:vertAlign w:val="baseline"/>
                <w:lang w:val="en-US" w:eastAsia="zh-CN" w:bidi="ar-SA"/>
              </w:rPr>
              <w:t>临界量</w:t>
            </w:r>
          </w:p>
        </w:tc>
        <w:tc>
          <w:tcPr>
            <w:tcW w:w="102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bCs/>
                <w:color w:val="000000"/>
                <w:kern w:val="2"/>
                <w:sz w:val="21"/>
                <w:szCs w:val="21"/>
                <w:vertAlign w:val="baseline"/>
                <w:lang w:val="en-US" w:eastAsia="zh-CN" w:bidi="ar-SA"/>
              </w:rPr>
              <w:t>S=q1/Q1</w:t>
            </w:r>
          </w:p>
        </w:tc>
        <w:tc>
          <w:tcPr>
            <w:tcW w:w="85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bCs/>
                <w:color w:val="000000"/>
                <w:kern w:val="2"/>
                <w:sz w:val="21"/>
                <w:szCs w:val="21"/>
                <w:vertAlign w:val="baseline"/>
                <w:lang w:val="en-US" w:eastAsia="zh-CN" w:bidi="ar-SA"/>
              </w:rPr>
              <w:t>是否重大危险源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43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1</w:t>
            </w:r>
          </w:p>
        </w:tc>
        <w:tc>
          <w:tcPr>
            <w:tcW w:w="6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cs="Times New Roman"/>
                <w:color w:val="000000"/>
                <w:kern w:val="2"/>
                <w:sz w:val="21"/>
                <w:szCs w:val="21"/>
                <w:vertAlign w:val="baseline"/>
                <w:lang w:val="en-US" w:eastAsia="zh-CN" w:bidi="ar-SA"/>
              </w:rPr>
              <w:t>柴油</w:t>
            </w:r>
          </w:p>
        </w:tc>
        <w:tc>
          <w:tcPr>
            <w:tcW w:w="113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cs="Times New Roman"/>
                <w:color w:val="000000"/>
                <w:kern w:val="2"/>
                <w:sz w:val="21"/>
                <w:szCs w:val="21"/>
                <w:vertAlign w:val="baseline"/>
                <w:lang w:val="en-US" w:eastAsia="zh-CN" w:bidi="ar-SA"/>
              </w:rPr>
              <w:t>25.2</w:t>
            </w:r>
            <w:r>
              <w:rPr>
                <w:rFonts w:hint="eastAsia" w:ascii="Times New Roman" w:hAnsi="Times New Roman" w:eastAsia="宋体" w:cs="Times New Roman"/>
                <w:color w:val="000000"/>
                <w:kern w:val="2"/>
                <w:sz w:val="21"/>
                <w:szCs w:val="21"/>
                <w:vertAlign w:val="baseline"/>
                <w:lang w:val="en-US" w:eastAsia="zh-CN" w:bidi="ar-SA"/>
              </w:rPr>
              <w:t>t</w:t>
            </w:r>
          </w:p>
        </w:tc>
        <w:tc>
          <w:tcPr>
            <w:tcW w:w="86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5</w:t>
            </w:r>
            <w:r>
              <w:rPr>
                <w:rFonts w:hint="eastAsia" w:cs="Times New Roman"/>
                <w:color w:val="000000"/>
                <w:kern w:val="2"/>
                <w:sz w:val="21"/>
                <w:szCs w:val="21"/>
                <w:vertAlign w:val="baseline"/>
                <w:lang w:val="en-US" w:eastAsia="zh-CN" w:bidi="ar-SA"/>
              </w:rPr>
              <w:t>00</w:t>
            </w:r>
            <w:r>
              <w:rPr>
                <w:rFonts w:hint="eastAsia" w:ascii="Times New Roman" w:hAnsi="Times New Roman" w:eastAsia="宋体" w:cs="Times New Roman"/>
                <w:color w:val="000000"/>
                <w:kern w:val="2"/>
                <w:sz w:val="21"/>
                <w:szCs w:val="21"/>
                <w:vertAlign w:val="baseline"/>
                <w:lang w:val="en-US" w:eastAsia="zh-CN" w:bidi="ar-SA"/>
              </w:rPr>
              <w:t>0t</w:t>
            </w:r>
          </w:p>
        </w:tc>
        <w:tc>
          <w:tcPr>
            <w:tcW w:w="102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S=</w:t>
            </w:r>
            <w:r>
              <w:rPr>
                <w:rFonts w:hint="eastAsia" w:cs="Times New Roman"/>
                <w:color w:val="000000"/>
                <w:kern w:val="2"/>
                <w:sz w:val="21"/>
                <w:szCs w:val="21"/>
                <w:vertAlign w:val="baseline"/>
                <w:lang w:val="en-US" w:eastAsia="zh-CN" w:bidi="ar-SA"/>
              </w:rPr>
              <w:t>25.2</w:t>
            </w:r>
            <w:r>
              <w:rPr>
                <w:rFonts w:hint="eastAsia" w:ascii="Times New Roman" w:hAnsi="Times New Roman" w:eastAsia="宋体" w:cs="Times New Roman"/>
                <w:color w:val="000000"/>
                <w:kern w:val="2"/>
                <w:sz w:val="21"/>
                <w:szCs w:val="21"/>
                <w:vertAlign w:val="baseline"/>
                <w:lang w:val="en-US" w:eastAsia="zh-CN" w:bidi="ar-SA"/>
              </w:rPr>
              <w:t>/50</w:t>
            </w:r>
            <w:r>
              <w:rPr>
                <w:rFonts w:hint="eastAsia" w:cs="Times New Roman"/>
                <w:color w:val="000000"/>
                <w:kern w:val="2"/>
                <w:sz w:val="21"/>
                <w:szCs w:val="21"/>
                <w:vertAlign w:val="baseline"/>
                <w:lang w:val="en-US" w:eastAsia="zh-CN" w:bidi="ar-SA"/>
              </w:rPr>
              <w:t>00</w:t>
            </w:r>
            <w:r>
              <w:rPr>
                <w:rFonts w:hint="eastAsia" w:ascii="Times New Roman" w:hAnsi="Times New Roman" w:eastAsia="宋体" w:cs="Times New Roman"/>
                <w:color w:val="000000"/>
                <w:kern w:val="2"/>
                <w:sz w:val="21"/>
                <w:szCs w:val="21"/>
                <w:vertAlign w:val="baseline"/>
                <w:lang w:val="en-US" w:eastAsia="zh-CN" w:bidi="ar-SA"/>
              </w:rPr>
              <w:t>&lt;1</w:t>
            </w:r>
          </w:p>
        </w:tc>
        <w:tc>
          <w:tcPr>
            <w:tcW w:w="85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否</w:t>
            </w:r>
          </w:p>
        </w:tc>
      </w:tr>
    </w:tbl>
    <w:p>
      <w:pPr>
        <w:keepNext w:val="0"/>
        <w:keepLines w:val="0"/>
        <w:pageBreakBefore w:val="0"/>
        <w:widowControl w:val="0"/>
        <w:kinsoku/>
        <w:wordWrap/>
        <w:overflowPunct/>
        <w:topLinePunct w:val="0"/>
        <w:autoSpaceDE/>
        <w:autoSpaceDN/>
        <w:bidi w:val="0"/>
        <w:adjustRightInd w:val="0"/>
        <w:snapToGrid w:val="0"/>
        <w:spacing w:before="157" w:beforeLines="50"/>
        <w:ind w:firstLine="560"/>
        <w:textAlignment w:val="auto"/>
        <w:rPr>
          <w:snapToGrid w:val="0"/>
          <w:kern w:val="0"/>
        </w:rPr>
      </w:pPr>
      <w:r>
        <w:rPr>
          <w:rFonts w:hint="eastAsia"/>
          <w:snapToGrid w:val="0"/>
          <w:kern w:val="0"/>
          <w:lang w:val="en-US" w:eastAsia="zh-CN"/>
        </w:rPr>
        <w:t>4</w:t>
      </w:r>
      <w:r>
        <w:rPr>
          <w:snapToGrid w:val="0"/>
          <w:kern w:val="0"/>
        </w:rPr>
        <w:t>）辨识结果</w:t>
      </w:r>
    </w:p>
    <w:p>
      <w:pPr>
        <w:ind w:firstLine="560"/>
        <w:rPr>
          <w:snapToGrid w:val="0"/>
          <w:kern w:val="0"/>
        </w:rPr>
      </w:pPr>
      <w:r>
        <w:rPr>
          <w:snapToGrid w:val="0"/>
          <w:kern w:val="0"/>
        </w:rPr>
        <w:t>根据《危险化学品重大危险源辨识》（GB18218-20</w:t>
      </w:r>
      <w:r>
        <w:rPr>
          <w:rFonts w:hint="eastAsia"/>
          <w:snapToGrid w:val="0"/>
          <w:kern w:val="0"/>
          <w:lang w:val="en-US" w:eastAsia="zh-CN"/>
        </w:rPr>
        <w:t>18</w:t>
      </w:r>
      <w:r>
        <w:rPr>
          <w:snapToGrid w:val="0"/>
          <w:kern w:val="0"/>
        </w:rPr>
        <w:t>），本项目所涉及危险化学品均未构成重大危险源。</w:t>
      </w:r>
    </w:p>
    <w:p>
      <w:pPr>
        <w:pStyle w:val="4"/>
        <w:rPr>
          <w:sz w:val="32"/>
          <w:szCs w:val="32"/>
        </w:rPr>
      </w:pPr>
      <w:bookmarkStart w:id="108" w:name="_Toc21988"/>
      <w:bookmarkStart w:id="109" w:name="_Toc17322"/>
      <w:r>
        <w:rPr>
          <w:b w:val="0"/>
          <w:bCs w:val="0"/>
          <w:sz w:val="32"/>
          <w:szCs w:val="32"/>
        </w:rPr>
        <w:t>3.</w:t>
      </w:r>
      <w:r>
        <w:rPr>
          <w:rFonts w:hint="eastAsia"/>
          <w:b w:val="0"/>
          <w:bCs w:val="0"/>
          <w:sz w:val="32"/>
          <w:szCs w:val="32"/>
          <w:lang w:val="en-US" w:eastAsia="zh-CN"/>
        </w:rPr>
        <w:t>10</w:t>
      </w:r>
      <w:r>
        <w:rPr>
          <w:sz w:val="32"/>
          <w:szCs w:val="32"/>
        </w:rPr>
        <w:t xml:space="preserve"> </w:t>
      </w:r>
      <w:r>
        <w:rPr>
          <w:rFonts w:hint="eastAsia"/>
          <w:sz w:val="32"/>
          <w:szCs w:val="32"/>
          <w:lang w:val="en-US" w:eastAsia="zh-CN"/>
        </w:rPr>
        <w:t xml:space="preserve"> </w:t>
      </w:r>
      <w:r>
        <w:rPr>
          <w:rFonts w:hint="eastAsia" w:ascii="黑体" w:hAnsi="黑体" w:eastAsia="黑体" w:cs="黑体"/>
          <w:b w:val="0"/>
          <w:bCs w:val="0"/>
          <w:sz w:val="32"/>
          <w:szCs w:val="32"/>
          <w:lang w:eastAsia="zh-CN"/>
        </w:rPr>
        <w:t>事故案例分析</w:t>
      </w:r>
      <w:bookmarkEnd w:id="108"/>
    </w:p>
    <w:p>
      <w:pPr>
        <w:keepNext/>
        <w:keepLines/>
        <w:widowControl w:val="0"/>
        <w:adjustRightInd w:val="0"/>
        <w:snapToGrid w:val="0"/>
        <w:spacing w:beforeLines="0" w:afterLines="0" w:line="360" w:lineRule="auto"/>
        <w:ind w:firstLine="0" w:firstLineChars="0"/>
        <w:jc w:val="left"/>
        <w:outlineLvl w:val="2"/>
        <w:rPr>
          <w:rFonts w:hint="eastAsia" w:ascii="Times New Roman" w:hAnsi="Times New Roman" w:eastAsia="宋体" w:cs="Times New Roman"/>
          <w:b w:val="0"/>
          <w:bCs w:val="0"/>
          <w:kern w:val="2"/>
          <w:sz w:val="28"/>
          <w:szCs w:val="28"/>
          <w:lang w:val="en-US" w:eastAsia="zh-CN" w:bidi="ar-SA"/>
        </w:rPr>
      </w:pPr>
      <w:r>
        <w:rPr>
          <w:rFonts w:ascii="Times New Roman" w:hAnsi="Times New Roman" w:eastAsia="宋体" w:cs="Times New Roman"/>
          <w:b w:val="0"/>
          <w:bCs w:val="0"/>
          <w:kern w:val="2"/>
          <w:sz w:val="28"/>
          <w:szCs w:val="28"/>
          <w:lang w:val="en-US" w:eastAsia="zh-CN" w:bidi="ar-SA"/>
        </w:rPr>
        <w:t>3.</w:t>
      </w:r>
      <w:r>
        <w:rPr>
          <w:rFonts w:hint="eastAsia" w:cs="Times New Roman"/>
          <w:b w:val="0"/>
          <w:bCs w:val="0"/>
          <w:kern w:val="2"/>
          <w:sz w:val="28"/>
          <w:szCs w:val="28"/>
          <w:lang w:val="en-US" w:eastAsia="zh-CN" w:bidi="ar-SA"/>
        </w:rPr>
        <w:t>10</w:t>
      </w:r>
      <w:r>
        <w:rPr>
          <w:rFonts w:ascii="Times New Roman" w:hAnsi="Times New Roman" w:eastAsia="宋体" w:cs="Times New Roman"/>
          <w:b w:val="0"/>
          <w:bCs w:val="0"/>
          <w:kern w:val="2"/>
          <w:sz w:val="28"/>
          <w:szCs w:val="28"/>
          <w:lang w:val="en-US" w:eastAsia="zh-CN" w:bidi="ar-SA"/>
        </w:rPr>
        <w:t xml:space="preserve">.1 </w:t>
      </w:r>
      <w:r>
        <w:rPr>
          <w:rFonts w:hint="eastAsia" w:ascii="Times New Roman" w:hAnsi="Times New Roman" w:eastAsia="宋体" w:cs="Times New Roman"/>
          <w:b w:val="0"/>
          <w:bCs w:val="0"/>
          <w:kern w:val="2"/>
          <w:sz w:val="28"/>
          <w:szCs w:val="28"/>
          <w:lang w:val="en-US" w:eastAsia="zh-CN" w:bidi="ar-SA"/>
        </w:rPr>
        <w:t xml:space="preserve"> </w:t>
      </w:r>
      <w:r>
        <w:rPr>
          <w:rFonts w:hint="eastAsia" w:ascii="黑体" w:hAnsi="黑体" w:eastAsia="黑体" w:cs="黑体"/>
          <w:b w:val="0"/>
          <w:bCs w:val="0"/>
          <w:kern w:val="2"/>
          <w:sz w:val="28"/>
          <w:szCs w:val="28"/>
          <w:lang w:val="en-US" w:eastAsia="zh-CN" w:bidi="ar-SA"/>
        </w:rPr>
        <w:t>四川重庆开县高桥镇“</w:t>
      </w:r>
      <w:r>
        <w:rPr>
          <w:rFonts w:hint="default" w:ascii="Times New Roman" w:hAnsi="Times New Roman" w:eastAsia="黑体" w:cs="Times New Roman"/>
          <w:b w:val="0"/>
          <w:bCs w:val="0"/>
          <w:kern w:val="2"/>
          <w:sz w:val="28"/>
          <w:szCs w:val="28"/>
          <w:lang w:val="en-US" w:eastAsia="zh-CN" w:bidi="ar-SA"/>
        </w:rPr>
        <w:t>12.23</w:t>
      </w:r>
      <w:r>
        <w:rPr>
          <w:rFonts w:hint="eastAsia" w:ascii="黑体" w:hAnsi="黑体" w:eastAsia="黑体" w:cs="黑体"/>
          <w:b w:val="0"/>
          <w:bCs w:val="0"/>
          <w:kern w:val="2"/>
          <w:sz w:val="28"/>
          <w:szCs w:val="28"/>
          <w:lang w:val="en-US" w:eastAsia="zh-CN" w:bidi="ar-SA"/>
        </w:rPr>
        <w:t>”特大井喷事故</w:t>
      </w:r>
    </w:p>
    <w:p>
      <w:pPr>
        <w:ind w:firstLine="560"/>
        <w:rPr>
          <w:rFonts w:hint="default" w:ascii="Times New Roman" w:hAnsi="Times New Roman" w:cs="Times New Roman"/>
          <w:snapToGrid w:val="0"/>
          <w:kern w:val="0"/>
          <w:lang w:val="en-US" w:eastAsia="zh-CN"/>
        </w:rPr>
      </w:pPr>
      <w:r>
        <w:rPr>
          <w:rFonts w:hint="eastAsia" w:ascii="Times New Roman" w:hAnsi="Times New Roman" w:cs="Times New Roman"/>
          <w:snapToGrid w:val="0"/>
          <w:kern w:val="0"/>
          <w:lang w:val="en-US" w:eastAsia="zh-CN"/>
        </w:rPr>
        <w:t>2003年12月23日21时55分，在四川重庆开县高桥镇，正在进行钻井作业的罗家16井突然发生井喷事故，大量硫化氢有毒气体从井底溢出，导致附近村民中毒。造成243人死亡、近2142人受伤住院，其中危重病人27人。事故发生后，当地紧急疏散6万多群众，周围约5公里范围内被封闭。</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ascii="Times New Roman" w:hAnsi="Times New Roman" w:cs="Times New Roman"/>
          <w:snapToGrid w:val="0"/>
          <w:kern w:val="0"/>
          <w:lang w:val="en-US" w:eastAsia="zh-CN"/>
        </w:rPr>
      </w:pPr>
      <w:r>
        <w:rPr>
          <w:rFonts w:hint="eastAsia" w:ascii="Times New Roman" w:hAnsi="Times New Roman" w:cs="Times New Roman"/>
          <w:snapToGrid w:val="0"/>
          <w:kern w:val="0"/>
          <w:lang w:val="en-US" w:eastAsia="zh-CN"/>
        </w:rPr>
        <w:t>一、事故经过</w:t>
      </w:r>
    </w:p>
    <w:p>
      <w:pPr>
        <w:pStyle w:val="3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auto"/>
        <w:rPr>
          <w:rFonts w:hint="eastAsia" w:ascii="Times New Roman" w:hAnsi="Times New Roman" w:eastAsia="宋体" w:cs="Times New Roman"/>
          <w:snapToGrid w:val="0"/>
          <w:kern w:val="0"/>
          <w:sz w:val="28"/>
          <w:szCs w:val="28"/>
          <w:lang w:val="en-US" w:eastAsia="zh-CN" w:bidi="ar-SA"/>
        </w:rPr>
      </w:pPr>
      <w:r>
        <w:rPr>
          <w:rFonts w:hint="default" w:ascii="Times New Roman" w:hAnsi="Times New Roman" w:eastAsia="宋体" w:cs="Times New Roman"/>
          <w:snapToGrid w:val="0"/>
          <w:kern w:val="0"/>
          <w:sz w:val="28"/>
          <w:szCs w:val="28"/>
          <w:lang w:val="en-US" w:eastAsia="zh-CN" w:bidi="ar-SA"/>
        </w:rPr>
        <w:t>2003年12月20日下午，16H井现场技术服务组在监测钻井作业时，地面监测仪突然接收不到安装在井下的测斜仪发出的信号。身为罗家16H井现场技术服务组负责人的王建东在重新制定钻具组合时，违章决定卸下原钻具组合中的回压阀防井喷装置。宋涛身为钻井队负责安全防护的人员，明知王建东的决定，违反规定却没有表示异议，并且按照王的决定，指令他人填写了作业计划书，并宣布了卸下回压阀的指令。</w:t>
      </w:r>
    </w:p>
    <w:p>
      <w:pPr>
        <w:pStyle w:val="3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auto"/>
        <w:rPr>
          <w:rFonts w:hint="default" w:ascii="Times New Roman" w:hAnsi="Times New Roman" w:eastAsia="宋体" w:cs="Times New Roman"/>
          <w:snapToGrid w:val="0"/>
          <w:kern w:val="0"/>
          <w:sz w:val="28"/>
          <w:szCs w:val="28"/>
          <w:lang w:val="en-US" w:eastAsia="zh-CN" w:bidi="ar-SA"/>
        </w:rPr>
      </w:pPr>
      <w:r>
        <w:rPr>
          <w:rFonts w:hint="default" w:ascii="Times New Roman" w:hAnsi="Times New Roman" w:eastAsia="宋体" w:cs="Times New Roman"/>
          <w:snapToGrid w:val="0"/>
          <w:kern w:val="0"/>
          <w:sz w:val="28"/>
          <w:szCs w:val="28"/>
          <w:lang w:val="en-US" w:eastAsia="zh-CN" w:bidi="ar-SA"/>
        </w:rPr>
        <w:t>2003年12月23日19时至20时，被告人向一明在带领工人进行起钻作业时，违反"每起出3柱钻杆必须灌满钻井液"的规定，每起出6柱钻杆才灌注一次钻井液，致使井下液柱压力下降。检察机关认为，这是产生溢流并导致井喷的主要因素之一。身为录井员的被告人肖先素，负有监测起钻柱数和钻井液灌入量的职责，因工作疏忽，不正确履行职责，未能及时发现这一严重违章行为，在发现后也没有履行职责立即报告当班司钻，致使事故隐患未能得到及时排除。</w:t>
      </w:r>
    </w:p>
    <w:p>
      <w:pPr>
        <w:pStyle w:val="3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auto"/>
        <w:rPr>
          <w:rFonts w:hint="default" w:ascii="Times New Roman" w:hAnsi="Times New Roman" w:eastAsia="宋体" w:cs="Times New Roman"/>
          <w:snapToGrid w:val="0"/>
          <w:kern w:val="0"/>
          <w:sz w:val="28"/>
          <w:szCs w:val="28"/>
          <w:lang w:val="en-US" w:eastAsia="zh-CN" w:bidi="ar-SA"/>
        </w:rPr>
      </w:pPr>
      <w:r>
        <w:rPr>
          <w:rFonts w:hint="default" w:ascii="Times New Roman" w:hAnsi="Times New Roman" w:eastAsia="宋体" w:cs="Times New Roman"/>
          <w:snapToGrid w:val="0"/>
          <w:kern w:val="0"/>
          <w:sz w:val="28"/>
          <w:szCs w:val="28"/>
          <w:lang w:val="en-US" w:eastAsia="zh-CN" w:bidi="ar-SA"/>
        </w:rPr>
        <w:t>对卸下回压阀这一严重违章行为，身为钻井队队长、井队井控工作第一责任人的吴斌，未按规定参加班前会和审查班报表，致使回压阀被卸的重大事故隐患未能及时发现。在补签22日的班报表时，吴斌发现回压阀被卸的严重违章行为后，既没有立即整改，又不及时报告，使得重大事故隐患未能得到消除。事故发生后，被告人吴斌没有按照规定安排专人监视井口的喷势情况，检测空气中硫化氢的含量，以致不能提供确定点火时机、控制有害气体进一步扩散的相关资料和数据。</w:t>
      </w:r>
    </w:p>
    <w:p>
      <w:pPr>
        <w:pStyle w:val="3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val="0"/>
        <w:snapToGrid w:val="0"/>
        <w:spacing w:before="0" w:beforeAutospacing="0" w:after="0" w:afterAutospacing="0" w:line="360" w:lineRule="auto"/>
        <w:ind w:left="0" w:right="0" w:firstLine="420"/>
        <w:textAlignment w:val="auto"/>
        <w:rPr>
          <w:rFonts w:hint="default" w:ascii="Times New Roman" w:hAnsi="Times New Roman" w:eastAsia="宋体" w:cs="Times New Roman"/>
          <w:snapToGrid w:val="0"/>
          <w:kern w:val="0"/>
          <w:sz w:val="28"/>
          <w:szCs w:val="28"/>
          <w:lang w:val="en-US" w:eastAsia="zh-CN" w:bidi="ar-SA"/>
        </w:rPr>
      </w:pPr>
      <w:r>
        <w:rPr>
          <w:rFonts w:hint="default" w:ascii="Times New Roman" w:hAnsi="Times New Roman" w:eastAsia="宋体" w:cs="Times New Roman"/>
          <w:snapToGrid w:val="0"/>
          <w:kern w:val="0"/>
          <w:sz w:val="28"/>
          <w:szCs w:val="28"/>
          <w:lang w:val="en-US" w:eastAsia="zh-CN" w:bidi="ar-SA"/>
        </w:rPr>
        <w:t>被告人吴华在主任工程师请示点火时，以现场情况不明为由不同意点火，但又不及时督促或指派人员查明现场情况。在接到"可能有人死亡"的汇报后，仍违反规定未安排专人对井场进行踏勘。检察机关认为，被告人吴华违反应急决策的基本原则，不能"权衡损益风险，决策当机立断"，延误了点火时机，致使大量含有高浓度硫化氢的天然气喷出时间延长并进一步扩散，是事故扩大的直接原因。</w:t>
      </w:r>
    </w:p>
    <w:p>
      <w:pPr>
        <w:pStyle w:val="44"/>
        <w:keepNext w:val="0"/>
        <w:keepLines w:val="0"/>
        <w:pageBreakBefore w:val="0"/>
        <w:widowControl w:val="0"/>
        <w:numPr>
          <w:ilvl w:val="0"/>
          <w:numId w:val="10"/>
        </w:numPr>
        <w:kinsoku/>
        <w:wordWrap/>
        <w:overflowPunct/>
        <w:topLinePunct w:val="0"/>
        <w:autoSpaceDE/>
        <w:autoSpaceDN/>
        <w:bidi w:val="0"/>
        <w:adjustRightInd w:val="0"/>
        <w:snapToGrid w:val="0"/>
        <w:spacing w:after="0"/>
        <w:ind w:left="0" w:leftChars="0"/>
        <w:textAlignment w:val="auto"/>
        <w:rPr>
          <w:rFonts w:hint="eastAsia" w:ascii="Times New Roman" w:hAnsi="Times New Roman" w:cs="Times New Roman"/>
          <w:snapToGrid w:val="0"/>
          <w:kern w:val="0"/>
        </w:rPr>
      </w:pPr>
      <w:r>
        <w:rPr>
          <w:rFonts w:hint="eastAsia" w:ascii="Times New Roman" w:hAnsi="Times New Roman" w:cs="Times New Roman"/>
          <w:snapToGrid w:val="0"/>
          <w:kern w:val="0"/>
        </w:rPr>
        <w:t>事故原因</w:t>
      </w:r>
    </w:p>
    <w:p>
      <w:pPr>
        <w:pStyle w:val="44"/>
        <w:keepNext w:val="0"/>
        <w:keepLines w:val="0"/>
        <w:pageBreakBefore w:val="0"/>
        <w:widowControl w:val="0"/>
        <w:numPr>
          <w:ilvl w:val="0"/>
          <w:numId w:val="11"/>
        </w:numPr>
        <w:kinsoku/>
        <w:wordWrap/>
        <w:overflowPunct/>
        <w:topLinePunct w:val="0"/>
        <w:autoSpaceDE/>
        <w:autoSpaceDN/>
        <w:bidi w:val="0"/>
        <w:adjustRightInd w:val="0"/>
        <w:snapToGrid w:val="0"/>
        <w:spacing w:after="0"/>
        <w:ind w:left="0" w:leftChars="0" w:firstLine="560" w:firstLineChars="200"/>
        <w:textAlignment w:val="auto"/>
        <w:rPr>
          <w:rFonts w:hint="eastAsia" w:ascii="Times New Roman" w:hAnsi="Times New Roman" w:cs="Times New Roman"/>
          <w:snapToGrid w:val="0"/>
          <w:kern w:val="0"/>
          <w:lang w:val="en-US" w:eastAsia="zh-CN"/>
        </w:rPr>
      </w:pPr>
      <w:r>
        <w:rPr>
          <w:rFonts w:hint="eastAsia" w:ascii="Times New Roman" w:hAnsi="Times New Roman" w:cs="Times New Roman"/>
          <w:snapToGrid w:val="0"/>
          <w:kern w:val="0"/>
          <w:lang w:val="en-US" w:eastAsia="zh-CN"/>
        </w:rPr>
        <w:t>有关人员对罗家</w:t>
      </w:r>
      <w:r>
        <w:rPr>
          <w:rFonts w:hint="eastAsia" w:cs="Times New Roman"/>
          <w:snapToGrid w:val="0"/>
          <w:kern w:val="0"/>
          <w:lang w:val="en-US" w:eastAsia="zh-CN"/>
        </w:rPr>
        <w:t>1</w:t>
      </w:r>
      <w:r>
        <w:rPr>
          <w:rFonts w:hint="eastAsia" w:ascii="Times New Roman" w:hAnsi="Times New Roman" w:cs="Times New Roman"/>
          <w:snapToGrid w:val="0"/>
          <w:kern w:val="0"/>
          <w:lang w:val="en-US" w:eastAsia="zh-CN"/>
        </w:rPr>
        <w:t>6 H井的特高出气量估计不足</w:t>
      </w:r>
      <w:r>
        <w:rPr>
          <w:rFonts w:hint="eastAsia" w:cs="Times New Roman"/>
          <w:snapToGrid w:val="0"/>
          <w:kern w:val="0"/>
          <w:lang w:val="en-US" w:eastAsia="zh-CN"/>
        </w:rPr>
        <w:t>。</w:t>
      </w:r>
    </w:p>
    <w:p>
      <w:pPr>
        <w:pStyle w:val="44"/>
        <w:keepNext w:val="0"/>
        <w:keepLines w:val="0"/>
        <w:pageBreakBefore w:val="0"/>
        <w:widowControl w:val="0"/>
        <w:numPr>
          <w:ilvl w:val="0"/>
          <w:numId w:val="11"/>
        </w:numPr>
        <w:kinsoku/>
        <w:wordWrap/>
        <w:overflowPunct/>
        <w:topLinePunct w:val="0"/>
        <w:autoSpaceDE/>
        <w:autoSpaceDN/>
        <w:bidi w:val="0"/>
        <w:adjustRightInd w:val="0"/>
        <w:snapToGrid w:val="0"/>
        <w:spacing w:after="0"/>
        <w:ind w:left="0" w:leftChars="0" w:firstLine="560" w:firstLineChars="200"/>
        <w:textAlignment w:val="auto"/>
        <w:rPr>
          <w:rFonts w:hint="eastAsia" w:ascii="Times New Roman" w:hAnsi="Times New Roman" w:cs="Times New Roman"/>
          <w:snapToGrid w:val="0"/>
          <w:kern w:val="0"/>
          <w:lang w:val="en-US" w:eastAsia="zh-CN"/>
        </w:rPr>
      </w:pPr>
      <w:r>
        <w:rPr>
          <w:rFonts w:hint="eastAsia" w:ascii="Times New Roman" w:hAnsi="Times New Roman" w:cs="Times New Roman"/>
          <w:snapToGrid w:val="0"/>
          <w:kern w:val="0"/>
          <w:lang w:val="en-US" w:eastAsia="zh-CN"/>
        </w:rPr>
        <w:t>高含硫高产天然气水平井的钻井工艺不成熟</w:t>
      </w:r>
      <w:r>
        <w:rPr>
          <w:rFonts w:hint="eastAsia" w:cs="Times New Roman"/>
          <w:snapToGrid w:val="0"/>
          <w:kern w:val="0"/>
          <w:lang w:val="en-US" w:eastAsia="zh-CN"/>
        </w:rPr>
        <w:t>。</w:t>
      </w:r>
    </w:p>
    <w:p>
      <w:pPr>
        <w:pStyle w:val="44"/>
        <w:keepNext w:val="0"/>
        <w:keepLines w:val="0"/>
        <w:pageBreakBefore w:val="0"/>
        <w:widowControl w:val="0"/>
        <w:numPr>
          <w:ilvl w:val="0"/>
          <w:numId w:val="11"/>
        </w:numPr>
        <w:kinsoku/>
        <w:wordWrap/>
        <w:overflowPunct/>
        <w:topLinePunct w:val="0"/>
        <w:autoSpaceDE/>
        <w:autoSpaceDN/>
        <w:bidi w:val="0"/>
        <w:adjustRightInd w:val="0"/>
        <w:snapToGrid w:val="0"/>
        <w:spacing w:after="0"/>
        <w:ind w:left="0" w:leftChars="0" w:firstLine="560" w:firstLineChars="200"/>
        <w:textAlignment w:val="auto"/>
        <w:rPr>
          <w:rFonts w:hint="eastAsia" w:ascii="Times New Roman" w:hAnsi="Times New Roman" w:cs="Times New Roman"/>
          <w:snapToGrid w:val="0"/>
          <w:kern w:val="0"/>
          <w:lang w:val="en-US" w:eastAsia="zh-CN"/>
        </w:rPr>
      </w:pPr>
      <w:r>
        <w:rPr>
          <w:rFonts w:hint="eastAsia" w:ascii="Times New Roman" w:hAnsi="Times New Roman" w:cs="Times New Roman"/>
          <w:snapToGrid w:val="0"/>
          <w:kern w:val="0"/>
          <w:lang w:val="en-US" w:eastAsia="zh-CN"/>
        </w:rPr>
        <w:t>在起钻前，钻井液循环时间严重不够</w:t>
      </w:r>
      <w:r>
        <w:rPr>
          <w:rFonts w:hint="eastAsia" w:cs="Times New Roman"/>
          <w:snapToGrid w:val="0"/>
          <w:kern w:val="0"/>
          <w:lang w:val="en-US" w:eastAsia="zh-CN"/>
        </w:rPr>
        <w:t>。</w:t>
      </w:r>
    </w:p>
    <w:p>
      <w:pPr>
        <w:pStyle w:val="44"/>
        <w:keepNext w:val="0"/>
        <w:keepLines w:val="0"/>
        <w:pageBreakBefore w:val="0"/>
        <w:widowControl w:val="0"/>
        <w:numPr>
          <w:ilvl w:val="0"/>
          <w:numId w:val="11"/>
        </w:numPr>
        <w:kinsoku/>
        <w:wordWrap/>
        <w:overflowPunct/>
        <w:topLinePunct w:val="0"/>
        <w:autoSpaceDE/>
        <w:autoSpaceDN/>
        <w:bidi w:val="0"/>
        <w:adjustRightInd w:val="0"/>
        <w:snapToGrid w:val="0"/>
        <w:spacing w:after="0"/>
        <w:ind w:left="0" w:leftChars="0" w:firstLine="560" w:firstLineChars="200"/>
        <w:textAlignment w:val="auto"/>
        <w:rPr>
          <w:rFonts w:hint="eastAsia" w:ascii="Times New Roman" w:hAnsi="Times New Roman" w:cs="Times New Roman"/>
          <w:snapToGrid w:val="0"/>
          <w:kern w:val="0"/>
          <w:lang w:val="en-US" w:eastAsia="zh-CN"/>
        </w:rPr>
      </w:pPr>
      <w:r>
        <w:rPr>
          <w:rFonts w:hint="eastAsia" w:ascii="Times New Roman" w:hAnsi="Times New Roman" w:cs="Times New Roman"/>
          <w:snapToGrid w:val="0"/>
          <w:kern w:val="0"/>
          <w:lang w:val="en-US" w:eastAsia="zh-CN"/>
        </w:rPr>
        <w:t>在起钻过程中，违章操作，钻井液灌注不符合规定</w:t>
      </w:r>
      <w:r>
        <w:rPr>
          <w:rFonts w:hint="eastAsia" w:cs="Times New Roman"/>
          <w:snapToGrid w:val="0"/>
          <w:kern w:val="0"/>
          <w:lang w:val="en-US" w:eastAsia="zh-CN"/>
        </w:rPr>
        <w:t>。</w:t>
      </w:r>
    </w:p>
    <w:p>
      <w:pPr>
        <w:pStyle w:val="44"/>
        <w:keepNext w:val="0"/>
        <w:keepLines w:val="0"/>
        <w:pageBreakBefore w:val="0"/>
        <w:widowControl w:val="0"/>
        <w:numPr>
          <w:ilvl w:val="0"/>
          <w:numId w:val="11"/>
        </w:numPr>
        <w:kinsoku/>
        <w:wordWrap/>
        <w:overflowPunct/>
        <w:topLinePunct w:val="0"/>
        <w:autoSpaceDE/>
        <w:autoSpaceDN/>
        <w:bidi w:val="0"/>
        <w:adjustRightInd w:val="0"/>
        <w:snapToGrid w:val="0"/>
        <w:spacing w:after="0"/>
        <w:ind w:left="0" w:leftChars="0" w:firstLine="560" w:firstLineChars="200"/>
        <w:textAlignment w:val="auto"/>
        <w:rPr>
          <w:rFonts w:hint="eastAsia" w:ascii="Times New Roman" w:hAnsi="Times New Roman" w:cs="Times New Roman"/>
          <w:snapToGrid w:val="0"/>
          <w:kern w:val="0"/>
          <w:lang w:val="en-US" w:eastAsia="zh-CN"/>
        </w:rPr>
      </w:pPr>
      <w:r>
        <w:rPr>
          <w:rFonts w:hint="eastAsia" w:ascii="Times New Roman" w:hAnsi="Times New Roman" w:cs="Times New Roman"/>
          <w:snapToGrid w:val="0"/>
          <w:kern w:val="0"/>
          <w:lang w:val="en-US" w:eastAsia="zh-CN"/>
        </w:rPr>
        <w:t>未能及时发现溢流征兆，这些都是导致井喷的主要因素。</w:t>
      </w:r>
    </w:p>
    <w:p>
      <w:pPr>
        <w:pStyle w:val="44"/>
        <w:keepNext w:val="0"/>
        <w:keepLines w:val="0"/>
        <w:pageBreakBefore w:val="0"/>
        <w:widowControl w:val="0"/>
        <w:numPr>
          <w:ilvl w:val="0"/>
          <w:numId w:val="11"/>
        </w:numPr>
        <w:kinsoku/>
        <w:wordWrap/>
        <w:overflowPunct/>
        <w:topLinePunct w:val="0"/>
        <w:autoSpaceDE/>
        <w:autoSpaceDN/>
        <w:bidi w:val="0"/>
        <w:adjustRightInd w:val="0"/>
        <w:snapToGrid w:val="0"/>
        <w:spacing w:after="0"/>
        <w:ind w:left="0" w:leftChars="0" w:firstLine="560" w:firstLineChars="200"/>
        <w:textAlignment w:val="auto"/>
        <w:rPr>
          <w:rFonts w:hint="eastAsia" w:ascii="Times New Roman" w:hAnsi="Times New Roman" w:cs="Times New Roman"/>
          <w:snapToGrid w:val="0"/>
          <w:kern w:val="0"/>
          <w:lang w:val="en-US" w:eastAsia="zh-CN"/>
        </w:rPr>
      </w:pPr>
      <w:r>
        <w:rPr>
          <w:rFonts w:hint="eastAsia" w:ascii="Times New Roman" w:hAnsi="Times New Roman" w:cs="Times New Roman"/>
          <w:snapToGrid w:val="0"/>
          <w:kern w:val="0"/>
          <w:lang w:val="en-US" w:eastAsia="zh-CN"/>
        </w:rPr>
        <w:t>有关人员违章卸掉钻柱上的回压阀，是导致井喷失控的直接原因。</w:t>
      </w:r>
    </w:p>
    <w:p>
      <w:pPr>
        <w:pStyle w:val="44"/>
        <w:keepNext w:val="0"/>
        <w:keepLines w:val="0"/>
        <w:pageBreakBefore w:val="0"/>
        <w:widowControl w:val="0"/>
        <w:numPr>
          <w:ilvl w:val="0"/>
          <w:numId w:val="11"/>
        </w:numPr>
        <w:kinsoku/>
        <w:wordWrap/>
        <w:overflowPunct/>
        <w:topLinePunct w:val="0"/>
        <w:autoSpaceDE/>
        <w:autoSpaceDN/>
        <w:bidi w:val="0"/>
        <w:adjustRightInd w:val="0"/>
        <w:snapToGrid w:val="0"/>
        <w:spacing w:after="0"/>
        <w:ind w:left="0" w:leftChars="0" w:firstLine="560" w:firstLineChars="200"/>
        <w:textAlignment w:val="auto"/>
        <w:rPr>
          <w:rFonts w:hint="eastAsia" w:ascii="Times New Roman" w:hAnsi="Times New Roman" w:cs="Times New Roman"/>
          <w:snapToGrid w:val="0"/>
          <w:kern w:val="0"/>
          <w:lang w:val="en-US" w:eastAsia="zh-CN"/>
        </w:rPr>
      </w:pPr>
      <w:r>
        <w:rPr>
          <w:rFonts w:hint="eastAsia" w:ascii="Times New Roman" w:hAnsi="Times New Roman" w:cs="Times New Roman"/>
          <w:snapToGrid w:val="0"/>
          <w:kern w:val="0"/>
          <w:lang w:val="en-US" w:eastAsia="zh-CN"/>
        </w:rPr>
        <w:t>没有及时采取放喷管线点火措施,大量含有高浓度硫化氢的天然气喷出扩散，周围群众疏散不及时，导致大量人员中毒伤亡。</w:t>
      </w:r>
    </w:p>
    <w:p>
      <w:pPr>
        <w:keepNext/>
        <w:keepLines/>
        <w:widowControl w:val="0"/>
        <w:adjustRightInd w:val="0"/>
        <w:snapToGrid w:val="0"/>
        <w:spacing w:beforeLines="0" w:afterLines="0" w:line="360" w:lineRule="auto"/>
        <w:ind w:firstLine="0" w:firstLineChars="0"/>
        <w:jc w:val="left"/>
        <w:outlineLvl w:val="2"/>
        <w:rPr>
          <w:rFonts w:ascii="Times New Roman" w:hAnsi="Times New Roman" w:eastAsia="宋体" w:cs="Times New Roman"/>
          <w:b w:val="0"/>
          <w:bCs w:val="0"/>
          <w:kern w:val="2"/>
          <w:sz w:val="28"/>
          <w:szCs w:val="28"/>
          <w:lang w:val="en-US" w:eastAsia="zh-CN" w:bidi="ar-SA"/>
        </w:rPr>
      </w:pPr>
      <w:r>
        <w:rPr>
          <w:rFonts w:ascii="Times New Roman" w:hAnsi="Times New Roman" w:eastAsia="宋体" w:cs="Times New Roman"/>
          <w:b w:val="0"/>
          <w:bCs w:val="0"/>
          <w:kern w:val="2"/>
          <w:sz w:val="28"/>
          <w:szCs w:val="28"/>
          <w:lang w:val="en-US" w:eastAsia="zh-CN" w:bidi="ar-SA"/>
        </w:rPr>
        <w:t>3.</w:t>
      </w:r>
      <w:r>
        <w:rPr>
          <w:rFonts w:hint="eastAsia" w:cs="Times New Roman"/>
          <w:b w:val="0"/>
          <w:bCs w:val="0"/>
          <w:kern w:val="2"/>
          <w:sz w:val="28"/>
          <w:szCs w:val="28"/>
          <w:lang w:val="en-US" w:eastAsia="zh-CN" w:bidi="ar-SA"/>
        </w:rPr>
        <w:t>10</w:t>
      </w:r>
      <w:r>
        <w:rPr>
          <w:rFonts w:ascii="Times New Roman" w:hAnsi="Times New Roman" w:eastAsia="宋体" w:cs="Times New Roman"/>
          <w:b w:val="0"/>
          <w:bCs w:val="0"/>
          <w:kern w:val="2"/>
          <w:sz w:val="28"/>
          <w:szCs w:val="28"/>
          <w:lang w:val="en-US" w:eastAsia="zh-CN" w:bidi="ar-SA"/>
        </w:rPr>
        <w:t>.</w:t>
      </w:r>
      <w:r>
        <w:rPr>
          <w:rFonts w:hint="eastAsia" w:cs="Times New Roman"/>
          <w:b w:val="0"/>
          <w:bCs w:val="0"/>
          <w:kern w:val="2"/>
          <w:sz w:val="28"/>
          <w:szCs w:val="28"/>
          <w:lang w:val="en-US" w:eastAsia="zh-CN" w:bidi="ar-SA"/>
        </w:rPr>
        <w:t>2</w:t>
      </w:r>
      <w:r>
        <w:rPr>
          <w:rFonts w:ascii="Times New Roman" w:hAnsi="Times New Roman" w:eastAsia="宋体" w:cs="Times New Roman"/>
          <w:b w:val="0"/>
          <w:bCs w:val="0"/>
          <w:kern w:val="2"/>
          <w:sz w:val="28"/>
          <w:szCs w:val="28"/>
          <w:lang w:val="en-US" w:eastAsia="zh-CN" w:bidi="ar-SA"/>
        </w:rPr>
        <w:t xml:space="preserve"> </w:t>
      </w:r>
      <w:r>
        <w:rPr>
          <w:rFonts w:hint="eastAsia" w:ascii="Times New Roman" w:hAnsi="Times New Roman" w:eastAsia="宋体" w:cs="Times New Roman"/>
          <w:b w:val="0"/>
          <w:bCs w:val="0"/>
          <w:kern w:val="2"/>
          <w:sz w:val="28"/>
          <w:szCs w:val="28"/>
          <w:lang w:val="en-US" w:eastAsia="zh-CN" w:bidi="ar-SA"/>
        </w:rPr>
        <w:t xml:space="preserve"> 32201</w:t>
      </w:r>
      <w:r>
        <w:rPr>
          <w:rFonts w:hint="eastAsia" w:ascii="黑体" w:hAnsi="黑体" w:eastAsia="黑体" w:cs="黑体"/>
          <w:b w:val="0"/>
          <w:bCs w:val="0"/>
          <w:kern w:val="2"/>
          <w:sz w:val="28"/>
          <w:szCs w:val="28"/>
          <w:lang w:val="en-US" w:eastAsia="zh-CN" w:bidi="ar-SA"/>
        </w:rPr>
        <w:t>队物体打击死亡事故</w:t>
      </w:r>
    </w:p>
    <w:p>
      <w:pPr>
        <w:ind w:firstLine="560"/>
        <w:rPr>
          <w:rFonts w:hint="eastAsia" w:ascii="Times New Roman" w:hAnsi="Times New Roman" w:cs="Times New Roman"/>
          <w:snapToGrid w:val="0"/>
          <w:kern w:val="0"/>
          <w:lang w:val="en-US" w:eastAsia="zh-CN"/>
        </w:rPr>
      </w:pPr>
      <w:r>
        <w:rPr>
          <w:rFonts w:hint="eastAsia" w:ascii="Times New Roman" w:hAnsi="Times New Roman" w:cs="Times New Roman"/>
          <w:snapToGrid w:val="0"/>
          <w:kern w:val="0"/>
          <w:lang w:val="en-US" w:eastAsia="zh-CN"/>
        </w:rPr>
        <w:t>一、事故经过</w:t>
      </w:r>
    </w:p>
    <w:p>
      <w:pPr>
        <w:ind w:firstLine="560"/>
        <w:rPr>
          <w:rFonts w:hint="eastAsia" w:ascii="Times New Roman" w:hAnsi="Times New Roman" w:cs="Times New Roman"/>
          <w:snapToGrid w:val="0"/>
          <w:kern w:val="0"/>
        </w:rPr>
      </w:pPr>
      <w:r>
        <w:rPr>
          <w:rFonts w:hint="eastAsia" w:ascii="Times New Roman" w:hAnsi="Times New Roman" w:cs="Times New Roman"/>
          <w:snapToGrid w:val="0"/>
          <w:kern w:val="0"/>
        </w:rPr>
        <w:t>1990年12月5日，32201钻井四班在联28井进行完井甩钻具作业至14:25，当时已甩到第27柱加重钻杆，钻台上共有8人配合作业(包括队干部和大班)</w:t>
      </w:r>
      <w:r>
        <w:rPr>
          <w:rFonts w:hint="eastAsia" w:ascii="Times New Roman" w:hAnsi="Times New Roman" w:cs="Times New Roman"/>
          <w:snapToGrid w:val="0"/>
          <w:kern w:val="0"/>
          <w:lang w:eastAsia="zh-CN"/>
        </w:rPr>
        <w:t>，</w:t>
      </w:r>
      <w:r>
        <w:rPr>
          <w:rFonts w:hint="eastAsia" w:ascii="Times New Roman" w:hAnsi="Times New Roman" w:cs="Times New Roman"/>
          <w:snapToGrid w:val="0"/>
          <w:kern w:val="0"/>
        </w:rPr>
        <w:t>在推卸下的钻铤单根到大门坡道时，听到一声响后，二层操作台落在井架左大腿处，将姚</w:t>
      </w:r>
      <w:r>
        <w:rPr>
          <w:rFonts w:hint="eastAsia" w:ascii="Times New Roman" w:hAnsi="Times New Roman" w:cs="Times New Roman"/>
          <w:snapToGrid w:val="0"/>
          <w:kern w:val="0"/>
          <w:lang w:val="en-US" w:eastAsia="zh-CN"/>
        </w:rPr>
        <w:t>某</w:t>
      </w:r>
      <w:r>
        <w:rPr>
          <w:rFonts w:hint="eastAsia" w:ascii="Times New Roman" w:hAnsi="Times New Roman" w:cs="Times New Roman"/>
          <w:snapToGrid w:val="0"/>
          <w:kern w:val="0"/>
        </w:rPr>
        <w:t>砸伤(当时的情况及在什么部位，没有人看到)，后送医院抢救，因颅脑重度损失，颈1-2滑脱伴颈骨损伤，伤势严重抢救无效死亡。</w:t>
      </w:r>
    </w:p>
    <w:p>
      <w:pPr>
        <w:ind w:firstLine="560"/>
        <w:rPr>
          <w:rFonts w:hint="eastAsia" w:ascii="Times New Roman" w:hAnsi="Times New Roman" w:cs="Times New Roman"/>
          <w:snapToGrid w:val="0"/>
          <w:kern w:val="0"/>
        </w:rPr>
      </w:pPr>
      <w:r>
        <w:rPr>
          <w:rFonts w:hint="eastAsia" w:ascii="Times New Roman" w:hAnsi="Times New Roman" w:cs="Times New Roman"/>
          <w:snapToGrid w:val="0"/>
          <w:kern w:val="0"/>
          <w:lang w:val="en-US" w:eastAsia="zh-CN"/>
        </w:rPr>
        <w:t>二、</w:t>
      </w:r>
      <w:r>
        <w:rPr>
          <w:rFonts w:hint="eastAsia" w:ascii="Times New Roman" w:hAnsi="Times New Roman" w:cs="Times New Roman"/>
          <w:snapToGrid w:val="0"/>
          <w:kern w:val="0"/>
        </w:rPr>
        <w:t>事故原因</w:t>
      </w:r>
    </w:p>
    <w:p>
      <w:pPr>
        <w:ind w:firstLine="560"/>
        <w:rPr>
          <w:rFonts w:hint="eastAsia" w:ascii="Times New Roman" w:hAnsi="Times New Roman" w:cs="Times New Roman"/>
          <w:snapToGrid w:val="0"/>
          <w:kern w:val="0"/>
        </w:rPr>
      </w:pPr>
      <w:r>
        <w:rPr>
          <w:rFonts w:hint="eastAsia" w:ascii="Times New Roman" w:hAnsi="Times New Roman" w:cs="Times New Roman"/>
          <w:snapToGrid w:val="0"/>
          <w:kern w:val="0"/>
          <w:lang w:eastAsia="zh-CN"/>
        </w:rPr>
        <w:t>（</w:t>
      </w:r>
      <w:r>
        <w:rPr>
          <w:rFonts w:hint="eastAsia" w:ascii="Times New Roman" w:hAnsi="Times New Roman" w:cs="Times New Roman"/>
          <w:snapToGrid w:val="0"/>
          <w:kern w:val="0"/>
        </w:rPr>
        <w:t>1</w:t>
      </w:r>
      <w:r>
        <w:rPr>
          <w:rFonts w:hint="eastAsia" w:ascii="Times New Roman" w:hAnsi="Times New Roman" w:cs="Times New Roman"/>
          <w:snapToGrid w:val="0"/>
          <w:kern w:val="0"/>
          <w:lang w:eastAsia="zh-CN"/>
        </w:rPr>
        <w:t>）</w:t>
      </w:r>
      <w:r>
        <w:rPr>
          <w:rFonts w:hint="eastAsia" w:ascii="Times New Roman" w:hAnsi="Times New Roman" w:cs="Times New Roman"/>
          <w:snapToGrid w:val="0"/>
          <w:kern w:val="0"/>
        </w:rPr>
        <w:t>二层操作台前、后台绞链支座的耳板采用A3热轧钢板强度不够适应低周、大应力载荷下的工况要求，留下了事故隐患。</w:t>
      </w:r>
    </w:p>
    <w:p>
      <w:pPr>
        <w:ind w:firstLine="560"/>
        <w:rPr>
          <w:rFonts w:hint="eastAsia" w:ascii="Times New Roman" w:hAnsi="Times New Roman" w:cs="Times New Roman"/>
          <w:snapToGrid w:val="0"/>
          <w:kern w:val="0"/>
        </w:rPr>
      </w:pPr>
      <w:r>
        <w:rPr>
          <w:rFonts w:hint="eastAsia" w:ascii="Times New Roman" w:hAnsi="Times New Roman" w:cs="Times New Roman"/>
          <w:snapToGrid w:val="0"/>
          <w:kern w:val="0"/>
          <w:lang w:eastAsia="zh-CN"/>
        </w:rPr>
        <w:t>（</w:t>
      </w:r>
      <w:r>
        <w:rPr>
          <w:rFonts w:hint="eastAsia" w:ascii="Times New Roman" w:hAnsi="Times New Roman" w:cs="Times New Roman"/>
          <w:snapToGrid w:val="0"/>
          <w:kern w:val="0"/>
        </w:rPr>
        <w:t>2</w:t>
      </w:r>
      <w:r>
        <w:rPr>
          <w:rFonts w:hint="eastAsia" w:ascii="Times New Roman" w:hAnsi="Times New Roman" w:cs="Times New Roman"/>
          <w:snapToGrid w:val="0"/>
          <w:kern w:val="0"/>
          <w:lang w:eastAsia="zh-CN"/>
        </w:rPr>
        <w:t>）</w:t>
      </w:r>
      <w:r>
        <w:rPr>
          <w:rFonts w:hint="eastAsia" w:ascii="Times New Roman" w:hAnsi="Times New Roman" w:cs="Times New Roman"/>
          <w:snapToGrid w:val="0"/>
          <w:kern w:val="0"/>
        </w:rPr>
        <w:t>二层操作台前、后台绞链支座的耳板制作工艺粗糙，整块耳板用手工气割而成，从而诱发了疲劳裂纹。</w:t>
      </w:r>
    </w:p>
    <w:p>
      <w:pPr>
        <w:ind w:firstLine="560"/>
        <w:rPr>
          <w:rFonts w:hint="eastAsia" w:ascii="Times New Roman" w:hAnsi="Times New Roman" w:cs="Times New Roman"/>
          <w:snapToGrid w:val="0"/>
          <w:kern w:val="0"/>
        </w:rPr>
      </w:pPr>
      <w:r>
        <w:rPr>
          <w:rFonts w:hint="eastAsia" w:ascii="Times New Roman" w:hAnsi="Times New Roman" w:cs="Times New Roman"/>
          <w:snapToGrid w:val="0"/>
          <w:kern w:val="0"/>
          <w:lang w:eastAsia="zh-CN"/>
        </w:rPr>
        <w:t>（</w:t>
      </w:r>
      <w:r>
        <w:rPr>
          <w:rFonts w:hint="eastAsia" w:ascii="Times New Roman" w:hAnsi="Times New Roman" w:cs="Times New Roman"/>
          <w:snapToGrid w:val="0"/>
          <w:kern w:val="0"/>
        </w:rPr>
        <w:t>3</w:t>
      </w:r>
      <w:r>
        <w:rPr>
          <w:rFonts w:hint="eastAsia" w:ascii="Times New Roman" w:hAnsi="Times New Roman" w:cs="Times New Roman"/>
          <w:snapToGrid w:val="0"/>
          <w:kern w:val="0"/>
          <w:lang w:eastAsia="zh-CN"/>
        </w:rPr>
        <w:t>）</w:t>
      </w:r>
      <w:r>
        <w:rPr>
          <w:rFonts w:hint="eastAsia" w:ascii="Times New Roman" w:hAnsi="Times New Roman" w:cs="Times New Roman"/>
          <w:snapToGrid w:val="0"/>
          <w:kern w:val="0"/>
        </w:rPr>
        <w:t>二层操作台前、后台绞链支座的耳板结构设计不合理。</w:t>
      </w:r>
    </w:p>
    <w:p>
      <w:pPr>
        <w:ind w:firstLine="560"/>
        <w:rPr>
          <w:rFonts w:hint="eastAsia" w:ascii="Times New Roman" w:hAnsi="Times New Roman" w:cs="Times New Roman"/>
          <w:snapToGrid w:val="0"/>
          <w:kern w:val="0"/>
        </w:rPr>
      </w:pPr>
      <w:r>
        <w:rPr>
          <w:rFonts w:hint="eastAsia" w:ascii="Times New Roman" w:hAnsi="Times New Roman" w:cs="Times New Roman"/>
          <w:snapToGrid w:val="0"/>
          <w:kern w:val="0"/>
          <w:lang w:eastAsia="zh-CN"/>
        </w:rPr>
        <w:t>（</w:t>
      </w:r>
      <w:r>
        <w:rPr>
          <w:rFonts w:hint="eastAsia" w:ascii="Times New Roman" w:hAnsi="Times New Roman" w:cs="Times New Roman"/>
          <w:snapToGrid w:val="0"/>
          <w:kern w:val="0"/>
        </w:rPr>
        <w:t>4</w:t>
      </w:r>
      <w:r>
        <w:rPr>
          <w:rFonts w:hint="eastAsia" w:ascii="Times New Roman" w:hAnsi="Times New Roman" w:cs="Times New Roman"/>
          <w:snapToGrid w:val="0"/>
          <w:kern w:val="0"/>
          <w:lang w:eastAsia="zh-CN"/>
        </w:rPr>
        <w:t>）</w:t>
      </w:r>
      <w:r>
        <w:rPr>
          <w:rFonts w:hint="eastAsia" w:ascii="Times New Roman" w:hAnsi="Times New Roman" w:cs="Times New Roman"/>
          <w:snapToGrid w:val="0"/>
          <w:kern w:val="0"/>
        </w:rPr>
        <w:t>操作台前、后台绞链支座采用单耳板结构不合理。</w:t>
      </w:r>
    </w:p>
    <w:p>
      <w:pPr>
        <w:ind w:firstLine="560"/>
        <w:rPr>
          <w:rFonts w:hint="eastAsia" w:ascii="Times New Roman" w:hAnsi="Times New Roman" w:cs="Times New Roman"/>
          <w:snapToGrid w:val="0"/>
          <w:kern w:val="0"/>
        </w:rPr>
      </w:pPr>
      <w:r>
        <w:rPr>
          <w:rFonts w:hint="eastAsia" w:ascii="Times New Roman" w:hAnsi="Times New Roman" w:cs="Times New Roman"/>
          <w:snapToGrid w:val="0"/>
          <w:kern w:val="0"/>
          <w:lang w:eastAsia="zh-CN"/>
        </w:rPr>
        <w:t>（</w:t>
      </w:r>
      <w:r>
        <w:rPr>
          <w:rFonts w:hint="eastAsia" w:ascii="Times New Roman" w:hAnsi="Times New Roman" w:cs="Times New Roman"/>
          <w:snapToGrid w:val="0"/>
          <w:kern w:val="0"/>
          <w:lang w:val="en-US" w:eastAsia="zh-CN"/>
        </w:rPr>
        <w:t>5</w:t>
      </w:r>
      <w:r>
        <w:rPr>
          <w:rFonts w:hint="eastAsia" w:ascii="Times New Roman" w:hAnsi="Times New Roman" w:cs="Times New Roman"/>
          <w:snapToGrid w:val="0"/>
          <w:kern w:val="0"/>
          <w:lang w:eastAsia="zh-CN"/>
        </w:rPr>
        <w:t>）</w:t>
      </w:r>
      <w:r>
        <w:rPr>
          <w:rFonts w:hint="eastAsia" w:ascii="Times New Roman" w:hAnsi="Times New Roman" w:cs="Times New Roman"/>
          <w:snapToGrid w:val="0"/>
          <w:kern w:val="0"/>
        </w:rPr>
        <w:t>二层台前台无任何防坠落保险装置。</w:t>
      </w:r>
    </w:p>
    <w:p>
      <w:pPr>
        <w:keepNext/>
        <w:keepLines/>
        <w:widowControl w:val="0"/>
        <w:adjustRightInd w:val="0"/>
        <w:snapToGrid w:val="0"/>
        <w:spacing w:beforeLines="0" w:afterLines="0" w:line="360" w:lineRule="auto"/>
        <w:ind w:firstLine="0" w:firstLineChars="0"/>
        <w:jc w:val="left"/>
        <w:outlineLvl w:val="2"/>
        <w:rPr>
          <w:rFonts w:ascii="Times New Roman" w:hAnsi="Times New Roman" w:eastAsia="宋体" w:cs="Times New Roman"/>
          <w:b/>
          <w:bCs/>
          <w:kern w:val="2"/>
          <w:sz w:val="28"/>
          <w:szCs w:val="28"/>
          <w:lang w:val="en-US" w:eastAsia="zh-CN" w:bidi="ar-SA"/>
        </w:rPr>
      </w:pPr>
      <w:r>
        <w:rPr>
          <w:rFonts w:ascii="Times New Roman" w:hAnsi="Times New Roman" w:eastAsia="宋体" w:cs="Times New Roman"/>
          <w:b w:val="0"/>
          <w:bCs w:val="0"/>
          <w:kern w:val="2"/>
          <w:sz w:val="28"/>
          <w:szCs w:val="28"/>
          <w:lang w:val="en-US" w:eastAsia="zh-CN" w:bidi="ar-SA"/>
        </w:rPr>
        <w:t>3.</w:t>
      </w:r>
      <w:r>
        <w:rPr>
          <w:rFonts w:hint="eastAsia" w:cs="Times New Roman"/>
          <w:b w:val="0"/>
          <w:bCs w:val="0"/>
          <w:kern w:val="2"/>
          <w:sz w:val="28"/>
          <w:szCs w:val="28"/>
          <w:lang w:val="en-US" w:eastAsia="zh-CN" w:bidi="ar-SA"/>
        </w:rPr>
        <w:t>10</w:t>
      </w:r>
      <w:r>
        <w:rPr>
          <w:rFonts w:ascii="Times New Roman" w:hAnsi="Times New Roman" w:eastAsia="宋体" w:cs="Times New Roman"/>
          <w:b w:val="0"/>
          <w:bCs w:val="0"/>
          <w:kern w:val="2"/>
          <w:sz w:val="28"/>
          <w:szCs w:val="28"/>
          <w:lang w:val="en-US" w:eastAsia="zh-CN" w:bidi="ar-SA"/>
        </w:rPr>
        <w:t>.</w:t>
      </w:r>
      <w:r>
        <w:rPr>
          <w:rFonts w:hint="eastAsia" w:cs="Times New Roman"/>
          <w:b w:val="0"/>
          <w:bCs w:val="0"/>
          <w:kern w:val="2"/>
          <w:sz w:val="28"/>
          <w:szCs w:val="28"/>
          <w:lang w:val="en-US" w:eastAsia="zh-CN" w:bidi="ar-SA"/>
        </w:rPr>
        <w:t>3</w:t>
      </w:r>
      <w:r>
        <w:rPr>
          <w:rFonts w:ascii="Times New Roman" w:hAnsi="Times New Roman" w:eastAsia="宋体" w:cs="Times New Roman"/>
          <w:b w:val="0"/>
          <w:bCs w:val="0"/>
          <w:kern w:val="2"/>
          <w:sz w:val="28"/>
          <w:szCs w:val="28"/>
          <w:lang w:val="en-US" w:eastAsia="zh-CN" w:bidi="ar-SA"/>
        </w:rPr>
        <w:t xml:space="preserve"> </w:t>
      </w:r>
      <w:r>
        <w:rPr>
          <w:rFonts w:hint="eastAsia" w:ascii="Times New Roman" w:hAnsi="Times New Roman" w:eastAsia="宋体" w:cs="Times New Roman"/>
          <w:b w:val="0"/>
          <w:bCs w:val="0"/>
          <w:kern w:val="2"/>
          <w:sz w:val="28"/>
          <w:szCs w:val="28"/>
          <w:lang w:val="en-US" w:eastAsia="zh-CN" w:bidi="ar-SA"/>
        </w:rPr>
        <w:t xml:space="preserve"> </w:t>
      </w:r>
      <w:r>
        <w:rPr>
          <w:rFonts w:hint="eastAsia" w:ascii="黑体" w:hAnsi="黑体" w:eastAsia="黑体" w:cs="黑体"/>
          <w:b w:val="0"/>
          <w:bCs w:val="0"/>
          <w:kern w:val="2"/>
          <w:sz w:val="28"/>
          <w:szCs w:val="28"/>
          <w:lang w:val="en-US" w:eastAsia="zh-CN" w:bidi="ar-SA"/>
        </w:rPr>
        <w:t>中原油田高处坠落死亡事故</w:t>
      </w:r>
    </w:p>
    <w:p>
      <w:pPr>
        <w:bidi w:val="0"/>
        <w:rPr>
          <w:rFonts w:hint="default" w:ascii="Times New Roman" w:hAnsi="Times New Roman" w:eastAsia="宋体" w:cs="Times New Roman"/>
          <w:snapToGrid w:val="0"/>
          <w:kern w:val="0"/>
          <w:lang w:val="en-US" w:eastAsia="zh-CN"/>
        </w:rPr>
      </w:pPr>
      <w:r>
        <w:rPr>
          <w:rFonts w:hint="eastAsia" w:ascii="Times New Roman" w:hAnsi="Times New Roman" w:cs="Times New Roman"/>
          <w:snapToGrid w:val="0"/>
          <w:kern w:val="0"/>
          <w:lang w:val="en-US" w:eastAsia="zh-CN"/>
        </w:rPr>
        <w:t>一、事故经过</w:t>
      </w:r>
    </w:p>
    <w:p>
      <w:pPr>
        <w:bidi w:val="0"/>
        <w:rPr>
          <w:rFonts w:hint="eastAsia" w:ascii="Times New Roman" w:hAnsi="Times New Roman" w:cs="Times New Roman"/>
          <w:snapToGrid w:val="0"/>
          <w:kern w:val="0"/>
        </w:rPr>
      </w:pPr>
      <w:r>
        <w:rPr>
          <w:rFonts w:hint="eastAsia" w:ascii="Times New Roman" w:hAnsi="Times New Roman" w:cs="Times New Roman"/>
          <w:snapToGrid w:val="0"/>
          <w:kern w:val="0"/>
        </w:rPr>
        <w:t>2002年5月21日3</w:t>
      </w:r>
      <w:r>
        <w:rPr>
          <w:rFonts w:hint="eastAsia" w:ascii="Times New Roman" w:hAnsi="Times New Roman" w:cs="Times New Roman"/>
          <w:snapToGrid w:val="0"/>
          <w:kern w:val="0"/>
          <w:lang w:val="en-US" w:eastAsia="zh-CN"/>
        </w:rPr>
        <w:t>:</w:t>
      </w:r>
      <w:r>
        <w:rPr>
          <w:rFonts w:hint="eastAsia" w:ascii="Times New Roman" w:hAnsi="Times New Roman" w:cs="Times New Roman"/>
          <w:snapToGrid w:val="0"/>
          <w:kern w:val="0"/>
        </w:rPr>
        <w:t>20，中原油田钻井四公司32958钻井队在濮85-21井钻至井深3165米时，发生井漏，于3</w:t>
      </w:r>
      <w:r>
        <w:rPr>
          <w:rFonts w:hint="eastAsia" w:ascii="Times New Roman" w:hAnsi="Times New Roman" w:cs="Times New Roman"/>
          <w:snapToGrid w:val="0"/>
          <w:kern w:val="0"/>
          <w:lang w:val="en-US" w:eastAsia="zh-CN"/>
        </w:rPr>
        <w:t>:</w:t>
      </w:r>
      <w:r>
        <w:rPr>
          <w:rFonts w:hint="eastAsia" w:ascii="Times New Roman" w:hAnsi="Times New Roman" w:cs="Times New Roman"/>
          <w:snapToGrid w:val="0"/>
          <w:kern w:val="0"/>
        </w:rPr>
        <w:t>30起钻，钻井二班4</w:t>
      </w:r>
      <w:r>
        <w:rPr>
          <w:rFonts w:hint="eastAsia" w:ascii="Times New Roman" w:hAnsi="Times New Roman" w:cs="Times New Roman"/>
          <w:snapToGrid w:val="0"/>
          <w:kern w:val="0"/>
          <w:lang w:val="en-US" w:eastAsia="zh-CN"/>
        </w:rPr>
        <w:t>:</w:t>
      </w:r>
      <w:r>
        <w:rPr>
          <w:rFonts w:hint="eastAsia" w:ascii="Times New Roman" w:hAnsi="Times New Roman" w:cs="Times New Roman"/>
          <w:snapToGrid w:val="0"/>
          <w:kern w:val="0"/>
        </w:rPr>
        <w:t>00接班，司钻郭聚显操作刹把继续起钻。中途遇卡，上提下放活动钻具时，大钩与水龙头脱钩,水龙头倒靠在井架立管台略偏立管一侧。因井口钻具不居中，队长耿建华指挥扣上了一只吊卡。司钻郭聚显带领井架工徐晖、场地工刘红印上立管平台准备将电动绞车拉水龙头挂在大钩上，7</w:t>
      </w:r>
      <w:r>
        <w:rPr>
          <w:rFonts w:hint="eastAsia" w:ascii="Times New Roman" w:hAnsi="Times New Roman" w:cs="Times New Roman"/>
          <w:snapToGrid w:val="0"/>
          <w:kern w:val="0"/>
          <w:lang w:val="en-US" w:eastAsia="zh-CN"/>
        </w:rPr>
        <w:t>:</w:t>
      </w:r>
      <w:r>
        <w:rPr>
          <w:rFonts w:hint="eastAsia" w:ascii="Times New Roman" w:hAnsi="Times New Roman" w:cs="Times New Roman"/>
          <w:snapToGrid w:val="0"/>
          <w:kern w:val="0"/>
        </w:rPr>
        <w:t>00郭、刘、徐3人刚进入立管台，还没来得及实施动作，钻具突然解卡下滑，斜倒在立管平台上的水龙头压住立管平台将其拉脱掉在钻台上，郭聚显等3人随同立管平台从16米高处一起摔落在钻台上，送医院抢救无效死亡。</w:t>
      </w:r>
    </w:p>
    <w:p>
      <w:pPr>
        <w:pStyle w:val="2"/>
        <w:keepNext w:val="0"/>
        <w:keepLines w:val="0"/>
        <w:pageBreakBefore w:val="0"/>
        <w:widowControl w:val="0"/>
        <w:numPr>
          <w:ilvl w:val="0"/>
          <w:numId w:val="12"/>
        </w:numPr>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snapToGrid w:val="0"/>
          <w:kern w:val="0"/>
          <w:lang w:val="en-US" w:eastAsia="zh-CN"/>
        </w:rPr>
      </w:pPr>
      <w:r>
        <w:rPr>
          <w:rFonts w:hint="eastAsia" w:ascii="Times New Roman" w:hAnsi="Times New Roman" w:cs="Times New Roman"/>
          <w:snapToGrid w:val="0"/>
          <w:kern w:val="0"/>
          <w:lang w:val="en-US" w:eastAsia="zh-CN"/>
        </w:rPr>
        <w:t>事故原因</w:t>
      </w:r>
    </w:p>
    <w:p>
      <w:pPr>
        <w:ind w:firstLine="560"/>
        <w:rPr>
          <w:rFonts w:hint="default" w:ascii="Times New Roman" w:hAnsi="Times New Roman" w:cs="Times New Roman"/>
          <w:snapToGrid w:val="0"/>
          <w:kern w:val="0"/>
          <w:lang w:val="en-US" w:eastAsia="zh-CN"/>
        </w:rPr>
      </w:pPr>
      <w:r>
        <w:rPr>
          <w:rFonts w:hint="default" w:ascii="Times New Roman" w:hAnsi="Times New Roman" w:cs="Times New Roman"/>
          <w:snapToGrid w:val="0"/>
          <w:kern w:val="0"/>
          <w:lang w:val="en-US" w:eastAsia="zh-CN"/>
        </w:rPr>
        <w:t>1、直接原因:</w:t>
      </w:r>
    </w:p>
    <w:p>
      <w:pPr>
        <w:ind w:firstLine="560"/>
        <w:rPr>
          <w:rFonts w:hint="default" w:ascii="Times New Roman" w:hAnsi="Times New Roman" w:cs="Times New Roman"/>
          <w:snapToGrid w:val="0"/>
          <w:kern w:val="0"/>
          <w:lang w:val="en-US" w:eastAsia="zh-CN"/>
        </w:rPr>
      </w:pPr>
      <w:r>
        <w:rPr>
          <w:rFonts w:hint="eastAsia" w:ascii="Times New Roman" w:hAnsi="Times New Roman" w:cs="Times New Roman"/>
          <w:snapToGrid w:val="0"/>
          <w:kern w:val="0"/>
          <w:lang w:val="en-US" w:eastAsia="zh-CN"/>
        </w:rPr>
        <w:t>（</w:t>
      </w:r>
      <w:r>
        <w:rPr>
          <w:rFonts w:hint="default" w:ascii="Times New Roman" w:hAnsi="Times New Roman" w:cs="Times New Roman"/>
          <w:snapToGrid w:val="0"/>
          <w:kern w:val="0"/>
          <w:lang w:val="en-US" w:eastAsia="zh-CN"/>
        </w:rPr>
        <w:t>1</w:t>
      </w:r>
      <w:r>
        <w:rPr>
          <w:rFonts w:hint="eastAsia" w:ascii="Times New Roman" w:hAnsi="Times New Roman" w:cs="Times New Roman"/>
          <w:snapToGrid w:val="0"/>
          <w:kern w:val="0"/>
          <w:lang w:val="en-US" w:eastAsia="zh-CN"/>
        </w:rPr>
        <w:t>）</w:t>
      </w:r>
      <w:r>
        <w:rPr>
          <w:rFonts w:hint="default" w:ascii="Times New Roman" w:hAnsi="Times New Roman" w:cs="Times New Roman"/>
          <w:snapToGrid w:val="0"/>
          <w:kern w:val="0"/>
          <w:lang w:val="en-US" w:eastAsia="zh-CN"/>
        </w:rPr>
        <w:t>起钻阻卡操作处理违反安全操作规程，下砸吨位过大，下放速度过快，导致水龙头脱离大钩后，使水龙头方钻杆倒靠在立管台。</w:t>
      </w:r>
    </w:p>
    <w:p>
      <w:pPr>
        <w:ind w:firstLine="560"/>
        <w:rPr>
          <w:rFonts w:hint="default" w:ascii="Times New Roman" w:hAnsi="Times New Roman" w:cs="Times New Roman"/>
          <w:snapToGrid w:val="0"/>
          <w:kern w:val="0"/>
          <w:lang w:val="en-US" w:eastAsia="zh-CN"/>
        </w:rPr>
      </w:pPr>
      <w:r>
        <w:rPr>
          <w:rFonts w:hint="eastAsia" w:ascii="Times New Roman" w:hAnsi="Times New Roman" w:cs="Times New Roman"/>
          <w:snapToGrid w:val="0"/>
          <w:kern w:val="0"/>
          <w:lang w:val="en-US" w:eastAsia="zh-CN"/>
        </w:rPr>
        <w:t>（2）</w:t>
      </w:r>
      <w:r>
        <w:rPr>
          <w:rFonts w:hint="default" w:ascii="Times New Roman" w:hAnsi="Times New Roman" w:cs="Times New Roman"/>
          <w:snapToGrid w:val="0"/>
          <w:kern w:val="0"/>
          <w:lang w:val="en-US" w:eastAsia="zh-CN"/>
        </w:rPr>
        <w:t>水龙头脱离大钩后所采取的处理措施不当。本应立即座牢深井卡瓦，然后处理水龙头脱钩故障。</w:t>
      </w:r>
    </w:p>
    <w:p>
      <w:pPr>
        <w:ind w:firstLine="560"/>
        <w:rPr>
          <w:rFonts w:hint="default" w:ascii="Times New Roman" w:hAnsi="Times New Roman" w:cs="Times New Roman"/>
          <w:snapToGrid w:val="0"/>
          <w:kern w:val="0"/>
          <w:lang w:val="en-US" w:eastAsia="zh-CN"/>
        </w:rPr>
      </w:pPr>
      <w:r>
        <w:rPr>
          <w:rFonts w:hint="eastAsia" w:ascii="Times New Roman" w:hAnsi="Times New Roman" w:cs="Times New Roman"/>
          <w:snapToGrid w:val="0"/>
          <w:kern w:val="0"/>
          <w:lang w:val="en-US" w:eastAsia="zh-CN"/>
        </w:rPr>
        <w:t>（3）</w:t>
      </w:r>
      <w:r>
        <w:rPr>
          <w:rFonts w:hint="default" w:ascii="Times New Roman" w:hAnsi="Times New Roman" w:cs="Times New Roman"/>
          <w:snapToGrid w:val="0"/>
          <w:kern w:val="0"/>
          <w:lang w:val="en-US" w:eastAsia="zh-CN"/>
        </w:rPr>
        <w:t>队长组织处理水龙头脱大钩时，由于肓目过急处理，在无稳妥安全措施的情况下，6人立即登上井架,准备用电动绞车拉水龙头进大钩。当其中走在前面的3人刚进入立管台时，井下解卡，水龙头方钻杆下滑约1.5米过程中，将立管台挂落。导致3人随立管台一起坠落钻台。</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lang w:val="en-US" w:eastAsia="zh-CN"/>
        </w:rPr>
      </w:pPr>
      <w:r>
        <w:rPr>
          <w:rFonts w:hint="default"/>
          <w:lang w:val="en-US" w:eastAsia="zh-CN"/>
        </w:rPr>
        <w:t>2、间接原因和其他安全隐患</w:t>
      </w:r>
      <w:r>
        <w:rPr>
          <w:rFonts w:hint="eastAsia"/>
          <w:lang w:val="en-US" w:eastAsia="zh-CN"/>
        </w:rPr>
        <w:t>:</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lang w:val="en-US" w:eastAsia="zh-CN"/>
        </w:rPr>
      </w:pPr>
      <w:r>
        <w:rPr>
          <w:rFonts w:hint="eastAsia"/>
          <w:lang w:val="en-US" w:eastAsia="zh-CN"/>
        </w:rPr>
        <w:t>（1）</w:t>
      </w:r>
      <w:r>
        <w:rPr>
          <w:rFonts w:hint="default"/>
          <w:lang w:val="en-US" w:eastAsia="zh-CN"/>
        </w:rPr>
        <w:t>井架梯子腐蚀严重，井架底座陈旧、底座受力构件缺少，二层平台内侧无栏杆。</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lang w:val="en-US" w:eastAsia="zh-CN"/>
        </w:rPr>
      </w:pPr>
      <w:r>
        <w:rPr>
          <w:rFonts w:hint="eastAsia"/>
          <w:lang w:val="en-US" w:eastAsia="zh-CN"/>
        </w:rPr>
        <w:t>（2）工程技术培训和安全教育不力。</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lang w:val="en-US" w:eastAsia="zh-CN"/>
        </w:rPr>
      </w:pPr>
      <w:r>
        <w:rPr>
          <w:rFonts w:hint="eastAsia"/>
          <w:lang w:val="en-US" w:eastAsia="zh-CN"/>
        </w:rPr>
        <w:t>（3）该井用3200型塔式井架钻3650米设计井深，设备选型不当。</w:t>
      </w:r>
    </w:p>
    <w:p>
      <w:pPr>
        <w:pStyle w:val="4"/>
        <w:rPr>
          <w:sz w:val="32"/>
          <w:szCs w:val="32"/>
        </w:rPr>
      </w:pPr>
      <w:bookmarkStart w:id="110" w:name="_Toc26312"/>
      <w:r>
        <w:rPr>
          <w:b w:val="0"/>
          <w:bCs w:val="0"/>
          <w:sz w:val="32"/>
          <w:szCs w:val="32"/>
        </w:rPr>
        <w:t>3.</w:t>
      </w:r>
      <w:r>
        <w:rPr>
          <w:rFonts w:hint="eastAsia"/>
          <w:b w:val="0"/>
          <w:bCs w:val="0"/>
          <w:sz w:val="32"/>
          <w:szCs w:val="32"/>
          <w:lang w:val="en-US" w:eastAsia="zh-CN"/>
        </w:rPr>
        <w:t>11</w:t>
      </w:r>
      <w:r>
        <w:rPr>
          <w:sz w:val="32"/>
          <w:szCs w:val="32"/>
        </w:rPr>
        <w:t xml:space="preserve"> </w:t>
      </w:r>
      <w:r>
        <w:rPr>
          <w:rFonts w:hint="eastAsia"/>
          <w:sz w:val="32"/>
          <w:szCs w:val="32"/>
          <w:lang w:val="en-US" w:eastAsia="zh-CN"/>
        </w:rPr>
        <w:t xml:space="preserve"> </w:t>
      </w:r>
      <w:r>
        <w:rPr>
          <w:rFonts w:hint="eastAsia" w:ascii="黑体" w:hAnsi="黑体" w:eastAsia="黑体" w:cs="黑体"/>
          <w:b w:val="0"/>
          <w:bCs w:val="0"/>
          <w:sz w:val="32"/>
          <w:szCs w:val="32"/>
        </w:rPr>
        <w:t>主要危险、有害因素分析结论</w:t>
      </w:r>
      <w:bookmarkEnd w:id="109"/>
      <w:bookmarkEnd w:id="110"/>
    </w:p>
    <w:p>
      <w:pPr>
        <w:ind w:firstLine="560"/>
        <w:rPr>
          <w:snapToGrid w:val="0"/>
          <w:kern w:val="0"/>
        </w:rPr>
      </w:pPr>
      <w:r>
        <w:rPr>
          <w:rFonts w:hint="eastAsia"/>
          <w:snapToGrid w:val="0"/>
          <w:kern w:val="0"/>
        </w:rPr>
        <w:t>东营大明钻井有限责任公司</w:t>
      </w:r>
      <w:r>
        <w:rPr>
          <w:rFonts w:hint="eastAsia"/>
          <w:snapToGrid w:val="0"/>
          <w:kern w:val="0"/>
          <w:lang w:val="en-US" w:eastAsia="zh-CN"/>
        </w:rPr>
        <w:t>钻井施工</w:t>
      </w:r>
      <w:r>
        <w:rPr>
          <w:snapToGrid w:val="0"/>
          <w:kern w:val="0"/>
        </w:rPr>
        <w:t>过程中涉及的主要危险有害物质为原油、天然气、硫化氢、钻井液，以及钻井用柴油、硫化氢燃烧产物二氧化硫等。</w:t>
      </w:r>
    </w:p>
    <w:p>
      <w:pPr>
        <w:ind w:firstLine="560"/>
        <w:rPr>
          <w:snapToGrid w:val="0"/>
          <w:kern w:val="0"/>
        </w:rPr>
      </w:pPr>
      <w:r>
        <w:rPr>
          <w:snapToGrid w:val="0"/>
          <w:kern w:val="0"/>
        </w:rPr>
        <w:t>施工作业过程中存在的主要危险因素有井喷及井喷失控、火灾爆炸、</w:t>
      </w:r>
      <w:r>
        <w:rPr>
          <w:rFonts w:hint="eastAsia"/>
          <w:snapToGrid w:val="0"/>
          <w:kern w:val="0"/>
          <w:lang w:eastAsia="zh-CN"/>
        </w:rPr>
        <w:t>中毒和窒息</w:t>
      </w:r>
      <w:r>
        <w:rPr>
          <w:snapToGrid w:val="0"/>
          <w:kern w:val="0"/>
        </w:rPr>
        <w:t>、物体打击、</w:t>
      </w:r>
      <w:r>
        <w:rPr>
          <w:rFonts w:hint="eastAsia"/>
          <w:snapToGrid w:val="0"/>
          <w:kern w:val="0"/>
          <w:lang w:val="en-US" w:eastAsia="zh-CN"/>
        </w:rPr>
        <w:t>容器爆炸、</w:t>
      </w:r>
      <w:r>
        <w:rPr>
          <w:snapToGrid w:val="0"/>
          <w:kern w:val="0"/>
        </w:rPr>
        <w:t>机械伤害、高处坠落、起重伤害、触电、车辆伤害</w:t>
      </w:r>
      <w:r>
        <w:rPr>
          <w:rFonts w:hint="eastAsia"/>
          <w:snapToGrid w:val="0"/>
          <w:kern w:val="0"/>
          <w:lang w:eastAsia="zh-CN"/>
        </w:rPr>
        <w:t>、</w:t>
      </w:r>
      <w:r>
        <w:rPr>
          <w:rFonts w:hint="eastAsia"/>
          <w:snapToGrid w:val="0"/>
          <w:kern w:val="0"/>
          <w:lang w:val="en-US" w:eastAsia="zh-CN"/>
        </w:rPr>
        <w:t>淹溺及其他</w:t>
      </w:r>
      <w:r>
        <w:rPr>
          <w:snapToGrid w:val="0"/>
          <w:kern w:val="0"/>
        </w:rPr>
        <w:t>等。</w:t>
      </w:r>
    </w:p>
    <w:p>
      <w:pPr>
        <w:ind w:firstLine="560"/>
        <w:rPr>
          <w:snapToGrid w:val="0"/>
          <w:kern w:val="0"/>
        </w:rPr>
      </w:pPr>
      <w:r>
        <w:rPr>
          <w:snapToGrid w:val="0"/>
          <w:kern w:val="0"/>
        </w:rPr>
        <w:t>自然环境条件对该项目的影响因素有：雷击、地震、洪涝灾害、大风、高温和低温等。</w:t>
      </w:r>
    </w:p>
    <w:p>
      <w:pPr>
        <w:ind w:firstLine="560"/>
        <w:rPr>
          <w:snapToGrid w:val="0"/>
          <w:kern w:val="0"/>
        </w:rPr>
      </w:pPr>
      <w:r>
        <w:rPr>
          <w:snapToGrid w:val="0"/>
          <w:kern w:val="0"/>
        </w:rPr>
        <w:t>通过重大危险源辨识，企业未构成重大危险源。</w:t>
      </w:r>
    </w:p>
    <w:p>
      <w:pPr>
        <w:ind w:firstLine="560"/>
        <w:sectPr>
          <w:footerReference r:id="rId18" w:type="default"/>
          <w:pgSz w:w="11906" w:h="16838"/>
          <w:pgMar w:top="1440" w:right="1803" w:bottom="1440" w:left="1803" w:header="850" w:footer="992" w:gutter="0"/>
          <w:pgBorders>
            <w:top w:val="none" w:sz="0" w:space="0"/>
            <w:left w:val="none" w:sz="0" w:space="0"/>
            <w:bottom w:val="none" w:sz="0" w:space="0"/>
            <w:right w:val="none" w:sz="0" w:space="0"/>
          </w:pgBorders>
          <w:pgNumType w:fmt="decimal"/>
          <w:cols w:space="0" w:num="1"/>
          <w:rtlGutter w:val="0"/>
          <w:docGrid w:linePitch="312" w:charSpace="0"/>
        </w:sectPr>
      </w:pPr>
    </w:p>
    <w:p>
      <w:pPr>
        <w:pStyle w:val="3"/>
      </w:pPr>
      <w:bookmarkStart w:id="111" w:name="_Toc30352"/>
      <w:bookmarkStart w:id="112" w:name="_Toc341963426"/>
      <w:r>
        <w:t xml:space="preserve">4  </w:t>
      </w:r>
      <w:r>
        <w:rPr>
          <w:rFonts w:hint="eastAsia" w:ascii="楷体" w:hAnsi="楷体" w:eastAsia="楷体" w:cs="楷体"/>
        </w:rPr>
        <w:t>评价单元划分及评价方法选择</w:t>
      </w:r>
      <w:bookmarkEnd w:id="111"/>
      <w:bookmarkEnd w:id="112"/>
    </w:p>
    <w:p>
      <w:pPr>
        <w:pStyle w:val="4"/>
        <w:rPr>
          <w:bCs w:val="0"/>
          <w:sz w:val="32"/>
          <w:szCs w:val="32"/>
        </w:rPr>
      </w:pPr>
      <w:bookmarkStart w:id="113" w:name="_Toc21775"/>
      <w:bookmarkStart w:id="114" w:name="_Toc341963427"/>
      <w:r>
        <w:rPr>
          <w:b w:val="0"/>
          <w:bCs/>
          <w:sz w:val="32"/>
          <w:szCs w:val="32"/>
        </w:rPr>
        <w:t>4.1</w:t>
      </w:r>
      <w:r>
        <w:rPr>
          <w:bCs w:val="0"/>
          <w:sz w:val="32"/>
          <w:szCs w:val="32"/>
        </w:rPr>
        <w:t xml:space="preserve">  </w:t>
      </w:r>
      <w:r>
        <w:rPr>
          <w:rFonts w:hint="eastAsia" w:ascii="黑体" w:hAnsi="黑体" w:eastAsia="黑体" w:cs="黑体"/>
          <w:b w:val="0"/>
          <w:bCs/>
          <w:sz w:val="32"/>
          <w:szCs w:val="32"/>
        </w:rPr>
        <w:t>评价单元划分</w:t>
      </w:r>
      <w:bookmarkEnd w:id="113"/>
      <w:bookmarkEnd w:id="114"/>
    </w:p>
    <w:p>
      <w:pPr>
        <w:pStyle w:val="5"/>
        <w:rPr>
          <w:b w:val="0"/>
          <w:bCs w:val="0"/>
          <w:snapToGrid w:val="0"/>
          <w:kern w:val="0"/>
        </w:rPr>
      </w:pPr>
      <w:r>
        <w:rPr>
          <w:b w:val="0"/>
          <w:bCs w:val="0"/>
          <w:snapToGrid w:val="0"/>
          <w:kern w:val="0"/>
        </w:rPr>
        <w:t xml:space="preserve">4.1.1  </w:t>
      </w:r>
      <w:r>
        <w:rPr>
          <w:rFonts w:hint="eastAsia" w:ascii="黑体" w:hAnsi="黑体" w:eastAsia="黑体" w:cs="黑体"/>
          <w:b w:val="0"/>
          <w:bCs w:val="0"/>
          <w:snapToGrid w:val="0"/>
          <w:kern w:val="0"/>
        </w:rPr>
        <w:t>划分原则</w:t>
      </w:r>
    </w:p>
    <w:p>
      <w:pPr>
        <w:ind w:firstLine="560"/>
        <w:rPr>
          <w:snapToGrid w:val="0"/>
          <w:kern w:val="0"/>
        </w:rPr>
      </w:pPr>
      <w:r>
        <w:rPr>
          <w:snapToGrid w:val="0"/>
          <w:kern w:val="0"/>
        </w:rPr>
        <w:t>评价单元是指在对工程危险、有害因素进行分析的基础上，根据评价目标和评价方法的需要，将整个系统划分成若干个有限的确定范围而分别进行评价的相对独立的装置、设施和场所。</w:t>
      </w:r>
    </w:p>
    <w:p>
      <w:pPr>
        <w:ind w:firstLine="560"/>
        <w:rPr>
          <w:snapToGrid w:val="0"/>
          <w:kern w:val="0"/>
        </w:rPr>
      </w:pPr>
      <w:r>
        <w:rPr>
          <w:snapToGrid w:val="0"/>
          <w:kern w:val="0"/>
        </w:rPr>
        <w:t>划分评价单元的一般性原则是按生产工艺功能、生产设施设备相对独立空间、危险有害因素类别及事故范围划分评价单元，使评价单元相对独立，具有明显特征界限。</w:t>
      </w:r>
    </w:p>
    <w:p>
      <w:pPr>
        <w:ind w:firstLine="560"/>
        <w:rPr>
          <w:snapToGrid w:val="0"/>
          <w:kern w:val="0"/>
        </w:rPr>
      </w:pPr>
      <w:r>
        <w:rPr>
          <w:snapToGrid w:val="0"/>
          <w:kern w:val="0"/>
        </w:rPr>
        <w:t>常用的评价单元的划分原则有：</w:t>
      </w:r>
    </w:p>
    <w:p>
      <w:pPr>
        <w:ind w:firstLine="560"/>
        <w:rPr>
          <w:snapToGrid w:val="0"/>
          <w:kern w:val="0"/>
        </w:rPr>
      </w:pPr>
      <w:r>
        <w:rPr>
          <w:snapToGrid w:val="0"/>
          <w:kern w:val="0"/>
        </w:rPr>
        <w:t>1）以危险、有害因素的类别为主划分；</w:t>
      </w:r>
    </w:p>
    <w:p>
      <w:pPr>
        <w:ind w:firstLine="560"/>
        <w:rPr>
          <w:snapToGrid w:val="0"/>
          <w:kern w:val="0"/>
        </w:rPr>
      </w:pPr>
      <w:r>
        <w:rPr>
          <w:snapToGrid w:val="0"/>
          <w:kern w:val="0"/>
        </w:rPr>
        <w:t>2）以装置和物质的特性划分。</w:t>
      </w:r>
    </w:p>
    <w:p>
      <w:pPr>
        <w:ind w:firstLine="560"/>
        <w:rPr>
          <w:snapToGrid w:val="0"/>
          <w:kern w:val="0"/>
        </w:rPr>
      </w:pPr>
      <w:r>
        <w:t>通过对</w:t>
      </w:r>
      <w:r>
        <w:rPr>
          <w:rFonts w:hint="eastAsia"/>
        </w:rPr>
        <w:t>东营大明钻井有限责任公司</w:t>
      </w:r>
      <w:r>
        <w:t>生产运行过程中的危险、有害因素分析，结合企业的特点和具体情况，本次现状评价以危险、有害因素的类别为主进行评价单元的划分</w:t>
      </w:r>
      <w:r>
        <w:rPr>
          <w:snapToGrid w:val="0"/>
          <w:kern w:val="0"/>
        </w:rPr>
        <w:t>。</w:t>
      </w:r>
    </w:p>
    <w:p>
      <w:pPr>
        <w:pStyle w:val="5"/>
        <w:rPr>
          <w:b w:val="0"/>
          <w:bCs w:val="0"/>
          <w:snapToGrid w:val="0"/>
          <w:kern w:val="0"/>
        </w:rPr>
      </w:pPr>
      <w:r>
        <w:rPr>
          <w:b w:val="0"/>
          <w:bCs w:val="0"/>
          <w:snapToGrid w:val="0"/>
          <w:kern w:val="0"/>
        </w:rPr>
        <w:t xml:space="preserve">4.1.2  </w:t>
      </w:r>
      <w:r>
        <w:rPr>
          <w:rFonts w:hint="eastAsia" w:ascii="黑体" w:hAnsi="黑体" w:eastAsia="黑体" w:cs="黑体"/>
          <w:b w:val="0"/>
          <w:bCs w:val="0"/>
          <w:snapToGrid w:val="0"/>
          <w:kern w:val="0"/>
        </w:rPr>
        <w:t>划分评价单元</w:t>
      </w:r>
    </w:p>
    <w:p>
      <w:pPr>
        <w:ind w:firstLine="560"/>
        <w:rPr>
          <w:snapToGrid w:val="0"/>
          <w:kern w:val="0"/>
        </w:rPr>
      </w:pPr>
      <w:r>
        <w:rPr>
          <w:snapToGrid w:val="0"/>
          <w:kern w:val="0"/>
        </w:rPr>
        <w:t>根据企业特点、危险有害因素的分布状况、便于实施评价的原则，本次评价划分为以下2个评价单元进行评价：</w:t>
      </w:r>
    </w:p>
    <w:p>
      <w:pPr>
        <w:ind w:firstLine="560"/>
        <w:rPr>
          <w:snapToGrid w:val="0"/>
          <w:kern w:val="0"/>
        </w:rPr>
      </w:pPr>
      <w:r>
        <w:rPr>
          <w:snapToGrid w:val="0"/>
          <w:kern w:val="0"/>
        </w:rPr>
        <w:t>1、安全管理单元</w:t>
      </w:r>
    </w:p>
    <w:p>
      <w:pPr>
        <w:ind w:firstLine="560"/>
        <w:rPr>
          <w:snapToGrid w:val="0"/>
          <w:kern w:val="0"/>
        </w:rPr>
      </w:pPr>
      <w:r>
        <w:rPr>
          <w:snapToGrid w:val="0"/>
          <w:kern w:val="0"/>
        </w:rPr>
        <w:t>针对</w:t>
      </w:r>
      <w:r>
        <w:rPr>
          <w:rFonts w:hint="eastAsia"/>
          <w:snapToGrid w:val="0"/>
          <w:kern w:val="0"/>
        </w:rPr>
        <w:t>东营大明钻井有限责任公司</w:t>
      </w:r>
      <w:r>
        <w:rPr>
          <w:snapToGrid w:val="0"/>
          <w:kern w:val="0"/>
        </w:rPr>
        <w:t>的安全管理现状，主要从主要负责人、分管负责人、安全管理人员、职能部门、岗位安全生产责任制的建立情况；安全生产管理机构及安全管理人员的配置情况；安全生产管理人员及特种作业人员的持证情况；安全投入、教育培训等各方面进行评价。</w:t>
      </w:r>
    </w:p>
    <w:p>
      <w:pPr>
        <w:ind w:firstLine="560"/>
        <w:rPr>
          <w:snapToGrid w:val="0"/>
          <w:kern w:val="0"/>
        </w:rPr>
      </w:pPr>
      <w:r>
        <w:rPr>
          <w:snapToGrid w:val="0"/>
          <w:kern w:val="0"/>
        </w:rPr>
        <w:t>2、生产作业单元</w:t>
      </w:r>
    </w:p>
    <w:p>
      <w:pPr>
        <w:ind w:firstLine="560"/>
        <w:rPr>
          <w:snapToGrid w:val="0"/>
          <w:kern w:val="0"/>
        </w:rPr>
      </w:pPr>
      <w:r>
        <w:rPr>
          <w:snapToGrid w:val="0"/>
          <w:kern w:val="0"/>
        </w:rPr>
        <w:t>结合生产实际，主要针对</w:t>
      </w:r>
      <w:r>
        <w:rPr>
          <w:rFonts w:hint="eastAsia"/>
          <w:snapToGrid w:val="0"/>
          <w:kern w:val="0"/>
        </w:rPr>
        <w:t>东营大明钻井有限责任公司</w:t>
      </w:r>
      <w:r>
        <w:rPr>
          <w:snapToGrid w:val="0"/>
          <w:kern w:val="0"/>
        </w:rPr>
        <w:t>施工作业所用主要设备、设施、安全管理状况、生产作业场所的内、外部安全生产条件等进行评价。</w:t>
      </w:r>
    </w:p>
    <w:p>
      <w:pPr>
        <w:keepNext/>
        <w:keepLines/>
        <w:pageBreakBefore w:val="0"/>
        <w:widowControl w:val="0"/>
        <w:kinsoku/>
        <w:wordWrap/>
        <w:overflowPunct/>
        <w:topLinePunct w:val="0"/>
        <w:autoSpaceDE/>
        <w:autoSpaceDN/>
        <w:bidi w:val="0"/>
        <w:adjustRightInd w:val="0"/>
        <w:snapToGrid w:val="0"/>
        <w:spacing w:before="0" w:after="0" w:line="360" w:lineRule="auto"/>
        <w:ind w:firstLine="0" w:firstLineChars="0"/>
        <w:jc w:val="both"/>
        <w:textAlignment w:val="auto"/>
        <w:outlineLvl w:val="1"/>
        <w:rPr>
          <w:rFonts w:ascii="Times New Roman" w:hAnsi="Times New Roman" w:eastAsia="黑体" w:cs="Times New Roman"/>
          <w:b w:val="0"/>
          <w:bCs/>
          <w:kern w:val="2"/>
          <w:sz w:val="32"/>
          <w:szCs w:val="32"/>
          <w:lang w:val="en-US" w:eastAsia="zh-CN" w:bidi="ar-SA"/>
        </w:rPr>
      </w:pPr>
      <w:bookmarkStart w:id="115" w:name="_Toc10727"/>
      <w:bookmarkStart w:id="116" w:name="_Toc298756208"/>
      <w:bookmarkStart w:id="117" w:name="_Toc20609"/>
      <w:bookmarkStart w:id="118" w:name="_Toc244964633"/>
      <w:bookmarkStart w:id="119" w:name="_Toc291144375"/>
      <w:bookmarkStart w:id="120" w:name="_Toc215277175"/>
      <w:bookmarkStart w:id="121" w:name="_Toc341963429"/>
      <w:r>
        <w:rPr>
          <w:rFonts w:hint="eastAsia" w:ascii="Times New Roman" w:hAnsi="Times New Roman" w:eastAsia="黑体" w:cs="Times New Roman"/>
          <w:b w:val="0"/>
          <w:bCs/>
          <w:kern w:val="2"/>
          <w:sz w:val="32"/>
          <w:szCs w:val="32"/>
          <w:lang w:val="en-US" w:eastAsia="zh-CN" w:bidi="ar-SA"/>
        </w:rPr>
        <w:t>4.2</w:t>
      </w:r>
      <w:r>
        <w:rPr>
          <w:rFonts w:ascii="Times New Roman" w:hAnsi="Times New Roman" w:eastAsia="黑体" w:cs="Times New Roman"/>
          <w:b w:val="0"/>
          <w:bCs/>
          <w:kern w:val="2"/>
          <w:sz w:val="32"/>
          <w:szCs w:val="32"/>
          <w:lang w:val="en-US" w:eastAsia="zh-CN" w:bidi="ar-SA"/>
        </w:rPr>
        <w:t xml:space="preserve"> </w:t>
      </w:r>
      <w:r>
        <w:rPr>
          <w:rFonts w:hint="eastAsia" w:eastAsia="黑体" w:cs="Times New Roman"/>
          <w:b w:val="0"/>
          <w:bCs/>
          <w:kern w:val="2"/>
          <w:sz w:val="32"/>
          <w:szCs w:val="32"/>
          <w:lang w:val="en-US" w:eastAsia="zh-CN" w:bidi="ar-SA"/>
        </w:rPr>
        <w:t xml:space="preserve"> </w:t>
      </w:r>
      <w:r>
        <w:rPr>
          <w:rFonts w:hint="eastAsia" w:ascii="Times New Roman" w:hAnsi="Times New Roman" w:eastAsia="黑体" w:cs="Times New Roman"/>
          <w:b w:val="0"/>
          <w:bCs/>
          <w:kern w:val="2"/>
          <w:sz w:val="32"/>
          <w:szCs w:val="32"/>
          <w:lang w:val="en-US" w:eastAsia="zh-CN" w:bidi="ar-SA"/>
        </w:rPr>
        <w:t>评价方法选择</w:t>
      </w:r>
      <w:bookmarkEnd w:id="115"/>
      <w:bookmarkEnd w:id="116"/>
      <w:bookmarkEnd w:id="117"/>
      <w:bookmarkEnd w:id="118"/>
      <w:bookmarkEnd w:id="119"/>
      <w:bookmarkEnd w:id="120"/>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kern w:val="0"/>
          <w:sz w:val="28"/>
          <w:szCs w:val="24"/>
        </w:rPr>
      </w:pPr>
      <w:r>
        <w:rPr>
          <w:rFonts w:hint="eastAsia"/>
          <w:sz w:val="28"/>
          <w:szCs w:val="24"/>
        </w:rPr>
        <w:t>根据《安全生产许可证条例》（国务院令[2004]第397号，2014修订版）、《非煤矿矿山企业安全生产许可证实施办法》（国家安全生产监督管理总局令[2009]第20号，2015修订版）的要求，</w:t>
      </w:r>
      <w:r>
        <w:rPr>
          <w:snapToGrid w:val="0"/>
          <w:kern w:val="0"/>
          <w:sz w:val="28"/>
          <w:szCs w:val="24"/>
        </w:rPr>
        <w:t>本次评价选择</w:t>
      </w:r>
      <w:r>
        <w:rPr>
          <w:rFonts w:hint="eastAsia"/>
          <w:snapToGrid w:val="0"/>
          <w:kern w:val="0"/>
          <w:sz w:val="28"/>
          <w:szCs w:val="24"/>
        </w:rPr>
        <w:t>安全检查表法（SCL）</w:t>
      </w:r>
      <w:r>
        <w:rPr>
          <w:rFonts w:hint="eastAsia"/>
          <w:snapToGrid w:val="0"/>
          <w:kern w:val="0"/>
          <w:sz w:val="28"/>
          <w:szCs w:val="24"/>
          <w:lang w:eastAsia="zh-CN"/>
        </w:rPr>
        <w:t>、</w:t>
      </w:r>
      <w:r>
        <w:rPr>
          <w:rFonts w:hint="eastAsia"/>
          <w:snapToGrid w:val="0"/>
          <w:kern w:val="0"/>
          <w:sz w:val="28"/>
          <w:szCs w:val="24"/>
          <w:lang w:val="en-US" w:eastAsia="zh-CN"/>
        </w:rPr>
        <w:t>作业条件危险性评价法（LEC）</w:t>
      </w:r>
      <w:r>
        <w:rPr>
          <w:sz w:val="28"/>
          <w:szCs w:val="24"/>
        </w:rPr>
        <w:t>对该公司的各项安全生产条件进行评价</w:t>
      </w:r>
      <w:r>
        <w:rPr>
          <w:snapToGrid w:val="0"/>
          <w:kern w:val="0"/>
          <w:sz w:val="28"/>
          <w:szCs w:val="24"/>
        </w:rPr>
        <w:t>。各评价方法的具体操作程序如下表：</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000000"/>
          <w:sz w:val="24"/>
          <w:szCs w:val="24"/>
        </w:rPr>
      </w:pPr>
      <w:r>
        <w:rPr>
          <w:rFonts w:hint="eastAsia"/>
          <w:b/>
          <w:bCs/>
          <w:color w:val="000000"/>
          <w:sz w:val="24"/>
          <w:szCs w:val="24"/>
        </w:rPr>
        <w:t xml:space="preserve">表4-1 </w:t>
      </w:r>
      <w:r>
        <w:rPr>
          <w:rFonts w:hint="eastAsia" w:ascii="Times New Roman" w:eastAsia="宋体"/>
          <w:b/>
          <w:bCs/>
          <w:color w:val="000000"/>
          <w:sz w:val="24"/>
          <w:szCs w:val="24"/>
          <w:lang w:val="en-US" w:eastAsia="zh-CN"/>
        </w:rPr>
        <w:t xml:space="preserve"> </w:t>
      </w:r>
      <w:r>
        <w:rPr>
          <w:rFonts w:hint="eastAsia"/>
          <w:b/>
          <w:bCs/>
          <w:color w:val="000000"/>
          <w:sz w:val="24"/>
          <w:szCs w:val="24"/>
        </w:rPr>
        <w:t>各单元评价方法表</w:t>
      </w:r>
    </w:p>
    <w:tbl>
      <w:tblPr>
        <w:tblStyle w:val="45"/>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30"/>
        <w:gridCol w:w="4762"/>
        <w:gridCol w:w="2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12" w:space="0"/>
              <w:left w:val="single" w:color="auto" w:sz="12" w:space="0"/>
              <w:bottom w:val="single" w:color="auto" w:sz="6" w:space="0"/>
              <w:right w:val="single" w:color="auto" w:sz="6"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kern w:val="2"/>
                <w:sz w:val="21"/>
                <w:szCs w:val="21"/>
                <w:lang w:val="en-US" w:eastAsia="zh-CN" w:bidi="ar-SA"/>
              </w:rPr>
            </w:pPr>
            <w:r>
              <w:rPr>
                <w:rFonts w:hint="default" w:ascii="Times New Roman" w:hAnsi="Times New Roman" w:eastAsia="宋体" w:cs="Times New Roman"/>
                <w:b/>
                <w:kern w:val="2"/>
                <w:sz w:val="21"/>
                <w:szCs w:val="21"/>
                <w:lang w:val="en-US" w:eastAsia="zh-CN" w:bidi="ar-SA"/>
              </w:rPr>
              <w:t>序号</w:t>
            </w:r>
          </w:p>
        </w:tc>
        <w:tc>
          <w:tcPr>
            <w:tcW w:w="4762" w:type="dxa"/>
            <w:tcBorders>
              <w:top w:val="single" w:color="auto" w:sz="12" w:space="0"/>
              <w:left w:val="single" w:color="auto" w:sz="6" w:space="0"/>
              <w:bottom w:val="single" w:color="auto" w:sz="6" w:space="0"/>
              <w:right w:val="single" w:color="auto" w:sz="6"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kern w:val="2"/>
                <w:sz w:val="21"/>
                <w:szCs w:val="21"/>
                <w:lang w:val="en-US" w:eastAsia="zh-CN" w:bidi="ar-SA"/>
              </w:rPr>
            </w:pPr>
            <w:r>
              <w:rPr>
                <w:rFonts w:hint="default" w:ascii="Times New Roman" w:hAnsi="Times New Roman" w:eastAsia="宋体" w:cs="Times New Roman"/>
                <w:b/>
                <w:kern w:val="2"/>
                <w:sz w:val="21"/>
                <w:szCs w:val="21"/>
                <w:lang w:val="en-US" w:eastAsia="zh-CN" w:bidi="ar-SA"/>
              </w:rPr>
              <w:t>评价单元</w:t>
            </w:r>
          </w:p>
        </w:tc>
        <w:tc>
          <w:tcPr>
            <w:tcW w:w="2730" w:type="dxa"/>
            <w:tcBorders>
              <w:top w:val="single" w:color="auto" w:sz="12" w:space="0"/>
              <w:left w:val="single" w:color="auto" w:sz="6" w:space="0"/>
              <w:bottom w:val="single" w:color="auto" w:sz="6" w:space="0"/>
              <w:right w:val="single" w:color="auto" w:sz="12"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kern w:val="2"/>
                <w:sz w:val="21"/>
                <w:szCs w:val="21"/>
                <w:lang w:val="en-US" w:eastAsia="zh-CN" w:bidi="ar-SA"/>
              </w:rPr>
            </w:pPr>
            <w:r>
              <w:rPr>
                <w:rFonts w:hint="default" w:ascii="Times New Roman" w:hAnsi="Times New Roman" w:eastAsia="宋体" w:cs="Times New Roman"/>
                <w:b/>
                <w:kern w:val="2"/>
                <w:sz w:val="21"/>
                <w:szCs w:val="21"/>
                <w:lang w:val="en-US" w:eastAsia="zh-CN" w:bidi="ar-SA"/>
              </w:rPr>
              <w:t>选用的评价方法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6" w:space="0"/>
              <w:left w:val="single" w:color="auto" w:sz="12" w:space="0"/>
              <w:bottom w:val="single" w:color="auto" w:sz="6" w:space="0"/>
              <w:right w:val="single" w:color="auto" w:sz="6"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c>
          <w:tcPr>
            <w:tcW w:w="4762"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生产单元</w:t>
            </w:r>
          </w:p>
        </w:tc>
        <w:tc>
          <w:tcPr>
            <w:tcW w:w="2730" w:type="dxa"/>
            <w:tcBorders>
              <w:top w:val="single" w:color="auto" w:sz="6" w:space="0"/>
              <w:left w:val="single" w:color="auto" w:sz="6" w:space="0"/>
              <w:bottom w:val="single" w:color="auto" w:sz="6" w:space="0"/>
              <w:right w:val="single" w:color="auto" w:sz="12"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SCL、LEC</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6" w:space="0"/>
              <w:left w:val="single" w:color="auto" w:sz="12" w:space="0"/>
              <w:bottom w:val="single" w:color="auto" w:sz="12" w:space="0"/>
              <w:right w:val="single" w:color="auto" w:sz="6"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w:t>
            </w:r>
          </w:p>
        </w:tc>
        <w:tc>
          <w:tcPr>
            <w:tcW w:w="4762" w:type="dxa"/>
            <w:tcBorders>
              <w:top w:val="single" w:color="auto" w:sz="6" w:space="0"/>
              <w:left w:val="single" w:color="auto" w:sz="6" w:space="0"/>
              <w:bottom w:val="single" w:color="auto" w:sz="12" w:space="0"/>
              <w:right w:val="single" w:color="auto" w:sz="6"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安全管理单元</w:t>
            </w:r>
          </w:p>
        </w:tc>
        <w:tc>
          <w:tcPr>
            <w:tcW w:w="2730" w:type="dxa"/>
            <w:tcBorders>
              <w:top w:val="single" w:color="auto" w:sz="6" w:space="0"/>
              <w:left w:val="single" w:color="auto" w:sz="6" w:space="0"/>
              <w:bottom w:val="single" w:color="auto" w:sz="12" w:space="0"/>
              <w:right w:val="single" w:color="auto" w:sz="12" w:space="0"/>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SCL</w:t>
            </w:r>
          </w:p>
        </w:tc>
      </w:tr>
    </w:tbl>
    <w:p>
      <w:pPr>
        <w:keepNext/>
        <w:keepLines/>
        <w:pageBreakBefore w:val="0"/>
        <w:widowControl w:val="0"/>
        <w:kinsoku/>
        <w:wordWrap/>
        <w:overflowPunct/>
        <w:topLinePunct w:val="0"/>
        <w:autoSpaceDE/>
        <w:autoSpaceDN/>
        <w:bidi w:val="0"/>
        <w:adjustRightInd w:val="0"/>
        <w:snapToGrid w:val="0"/>
        <w:spacing w:before="157" w:beforeLines="50" w:after="0" w:line="360" w:lineRule="auto"/>
        <w:ind w:firstLine="0" w:firstLineChars="0"/>
        <w:jc w:val="both"/>
        <w:textAlignment w:val="auto"/>
        <w:outlineLvl w:val="2"/>
        <w:rPr>
          <w:rFonts w:hint="default" w:ascii="Times New Roman" w:hAnsi="Times New Roman" w:eastAsia="黑体" w:cs="Times New Roman"/>
          <w:b w:val="0"/>
          <w:bCs/>
          <w:snapToGrid w:val="0"/>
          <w:kern w:val="0"/>
          <w:sz w:val="28"/>
          <w:szCs w:val="28"/>
          <w:lang w:val="en-US" w:eastAsia="zh-CN" w:bidi="ar-SA"/>
        </w:rPr>
      </w:pPr>
      <w:r>
        <w:rPr>
          <w:rFonts w:hint="default" w:ascii="Times New Roman" w:hAnsi="Times New Roman" w:eastAsia="黑体" w:cs="Times New Roman"/>
          <w:b w:val="0"/>
          <w:bCs/>
          <w:snapToGrid w:val="0"/>
          <w:kern w:val="0"/>
          <w:sz w:val="28"/>
          <w:szCs w:val="28"/>
          <w:lang w:val="en-US" w:eastAsia="zh-CN" w:bidi="ar-SA"/>
        </w:rPr>
        <w:t xml:space="preserve">4.2.1 </w:t>
      </w:r>
      <w:r>
        <w:rPr>
          <w:rFonts w:hint="eastAsia" w:eastAsia="黑体" w:cs="Times New Roman"/>
          <w:b w:val="0"/>
          <w:bCs/>
          <w:snapToGrid w:val="0"/>
          <w:kern w:val="0"/>
          <w:sz w:val="28"/>
          <w:szCs w:val="28"/>
          <w:lang w:val="en-US" w:eastAsia="zh-CN" w:bidi="ar-SA"/>
        </w:rPr>
        <w:t xml:space="preserve"> </w:t>
      </w:r>
      <w:r>
        <w:rPr>
          <w:rFonts w:hint="default" w:ascii="Times New Roman" w:hAnsi="Times New Roman" w:eastAsia="黑体" w:cs="Times New Roman"/>
          <w:b w:val="0"/>
          <w:bCs/>
          <w:snapToGrid w:val="0"/>
          <w:kern w:val="0"/>
          <w:sz w:val="28"/>
          <w:szCs w:val="28"/>
          <w:lang w:val="en-US" w:eastAsia="zh-CN" w:bidi="ar-SA"/>
        </w:rPr>
        <w:t>安全检查表（SCL）</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kern w:val="0"/>
          <w:sz w:val="28"/>
          <w:szCs w:val="24"/>
        </w:rPr>
      </w:pPr>
      <w:r>
        <w:rPr>
          <w:rFonts w:hint="eastAsia"/>
          <w:snapToGrid w:val="0"/>
          <w:kern w:val="0"/>
          <w:sz w:val="28"/>
          <w:szCs w:val="24"/>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pPr>
        <w:adjustRightInd w:val="0"/>
        <w:snapToGrid w:val="0"/>
        <w:spacing w:line="360" w:lineRule="auto"/>
        <w:ind w:firstLine="560" w:firstLineChars="200"/>
        <w:rPr>
          <w:snapToGrid w:val="0"/>
          <w:kern w:val="0"/>
          <w:sz w:val="28"/>
          <w:szCs w:val="24"/>
        </w:rPr>
      </w:pPr>
      <w:r>
        <w:rPr>
          <w:rFonts w:hint="eastAsia"/>
          <w:snapToGrid w:val="0"/>
          <w:kern w:val="0"/>
          <w:sz w:val="28"/>
          <w:szCs w:val="24"/>
        </w:rPr>
        <w:t>安全检查表以下列格式列出，对于符合要求的检查内容，在检查结果栏中标以“√”，对于不符合要求的检查项目在检查结果栏中标以“×”。见下表4-</w:t>
      </w:r>
      <w:r>
        <w:rPr>
          <w:snapToGrid w:val="0"/>
          <w:kern w:val="0"/>
          <w:sz w:val="28"/>
          <w:szCs w:val="24"/>
        </w:rPr>
        <w:t>2</w:t>
      </w:r>
      <w:r>
        <w:rPr>
          <w:rFonts w:hint="eastAsia"/>
          <w:snapToGrid w:val="0"/>
          <w:kern w:val="0"/>
          <w:sz w:val="28"/>
          <w:szCs w:val="24"/>
        </w:rPr>
        <w:t>。</w:t>
      </w:r>
    </w:p>
    <w:p>
      <w:pPr>
        <w:rPr>
          <w:rFonts w:hint="eastAsia" w:ascii="Times New Roman" w:hAnsi="Times New Roman" w:cs="Times New Roman"/>
          <w:b/>
          <w:bCs/>
          <w:color w:val="000000"/>
          <w:sz w:val="24"/>
          <w:szCs w:val="24"/>
        </w:rPr>
      </w:pPr>
      <w:r>
        <w:rPr>
          <w:rFonts w:hint="eastAsia" w:ascii="Times New Roman" w:hAnsi="Times New Roman" w:cs="Times New Roman"/>
          <w:b/>
          <w:bCs/>
          <w:color w:val="000000"/>
          <w:sz w:val="24"/>
          <w:szCs w:val="24"/>
        </w:rPr>
        <w:br w:type="page"/>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cs="Times New Roman"/>
          <w:b/>
          <w:bCs/>
          <w:color w:val="000000"/>
          <w:sz w:val="24"/>
          <w:szCs w:val="24"/>
        </w:rPr>
      </w:pPr>
      <w:r>
        <w:rPr>
          <w:rFonts w:hint="eastAsia" w:ascii="Times New Roman" w:hAnsi="Times New Roman" w:cs="Times New Roman"/>
          <w:b/>
          <w:bCs/>
          <w:color w:val="000000"/>
          <w:sz w:val="24"/>
          <w:szCs w:val="24"/>
        </w:rPr>
        <w:t>表4-2</w:t>
      </w:r>
      <w:r>
        <w:rPr>
          <w:rFonts w:hint="eastAsia" w:ascii="Times New Roman" w:hAnsi="Times New Roman" w:cs="Times New Roman"/>
          <w:b/>
          <w:bCs/>
          <w:color w:val="000000"/>
          <w:sz w:val="24"/>
          <w:szCs w:val="24"/>
          <w:lang w:val="en-US" w:eastAsia="zh-CN"/>
        </w:rPr>
        <w:t xml:space="preserve"> </w:t>
      </w:r>
      <w:r>
        <w:rPr>
          <w:rFonts w:hint="eastAsia" w:ascii="Times New Roman" w:hAnsi="Times New Roman" w:cs="Times New Roman"/>
          <w:b/>
          <w:bCs/>
          <w:color w:val="000000"/>
          <w:sz w:val="24"/>
          <w:szCs w:val="24"/>
        </w:rPr>
        <w:t xml:space="preserve"> 安全检查表</w:t>
      </w:r>
    </w:p>
    <w:tbl>
      <w:tblPr>
        <w:tblStyle w:val="45"/>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14"/>
        <w:gridCol w:w="1852"/>
        <w:gridCol w:w="1852"/>
        <w:gridCol w:w="1852"/>
        <w:gridCol w:w="18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114" w:type="dxa"/>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s="宋体"/>
                <w:b/>
                <w:sz w:val="21"/>
                <w:szCs w:val="21"/>
              </w:rPr>
            </w:pPr>
            <w:r>
              <w:rPr>
                <w:rFonts w:hint="eastAsia" w:cs="宋体"/>
                <w:b/>
                <w:sz w:val="21"/>
                <w:szCs w:val="21"/>
              </w:rPr>
              <w:t>序号</w:t>
            </w:r>
          </w:p>
        </w:tc>
        <w:tc>
          <w:tcPr>
            <w:tcW w:w="1852" w:type="dxa"/>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s="宋体"/>
                <w:b/>
                <w:sz w:val="21"/>
                <w:szCs w:val="21"/>
              </w:rPr>
            </w:pPr>
            <w:r>
              <w:rPr>
                <w:rFonts w:hint="eastAsia" w:cs="宋体"/>
                <w:b/>
                <w:sz w:val="21"/>
                <w:szCs w:val="21"/>
              </w:rPr>
              <w:t>检查项目</w:t>
            </w:r>
          </w:p>
        </w:tc>
        <w:tc>
          <w:tcPr>
            <w:tcW w:w="1852" w:type="dxa"/>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s="宋体"/>
                <w:b/>
                <w:sz w:val="21"/>
                <w:szCs w:val="21"/>
              </w:rPr>
            </w:pPr>
            <w:r>
              <w:rPr>
                <w:rFonts w:hint="eastAsia" w:cs="宋体"/>
                <w:b/>
                <w:sz w:val="21"/>
                <w:szCs w:val="21"/>
              </w:rPr>
              <w:t>检查依据</w:t>
            </w:r>
          </w:p>
        </w:tc>
        <w:tc>
          <w:tcPr>
            <w:tcW w:w="1852" w:type="dxa"/>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s="宋体"/>
                <w:b/>
                <w:sz w:val="21"/>
                <w:szCs w:val="21"/>
              </w:rPr>
            </w:pPr>
            <w:r>
              <w:rPr>
                <w:rFonts w:hint="eastAsia" w:cs="宋体"/>
                <w:b/>
                <w:sz w:val="21"/>
                <w:szCs w:val="21"/>
              </w:rPr>
              <w:t>检查结果</w:t>
            </w:r>
          </w:p>
        </w:tc>
        <w:tc>
          <w:tcPr>
            <w:tcW w:w="1852" w:type="dxa"/>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cs="宋体"/>
                <w:b/>
                <w:sz w:val="21"/>
                <w:szCs w:val="21"/>
              </w:rPr>
            </w:pPr>
            <w:r>
              <w:rPr>
                <w:rFonts w:hint="eastAsia" w:cs="宋体"/>
                <w:b/>
                <w:sz w:val="21"/>
                <w:szCs w:val="21"/>
              </w:rPr>
              <w:t>实际情况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114" w:type="dxa"/>
            <w:vAlign w:val="center"/>
          </w:tcPr>
          <w:p>
            <w:pPr>
              <w:keepNext w:val="0"/>
              <w:keepLines w:val="0"/>
              <w:widowControl w:val="0"/>
              <w:suppressLineNumbers w:val="0"/>
              <w:adjustRightInd w:val="0"/>
              <w:snapToGrid w:val="0"/>
              <w:spacing w:before="20" w:beforeAutospacing="0" w:after="20" w:afterAutospacing="0"/>
              <w:ind w:left="0" w:right="0"/>
              <w:jc w:val="center"/>
              <w:rPr>
                <w:rFonts w:hint="default" w:ascii="Times New Roman" w:hAnsi="Times New Roman" w:eastAsia="宋体" w:cs="Times New Roman"/>
                <w:snapToGrid w:val="0"/>
                <w:kern w:val="2"/>
                <w:sz w:val="21"/>
                <w:szCs w:val="20"/>
                <w:lang w:val="en-US" w:eastAsia="zh-CN" w:bidi="ar-SA"/>
              </w:rPr>
            </w:pPr>
          </w:p>
        </w:tc>
        <w:tc>
          <w:tcPr>
            <w:tcW w:w="1852" w:type="dxa"/>
            <w:vAlign w:val="center"/>
          </w:tcPr>
          <w:p>
            <w:pPr>
              <w:keepNext w:val="0"/>
              <w:keepLines w:val="0"/>
              <w:suppressLineNumbers w:val="0"/>
              <w:adjustRightInd w:val="0"/>
              <w:snapToGrid w:val="0"/>
              <w:spacing w:before="0" w:beforeAutospacing="0" w:after="0" w:afterAutospacing="0" w:line="240" w:lineRule="auto"/>
              <w:ind w:left="0" w:right="0" w:firstLine="0" w:firstLineChars="0"/>
              <w:rPr>
                <w:rFonts w:hint="default"/>
                <w:b/>
                <w:snapToGrid w:val="0"/>
                <w:kern w:val="0"/>
                <w:sz w:val="21"/>
                <w:szCs w:val="21"/>
              </w:rPr>
            </w:pPr>
          </w:p>
        </w:tc>
        <w:tc>
          <w:tcPr>
            <w:tcW w:w="1852" w:type="dxa"/>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snapToGrid w:val="0"/>
                <w:kern w:val="0"/>
                <w:sz w:val="21"/>
                <w:szCs w:val="21"/>
              </w:rPr>
            </w:pPr>
          </w:p>
        </w:tc>
        <w:tc>
          <w:tcPr>
            <w:tcW w:w="1852" w:type="dxa"/>
            <w:vAlign w:val="center"/>
          </w:tcPr>
          <w:p>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bCs/>
                <w:snapToGrid w:val="0"/>
                <w:kern w:val="0"/>
                <w:sz w:val="21"/>
                <w:szCs w:val="21"/>
              </w:rPr>
            </w:pPr>
          </w:p>
        </w:tc>
        <w:tc>
          <w:tcPr>
            <w:tcW w:w="1852" w:type="dxa"/>
            <w:vAlign w:val="center"/>
          </w:tcPr>
          <w:p>
            <w:pPr>
              <w:keepNext w:val="0"/>
              <w:keepLines w:val="0"/>
              <w:widowControl w:val="0"/>
              <w:suppressLineNumbers w:val="0"/>
              <w:adjustRightInd w:val="0"/>
              <w:snapToGrid w:val="0"/>
              <w:spacing w:before="20" w:beforeAutospacing="0" w:after="20" w:afterAutospacing="0"/>
              <w:ind w:left="0" w:right="0"/>
              <w:jc w:val="center"/>
              <w:rPr>
                <w:rFonts w:hint="default" w:ascii="Times New Roman" w:hAnsi="Times New Roman" w:eastAsia="宋体" w:cs="Times New Roman"/>
                <w:snapToGrid w:val="0"/>
                <w:kern w:val="2"/>
                <w:sz w:val="21"/>
                <w:szCs w:val="20"/>
                <w:lang w:val="en-US" w:eastAsia="zh-CN" w:bidi="ar-SA"/>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sz w:val="28"/>
          <w:szCs w:val="24"/>
        </w:rPr>
      </w:pPr>
      <w:r>
        <w:rPr>
          <w:rFonts w:hint="eastAsia"/>
          <w:sz w:val="28"/>
          <w:szCs w:val="24"/>
        </w:rPr>
        <w:t>安全检查表的具体操作程序如下：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szCs w:val="24"/>
        </w:rPr>
      </w:pPr>
      <w:r>
        <w:rPr>
          <w:rFonts w:hint="eastAsia"/>
          <w:sz w:val="28"/>
          <w:szCs w:val="24"/>
        </w:rPr>
        <w:t>1、熟悉系统</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szCs w:val="24"/>
        </w:rPr>
      </w:pPr>
      <w:r>
        <w:rPr>
          <w:rFonts w:hint="eastAsia"/>
          <w:sz w:val="28"/>
          <w:szCs w:val="24"/>
        </w:rPr>
        <w:t>包括系统结构、功能、工艺流程、主要设备、操作条件、平面布置、已有的安全卫生设施、安全管理现状等。</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szCs w:val="24"/>
        </w:rPr>
      </w:pPr>
      <w:r>
        <w:rPr>
          <w:rFonts w:hint="eastAsia"/>
          <w:sz w:val="28"/>
          <w:szCs w:val="24"/>
        </w:rPr>
        <w:t>2、搜集资料</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szCs w:val="24"/>
        </w:rPr>
      </w:pPr>
      <w:r>
        <w:rPr>
          <w:rFonts w:hint="eastAsia"/>
          <w:sz w:val="28"/>
          <w:szCs w:val="24"/>
        </w:rPr>
        <w:t>搜集有关的安全法规、标准、制度以及本系统过去发生过事故的资料，作为编制安全检查表的依据。</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szCs w:val="24"/>
        </w:rPr>
      </w:pPr>
      <w:r>
        <w:rPr>
          <w:rFonts w:hint="eastAsia"/>
          <w:sz w:val="28"/>
          <w:szCs w:val="24"/>
        </w:rPr>
        <w:t>3、划分单元</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szCs w:val="24"/>
        </w:rPr>
      </w:pPr>
      <w:r>
        <w:rPr>
          <w:rFonts w:hint="eastAsia"/>
          <w:sz w:val="28"/>
          <w:szCs w:val="24"/>
        </w:rPr>
        <w:t>按功能或结构将系统划分成子系统或单元。</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szCs w:val="24"/>
        </w:rPr>
      </w:pPr>
      <w:r>
        <w:rPr>
          <w:rFonts w:hint="eastAsia"/>
          <w:sz w:val="28"/>
          <w:szCs w:val="24"/>
        </w:rPr>
        <w:t>4、编制安全检查表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szCs w:val="24"/>
        </w:rPr>
      </w:pPr>
      <w:r>
        <w:rPr>
          <w:rFonts w:hint="eastAsia"/>
          <w:sz w:val="28"/>
          <w:szCs w:val="24"/>
        </w:rPr>
        <w:t>针对危险因素，依据有关法规、标准规定，参考过去的事故教训和本单位的经验确定安全检查表的检查要点、内容和为达到安全指标应采取的措施，并按照一定的要求编制安全检查表。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szCs w:val="24"/>
        </w:rPr>
      </w:pPr>
      <w:r>
        <w:rPr>
          <w:rFonts w:hint="eastAsia"/>
          <w:sz w:val="28"/>
          <w:szCs w:val="24"/>
        </w:rPr>
        <w:t>5、实施检查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szCs w:val="24"/>
        </w:rPr>
      </w:pPr>
      <w:r>
        <w:rPr>
          <w:rFonts w:hint="eastAsia"/>
          <w:sz w:val="28"/>
          <w:szCs w:val="24"/>
        </w:rPr>
        <w:t>对照已编制完成的安全检查表，进行逐项检查，对检查项目的符合性作出判断。</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szCs w:val="24"/>
        </w:rPr>
      </w:pPr>
      <w:r>
        <w:rPr>
          <w:rFonts w:hint="eastAsia"/>
          <w:sz w:val="28"/>
          <w:szCs w:val="24"/>
        </w:rPr>
        <w:t>6、评价结果汇总</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z w:val="28"/>
          <w:szCs w:val="24"/>
        </w:rPr>
      </w:pPr>
      <w:r>
        <w:rPr>
          <w:rFonts w:hint="eastAsia"/>
          <w:sz w:val="28"/>
          <w:szCs w:val="24"/>
        </w:rPr>
        <w:t>将检查的结果汇总，并据此提出具体的安全对策措施及建议。</w:t>
      </w:r>
    </w:p>
    <w:p>
      <w:pPr>
        <w:keepNext/>
        <w:keepLines/>
        <w:pageBreakBefore w:val="0"/>
        <w:widowControl w:val="0"/>
        <w:kinsoku/>
        <w:wordWrap/>
        <w:overflowPunct/>
        <w:topLinePunct w:val="0"/>
        <w:autoSpaceDE/>
        <w:autoSpaceDN/>
        <w:bidi w:val="0"/>
        <w:adjustRightInd w:val="0"/>
        <w:snapToGrid w:val="0"/>
        <w:spacing w:before="0" w:after="0" w:line="360" w:lineRule="auto"/>
        <w:ind w:firstLine="0" w:firstLineChars="0"/>
        <w:jc w:val="both"/>
        <w:textAlignment w:val="auto"/>
        <w:outlineLvl w:val="2"/>
        <w:rPr>
          <w:rFonts w:hint="default" w:ascii="Times New Roman" w:hAnsi="Times New Roman" w:eastAsia="黑体" w:cs="Times New Roman"/>
          <w:b w:val="0"/>
          <w:bCs/>
          <w:snapToGrid w:val="0"/>
          <w:color w:val="auto"/>
          <w:kern w:val="0"/>
          <w:sz w:val="28"/>
          <w:szCs w:val="28"/>
          <w:lang w:val="en-US" w:eastAsia="zh-CN" w:bidi="ar-SA"/>
        </w:rPr>
      </w:pPr>
      <w:r>
        <w:rPr>
          <w:rFonts w:hint="default" w:ascii="Times New Roman" w:hAnsi="Times New Roman" w:eastAsia="黑体" w:cs="Times New Roman"/>
          <w:b w:val="0"/>
          <w:bCs/>
          <w:snapToGrid w:val="0"/>
          <w:color w:val="auto"/>
          <w:kern w:val="0"/>
          <w:sz w:val="28"/>
          <w:szCs w:val="28"/>
          <w:lang w:val="en-US" w:eastAsia="zh-CN" w:bidi="ar-SA"/>
        </w:rPr>
        <w:t xml:space="preserve">4.2.2 </w:t>
      </w:r>
      <w:r>
        <w:rPr>
          <w:rFonts w:hint="eastAsia" w:eastAsia="黑体" w:cs="Times New Roman"/>
          <w:b w:val="0"/>
          <w:bCs/>
          <w:snapToGrid w:val="0"/>
          <w:color w:val="auto"/>
          <w:kern w:val="0"/>
          <w:sz w:val="28"/>
          <w:szCs w:val="28"/>
          <w:lang w:val="en-US" w:eastAsia="zh-CN" w:bidi="ar-SA"/>
        </w:rPr>
        <w:t xml:space="preserve"> </w:t>
      </w:r>
      <w:r>
        <w:rPr>
          <w:rFonts w:hint="default" w:ascii="Times New Roman" w:hAnsi="Times New Roman" w:eastAsia="黑体" w:cs="Times New Roman"/>
          <w:b w:val="0"/>
          <w:bCs/>
          <w:snapToGrid w:val="0"/>
          <w:color w:val="auto"/>
          <w:kern w:val="0"/>
          <w:sz w:val="28"/>
          <w:szCs w:val="28"/>
          <w:lang w:val="en-US" w:eastAsia="zh-CN" w:bidi="ar-SA"/>
        </w:rPr>
        <w:t>作业条件危险性评价法（LEC）</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作业条件危险性评价法是以所评价的环境与某些作为参考环境的对比为基础，将作业条件的危险性做因变量（D），事故或危险事件发生的可能性（L）、暴露于危险环境的频率（E）及危险严重程度（C）为自变量，确定他们之间的函数式。对所评价的对象根据情况进行</w:t>
      </w:r>
      <w:r>
        <w:rPr>
          <w:rFonts w:hint="default" w:ascii="Times New Roman" w:hAnsi="Times New Roman" w:cs="Times New Roman"/>
          <w:snapToGrid w:val="0"/>
          <w:color w:val="auto"/>
          <w:kern w:val="0"/>
          <w:sz w:val="28"/>
          <w:szCs w:val="28"/>
          <w:lang w:eastAsia="zh-CN"/>
        </w:rPr>
        <w:t>“</w:t>
      </w:r>
      <w:r>
        <w:rPr>
          <w:rFonts w:hint="default" w:ascii="Times New Roman" w:hAnsi="Times New Roman" w:cs="Times New Roman"/>
          <w:snapToGrid w:val="0"/>
          <w:color w:val="auto"/>
          <w:kern w:val="0"/>
          <w:sz w:val="28"/>
          <w:szCs w:val="28"/>
        </w:rPr>
        <w:t>打分</w:t>
      </w:r>
      <w:r>
        <w:rPr>
          <w:rFonts w:hint="default" w:ascii="Times New Roman" w:hAnsi="Times New Roman" w:cs="Times New Roman"/>
          <w:snapToGrid w:val="0"/>
          <w:color w:val="auto"/>
          <w:kern w:val="0"/>
          <w:sz w:val="28"/>
          <w:szCs w:val="28"/>
          <w:lang w:eastAsia="zh-CN"/>
        </w:rPr>
        <w:t>”</w:t>
      </w:r>
      <w:r>
        <w:rPr>
          <w:rFonts w:hint="default" w:ascii="Times New Roman" w:hAnsi="Times New Roman" w:cs="Times New Roman"/>
          <w:snapToGrid w:val="0"/>
          <w:color w:val="auto"/>
          <w:kern w:val="0"/>
          <w:sz w:val="28"/>
          <w:szCs w:val="28"/>
        </w:rPr>
        <w:t>，然后根据公式计算出其危险程度。从而定量的对其危险性进行评价。</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作业条件危险性评价是一种简单的半定量评价，是根据事故发生的可能性、人员暴露于危险环境的频率程度和一旦发生事故可能造成的后果等因素来确定的。</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L-事故或危险时间发生的可能性；</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E—暴露于危险环境的频率；</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C—发生事故或危险事件的可能结果。</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作业条件的危险性：D=L·E·C</w:t>
      </w:r>
    </w:p>
    <w:p>
      <w:pPr>
        <w:numPr>
          <w:ilvl w:val="0"/>
          <w:numId w:val="13"/>
        </w:numPr>
        <w:autoSpaceDE w:val="0"/>
        <w:autoSpaceDN w:val="0"/>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E、C取值见表</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3</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5</w:t>
      </w:r>
      <w:r>
        <w:rPr>
          <w:rFonts w:hint="default" w:ascii="Times New Roman" w:hAnsi="Times New Roman" w:cs="Times New Roman"/>
          <w:snapToGrid w:val="0"/>
          <w:color w:val="auto"/>
          <w:kern w:val="0"/>
          <w:sz w:val="28"/>
          <w:szCs w:val="28"/>
        </w:rPr>
        <w:t>，D值见表</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6</w:t>
      </w:r>
      <w:r>
        <w:rPr>
          <w:rFonts w:hint="default" w:ascii="Times New Roman" w:hAnsi="Times New Roman" w:cs="Times New Roman"/>
          <w:snapToGrid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snapToGrid w:val="0"/>
          <w:kern w:val="0"/>
          <w:sz w:val="24"/>
          <w:szCs w:val="24"/>
        </w:rPr>
      </w:pPr>
      <w:r>
        <w:rPr>
          <w:rFonts w:hint="default"/>
          <w:b/>
          <w:snapToGrid w:val="0"/>
          <w:kern w:val="0"/>
          <w:sz w:val="24"/>
          <w:szCs w:val="24"/>
        </w:rPr>
        <w:t>表</w:t>
      </w:r>
      <w:r>
        <w:rPr>
          <w:rFonts w:hint="default"/>
          <w:b/>
          <w:snapToGrid w:val="0"/>
          <w:kern w:val="0"/>
          <w:sz w:val="24"/>
          <w:szCs w:val="24"/>
          <w:lang w:val="en-US" w:eastAsia="zh-CN"/>
        </w:rPr>
        <w:t>4</w:t>
      </w:r>
      <w:r>
        <w:rPr>
          <w:rFonts w:hint="default"/>
          <w:b/>
          <w:snapToGrid w:val="0"/>
          <w:kern w:val="0"/>
          <w:sz w:val="24"/>
          <w:szCs w:val="24"/>
        </w:rPr>
        <w:t>-</w:t>
      </w:r>
      <w:r>
        <w:rPr>
          <w:rFonts w:hint="default"/>
          <w:b/>
          <w:snapToGrid w:val="0"/>
          <w:kern w:val="0"/>
          <w:sz w:val="24"/>
          <w:szCs w:val="24"/>
          <w:lang w:val="en-US" w:eastAsia="zh-CN"/>
        </w:rPr>
        <w:t>3</w:t>
      </w:r>
      <w:r>
        <w:rPr>
          <w:rFonts w:hint="default"/>
          <w:b/>
          <w:snapToGrid w:val="0"/>
          <w:kern w:val="0"/>
          <w:sz w:val="24"/>
          <w:szCs w:val="24"/>
        </w:rPr>
        <w:t xml:space="preserve">  发生事故或危险事件的可能性分值表</w:t>
      </w:r>
    </w:p>
    <w:tbl>
      <w:tblPr>
        <w:tblStyle w:val="4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02"/>
        <w:gridCol w:w="3256"/>
        <w:gridCol w:w="1218"/>
        <w:gridCol w:w="33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分值</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事故或危险情况发生可能性</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分值</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事故或危险情况发生可能性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r>
              <w:rPr>
                <w:rFonts w:hint="default" w:ascii="Times New Roman" w:hAnsi="Times New Roman" w:cs="Times New Roman"/>
                <w:snapToGrid w:val="0"/>
                <w:color w:val="auto"/>
                <w:kern w:val="0"/>
                <w:sz w:val="21"/>
                <w:szCs w:val="24"/>
              </w:rPr>
              <w:t>10*</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r>
              <w:rPr>
                <w:rFonts w:hint="default" w:ascii="Times New Roman" w:hAnsi="Times New Roman" w:cs="Times New Roman"/>
                <w:snapToGrid w:val="0"/>
                <w:color w:val="auto"/>
                <w:kern w:val="0"/>
                <w:sz w:val="21"/>
                <w:szCs w:val="24"/>
              </w:rPr>
              <w:t>完全会被预料到</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r>
              <w:rPr>
                <w:rFonts w:hint="default" w:ascii="Times New Roman" w:hAnsi="Times New Roman" w:cs="Times New Roman"/>
                <w:snapToGrid w:val="0"/>
                <w:color w:val="auto"/>
                <w:kern w:val="0"/>
                <w:sz w:val="21"/>
                <w:szCs w:val="24"/>
              </w:rPr>
              <w:t>0.5</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r>
              <w:rPr>
                <w:rFonts w:hint="default" w:ascii="Times New Roman" w:hAnsi="Times New Roman" w:cs="Times New Roman"/>
                <w:snapToGrid w:val="0"/>
                <w:color w:val="auto"/>
                <w:kern w:val="0"/>
                <w:sz w:val="21"/>
                <w:szCs w:val="24"/>
              </w:rPr>
              <w:t>可以设想，但高度不可能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r>
              <w:rPr>
                <w:rFonts w:hint="default" w:ascii="Times New Roman" w:hAnsi="Times New Roman" w:cs="Times New Roman"/>
                <w:snapToGrid w:val="0"/>
                <w:color w:val="auto"/>
                <w:kern w:val="0"/>
                <w:sz w:val="21"/>
                <w:szCs w:val="24"/>
              </w:rPr>
              <w:t>6</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r>
              <w:rPr>
                <w:rFonts w:hint="default" w:ascii="Times New Roman" w:hAnsi="Times New Roman" w:cs="Times New Roman"/>
                <w:snapToGrid w:val="0"/>
                <w:color w:val="auto"/>
                <w:kern w:val="0"/>
                <w:sz w:val="21"/>
                <w:szCs w:val="24"/>
              </w:rPr>
              <w:t>相当可能</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r>
              <w:rPr>
                <w:rFonts w:hint="default" w:ascii="Times New Roman" w:hAnsi="Times New Roman" w:cs="Times New Roman"/>
                <w:snapToGrid w:val="0"/>
                <w:color w:val="auto"/>
                <w:kern w:val="0"/>
                <w:sz w:val="21"/>
                <w:szCs w:val="24"/>
              </w:rPr>
              <w:t>0.2</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r>
              <w:rPr>
                <w:rFonts w:hint="default" w:ascii="Times New Roman" w:hAnsi="Times New Roman" w:cs="Times New Roman"/>
                <w:snapToGrid w:val="0"/>
                <w:color w:val="auto"/>
                <w:kern w:val="0"/>
                <w:sz w:val="21"/>
                <w:szCs w:val="24"/>
              </w:rPr>
              <w:t>极不可能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r>
              <w:rPr>
                <w:rFonts w:hint="default" w:ascii="Times New Roman" w:hAnsi="Times New Roman" w:cs="Times New Roman"/>
                <w:snapToGrid w:val="0"/>
                <w:color w:val="auto"/>
                <w:kern w:val="0"/>
                <w:sz w:val="21"/>
                <w:szCs w:val="24"/>
              </w:rPr>
              <w:t>3</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r>
              <w:rPr>
                <w:rFonts w:hint="default" w:ascii="Times New Roman" w:hAnsi="Times New Roman" w:cs="Times New Roman"/>
                <w:snapToGrid w:val="0"/>
                <w:color w:val="auto"/>
                <w:kern w:val="0"/>
                <w:sz w:val="21"/>
                <w:szCs w:val="24"/>
              </w:rPr>
              <w:t>不经常，但可能</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r>
              <w:rPr>
                <w:rFonts w:hint="default" w:ascii="Times New Roman" w:hAnsi="Times New Roman" w:cs="Times New Roman"/>
                <w:snapToGrid w:val="0"/>
                <w:color w:val="auto"/>
                <w:kern w:val="0"/>
                <w:sz w:val="21"/>
                <w:szCs w:val="24"/>
              </w:rPr>
              <w:t>0.1*</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r>
              <w:rPr>
                <w:rFonts w:hint="default" w:ascii="Times New Roman" w:hAnsi="Times New Roman" w:cs="Times New Roman"/>
                <w:snapToGrid w:val="0"/>
                <w:color w:val="auto"/>
                <w:kern w:val="0"/>
                <w:sz w:val="21"/>
                <w:szCs w:val="24"/>
              </w:rPr>
              <w:t>实际上不可能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r>
              <w:rPr>
                <w:rFonts w:hint="default" w:ascii="Times New Roman" w:hAnsi="Times New Roman" w:cs="Times New Roman"/>
                <w:snapToGrid w:val="0"/>
                <w:color w:val="auto"/>
                <w:kern w:val="0"/>
                <w:sz w:val="21"/>
                <w:szCs w:val="24"/>
              </w:rPr>
              <w:t>1*</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r>
              <w:rPr>
                <w:rFonts w:hint="default" w:ascii="Times New Roman" w:hAnsi="Times New Roman" w:cs="Times New Roman"/>
                <w:snapToGrid w:val="0"/>
                <w:color w:val="auto"/>
                <w:kern w:val="0"/>
                <w:sz w:val="21"/>
                <w:szCs w:val="24"/>
              </w:rPr>
              <w:t>完全意外，极少可能</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4"/>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240" w:lineRule="auto"/>
        <w:ind w:firstLine="0" w:firstLineChars="0"/>
        <w:jc w:val="center"/>
        <w:textAlignment w:val="auto"/>
        <w:rPr>
          <w:rFonts w:hint="default"/>
          <w:b/>
          <w:snapToGrid w:val="0"/>
          <w:kern w:val="0"/>
          <w:sz w:val="24"/>
          <w:szCs w:val="24"/>
        </w:rPr>
      </w:pPr>
      <w:r>
        <w:rPr>
          <w:rFonts w:hint="default"/>
          <w:b/>
          <w:snapToGrid w:val="0"/>
          <w:kern w:val="0"/>
          <w:sz w:val="24"/>
          <w:szCs w:val="24"/>
        </w:rPr>
        <w:t>表</w:t>
      </w:r>
      <w:r>
        <w:rPr>
          <w:rFonts w:hint="default"/>
          <w:b/>
          <w:snapToGrid w:val="0"/>
          <w:kern w:val="0"/>
          <w:sz w:val="24"/>
          <w:szCs w:val="24"/>
          <w:lang w:val="en-US" w:eastAsia="zh-CN"/>
        </w:rPr>
        <w:t>4</w:t>
      </w:r>
      <w:r>
        <w:rPr>
          <w:rFonts w:hint="default"/>
          <w:b/>
          <w:snapToGrid w:val="0"/>
          <w:kern w:val="0"/>
          <w:sz w:val="24"/>
          <w:szCs w:val="24"/>
        </w:rPr>
        <w:t>-</w:t>
      </w:r>
      <w:r>
        <w:rPr>
          <w:rFonts w:hint="default"/>
          <w:b/>
          <w:snapToGrid w:val="0"/>
          <w:kern w:val="0"/>
          <w:sz w:val="24"/>
          <w:szCs w:val="24"/>
          <w:lang w:val="en-US" w:eastAsia="zh-CN"/>
        </w:rPr>
        <w:t>4</w:t>
      </w:r>
      <w:r>
        <w:rPr>
          <w:rFonts w:hint="default"/>
          <w:b/>
          <w:snapToGrid w:val="0"/>
          <w:kern w:val="0"/>
          <w:sz w:val="24"/>
          <w:szCs w:val="24"/>
        </w:rPr>
        <w:t xml:space="preserve">  暴露于危险环境的分值表</w:t>
      </w:r>
    </w:p>
    <w:tbl>
      <w:tblPr>
        <w:tblStyle w:val="4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3256"/>
        <w:gridCol w:w="1218"/>
        <w:gridCol w:w="35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2"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分值</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出现于危险环境的情况</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分值</w:t>
            </w:r>
          </w:p>
        </w:tc>
        <w:tc>
          <w:tcPr>
            <w:tcW w:w="352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出现于危险环境的情况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10*</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连续暴露于潜在危险环境</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2</w:t>
            </w:r>
          </w:p>
        </w:tc>
        <w:tc>
          <w:tcPr>
            <w:tcW w:w="352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每月暴露一次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72"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6</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逐日在工作时间内暴露</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1*</w:t>
            </w:r>
          </w:p>
        </w:tc>
        <w:tc>
          <w:tcPr>
            <w:tcW w:w="352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每年几次出现在潜在危险环境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2"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3</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每周一次或偶然地暴露</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0.1</w:t>
            </w:r>
          </w:p>
        </w:tc>
        <w:tc>
          <w:tcPr>
            <w:tcW w:w="352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非常罕见地暴露</w:t>
            </w:r>
          </w:p>
        </w:tc>
      </w:tr>
    </w:tbl>
    <w:p>
      <w:pPr>
        <w:keepNext w:val="0"/>
        <w:keepLines w:val="0"/>
        <w:pageBreakBefore w:val="0"/>
        <w:widowControl w:val="0"/>
        <w:kinsoku/>
        <w:wordWrap/>
        <w:overflowPunct/>
        <w:topLinePunct w:val="0"/>
        <w:autoSpaceDE/>
        <w:autoSpaceDN/>
        <w:bidi w:val="0"/>
        <w:adjustRightInd w:val="0"/>
        <w:snapToGrid w:val="0"/>
        <w:spacing w:before="157" w:beforeLines="50" w:line="240" w:lineRule="auto"/>
        <w:ind w:firstLine="0" w:firstLineChars="0"/>
        <w:jc w:val="center"/>
        <w:textAlignment w:val="auto"/>
        <w:rPr>
          <w:rFonts w:hint="default"/>
          <w:b/>
          <w:snapToGrid w:val="0"/>
          <w:kern w:val="0"/>
          <w:sz w:val="24"/>
          <w:szCs w:val="24"/>
        </w:rPr>
      </w:pPr>
      <w:r>
        <w:rPr>
          <w:rFonts w:hint="default"/>
          <w:b/>
          <w:snapToGrid w:val="0"/>
          <w:kern w:val="0"/>
          <w:sz w:val="24"/>
          <w:szCs w:val="24"/>
        </w:rPr>
        <w:t>表</w:t>
      </w:r>
      <w:r>
        <w:rPr>
          <w:rFonts w:hint="default"/>
          <w:b/>
          <w:snapToGrid w:val="0"/>
          <w:kern w:val="0"/>
          <w:sz w:val="24"/>
          <w:szCs w:val="24"/>
          <w:lang w:val="en-US" w:eastAsia="zh-CN"/>
        </w:rPr>
        <w:t>4</w:t>
      </w:r>
      <w:r>
        <w:rPr>
          <w:rFonts w:hint="default"/>
          <w:b/>
          <w:snapToGrid w:val="0"/>
          <w:kern w:val="0"/>
          <w:sz w:val="24"/>
          <w:szCs w:val="24"/>
        </w:rPr>
        <w:t>-</w:t>
      </w:r>
      <w:r>
        <w:rPr>
          <w:rFonts w:hint="default"/>
          <w:b/>
          <w:snapToGrid w:val="0"/>
          <w:kern w:val="0"/>
          <w:sz w:val="24"/>
          <w:szCs w:val="24"/>
          <w:lang w:val="en-US" w:eastAsia="zh-CN"/>
        </w:rPr>
        <w:t>5</w:t>
      </w:r>
      <w:r>
        <w:rPr>
          <w:rFonts w:hint="default"/>
          <w:b/>
          <w:snapToGrid w:val="0"/>
          <w:kern w:val="0"/>
          <w:sz w:val="24"/>
          <w:szCs w:val="24"/>
        </w:rPr>
        <w:t xml:space="preserve"> 发生事故或危险时间的可能结果的分值表</w:t>
      </w:r>
    </w:p>
    <w:tbl>
      <w:tblPr>
        <w:tblStyle w:val="4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707"/>
        <w:gridCol w:w="1218"/>
        <w:gridCol w:w="33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分值</w:t>
            </w:r>
          </w:p>
        </w:tc>
        <w:tc>
          <w:tcPr>
            <w:tcW w:w="3707"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可能结果</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分值</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可能结果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100*</w:t>
            </w:r>
          </w:p>
        </w:tc>
        <w:tc>
          <w:tcPr>
            <w:tcW w:w="3707"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大灾难，许多人死亡</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7</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严重，严重伤害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40</w:t>
            </w:r>
          </w:p>
        </w:tc>
        <w:tc>
          <w:tcPr>
            <w:tcW w:w="3707"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灾难，数人死亡</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3</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重大，致残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15</w:t>
            </w:r>
          </w:p>
        </w:tc>
        <w:tc>
          <w:tcPr>
            <w:tcW w:w="3707"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非常严重，一人死亡</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1*</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引人瞩目，需要救护</w:t>
            </w:r>
          </w:p>
        </w:tc>
      </w:tr>
    </w:tbl>
    <w:p>
      <w:pPr>
        <w:rPr>
          <w:rFonts w:hint="default"/>
          <w:b/>
          <w:snapToGrid w:val="0"/>
          <w:kern w:val="0"/>
          <w:sz w:val="24"/>
          <w:szCs w:val="24"/>
        </w:rPr>
      </w:pPr>
      <w:r>
        <w:rPr>
          <w:rFonts w:hint="default"/>
          <w:b/>
          <w:snapToGrid w:val="0"/>
          <w:kern w:val="0"/>
          <w:sz w:val="24"/>
          <w:szCs w:val="24"/>
        </w:rPr>
        <w:br w:type="page"/>
      </w:r>
    </w:p>
    <w:p>
      <w:pPr>
        <w:keepNext w:val="0"/>
        <w:keepLines w:val="0"/>
        <w:pageBreakBefore w:val="0"/>
        <w:widowControl w:val="0"/>
        <w:kinsoku/>
        <w:wordWrap/>
        <w:overflowPunct/>
        <w:topLinePunct w:val="0"/>
        <w:autoSpaceDE/>
        <w:autoSpaceDN/>
        <w:bidi w:val="0"/>
        <w:adjustRightInd w:val="0"/>
        <w:snapToGrid w:val="0"/>
        <w:spacing w:before="161" w:beforeLines="50" w:line="240" w:lineRule="auto"/>
        <w:ind w:firstLine="0" w:firstLineChars="0"/>
        <w:jc w:val="center"/>
        <w:textAlignment w:val="auto"/>
        <w:rPr>
          <w:rFonts w:hint="default" w:ascii="Times New Roman" w:hAnsi="Times New Roman" w:eastAsia="宋体" w:cs="Times New Roman"/>
          <w:b/>
          <w:bCs/>
          <w:snapToGrid w:val="0"/>
          <w:color w:val="auto"/>
          <w:kern w:val="0"/>
          <w:sz w:val="24"/>
          <w:szCs w:val="24"/>
        </w:rPr>
      </w:pPr>
      <w:r>
        <w:rPr>
          <w:rFonts w:hint="default"/>
          <w:b/>
          <w:snapToGrid w:val="0"/>
          <w:kern w:val="0"/>
          <w:sz w:val="24"/>
          <w:szCs w:val="24"/>
        </w:rPr>
        <w:t>表</w:t>
      </w:r>
      <w:r>
        <w:rPr>
          <w:rFonts w:hint="default"/>
          <w:b/>
          <w:snapToGrid w:val="0"/>
          <w:kern w:val="0"/>
          <w:sz w:val="24"/>
          <w:szCs w:val="24"/>
          <w:lang w:val="en-US" w:eastAsia="zh-CN"/>
        </w:rPr>
        <w:t>4</w:t>
      </w:r>
      <w:r>
        <w:rPr>
          <w:rFonts w:hint="default"/>
          <w:b/>
          <w:snapToGrid w:val="0"/>
          <w:kern w:val="0"/>
          <w:sz w:val="24"/>
          <w:szCs w:val="24"/>
        </w:rPr>
        <w:t>-</w:t>
      </w:r>
      <w:r>
        <w:rPr>
          <w:rFonts w:hint="default"/>
          <w:b/>
          <w:snapToGrid w:val="0"/>
          <w:kern w:val="0"/>
          <w:sz w:val="24"/>
          <w:szCs w:val="24"/>
          <w:lang w:val="en-US" w:eastAsia="zh-CN"/>
        </w:rPr>
        <w:t>6</w:t>
      </w:r>
      <w:r>
        <w:rPr>
          <w:rFonts w:hint="default"/>
          <w:b/>
          <w:snapToGrid w:val="0"/>
          <w:kern w:val="0"/>
          <w:sz w:val="24"/>
          <w:szCs w:val="24"/>
        </w:rPr>
        <w:t xml:space="preserve"> 作业条件危险性分值与危险程度表</w:t>
      </w:r>
    </w:p>
    <w:tbl>
      <w:tblPr>
        <w:tblStyle w:val="4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663"/>
        <w:gridCol w:w="1203"/>
        <w:gridCol w:w="31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分值</w:t>
            </w:r>
          </w:p>
        </w:tc>
        <w:tc>
          <w:tcPr>
            <w:tcW w:w="366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危险程度</w:t>
            </w:r>
          </w:p>
        </w:tc>
        <w:tc>
          <w:tcPr>
            <w:tcW w:w="120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分值</w:t>
            </w:r>
          </w:p>
        </w:tc>
        <w:tc>
          <w:tcPr>
            <w:tcW w:w="3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val="0"/>
                <w:snapToGrid w:val="0"/>
                <w:color w:val="auto"/>
                <w:kern w:val="0"/>
                <w:sz w:val="21"/>
                <w:szCs w:val="21"/>
              </w:rPr>
            </w:pPr>
            <w:r>
              <w:rPr>
                <w:rFonts w:hint="default" w:ascii="Times New Roman" w:hAnsi="Times New Roman" w:eastAsia="宋体" w:cs="Times New Roman"/>
                <w:b/>
                <w:bCs w:val="0"/>
                <w:snapToGrid w:val="0"/>
                <w:color w:val="auto"/>
                <w:kern w:val="0"/>
                <w:sz w:val="21"/>
                <w:szCs w:val="21"/>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320</w:t>
            </w:r>
          </w:p>
        </w:tc>
        <w:tc>
          <w:tcPr>
            <w:tcW w:w="366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及其危险，不能继续作业</w:t>
            </w:r>
          </w:p>
        </w:tc>
        <w:tc>
          <w:tcPr>
            <w:tcW w:w="120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20-70</w:t>
            </w:r>
          </w:p>
        </w:tc>
        <w:tc>
          <w:tcPr>
            <w:tcW w:w="3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可能危险，需要注意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160-320</w:t>
            </w:r>
          </w:p>
        </w:tc>
        <w:tc>
          <w:tcPr>
            <w:tcW w:w="366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高度危险，需要立即整改</w:t>
            </w:r>
          </w:p>
        </w:tc>
        <w:tc>
          <w:tcPr>
            <w:tcW w:w="120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20</w:t>
            </w:r>
          </w:p>
        </w:tc>
        <w:tc>
          <w:tcPr>
            <w:tcW w:w="3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稍有危险，或许可以接受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70-160</w:t>
            </w:r>
          </w:p>
        </w:tc>
        <w:tc>
          <w:tcPr>
            <w:tcW w:w="366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r>
              <w:rPr>
                <w:rFonts w:hint="default" w:ascii="Times New Roman" w:hAnsi="Times New Roman" w:cs="Times New Roman"/>
                <w:snapToGrid w:val="0"/>
                <w:color w:val="auto"/>
                <w:kern w:val="0"/>
                <w:sz w:val="21"/>
                <w:szCs w:val="21"/>
              </w:rPr>
              <w:t>显著危险，需要整改</w:t>
            </w:r>
          </w:p>
        </w:tc>
        <w:tc>
          <w:tcPr>
            <w:tcW w:w="120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p>
        </w:tc>
        <w:tc>
          <w:tcPr>
            <w:tcW w:w="3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snapToGrid w:val="0"/>
                <w:color w:val="auto"/>
                <w:kern w:val="0"/>
                <w:sz w:val="21"/>
                <w:szCs w:val="21"/>
              </w:rPr>
            </w:pPr>
          </w:p>
        </w:tc>
      </w:tr>
    </w:tbl>
    <w:p>
      <w:pPr>
        <w:ind w:firstLine="560"/>
      </w:pPr>
    </w:p>
    <w:p>
      <w:pPr>
        <w:pStyle w:val="2"/>
        <w:sectPr>
          <w:footerReference r:id="rId19" w:type="default"/>
          <w:pgSz w:w="11906" w:h="16838"/>
          <w:pgMar w:top="1440" w:right="1803" w:bottom="1440" w:left="1803" w:header="850" w:footer="992" w:gutter="0"/>
          <w:pgBorders>
            <w:top w:val="none" w:sz="0" w:space="0"/>
            <w:left w:val="none" w:sz="0" w:space="0"/>
            <w:bottom w:val="none" w:sz="0" w:space="0"/>
            <w:right w:val="none" w:sz="0" w:space="0"/>
          </w:pgBorders>
          <w:cols w:space="0" w:num="1"/>
          <w:rtlGutter w:val="0"/>
          <w:docGrid w:linePitch="312" w:charSpace="0"/>
        </w:sectPr>
      </w:pPr>
    </w:p>
    <w:p>
      <w:pPr>
        <w:pStyle w:val="3"/>
      </w:pPr>
      <w:bookmarkStart w:id="122" w:name="_Toc6155"/>
      <w:r>
        <w:t xml:space="preserve">5  </w:t>
      </w:r>
      <w:r>
        <w:rPr>
          <w:rFonts w:hint="eastAsia" w:ascii="楷体" w:hAnsi="楷体" w:eastAsia="楷体" w:cs="楷体"/>
        </w:rPr>
        <w:t>安全符合性评价</w:t>
      </w:r>
      <w:bookmarkEnd w:id="121"/>
      <w:bookmarkEnd w:id="122"/>
    </w:p>
    <w:p>
      <w:pPr>
        <w:pStyle w:val="4"/>
        <w:rPr>
          <w:b w:val="0"/>
          <w:bCs/>
          <w:sz w:val="32"/>
          <w:szCs w:val="32"/>
        </w:rPr>
      </w:pPr>
      <w:bookmarkStart w:id="123" w:name="_Toc421129859"/>
      <w:bookmarkStart w:id="124" w:name="_Toc421175175"/>
      <w:bookmarkStart w:id="125" w:name="_Toc22461"/>
      <w:r>
        <w:rPr>
          <w:b w:val="0"/>
          <w:bCs/>
          <w:sz w:val="32"/>
          <w:szCs w:val="32"/>
        </w:rPr>
        <w:t>5.</w:t>
      </w:r>
      <w:r>
        <w:rPr>
          <w:rFonts w:hint="eastAsia"/>
          <w:b w:val="0"/>
          <w:bCs/>
          <w:sz w:val="32"/>
          <w:szCs w:val="32"/>
        </w:rPr>
        <w:t>1</w:t>
      </w:r>
      <w:r>
        <w:rPr>
          <w:b w:val="0"/>
          <w:bCs/>
          <w:sz w:val="32"/>
          <w:szCs w:val="32"/>
        </w:rPr>
        <w:t xml:space="preserve">  </w:t>
      </w:r>
      <w:bookmarkEnd w:id="123"/>
      <w:bookmarkEnd w:id="124"/>
      <w:r>
        <w:rPr>
          <w:rFonts w:hint="eastAsia" w:ascii="黑体" w:hAnsi="黑体" w:eastAsia="黑体" w:cs="黑体"/>
          <w:b w:val="0"/>
          <w:bCs/>
          <w:sz w:val="32"/>
          <w:szCs w:val="32"/>
        </w:rPr>
        <w:t>东营大明钻井有限责任公司安全管理现状</w:t>
      </w:r>
      <w:bookmarkEnd w:id="125"/>
    </w:p>
    <w:p>
      <w:pPr>
        <w:pStyle w:val="5"/>
        <w:rPr>
          <w:b w:val="0"/>
          <w:bCs w:val="0"/>
          <w:snapToGrid w:val="0"/>
          <w:kern w:val="0"/>
        </w:rPr>
      </w:pPr>
      <w:r>
        <w:rPr>
          <w:b w:val="0"/>
          <w:bCs w:val="0"/>
          <w:snapToGrid w:val="0"/>
          <w:kern w:val="0"/>
        </w:rPr>
        <w:t>5.</w:t>
      </w:r>
      <w:r>
        <w:rPr>
          <w:rFonts w:hint="eastAsia"/>
          <w:b w:val="0"/>
          <w:bCs w:val="0"/>
          <w:snapToGrid w:val="0"/>
          <w:kern w:val="0"/>
        </w:rPr>
        <w:t>1</w:t>
      </w:r>
      <w:r>
        <w:rPr>
          <w:b w:val="0"/>
          <w:bCs w:val="0"/>
          <w:snapToGrid w:val="0"/>
          <w:kern w:val="0"/>
        </w:rPr>
        <w:t>.</w:t>
      </w:r>
      <w:r>
        <w:rPr>
          <w:rFonts w:hint="eastAsia"/>
          <w:b w:val="0"/>
          <w:bCs w:val="0"/>
          <w:snapToGrid w:val="0"/>
          <w:kern w:val="0"/>
        </w:rPr>
        <w:t>1</w:t>
      </w:r>
      <w:r>
        <w:rPr>
          <w:b w:val="0"/>
          <w:bCs w:val="0"/>
          <w:snapToGrid w:val="0"/>
          <w:kern w:val="0"/>
        </w:rPr>
        <w:t xml:space="preserve">  </w:t>
      </w:r>
      <w:r>
        <w:rPr>
          <w:rFonts w:hint="eastAsia" w:ascii="黑体" w:hAnsi="黑体" w:eastAsia="黑体" w:cs="黑体"/>
          <w:b w:val="0"/>
          <w:bCs w:val="0"/>
          <w:snapToGrid w:val="0"/>
          <w:kern w:val="0"/>
        </w:rPr>
        <w:t>安全检查表法评价</w:t>
      </w:r>
    </w:p>
    <w:p>
      <w:pPr>
        <w:pStyle w:val="110"/>
        <w:ind w:firstLine="560"/>
        <w:rPr>
          <w:rFonts w:ascii="Times New Roman" w:hAnsi="Times New Roman"/>
          <w:b/>
          <w:snapToGrid w:val="0"/>
          <w:kern w:val="0"/>
          <w:szCs w:val="21"/>
        </w:rPr>
      </w:pPr>
      <w:r>
        <w:rPr>
          <w:rFonts w:ascii="Times New Roman" w:hAnsi="Times New Roman"/>
          <w:szCs w:val="28"/>
        </w:rPr>
        <w:t>根据根据《中华人民共和国安全生产法》（中华人民共和国主席令</w:t>
      </w:r>
      <w:r>
        <w:rPr>
          <w:rFonts w:hint="eastAsia"/>
          <w:szCs w:val="28"/>
        </w:rPr>
        <w:t>〔</w:t>
      </w:r>
      <w:r>
        <w:rPr>
          <w:rFonts w:ascii="Times New Roman" w:hAnsi="Times New Roman"/>
          <w:szCs w:val="28"/>
        </w:rPr>
        <w:t>2021</w:t>
      </w:r>
      <w:r>
        <w:rPr>
          <w:rFonts w:hint="eastAsia"/>
          <w:szCs w:val="28"/>
        </w:rPr>
        <w:t>〕</w:t>
      </w:r>
      <w:r>
        <w:rPr>
          <w:rFonts w:ascii="Times New Roman" w:hAnsi="Times New Roman"/>
          <w:szCs w:val="28"/>
        </w:rPr>
        <w:t>第88号修正）、《山东省生产经营单位安全生产主体责任规定》（山东省人民政府令[2018]第311号修改版）等法律法规的要求，编制</w:t>
      </w:r>
      <w:r>
        <w:rPr>
          <w:rFonts w:hint="eastAsia" w:ascii="Times New Roman" w:hAnsi="Times New Roman"/>
          <w:szCs w:val="28"/>
        </w:rPr>
        <w:t>东营大明钻井有限责任公司</w:t>
      </w:r>
      <w:r>
        <w:rPr>
          <w:rFonts w:ascii="Times New Roman" w:hAnsi="Times New Roman"/>
          <w:szCs w:val="28"/>
        </w:rPr>
        <w:t>安全管理检查表。具体评价过程见表5-1</w:t>
      </w:r>
      <w:r>
        <w:rPr>
          <w:rFonts w:ascii="Times New Roman" w:hAnsi="Times New Roman"/>
          <w:snapToGrid w:val="0"/>
          <w:kern w:val="0"/>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snapToGrid w:val="0"/>
          <w:kern w:val="0"/>
          <w:sz w:val="24"/>
          <w:szCs w:val="24"/>
        </w:rPr>
      </w:pPr>
      <w:r>
        <w:rPr>
          <w:b/>
          <w:snapToGrid w:val="0"/>
          <w:kern w:val="0"/>
          <w:sz w:val="24"/>
          <w:szCs w:val="24"/>
        </w:rPr>
        <w:t>表5-</w:t>
      </w:r>
      <w:r>
        <w:rPr>
          <w:rFonts w:hint="eastAsia"/>
          <w:b/>
          <w:snapToGrid w:val="0"/>
          <w:kern w:val="0"/>
          <w:sz w:val="24"/>
          <w:szCs w:val="24"/>
        </w:rPr>
        <w:t>1</w:t>
      </w:r>
      <w:r>
        <w:rPr>
          <w:b/>
          <w:snapToGrid w:val="0"/>
          <w:kern w:val="0"/>
          <w:sz w:val="24"/>
          <w:szCs w:val="24"/>
        </w:rPr>
        <w:t xml:space="preserve">  安全管理检查表</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5"/>
        <w:spacing w:before="120" w:beforeLines="50"/>
        <w:rPr>
          <w:b w:val="0"/>
          <w:bCs w:val="0"/>
          <w:snapToGrid w:val="0"/>
          <w:kern w:val="0"/>
        </w:rPr>
      </w:pPr>
      <w:r>
        <w:rPr>
          <w:b w:val="0"/>
          <w:bCs w:val="0"/>
          <w:snapToGrid w:val="0"/>
          <w:kern w:val="0"/>
        </w:rPr>
        <w:t>5.</w:t>
      </w:r>
      <w:r>
        <w:rPr>
          <w:rFonts w:hint="eastAsia"/>
          <w:b w:val="0"/>
          <w:bCs w:val="0"/>
          <w:snapToGrid w:val="0"/>
          <w:kern w:val="0"/>
        </w:rPr>
        <w:t>1</w:t>
      </w:r>
      <w:r>
        <w:rPr>
          <w:b w:val="0"/>
          <w:bCs w:val="0"/>
          <w:snapToGrid w:val="0"/>
          <w:kern w:val="0"/>
        </w:rPr>
        <w:t>.</w:t>
      </w:r>
      <w:r>
        <w:rPr>
          <w:rFonts w:hint="eastAsia"/>
          <w:b w:val="0"/>
          <w:bCs w:val="0"/>
          <w:snapToGrid w:val="0"/>
          <w:kern w:val="0"/>
          <w:lang w:val="en-US" w:eastAsia="zh-CN"/>
        </w:rPr>
        <w:t>2</w:t>
      </w:r>
      <w:r>
        <w:rPr>
          <w:b w:val="0"/>
          <w:bCs w:val="0"/>
          <w:snapToGrid w:val="0"/>
          <w:kern w:val="0"/>
        </w:rPr>
        <w:t xml:space="preserve">  </w:t>
      </w:r>
      <w:r>
        <w:rPr>
          <w:rFonts w:hint="eastAsia" w:ascii="黑体" w:hAnsi="黑体" w:eastAsia="黑体" w:cs="黑体"/>
          <w:b w:val="0"/>
          <w:bCs w:val="0"/>
          <w:snapToGrid w:val="0"/>
          <w:kern w:val="0"/>
        </w:rPr>
        <w:t>单元评价小结</w:t>
      </w:r>
    </w:p>
    <w:p>
      <w:pPr>
        <w:ind w:firstLine="560"/>
        <w:rPr>
          <w:rFonts w:hint="default"/>
          <w:lang w:val="en-US" w:eastAsia="zh-CN"/>
        </w:rPr>
      </w:pPr>
      <w:r>
        <w:t>安全检查表共列出</w:t>
      </w:r>
      <w:r>
        <w:rPr>
          <w:rFonts w:hint="eastAsia"/>
          <w:lang w:val="en-US" w:eastAsia="zh-CN"/>
        </w:rPr>
        <w:t>47</w:t>
      </w:r>
      <w:r>
        <w:t>项检查内容，发现</w:t>
      </w:r>
      <w:r>
        <w:rPr>
          <w:rFonts w:hint="eastAsia"/>
          <w:lang w:val="en-US" w:eastAsia="zh-CN"/>
        </w:rPr>
        <w:t>1</w:t>
      </w:r>
      <w:r>
        <w:t>项不符合</w:t>
      </w:r>
      <w:r>
        <w:rPr>
          <w:rFonts w:hint="eastAsia"/>
          <w:lang w:eastAsia="zh-CN"/>
        </w:rPr>
        <w:t>：</w:t>
      </w:r>
      <w:r>
        <w:rPr>
          <w:rFonts w:hint="eastAsia"/>
          <w:lang w:val="en-US" w:eastAsia="zh-CN"/>
        </w:rPr>
        <w:t>1.钻井五队、钻井七队钻台下储气瓶未注册登记、未检测检验。</w:t>
      </w:r>
    </w:p>
    <w:p>
      <w:pPr>
        <w:pStyle w:val="4"/>
        <w:rPr>
          <w:rFonts w:hint="default" w:eastAsia="宋体"/>
          <w:b w:val="0"/>
          <w:bCs w:val="0"/>
          <w:sz w:val="32"/>
          <w:szCs w:val="32"/>
          <w:lang w:val="en-US" w:eastAsia="zh-CN"/>
        </w:rPr>
      </w:pPr>
      <w:bookmarkStart w:id="126" w:name="_Toc18921"/>
      <w:bookmarkStart w:id="127" w:name="_Toc341963433"/>
      <w:r>
        <w:rPr>
          <w:b w:val="0"/>
          <w:bCs w:val="0"/>
          <w:sz w:val="32"/>
          <w:szCs w:val="32"/>
        </w:rPr>
        <w:t>5.</w:t>
      </w:r>
      <w:r>
        <w:rPr>
          <w:rFonts w:hint="eastAsia"/>
          <w:b w:val="0"/>
          <w:bCs w:val="0"/>
          <w:sz w:val="32"/>
          <w:szCs w:val="32"/>
        </w:rPr>
        <w:t>2</w:t>
      </w:r>
      <w:r>
        <w:rPr>
          <w:b w:val="0"/>
          <w:bCs w:val="0"/>
          <w:sz w:val="32"/>
          <w:szCs w:val="32"/>
        </w:rPr>
        <w:t xml:space="preserve">  </w:t>
      </w:r>
      <w:r>
        <w:rPr>
          <w:rFonts w:hint="eastAsia" w:ascii="黑体" w:hAnsi="黑体" w:eastAsia="黑体" w:cs="黑体"/>
          <w:b w:val="0"/>
          <w:bCs w:val="0"/>
          <w:sz w:val="32"/>
          <w:szCs w:val="32"/>
        </w:rPr>
        <w:t>生产作业单元</w:t>
      </w:r>
      <w:r>
        <w:rPr>
          <w:rFonts w:hint="eastAsia" w:ascii="黑体" w:hAnsi="黑体" w:eastAsia="黑体" w:cs="黑体"/>
          <w:b w:val="0"/>
          <w:bCs w:val="0"/>
          <w:sz w:val="32"/>
          <w:szCs w:val="32"/>
          <w:lang w:val="en-US" w:eastAsia="zh-CN"/>
        </w:rPr>
        <w:t>安全检查表</w:t>
      </w:r>
      <w:bookmarkEnd w:id="126"/>
    </w:p>
    <w:p>
      <w:pPr>
        <w:pStyle w:val="187"/>
        <w:keepNext w:val="0"/>
        <w:keepLines w:val="0"/>
        <w:rPr>
          <w:rFonts w:cs="Times New Roman"/>
          <w:b w:val="0"/>
          <w:bCs/>
        </w:rPr>
      </w:pPr>
      <w:r>
        <w:rPr>
          <w:rFonts w:cs="Times New Roman"/>
          <w:b w:val="0"/>
          <w:bCs/>
        </w:rPr>
        <w:t>5.</w:t>
      </w:r>
      <w:r>
        <w:rPr>
          <w:rFonts w:hint="eastAsia" w:cs="Times New Roman"/>
          <w:b w:val="0"/>
          <w:bCs/>
        </w:rPr>
        <w:t>2</w:t>
      </w:r>
      <w:r>
        <w:rPr>
          <w:rFonts w:cs="Times New Roman"/>
          <w:b w:val="0"/>
          <w:bCs/>
        </w:rPr>
        <w:t>.</w:t>
      </w:r>
      <w:r>
        <w:rPr>
          <w:rFonts w:hint="eastAsia" w:cs="Times New Roman"/>
          <w:b w:val="0"/>
          <w:bCs/>
        </w:rPr>
        <w:t>1</w:t>
      </w:r>
      <w:r>
        <w:rPr>
          <w:rFonts w:cs="Times New Roman"/>
          <w:b w:val="0"/>
          <w:bCs/>
        </w:rPr>
        <w:t xml:space="preserve">  </w:t>
      </w:r>
      <w:r>
        <w:rPr>
          <w:rFonts w:hint="eastAsia" w:ascii="黑体" w:hAnsi="黑体" w:eastAsia="黑体" w:cs="黑体"/>
          <w:b w:val="0"/>
          <w:bCs/>
        </w:rPr>
        <w:t>莱</w:t>
      </w:r>
      <w:r>
        <w:rPr>
          <w:rFonts w:hint="default" w:ascii="Times New Roman" w:hAnsi="Times New Roman" w:eastAsia="黑体" w:cs="Times New Roman"/>
          <w:b w:val="0"/>
          <w:bCs/>
        </w:rPr>
        <w:t>78</w:t>
      </w:r>
      <w:r>
        <w:rPr>
          <w:rFonts w:hint="eastAsia" w:ascii="黑体" w:hAnsi="黑体" w:eastAsia="黑体" w:cs="黑体"/>
          <w:b w:val="0"/>
          <w:bCs/>
        </w:rPr>
        <w:t>-斜</w:t>
      </w:r>
      <w:r>
        <w:rPr>
          <w:rFonts w:hint="default" w:ascii="Times New Roman" w:hAnsi="Times New Roman" w:eastAsia="黑体" w:cs="Times New Roman"/>
          <w:b w:val="0"/>
          <w:bCs/>
        </w:rPr>
        <w:t>10</w:t>
      </w:r>
      <w:r>
        <w:rPr>
          <w:rFonts w:hint="eastAsia" w:ascii="黑体" w:hAnsi="黑体" w:eastAsia="黑体" w:cs="黑体"/>
          <w:b w:val="0"/>
          <w:bCs/>
        </w:rPr>
        <w:t>井</w:t>
      </w:r>
    </w:p>
    <w:p>
      <w:pPr>
        <w:pStyle w:val="237"/>
        <w:ind w:firstLine="560"/>
        <w:rPr>
          <w:rFonts w:hint="eastAsia" w:ascii="Times New Roman" w:hAnsi="Times New Roman"/>
          <w:b/>
          <w:bCs/>
          <w:kern w:val="0"/>
          <w:szCs w:val="28"/>
          <w:lang w:val="en-US" w:eastAsia="zh-CN"/>
        </w:rPr>
      </w:pPr>
      <w:r>
        <w:rPr>
          <w:rFonts w:hint="eastAsia" w:ascii="Times New Roman" w:hAnsi="Times New Roman"/>
          <w:b/>
          <w:bCs/>
          <w:kern w:val="0"/>
          <w:szCs w:val="28"/>
          <w:lang w:val="en-US" w:eastAsia="zh-CN"/>
        </w:rPr>
        <w:t>1.施工情况简介</w:t>
      </w:r>
    </w:p>
    <w:p>
      <w:pPr>
        <w:ind w:firstLine="56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1）井场道路及井场周边环境</w:t>
      </w:r>
    </w:p>
    <w:p>
      <w:pPr>
        <w:ind w:firstLine="560"/>
        <w:rPr>
          <w:rFonts w:hint="eastAsia" w:ascii="Times New Roman" w:hAnsi="Times New Roman" w:eastAsia="宋体" w:cs="Times New Roman"/>
          <w:lang w:val="en-US" w:eastAsia="zh-CN"/>
        </w:rPr>
      </w:pPr>
      <w:r>
        <w:rPr>
          <w:rFonts w:hint="eastAsia" w:ascii="Times New Roman" w:hAnsi="Times New Roman" w:eastAsia="宋体" w:cs="Times New Roman"/>
          <w:sz w:val="24"/>
          <w:szCs w:val="24"/>
          <w:lang w:val="en-US" w:eastAsia="zh-CN"/>
        </w:rPr>
        <w:drawing>
          <wp:anchor distT="0" distB="0" distL="114300" distR="114300" simplePos="0" relativeHeight="251661312" behindDoc="0" locked="0" layoutInCell="1" allowOverlap="1">
            <wp:simplePos x="0" y="0"/>
            <wp:positionH relativeFrom="column">
              <wp:posOffset>-14605</wp:posOffset>
            </wp:positionH>
            <wp:positionV relativeFrom="paragraph">
              <wp:posOffset>2178050</wp:posOffset>
            </wp:positionV>
            <wp:extent cx="5243830" cy="4112895"/>
            <wp:effectExtent l="0" t="0" r="13970" b="1905"/>
            <wp:wrapSquare wrapText="bothSides"/>
            <wp:docPr id="27" name="图片 221" descr="IMG_6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21" descr="IMG_6890"/>
                    <pic:cNvPicPr>
                      <a:picLocks noChangeAspect="1"/>
                    </pic:cNvPicPr>
                  </pic:nvPicPr>
                  <pic:blipFill>
                    <a:blip r:embed="rId27"/>
                    <a:stretch>
                      <a:fillRect/>
                    </a:stretch>
                  </pic:blipFill>
                  <pic:spPr>
                    <a:xfrm>
                      <a:off x="0" y="0"/>
                      <a:ext cx="5243830" cy="4112895"/>
                    </a:xfrm>
                    <a:prstGeom prst="rect">
                      <a:avLst/>
                    </a:prstGeom>
                    <a:noFill/>
                    <a:ln>
                      <a:noFill/>
                    </a:ln>
                  </pic:spPr>
                </pic:pic>
              </a:graphicData>
            </a:graphic>
          </wp:anchor>
        </w:drawing>
      </w:r>
      <w:r>
        <w:rPr>
          <w:rFonts w:hint="eastAsia" w:ascii="Times New Roman" w:hAnsi="Times New Roman" w:eastAsia="宋体" w:cs="Times New Roman"/>
          <w:lang w:val="en-US" w:eastAsia="zh-CN"/>
        </w:rPr>
        <w:t>莱78-斜10井属于鲁明公司，施工单位为大明钻井公司</w:t>
      </w:r>
      <w:r>
        <w:rPr>
          <w:rFonts w:hint="eastAsia" w:cs="Times New Roman"/>
          <w:lang w:val="en-US" w:eastAsia="zh-CN"/>
        </w:rPr>
        <w:t>钻井七队</w:t>
      </w:r>
      <w:r>
        <w:rPr>
          <w:rFonts w:hint="eastAsia" w:ascii="Times New Roman" w:hAnsi="Times New Roman" w:eastAsia="宋体" w:cs="Times New Roman"/>
          <w:lang w:val="en-US" w:eastAsia="zh-CN"/>
        </w:rPr>
        <w:t>，钻机类型为：ZJ50LDB。莱78-斜10井位于东营市黄浦江路与乌海路路口向北200米，进井路为石子路，井道路状况良好；周围为鱼池荒地。井场四周设有警戒围墙，外部人员不能随便进入现场。井场内有值班站房，井场布置能够满足施工需要。井场无污染，井口装置、生产设施配套基本齐全。上述井场井进井道路及周边环境见图5-1。</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图5-1  进井路现场图</w:t>
      </w:r>
      <w:r>
        <w:rPr>
          <w:rFonts w:hint="eastAsia" w:cs="Times New Roman"/>
          <w:b/>
          <w:bCs/>
          <w:sz w:val="24"/>
          <w:szCs w:val="24"/>
          <w:lang w:val="en-US" w:eastAsia="zh-CN"/>
        </w:rPr>
        <w:t>及井场平面布置图</w:t>
      </w:r>
    </w:p>
    <w:p>
      <w:pPr>
        <w:ind w:firstLine="560"/>
        <w:rPr>
          <w:rFonts w:hint="eastAsia" w:ascii="Times New Roman" w:hAnsi="Times New Roman" w:eastAsia="宋体" w:cs="Times New Roman"/>
        </w:rPr>
      </w:pPr>
      <w:r>
        <w:rPr>
          <w:rFonts w:hint="eastAsia" w:ascii="Times New Roman" w:hAnsi="Times New Roman" w:eastAsia="宋体" w:cs="Times New Roman"/>
          <w:lang w:val="en-US" w:eastAsia="zh-CN"/>
        </w:rPr>
        <w:t>2）</w:t>
      </w:r>
      <w:r>
        <w:rPr>
          <w:rFonts w:hint="eastAsia" w:ascii="Times New Roman" w:hAnsi="Times New Roman" w:eastAsia="宋体" w:cs="Times New Roman"/>
        </w:rPr>
        <w:t>井身结构</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表</w:t>
      </w:r>
      <w:r>
        <w:rPr>
          <w:rFonts w:hint="default" w:ascii="Times New Roman" w:hAnsi="Times New Roman" w:eastAsia="宋体" w:cs="Times New Roman"/>
          <w:b/>
          <w:bCs/>
          <w:kern w:val="2"/>
          <w:sz w:val="24"/>
          <w:szCs w:val="24"/>
          <w:lang w:val="en-US" w:eastAsia="zh-CN" w:bidi="ar-SA"/>
        </w:rPr>
        <w:t>5-2</w:t>
      </w:r>
      <w:r>
        <w:rPr>
          <w:rFonts w:ascii="宋体" w:hAnsi="宋体" w:eastAsia="宋体" w:cs="宋体"/>
          <w:b/>
          <w:bCs/>
          <w:kern w:val="2"/>
          <w:sz w:val="24"/>
          <w:szCs w:val="24"/>
          <w:lang w:val="en-US" w:eastAsia="zh-CN" w:bidi="ar-SA"/>
        </w:rPr>
        <w:t xml:space="preserve">  </w:t>
      </w:r>
      <w:r>
        <w:rPr>
          <w:rFonts w:hint="eastAsia" w:ascii="宋体" w:hAnsi="宋体" w:eastAsia="宋体" w:cs="宋体"/>
          <w:b/>
          <w:bCs/>
          <w:kern w:val="2"/>
          <w:sz w:val="24"/>
          <w:szCs w:val="24"/>
          <w:lang w:val="en-US" w:eastAsia="zh-CN" w:bidi="ar-SA"/>
        </w:rPr>
        <w:t>井身结构设计</w:t>
      </w:r>
    </w:p>
    <w:tbl>
      <w:tblPr>
        <w:tblStyle w:val="45"/>
        <w:tblW w:w="5000"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32"/>
        <w:gridCol w:w="1152"/>
        <w:gridCol w:w="1037"/>
        <w:gridCol w:w="1196"/>
        <w:gridCol w:w="1408"/>
        <w:gridCol w:w="243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677"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开钻</w:t>
            </w:r>
          </w:p>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顺序</w:t>
            </w:r>
          </w:p>
        </w:tc>
        <w:tc>
          <w:tcPr>
            <w:tcW w:w="689"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钻头尺寸</w:t>
            </w:r>
          </w:p>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w:t>
            </w:r>
            <w:r>
              <w:rPr>
                <w:rFonts w:ascii="Times New Roman" w:hAnsi="Times New Roman" w:eastAsia="宋体" w:cs="宋体"/>
                <w:b/>
                <w:bCs/>
                <w:kern w:val="2"/>
                <w:sz w:val="21"/>
                <w:szCs w:val="20"/>
                <w:lang w:val="en-US" w:eastAsia="zh-CN" w:bidi="ar-SA"/>
              </w:rPr>
              <w:t>mm</w:t>
            </w:r>
            <w:r>
              <w:rPr>
                <w:rFonts w:hint="eastAsia" w:ascii="Times New Roman" w:hAnsi="Times New Roman" w:eastAsia="宋体" w:cs="宋体"/>
                <w:b/>
                <w:bCs/>
                <w:kern w:val="2"/>
                <w:sz w:val="21"/>
                <w:szCs w:val="20"/>
                <w:lang w:val="en-US" w:eastAsia="zh-CN" w:bidi="ar-SA"/>
              </w:rPr>
              <w:t>）</w:t>
            </w:r>
          </w:p>
        </w:tc>
        <w:tc>
          <w:tcPr>
            <w:tcW w:w="620"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b/>
                <w:bCs/>
                <w:kern w:val="2"/>
                <w:sz w:val="21"/>
                <w:szCs w:val="20"/>
                <w:lang w:val="en-US" w:eastAsia="zh-CN" w:bidi="ar-SA"/>
              </w:rPr>
            </w:pPr>
            <w:r>
              <w:rPr>
                <w:rFonts w:ascii="Times New Roman" w:hAnsi="Times New Roman" w:eastAsia="宋体" w:cs="宋体"/>
                <w:b/>
                <w:bCs/>
                <w:kern w:val="2"/>
                <w:sz w:val="21"/>
                <w:szCs w:val="20"/>
                <w:lang w:val="en-US" w:eastAsia="zh-CN" w:bidi="ar-SA"/>
              </w:rPr>
              <w:t>井深</w:t>
            </w:r>
          </w:p>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w:t>
            </w:r>
            <w:r>
              <w:rPr>
                <w:rFonts w:ascii="Times New Roman" w:hAnsi="Times New Roman" w:eastAsia="宋体" w:cs="宋体"/>
                <w:b/>
                <w:bCs/>
                <w:kern w:val="2"/>
                <w:sz w:val="21"/>
                <w:szCs w:val="20"/>
                <w:lang w:val="en-US" w:eastAsia="zh-CN" w:bidi="ar-SA"/>
              </w:rPr>
              <w:t>m</w:t>
            </w:r>
            <w:r>
              <w:rPr>
                <w:rFonts w:hint="eastAsia" w:ascii="Times New Roman" w:hAnsi="Times New Roman" w:eastAsia="宋体" w:cs="宋体"/>
                <w:b/>
                <w:bCs/>
                <w:kern w:val="2"/>
                <w:sz w:val="21"/>
                <w:szCs w:val="20"/>
                <w:lang w:val="en-US" w:eastAsia="zh-CN" w:bidi="ar-SA"/>
              </w:rPr>
              <w:t>）</w:t>
            </w:r>
          </w:p>
        </w:tc>
        <w:tc>
          <w:tcPr>
            <w:tcW w:w="715"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b/>
                <w:bCs/>
                <w:kern w:val="2"/>
                <w:sz w:val="21"/>
                <w:szCs w:val="20"/>
                <w:lang w:val="en-US" w:eastAsia="zh-CN" w:bidi="ar-SA"/>
              </w:rPr>
            </w:pPr>
            <w:r>
              <w:rPr>
                <w:rFonts w:ascii="Times New Roman" w:hAnsi="Times New Roman" w:eastAsia="宋体" w:cs="宋体"/>
                <w:b/>
                <w:bCs/>
                <w:kern w:val="2"/>
                <w:sz w:val="21"/>
                <w:szCs w:val="20"/>
                <w:lang w:val="en-US" w:eastAsia="zh-CN" w:bidi="ar-SA"/>
              </w:rPr>
              <w:t>套管</w:t>
            </w:r>
            <w:r>
              <w:rPr>
                <w:rFonts w:hint="eastAsia" w:ascii="Times New Roman" w:hAnsi="Times New Roman" w:eastAsia="宋体" w:cs="宋体"/>
                <w:b/>
                <w:bCs/>
                <w:kern w:val="2"/>
                <w:sz w:val="21"/>
                <w:szCs w:val="20"/>
                <w:lang w:val="en-US" w:eastAsia="zh-CN" w:bidi="ar-SA"/>
              </w:rPr>
              <w:t>尺寸</w:t>
            </w:r>
          </w:p>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w:t>
            </w:r>
            <w:r>
              <w:rPr>
                <w:rFonts w:ascii="Times New Roman" w:hAnsi="Times New Roman" w:eastAsia="宋体" w:cs="宋体"/>
                <w:b/>
                <w:bCs/>
                <w:kern w:val="2"/>
                <w:sz w:val="21"/>
                <w:szCs w:val="20"/>
                <w:lang w:val="en-US" w:eastAsia="zh-CN" w:bidi="ar-SA"/>
              </w:rPr>
              <w:t>mm</w:t>
            </w:r>
            <w:r>
              <w:rPr>
                <w:rFonts w:hint="eastAsia" w:ascii="Times New Roman" w:hAnsi="Times New Roman" w:eastAsia="宋体" w:cs="宋体"/>
                <w:b/>
                <w:bCs/>
                <w:kern w:val="2"/>
                <w:sz w:val="21"/>
                <w:szCs w:val="20"/>
                <w:lang w:val="en-US" w:eastAsia="zh-CN" w:bidi="ar-SA"/>
              </w:rPr>
              <w:t>）</w:t>
            </w:r>
          </w:p>
        </w:tc>
        <w:tc>
          <w:tcPr>
            <w:tcW w:w="842"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b/>
                <w:bCs/>
                <w:kern w:val="2"/>
                <w:sz w:val="21"/>
                <w:szCs w:val="20"/>
                <w:lang w:val="en-US" w:eastAsia="zh-CN" w:bidi="ar-SA"/>
              </w:rPr>
            </w:pPr>
            <w:r>
              <w:rPr>
                <w:rFonts w:ascii="Times New Roman" w:hAnsi="Times New Roman" w:eastAsia="宋体" w:cs="宋体"/>
                <w:b/>
                <w:bCs/>
                <w:kern w:val="2"/>
                <w:sz w:val="21"/>
                <w:szCs w:val="20"/>
                <w:lang w:val="en-US" w:eastAsia="zh-CN" w:bidi="ar-SA"/>
              </w:rPr>
              <w:t>套管</w:t>
            </w:r>
            <w:r>
              <w:rPr>
                <w:rFonts w:hint="eastAsia" w:ascii="Times New Roman" w:hAnsi="Times New Roman" w:eastAsia="宋体" w:cs="宋体"/>
                <w:b/>
                <w:bCs/>
                <w:kern w:val="2"/>
                <w:sz w:val="21"/>
                <w:szCs w:val="20"/>
                <w:lang w:val="en-US" w:eastAsia="zh-CN" w:bidi="ar-SA"/>
              </w:rPr>
              <w:t>下深</w:t>
            </w:r>
          </w:p>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w:t>
            </w:r>
            <w:r>
              <w:rPr>
                <w:rFonts w:ascii="Times New Roman" w:hAnsi="Times New Roman" w:eastAsia="宋体" w:cs="宋体"/>
                <w:b/>
                <w:bCs/>
                <w:kern w:val="2"/>
                <w:sz w:val="21"/>
                <w:szCs w:val="20"/>
                <w:lang w:val="en-US" w:eastAsia="zh-CN" w:bidi="ar-SA"/>
              </w:rPr>
              <w:t>m</w:t>
            </w:r>
            <w:r>
              <w:rPr>
                <w:rFonts w:hint="eastAsia" w:ascii="Times New Roman" w:hAnsi="Times New Roman" w:eastAsia="宋体" w:cs="宋体"/>
                <w:b/>
                <w:bCs/>
                <w:kern w:val="2"/>
                <w:sz w:val="21"/>
                <w:szCs w:val="20"/>
                <w:lang w:val="en-US" w:eastAsia="zh-CN" w:bidi="ar-SA"/>
              </w:rPr>
              <w:t>）</w:t>
            </w:r>
          </w:p>
        </w:tc>
        <w:tc>
          <w:tcPr>
            <w:tcW w:w="1454"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水泥封固段</w:t>
            </w:r>
          </w:p>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w:t>
            </w:r>
            <w:r>
              <w:rPr>
                <w:rFonts w:ascii="Times New Roman" w:hAnsi="Times New Roman" w:eastAsia="宋体" w:cs="宋体"/>
                <w:b/>
                <w:bCs/>
                <w:kern w:val="2"/>
                <w:sz w:val="21"/>
                <w:szCs w:val="20"/>
                <w:lang w:val="en-US" w:eastAsia="zh-CN" w:bidi="ar-SA"/>
              </w:rPr>
              <w:t>m</w:t>
            </w:r>
            <w:r>
              <w:rPr>
                <w:rFonts w:hint="eastAsia" w:ascii="Times New Roman" w:hAnsi="Times New Roman" w:eastAsia="宋体" w:cs="宋体"/>
                <w:b/>
                <w:bCs/>
                <w:kern w:val="2"/>
                <w:sz w:val="21"/>
                <w:szCs w:val="20"/>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677"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一开</w:t>
            </w:r>
          </w:p>
        </w:tc>
        <w:tc>
          <w:tcPr>
            <w:tcW w:w="689"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kern w:val="2"/>
                <w:sz w:val="21"/>
                <w:szCs w:val="20"/>
                <w:lang w:val="en-US" w:eastAsia="zh-CN" w:bidi="ar-SA"/>
              </w:rPr>
            </w:pPr>
            <w:r>
              <w:rPr>
                <w:rFonts w:ascii="Times New Roman" w:hAnsi="Times New Roman" w:eastAsia="宋体" w:cs="宋体"/>
                <w:kern w:val="2"/>
                <w:sz w:val="21"/>
                <w:szCs w:val="21"/>
                <w:lang w:val="en-US" w:eastAsia="zh-CN" w:bidi="ar-SA"/>
              </w:rPr>
              <w:t>Φ</w:t>
            </w:r>
            <w:r>
              <w:rPr>
                <w:rFonts w:ascii="Times New Roman" w:hAnsi="Times New Roman" w:eastAsia="宋体" w:cs="宋体"/>
                <w:kern w:val="2"/>
                <w:sz w:val="21"/>
                <w:szCs w:val="20"/>
                <w:lang w:val="en-US" w:eastAsia="zh-CN" w:bidi="ar-SA"/>
              </w:rPr>
              <w:t>311.2</w:t>
            </w:r>
          </w:p>
        </w:tc>
        <w:tc>
          <w:tcPr>
            <w:tcW w:w="620"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6</w:t>
            </w:r>
            <w:r>
              <w:rPr>
                <w:rFonts w:ascii="Times New Roman" w:hAnsi="Times New Roman" w:eastAsia="宋体" w:cs="宋体"/>
                <w:kern w:val="2"/>
                <w:sz w:val="21"/>
                <w:szCs w:val="20"/>
                <w:lang w:val="en-US" w:eastAsia="zh-CN" w:bidi="ar-SA"/>
              </w:rPr>
              <w:t>0</w:t>
            </w:r>
            <w:r>
              <w:rPr>
                <w:rFonts w:hint="eastAsia" w:ascii="Times New Roman" w:hAnsi="Times New Roman" w:eastAsia="宋体" w:cs="宋体"/>
                <w:kern w:val="2"/>
                <w:sz w:val="21"/>
                <w:szCs w:val="20"/>
                <w:lang w:val="en-US" w:eastAsia="zh-CN" w:bidi="ar-SA"/>
              </w:rPr>
              <w:t>1</w:t>
            </w:r>
          </w:p>
        </w:tc>
        <w:tc>
          <w:tcPr>
            <w:tcW w:w="715"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kern w:val="2"/>
                <w:sz w:val="21"/>
                <w:szCs w:val="20"/>
                <w:lang w:val="en-US" w:eastAsia="zh-CN" w:bidi="ar-SA"/>
              </w:rPr>
            </w:pPr>
            <w:r>
              <w:rPr>
                <w:rFonts w:ascii="Times New Roman" w:hAnsi="Times New Roman" w:eastAsia="宋体" w:cs="宋体"/>
                <w:kern w:val="2"/>
                <w:sz w:val="21"/>
                <w:szCs w:val="21"/>
                <w:lang w:val="en-US" w:eastAsia="zh-CN" w:bidi="ar-SA"/>
              </w:rPr>
              <w:t>Φ</w:t>
            </w:r>
            <w:r>
              <w:rPr>
                <w:rFonts w:ascii="Times New Roman" w:hAnsi="Times New Roman" w:eastAsia="宋体" w:cs="宋体"/>
                <w:kern w:val="2"/>
                <w:sz w:val="21"/>
                <w:szCs w:val="20"/>
                <w:lang w:val="en-US" w:eastAsia="zh-CN" w:bidi="ar-SA"/>
              </w:rPr>
              <w:t>244.5</w:t>
            </w:r>
          </w:p>
        </w:tc>
        <w:tc>
          <w:tcPr>
            <w:tcW w:w="842"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6</w:t>
            </w:r>
            <w:r>
              <w:rPr>
                <w:rFonts w:ascii="Times New Roman" w:hAnsi="Times New Roman" w:eastAsia="宋体" w:cs="宋体"/>
                <w:kern w:val="2"/>
                <w:sz w:val="21"/>
                <w:szCs w:val="20"/>
                <w:lang w:val="en-US" w:eastAsia="zh-CN" w:bidi="ar-SA"/>
              </w:rPr>
              <w:t>0</w:t>
            </w:r>
            <w:r>
              <w:rPr>
                <w:rFonts w:hint="eastAsia" w:ascii="Times New Roman" w:hAnsi="Times New Roman" w:eastAsia="宋体" w:cs="宋体"/>
                <w:kern w:val="2"/>
                <w:sz w:val="21"/>
                <w:szCs w:val="20"/>
                <w:lang w:val="en-US" w:eastAsia="zh-CN" w:bidi="ar-SA"/>
              </w:rPr>
              <w:t>0</w:t>
            </w:r>
          </w:p>
        </w:tc>
        <w:tc>
          <w:tcPr>
            <w:tcW w:w="1454"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0～6</w:t>
            </w:r>
            <w:r>
              <w:rPr>
                <w:rFonts w:ascii="Times New Roman" w:hAnsi="Times New Roman" w:eastAsia="宋体" w:cs="宋体"/>
                <w:kern w:val="2"/>
                <w:sz w:val="21"/>
                <w:szCs w:val="20"/>
                <w:lang w:val="en-US" w:eastAsia="zh-CN" w:bidi="ar-SA"/>
              </w:rPr>
              <w:t>0</w:t>
            </w:r>
            <w:r>
              <w:rPr>
                <w:rFonts w:hint="eastAsia" w:ascii="Times New Roman" w:hAnsi="Times New Roman" w:eastAsia="宋体" w:cs="宋体"/>
                <w:kern w:val="2"/>
                <w:sz w:val="21"/>
                <w:szCs w:val="20"/>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677"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hint="eastAsia"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二开</w:t>
            </w:r>
          </w:p>
        </w:tc>
        <w:tc>
          <w:tcPr>
            <w:tcW w:w="689"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ascii="Times New Roman" w:hAnsi="Times New Roman" w:eastAsia="宋体" w:cs="宋体"/>
                <w:kern w:val="2"/>
                <w:sz w:val="21"/>
                <w:szCs w:val="20"/>
                <w:lang w:val="en-US" w:eastAsia="zh-CN" w:bidi="ar-SA"/>
              </w:rPr>
            </w:pPr>
            <w:r>
              <w:rPr>
                <w:rFonts w:ascii="Times New Roman" w:hAnsi="Times New Roman" w:eastAsia="宋体" w:cs="宋体"/>
                <w:kern w:val="2"/>
                <w:sz w:val="21"/>
                <w:szCs w:val="21"/>
                <w:lang w:val="en-US" w:eastAsia="zh-CN" w:bidi="ar-SA"/>
              </w:rPr>
              <w:t>Φ</w:t>
            </w:r>
            <w:r>
              <w:rPr>
                <w:rFonts w:ascii="Times New Roman" w:hAnsi="Times New Roman" w:eastAsia="宋体" w:cs="宋体"/>
                <w:kern w:val="2"/>
                <w:sz w:val="21"/>
                <w:szCs w:val="20"/>
                <w:lang w:val="en-US" w:eastAsia="zh-CN" w:bidi="ar-SA"/>
              </w:rPr>
              <w:t>215.9</w:t>
            </w:r>
          </w:p>
        </w:tc>
        <w:tc>
          <w:tcPr>
            <w:tcW w:w="620"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4362.</w:t>
            </w:r>
            <w:r>
              <w:rPr>
                <w:rFonts w:ascii="Times New Roman" w:hAnsi="Times New Roman" w:eastAsia="宋体" w:cs="宋体"/>
                <w:kern w:val="2"/>
                <w:sz w:val="21"/>
                <w:szCs w:val="20"/>
                <w:lang w:val="en-US" w:eastAsia="zh-CN" w:bidi="ar-SA"/>
              </w:rPr>
              <w:t>44</w:t>
            </w:r>
          </w:p>
        </w:tc>
        <w:tc>
          <w:tcPr>
            <w:tcW w:w="715"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ascii="Times New Roman" w:hAnsi="Times New Roman" w:eastAsia="宋体" w:cs="宋体"/>
                <w:kern w:val="2"/>
                <w:sz w:val="21"/>
                <w:szCs w:val="20"/>
                <w:lang w:val="en-US" w:eastAsia="zh-CN" w:bidi="ar-SA"/>
              </w:rPr>
            </w:pPr>
            <w:r>
              <w:rPr>
                <w:rFonts w:ascii="Times New Roman" w:hAnsi="Times New Roman" w:eastAsia="宋体" w:cs="宋体"/>
                <w:kern w:val="2"/>
                <w:sz w:val="21"/>
                <w:szCs w:val="21"/>
                <w:lang w:val="en-US" w:eastAsia="zh-CN" w:bidi="ar-SA"/>
              </w:rPr>
              <w:t>Φ</w:t>
            </w:r>
            <w:r>
              <w:rPr>
                <w:rFonts w:ascii="Times New Roman" w:hAnsi="Times New Roman" w:eastAsia="宋体" w:cs="宋体"/>
                <w:kern w:val="2"/>
                <w:sz w:val="21"/>
                <w:szCs w:val="20"/>
                <w:lang w:val="en-US" w:eastAsia="zh-CN" w:bidi="ar-SA"/>
              </w:rPr>
              <w:t>139.7</w:t>
            </w:r>
          </w:p>
        </w:tc>
        <w:tc>
          <w:tcPr>
            <w:tcW w:w="842"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ascii="Times New Roman" w:hAnsi="Times New Roman" w:eastAsia="宋体" w:cs="宋体"/>
                <w:kern w:val="2"/>
                <w:sz w:val="21"/>
                <w:szCs w:val="20"/>
                <w:lang w:val="en-US" w:eastAsia="zh-CN" w:bidi="ar-SA"/>
              </w:rPr>
            </w:pPr>
            <w:r>
              <w:rPr>
                <w:rFonts w:ascii="Times New Roman" w:hAnsi="Times New Roman" w:eastAsia="宋体" w:cs="宋体"/>
                <w:kern w:val="2"/>
                <w:sz w:val="21"/>
                <w:szCs w:val="20"/>
                <w:lang w:val="en-US" w:eastAsia="zh-CN" w:bidi="ar-SA"/>
              </w:rPr>
              <w:t>4</w:t>
            </w:r>
            <w:r>
              <w:rPr>
                <w:rFonts w:hint="eastAsia" w:ascii="Times New Roman" w:hAnsi="Times New Roman" w:eastAsia="宋体" w:cs="宋体"/>
                <w:kern w:val="2"/>
                <w:sz w:val="21"/>
                <w:szCs w:val="20"/>
                <w:lang w:val="en-US" w:eastAsia="zh-CN" w:bidi="ar-SA"/>
              </w:rPr>
              <w:t>359</w:t>
            </w:r>
          </w:p>
        </w:tc>
        <w:tc>
          <w:tcPr>
            <w:tcW w:w="1454" w:type="pct"/>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auto"/>
              <w:ind w:firstLine="0" w:firstLineChars="0"/>
              <w:jc w:val="center"/>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0～</w:t>
            </w:r>
            <w:r>
              <w:rPr>
                <w:rFonts w:ascii="Times New Roman" w:hAnsi="Times New Roman" w:eastAsia="宋体" w:cs="宋体"/>
                <w:kern w:val="2"/>
                <w:sz w:val="21"/>
                <w:szCs w:val="20"/>
                <w:lang w:val="en-US" w:eastAsia="zh-CN" w:bidi="ar-SA"/>
              </w:rPr>
              <w:t>4</w:t>
            </w:r>
            <w:r>
              <w:rPr>
                <w:rFonts w:hint="eastAsia" w:ascii="Times New Roman" w:hAnsi="Times New Roman" w:eastAsia="宋体" w:cs="宋体"/>
                <w:kern w:val="2"/>
                <w:sz w:val="21"/>
                <w:szCs w:val="20"/>
                <w:lang w:val="en-US" w:eastAsia="zh-CN" w:bidi="ar-SA"/>
              </w:rPr>
              <w:t>362.</w:t>
            </w:r>
            <w:r>
              <w:rPr>
                <w:rFonts w:ascii="Times New Roman" w:hAnsi="Times New Roman" w:eastAsia="宋体" w:cs="宋体"/>
                <w:kern w:val="2"/>
                <w:sz w:val="21"/>
                <w:szCs w:val="20"/>
                <w:lang w:val="en-US" w:eastAsia="zh-CN" w:bidi="ar-SA"/>
              </w:rPr>
              <w:t>44</w:t>
            </w:r>
          </w:p>
        </w:tc>
      </w:tr>
    </w:tbl>
    <w:p>
      <w:pPr>
        <w:adjustRightInd/>
        <w:snapToGrid w:val="0"/>
        <w:spacing w:line="360" w:lineRule="auto"/>
        <w:ind w:firstLine="0" w:firstLineChars="0"/>
        <w:jc w:val="center"/>
        <w:rPr>
          <w:rFonts w:ascii="Times New Roman" w:hAnsi="Times New Roman" w:eastAsia="宋体" w:cs="Times New Roman"/>
          <w:sz w:val="21"/>
          <w:szCs w:val="24"/>
        </w:rPr>
      </w:pPr>
    </w:p>
    <w:p>
      <w:pPr>
        <w:adjustRightInd/>
        <w:snapToGrid w:val="0"/>
        <w:spacing w:line="360" w:lineRule="auto"/>
        <w:ind w:firstLine="0" w:firstLineChars="0"/>
        <w:jc w:val="center"/>
        <w:rPr>
          <w:rFonts w:ascii="Times New Roman" w:hAnsi="Times New Roman" w:eastAsia="宋体" w:cs="Times New Roman"/>
          <w:sz w:val="21"/>
          <w:szCs w:val="24"/>
        </w:rPr>
      </w:pPr>
      <w:r>
        <w:rPr>
          <w:rFonts w:ascii="Times New Roman" w:hAnsi="Times New Roman" w:eastAsia="宋体" w:cs="Times New Roman"/>
          <w:sz w:val="21"/>
          <w:szCs w:val="24"/>
        </w:rPr>
        <w:drawing>
          <wp:inline distT="0" distB="0" distL="114300" distR="114300">
            <wp:extent cx="4458970" cy="4725035"/>
            <wp:effectExtent l="0" t="0" r="17780" b="18415"/>
            <wp:docPr id="147" name="图片 122" descr="莱78-斜10_井身结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22" descr="莱78-斜10_井身结构图"/>
                    <pic:cNvPicPr>
                      <a:picLocks noChangeAspect="1"/>
                    </pic:cNvPicPr>
                  </pic:nvPicPr>
                  <pic:blipFill>
                    <a:blip r:embed="rId28"/>
                    <a:stretch>
                      <a:fillRect/>
                    </a:stretch>
                  </pic:blipFill>
                  <pic:spPr>
                    <a:xfrm>
                      <a:off x="0" y="0"/>
                      <a:ext cx="4458970" cy="4725035"/>
                    </a:xfrm>
                    <a:prstGeom prst="rect">
                      <a:avLst/>
                    </a:prstGeom>
                    <a:noFill/>
                    <a:ln>
                      <a:noFill/>
                    </a:ln>
                  </pic:spPr>
                </pic:pic>
              </a:graphicData>
            </a:graphic>
          </wp:inline>
        </w:drawing>
      </w:r>
    </w:p>
    <w:p>
      <w:pPr>
        <w:adjustRightInd/>
        <w:snapToGrid w:val="0"/>
        <w:spacing w:line="360" w:lineRule="auto"/>
        <w:ind w:firstLine="0" w:firstLineChars="0"/>
        <w:jc w:val="center"/>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图</w:t>
      </w:r>
      <w:r>
        <w:rPr>
          <w:rFonts w:hint="eastAsia" w:ascii="Times New Roman" w:hAnsi="Times New Roman" w:eastAsia="宋体" w:cs="Times New Roman"/>
          <w:b/>
          <w:bCs/>
          <w:sz w:val="24"/>
          <w:szCs w:val="24"/>
          <w:lang w:val="en-US" w:eastAsia="zh-CN"/>
        </w:rPr>
        <w:t>5</w:t>
      </w:r>
      <w:r>
        <w:rPr>
          <w:rFonts w:hint="eastAsia" w:ascii="Times New Roman" w:hAnsi="Times New Roman"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hint="eastAsia" w:ascii="Times New Roman" w:hAnsi="Times New Roman" w:eastAsia="宋体" w:cs="Times New Roman"/>
          <w:b/>
          <w:bCs/>
          <w:sz w:val="24"/>
          <w:szCs w:val="24"/>
        </w:rPr>
        <w:t xml:space="preserve">  井身结构图</w:t>
      </w:r>
    </w:p>
    <w:p>
      <w:pPr>
        <w:pStyle w:val="237"/>
        <w:numPr>
          <w:ilvl w:val="0"/>
          <w:numId w:val="14"/>
        </w:numPr>
        <w:ind w:firstLine="560"/>
        <w:rPr>
          <w:rFonts w:hint="eastAsia" w:ascii="Times New Roman" w:hAnsi="Times New Roman" w:eastAsia="宋体" w:cs="Times New Roman"/>
          <w:kern w:val="0"/>
          <w:szCs w:val="28"/>
          <w:lang w:val="en-US" w:eastAsia="zh-CN"/>
        </w:rPr>
      </w:pPr>
      <w:r>
        <w:rPr>
          <w:rFonts w:hint="eastAsia" w:ascii="Times New Roman" w:hAnsi="Times New Roman" w:eastAsia="宋体" w:cs="Times New Roman"/>
          <w:kern w:val="0"/>
          <w:szCs w:val="28"/>
          <w:lang w:val="en-US" w:eastAsia="zh-CN"/>
        </w:rPr>
        <w:t>井控设备配套及试压要求</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eastAsia="宋体" w:cs="Times New Roman"/>
          <w:kern w:val="0"/>
          <w:sz w:val="28"/>
          <w:szCs w:val="28"/>
          <w:lang w:val="en-US" w:eastAsia="zh-CN" w:bidi="ar-SA"/>
        </w:rPr>
      </w:pPr>
      <w:r>
        <w:rPr>
          <w:rFonts w:hint="eastAsia" w:ascii="Times New Roman" w:hAnsi="Times New Roman" w:eastAsia="宋体" w:cs="Times New Roman"/>
          <w:kern w:val="0"/>
          <w:sz w:val="28"/>
          <w:szCs w:val="28"/>
          <w:lang w:val="en-US" w:eastAsia="zh-CN" w:bidi="ar-SA"/>
        </w:rPr>
        <w:t>各开次开钻井口装置试压要求详见下表：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表</w:t>
      </w:r>
      <w:r>
        <w:rPr>
          <w:rFonts w:hint="default" w:ascii="Times New Roman" w:hAnsi="Times New Roman" w:eastAsia="宋体" w:cs="Times New Roman"/>
          <w:b/>
          <w:bCs/>
          <w:kern w:val="2"/>
          <w:sz w:val="24"/>
          <w:szCs w:val="24"/>
          <w:lang w:val="en-US" w:eastAsia="zh-CN" w:bidi="ar-SA"/>
        </w:rPr>
        <w:t>5-3</w:t>
      </w:r>
      <w:r>
        <w:rPr>
          <w:rFonts w:hint="eastAsia" w:ascii="宋体" w:hAnsi="宋体" w:eastAsia="宋体" w:cs="宋体"/>
          <w:b/>
          <w:bCs/>
          <w:kern w:val="2"/>
          <w:sz w:val="24"/>
          <w:szCs w:val="24"/>
          <w:lang w:val="en-US" w:eastAsia="zh-CN" w:bidi="ar-SA"/>
        </w:rPr>
        <w:t xml:space="preserve">  各开次开钻井口装置试压要求</w:t>
      </w:r>
    </w:p>
    <w:tbl>
      <w:tblPr>
        <w:tblStyle w:val="45"/>
        <w:tblW w:w="875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784"/>
        <w:gridCol w:w="1587"/>
        <w:gridCol w:w="1471"/>
        <w:gridCol w:w="599"/>
        <w:gridCol w:w="1083"/>
        <w:gridCol w:w="990"/>
        <w:gridCol w:w="224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39" w:hRule="atLeast"/>
          <w:jc w:val="center"/>
        </w:trPr>
        <w:tc>
          <w:tcPr>
            <w:tcW w:w="78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kern w:val="2"/>
                <w:sz w:val="21"/>
                <w:szCs w:val="20"/>
                <w:lang w:val="en-US" w:eastAsia="zh-CN" w:bidi="ar-SA"/>
              </w:rPr>
            </w:pPr>
            <w:r>
              <w:rPr>
                <w:rFonts w:ascii="Times New Roman" w:hAnsi="Times New Roman" w:eastAsia="宋体" w:cs="Times New Roman"/>
                <w:b/>
                <w:bCs/>
                <w:kern w:val="2"/>
                <w:sz w:val="21"/>
                <w:szCs w:val="20"/>
                <w:lang w:val="en-US" w:eastAsia="zh-CN" w:bidi="ar-SA"/>
              </w:rPr>
              <w:t>开钻次序</w:t>
            </w:r>
          </w:p>
        </w:tc>
        <w:tc>
          <w:tcPr>
            <w:tcW w:w="0" w:type="auto"/>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kern w:val="2"/>
                <w:sz w:val="21"/>
                <w:szCs w:val="20"/>
                <w:lang w:val="en-US" w:eastAsia="zh-CN" w:bidi="ar-SA"/>
              </w:rPr>
            </w:pPr>
            <w:r>
              <w:rPr>
                <w:rFonts w:ascii="Times New Roman" w:hAnsi="Times New Roman" w:eastAsia="宋体" w:cs="Times New Roman"/>
                <w:b/>
                <w:bCs/>
                <w:kern w:val="2"/>
                <w:sz w:val="21"/>
                <w:szCs w:val="20"/>
                <w:lang w:val="en-US" w:eastAsia="zh-CN" w:bidi="ar-SA"/>
              </w:rPr>
              <w:t>名称</w:t>
            </w:r>
          </w:p>
        </w:tc>
        <w:tc>
          <w:tcPr>
            <w:tcW w:w="0" w:type="auto"/>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kern w:val="2"/>
                <w:sz w:val="21"/>
                <w:szCs w:val="20"/>
                <w:lang w:val="en-US" w:eastAsia="zh-CN" w:bidi="ar-SA"/>
              </w:rPr>
            </w:pPr>
            <w:r>
              <w:rPr>
                <w:rFonts w:ascii="Times New Roman" w:hAnsi="Times New Roman" w:eastAsia="宋体" w:cs="Times New Roman"/>
                <w:b/>
                <w:bCs/>
                <w:kern w:val="2"/>
                <w:sz w:val="21"/>
                <w:szCs w:val="20"/>
                <w:lang w:val="en-US" w:eastAsia="zh-CN" w:bidi="ar-SA"/>
              </w:rPr>
              <w:t>型号</w:t>
            </w:r>
          </w:p>
        </w:tc>
        <w:tc>
          <w:tcPr>
            <w:tcW w:w="4906"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kern w:val="2"/>
                <w:sz w:val="21"/>
                <w:szCs w:val="20"/>
                <w:lang w:val="en-US" w:eastAsia="zh-CN" w:bidi="ar-SA"/>
              </w:rPr>
            </w:pPr>
            <w:r>
              <w:rPr>
                <w:rFonts w:ascii="Times New Roman" w:hAnsi="Times New Roman" w:eastAsia="宋体" w:cs="Times New Roman"/>
                <w:b/>
                <w:bCs/>
                <w:kern w:val="2"/>
                <w:sz w:val="21"/>
                <w:szCs w:val="20"/>
                <w:lang w:val="en-US" w:eastAsia="zh-CN" w:bidi="ar-SA"/>
              </w:rPr>
              <w:t>试压要求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80" w:hRule="atLeast"/>
          <w:jc w:val="center"/>
        </w:trPr>
        <w:tc>
          <w:tcPr>
            <w:tcW w:w="78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kern w:val="2"/>
                <w:sz w:val="21"/>
                <w:szCs w:val="20"/>
                <w:lang w:val="en-US" w:eastAsia="zh-CN" w:bidi="ar-SA"/>
              </w:rPr>
            </w:pPr>
          </w:p>
        </w:tc>
        <w:tc>
          <w:tcPr>
            <w:tcW w:w="0" w:type="auto"/>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kern w:val="2"/>
                <w:sz w:val="21"/>
                <w:szCs w:val="20"/>
                <w:lang w:val="en-US" w:eastAsia="zh-CN" w:bidi="ar-SA"/>
              </w:rPr>
            </w:pPr>
          </w:p>
        </w:tc>
        <w:tc>
          <w:tcPr>
            <w:tcW w:w="0" w:type="auto"/>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kern w:val="2"/>
                <w:sz w:val="21"/>
                <w:szCs w:val="20"/>
                <w:lang w:val="en-US" w:eastAsia="zh-CN" w:bidi="ar-SA"/>
              </w:rPr>
            </w:pP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kern w:val="2"/>
                <w:sz w:val="21"/>
                <w:szCs w:val="20"/>
                <w:lang w:val="en-US" w:eastAsia="zh-CN" w:bidi="ar-SA"/>
              </w:rPr>
            </w:pPr>
            <w:r>
              <w:rPr>
                <w:rFonts w:ascii="Times New Roman" w:hAnsi="Times New Roman" w:eastAsia="宋体" w:cs="Times New Roman"/>
                <w:b/>
                <w:bCs/>
                <w:kern w:val="2"/>
                <w:sz w:val="21"/>
                <w:szCs w:val="20"/>
                <w:lang w:val="en-US" w:eastAsia="zh-CN" w:bidi="ar-SA"/>
              </w:rPr>
              <w:t>介质</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kern w:val="2"/>
                <w:sz w:val="21"/>
                <w:szCs w:val="20"/>
                <w:lang w:val="en-US" w:eastAsia="zh-CN" w:bidi="ar-SA"/>
              </w:rPr>
            </w:pPr>
            <w:r>
              <w:rPr>
                <w:rFonts w:ascii="Times New Roman" w:hAnsi="Times New Roman" w:eastAsia="宋体" w:cs="Times New Roman"/>
                <w:b/>
                <w:bCs/>
                <w:kern w:val="2"/>
                <w:sz w:val="21"/>
                <w:szCs w:val="20"/>
                <w:lang w:val="en-US" w:eastAsia="zh-CN" w:bidi="ar-SA"/>
              </w:rPr>
              <w:t>压力</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kern w:val="2"/>
                <w:sz w:val="21"/>
                <w:szCs w:val="20"/>
                <w:lang w:val="en-US" w:eastAsia="zh-CN" w:bidi="ar-SA"/>
              </w:rPr>
            </w:pPr>
            <w:r>
              <w:rPr>
                <w:rFonts w:ascii="Times New Roman" w:hAnsi="Times New Roman" w:eastAsia="宋体" w:cs="Times New Roman"/>
                <w:b/>
                <w:bCs/>
                <w:kern w:val="2"/>
                <w:sz w:val="21"/>
                <w:szCs w:val="20"/>
                <w:lang w:val="en-US" w:eastAsia="zh-CN" w:bidi="ar-SA"/>
              </w:rPr>
              <w:t>（MPa）</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kern w:val="2"/>
                <w:sz w:val="21"/>
                <w:szCs w:val="20"/>
                <w:lang w:val="en-US" w:eastAsia="zh-CN" w:bidi="ar-SA"/>
              </w:rPr>
            </w:pPr>
            <w:r>
              <w:rPr>
                <w:rFonts w:ascii="Times New Roman" w:hAnsi="Times New Roman" w:eastAsia="宋体" w:cs="Times New Roman"/>
                <w:b/>
                <w:bCs/>
                <w:kern w:val="2"/>
                <w:sz w:val="21"/>
                <w:szCs w:val="20"/>
                <w:lang w:val="en-US" w:eastAsia="zh-CN" w:bidi="ar-SA"/>
              </w:rPr>
              <w:t>时间</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kern w:val="2"/>
                <w:sz w:val="21"/>
                <w:szCs w:val="20"/>
                <w:lang w:val="en-US" w:eastAsia="zh-CN" w:bidi="ar-SA"/>
              </w:rPr>
            </w:pPr>
            <w:r>
              <w:rPr>
                <w:rFonts w:ascii="Times New Roman" w:hAnsi="Times New Roman" w:eastAsia="宋体" w:cs="Times New Roman"/>
                <w:b/>
                <w:bCs/>
                <w:kern w:val="2"/>
                <w:sz w:val="21"/>
                <w:szCs w:val="20"/>
                <w:lang w:val="en-US" w:eastAsia="zh-CN" w:bidi="ar-SA"/>
              </w:rPr>
              <w:t>（min）</w:t>
            </w:r>
          </w:p>
        </w:tc>
        <w:tc>
          <w:tcPr>
            <w:tcW w:w="20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bCs/>
                <w:kern w:val="2"/>
                <w:sz w:val="21"/>
                <w:szCs w:val="20"/>
                <w:lang w:val="en-US" w:eastAsia="zh-CN" w:bidi="ar-SA"/>
              </w:rPr>
            </w:pPr>
            <w:r>
              <w:rPr>
                <w:rFonts w:ascii="Times New Roman" w:hAnsi="Times New Roman" w:eastAsia="宋体" w:cs="Times New Roman"/>
                <w:b/>
                <w:bCs/>
                <w:kern w:val="2"/>
                <w:sz w:val="21"/>
                <w:szCs w:val="20"/>
                <w:lang w:val="en-US" w:eastAsia="zh-CN" w:bidi="ar-SA"/>
              </w:rPr>
              <w:t>允许压降（MPa）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79" w:hRule="atLeast"/>
          <w:jc w:val="center"/>
        </w:trPr>
        <w:tc>
          <w:tcPr>
            <w:tcW w:w="78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二开</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环形防喷器</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FH28-35</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清水</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14</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≥15</w:t>
            </w:r>
          </w:p>
        </w:tc>
        <w:tc>
          <w:tcPr>
            <w:tcW w:w="20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46" w:hRule="atLeast"/>
          <w:jc w:val="center"/>
        </w:trPr>
        <w:tc>
          <w:tcPr>
            <w:tcW w:w="78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双闸板</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w:t>
            </w:r>
            <w:r>
              <w:rPr>
                <w:rFonts w:ascii="Times New Roman" w:hAnsi="Times New Roman" w:eastAsia="宋体" w:cs="Times New Roman"/>
                <w:kern w:val="2"/>
                <w:sz w:val="21"/>
                <w:szCs w:val="20"/>
                <w:lang w:val="en-US" w:eastAsia="zh-CN" w:bidi="ar-SA"/>
              </w:rPr>
              <w:t>套管头</w:t>
            </w:r>
            <w:r>
              <w:rPr>
                <w:rFonts w:hint="eastAsia" w:ascii="Times New Roman" w:hAnsi="Times New Roman" w:eastAsia="宋体" w:cs="Times New Roman"/>
                <w:kern w:val="2"/>
                <w:sz w:val="21"/>
                <w:szCs w:val="20"/>
                <w:lang w:val="en-US" w:eastAsia="zh-CN" w:bidi="ar-SA"/>
              </w:rPr>
              <w:t>)</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2FZ28-35</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清水</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14</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≥15</w:t>
            </w:r>
          </w:p>
        </w:tc>
        <w:tc>
          <w:tcPr>
            <w:tcW w:w="20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80" w:hRule="atLeast"/>
          <w:jc w:val="center"/>
        </w:trPr>
        <w:tc>
          <w:tcPr>
            <w:tcW w:w="78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节流压井管汇</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（内防喷管线）</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JG-Y-35/YG-35</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清水</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14</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≥15</w:t>
            </w:r>
          </w:p>
        </w:tc>
        <w:tc>
          <w:tcPr>
            <w:tcW w:w="20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15" w:hRule="atLeast"/>
          <w:jc w:val="center"/>
        </w:trPr>
        <w:tc>
          <w:tcPr>
            <w:tcW w:w="7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kern w:val="2"/>
                <w:sz w:val="21"/>
                <w:szCs w:val="20"/>
                <w:lang w:val="en-US" w:eastAsia="zh-CN" w:bidi="ar-SA"/>
              </w:rPr>
            </w:pPr>
            <w:r>
              <w:rPr>
                <w:rFonts w:ascii="Times New Roman" w:hAnsi="Times New Roman" w:eastAsia="宋体" w:cs="Times New Roman"/>
                <w:kern w:val="2"/>
                <w:sz w:val="21"/>
                <w:szCs w:val="20"/>
                <w:lang w:val="en-US" w:eastAsia="zh-CN" w:bidi="ar-SA"/>
              </w:rPr>
              <w:t>备注</w:t>
            </w:r>
          </w:p>
        </w:tc>
        <w:tc>
          <w:tcPr>
            <w:tcW w:w="7974" w:type="dxa"/>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eastAsia="宋体" w:cs="Times New Roman"/>
                <w:kern w:val="2"/>
                <w:sz w:val="21"/>
                <w:szCs w:val="20"/>
                <w:lang w:val="en-US" w:eastAsia="zh-CN" w:bidi="ar-SA"/>
              </w:rPr>
            </w:pPr>
            <w:r>
              <w:rPr>
                <w:rFonts w:hint="eastAsia" w:ascii="宋体" w:hAnsi="宋体" w:eastAsia="宋体" w:cs="宋体"/>
                <w:kern w:val="2"/>
                <w:sz w:val="21"/>
                <w:szCs w:val="20"/>
                <w:lang w:val="en-US" w:eastAsia="zh-CN" w:bidi="ar-SA"/>
              </w:rPr>
              <w:t>①</w:t>
            </w:r>
            <w:r>
              <w:rPr>
                <w:rFonts w:ascii="Times New Roman" w:hAnsi="Times New Roman" w:eastAsia="宋体" w:cs="Times New Roman"/>
                <w:kern w:val="2"/>
                <w:sz w:val="21"/>
                <w:szCs w:val="20"/>
                <w:lang w:val="en-US" w:eastAsia="zh-CN" w:bidi="ar-SA"/>
              </w:rPr>
              <w:t>各开要进行低压试压，试压值1.4MPa~2.1MPa，稳压时间不少于10min，压降不大于0.07 MPa，密封部位不允许有渗漏。放喷管线试压值不低于10MPa，稳压不少于15min，压降不大于0.7 MPa。</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eastAsia="宋体" w:cs="Times New Roman"/>
                <w:kern w:val="2"/>
                <w:sz w:val="21"/>
                <w:szCs w:val="20"/>
                <w:lang w:val="en-US" w:eastAsia="zh-CN" w:bidi="ar-SA"/>
              </w:rPr>
            </w:pPr>
            <w:r>
              <w:rPr>
                <w:rFonts w:hint="eastAsia" w:ascii="宋体" w:hAnsi="宋体" w:eastAsia="宋体" w:cs="宋体"/>
                <w:kern w:val="2"/>
                <w:sz w:val="21"/>
                <w:szCs w:val="20"/>
                <w:lang w:val="en-US" w:eastAsia="zh-CN" w:bidi="ar-SA"/>
              </w:rPr>
              <w:t>②</w:t>
            </w:r>
            <w:r>
              <w:rPr>
                <w:rFonts w:ascii="Times New Roman" w:hAnsi="Times New Roman" w:eastAsia="宋体" w:cs="Times New Roman"/>
                <w:kern w:val="2"/>
                <w:sz w:val="21"/>
                <w:szCs w:val="20"/>
                <w:lang w:val="en-US" w:eastAsia="zh-CN" w:bidi="ar-SA"/>
              </w:rPr>
              <w:t>防喷器也可选用2FZ35-35</w:t>
            </w:r>
            <w:r>
              <w:rPr>
                <w:rFonts w:hint="eastAsia" w:ascii="Times New Roman" w:hAnsi="Times New Roman" w:eastAsia="宋体" w:cs="Times New Roman"/>
                <w:kern w:val="2"/>
                <w:sz w:val="21"/>
                <w:szCs w:val="20"/>
                <w:lang w:val="en-US" w:eastAsia="zh-CN" w:bidi="ar-SA"/>
              </w:rPr>
              <w:t>，FH35-35</w:t>
            </w:r>
            <w:r>
              <w:rPr>
                <w:rFonts w:ascii="Times New Roman" w:hAnsi="Times New Roman" w:eastAsia="宋体" w:cs="Times New Roman"/>
                <w:kern w:val="2"/>
                <w:sz w:val="21"/>
                <w:szCs w:val="20"/>
                <w:lang w:val="en-US" w:eastAsia="zh-CN" w:bidi="ar-SA"/>
              </w:rPr>
              <w:t>。</w:t>
            </w:r>
          </w:p>
        </w:tc>
      </w:tr>
    </w:tbl>
    <w:p>
      <w:pPr>
        <w:pStyle w:val="237"/>
        <w:keepNext w:val="0"/>
        <w:keepLines w:val="0"/>
        <w:pageBreakBefore w:val="0"/>
        <w:widowControl w:val="0"/>
        <w:kinsoku/>
        <w:wordWrap/>
        <w:overflowPunct/>
        <w:topLinePunct w:val="0"/>
        <w:autoSpaceDE/>
        <w:autoSpaceDN/>
        <w:bidi w:val="0"/>
        <w:adjustRightInd w:val="0"/>
        <w:snapToGrid w:val="0"/>
        <w:ind w:firstLine="560"/>
        <w:jc w:val="center"/>
        <w:textAlignment w:val="auto"/>
        <w:rPr>
          <w:rFonts w:hint="eastAsia" w:ascii="Times New Roman" w:hAnsi="Times New Roman" w:eastAsia="宋体" w:cs="Times New Roman"/>
          <w:b/>
          <w:bCs/>
          <w:sz w:val="24"/>
          <w:szCs w:val="24"/>
          <w:lang w:val="en-US" w:eastAsia="zh-CN"/>
        </w:rPr>
      </w:pPr>
    </w:p>
    <w:p>
      <w:pPr>
        <w:pStyle w:val="237"/>
        <w:keepNext w:val="0"/>
        <w:keepLines w:val="0"/>
        <w:pageBreakBefore w:val="0"/>
        <w:widowControl w:val="0"/>
        <w:kinsoku/>
        <w:wordWrap/>
        <w:overflowPunct/>
        <w:topLinePunct w:val="0"/>
        <w:autoSpaceDE/>
        <w:autoSpaceDN/>
        <w:bidi w:val="0"/>
        <w:adjustRightInd w:val="0"/>
        <w:snapToGrid w:val="0"/>
        <w:ind w:firstLine="560"/>
        <w:jc w:val="center"/>
        <w:textAlignment w:val="auto"/>
        <w:rPr>
          <w:rFonts w:hint="eastAsia" w:ascii="Times New Roman" w:hAnsi="Times New Roman" w:eastAsia="宋体" w:cs="Times New Roman"/>
          <w:b/>
          <w:bCs/>
          <w:sz w:val="24"/>
          <w:szCs w:val="24"/>
          <w:lang w:val="en-US" w:eastAsia="zh-CN"/>
        </w:rPr>
      </w:pPr>
    </w:p>
    <w:p>
      <w:pPr>
        <w:pStyle w:val="237"/>
        <w:keepNext w:val="0"/>
        <w:keepLines w:val="0"/>
        <w:pageBreakBefore w:val="0"/>
        <w:widowControl w:val="0"/>
        <w:kinsoku/>
        <w:wordWrap/>
        <w:overflowPunct/>
        <w:topLinePunct w:val="0"/>
        <w:autoSpaceDE/>
        <w:autoSpaceDN/>
        <w:bidi w:val="0"/>
        <w:adjustRightInd w:val="0"/>
        <w:snapToGrid w:val="0"/>
        <w:ind w:firstLine="560"/>
        <w:jc w:val="center"/>
        <w:textAlignment w:val="auto"/>
        <w:rPr>
          <w:rFonts w:hint="default" w:ascii="Times New Roman" w:hAnsi="Times New Roman" w:eastAsia="宋体" w:cs="Times New Roman"/>
          <w:b/>
          <w:bCs/>
          <w:kern w:val="0"/>
          <w:szCs w:val="28"/>
          <w:lang w:val="en-US" w:eastAsia="zh-CN"/>
        </w:rPr>
      </w:pPr>
      <w:r>
        <w:rPr>
          <w:rFonts w:hint="eastAsia" w:ascii="Times New Roman" w:hAnsi="Times New Roman" w:eastAsia="宋体" w:cs="Times New Roman"/>
          <w:b/>
          <w:bCs/>
          <w:kern w:val="0"/>
          <w:szCs w:val="28"/>
          <w:lang w:val="en-US" w:eastAsia="zh-CN"/>
        </w:rPr>
        <w:drawing>
          <wp:anchor distT="0" distB="0" distL="114300" distR="114300" simplePos="0" relativeHeight="251667456" behindDoc="0" locked="0" layoutInCell="1" allowOverlap="1">
            <wp:simplePos x="0" y="0"/>
            <wp:positionH relativeFrom="column">
              <wp:posOffset>64135</wp:posOffset>
            </wp:positionH>
            <wp:positionV relativeFrom="page">
              <wp:posOffset>965200</wp:posOffset>
            </wp:positionV>
            <wp:extent cx="5125720" cy="2586355"/>
            <wp:effectExtent l="0" t="0" r="17780" b="4445"/>
            <wp:wrapTopAndBottom/>
            <wp:docPr id="24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3"/>
                    <pic:cNvPicPr>
                      <a:picLocks noChangeAspect="1"/>
                    </pic:cNvPicPr>
                  </pic:nvPicPr>
                  <pic:blipFill>
                    <a:blip r:embed="rId29"/>
                    <a:stretch>
                      <a:fillRect/>
                    </a:stretch>
                  </pic:blipFill>
                  <pic:spPr>
                    <a:xfrm>
                      <a:off x="0" y="0"/>
                      <a:ext cx="5125720" cy="2586355"/>
                    </a:xfrm>
                    <a:prstGeom prst="rect">
                      <a:avLst/>
                    </a:prstGeom>
                    <a:noFill/>
                    <a:ln>
                      <a:noFill/>
                    </a:ln>
                  </pic:spPr>
                </pic:pic>
              </a:graphicData>
            </a:graphic>
          </wp:anchor>
        </w:drawing>
      </w:r>
      <w:r>
        <w:rPr>
          <w:rFonts w:hint="eastAsia" w:ascii="Times New Roman" w:hAnsi="Times New Roman" w:eastAsia="宋体" w:cs="Times New Roman"/>
          <w:b/>
          <w:bCs/>
          <w:kern w:val="0"/>
          <w:szCs w:val="28"/>
          <w:lang w:val="en-US" w:eastAsia="zh-CN"/>
        </w:rPr>
        <w:drawing>
          <wp:anchor distT="0" distB="0" distL="114300" distR="114300" simplePos="0" relativeHeight="251668480" behindDoc="0" locked="0" layoutInCell="1" allowOverlap="1">
            <wp:simplePos x="0" y="0"/>
            <wp:positionH relativeFrom="column">
              <wp:posOffset>161290</wp:posOffset>
            </wp:positionH>
            <wp:positionV relativeFrom="page">
              <wp:posOffset>6353175</wp:posOffset>
            </wp:positionV>
            <wp:extent cx="4965700" cy="3065145"/>
            <wp:effectExtent l="0" t="0" r="6350" b="1905"/>
            <wp:wrapTopAndBottom/>
            <wp:docPr id="247" name="图片 247" descr="IMG_6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47" descr="IMG_6906"/>
                    <pic:cNvPicPr>
                      <a:picLocks noChangeAspect="1"/>
                    </pic:cNvPicPr>
                  </pic:nvPicPr>
                  <pic:blipFill>
                    <a:blip r:embed="rId30"/>
                    <a:stretch>
                      <a:fillRect/>
                    </a:stretch>
                  </pic:blipFill>
                  <pic:spPr>
                    <a:xfrm>
                      <a:off x="0" y="0"/>
                      <a:ext cx="4965700" cy="3065145"/>
                    </a:xfrm>
                    <a:prstGeom prst="rect">
                      <a:avLst/>
                    </a:prstGeom>
                  </pic:spPr>
                </pic:pic>
              </a:graphicData>
            </a:graphic>
          </wp:anchor>
        </w:drawing>
      </w:r>
      <w:r>
        <w:rPr>
          <w:rFonts w:hint="eastAsia" w:ascii="Times New Roman" w:hAnsi="Times New Roman" w:eastAsia="宋体" w:cs="Times New Roman"/>
          <w:b/>
          <w:bCs/>
          <w:kern w:val="0"/>
          <w:szCs w:val="28"/>
          <w:lang w:val="en-US" w:eastAsia="zh-CN"/>
        </w:rPr>
        <w:drawing>
          <wp:anchor distT="0" distB="0" distL="114300" distR="114300" simplePos="0" relativeHeight="251662336" behindDoc="0" locked="0" layoutInCell="1" allowOverlap="1">
            <wp:simplePos x="0" y="0"/>
            <wp:positionH relativeFrom="column">
              <wp:posOffset>149225</wp:posOffset>
            </wp:positionH>
            <wp:positionV relativeFrom="paragraph">
              <wp:posOffset>2832100</wp:posOffset>
            </wp:positionV>
            <wp:extent cx="5013325" cy="2475230"/>
            <wp:effectExtent l="0" t="0" r="15875" b="1270"/>
            <wp:wrapTopAndBottom/>
            <wp:docPr id="244" name="图片 244" descr="IMG_6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244" descr="IMG_6907"/>
                    <pic:cNvPicPr>
                      <a:picLocks noChangeAspect="1"/>
                    </pic:cNvPicPr>
                  </pic:nvPicPr>
                  <pic:blipFill>
                    <a:blip r:embed="rId31"/>
                    <a:stretch>
                      <a:fillRect/>
                    </a:stretch>
                  </pic:blipFill>
                  <pic:spPr>
                    <a:xfrm>
                      <a:off x="0" y="0"/>
                      <a:ext cx="5013325" cy="2475230"/>
                    </a:xfrm>
                    <a:prstGeom prst="rect">
                      <a:avLst/>
                    </a:prstGeom>
                  </pic:spPr>
                </pic:pic>
              </a:graphicData>
            </a:graphic>
          </wp:anchor>
        </w:drawing>
      </w:r>
      <w:r>
        <w:rPr>
          <w:rFonts w:hint="eastAsia" w:ascii="Times New Roman" w:hAnsi="Times New Roman" w:eastAsia="宋体" w:cs="Times New Roman"/>
          <w:b/>
          <w:bCs/>
          <w:sz w:val="24"/>
          <w:szCs w:val="24"/>
          <w:lang w:val="en-US" w:eastAsia="zh-CN"/>
        </w:rPr>
        <w:t>图5-</w:t>
      </w:r>
      <w:r>
        <w:rPr>
          <w:rFonts w:hint="eastAsia" w:ascii="Times New Roman" w:hAnsi="Times New Roman" w:cs="Times New Roman"/>
          <w:b/>
          <w:bCs/>
          <w:sz w:val="24"/>
          <w:szCs w:val="24"/>
          <w:lang w:val="en-US" w:eastAsia="zh-CN"/>
        </w:rPr>
        <w:t>3</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cs="Times New Roman"/>
          <w:b/>
          <w:bCs/>
          <w:sz w:val="24"/>
          <w:szCs w:val="24"/>
          <w:lang w:val="en-US" w:eastAsia="zh-CN"/>
        </w:rPr>
        <w:t>井场及设备设施情况图</w:t>
      </w:r>
    </w:p>
    <w:p>
      <w:pPr>
        <w:pStyle w:val="237"/>
        <w:keepNext w:val="0"/>
        <w:keepLines w:val="0"/>
        <w:pageBreakBefore w:val="0"/>
        <w:widowControl w:val="0"/>
        <w:kinsoku/>
        <w:wordWrap/>
        <w:overflowPunct/>
        <w:topLinePunct w:val="0"/>
        <w:autoSpaceDE/>
        <w:autoSpaceDN/>
        <w:bidi w:val="0"/>
        <w:adjustRightInd w:val="0"/>
        <w:snapToGrid w:val="0"/>
        <w:ind w:firstLine="560"/>
        <w:textAlignment w:val="auto"/>
        <w:rPr>
          <w:rFonts w:hint="default" w:ascii="Times New Roman" w:hAnsi="Times New Roman" w:eastAsia="宋体" w:cs="Times New Roman"/>
          <w:b/>
          <w:bCs/>
          <w:kern w:val="0"/>
          <w:szCs w:val="28"/>
          <w:lang w:val="en-US" w:eastAsia="zh-CN"/>
        </w:rPr>
      </w:pPr>
      <w:r>
        <w:rPr>
          <w:rFonts w:hint="eastAsia" w:ascii="Times New Roman" w:hAnsi="Times New Roman" w:eastAsia="宋体" w:cs="Times New Roman"/>
          <w:b/>
          <w:bCs/>
          <w:kern w:val="0"/>
          <w:szCs w:val="28"/>
          <w:lang w:val="en-US" w:eastAsia="zh-CN"/>
        </w:rPr>
        <w:t>2.安全检查表评价</w:t>
      </w:r>
    </w:p>
    <w:p>
      <w:pPr>
        <w:pStyle w:val="237"/>
        <w:keepNext w:val="0"/>
        <w:keepLines w:val="0"/>
        <w:pageBreakBefore w:val="0"/>
        <w:widowControl w:val="0"/>
        <w:kinsoku/>
        <w:wordWrap/>
        <w:overflowPunct/>
        <w:topLinePunct w:val="0"/>
        <w:autoSpaceDE/>
        <w:autoSpaceDN/>
        <w:bidi w:val="0"/>
        <w:adjustRightInd w:val="0"/>
        <w:snapToGrid w:val="0"/>
        <w:ind w:firstLine="560"/>
        <w:textAlignment w:val="auto"/>
        <w:rPr>
          <w:rFonts w:ascii="Times New Roman" w:hAnsi="Times New Roman"/>
          <w:kern w:val="0"/>
          <w:szCs w:val="28"/>
        </w:rPr>
      </w:pPr>
      <w:r>
        <w:rPr>
          <w:rFonts w:ascii="Times New Roman" w:hAnsi="Times New Roman"/>
          <w:kern w:val="0"/>
          <w:szCs w:val="28"/>
        </w:rPr>
        <w:t>根据《</w:t>
      </w:r>
      <w:r>
        <w:rPr>
          <w:rFonts w:hint="eastAsia" w:ascii="Times New Roman" w:hAnsi="Times New Roman"/>
          <w:kern w:val="0"/>
          <w:szCs w:val="28"/>
          <w:lang w:eastAsia="zh-CN"/>
        </w:rPr>
        <w:t>钻井井场设备作业安全技术规程</w:t>
      </w:r>
      <w:r>
        <w:rPr>
          <w:rFonts w:ascii="Times New Roman" w:hAnsi="Times New Roman"/>
          <w:kern w:val="0"/>
          <w:szCs w:val="28"/>
        </w:rPr>
        <w:t>》（SY/T5974-20</w:t>
      </w:r>
      <w:r>
        <w:rPr>
          <w:rFonts w:hint="eastAsia" w:ascii="Times New Roman" w:hAnsi="Times New Roman"/>
          <w:kern w:val="0"/>
          <w:szCs w:val="28"/>
          <w:lang w:val="en-US" w:eastAsia="zh-CN"/>
        </w:rPr>
        <w:t>20</w:t>
      </w:r>
      <w:r>
        <w:rPr>
          <w:rFonts w:ascii="Times New Roman" w:hAnsi="Times New Roman"/>
          <w:kern w:val="0"/>
          <w:szCs w:val="28"/>
        </w:rPr>
        <w:t>）</w:t>
      </w:r>
      <w:r>
        <w:rPr>
          <w:rFonts w:hint="eastAsia" w:ascii="Times New Roman" w:hAnsi="Times New Roman"/>
          <w:kern w:val="0"/>
          <w:szCs w:val="28"/>
          <w:lang w:eastAsia="zh-CN"/>
        </w:rPr>
        <w:t>、</w:t>
      </w:r>
      <w:r>
        <w:rPr>
          <w:rFonts w:ascii="Times New Roman" w:hAnsi="Times New Roman"/>
          <w:kern w:val="0"/>
          <w:szCs w:val="28"/>
        </w:rPr>
        <w:t>《</w:t>
      </w:r>
      <w:r>
        <w:rPr>
          <w:rFonts w:hint="default" w:ascii="Times New Roman" w:hAnsi="Times New Roman"/>
          <w:kern w:val="0"/>
          <w:szCs w:val="28"/>
        </w:rPr>
        <w:t>石油天然气钻井、开发、储运防火防爆安全生产技术规程</w:t>
      </w:r>
      <w:r>
        <w:rPr>
          <w:rFonts w:ascii="Times New Roman" w:hAnsi="Times New Roman"/>
          <w:kern w:val="0"/>
          <w:szCs w:val="28"/>
        </w:rPr>
        <w:t>》（SY/T5225-2019）等标准，评价组编制了钻井作业现场安全检查表，对</w:t>
      </w:r>
      <w:r>
        <w:rPr>
          <w:rFonts w:hint="eastAsia" w:ascii="Times New Roman" w:hAnsi="Times New Roman"/>
          <w:kern w:val="0"/>
          <w:szCs w:val="28"/>
          <w:lang w:val="en-US"/>
        </w:rPr>
        <w:t>东营大明钻井有限责任公司</w:t>
      </w:r>
      <w:r>
        <w:rPr>
          <w:rFonts w:hint="eastAsia" w:ascii="Times New Roman" w:hAnsi="Times New Roman"/>
          <w:kern w:val="0"/>
          <w:szCs w:val="28"/>
          <w:lang w:val="en-US" w:eastAsia="zh-CN"/>
        </w:rPr>
        <w:t>钻井七队</w:t>
      </w:r>
      <w:r>
        <w:rPr>
          <w:rFonts w:hint="eastAsia" w:ascii="Times New Roman" w:hAnsi="Times New Roman"/>
          <w:kern w:val="0"/>
          <w:szCs w:val="28"/>
        </w:rPr>
        <w:t>莱78-斜10井</w:t>
      </w:r>
      <w:r>
        <w:rPr>
          <w:rFonts w:ascii="Times New Roman" w:hAnsi="Times New Roman"/>
          <w:kern w:val="0"/>
          <w:szCs w:val="28"/>
        </w:rPr>
        <w:t>作业现场进行了检查，检查情况具体见表5-</w:t>
      </w:r>
      <w:r>
        <w:rPr>
          <w:rFonts w:hint="eastAsia" w:ascii="Times New Roman" w:hAnsi="Times New Roman"/>
          <w:kern w:val="0"/>
          <w:szCs w:val="28"/>
          <w:lang w:val="en-US" w:eastAsia="zh-CN"/>
        </w:rPr>
        <w:t>4</w:t>
      </w:r>
      <w:r>
        <w:rPr>
          <w:rFonts w:ascii="Times New Roman" w:hAnsi="Times New Roman"/>
          <w:kern w:val="0"/>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snapToGrid w:val="0"/>
          <w:color w:val="000000"/>
          <w:kern w:val="0"/>
          <w:sz w:val="24"/>
        </w:rPr>
      </w:pPr>
      <w:r>
        <w:rPr>
          <w:b/>
          <w:snapToGrid w:val="0"/>
          <w:color w:val="000000"/>
          <w:kern w:val="0"/>
          <w:sz w:val="24"/>
        </w:rPr>
        <w:t>表5-</w:t>
      </w:r>
      <w:r>
        <w:rPr>
          <w:rFonts w:hint="eastAsia"/>
          <w:b/>
          <w:snapToGrid w:val="0"/>
          <w:color w:val="000000"/>
          <w:kern w:val="0"/>
          <w:sz w:val="24"/>
          <w:lang w:val="en-US" w:eastAsia="zh-CN"/>
        </w:rPr>
        <w:t>4</w:t>
      </w:r>
      <w:r>
        <w:rPr>
          <w:b/>
          <w:snapToGrid w:val="0"/>
          <w:color w:val="000000"/>
          <w:kern w:val="0"/>
          <w:sz w:val="24"/>
        </w:rPr>
        <w:t xml:space="preserve">  </w:t>
      </w:r>
      <w:r>
        <w:rPr>
          <w:rFonts w:hint="eastAsia"/>
          <w:b/>
          <w:snapToGrid w:val="0"/>
          <w:color w:val="000000"/>
          <w:kern w:val="0"/>
          <w:sz w:val="24"/>
        </w:rPr>
        <w:t>莱78-斜10井</w:t>
      </w:r>
      <w:r>
        <w:rPr>
          <w:b/>
          <w:snapToGrid w:val="0"/>
          <w:color w:val="000000"/>
          <w:kern w:val="0"/>
          <w:sz w:val="24"/>
        </w:rPr>
        <w:t>安全检查表</w:t>
      </w:r>
    </w:p>
    <w:bookmarkEnd w:id="127"/>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rPr>
      </w:pPr>
      <w:r>
        <w:rPr>
          <w:rFonts w:hint="eastAsia"/>
        </w:rPr>
        <w:t>评价小结：</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default"/>
          <w:lang w:val="en-US"/>
        </w:rPr>
      </w:pPr>
      <w:r>
        <w:rPr>
          <w:rFonts w:hint="eastAsia"/>
          <w:lang w:val="en-US" w:eastAsia="zh-CN"/>
        </w:rPr>
        <w:t>莱78-斜10井</w:t>
      </w:r>
      <w:r>
        <w:rPr>
          <w:rFonts w:hint="eastAsia"/>
        </w:rPr>
        <w:t>安全检查表共设</w:t>
      </w:r>
      <w:r>
        <w:rPr>
          <w:rFonts w:hint="eastAsia"/>
          <w:lang w:val="en-US" w:eastAsia="zh-CN"/>
        </w:rPr>
        <w:t>71</w:t>
      </w:r>
      <w:r>
        <w:rPr>
          <w:rFonts w:hint="eastAsia"/>
        </w:rPr>
        <w:t>项检查内容，</w:t>
      </w:r>
      <w:r>
        <w:rPr>
          <w:rFonts w:hint="eastAsia"/>
          <w:lang w:val="en-US" w:eastAsia="zh-CN"/>
        </w:rPr>
        <w:t>65</w:t>
      </w:r>
      <w:r>
        <w:rPr>
          <w:rFonts w:hint="eastAsia"/>
        </w:rPr>
        <w:t>项符合要求，</w:t>
      </w:r>
      <w:r>
        <w:rPr>
          <w:rFonts w:hint="eastAsia"/>
          <w:lang w:val="en-US" w:eastAsia="zh-CN"/>
        </w:rPr>
        <w:t>6</w:t>
      </w:r>
      <w:r>
        <w:rPr>
          <w:rFonts w:hint="eastAsia"/>
        </w:rPr>
        <w:t>项不符合：</w:t>
      </w:r>
      <w:r>
        <w:rPr>
          <w:rFonts w:hint="eastAsia"/>
          <w:lang w:val="en-US" w:eastAsia="zh-CN"/>
        </w:rPr>
        <w:t>1.莱78-X10井井口与西南侧髙压线的距离58米。2.绞车过卷防护未安装。重锤防碰使用铁丝连接。3.B型大钳钳尾保险销缺失。4.现场消防房存放杂物。MCC应急灯损坏。5.放喷管线出口处未使用双基墩固定。6.人员台账中部分人员证件过期，台账未及时更新。井队实际人员数量与台账中人员数量不符，人员台账未涵盖所有作业人员。</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outlineLvl w:val="2"/>
        <w:rPr>
          <w:rFonts w:hint="default" w:ascii="Times New Roman" w:hAnsi="Times New Roman" w:eastAsia="宋体" w:cs="Times New Roman"/>
          <w:b w:val="0"/>
          <w:bCs/>
          <w:snapToGrid w:val="0"/>
          <w:color w:val="000000"/>
          <w:kern w:val="0"/>
          <w:sz w:val="28"/>
          <w:szCs w:val="20"/>
          <w:lang w:val="en-US" w:eastAsia="zh-CN" w:bidi="ar-SA"/>
        </w:rPr>
      </w:pPr>
      <w:r>
        <w:rPr>
          <w:rFonts w:ascii="Times New Roman" w:hAnsi="Times New Roman" w:eastAsia="宋体" w:cs="Times New Roman"/>
          <w:b w:val="0"/>
          <w:bCs/>
          <w:snapToGrid w:val="0"/>
          <w:color w:val="000000"/>
          <w:kern w:val="0"/>
          <w:sz w:val="28"/>
          <w:szCs w:val="20"/>
          <w:lang w:val="en-US" w:eastAsia="zh-CN" w:bidi="ar-SA"/>
        </w:rPr>
        <w:t>5</w:t>
      </w:r>
      <w:r>
        <w:rPr>
          <w:rFonts w:hint="eastAsia" w:ascii="Times New Roman" w:hAnsi="Times New Roman" w:eastAsia="宋体" w:cs="Times New Roman"/>
          <w:b w:val="0"/>
          <w:bCs/>
          <w:snapToGrid w:val="0"/>
          <w:color w:val="000000"/>
          <w:kern w:val="0"/>
          <w:sz w:val="28"/>
          <w:szCs w:val="20"/>
          <w:lang w:val="en-US" w:eastAsia="zh-CN" w:bidi="ar-SA"/>
        </w:rPr>
        <w:t>.2</w:t>
      </w:r>
      <w:r>
        <w:rPr>
          <w:rFonts w:ascii="Times New Roman" w:hAnsi="Times New Roman" w:eastAsia="宋体" w:cs="Times New Roman"/>
          <w:b w:val="0"/>
          <w:bCs/>
          <w:snapToGrid w:val="0"/>
          <w:color w:val="000000"/>
          <w:kern w:val="0"/>
          <w:sz w:val="28"/>
          <w:szCs w:val="20"/>
          <w:lang w:val="en-US" w:eastAsia="zh-CN" w:bidi="ar-SA"/>
        </w:rPr>
        <w:t>.</w:t>
      </w:r>
      <w:r>
        <w:rPr>
          <w:rFonts w:hint="eastAsia" w:ascii="Times New Roman" w:hAnsi="Times New Roman" w:eastAsia="宋体" w:cs="Times New Roman"/>
          <w:b w:val="0"/>
          <w:bCs/>
          <w:snapToGrid w:val="0"/>
          <w:color w:val="000000"/>
          <w:kern w:val="0"/>
          <w:sz w:val="28"/>
          <w:szCs w:val="20"/>
          <w:lang w:val="en-US" w:eastAsia="zh-CN" w:bidi="ar-SA"/>
        </w:rPr>
        <w:t>2</w:t>
      </w:r>
      <w:r>
        <w:rPr>
          <w:rFonts w:ascii="Times New Roman" w:hAnsi="Times New Roman" w:eastAsia="宋体" w:cs="Times New Roman"/>
          <w:b w:val="0"/>
          <w:bCs/>
          <w:snapToGrid w:val="0"/>
          <w:color w:val="000000"/>
          <w:kern w:val="0"/>
          <w:sz w:val="28"/>
          <w:szCs w:val="20"/>
          <w:lang w:val="en-US" w:eastAsia="zh-CN" w:bidi="ar-SA"/>
        </w:rPr>
        <w:t xml:space="preserve">  </w:t>
      </w:r>
      <w:r>
        <w:rPr>
          <w:rFonts w:hint="eastAsia" w:ascii="黑体" w:hAnsi="黑体" w:eastAsia="黑体" w:cs="黑体"/>
          <w:b w:val="0"/>
          <w:bCs/>
          <w:snapToGrid w:val="0"/>
          <w:color w:val="000000"/>
          <w:kern w:val="0"/>
          <w:sz w:val="28"/>
          <w:szCs w:val="20"/>
          <w:lang w:val="en-US" w:eastAsia="zh-CN" w:bidi="ar-SA"/>
        </w:rPr>
        <w:t>王</w:t>
      </w:r>
      <w:r>
        <w:rPr>
          <w:rFonts w:hint="default" w:ascii="Times New Roman" w:hAnsi="Times New Roman" w:eastAsia="黑体" w:cs="Times New Roman"/>
          <w:b w:val="0"/>
          <w:bCs/>
          <w:snapToGrid w:val="0"/>
          <w:color w:val="000000"/>
          <w:kern w:val="0"/>
          <w:sz w:val="28"/>
          <w:szCs w:val="20"/>
          <w:lang w:val="en-US" w:eastAsia="zh-CN" w:bidi="ar-SA"/>
        </w:rPr>
        <w:t>589</w:t>
      </w:r>
      <w:r>
        <w:rPr>
          <w:rFonts w:hint="eastAsia" w:ascii="黑体" w:hAnsi="黑体" w:eastAsia="黑体" w:cs="黑体"/>
          <w:b w:val="0"/>
          <w:bCs/>
          <w:snapToGrid w:val="0"/>
          <w:color w:val="000000"/>
          <w:kern w:val="0"/>
          <w:sz w:val="28"/>
          <w:szCs w:val="20"/>
          <w:lang w:val="en-US" w:eastAsia="zh-CN" w:bidi="ar-SA"/>
        </w:rPr>
        <w:t>-斜</w:t>
      </w:r>
      <w:r>
        <w:rPr>
          <w:rFonts w:hint="default" w:ascii="Times New Roman" w:hAnsi="Times New Roman" w:eastAsia="黑体" w:cs="Times New Roman"/>
          <w:b w:val="0"/>
          <w:bCs/>
          <w:snapToGrid w:val="0"/>
          <w:color w:val="000000"/>
          <w:kern w:val="0"/>
          <w:sz w:val="28"/>
          <w:szCs w:val="20"/>
          <w:lang w:val="en-US" w:eastAsia="zh-CN" w:bidi="ar-SA"/>
        </w:rPr>
        <w:t>2</w:t>
      </w:r>
      <w:r>
        <w:rPr>
          <w:rFonts w:hint="eastAsia" w:ascii="黑体" w:hAnsi="黑体" w:eastAsia="黑体" w:cs="黑体"/>
          <w:b w:val="0"/>
          <w:bCs/>
          <w:snapToGrid w:val="0"/>
          <w:color w:val="000000"/>
          <w:kern w:val="0"/>
          <w:sz w:val="28"/>
          <w:szCs w:val="20"/>
          <w:lang w:val="en-US" w:eastAsia="zh-CN" w:bidi="ar-SA"/>
        </w:rPr>
        <w:t>井</w:t>
      </w:r>
    </w:p>
    <w:p>
      <w:pPr>
        <w:widowControl w:val="0"/>
        <w:adjustRightInd w:val="0"/>
        <w:snapToGrid w:val="0"/>
        <w:spacing w:line="360" w:lineRule="auto"/>
        <w:ind w:firstLine="562" w:firstLineChars="200"/>
        <w:jc w:val="both"/>
        <w:rPr>
          <w:rFonts w:hint="eastAsia" w:ascii="Times New Roman" w:hAnsi="Times New Roman" w:eastAsia="宋体" w:cs="Times New Roman"/>
          <w:b/>
          <w:bCs/>
          <w:kern w:val="0"/>
          <w:sz w:val="28"/>
          <w:szCs w:val="28"/>
          <w:lang w:val="en-US" w:eastAsia="zh-CN" w:bidi="ar-SA"/>
        </w:rPr>
      </w:pPr>
      <w:r>
        <w:rPr>
          <w:rFonts w:hint="eastAsia" w:ascii="Times New Roman" w:hAnsi="Times New Roman" w:eastAsia="宋体" w:cs="Times New Roman"/>
          <w:b/>
          <w:bCs/>
          <w:kern w:val="0"/>
          <w:sz w:val="28"/>
          <w:szCs w:val="28"/>
          <w:lang w:val="en-US" w:eastAsia="zh-CN" w:bidi="ar-SA"/>
        </w:rPr>
        <w:t>1.施工情况简介</w:t>
      </w:r>
    </w:p>
    <w:p>
      <w:pPr>
        <w:ind w:firstLine="56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1）井场道路及井场周边环境</w:t>
      </w:r>
    </w:p>
    <w:p>
      <w:pPr>
        <w:ind w:firstLine="56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王589-斜2井属于现河采油厂，施工单位为大明钻井公司</w:t>
      </w:r>
      <w:r>
        <w:rPr>
          <w:rFonts w:hint="eastAsia" w:cs="Times New Roman"/>
          <w:lang w:val="en-US" w:eastAsia="zh-CN"/>
        </w:rPr>
        <w:t>钻井五队</w:t>
      </w:r>
      <w:r>
        <w:rPr>
          <w:rFonts w:hint="eastAsia" w:ascii="Times New Roman" w:hAnsi="Times New Roman" w:eastAsia="宋体" w:cs="Times New Roman"/>
          <w:lang w:val="en-US" w:eastAsia="zh-CN"/>
        </w:rPr>
        <w:t>，钻机类型为：ZJ40L。王589-斜2井位于东营市南二路广利河森林湿地公园内往西800米，进井路为水泥路，井道路状况良好；周围为湿地公园树木、草坪。井场四周设有警戒围墙，外部人员不能随便进入现场。井场电压为380V低压电路。井场内有值班站房，井场布置能够满足施工需要。井场无污染，井口装置、生产设施配套基本齐全。井场进井道路及周边环境见图5-</w:t>
      </w:r>
      <w:r>
        <w:rPr>
          <w:rFonts w:hint="eastAsia" w:cs="Times New Roman"/>
          <w:lang w:val="en-US" w:eastAsia="zh-CN"/>
        </w:rPr>
        <w:t>4</w:t>
      </w:r>
      <w:r>
        <w:rPr>
          <w:rFonts w:hint="eastAsia" w:ascii="Times New Roman" w:hAnsi="Times New Roman" w:eastAsia="宋体" w:cs="Times New Roman"/>
          <w:lang w:val="en-US" w:eastAsia="zh-CN"/>
        </w:rPr>
        <w:t>。</w:t>
      </w:r>
    </w:p>
    <w:p>
      <w:pPr>
        <w:pStyle w:val="2"/>
        <w:spacing w:before="120" w:beforeLines="50" w:line="360" w:lineRule="auto"/>
        <w:ind w:firstLine="560"/>
        <w:rPr>
          <w:rFonts w:hint="default" w:eastAsia="宋体"/>
          <w:b/>
          <w:bCs/>
          <w:lang w:val="en-US" w:eastAsia="zh-CN"/>
        </w:rPr>
      </w:pPr>
      <w:r>
        <w:rPr>
          <w:rFonts w:hint="eastAsia" w:ascii="Times New Roman" w:hAnsi="Times New Roman" w:eastAsia="宋体" w:cs="Times New Roman"/>
          <w:sz w:val="24"/>
          <w:szCs w:val="24"/>
          <w:lang w:val="en-US" w:eastAsia="zh-CN"/>
        </w:rPr>
        <w:drawing>
          <wp:anchor distT="0" distB="0" distL="114300" distR="114300" simplePos="0" relativeHeight="251666432" behindDoc="0" locked="0" layoutInCell="1" allowOverlap="1">
            <wp:simplePos x="0" y="0"/>
            <wp:positionH relativeFrom="column">
              <wp:posOffset>137160</wp:posOffset>
            </wp:positionH>
            <wp:positionV relativeFrom="page">
              <wp:posOffset>915035</wp:posOffset>
            </wp:positionV>
            <wp:extent cx="5132070" cy="3425190"/>
            <wp:effectExtent l="0" t="0" r="11430" b="3810"/>
            <wp:wrapTopAndBottom/>
            <wp:docPr id="28" name="图片 225" descr="IMG_6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25" descr="IMG_6925"/>
                    <pic:cNvPicPr>
                      <a:picLocks noChangeAspect="1"/>
                    </pic:cNvPicPr>
                  </pic:nvPicPr>
                  <pic:blipFill>
                    <a:blip r:embed="rId32"/>
                    <a:stretch>
                      <a:fillRect/>
                    </a:stretch>
                  </pic:blipFill>
                  <pic:spPr>
                    <a:xfrm>
                      <a:off x="0" y="0"/>
                      <a:ext cx="5132070" cy="3425190"/>
                    </a:xfrm>
                    <a:prstGeom prst="rect">
                      <a:avLst/>
                    </a:prstGeom>
                    <a:noFill/>
                    <a:ln>
                      <a:noFill/>
                    </a:ln>
                  </pic:spPr>
                </pic:pic>
              </a:graphicData>
            </a:graphic>
          </wp:anchor>
        </w:drawing>
      </w:r>
      <w:r>
        <w:rPr>
          <w:rFonts w:hint="eastAsia"/>
          <w:b/>
          <w:bCs/>
          <w:lang w:val="en-US" w:eastAsia="zh-CN"/>
        </w:rPr>
        <w:t>涉及企业机密，不予公开。</w:t>
      </w:r>
    </w:p>
    <w:p>
      <w:pPr>
        <w:bidi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图5-</w:t>
      </w:r>
      <w:r>
        <w:rPr>
          <w:rFonts w:hint="eastAsia" w:cs="Times New Roman"/>
          <w:b/>
          <w:bCs/>
          <w:sz w:val="24"/>
          <w:szCs w:val="24"/>
          <w:lang w:val="en-US" w:eastAsia="zh-CN"/>
        </w:rPr>
        <w:t>4</w:t>
      </w:r>
      <w:r>
        <w:rPr>
          <w:rFonts w:hint="eastAsia" w:ascii="Times New Roman" w:hAnsi="Times New Roman" w:eastAsia="宋体" w:cs="Times New Roman"/>
          <w:b/>
          <w:bCs/>
          <w:sz w:val="24"/>
          <w:szCs w:val="24"/>
          <w:lang w:val="en-US" w:eastAsia="zh-CN"/>
        </w:rPr>
        <w:t xml:space="preserve">  进井路现场图</w:t>
      </w:r>
      <w:r>
        <w:rPr>
          <w:rFonts w:hint="eastAsia" w:ascii="Times New Roman" w:hAnsi="Times New Roman" w:cs="Times New Roman"/>
          <w:b/>
          <w:bCs/>
          <w:sz w:val="24"/>
          <w:szCs w:val="24"/>
          <w:lang w:val="en-US" w:eastAsia="zh-CN"/>
        </w:rPr>
        <w:t>及井场平面布置图</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ascii="Times New Roman" w:hAnsi="Times New Roman" w:eastAsia="宋体" w:cs="Times New Roman"/>
        </w:rPr>
      </w:pPr>
      <w:r>
        <w:rPr>
          <w:rFonts w:hint="eastAsia" w:ascii="Times New Roman" w:hAnsi="Times New Roman" w:eastAsia="宋体" w:cs="Times New Roman"/>
          <w:lang w:val="en-US" w:eastAsia="zh-CN"/>
        </w:rPr>
        <w:t>2）</w:t>
      </w:r>
      <w:r>
        <w:rPr>
          <w:rFonts w:hint="eastAsia" w:ascii="Times New Roman" w:hAnsi="Times New Roman" w:eastAsia="宋体" w:cs="Times New Roman"/>
        </w:rPr>
        <w:t>井身结构</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表</w:t>
      </w:r>
      <w:r>
        <w:rPr>
          <w:rFonts w:hint="default" w:ascii="Times New Roman" w:hAnsi="Times New Roman" w:eastAsia="宋体" w:cs="Times New Roman"/>
          <w:b/>
          <w:bCs/>
          <w:kern w:val="2"/>
          <w:sz w:val="24"/>
          <w:szCs w:val="24"/>
          <w:lang w:val="en-US" w:eastAsia="zh-CN" w:bidi="ar-SA"/>
        </w:rPr>
        <w:t>5-5</w:t>
      </w:r>
      <w:r>
        <w:rPr>
          <w:rFonts w:ascii="宋体" w:hAnsi="宋体" w:eastAsia="宋体" w:cs="宋体"/>
          <w:b/>
          <w:bCs/>
          <w:kern w:val="2"/>
          <w:sz w:val="24"/>
          <w:szCs w:val="24"/>
          <w:lang w:val="en-US" w:eastAsia="zh-CN" w:bidi="ar-SA"/>
        </w:rPr>
        <w:t xml:space="preserve">  </w:t>
      </w:r>
      <w:r>
        <w:rPr>
          <w:rFonts w:hint="eastAsia" w:ascii="宋体" w:hAnsi="宋体" w:eastAsia="宋体" w:cs="宋体"/>
          <w:b/>
          <w:bCs/>
          <w:kern w:val="2"/>
          <w:sz w:val="24"/>
          <w:szCs w:val="24"/>
          <w:lang w:val="en-US" w:eastAsia="zh-CN" w:bidi="ar-SA"/>
        </w:rPr>
        <w:t>井身结构设计</w:t>
      </w:r>
    </w:p>
    <w:tbl>
      <w:tblPr>
        <w:tblStyle w:val="45"/>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33"/>
        <w:gridCol w:w="1151"/>
        <w:gridCol w:w="1034"/>
        <w:gridCol w:w="1197"/>
        <w:gridCol w:w="1409"/>
        <w:gridCol w:w="24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78"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z w:val="21"/>
                <w:szCs w:val="24"/>
              </w:rPr>
            </w:pPr>
            <w:r>
              <w:rPr>
                <w:rFonts w:hint="eastAsia" w:ascii="Times New Roman" w:hAnsi="Times New Roman" w:eastAsia="宋体" w:cs="Times New Roman"/>
                <w:b/>
                <w:bCs/>
                <w:sz w:val="21"/>
                <w:szCs w:val="24"/>
              </w:rPr>
              <w:t>开钻</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z w:val="21"/>
                <w:szCs w:val="24"/>
              </w:rPr>
            </w:pPr>
            <w:r>
              <w:rPr>
                <w:rFonts w:hint="eastAsia" w:ascii="Times New Roman" w:hAnsi="Times New Roman" w:eastAsia="宋体" w:cs="Times New Roman"/>
                <w:b/>
                <w:bCs/>
                <w:sz w:val="21"/>
                <w:szCs w:val="24"/>
              </w:rPr>
              <w:t>顺序</w:t>
            </w:r>
          </w:p>
        </w:tc>
        <w:tc>
          <w:tcPr>
            <w:tcW w:w="689"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z w:val="21"/>
                <w:szCs w:val="24"/>
              </w:rPr>
            </w:pPr>
            <w:r>
              <w:rPr>
                <w:rFonts w:hint="eastAsia" w:ascii="Times New Roman" w:hAnsi="Times New Roman" w:eastAsia="宋体" w:cs="Times New Roman"/>
                <w:b/>
                <w:bCs/>
                <w:sz w:val="21"/>
                <w:szCs w:val="24"/>
              </w:rPr>
              <w:t>钻头尺寸</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z w:val="21"/>
                <w:szCs w:val="24"/>
              </w:rPr>
            </w:pPr>
            <w:r>
              <w:rPr>
                <w:rFonts w:hint="eastAsia" w:ascii="Times New Roman" w:hAnsi="Times New Roman" w:eastAsia="宋体" w:cs="Times New Roman"/>
                <w:b/>
                <w:bCs/>
                <w:sz w:val="21"/>
                <w:szCs w:val="24"/>
              </w:rPr>
              <w:t>（</w:t>
            </w:r>
            <w:r>
              <w:rPr>
                <w:rFonts w:ascii="Times New Roman" w:hAnsi="Times New Roman" w:eastAsia="宋体" w:cs="Times New Roman"/>
                <w:b/>
                <w:bCs/>
                <w:sz w:val="21"/>
                <w:szCs w:val="24"/>
              </w:rPr>
              <w:t>mm</w:t>
            </w:r>
            <w:r>
              <w:rPr>
                <w:rFonts w:hint="eastAsia" w:ascii="Times New Roman" w:hAnsi="Times New Roman" w:eastAsia="宋体" w:cs="Times New Roman"/>
                <w:b/>
                <w:bCs/>
                <w:sz w:val="21"/>
                <w:szCs w:val="24"/>
              </w:rPr>
              <w:t>）</w:t>
            </w:r>
          </w:p>
        </w:tc>
        <w:tc>
          <w:tcPr>
            <w:tcW w:w="619"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z w:val="21"/>
                <w:szCs w:val="24"/>
              </w:rPr>
            </w:pPr>
            <w:r>
              <w:rPr>
                <w:rFonts w:ascii="Times New Roman" w:hAnsi="Times New Roman" w:eastAsia="宋体" w:cs="Times New Roman"/>
                <w:b/>
                <w:bCs/>
                <w:sz w:val="21"/>
                <w:szCs w:val="24"/>
              </w:rPr>
              <w:t>井深</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z w:val="21"/>
                <w:szCs w:val="24"/>
              </w:rPr>
            </w:pPr>
            <w:r>
              <w:rPr>
                <w:rFonts w:hint="eastAsia" w:ascii="Times New Roman" w:hAnsi="Times New Roman" w:eastAsia="宋体" w:cs="Times New Roman"/>
                <w:b/>
                <w:bCs/>
                <w:sz w:val="21"/>
                <w:szCs w:val="24"/>
              </w:rPr>
              <w:t>（</w:t>
            </w:r>
            <w:r>
              <w:rPr>
                <w:rFonts w:ascii="Times New Roman" w:hAnsi="Times New Roman" w:eastAsia="宋体" w:cs="Times New Roman"/>
                <w:b/>
                <w:bCs/>
                <w:sz w:val="21"/>
                <w:szCs w:val="24"/>
              </w:rPr>
              <w:t>m</w:t>
            </w:r>
            <w:r>
              <w:rPr>
                <w:rFonts w:hint="eastAsia" w:ascii="Times New Roman" w:hAnsi="Times New Roman" w:eastAsia="宋体" w:cs="Times New Roman"/>
                <w:b/>
                <w:bCs/>
                <w:sz w:val="21"/>
                <w:szCs w:val="24"/>
              </w:rPr>
              <w:t>）</w:t>
            </w:r>
          </w:p>
        </w:tc>
        <w:tc>
          <w:tcPr>
            <w:tcW w:w="716"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z w:val="21"/>
                <w:szCs w:val="24"/>
              </w:rPr>
            </w:pPr>
            <w:r>
              <w:rPr>
                <w:rFonts w:ascii="Times New Roman" w:hAnsi="Times New Roman" w:eastAsia="宋体" w:cs="Times New Roman"/>
                <w:b/>
                <w:bCs/>
                <w:sz w:val="21"/>
                <w:szCs w:val="24"/>
              </w:rPr>
              <w:t>套管外径</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z w:val="21"/>
                <w:szCs w:val="24"/>
              </w:rPr>
            </w:pPr>
            <w:r>
              <w:rPr>
                <w:rFonts w:hint="eastAsia" w:ascii="Times New Roman" w:hAnsi="Times New Roman" w:eastAsia="宋体" w:cs="Times New Roman"/>
                <w:b/>
                <w:bCs/>
                <w:sz w:val="21"/>
                <w:szCs w:val="24"/>
              </w:rPr>
              <w:t>（</w:t>
            </w:r>
            <w:r>
              <w:rPr>
                <w:rFonts w:ascii="Times New Roman" w:hAnsi="Times New Roman" w:eastAsia="宋体" w:cs="Times New Roman"/>
                <w:b/>
                <w:bCs/>
                <w:sz w:val="21"/>
                <w:szCs w:val="24"/>
              </w:rPr>
              <w:t>mm</w:t>
            </w:r>
            <w:r>
              <w:rPr>
                <w:rFonts w:hint="eastAsia" w:ascii="Times New Roman" w:hAnsi="Times New Roman" w:eastAsia="宋体" w:cs="Times New Roman"/>
                <w:b/>
                <w:bCs/>
                <w:sz w:val="21"/>
                <w:szCs w:val="24"/>
              </w:rPr>
              <w:t>）</w:t>
            </w:r>
          </w:p>
        </w:tc>
        <w:tc>
          <w:tcPr>
            <w:tcW w:w="843"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z w:val="21"/>
                <w:szCs w:val="24"/>
              </w:rPr>
            </w:pPr>
            <w:r>
              <w:rPr>
                <w:rFonts w:ascii="Times New Roman" w:hAnsi="Times New Roman" w:eastAsia="宋体" w:cs="Times New Roman"/>
                <w:b/>
                <w:bCs/>
                <w:sz w:val="21"/>
                <w:szCs w:val="24"/>
              </w:rPr>
              <w:t>套管</w:t>
            </w:r>
            <w:r>
              <w:rPr>
                <w:rFonts w:hint="eastAsia" w:ascii="Times New Roman" w:hAnsi="Times New Roman" w:eastAsia="宋体" w:cs="Times New Roman"/>
                <w:b/>
                <w:bCs/>
                <w:sz w:val="21"/>
                <w:szCs w:val="24"/>
              </w:rPr>
              <w:t>下深</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z w:val="21"/>
                <w:szCs w:val="24"/>
              </w:rPr>
            </w:pPr>
            <w:r>
              <w:rPr>
                <w:rFonts w:hint="eastAsia" w:ascii="Times New Roman" w:hAnsi="Times New Roman" w:eastAsia="宋体" w:cs="Times New Roman"/>
                <w:b/>
                <w:bCs/>
                <w:sz w:val="21"/>
                <w:szCs w:val="24"/>
              </w:rPr>
              <w:t>（</w:t>
            </w:r>
            <w:r>
              <w:rPr>
                <w:rFonts w:ascii="Times New Roman" w:hAnsi="Times New Roman" w:eastAsia="宋体" w:cs="Times New Roman"/>
                <w:b/>
                <w:bCs/>
                <w:sz w:val="21"/>
                <w:szCs w:val="24"/>
              </w:rPr>
              <w:t>m</w:t>
            </w:r>
            <w:r>
              <w:rPr>
                <w:rFonts w:hint="eastAsia" w:ascii="Times New Roman" w:hAnsi="Times New Roman" w:eastAsia="宋体" w:cs="Times New Roman"/>
                <w:b/>
                <w:bCs/>
                <w:sz w:val="21"/>
                <w:szCs w:val="24"/>
              </w:rPr>
              <w:t>）</w:t>
            </w:r>
          </w:p>
        </w:tc>
        <w:tc>
          <w:tcPr>
            <w:tcW w:w="1455"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z w:val="21"/>
                <w:szCs w:val="24"/>
              </w:rPr>
            </w:pPr>
            <w:r>
              <w:rPr>
                <w:rFonts w:hint="eastAsia" w:ascii="Times New Roman" w:hAnsi="Times New Roman" w:eastAsia="宋体" w:cs="Times New Roman"/>
                <w:b/>
                <w:bCs/>
                <w:sz w:val="21"/>
                <w:szCs w:val="24"/>
              </w:rPr>
              <w:t>水泥封固段</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bCs/>
                <w:sz w:val="21"/>
                <w:szCs w:val="24"/>
              </w:rPr>
            </w:pPr>
            <w:r>
              <w:rPr>
                <w:rFonts w:hint="eastAsia" w:ascii="Times New Roman" w:hAnsi="Times New Roman" w:eastAsia="宋体" w:cs="Times New Roman"/>
                <w:b/>
                <w:bCs/>
                <w:sz w:val="21"/>
                <w:szCs w:val="24"/>
              </w:rPr>
              <w:t>（</w:t>
            </w:r>
            <w:r>
              <w:rPr>
                <w:rFonts w:ascii="Times New Roman" w:hAnsi="Times New Roman" w:eastAsia="宋体" w:cs="Times New Roman"/>
                <w:b/>
                <w:bCs/>
                <w:sz w:val="21"/>
                <w:szCs w:val="24"/>
              </w:rPr>
              <w:t>m</w:t>
            </w:r>
            <w:r>
              <w:rPr>
                <w:rFonts w:hint="eastAsia" w:ascii="Times New Roman" w:hAnsi="Times New Roman" w:eastAsia="宋体" w:cs="Times New Roman"/>
                <w:b/>
                <w:bCs/>
                <w:sz w:val="21"/>
                <w:szCs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78"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sz w:val="21"/>
                <w:szCs w:val="24"/>
              </w:rPr>
            </w:pPr>
            <w:r>
              <w:rPr>
                <w:rFonts w:hint="eastAsia" w:ascii="Times New Roman" w:hAnsi="Times New Roman" w:eastAsia="宋体" w:cs="Times New Roman"/>
                <w:sz w:val="21"/>
                <w:szCs w:val="24"/>
              </w:rPr>
              <w:t>一开</w:t>
            </w:r>
          </w:p>
        </w:tc>
        <w:tc>
          <w:tcPr>
            <w:tcW w:w="689"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sz w:val="21"/>
                <w:szCs w:val="24"/>
              </w:rPr>
            </w:pPr>
            <w:r>
              <w:rPr>
                <w:rFonts w:hint="eastAsia" w:ascii="Times New Roman" w:hAnsi="Times New Roman" w:eastAsia="宋体" w:cs="Times New Roman"/>
                <w:sz w:val="21"/>
                <w:szCs w:val="24"/>
              </w:rPr>
              <w:t>311.2</w:t>
            </w:r>
          </w:p>
        </w:tc>
        <w:tc>
          <w:tcPr>
            <w:tcW w:w="619"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sz w:val="21"/>
                <w:szCs w:val="24"/>
              </w:rPr>
            </w:pPr>
            <w:r>
              <w:rPr>
                <w:rFonts w:ascii="Times New Roman" w:hAnsi="Times New Roman" w:eastAsia="宋体" w:cs="Times New Roman"/>
                <w:sz w:val="21"/>
                <w:szCs w:val="24"/>
              </w:rPr>
              <w:t>401.0</w:t>
            </w:r>
          </w:p>
        </w:tc>
        <w:tc>
          <w:tcPr>
            <w:tcW w:w="716"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sz w:val="21"/>
                <w:szCs w:val="24"/>
              </w:rPr>
            </w:pPr>
            <w:r>
              <w:rPr>
                <w:rFonts w:ascii="Times New Roman" w:hAnsi="Times New Roman" w:eastAsia="宋体" w:cs="Times New Roman"/>
                <w:sz w:val="21"/>
                <w:szCs w:val="24"/>
              </w:rPr>
              <w:t>244.5</w:t>
            </w:r>
          </w:p>
        </w:tc>
        <w:tc>
          <w:tcPr>
            <w:tcW w:w="843"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sz w:val="21"/>
                <w:szCs w:val="24"/>
              </w:rPr>
            </w:pPr>
            <w:r>
              <w:rPr>
                <w:rFonts w:ascii="Times New Roman" w:hAnsi="Times New Roman" w:eastAsia="宋体" w:cs="Times New Roman"/>
                <w:sz w:val="21"/>
                <w:szCs w:val="24"/>
              </w:rPr>
              <w:t>400</w:t>
            </w:r>
          </w:p>
        </w:tc>
        <w:tc>
          <w:tcPr>
            <w:tcW w:w="1455"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sz w:val="21"/>
                <w:szCs w:val="24"/>
              </w:rPr>
            </w:pPr>
            <w:r>
              <w:rPr>
                <w:rFonts w:hint="eastAsia" w:ascii="Times New Roman" w:hAnsi="Times New Roman" w:eastAsia="宋体" w:cs="Times New Roman"/>
                <w:sz w:val="21"/>
                <w:szCs w:val="24"/>
              </w:rPr>
              <w:t>0～401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78"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sz w:val="21"/>
                <w:szCs w:val="24"/>
              </w:rPr>
            </w:pPr>
            <w:r>
              <w:rPr>
                <w:rFonts w:hint="eastAsia" w:ascii="Times New Roman" w:hAnsi="Times New Roman" w:eastAsia="宋体" w:cs="Times New Roman"/>
                <w:sz w:val="21"/>
                <w:szCs w:val="24"/>
              </w:rPr>
              <w:t>二开</w:t>
            </w:r>
          </w:p>
        </w:tc>
        <w:tc>
          <w:tcPr>
            <w:tcW w:w="689"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sz w:val="21"/>
                <w:szCs w:val="24"/>
              </w:rPr>
            </w:pPr>
            <w:r>
              <w:rPr>
                <w:rFonts w:hint="eastAsia" w:ascii="Times New Roman" w:hAnsi="Times New Roman" w:eastAsia="宋体" w:cs="Times New Roman"/>
                <w:sz w:val="21"/>
                <w:szCs w:val="24"/>
              </w:rPr>
              <w:t>215.9</w:t>
            </w:r>
          </w:p>
        </w:tc>
        <w:tc>
          <w:tcPr>
            <w:tcW w:w="619"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sz w:val="21"/>
                <w:szCs w:val="24"/>
              </w:rPr>
            </w:pPr>
            <w:r>
              <w:rPr>
                <w:rFonts w:ascii="Times New Roman" w:hAnsi="Times New Roman" w:eastAsia="宋体" w:cs="Times New Roman"/>
                <w:sz w:val="21"/>
                <w:szCs w:val="24"/>
              </w:rPr>
              <w:t>3267.3</w:t>
            </w:r>
          </w:p>
        </w:tc>
        <w:tc>
          <w:tcPr>
            <w:tcW w:w="716"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sz w:val="21"/>
                <w:szCs w:val="24"/>
              </w:rPr>
            </w:pPr>
            <w:r>
              <w:rPr>
                <w:rFonts w:ascii="Times New Roman" w:hAnsi="Times New Roman" w:eastAsia="宋体" w:cs="Times New Roman"/>
                <w:sz w:val="21"/>
                <w:szCs w:val="24"/>
              </w:rPr>
              <w:t>139.7</w:t>
            </w:r>
          </w:p>
        </w:tc>
        <w:tc>
          <w:tcPr>
            <w:tcW w:w="843"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sz w:val="21"/>
                <w:szCs w:val="24"/>
              </w:rPr>
            </w:pPr>
            <w:r>
              <w:rPr>
                <w:rFonts w:ascii="Times New Roman" w:hAnsi="Times New Roman" w:eastAsia="宋体" w:cs="Times New Roman"/>
                <w:sz w:val="21"/>
                <w:szCs w:val="24"/>
              </w:rPr>
              <w:t>3264</w:t>
            </w:r>
          </w:p>
        </w:tc>
        <w:tc>
          <w:tcPr>
            <w:tcW w:w="1455" w:type="pct"/>
            <w:tcBorders>
              <w:tl2br w:val="nil"/>
              <w:tr2bl w:val="nil"/>
            </w:tcBorders>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sz w:val="21"/>
                <w:szCs w:val="24"/>
              </w:rPr>
            </w:pPr>
            <w:r>
              <w:rPr>
                <w:rFonts w:hint="eastAsia" w:ascii="Times New Roman" w:hAnsi="Times New Roman" w:eastAsia="宋体" w:cs="Times New Roman"/>
                <w:sz w:val="21"/>
                <w:szCs w:val="24"/>
              </w:rPr>
              <w:t>0～3267.3</w:t>
            </w:r>
          </w:p>
        </w:tc>
      </w:tr>
    </w:tbl>
    <w:p>
      <w:pPr>
        <w:keepNext w:val="0"/>
        <w:keepLines w:val="0"/>
        <w:pageBreakBefore w:val="0"/>
        <w:widowControl w:val="0"/>
        <w:kinsoku/>
        <w:wordWrap/>
        <w:overflowPunct/>
        <w:topLinePunct w:val="0"/>
        <w:autoSpaceDE/>
        <w:autoSpaceDN/>
        <w:bidi w:val="0"/>
        <w:adjustRightInd/>
        <w:snapToGrid w:val="0"/>
        <w:spacing w:before="313" w:beforeLines="100" w:line="360" w:lineRule="auto"/>
        <w:ind w:firstLine="0" w:firstLineChars="0"/>
        <w:jc w:val="center"/>
        <w:textAlignment w:val="auto"/>
        <w:rPr>
          <w:rFonts w:ascii="Times New Roman" w:hAnsi="Times New Roman" w:eastAsia="宋体" w:cs="Times New Roman"/>
          <w:sz w:val="21"/>
          <w:szCs w:val="24"/>
        </w:rPr>
      </w:pPr>
      <w:r>
        <w:rPr>
          <w:rFonts w:hint="eastAsia" w:ascii="Times New Roman" w:hAnsi="Times New Roman" w:eastAsia="宋体" w:cs="Times New Roman"/>
          <w:sz w:val="21"/>
          <w:szCs w:val="24"/>
        </w:rPr>
        <w:drawing>
          <wp:inline distT="0" distB="0" distL="114300" distR="114300">
            <wp:extent cx="4875530" cy="5321300"/>
            <wp:effectExtent l="0" t="0" r="1270" b="12700"/>
            <wp:docPr id="148" name="图片 140" descr="temp_jsj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0" descr="temp_jsjg"/>
                    <pic:cNvPicPr>
                      <a:picLocks noChangeAspect="1"/>
                    </pic:cNvPicPr>
                  </pic:nvPicPr>
                  <pic:blipFill>
                    <a:blip r:embed="rId33"/>
                    <a:srcRect r="21129"/>
                    <a:stretch>
                      <a:fillRect/>
                    </a:stretch>
                  </pic:blipFill>
                  <pic:spPr>
                    <a:xfrm>
                      <a:off x="0" y="0"/>
                      <a:ext cx="4875530" cy="5321300"/>
                    </a:xfrm>
                    <a:prstGeom prst="rect">
                      <a:avLst/>
                    </a:prstGeom>
                    <a:noFill/>
                    <a:ln>
                      <a:noFill/>
                    </a:ln>
                  </pic:spPr>
                </pic:pic>
              </a:graphicData>
            </a:graphic>
          </wp:inline>
        </w:drawing>
      </w:r>
    </w:p>
    <w:p>
      <w:pPr>
        <w:adjustRightInd/>
        <w:snapToGrid w:val="0"/>
        <w:spacing w:line="360" w:lineRule="auto"/>
        <w:ind w:firstLine="0" w:firstLineChars="0"/>
        <w:jc w:val="center"/>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图</w:t>
      </w:r>
      <w:r>
        <w:rPr>
          <w:rFonts w:hint="eastAsia" w:ascii="Times New Roman" w:hAnsi="Times New Roman" w:eastAsia="宋体" w:cs="Times New Roman"/>
          <w:b/>
          <w:bCs/>
          <w:sz w:val="24"/>
          <w:szCs w:val="24"/>
          <w:lang w:val="en-US" w:eastAsia="zh-CN"/>
        </w:rPr>
        <w:t>5</w:t>
      </w:r>
      <w:r>
        <w:rPr>
          <w:rFonts w:hint="eastAsia" w:ascii="Times New Roman" w:hAnsi="Times New Roman" w:eastAsia="宋体" w:cs="Times New Roman"/>
          <w:b/>
          <w:bCs/>
          <w:sz w:val="24"/>
          <w:szCs w:val="24"/>
        </w:rPr>
        <w:t>-</w:t>
      </w:r>
      <w:r>
        <w:rPr>
          <w:rFonts w:hint="eastAsia" w:cs="Times New Roman"/>
          <w:b/>
          <w:bCs/>
          <w:sz w:val="24"/>
          <w:szCs w:val="24"/>
          <w:lang w:val="en-US" w:eastAsia="zh-CN"/>
        </w:rPr>
        <w:t>5</w:t>
      </w:r>
      <w:r>
        <w:rPr>
          <w:rFonts w:hint="eastAsia" w:ascii="Times New Roman" w:hAnsi="Times New Roman" w:eastAsia="宋体" w:cs="Times New Roman"/>
          <w:b/>
          <w:bCs/>
          <w:sz w:val="24"/>
          <w:szCs w:val="24"/>
        </w:rPr>
        <w:t xml:space="preserve">  井身结构图</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jc w:val="both"/>
        <w:textAlignment w:val="auto"/>
        <w:rPr>
          <w:rFonts w:hint="eastAsia" w:ascii="Times New Roman" w:hAnsi="Times New Roman" w:eastAsia="宋体" w:cs="Times New Roman"/>
          <w:kern w:val="0"/>
          <w:sz w:val="28"/>
          <w:szCs w:val="28"/>
          <w:lang w:val="en-US" w:eastAsia="zh-CN" w:bidi="ar-SA"/>
        </w:rPr>
      </w:pPr>
      <w:r>
        <w:rPr>
          <w:rFonts w:hint="eastAsia" w:cs="Times New Roman"/>
          <w:kern w:val="0"/>
          <w:sz w:val="28"/>
          <w:szCs w:val="28"/>
          <w:lang w:val="en-US" w:eastAsia="zh-CN" w:bidi="ar-SA"/>
        </w:rPr>
        <w:t>3）</w:t>
      </w:r>
      <w:r>
        <w:rPr>
          <w:rFonts w:hint="eastAsia" w:ascii="Times New Roman" w:hAnsi="Times New Roman" w:eastAsia="宋体" w:cs="Times New Roman"/>
          <w:kern w:val="0"/>
          <w:sz w:val="28"/>
          <w:szCs w:val="28"/>
          <w:lang w:val="en-US" w:eastAsia="zh-CN" w:bidi="ar-SA"/>
        </w:rPr>
        <w:t>井控设备配套及试压要求</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default" w:ascii="Times New Roman" w:hAnsi="Times New Roman" w:eastAsia="宋体" w:cs="Times New Roman"/>
          <w:kern w:val="0"/>
          <w:sz w:val="28"/>
          <w:szCs w:val="28"/>
          <w:lang w:val="en-US" w:eastAsia="zh-CN" w:bidi="ar-SA"/>
        </w:rPr>
      </w:pPr>
      <w:r>
        <w:rPr>
          <w:rFonts w:hint="eastAsia" w:ascii="Times New Roman" w:hAnsi="Times New Roman" w:eastAsia="宋体" w:cs="Times New Roman"/>
          <w:kern w:val="0"/>
          <w:sz w:val="28"/>
          <w:szCs w:val="28"/>
          <w:lang w:val="en-US" w:eastAsia="zh-CN" w:bidi="ar-SA"/>
        </w:rPr>
        <w:t>各开次开钻井口装置试压要求详见下表：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表</w:t>
      </w:r>
      <w:r>
        <w:rPr>
          <w:rFonts w:hint="default" w:ascii="Times New Roman" w:hAnsi="Times New Roman" w:eastAsia="宋体" w:cs="Times New Roman"/>
          <w:b/>
          <w:bCs/>
          <w:kern w:val="2"/>
          <w:sz w:val="24"/>
          <w:szCs w:val="24"/>
          <w:lang w:val="en-US" w:eastAsia="zh-CN" w:bidi="ar-SA"/>
        </w:rPr>
        <w:t>5-6</w:t>
      </w:r>
      <w:r>
        <w:rPr>
          <w:rFonts w:hint="eastAsia" w:ascii="宋体" w:hAnsi="宋体" w:eastAsia="宋体" w:cs="宋体"/>
          <w:b/>
          <w:bCs/>
          <w:kern w:val="2"/>
          <w:sz w:val="24"/>
          <w:szCs w:val="24"/>
          <w:lang w:val="en-US" w:eastAsia="zh-CN" w:bidi="ar-SA"/>
        </w:rPr>
        <w:t xml:space="preserve">  各开次开钻井口装置试压要求</w:t>
      </w:r>
    </w:p>
    <w:tbl>
      <w:tblPr>
        <w:tblStyle w:val="45"/>
        <w:tblW w:w="530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860"/>
        <w:gridCol w:w="1616"/>
        <w:gridCol w:w="1798"/>
        <w:gridCol w:w="1129"/>
        <w:gridCol w:w="1163"/>
        <w:gridCol w:w="1268"/>
        <w:gridCol w:w="10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jc w:val="center"/>
        </w:trPr>
        <w:tc>
          <w:tcPr>
            <w:tcW w:w="48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开钻次序</w:t>
            </w:r>
          </w:p>
        </w:tc>
        <w:tc>
          <w:tcPr>
            <w:tcW w:w="905"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名称</w:t>
            </w:r>
          </w:p>
        </w:tc>
        <w:tc>
          <w:tcPr>
            <w:tcW w:w="1007"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型号</w:t>
            </w:r>
          </w:p>
        </w:tc>
        <w:tc>
          <w:tcPr>
            <w:tcW w:w="2604" w:type="pct"/>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试压要求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jc w:val="center"/>
        </w:trPr>
        <w:tc>
          <w:tcPr>
            <w:tcW w:w="482"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eastAsia="宋体" w:cs="宋体"/>
                <w:b/>
                <w:bCs/>
                <w:sz w:val="21"/>
                <w:szCs w:val="20"/>
              </w:rPr>
            </w:pPr>
          </w:p>
        </w:tc>
        <w:tc>
          <w:tcPr>
            <w:tcW w:w="905"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eastAsia="宋体" w:cs="宋体"/>
                <w:b/>
                <w:bCs/>
                <w:sz w:val="21"/>
                <w:szCs w:val="20"/>
              </w:rPr>
            </w:pPr>
          </w:p>
        </w:tc>
        <w:tc>
          <w:tcPr>
            <w:tcW w:w="1007"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eastAsia="宋体" w:cs="宋体"/>
                <w:b/>
                <w:bCs/>
                <w:sz w:val="21"/>
                <w:szCs w:val="20"/>
              </w:rPr>
            </w:pPr>
          </w:p>
        </w:tc>
        <w:tc>
          <w:tcPr>
            <w:tcW w:w="6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介质</w:t>
            </w:r>
          </w:p>
        </w:tc>
        <w:tc>
          <w:tcPr>
            <w:tcW w:w="6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压力</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w:t>
            </w:r>
            <w:r>
              <w:rPr>
                <w:rFonts w:ascii="Times New Roman" w:hAnsi="Times New Roman" w:eastAsia="宋体" w:cs="宋体"/>
                <w:b/>
                <w:bCs/>
                <w:kern w:val="2"/>
                <w:sz w:val="21"/>
                <w:szCs w:val="20"/>
                <w:lang w:val="en-US" w:eastAsia="zh-CN" w:bidi="ar-SA"/>
              </w:rPr>
              <w:t>MPa</w:t>
            </w:r>
            <w:r>
              <w:rPr>
                <w:rFonts w:hint="eastAsia" w:ascii="Times New Roman" w:hAnsi="Times New Roman" w:eastAsia="宋体" w:cs="宋体"/>
                <w:b/>
                <w:bCs/>
                <w:kern w:val="2"/>
                <w:sz w:val="21"/>
                <w:szCs w:val="20"/>
                <w:lang w:val="en-US" w:eastAsia="zh-CN" w:bidi="ar-SA"/>
              </w:rPr>
              <w:t>）</w:t>
            </w:r>
          </w:p>
        </w:tc>
        <w:tc>
          <w:tcPr>
            <w:tcW w:w="71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时间</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w:t>
            </w:r>
            <w:r>
              <w:rPr>
                <w:rFonts w:ascii="Times New Roman" w:hAnsi="Times New Roman" w:eastAsia="宋体" w:cs="宋体"/>
                <w:b/>
                <w:bCs/>
                <w:kern w:val="2"/>
                <w:sz w:val="21"/>
                <w:szCs w:val="20"/>
                <w:lang w:val="en-US" w:eastAsia="zh-CN" w:bidi="ar-SA"/>
              </w:rPr>
              <w:t>min</w:t>
            </w:r>
            <w:r>
              <w:rPr>
                <w:rFonts w:hint="eastAsia" w:ascii="Times New Roman" w:hAnsi="Times New Roman" w:eastAsia="宋体" w:cs="宋体"/>
                <w:b/>
                <w:bCs/>
                <w:kern w:val="2"/>
                <w:sz w:val="21"/>
                <w:szCs w:val="20"/>
                <w:lang w:val="en-US" w:eastAsia="zh-CN" w:bidi="ar-SA"/>
              </w:rPr>
              <w:t>）</w:t>
            </w:r>
          </w:p>
        </w:tc>
        <w:tc>
          <w:tcPr>
            <w:tcW w:w="61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b/>
                <w:bCs/>
                <w:kern w:val="2"/>
                <w:sz w:val="21"/>
                <w:szCs w:val="20"/>
                <w:lang w:val="en-US" w:eastAsia="zh-CN" w:bidi="ar-SA"/>
              </w:rPr>
            </w:pPr>
            <w:r>
              <w:rPr>
                <w:rFonts w:hint="eastAsia" w:ascii="Times New Roman" w:hAnsi="Times New Roman" w:eastAsia="宋体" w:cs="宋体"/>
                <w:b/>
                <w:bCs/>
                <w:kern w:val="2"/>
                <w:sz w:val="21"/>
                <w:szCs w:val="20"/>
                <w:lang w:val="en-US" w:eastAsia="zh-CN" w:bidi="ar-SA"/>
              </w:rPr>
              <w:t>允许压降（</w:t>
            </w:r>
            <w:r>
              <w:rPr>
                <w:rFonts w:ascii="Times New Roman" w:hAnsi="Times New Roman" w:eastAsia="宋体" w:cs="宋体"/>
                <w:b/>
                <w:bCs/>
                <w:kern w:val="2"/>
                <w:sz w:val="21"/>
                <w:szCs w:val="20"/>
                <w:lang w:val="en-US" w:eastAsia="zh-CN" w:bidi="ar-SA"/>
              </w:rPr>
              <w:t>MPa</w:t>
            </w:r>
            <w:r>
              <w:rPr>
                <w:rFonts w:hint="eastAsia" w:ascii="Times New Roman" w:hAnsi="Times New Roman" w:eastAsia="宋体" w:cs="宋体"/>
                <w:b/>
                <w:bCs/>
                <w:kern w:val="2"/>
                <w:sz w:val="21"/>
                <w:szCs w:val="20"/>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jc w:val="center"/>
        </w:trPr>
        <w:tc>
          <w:tcPr>
            <w:tcW w:w="48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二开</w:t>
            </w:r>
          </w:p>
        </w:tc>
        <w:tc>
          <w:tcPr>
            <w:tcW w:w="90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双闸板</w:t>
            </w:r>
            <w:r>
              <w:rPr>
                <w:rFonts w:hint="eastAsia" w:ascii="Times New Roman" w:hAnsi="Times New Roman" w:eastAsia="宋体" w:cs="Times New Roman"/>
                <w:kern w:val="2"/>
                <w:sz w:val="21"/>
                <w:szCs w:val="20"/>
                <w:lang w:val="en-US" w:eastAsia="zh-CN" w:bidi="ar-SA"/>
              </w:rPr>
              <w:t>（套管头）</w:t>
            </w:r>
          </w:p>
        </w:tc>
        <w:tc>
          <w:tcPr>
            <w:tcW w:w="10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ascii="Times New Roman" w:hAnsi="Times New Roman" w:eastAsia="宋体" w:cs="宋体"/>
                <w:kern w:val="2"/>
                <w:sz w:val="21"/>
                <w:szCs w:val="20"/>
                <w:lang w:val="en-US" w:eastAsia="zh-CN" w:bidi="ar-SA"/>
              </w:rPr>
              <w:t>2FZ28-35</w:t>
            </w:r>
          </w:p>
        </w:tc>
        <w:tc>
          <w:tcPr>
            <w:tcW w:w="6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清水</w:t>
            </w:r>
          </w:p>
        </w:tc>
        <w:tc>
          <w:tcPr>
            <w:tcW w:w="6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ascii="Times New Roman" w:hAnsi="Times New Roman" w:eastAsia="宋体" w:cs="宋体"/>
                <w:kern w:val="2"/>
                <w:sz w:val="21"/>
                <w:szCs w:val="20"/>
                <w:lang w:val="en-US" w:eastAsia="zh-CN" w:bidi="ar-SA"/>
              </w:rPr>
              <w:t>14</w:t>
            </w:r>
          </w:p>
        </w:tc>
        <w:tc>
          <w:tcPr>
            <w:tcW w:w="71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ascii="Times New Roman" w:hAnsi="Times New Roman" w:eastAsia="宋体" w:cs="宋体"/>
                <w:kern w:val="2"/>
                <w:sz w:val="21"/>
                <w:szCs w:val="20"/>
                <w:lang w:val="en-US" w:eastAsia="zh-CN" w:bidi="ar-SA"/>
              </w:rPr>
              <w:t>≥15</w:t>
            </w:r>
          </w:p>
        </w:tc>
        <w:tc>
          <w:tcPr>
            <w:tcW w:w="61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ascii="Times New Roman" w:hAnsi="Times New Roman" w:eastAsia="宋体" w:cs="宋体"/>
                <w:kern w:val="2"/>
                <w:sz w:val="21"/>
                <w:szCs w:val="20"/>
                <w:lang w:val="en-US" w:eastAsia="zh-CN" w:bidi="ar-SA"/>
              </w:rPr>
              <w:t>≤0.7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jc w:val="center"/>
        </w:trPr>
        <w:tc>
          <w:tcPr>
            <w:tcW w:w="482"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eastAsia="宋体" w:cs="宋体"/>
                <w:sz w:val="21"/>
                <w:szCs w:val="20"/>
              </w:rPr>
            </w:pPr>
          </w:p>
        </w:tc>
        <w:tc>
          <w:tcPr>
            <w:tcW w:w="90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节流压井管汇</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（内防喷管线）</w:t>
            </w:r>
          </w:p>
        </w:tc>
        <w:tc>
          <w:tcPr>
            <w:tcW w:w="10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ascii="Times New Roman" w:hAnsi="Times New Roman" w:eastAsia="宋体" w:cs="宋体"/>
                <w:kern w:val="2"/>
                <w:sz w:val="21"/>
                <w:szCs w:val="20"/>
                <w:lang w:val="en-US" w:eastAsia="zh-CN" w:bidi="ar-SA"/>
              </w:rPr>
              <w:t>JG-Y-35/YG-35</w:t>
            </w:r>
          </w:p>
        </w:tc>
        <w:tc>
          <w:tcPr>
            <w:tcW w:w="63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清水</w:t>
            </w:r>
          </w:p>
        </w:tc>
        <w:tc>
          <w:tcPr>
            <w:tcW w:w="65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ascii="Times New Roman" w:hAnsi="Times New Roman" w:eastAsia="宋体" w:cs="宋体"/>
                <w:kern w:val="2"/>
                <w:sz w:val="21"/>
                <w:szCs w:val="20"/>
                <w:lang w:val="en-US" w:eastAsia="zh-CN" w:bidi="ar-SA"/>
              </w:rPr>
              <w:t>14</w:t>
            </w:r>
          </w:p>
        </w:tc>
        <w:tc>
          <w:tcPr>
            <w:tcW w:w="71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ascii="Times New Roman" w:hAnsi="Times New Roman" w:eastAsia="宋体" w:cs="宋体"/>
                <w:kern w:val="2"/>
                <w:sz w:val="21"/>
                <w:szCs w:val="20"/>
                <w:lang w:val="en-US" w:eastAsia="zh-CN" w:bidi="ar-SA"/>
              </w:rPr>
              <w:t>≥15</w:t>
            </w:r>
          </w:p>
        </w:tc>
        <w:tc>
          <w:tcPr>
            <w:tcW w:w="61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ascii="Times New Roman" w:hAnsi="Times New Roman" w:eastAsia="宋体" w:cs="宋体"/>
                <w:kern w:val="2"/>
                <w:sz w:val="21"/>
                <w:szCs w:val="20"/>
                <w:lang w:val="en-US" w:eastAsia="zh-CN" w:bidi="ar-SA"/>
              </w:rPr>
              <w:t>≤0.7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jc w:val="center"/>
        </w:trPr>
        <w:tc>
          <w:tcPr>
            <w:tcW w:w="48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备注</w:t>
            </w:r>
          </w:p>
        </w:tc>
        <w:tc>
          <w:tcPr>
            <w:tcW w:w="4517" w:type="pct"/>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①各开要进行低压试压，试压值</w:t>
            </w:r>
            <w:r>
              <w:rPr>
                <w:rFonts w:ascii="Times New Roman" w:hAnsi="Times New Roman" w:eastAsia="宋体" w:cs="宋体"/>
                <w:kern w:val="2"/>
                <w:sz w:val="21"/>
                <w:szCs w:val="20"/>
                <w:lang w:val="en-US" w:eastAsia="zh-CN" w:bidi="ar-SA"/>
              </w:rPr>
              <w:t>1.4MPa~2.1MPa</w:t>
            </w:r>
            <w:r>
              <w:rPr>
                <w:rFonts w:hint="eastAsia" w:ascii="Times New Roman" w:hAnsi="Times New Roman" w:eastAsia="宋体" w:cs="宋体"/>
                <w:kern w:val="2"/>
                <w:sz w:val="21"/>
                <w:szCs w:val="20"/>
                <w:lang w:val="en-US" w:eastAsia="zh-CN" w:bidi="ar-SA"/>
              </w:rPr>
              <w:t>，稳压时间不少于</w:t>
            </w:r>
            <w:r>
              <w:rPr>
                <w:rFonts w:ascii="Times New Roman" w:hAnsi="Times New Roman" w:eastAsia="宋体" w:cs="宋体"/>
                <w:kern w:val="2"/>
                <w:sz w:val="21"/>
                <w:szCs w:val="20"/>
                <w:lang w:val="en-US" w:eastAsia="zh-CN" w:bidi="ar-SA"/>
              </w:rPr>
              <w:t>10min</w:t>
            </w:r>
            <w:r>
              <w:rPr>
                <w:rFonts w:hint="eastAsia" w:ascii="Times New Roman" w:hAnsi="Times New Roman" w:eastAsia="宋体" w:cs="宋体"/>
                <w:kern w:val="2"/>
                <w:sz w:val="21"/>
                <w:szCs w:val="20"/>
                <w:lang w:val="en-US" w:eastAsia="zh-CN" w:bidi="ar-SA"/>
              </w:rPr>
              <w:t>，压降不大于</w:t>
            </w:r>
            <w:r>
              <w:rPr>
                <w:rFonts w:ascii="Times New Roman" w:hAnsi="Times New Roman" w:eastAsia="宋体" w:cs="宋体"/>
                <w:kern w:val="2"/>
                <w:sz w:val="21"/>
                <w:szCs w:val="20"/>
                <w:lang w:val="en-US" w:eastAsia="zh-CN" w:bidi="ar-SA"/>
              </w:rPr>
              <w:t>0.07 MPa</w:t>
            </w:r>
            <w:r>
              <w:rPr>
                <w:rFonts w:hint="eastAsia" w:ascii="Times New Roman" w:hAnsi="Times New Roman" w:eastAsia="宋体" w:cs="宋体"/>
                <w:kern w:val="2"/>
                <w:sz w:val="21"/>
                <w:szCs w:val="20"/>
                <w:lang w:val="en-US" w:eastAsia="zh-CN" w:bidi="ar-SA"/>
              </w:rPr>
              <w:t>，密封部位不允许有渗漏。放喷管线试压值不低于</w:t>
            </w:r>
            <w:r>
              <w:rPr>
                <w:rFonts w:ascii="Times New Roman" w:hAnsi="Times New Roman" w:eastAsia="宋体" w:cs="宋体"/>
                <w:kern w:val="2"/>
                <w:sz w:val="21"/>
                <w:szCs w:val="20"/>
                <w:lang w:val="en-US" w:eastAsia="zh-CN" w:bidi="ar-SA"/>
              </w:rPr>
              <w:t>10MPa</w:t>
            </w:r>
            <w:r>
              <w:rPr>
                <w:rFonts w:hint="eastAsia" w:ascii="Times New Roman" w:hAnsi="Times New Roman" w:eastAsia="宋体" w:cs="宋体"/>
                <w:kern w:val="2"/>
                <w:sz w:val="21"/>
                <w:szCs w:val="20"/>
                <w:lang w:val="en-US" w:eastAsia="zh-CN" w:bidi="ar-SA"/>
              </w:rPr>
              <w:t>，稳压不少于</w:t>
            </w:r>
            <w:r>
              <w:rPr>
                <w:rFonts w:ascii="Times New Roman" w:hAnsi="Times New Roman" w:eastAsia="宋体" w:cs="宋体"/>
                <w:kern w:val="2"/>
                <w:sz w:val="21"/>
                <w:szCs w:val="20"/>
                <w:lang w:val="en-US" w:eastAsia="zh-CN" w:bidi="ar-SA"/>
              </w:rPr>
              <w:t>15min</w:t>
            </w:r>
            <w:r>
              <w:rPr>
                <w:rFonts w:hint="eastAsia" w:ascii="Times New Roman" w:hAnsi="Times New Roman" w:eastAsia="宋体" w:cs="宋体"/>
                <w:kern w:val="2"/>
                <w:sz w:val="21"/>
                <w:szCs w:val="20"/>
                <w:lang w:val="en-US" w:eastAsia="zh-CN" w:bidi="ar-SA"/>
              </w:rPr>
              <w:t>，压降不大于</w:t>
            </w:r>
            <w:r>
              <w:rPr>
                <w:rFonts w:ascii="Times New Roman" w:hAnsi="Times New Roman" w:eastAsia="宋体" w:cs="宋体"/>
                <w:kern w:val="2"/>
                <w:sz w:val="21"/>
                <w:szCs w:val="20"/>
                <w:lang w:val="en-US" w:eastAsia="zh-CN" w:bidi="ar-SA"/>
              </w:rPr>
              <w:t>0.7 MPa</w:t>
            </w:r>
            <w:r>
              <w:rPr>
                <w:rFonts w:hint="eastAsia" w:ascii="Times New Roman" w:hAnsi="Times New Roman" w:eastAsia="宋体" w:cs="宋体"/>
                <w:kern w:val="2"/>
                <w:sz w:val="21"/>
                <w:szCs w:val="20"/>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宋体"/>
                <w:kern w:val="2"/>
                <w:sz w:val="21"/>
                <w:szCs w:val="20"/>
                <w:lang w:val="en-US" w:eastAsia="zh-CN" w:bidi="ar-SA"/>
              </w:rPr>
              <w:t>②防喷器也可选用</w:t>
            </w:r>
            <w:r>
              <w:rPr>
                <w:rFonts w:ascii="Times New Roman" w:hAnsi="Times New Roman" w:eastAsia="宋体" w:cs="宋体"/>
                <w:kern w:val="2"/>
                <w:sz w:val="21"/>
                <w:szCs w:val="20"/>
                <w:lang w:val="en-US" w:eastAsia="zh-CN" w:bidi="ar-SA"/>
              </w:rPr>
              <w:t>2FZ35-35</w:t>
            </w:r>
            <w:r>
              <w:rPr>
                <w:rFonts w:hint="eastAsia" w:ascii="Times New Roman" w:hAnsi="Times New Roman" w:eastAsia="宋体" w:cs="宋体"/>
                <w:kern w:val="2"/>
                <w:sz w:val="21"/>
                <w:szCs w:val="20"/>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ascii="Times New Roman" w:hAnsi="Times New Roman" w:eastAsia="宋体" w:cs="宋体"/>
                <w:kern w:val="2"/>
                <w:sz w:val="21"/>
                <w:szCs w:val="20"/>
                <w:lang w:val="en-US" w:eastAsia="zh-CN" w:bidi="ar-SA"/>
              </w:rPr>
            </w:pPr>
            <w:r>
              <w:rPr>
                <w:rFonts w:hint="eastAsia" w:ascii="Times New Roman" w:hAnsi="Times New Roman" w:eastAsia="宋体" w:cs="Times New Roman"/>
                <w:kern w:val="2"/>
                <w:sz w:val="21"/>
                <w:szCs w:val="20"/>
                <w:lang w:val="en-US" w:eastAsia="zh-CN" w:bidi="ar-SA"/>
              </w:rPr>
              <w:t>③半封闸板也可采用</w:t>
            </w:r>
            <w:r>
              <w:rPr>
                <w:rFonts w:ascii="Times New Roman" w:hAnsi="Times New Roman" w:eastAsia="宋体" w:cs="Times New Roman"/>
                <w:kern w:val="2"/>
                <w:sz w:val="21"/>
                <w:szCs w:val="20"/>
                <w:lang w:val="en-US" w:eastAsia="zh-CN" w:bidi="ar-SA"/>
              </w:rPr>
              <w:t>5</w:t>
            </w:r>
            <w:r>
              <w:rPr>
                <w:rFonts w:hint="eastAsia" w:ascii="宋体" w:hAnsi="宋体" w:eastAsia="宋体" w:cs="Times New Roman"/>
                <w:kern w:val="2"/>
                <w:sz w:val="21"/>
                <w:szCs w:val="20"/>
                <w:lang w:val="en-US" w:eastAsia="zh-CN" w:bidi="ar-SA"/>
              </w:rPr>
              <w:t>"-</w:t>
            </w:r>
            <w:r>
              <w:rPr>
                <w:rFonts w:ascii="Times New Roman" w:hAnsi="Times New Roman" w:eastAsia="宋体" w:cs="Times New Roman"/>
                <w:kern w:val="2"/>
                <w:sz w:val="21"/>
                <w:szCs w:val="20"/>
                <w:lang w:val="en-US" w:eastAsia="zh-CN" w:bidi="ar-SA"/>
              </w:rPr>
              <w:t>5 1/2</w:t>
            </w:r>
            <w:r>
              <w:rPr>
                <w:rFonts w:hint="eastAsia" w:ascii="宋体" w:hAnsi="宋体" w:eastAsia="宋体" w:cs="Times New Roman"/>
                <w:kern w:val="2"/>
                <w:sz w:val="21"/>
                <w:szCs w:val="20"/>
                <w:lang w:val="en-US" w:eastAsia="zh-CN" w:bidi="ar-SA"/>
              </w:rPr>
              <w:t>"变径闸板。</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0" w:firstLineChars="0"/>
        <w:jc w:val="center"/>
        <w:textAlignment w:val="auto"/>
        <w:rPr>
          <w:rFonts w:hint="default" w:ascii="Times New Roman" w:hAnsi="Times New Roman" w:eastAsia="宋体" w:cs="Times New Roman"/>
          <w:b/>
          <w:bCs/>
          <w:kern w:val="0"/>
          <w:szCs w:val="28"/>
          <w:lang w:val="en-US" w:eastAsia="zh-CN"/>
        </w:rPr>
      </w:pPr>
      <w:r>
        <w:rPr>
          <w:rFonts w:hint="eastAsia" w:ascii="Times New Roman" w:hAnsi="Times New Roman" w:eastAsia="宋体" w:cs="宋体"/>
          <w:kern w:val="2"/>
          <w:sz w:val="21"/>
          <w:szCs w:val="20"/>
          <w:lang w:val="en-US" w:eastAsia="zh-CN" w:bidi="ar-SA"/>
        </w:rPr>
        <w:drawing>
          <wp:anchor distT="0" distB="0" distL="114300" distR="114300" simplePos="0" relativeHeight="251665408" behindDoc="0" locked="0" layoutInCell="1" allowOverlap="1">
            <wp:simplePos x="0" y="0"/>
            <wp:positionH relativeFrom="column">
              <wp:posOffset>111125</wp:posOffset>
            </wp:positionH>
            <wp:positionV relativeFrom="paragraph">
              <wp:posOffset>66675</wp:posOffset>
            </wp:positionV>
            <wp:extent cx="5075555" cy="2991485"/>
            <wp:effectExtent l="0" t="0" r="10795" b="18415"/>
            <wp:wrapSquare wrapText="bothSides"/>
            <wp:docPr id="76" name="图片 76" descr="6203e2f1069e94fc4642c12ad6f2d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6203e2f1069e94fc4642c12ad6f2d6a"/>
                    <pic:cNvPicPr>
                      <a:picLocks noChangeAspect="1"/>
                    </pic:cNvPicPr>
                  </pic:nvPicPr>
                  <pic:blipFill>
                    <a:blip r:embed="rId34"/>
                    <a:stretch>
                      <a:fillRect/>
                    </a:stretch>
                  </pic:blipFill>
                  <pic:spPr>
                    <a:xfrm>
                      <a:off x="0" y="0"/>
                      <a:ext cx="5075555" cy="2991485"/>
                    </a:xfrm>
                    <a:prstGeom prst="rect">
                      <a:avLst/>
                    </a:prstGeom>
                  </pic:spPr>
                </pic:pic>
              </a:graphicData>
            </a:graphic>
          </wp:anchor>
        </w:drawing>
      </w:r>
      <w:r>
        <w:rPr>
          <w:rFonts w:hint="eastAsia" w:ascii="Times New Roman" w:hAnsi="Times New Roman" w:eastAsia="宋体" w:cs="Times New Roman"/>
          <w:b/>
          <w:bCs/>
          <w:kern w:val="0"/>
          <w:sz w:val="28"/>
          <w:szCs w:val="28"/>
          <w:lang w:val="en-US" w:eastAsia="zh-CN" w:bidi="ar-SA"/>
        </w:rPr>
        <w:drawing>
          <wp:anchor distT="0" distB="0" distL="114300" distR="114300" simplePos="0" relativeHeight="251664384" behindDoc="0" locked="0" layoutInCell="1" allowOverlap="1">
            <wp:simplePos x="0" y="0"/>
            <wp:positionH relativeFrom="column">
              <wp:posOffset>51435</wp:posOffset>
            </wp:positionH>
            <wp:positionV relativeFrom="page">
              <wp:posOffset>4050030</wp:posOffset>
            </wp:positionV>
            <wp:extent cx="5050790" cy="2660015"/>
            <wp:effectExtent l="0" t="0" r="16510" b="6985"/>
            <wp:wrapTopAndBottom/>
            <wp:docPr id="78" name="图片 78" descr="9caf40196eca24512703264e58574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9caf40196eca24512703264e58574a0"/>
                    <pic:cNvPicPr>
                      <a:picLocks noChangeAspect="1"/>
                    </pic:cNvPicPr>
                  </pic:nvPicPr>
                  <pic:blipFill>
                    <a:blip r:embed="rId35"/>
                    <a:stretch>
                      <a:fillRect/>
                    </a:stretch>
                  </pic:blipFill>
                  <pic:spPr>
                    <a:xfrm>
                      <a:off x="0" y="0"/>
                      <a:ext cx="5050790" cy="2660015"/>
                    </a:xfrm>
                    <a:prstGeom prst="rect">
                      <a:avLst/>
                    </a:prstGeom>
                  </pic:spPr>
                </pic:pic>
              </a:graphicData>
            </a:graphic>
          </wp:anchor>
        </w:drawing>
      </w:r>
      <w:r>
        <w:rPr>
          <w:rFonts w:hint="eastAsia" w:ascii="Times New Roman" w:hAnsi="Times New Roman" w:eastAsia="宋体" w:cs="Times New Roman"/>
          <w:b/>
          <w:bCs/>
          <w:kern w:val="0"/>
          <w:sz w:val="28"/>
          <w:szCs w:val="28"/>
          <w:lang w:val="en-US" w:eastAsia="zh-CN" w:bidi="ar-SA"/>
        </w:rPr>
        <w:drawing>
          <wp:anchor distT="0" distB="0" distL="114300" distR="114300" simplePos="0" relativeHeight="251663360" behindDoc="0" locked="0" layoutInCell="1" allowOverlap="1">
            <wp:simplePos x="0" y="0"/>
            <wp:positionH relativeFrom="column">
              <wp:posOffset>-49530</wp:posOffset>
            </wp:positionH>
            <wp:positionV relativeFrom="page">
              <wp:posOffset>6848475</wp:posOffset>
            </wp:positionV>
            <wp:extent cx="5053330" cy="2745740"/>
            <wp:effectExtent l="0" t="0" r="13970" b="16510"/>
            <wp:wrapTopAndBottom/>
            <wp:docPr id="77" name="图片 77" descr="d05d246513c94ffd4f2c2afc932ec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d05d246513c94ffd4f2c2afc932ec8c"/>
                    <pic:cNvPicPr>
                      <a:picLocks noChangeAspect="1"/>
                    </pic:cNvPicPr>
                  </pic:nvPicPr>
                  <pic:blipFill>
                    <a:blip r:embed="rId36"/>
                    <a:stretch>
                      <a:fillRect/>
                    </a:stretch>
                  </pic:blipFill>
                  <pic:spPr>
                    <a:xfrm>
                      <a:off x="0" y="0"/>
                      <a:ext cx="5053330" cy="2745740"/>
                    </a:xfrm>
                    <a:prstGeom prst="rect">
                      <a:avLst/>
                    </a:prstGeom>
                  </pic:spPr>
                </pic:pic>
              </a:graphicData>
            </a:graphic>
          </wp:anchor>
        </w:drawing>
      </w:r>
      <w:r>
        <w:rPr>
          <w:rFonts w:hint="eastAsia" w:ascii="Times New Roman" w:hAnsi="Times New Roman" w:eastAsia="宋体" w:cs="Times New Roman"/>
          <w:b/>
          <w:bCs/>
          <w:sz w:val="24"/>
          <w:szCs w:val="24"/>
          <w:lang w:val="en-US" w:eastAsia="zh-CN"/>
        </w:rPr>
        <w:t>图5-</w:t>
      </w:r>
      <w:r>
        <w:rPr>
          <w:rFonts w:hint="eastAsia" w:ascii="Times New Roman" w:hAnsi="Times New Roman" w:cs="Times New Roman"/>
          <w:b/>
          <w:bCs/>
          <w:sz w:val="24"/>
          <w:szCs w:val="24"/>
          <w:lang w:val="en-US" w:eastAsia="zh-CN"/>
        </w:rPr>
        <w:t>6</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cs="Times New Roman"/>
          <w:b/>
          <w:bCs/>
          <w:sz w:val="24"/>
          <w:szCs w:val="24"/>
          <w:lang w:val="en-US" w:eastAsia="zh-CN"/>
        </w:rPr>
        <w:t>井场及设备设施情况图</w:t>
      </w:r>
    </w:p>
    <w:p>
      <w:pPr>
        <w:keepNext w:val="0"/>
        <w:keepLines w:val="0"/>
        <w:pageBreakBefore w:val="0"/>
        <w:widowControl w:val="0"/>
        <w:kinsoku/>
        <w:wordWrap/>
        <w:overflowPunct/>
        <w:topLinePunct w:val="0"/>
        <w:autoSpaceDE/>
        <w:autoSpaceDN/>
        <w:bidi w:val="0"/>
        <w:adjustRightInd w:val="0"/>
        <w:snapToGrid w:val="0"/>
        <w:spacing w:line="360" w:lineRule="auto"/>
        <w:ind w:firstLine="562" w:firstLineChars="200"/>
        <w:jc w:val="both"/>
        <w:textAlignment w:val="auto"/>
        <w:rPr>
          <w:rFonts w:hint="default" w:ascii="Times New Roman" w:hAnsi="Times New Roman" w:eastAsia="宋体" w:cs="Times New Roman"/>
          <w:b/>
          <w:bCs/>
          <w:kern w:val="0"/>
          <w:sz w:val="28"/>
          <w:szCs w:val="28"/>
          <w:lang w:val="en-US" w:eastAsia="zh-CN" w:bidi="ar-SA"/>
        </w:rPr>
      </w:pPr>
      <w:r>
        <w:rPr>
          <w:rFonts w:hint="eastAsia" w:ascii="Times New Roman" w:hAnsi="Times New Roman" w:eastAsia="宋体" w:cs="Times New Roman"/>
          <w:b/>
          <w:bCs/>
          <w:kern w:val="0"/>
          <w:sz w:val="28"/>
          <w:szCs w:val="28"/>
          <w:lang w:val="en-US" w:eastAsia="zh-CN" w:bidi="ar-SA"/>
        </w:rPr>
        <w:t>2.安全检查表评价</w:t>
      </w:r>
    </w:p>
    <w:p>
      <w:pPr>
        <w:widowControl w:val="0"/>
        <w:adjustRightInd w:val="0"/>
        <w:snapToGrid w:val="0"/>
        <w:spacing w:line="360" w:lineRule="auto"/>
        <w:ind w:firstLine="560" w:firstLineChars="200"/>
        <w:jc w:val="both"/>
        <w:rPr>
          <w:rFonts w:ascii="Times New Roman" w:hAnsi="Times New Roman" w:eastAsia="宋体" w:cs="Times New Roman"/>
          <w:kern w:val="0"/>
          <w:sz w:val="28"/>
          <w:szCs w:val="28"/>
          <w:lang w:val="zh-CN" w:eastAsia="zh-CN" w:bidi="ar-SA"/>
        </w:rPr>
      </w:pPr>
      <w:r>
        <w:rPr>
          <w:rFonts w:ascii="Times New Roman" w:hAnsi="Times New Roman" w:eastAsia="宋体" w:cs="Times New Roman"/>
          <w:kern w:val="0"/>
          <w:sz w:val="28"/>
          <w:szCs w:val="28"/>
          <w:lang w:val="zh-CN" w:eastAsia="zh-CN" w:bidi="ar-SA"/>
        </w:rPr>
        <w:t>根据《</w:t>
      </w:r>
      <w:r>
        <w:rPr>
          <w:rFonts w:hint="eastAsia" w:ascii="Times New Roman" w:hAnsi="Times New Roman" w:eastAsia="宋体" w:cs="Times New Roman"/>
          <w:kern w:val="0"/>
          <w:sz w:val="28"/>
          <w:szCs w:val="28"/>
          <w:lang w:val="zh-CN" w:eastAsia="zh-CN" w:bidi="ar-SA"/>
        </w:rPr>
        <w:t>钻井井场设备作业安全技术规程</w:t>
      </w:r>
      <w:r>
        <w:rPr>
          <w:rFonts w:ascii="Times New Roman" w:hAnsi="Times New Roman" w:eastAsia="宋体" w:cs="Times New Roman"/>
          <w:kern w:val="0"/>
          <w:sz w:val="28"/>
          <w:szCs w:val="28"/>
          <w:lang w:val="zh-CN" w:eastAsia="zh-CN" w:bidi="ar-SA"/>
        </w:rPr>
        <w:t>》（SY/T5974-20</w:t>
      </w:r>
      <w:r>
        <w:rPr>
          <w:rFonts w:hint="eastAsia" w:ascii="Times New Roman" w:hAnsi="Times New Roman" w:eastAsia="宋体" w:cs="Times New Roman"/>
          <w:kern w:val="0"/>
          <w:sz w:val="28"/>
          <w:szCs w:val="28"/>
          <w:lang w:val="zh-CN" w:eastAsia="zh-CN" w:bidi="ar-SA"/>
        </w:rPr>
        <w:t>20</w:t>
      </w:r>
      <w:r>
        <w:rPr>
          <w:rFonts w:ascii="Times New Roman" w:hAnsi="Times New Roman" w:eastAsia="宋体" w:cs="Times New Roman"/>
          <w:kern w:val="0"/>
          <w:sz w:val="28"/>
          <w:szCs w:val="28"/>
          <w:lang w:val="zh-CN" w:eastAsia="zh-CN" w:bidi="ar-SA"/>
        </w:rPr>
        <w:t>）</w:t>
      </w:r>
      <w:r>
        <w:rPr>
          <w:rFonts w:hint="eastAsia" w:ascii="Times New Roman" w:hAnsi="Times New Roman" w:eastAsia="宋体" w:cs="Times New Roman"/>
          <w:kern w:val="0"/>
          <w:sz w:val="28"/>
          <w:szCs w:val="28"/>
          <w:lang w:val="zh-CN" w:eastAsia="zh-CN" w:bidi="ar-SA"/>
        </w:rPr>
        <w:t>、</w:t>
      </w:r>
      <w:r>
        <w:rPr>
          <w:rFonts w:ascii="Times New Roman" w:hAnsi="Times New Roman" w:eastAsia="宋体" w:cs="Times New Roman"/>
          <w:kern w:val="0"/>
          <w:sz w:val="28"/>
          <w:szCs w:val="28"/>
          <w:lang w:val="zh-CN" w:eastAsia="zh-CN" w:bidi="ar-SA"/>
        </w:rPr>
        <w:t>《</w:t>
      </w:r>
      <w:r>
        <w:rPr>
          <w:rFonts w:hint="default" w:ascii="Times New Roman" w:hAnsi="Times New Roman" w:eastAsia="宋体" w:cs="Times New Roman"/>
          <w:kern w:val="0"/>
          <w:sz w:val="28"/>
          <w:szCs w:val="28"/>
          <w:lang w:val="zh-CN" w:eastAsia="zh-CN" w:bidi="ar-SA"/>
        </w:rPr>
        <w:t>石油天然气钻井、开发、储运防火防爆安全生产技术规程</w:t>
      </w:r>
      <w:r>
        <w:rPr>
          <w:rFonts w:ascii="Times New Roman" w:hAnsi="Times New Roman" w:eastAsia="宋体" w:cs="Times New Roman"/>
          <w:kern w:val="0"/>
          <w:sz w:val="28"/>
          <w:szCs w:val="28"/>
          <w:lang w:val="zh-CN" w:eastAsia="zh-CN" w:bidi="ar-SA"/>
        </w:rPr>
        <w:t>》（SY/T5225-2019）等标准</w:t>
      </w:r>
      <w:r>
        <w:rPr>
          <w:rFonts w:hint="eastAsia" w:cs="Times New Roman"/>
          <w:kern w:val="0"/>
          <w:sz w:val="28"/>
          <w:szCs w:val="28"/>
          <w:lang w:val="zh-CN" w:eastAsia="zh-CN" w:bidi="ar-SA"/>
        </w:rPr>
        <w:t>，</w:t>
      </w:r>
      <w:r>
        <w:rPr>
          <w:rFonts w:ascii="Times New Roman" w:hAnsi="Times New Roman" w:eastAsia="宋体" w:cs="Times New Roman"/>
          <w:kern w:val="0"/>
          <w:sz w:val="28"/>
          <w:szCs w:val="28"/>
          <w:lang w:val="zh-CN" w:eastAsia="zh-CN" w:bidi="ar-SA"/>
        </w:rPr>
        <w:t>评价组编制了钻井作业现场安全检查表，对</w:t>
      </w:r>
      <w:r>
        <w:rPr>
          <w:rFonts w:hint="eastAsia" w:ascii="Times New Roman" w:hAnsi="Times New Roman" w:eastAsia="宋体" w:cs="Times New Roman"/>
          <w:kern w:val="0"/>
          <w:sz w:val="28"/>
          <w:szCs w:val="28"/>
          <w:lang w:val="en-US" w:eastAsia="zh-CN" w:bidi="ar-SA"/>
        </w:rPr>
        <w:t>东营大明钻井有限责任公司</w:t>
      </w:r>
      <w:r>
        <w:rPr>
          <w:rFonts w:hint="eastAsia" w:cs="Times New Roman"/>
          <w:kern w:val="0"/>
          <w:sz w:val="28"/>
          <w:szCs w:val="28"/>
          <w:lang w:val="en-US" w:eastAsia="zh-CN" w:bidi="ar-SA"/>
        </w:rPr>
        <w:t>钻井五队</w:t>
      </w:r>
      <w:r>
        <w:rPr>
          <w:rFonts w:hint="eastAsia" w:ascii="Times New Roman" w:hAnsi="Times New Roman" w:eastAsia="宋体" w:cs="Times New Roman"/>
          <w:kern w:val="0"/>
          <w:sz w:val="28"/>
          <w:szCs w:val="28"/>
          <w:lang w:val="zh-CN" w:eastAsia="zh-CN" w:bidi="ar-SA"/>
        </w:rPr>
        <w:t>王589-斜2井</w:t>
      </w:r>
      <w:r>
        <w:rPr>
          <w:rFonts w:ascii="Times New Roman" w:hAnsi="Times New Roman" w:eastAsia="宋体" w:cs="Times New Roman"/>
          <w:kern w:val="0"/>
          <w:sz w:val="28"/>
          <w:szCs w:val="28"/>
          <w:lang w:val="zh-CN" w:eastAsia="zh-CN" w:bidi="ar-SA"/>
        </w:rPr>
        <w:t>作业现场进行了检查，检查情况具体见表5-</w:t>
      </w:r>
      <w:r>
        <w:rPr>
          <w:rFonts w:hint="eastAsia" w:ascii="Times New Roman" w:hAnsi="Times New Roman" w:eastAsia="宋体" w:cs="Times New Roman"/>
          <w:kern w:val="0"/>
          <w:sz w:val="28"/>
          <w:szCs w:val="28"/>
          <w:lang w:val="en-US" w:eastAsia="zh-CN" w:bidi="ar-SA"/>
        </w:rPr>
        <w:t>7</w:t>
      </w:r>
      <w:r>
        <w:rPr>
          <w:rFonts w:ascii="Times New Roman" w:hAnsi="Times New Roman" w:eastAsia="宋体" w:cs="Times New Roman"/>
          <w:kern w:val="0"/>
          <w:sz w:val="28"/>
          <w:szCs w:val="28"/>
          <w:lang w:val="zh-CN" w:eastAsia="zh-CN" w:bidi="ar-SA"/>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b/>
          <w:snapToGrid w:val="0"/>
          <w:color w:val="000000"/>
          <w:kern w:val="0"/>
          <w:sz w:val="24"/>
        </w:rPr>
      </w:pPr>
      <w:r>
        <w:rPr>
          <w:rFonts w:ascii="Times New Roman" w:hAnsi="Times New Roman" w:eastAsia="宋体" w:cs="Times New Roman"/>
          <w:b/>
          <w:snapToGrid w:val="0"/>
          <w:color w:val="000000"/>
          <w:kern w:val="0"/>
          <w:sz w:val="24"/>
        </w:rPr>
        <w:t>表5-</w:t>
      </w:r>
      <w:r>
        <w:rPr>
          <w:rFonts w:hint="eastAsia" w:ascii="Times New Roman" w:hAnsi="Times New Roman" w:eastAsia="宋体" w:cs="Times New Roman"/>
          <w:b/>
          <w:snapToGrid w:val="0"/>
          <w:color w:val="000000"/>
          <w:kern w:val="0"/>
          <w:sz w:val="24"/>
          <w:lang w:val="en-US" w:eastAsia="zh-CN"/>
        </w:rPr>
        <w:t>7</w:t>
      </w:r>
      <w:r>
        <w:rPr>
          <w:rFonts w:ascii="Times New Roman" w:hAnsi="Times New Roman" w:eastAsia="宋体" w:cs="Times New Roman"/>
          <w:b/>
          <w:snapToGrid w:val="0"/>
          <w:color w:val="000000"/>
          <w:kern w:val="0"/>
          <w:sz w:val="24"/>
        </w:rPr>
        <w:t xml:space="preserve">  </w:t>
      </w:r>
      <w:r>
        <w:rPr>
          <w:rFonts w:hint="eastAsia" w:ascii="Times New Roman" w:hAnsi="Times New Roman" w:eastAsia="宋体" w:cs="Times New Roman"/>
          <w:b/>
          <w:snapToGrid w:val="0"/>
          <w:color w:val="000000"/>
          <w:kern w:val="0"/>
          <w:sz w:val="24"/>
          <w:lang w:val="zh-CN" w:eastAsia="zh-CN"/>
        </w:rPr>
        <w:t>王589-斜2井</w:t>
      </w:r>
      <w:r>
        <w:rPr>
          <w:rFonts w:ascii="Times New Roman" w:hAnsi="Times New Roman" w:eastAsia="宋体" w:cs="Times New Roman"/>
          <w:b/>
          <w:snapToGrid w:val="0"/>
          <w:color w:val="000000"/>
          <w:kern w:val="0"/>
          <w:sz w:val="24"/>
        </w:rPr>
        <w:t>安全检查表</w:t>
      </w:r>
    </w:p>
    <w:p>
      <w:pPr>
        <w:pStyle w:val="2"/>
        <w:spacing w:before="120" w:beforeLines="50" w:line="360" w:lineRule="auto"/>
        <w:ind w:firstLine="560"/>
        <w:rPr>
          <w:rFonts w:hint="default" w:eastAsia="宋体"/>
          <w:b/>
          <w:bCs/>
          <w:lang w:val="en-US" w:eastAsia="zh-CN"/>
        </w:rPr>
      </w:pPr>
      <w:r>
        <w:rPr>
          <w:rFonts w:hint="eastAsia"/>
          <w:b/>
          <w:bCs/>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ascii="Times New Roman" w:hAnsi="Times New Roman" w:eastAsia="宋体" w:cs="Times New Roman"/>
        </w:rPr>
      </w:pPr>
      <w:r>
        <w:rPr>
          <w:rFonts w:hint="eastAsia" w:ascii="Times New Roman" w:hAnsi="Times New Roman" w:eastAsia="宋体" w:cs="Times New Roman"/>
        </w:rPr>
        <w:t>评价小结：</w:t>
      </w:r>
    </w:p>
    <w:p>
      <w:pPr>
        <w:ind w:firstLine="56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王589-斜2井</w:t>
      </w:r>
      <w:r>
        <w:rPr>
          <w:rFonts w:hint="eastAsia" w:ascii="Times New Roman" w:hAnsi="Times New Roman" w:eastAsia="宋体" w:cs="Times New Roman"/>
        </w:rPr>
        <w:t>安全检查表共设</w:t>
      </w:r>
      <w:r>
        <w:rPr>
          <w:rFonts w:hint="eastAsia" w:cs="Times New Roman"/>
          <w:lang w:val="en-US" w:eastAsia="zh-CN"/>
        </w:rPr>
        <w:t>70</w:t>
      </w:r>
      <w:r>
        <w:rPr>
          <w:rFonts w:hint="eastAsia" w:ascii="Times New Roman" w:hAnsi="Times New Roman" w:eastAsia="宋体" w:cs="Times New Roman"/>
        </w:rPr>
        <w:t>项检查内容，</w:t>
      </w:r>
      <w:r>
        <w:rPr>
          <w:rFonts w:hint="eastAsia" w:cs="Times New Roman"/>
          <w:lang w:val="en-US" w:eastAsia="zh-CN"/>
        </w:rPr>
        <w:t>68</w:t>
      </w:r>
      <w:r>
        <w:rPr>
          <w:rFonts w:hint="eastAsia" w:ascii="Times New Roman" w:hAnsi="Times New Roman" w:eastAsia="宋体" w:cs="Times New Roman"/>
        </w:rPr>
        <w:t>项符合要求，</w:t>
      </w:r>
      <w:r>
        <w:rPr>
          <w:rFonts w:hint="eastAsia" w:ascii="Times New Roman" w:hAnsi="Times New Roman" w:eastAsia="宋体" w:cs="Times New Roman"/>
          <w:lang w:val="en-US" w:eastAsia="zh-CN"/>
        </w:rPr>
        <w:t>2</w:t>
      </w:r>
      <w:r>
        <w:rPr>
          <w:rFonts w:hint="eastAsia" w:ascii="Times New Roman" w:hAnsi="Times New Roman" w:eastAsia="宋体" w:cs="Times New Roman"/>
        </w:rPr>
        <w:t>项不符合：</w:t>
      </w:r>
      <w:r>
        <w:rPr>
          <w:rFonts w:hint="eastAsia" w:ascii="Times New Roman" w:hAnsi="Times New Roman" w:eastAsia="宋体" w:cs="Times New Roman"/>
          <w:lang w:val="en-US" w:eastAsia="zh-CN"/>
        </w:rPr>
        <w:t>1.检测设备设施台账中4台安全阀的检测</w:t>
      </w:r>
      <w:r>
        <w:rPr>
          <w:rFonts w:hint="eastAsia" w:cs="Times New Roman"/>
          <w:lang w:val="en-US" w:eastAsia="zh-CN"/>
        </w:rPr>
        <w:t>已</w:t>
      </w:r>
      <w:r>
        <w:rPr>
          <w:rFonts w:hint="eastAsia" w:ascii="Times New Roman" w:hAnsi="Times New Roman" w:eastAsia="宋体" w:cs="Times New Roman"/>
          <w:lang w:val="en-US" w:eastAsia="zh-CN"/>
        </w:rPr>
        <w:t>超期。2.特种作业人员未建立台账</w:t>
      </w:r>
      <w:r>
        <w:rPr>
          <w:rFonts w:hint="eastAsia" w:cs="Times New Roman"/>
          <w:lang w:val="en-US" w:eastAsia="zh-CN"/>
        </w:rPr>
        <w:t>，无法对特种作业人员持证情况进行管理</w:t>
      </w:r>
      <w:r>
        <w:rPr>
          <w:rFonts w:hint="eastAsia" w:ascii="Times New Roman" w:hAnsi="Times New Roman" w:eastAsia="宋体" w:cs="Times New Roman"/>
          <w:lang w:val="en-US" w:eastAsia="zh-CN"/>
        </w:rPr>
        <w:t>。</w:t>
      </w:r>
    </w:p>
    <w:p>
      <w:pPr>
        <w:keepNext/>
        <w:keepLines/>
        <w:pageBreakBefore w:val="0"/>
        <w:widowControl w:val="0"/>
        <w:kinsoku/>
        <w:wordWrap/>
        <w:overflowPunct/>
        <w:topLinePunct w:val="0"/>
        <w:autoSpaceDE/>
        <w:autoSpaceDN/>
        <w:bidi w:val="0"/>
        <w:adjustRightInd w:val="0"/>
        <w:snapToGrid w:val="0"/>
        <w:spacing w:before="0" w:after="0" w:line="360" w:lineRule="auto"/>
        <w:ind w:firstLine="0" w:firstLineChars="0"/>
        <w:jc w:val="both"/>
        <w:textAlignment w:val="auto"/>
        <w:outlineLvl w:val="1"/>
        <w:rPr>
          <w:rFonts w:hint="default" w:ascii="Times New Roman" w:hAnsi="Times New Roman" w:eastAsia="黑体" w:cs="Times New Roman"/>
          <w:b/>
          <w:color w:val="auto"/>
          <w:kern w:val="2"/>
          <w:sz w:val="28"/>
          <w:szCs w:val="28"/>
          <w:lang w:val="en-US" w:eastAsia="zh-CN" w:bidi="ar-SA"/>
        </w:rPr>
      </w:pPr>
      <w:bookmarkStart w:id="128" w:name="_Toc24592"/>
      <w:bookmarkStart w:id="129" w:name="_Toc5890"/>
      <w:bookmarkStart w:id="130" w:name="_Toc17165"/>
      <w:bookmarkStart w:id="131" w:name="_Toc26207"/>
      <w:r>
        <w:rPr>
          <w:rFonts w:hint="default" w:ascii="Times New Roman" w:hAnsi="Times New Roman" w:eastAsia="黑体" w:cs="Times New Roman"/>
          <w:b w:val="0"/>
          <w:bCs/>
          <w:color w:val="auto"/>
          <w:kern w:val="2"/>
          <w:sz w:val="32"/>
          <w:szCs w:val="32"/>
          <w:lang w:val="en-US" w:eastAsia="zh-CN" w:bidi="ar-SA"/>
        </w:rPr>
        <w:t>5</w:t>
      </w:r>
      <w:r>
        <w:rPr>
          <w:rFonts w:hint="eastAsia" w:ascii="Times New Roman" w:hAnsi="Times New Roman" w:eastAsia="黑体" w:cs="Times New Roman"/>
          <w:b w:val="0"/>
          <w:bCs/>
          <w:color w:val="auto"/>
          <w:kern w:val="2"/>
          <w:sz w:val="32"/>
          <w:szCs w:val="32"/>
          <w:lang w:val="en-US" w:eastAsia="zh-CN" w:bidi="ar-SA"/>
        </w:rPr>
        <w:t>.</w:t>
      </w:r>
      <w:r>
        <w:rPr>
          <w:rFonts w:hint="default" w:ascii="Times New Roman" w:hAnsi="Times New Roman" w:eastAsia="黑体" w:cs="Times New Roman"/>
          <w:b w:val="0"/>
          <w:bCs/>
          <w:color w:val="auto"/>
          <w:kern w:val="2"/>
          <w:sz w:val="32"/>
          <w:szCs w:val="32"/>
          <w:lang w:val="en-US" w:eastAsia="zh-CN" w:bidi="ar-SA"/>
        </w:rPr>
        <w:t xml:space="preserve">3 </w:t>
      </w:r>
      <w:r>
        <w:rPr>
          <w:rFonts w:hint="eastAsia" w:ascii="Times New Roman" w:hAnsi="Times New Roman" w:eastAsia="黑体" w:cs="Times New Roman"/>
          <w:b w:val="0"/>
          <w:bCs/>
          <w:color w:val="auto"/>
          <w:kern w:val="2"/>
          <w:sz w:val="32"/>
          <w:szCs w:val="32"/>
          <w:lang w:val="en-US" w:eastAsia="zh-CN" w:bidi="ar-SA"/>
        </w:rPr>
        <w:t xml:space="preserve"> </w:t>
      </w:r>
      <w:r>
        <w:rPr>
          <w:rFonts w:hint="default" w:ascii="Times New Roman" w:hAnsi="Times New Roman" w:eastAsia="黑体" w:cs="Times New Roman"/>
          <w:b w:val="0"/>
          <w:bCs/>
          <w:color w:val="auto"/>
          <w:kern w:val="2"/>
          <w:sz w:val="32"/>
          <w:szCs w:val="32"/>
          <w:lang w:val="en-US" w:eastAsia="zh-CN" w:bidi="ar-SA"/>
        </w:rPr>
        <w:t>作业条件危险性评价</w:t>
      </w:r>
      <w:bookmarkEnd w:id="128"/>
      <w:bookmarkEnd w:id="129"/>
      <w:bookmarkEnd w:id="130"/>
      <w:bookmarkEnd w:id="131"/>
    </w:p>
    <w:p>
      <w:pPr>
        <w:pStyle w:val="2"/>
        <w:spacing w:before="120" w:beforeLines="50" w:line="360" w:lineRule="auto"/>
        <w:ind w:firstLine="560"/>
        <w:rPr>
          <w:rFonts w:hint="default" w:eastAsia="宋体"/>
          <w:b/>
          <w:bCs/>
          <w:lang w:val="en-US" w:eastAsia="zh-CN"/>
        </w:rPr>
      </w:pPr>
      <w:r>
        <w:rPr>
          <w:rFonts w:hint="eastAsia"/>
          <w:b/>
          <w:bCs/>
          <w:lang w:val="en-US" w:eastAsia="zh-CN"/>
        </w:rPr>
        <w:t>涉及机密，不予公开。</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sz w:val="28"/>
          <w:szCs w:val="28"/>
        </w:rPr>
      </w:pPr>
      <w:r>
        <w:rPr>
          <w:rFonts w:hint="default" w:ascii="Times New Roman" w:hAnsi="Times New Roman" w:cs="Times New Roman"/>
          <w:snapToGrid w:val="0"/>
          <w:color w:val="auto"/>
          <w:kern w:val="0"/>
          <w:sz w:val="28"/>
          <w:szCs w:val="28"/>
          <w:lang w:val="en-US" w:eastAsia="zh-CN"/>
        </w:rPr>
        <w:t>设备设施搬迁、安装</w:t>
      </w:r>
      <w:r>
        <w:rPr>
          <w:rFonts w:hint="eastAsia" w:cs="Times New Roman"/>
          <w:snapToGrid w:val="0"/>
          <w:color w:val="auto"/>
          <w:kern w:val="0"/>
          <w:sz w:val="28"/>
          <w:szCs w:val="28"/>
          <w:lang w:val="en-US" w:eastAsia="zh-CN"/>
        </w:rPr>
        <w:t>的</w:t>
      </w:r>
      <w:r>
        <w:rPr>
          <w:rFonts w:hint="default" w:ascii="Times New Roman" w:hAnsi="Times New Roman" w:cs="Times New Roman"/>
          <w:snapToGrid w:val="0"/>
          <w:color w:val="auto"/>
          <w:kern w:val="0"/>
          <w:sz w:val="28"/>
          <w:szCs w:val="28"/>
          <w:lang w:val="en-US" w:eastAsia="zh-CN"/>
        </w:rPr>
        <w:t>车辆伤害</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物体打击</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井架、底座、游车大钩、吊具等作业设备设施起重伤害</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物体打击</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旋塞阀、防喷器、远程控制台等井控设备物体打击</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起重伤害</w:t>
      </w:r>
      <w:r>
        <w:rPr>
          <w:rFonts w:hint="eastAsia" w:cs="Times New Roman"/>
          <w:snapToGrid w:val="0"/>
          <w:color w:val="auto"/>
          <w:kern w:val="0"/>
          <w:sz w:val="28"/>
          <w:szCs w:val="28"/>
          <w:lang w:val="en-US" w:eastAsia="zh-CN"/>
        </w:rPr>
        <w:t>；接拆高压设备、管线物体打击、火灾爆炸、容器爆炸；</w:t>
      </w:r>
      <w:r>
        <w:rPr>
          <w:rFonts w:hint="default" w:ascii="Times New Roman" w:hAnsi="Times New Roman" w:cs="Times New Roman"/>
          <w:snapToGrid w:val="0"/>
          <w:color w:val="auto"/>
          <w:kern w:val="0"/>
          <w:sz w:val="28"/>
          <w:szCs w:val="28"/>
          <w:lang w:val="en-US" w:eastAsia="zh-CN"/>
        </w:rPr>
        <w:t>电气设备触电</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施工过程中旋转部位机械伤害</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井场电力线路、用电设备触电</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二层台、井架等高处坠落等事故</w:t>
      </w:r>
      <w:r>
        <w:rPr>
          <w:rFonts w:hint="default" w:ascii="Times New Roman" w:hAnsi="Times New Roman" w:eastAsia="宋体" w:cs="Times New Roman"/>
          <w:snapToGrid w:val="0"/>
          <w:color w:val="auto"/>
          <w:kern w:val="0"/>
          <w:sz w:val="28"/>
          <w:szCs w:val="28"/>
          <w:lang w:val="en-US" w:eastAsia="zh-CN"/>
        </w:rPr>
        <w:t>危险程度均为</w:t>
      </w:r>
      <w:r>
        <w:rPr>
          <w:rFonts w:hint="eastAsia"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稍有危险</w:t>
      </w:r>
      <w:r>
        <w:rPr>
          <w:rFonts w:hint="eastAsia"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，也应引起注意</w:t>
      </w:r>
      <w:r>
        <w:rPr>
          <w:rFonts w:hint="default" w:ascii="Times New Roman" w:hAnsi="Times New Roman" w:cs="Times New Roman"/>
          <w:snapToGrid w:val="0"/>
          <w:color w:val="auto"/>
          <w:kern w:val="0"/>
          <w:sz w:val="28"/>
          <w:szCs w:val="28"/>
          <w:lang w:val="en-US" w:eastAsia="zh-CN"/>
        </w:rPr>
        <w:t>。</w:t>
      </w:r>
    </w:p>
    <w:p>
      <w:pPr>
        <w:pStyle w:val="2"/>
        <w:rPr>
          <w:rFonts w:hint="eastAsia"/>
        </w:rPr>
      </w:pPr>
    </w:p>
    <w:p>
      <w:pPr>
        <w:bidi w:val="0"/>
        <w:sectPr>
          <w:pgSz w:w="11906" w:h="16838"/>
          <w:pgMar w:top="1440" w:right="1803" w:bottom="1440" w:left="1803" w:header="850" w:footer="992" w:gutter="0"/>
          <w:pgBorders>
            <w:top w:val="none" w:sz="0" w:space="0"/>
            <w:left w:val="none" w:sz="0" w:space="0"/>
            <w:bottom w:val="none" w:sz="0" w:space="0"/>
            <w:right w:val="none" w:sz="0" w:space="0"/>
          </w:pgBorders>
          <w:cols w:space="0" w:num="1"/>
          <w:rtlGutter w:val="0"/>
          <w:docGrid w:linePitch="312" w:charSpace="0"/>
        </w:sectPr>
      </w:pPr>
    </w:p>
    <w:p>
      <w:pPr>
        <w:pStyle w:val="3"/>
      </w:pPr>
      <w:bookmarkStart w:id="132" w:name="_Toc341963439"/>
      <w:bookmarkStart w:id="133" w:name="_Toc32341"/>
      <w:r>
        <w:rPr>
          <w:rFonts w:hint="eastAsia"/>
          <w:lang w:val="en-US" w:eastAsia="zh-CN"/>
        </w:rPr>
        <w:t>6</w:t>
      </w:r>
      <w:r>
        <w:t xml:space="preserve">  </w:t>
      </w:r>
      <w:r>
        <w:rPr>
          <w:rFonts w:hint="eastAsia" w:ascii="楷体" w:hAnsi="楷体" w:eastAsia="楷体" w:cs="楷体"/>
        </w:rPr>
        <w:t>安全对策措施及建议</w:t>
      </w:r>
      <w:bookmarkEnd w:id="132"/>
      <w:bookmarkEnd w:id="133"/>
    </w:p>
    <w:p>
      <w:pPr>
        <w:pStyle w:val="4"/>
        <w:rPr>
          <w:rFonts w:hint="eastAsia"/>
          <w:b w:val="0"/>
          <w:bCs w:val="0"/>
          <w:sz w:val="32"/>
          <w:szCs w:val="32"/>
        </w:rPr>
      </w:pPr>
      <w:bookmarkStart w:id="134" w:name="_Toc22356"/>
      <w:bookmarkStart w:id="135" w:name="_Toc479924367"/>
      <w:bookmarkStart w:id="136" w:name="_Toc281310754"/>
      <w:bookmarkStart w:id="137" w:name="_Toc22152"/>
      <w:bookmarkStart w:id="138" w:name="_Toc341963444"/>
      <w:r>
        <w:rPr>
          <w:rFonts w:hint="eastAsia"/>
          <w:b w:val="0"/>
          <w:bCs w:val="0"/>
          <w:sz w:val="32"/>
          <w:szCs w:val="32"/>
          <w:lang w:val="en-US" w:eastAsia="zh-CN"/>
        </w:rPr>
        <w:t>6</w:t>
      </w:r>
      <w:r>
        <w:rPr>
          <w:rFonts w:hint="eastAsia"/>
          <w:b w:val="0"/>
          <w:bCs w:val="0"/>
          <w:sz w:val="32"/>
          <w:szCs w:val="32"/>
        </w:rPr>
        <w:t xml:space="preserve">.1 </w:t>
      </w:r>
      <w:r>
        <w:rPr>
          <w:rFonts w:hint="eastAsia"/>
          <w:b w:val="0"/>
          <w:bCs w:val="0"/>
          <w:sz w:val="32"/>
          <w:szCs w:val="32"/>
          <w:lang w:val="en-US" w:eastAsia="zh-CN"/>
        </w:rPr>
        <w:t xml:space="preserve"> </w:t>
      </w:r>
      <w:r>
        <w:rPr>
          <w:rFonts w:hint="eastAsia" w:ascii="黑体" w:hAnsi="黑体" w:eastAsia="黑体" w:cs="黑体"/>
          <w:b w:val="0"/>
          <w:bCs w:val="0"/>
          <w:sz w:val="32"/>
          <w:szCs w:val="32"/>
        </w:rPr>
        <w:t>安全对策措施</w:t>
      </w:r>
      <w:bookmarkEnd w:id="134"/>
      <w:bookmarkEnd w:id="135"/>
      <w:bookmarkEnd w:id="136"/>
      <w:bookmarkEnd w:id="137"/>
    </w:p>
    <w:p>
      <w:pPr>
        <w:keepNext w:val="0"/>
        <w:keepLines w:val="0"/>
        <w:pageBreakBefore w:val="0"/>
        <w:widowControl w:val="0"/>
        <w:kinsoku/>
        <w:wordWrap/>
        <w:overflowPunct/>
        <w:topLinePunct w:val="0"/>
        <w:autoSpaceDE w:val="0"/>
        <w:autoSpaceDN w:val="0"/>
        <w:bidi w:val="0"/>
        <w:adjustRightInd w:val="0"/>
        <w:snapToGrid w:val="0"/>
        <w:ind w:firstLine="560"/>
        <w:textAlignment w:val="auto"/>
        <w:rPr>
          <w:rFonts w:hint="eastAsia"/>
          <w:lang w:val="zh-CN"/>
        </w:rPr>
      </w:pPr>
      <w:r>
        <w:rPr>
          <w:rFonts w:hint="eastAsia"/>
          <w:lang w:val="zh-CN"/>
        </w:rPr>
        <w:t>根据现场检查以及对安全管理资料的检查，</w:t>
      </w:r>
      <w:r>
        <w:rPr>
          <w:rFonts w:hint="eastAsia"/>
        </w:rPr>
        <w:t>东营大明钻井有限责任公司</w:t>
      </w:r>
      <w:r>
        <w:rPr>
          <w:rFonts w:hint="eastAsia"/>
          <w:lang w:val="zh-CN"/>
        </w:rPr>
        <w:t>建立了安全管理体系，制定了各类人员安全责任制、安全管理制度、安全操作规程汇编，安全生产管理机构配置合理。本次评价提出的安全对策措施如下：</w:t>
      </w:r>
    </w:p>
    <w:p>
      <w:pPr>
        <w:keepNext w:val="0"/>
        <w:keepLines w:val="0"/>
        <w:pageBreakBefore w:val="0"/>
        <w:widowControl w:val="0"/>
        <w:numPr>
          <w:ilvl w:val="0"/>
          <w:numId w:val="15"/>
        </w:numPr>
        <w:kinsoku/>
        <w:wordWrap/>
        <w:overflowPunct/>
        <w:topLinePunct w:val="0"/>
        <w:autoSpaceDE w:val="0"/>
        <w:autoSpaceDN w:val="0"/>
        <w:bidi w:val="0"/>
        <w:adjustRightInd w:val="0"/>
        <w:snapToGrid w:val="0"/>
        <w:ind w:left="0" w:leftChars="0" w:firstLine="56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钻井五队、钻井七队钻台下储气瓶未注册登记、未检测检验。</w:t>
      </w:r>
      <w:r>
        <w:rPr>
          <w:rFonts w:hint="eastAsia" w:cs="Times New Roman"/>
          <w:lang w:val="en-US" w:eastAsia="zh-CN"/>
        </w:rPr>
        <w:t>企业应根据</w:t>
      </w:r>
      <w:r>
        <w:rPr>
          <w:rFonts w:hint="default" w:ascii="Times New Roman" w:hAnsi="Times New Roman" w:eastAsia="宋体" w:cs="Times New Roman"/>
          <w:lang w:val="en-US" w:eastAsia="zh-CN"/>
        </w:rPr>
        <w:t>《中华人民共和国特种设备安全法》</w:t>
      </w:r>
      <w:r>
        <w:rPr>
          <w:rFonts w:hint="eastAsia" w:cs="Times New Roman"/>
          <w:lang w:val="en-US" w:eastAsia="zh-CN"/>
        </w:rPr>
        <w:t>的要求</w:t>
      </w:r>
      <w:r>
        <w:rPr>
          <w:rFonts w:hint="default" w:ascii="Times New Roman" w:hAnsi="Times New Roman" w:eastAsia="宋体" w:cs="Times New Roman"/>
          <w:lang w:val="en-US" w:eastAsia="zh-CN"/>
        </w:rPr>
        <w:t>办理使用登记，</w:t>
      </w:r>
      <w:r>
        <w:rPr>
          <w:rFonts w:hint="eastAsia" w:cs="Times New Roman"/>
          <w:lang w:val="en-US" w:eastAsia="zh-CN"/>
        </w:rPr>
        <w:t>并</w:t>
      </w:r>
      <w:r>
        <w:rPr>
          <w:rFonts w:hint="default" w:ascii="Times New Roman" w:hAnsi="Times New Roman" w:eastAsia="宋体" w:cs="Times New Roman"/>
          <w:lang w:val="en-US" w:eastAsia="zh-CN"/>
        </w:rPr>
        <w:t>定期检验</w:t>
      </w:r>
      <w:r>
        <w:rPr>
          <w:rFonts w:hint="eastAsia" w:cs="Times New Roman"/>
          <w:lang w:val="en-US" w:eastAsia="zh-CN"/>
        </w:rPr>
        <w:t>。</w:t>
      </w:r>
    </w:p>
    <w:p>
      <w:pPr>
        <w:keepNext w:val="0"/>
        <w:keepLines w:val="0"/>
        <w:pageBreakBefore w:val="0"/>
        <w:widowControl w:val="0"/>
        <w:numPr>
          <w:ilvl w:val="0"/>
          <w:numId w:val="15"/>
        </w:numPr>
        <w:kinsoku/>
        <w:wordWrap/>
        <w:overflowPunct/>
        <w:topLinePunct w:val="0"/>
        <w:autoSpaceDE w:val="0"/>
        <w:autoSpaceDN w:val="0"/>
        <w:bidi w:val="0"/>
        <w:adjustRightInd w:val="0"/>
        <w:snapToGrid w:val="0"/>
        <w:ind w:left="0" w:leftChars="0" w:firstLine="560" w:firstLineChars="200"/>
        <w:textAlignment w:val="auto"/>
        <w:rPr>
          <w:rFonts w:hint="eastAsia" w:eastAsia="宋体"/>
          <w:lang w:val="en-US" w:eastAsia="zh-CN"/>
        </w:rPr>
      </w:pPr>
      <w:r>
        <w:rPr>
          <w:rFonts w:hint="eastAsia"/>
          <w:lang w:val="en-US" w:eastAsia="zh-CN"/>
        </w:rPr>
        <w:t>莱78-X10井井口与西南侧髙压线的距离58米。依据</w:t>
      </w:r>
      <w:r>
        <w:rPr>
          <w:rFonts w:hint="eastAsia" w:eastAsia="宋体"/>
          <w:lang w:val="en-US" w:eastAsia="zh-CN"/>
        </w:rPr>
        <w:t>《</w:t>
      </w:r>
      <w:r>
        <w:rPr>
          <w:rFonts w:hint="default" w:eastAsia="宋体"/>
          <w:lang w:val="en-US" w:eastAsia="zh-CN"/>
        </w:rPr>
        <w:t>石油天然气钻井、开发、储运防火防爆安全生产技术规程</w:t>
      </w:r>
      <w:r>
        <w:rPr>
          <w:rFonts w:hint="eastAsia" w:eastAsia="宋体"/>
          <w:lang w:val="en-US" w:eastAsia="zh-CN"/>
        </w:rPr>
        <w:t>》（SY/T5225-2019）油气井井口距高压线及其他永久性设施应不小于75m。</w:t>
      </w:r>
    </w:p>
    <w:p>
      <w:pPr>
        <w:keepNext w:val="0"/>
        <w:keepLines w:val="0"/>
        <w:pageBreakBefore w:val="0"/>
        <w:widowControl w:val="0"/>
        <w:numPr>
          <w:ilvl w:val="0"/>
          <w:numId w:val="15"/>
        </w:numPr>
        <w:kinsoku/>
        <w:wordWrap/>
        <w:overflowPunct/>
        <w:topLinePunct w:val="0"/>
        <w:autoSpaceDE w:val="0"/>
        <w:autoSpaceDN w:val="0"/>
        <w:bidi w:val="0"/>
        <w:adjustRightInd w:val="0"/>
        <w:snapToGrid w:val="0"/>
        <w:ind w:left="0" w:leftChars="0" w:firstLine="56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莱78-斜10井绞车过卷防护未安装。重锤防碰使用铁丝连接。《石油天然气安全规程》AQ2012-2007第5.2.4.2条设备部件、附件、安全装置设施应齐全、完好，且固定牢靠。</w:t>
      </w:r>
    </w:p>
    <w:p>
      <w:pPr>
        <w:numPr>
          <w:ilvl w:val="0"/>
          <w:numId w:val="15"/>
        </w:numPr>
        <w:autoSpaceDE w:val="0"/>
        <w:autoSpaceDN w:val="0"/>
        <w:ind w:left="0" w:leftChars="0" w:firstLine="56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莱78-斜10井B型大钳</w:t>
      </w:r>
      <w:r>
        <w:rPr>
          <w:rFonts w:hint="eastAsia" w:cs="Times New Roman"/>
          <w:lang w:val="en-US" w:eastAsia="zh-CN"/>
        </w:rPr>
        <w:t>钳尾</w:t>
      </w:r>
      <w:r>
        <w:rPr>
          <w:rFonts w:hint="eastAsia" w:ascii="Times New Roman" w:hAnsi="Times New Roman" w:eastAsia="宋体" w:cs="Times New Roman"/>
          <w:lang w:val="en-US" w:eastAsia="zh-CN"/>
        </w:rPr>
        <w:t>保险销缺失。《钻井井场设备作业安全技术规程》SY/T5974-2020第4.3.3条B型大钳的钳尾销应齐全牢固，大销与小销穿好后应加穿保险销。</w:t>
      </w:r>
    </w:p>
    <w:p>
      <w:pPr>
        <w:numPr>
          <w:ilvl w:val="0"/>
          <w:numId w:val="15"/>
        </w:numPr>
        <w:autoSpaceDE w:val="0"/>
        <w:autoSpaceDN w:val="0"/>
        <w:ind w:left="0" w:leftChars="0" w:firstLine="560" w:firstLineChars="200"/>
        <w:rPr>
          <w:rFonts w:hint="eastAsia"/>
          <w:lang w:val="en-US" w:eastAsia="zh-CN"/>
        </w:rPr>
      </w:pPr>
      <w:r>
        <w:rPr>
          <w:rFonts w:hint="eastAsia"/>
          <w:lang w:val="en-US" w:eastAsia="zh-CN"/>
        </w:rPr>
        <w:t>莱78-斜10井现场消防房存放杂物。MCC应急灯损坏。《钻井井场设备作业安全技术规程》SY/T5974-2020第3.3.1条：消防器材由专人挂牌管理，定期维护保养，不应挪为他用，消防器材摆放处保待通道畅通，取用方便，悬挂牢靠。</w:t>
      </w:r>
    </w:p>
    <w:p>
      <w:pPr>
        <w:numPr>
          <w:ilvl w:val="0"/>
          <w:numId w:val="15"/>
        </w:numPr>
        <w:autoSpaceDE w:val="0"/>
        <w:autoSpaceDN w:val="0"/>
        <w:ind w:left="0" w:leftChars="0" w:firstLine="560" w:firstLineChars="200"/>
        <w:rPr>
          <w:rFonts w:hint="eastAsia"/>
          <w:lang w:val="en-US" w:eastAsia="zh-CN"/>
        </w:rPr>
      </w:pPr>
      <w:r>
        <w:rPr>
          <w:rFonts w:hint="eastAsia"/>
          <w:lang w:val="en-US" w:eastAsia="zh-CN"/>
        </w:rPr>
        <w:t>放喷管线出口处未使用双基墩固定。《钻井井控装置组合配套、安装调试与使用规范》SY/T5964-2019第3.5.4.4条放喷管线出口处应采用双基墩固定，并应配备性能可靠的点火装置。</w:t>
      </w:r>
    </w:p>
    <w:p>
      <w:pPr>
        <w:numPr>
          <w:ilvl w:val="0"/>
          <w:numId w:val="15"/>
        </w:numPr>
        <w:autoSpaceDE w:val="0"/>
        <w:autoSpaceDN w:val="0"/>
        <w:ind w:left="0" w:leftChars="0" w:firstLine="560" w:firstLineChars="200"/>
        <w:rPr>
          <w:rFonts w:hint="eastAsia"/>
        </w:rPr>
      </w:pPr>
      <w:r>
        <w:rPr>
          <w:rFonts w:hint="eastAsia"/>
          <w:lang w:val="en-US" w:eastAsia="zh-CN"/>
        </w:rPr>
        <w:t>莱78-斜10井人员台账中部分人员证件过期，台账未及时更新。井队实际人员数量与台账中人员数量不符，人员台账未涵盖所有作业人员。《安全生产法》第二十八条：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pPr>
        <w:numPr>
          <w:ilvl w:val="0"/>
          <w:numId w:val="15"/>
        </w:numPr>
        <w:autoSpaceDE w:val="0"/>
        <w:autoSpaceDN w:val="0"/>
        <w:ind w:left="0" w:leftChars="0" w:firstLine="560" w:firstLineChars="200"/>
        <w:rPr>
          <w:rFonts w:hint="eastAsia"/>
        </w:rPr>
      </w:pPr>
      <w:r>
        <w:rPr>
          <w:rFonts w:hint="eastAsia"/>
          <w:lang w:val="en-US" w:eastAsia="zh-CN"/>
        </w:rPr>
        <w:t>王589-斜2井检测设备设施台账中4台安全阀的检测已超期。《安全阀安全技术监察规程》（TSG ZF001-2006第1号修改单）第B6.3.1条安全阀的校验周期应当符合以下要求：安全阀定期校验，一般每年至少一次，安全技术规范有相应规定的从其规定；经解体、修理或更换部件的安全阀，应当重新进行校验。</w:t>
      </w:r>
    </w:p>
    <w:p>
      <w:pPr>
        <w:numPr>
          <w:ilvl w:val="0"/>
          <w:numId w:val="15"/>
        </w:numPr>
        <w:autoSpaceDE w:val="0"/>
        <w:autoSpaceDN w:val="0"/>
        <w:ind w:left="0" w:leftChars="0" w:firstLine="560" w:firstLineChars="200"/>
        <w:rPr>
          <w:rFonts w:hint="eastAsia" w:ascii="Times New Roman" w:hAnsi="Times New Roman" w:eastAsia="宋体" w:cs="Times New Roman"/>
          <w:lang w:val="en-US" w:eastAsia="zh-CN"/>
        </w:rPr>
      </w:pPr>
      <w:r>
        <w:rPr>
          <w:rFonts w:hint="eastAsia"/>
          <w:lang w:val="en-US" w:eastAsia="zh-CN"/>
        </w:rPr>
        <w:t>王589-斜2井特种作业人员未建立台账，无法对特种作业人员持证情况进行管理。</w:t>
      </w:r>
      <w:r>
        <w:rPr>
          <w:rFonts w:hint="eastAsia" w:ascii="Times New Roman" w:hAnsi="Times New Roman" w:eastAsia="宋体" w:cs="Times New Roman"/>
          <w:lang w:val="en-US" w:eastAsia="zh-CN"/>
        </w:rPr>
        <w:t>《特种作业人员安全技术培训考核管理规定》（国家安监总局令[2015]第80号修订）第五条：特种作业人员必须经过专门的安全技术培训并考核合格，取得《中华人民共和国特种作业操作证》后，方可上岗作业。（特种作业包括：电工作业、焊接与热切割作业、高处作业、司钻作业等）。</w:t>
      </w:r>
    </w:p>
    <w:p>
      <w:pPr>
        <w:pStyle w:val="4"/>
        <w:rPr>
          <w:rFonts w:hint="eastAsia"/>
          <w:b w:val="0"/>
          <w:bCs w:val="0"/>
          <w:sz w:val="32"/>
          <w:szCs w:val="32"/>
        </w:rPr>
      </w:pPr>
      <w:bookmarkStart w:id="139" w:name="_Toc28417"/>
      <w:bookmarkStart w:id="140" w:name="_Toc479924368"/>
      <w:bookmarkStart w:id="141" w:name="_Toc7654"/>
      <w:bookmarkStart w:id="142" w:name="_Toc281310755"/>
      <w:r>
        <w:rPr>
          <w:rFonts w:hint="eastAsia"/>
          <w:b w:val="0"/>
          <w:bCs w:val="0"/>
          <w:sz w:val="32"/>
          <w:szCs w:val="32"/>
          <w:lang w:val="en-US" w:eastAsia="zh-CN"/>
        </w:rPr>
        <w:t>6</w:t>
      </w:r>
      <w:r>
        <w:rPr>
          <w:rFonts w:hint="eastAsia"/>
          <w:b w:val="0"/>
          <w:bCs w:val="0"/>
          <w:sz w:val="32"/>
          <w:szCs w:val="32"/>
        </w:rPr>
        <w:t xml:space="preserve">.2 </w:t>
      </w:r>
      <w:r>
        <w:rPr>
          <w:rFonts w:hint="eastAsia"/>
          <w:b w:val="0"/>
          <w:bCs w:val="0"/>
          <w:sz w:val="32"/>
          <w:szCs w:val="32"/>
          <w:lang w:val="en-US" w:eastAsia="zh-CN"/>
        </w:rPr>
        <w:t xml:space="preserve"> </w:t>
      </w:r>
      <w:r>
        <w:rPr>
          <w:rFonts w:hint="eastAsia" w:ascii="黑体" w:hAnsi="黑体" w:eastAsia="黑体" w:cs="黑体"/>
          <w:b w:val="0"/>
          <w:bCs w:val="0"/>
          <w:sz w:val="32"/>
          <w:szCs w:val="32"/>
        </w:rPr>
        <w:t>安全管理建议</w:t>
      </w:r>
      <w:bookmarkEnd w:id="139"/>
      <w:bookmarkEnd w:id="140"/>
      <w:bookmarkEnd w:id="141"/>
      <w:bookmarkEnd w:id="142"/>
    </w:p>
    <w:p>
      <w:pPr>
        <w:autoSpaceDE w:val="0"/>
        <w:autoSpaceDN w:val="0"/>
        <w:ind w:firstLine="560"/>
        <w:rPr>
          <w:rFonts w:hint="eastAsia"/>
          <w:lang w:val="zh-CN"/>
        </w:rPr>
      </w:pPr>
      <w:r>
        <w:rPr>
          <w:rFonts w:hint="eastAsia"/>
          <w:lang w:val="zh-CN"/>
        </w:rPr>
        <w:t>本次评价提出的安全管理措施：</w:t>
      </w:r>
    </w:p>
    <w:p>
      <w:pPr>
        <w:numPr>
          <w:ilvl w:val="0"/>
          <w:numId w:val="16"/>
        </w:numPr>
        <w:autoSpaceDE w:val="0"/>
        <w:autoSpaceDN w:val="0"/>
        <w:ind w:left="0" w:leftChars="0" w:firstLine="560" w:firstLineChars="200"/>
        <w:rPr>
          <w:rFonts w:hint="eastAsia" w:ascii="Times New Roman" w:hAnsi="Times New Roman" w:eastAsia="宋体" w:cs="Times New Roman"/>
          <w:lang w:val="zh-CN" w:eastAsia="zh-CN"/>
        </w:rPr>
      </w:pPr>
      <w:r>
        <w:rPr>
          <w:rFonts w:hint="eastAsia" w:ascii="Times New Roman" w:hAnsi="Times New Roman" w:eastAsia="宋体" w:cs="Times New Roman"/>
          <w:lang w:val="zh-CN" w:eastAsia="zh-CN"/>
        </w:rPr>
        <w:t>进一步建立、健全安全生产责任制，完善各职能部门的安全职责并落实各种安全管理制度和操作规程的执行情况，做好相应记录并存档。</w:t>
      </w:r>
    </w:p>
    <w:p>
      <w:pPr>
        <w:numPr>
          <w:ilvl w:val="0"/>
          <w:numId w:val="16"/>
        </w:numPr>
        <w:autoSpaceDE w:val="0"/>
        <w:autoSpaceDN w:val="0"/>
        <w:ind w:left="0" w:leftChars="0" w:firstLine="560" w:firstLineChars="200"/>
        <w:rPr>
          <w:rFonts w:hint="eastAsia" w:ascii="Times New Roman" w:hAnsi="Times New Roman" w:eastAsia="宋体" w:cs="Times New Roman"/>
          <w:lang w:val="zh-CN" w:eastAsia="zh-CN"/>
        </w:rPr>
      </w:pPr>
      <w:r>
        <w:rPr>
          <w:rFonts w:hint="eastAsia" w:ascii="Times New Roman" w:hAnsi="Times New Roman" w:eastAsia="宋体" w:cs="Times New Roman"/>
          <w:lang w:val="zh-CN" w:eastAsia="zh-CN"/>
        </w:rPr>
        <w:t>定期对职工进行安全教育培训和考核，不断提高职工的安全意识和操作技能，培训应针对公司人员具体接触到的危险物料、设备设施及相应的事故应急处理措施进行。教育培训情况应当记录备查。</w:t>
      </w:r>
    </w:p>
    <w:p>
      <w:pPr>
        <w:numPr>
          <w:ilvl w:val="0"/>
          <w:numId w:val="16"/>
        </w:numPr>
        <w:autoSpaceDE w:val="0"/>
        <w:autoSpaceDN w:val="0"/>
        <w:ind w:left="0" w:leftChars="0" w:firstLine="560" w:firstLineChars="200"/>
        <w:rPr>
          <w:rFonts w:hint="eastAsia" w:ascii="Times New Roman" w:hAnsi="Times New Roman" w:eastAsia="宋体" w:cs="Times New Roman"/>
          <w:lang w:val="zh-CN" w:eastAsia="zh-CN"/>
        </w:rPr>
      </w:pPr>
      <w:r>
        <w:rPr>
          <w:rFonts w:hint="eastAsia" w:ascii="Times New Roman" w:hAnsi="Times New Roman" w:eastAsia="宋体" w:cs="Times New Roman"/>
          <w:lang w:val="zh-CN" w:eastAsia="zh-CN"/>
        </w:rPr>
        <w:t>加强对应急预案的培训、演练，完善演练记录；在生产条件、应急救援条件发生变化时，应及时修订事故应急急救援预案，保持事故应急救援预案的适宜性和有效性。</w:t>
      </w:r>
    </w:p>
    <w:p>
      <w:pPr>
        <w:numPr>
          <w:ilvl w:val="0"/>
          <w:numId w:val="16"/>
        </w:numPr>
        <w:autoSpaceDE w:val="0"/>
        <w:autoSpaceDN w:val="0"/>
        <w:ind w:left="0" w:leftChars="0" w:firstLine="560" w:firstLineChars="200"/>
        <w:rPr>
          <w:rFonts w:hint="eastAsia" w:ascii="Times New Roman" w:hAnsi="Times New Roman" w:eastAsia="宋体" w:cs="Times New Roman"/>
          <w:lang w:val="zh-CN" w:eastAsia="zh-CN"/>
        </w:rPr>
      </w:pPr>
      <w:r>
        <w:rPr>
          <w:rFonts w:hint="eastAsia" w:ascii="Times New Roman" w:hAnsi="Times New Roman" w:eastAsia="宋体" w:cs="Times New Roman"/>
          <w:lang w:val="zh-CN" w:eastAsia="zh-CN"/>
        </w:rPr>
        <w:t>继续加强和规范工业用火、进入受限空间、高处作业、临时用电、动土作业等直接作业环节的管理，严格执行票证审批，落实现场过程监督。</w:t>
      </w:r>
      <w:r>
        <w:rPr>
          <w:rFonts w:hint="eastAsia" w:cs="Times New Roman"/>
          <w:lang w:val="en-US" w:eastAsia="zh-CN"/>
        </w:rPr>
        <w:t>加强特种作业人员管理，特种作业人员、特殊工种及特种设备管理人员应持证上岗，并定期复审，合格后方可上岗作业。</w:t>
      </w:r>
    </w:p>
    <w:p>
      <w:pPr>
        <w:numPr>
          <w:ilvl w:val="0"/>
          <w:numId w:val="16"/>
        </w:numPr>
        <w:autoSpaceDE w:val="0"/>
        <w:autoSpaceDN w:val="0"/>
        <w:ind w:left="0" w:leftChars="0" w:firstLine="560" w:firstLineChars="200"/>
        <w:rPr>
          <w:rFonts w:hint="eastAsia" w:ascii="Times New Roman" w:hAnsi="Times New Roman" w:eastAsia="宋体" w:cs="Times New Roman"/>
          <w:lang w:val="zh-CN" w:eastAsia="zh-CN"/>
        </w:rPr>
      </w:pPr>
      <w:r>
        <w:rPr>
          <w:rFonts w:hint="eastAsia" w:ascii="Times New Roman" w:hAnsi="Times New Roman" w:eastAsia="宋体" w:cs="Times New Roman"/>
          <w:lang w:val="zh-CN" w:eastAsia="zh-CN"/>
        </w:rPr>
        <w:t>进一步加强对特种设备</w:t>
      </w:r>
      <w:r>
        <w:rPr>
          <w:rFonts w:hint="eastAsia" w:cs="Times New Roman"/>
          <w:lang w:val="zh-CN" w:eastAsia="zh-CN"/>
        </w:rPr>
        <w:t>、</w:t>
      </w:r>
      <w:r>
        <w:rPr>
          <w:rFonts w:hint="eastAsia" w:cs="Times New Roman"/>
          <w:lang w:val="en-US" w:eastAsia="zh-CN"/>
        </w:rPr>
        <w:t>压力表等安全设备设施</w:t>
      </w:r>
      <w:r>
        <w:rPr>
          <w:rFonts w:hint="eastAsia" w:ascii="Times New Roman" w:hAnsi="Times New Roman" w:eastAsia="宋体" w:cs="Times New Roman"/>
          <w:lang w:val="zh-CN" w:eastAsia="zh-CN"/>
        </w:rPr>
        <w:t>检测检验，完善技术资料归档管理，加强设备管理，做好设备的日常维护、定期检查保养工作，杜绝设备带病运行；加强各类安全装置的日常检查、检测，确保设备的安全防护装置、安全设施可靠、齐全、有效。</w:t>
      </w:r>
    </w:p>
    <w:p>
      <w:pPr>
        <w:numPr>
          <w:ilvl w:val="0"/>
          <w:numId w:val="16"/>
        </w:numPr>
        <w:autoSpaceDE w:val="0"/>
        <w:autoSpaceDN w:val="0"/>
        <w:ind w:left="0" w:leftChars="0" w:firstLine="560" w:firstLineChars="200"/>
        <w:rPr>
          <w:rFonts w:hint="eastAsia" w:ascii="Times New Roman" w:hAnsi="Times New Roman" w:eastAsia="宋体" w:cs="Times New Roman"/>
          <w:lang w:val="zh-CN" w:eastAsia="zh-CN"/>
        </w:rPr>
      </w:pPr>
      <w:r>
        <w:rPr>
          <w:rFonts w:hint="eastAsia" w:ascii="Times New Roman" w:hAnsi="Times New Roman" w:eastAsia="宋体" w:cs="Times New Roman"/>
          <w:lang w:val="zh-CN" w:eastAsia="zh-CN"/>
        </w:rPr>
        <w:t>起重、吊装作业人员必须持证上岗，应预先在吊装现场设置安全警戒标识并设专人监护，严格执行吊装规定。</w:t>
      </w:r>
    </w:p>
    <w:p>
      <w:pPr>
        <w:numPr>
          <w:ilvl w:val="0"/>
          <w:numId w:val="16"/>
        </w:numPr>
        <w:autoSpaceDE w:val="0"/>
        <w:autoSpaceDN w:val="0"/>
        <w:ind w:left="0" w:leftChars="0" w:firstLine="560" w:firstLineChars="200"/>
        <w:rPr>
          <w:rFonts w:hint="eastAsia" w:ascii="Times New Roman" w:hAnsi="Times New Roman" w:eastAsia="宋体" w:cs="Times New Roman"/>
          <w:lang w:val="zh-CN" w:eastAsia="zh-CN"/>
        </w:rPr>
      </w:pPr>
      <w:r>
        <w:rPr>
          <w:rFonts w:hint="eastAsia" w:ascii="Times New Roman" w:hAnsi="Times New Roman" w:eastAsia="宋体" w:cs="Times New Roman"/>
          <w:lang w:val="zh-CN" w:eastAsia="zh-CN"/>
        </w:rPr>
        <w:t>消防设施、消防器材应定期进行检验检测，保证其完好可用。</w:t>
      </w:r>
    </w:p>
    <w:p>
      <w:pPr>
        <w:numPr>
          <w:ilvl w:val="0"/>
          <w:numId w:val="16"/>
        </w:numPr>
        <w:autoSpaceDE w:val="0"/>
        <w:autoSpaceDN w:val="0"/>
        <w:ind w:left="0" w:leftChars="0" w:firstLine="560" w:firstLineChars="200"/>
        <w:rPr>
          <w:rFonts w:hint="eastAsia" w:ascii="Times New Roman" w:hAnsi="Times New Roman" w:eastAsia="宋体" w:cs="Times New Roman"/>
          <w:lang w:val="zh-CN" w:eastAsia="zh-CN"/>
        </w:rPr>
      </w:pPr>
      <w:r>
        <w:rPr>
          <w:rFonts w:hint="eastAsia" w:ascii="Times New Roman" w:hAnsi="Times New Roman" w:eastAsia="宋体" w:cs="Times New Roman"/>
          <w:lang w:val="zh-CN" w:eastAsia="zh-CN"/>
        </w:rPr>
        <w:t>职工上岗前，应进行体格检查，并应定期对职工进行健康检查；接触有毒、有害物质的在职职工，应定期进行健康检查，并建立健康监护档案。</w:t>
      </w:r>
    </w:p>
    <w:p>
      <w:pPr>
        <w:numPr>
          <w:ilvl w:val="0"/>
          <w:numId w:val="16"/>
        </w:numPr>
        <w:autoSpaceDE w:val="0"/>
        <w:autoSpaceDN w:val="0"/>
        <w:ind w:left="0" w:leftChars="0" w:firstLine="560" w:firstLineChars="200"/>
        <w:rPr>
          <w:rFonts w:hint="eastAsia" w:ascii="Times New Roman" w:hAnsi="Times New Roman" w:eastAsia="宋体" w:cs="Times New Roman"/>
          <w:lang w:val="zh-CN" w:eastAsia="zh-CN"/>
        </w:rPr>
      </w:pPr>
      <w:r>
        <w:rPr>
          <w:rFonts w:hint="eastAsia" w:ascii="Times New Roman" w:hAnsi="Times New Roman" w:eastAsia="宋体" w:cs="Times New Roman"/>
          <w:lang w:val="zh-CN" w:eastAsia="zh-CN"/>
        </w:rPr>
        <w:t>企业应该根据岗位特点为职工配备符合标准的口罩、劳保手套、工作服等劳动防护用品，严格装置现场的佩戴管理检查。</w:t>
      </w:r>
    </w:p>
    <w:p>
      <w:pPr>
        <w:numPr>
          <w:ilvl w:val="0"/>
          <w:numId w:val="16"/>
        </w:numPr>
        <w:autoSpaceDE w:val="0"/>
        <w:autoSpaceDN w:val="0"/>
        <w:ind w:left="0" w:leftChars="0" w:firstLine="560" w:firstLineChars="200"/>
        <w:rPr>
          <w:rFonts w:hint="eastAsia" w:ascii="Times New Roman" w:hAnsi="Times New Roman" w:eastAsia="宋体" w:cs="Times New Roman"/>
          <w:lang w:val="zh-CN" w:eastAsia="zh-CN"/>
        </w:rPr>
      </w:pPr>
      <w:r>
        <w:rPr>
          <w:rFonts w:hint="eastAsia" w:ascii="Times New Roman" w:hAnsi="Times New Roman" w:eastAsia="宋体" w:cs="Times New Roman"/>
          <w:lang w:val="zh-CN" w:eastAsia="zh-CN"/>
        </w:rPr>
        <w:t>含硫化氢井的防爆应注意：井场应配备安装固定式及便携式硫化氢监测仪。</w:t>
      </w:r>
    </w:p>
    <w:p>
      <w:pPr>
        <w:numPr>
          <w:ilvl w:val="0"/>
          <w:numId w:val="16"/>
        </w:numPr>
        <w:autoSpaceDE w:val="0"/>
        <w:autoSpaceDN w:val="0"/>
        <w:ind w:left="0" w:leftChars="0" w:firstLine="560" w:firstLineChars="200"/>
        <w:rPr>
          <w:rFonts w:hint="eastAsia" w:ascii="Times New Roman" w:hAnsi="Times New Roman" w:eastAsia="宋体" w:cs="Times New Roman"/>
          <w:lang w:val="zh-CN" w:eastAsia="zh-CN"/>
        </w:rPr>
      </w:pPr>
      <w:r>
        <w:rPr>
          <w:rFonts w:hint="eastAsia" w:cs="Times New Roman"/>
          <w:lang w:val="en-US" w:eastAsia="zh-CN"/>
        </w:rPr>
        <w:t>承包单位应当依法取得非煤矿山安全生产许可证和相应等级的施工资质，并在其资质范围内承包工程。企业</w:t>
      </w:r>
      <w:r>
        <w:rPr>
          <w:rFonts w:hint="eastAsia" w:ascii="Times New Roman" w:hAnsi="Times New Roman" w:eastAsia="宋体" w:cs="Times New Roman"/>
          <w:lang w:val="zh-CN" w:eastAsia="zh-CN"/>
        </w:rPr>
        <w:t>应当每半年对其承包单位的施工资质、安全生产管理机构、规章制度和操作规程、施工现场安全管理和履行义务等情况进行一次检查；发现承包单位存在安全生产问题的，应当督促其立即整改。建立健全外包工程安全生产考核机制，对承包单位每年至少进行一次安全生产考核</w:t>
      </w:r>
      <w:r>
        <w:rPr>
          <w:rFonts w:hint="eastAsia" w:cs="Times New Roman"/>
          <w:lang w:val="zh-CN" w:eastAsia="zh-CN"/>
        </w:rPr>
        <w:t>。</w:t>
      </w:r>
      <w:r>
        <w:rPr>
          <w:rFonts w:hint="eastAsia" w:cs="Times New Roman"/>
          <w:lang w:val="en-US" w:eastAsia="zh-CN"/>
        </w:rPr>
        <w:t>建议企业按照《非煤矿山外包工程安全管理暂行办法》（[2013]第62号，78号令修订）加强对承包商的资质审查及管理。</w:t>
      </w:r>
    </w:p>
    <w:p>
      <w:pPr>
        <w:numPr>
          <w:ilvl w:val="0"/>
          <w:numId w:val="16"/>
        </w:numPr>
        <w:autoSpaceDE w:val="0"/>
        <w:autoSpaceDN w:val="0"/>
        <w:ind w:left="0" w:leftChars="0" w:firstLine="560" w:firstLineChars="200"/>
        <w:rPr>
          <w:rFonts w:hint="eastAsia" w:ascii="Times New Roman" w:hAnsi="Times New Roman" w:eastAsia="宋体" w:cs="Times New Roman"/>
          <w:lang w:val="zh-CN" w:eastAsia="zh-CN"/>
        </w:rPr>
      </w:pPr>
      <w:r>
        <w:rPr>
          <w:rFonts w:hint="eastAsia" w:ascii="Times New Roman" w:hAnsi="Times New Roman" w:eastAsia="宋体" w:cs="Times New Roman"/>
          <w:lang w:val="zh-CN" w:eastAsia="zh-CN"/>
        </w:rPr>
        <w:t>作业期间，现场应统一指挥，明确施工的设计要求、地下情况、地面设备及技术要求，落实各项安全防范措施。在生产过程中，将安全生产的相关资料分类归档保存，主要包括作业人员名册、工作日志、培训记录、事故和险情记录、安全设备维修记录情况等。</w:t>
      </w:r>
    </w:p>
    <w:p>
      <w:pPr>
        <w:numPr>
          <w:ilvl w:val="0"/>
          <w:numId w:val="16"/>
        </w:numPr>
        <w:autoSpaceDE w:val="0"/>
        <w:autoSpaceDN w:val="0"/>
        <w:ind w:left="0" w:leftChars="0" w:firstLine="560" w:firstLineChars="200"/>
        <w:rPr>
          <w:rFonts w:hint="eastAsia" w:ascii="Times New Roman" w:hAnsi="Times New Roman" w:eastAsia="宋体" w:cs="Times New Roman"/>
          <w:lang w:val="zh-CN" w:eastAsia="zh-CN"/>
        </w:rPr>
      </w:pPr>
      <w:r>
        <w:rPr>
          <w:rFonts w:hint="eastAsia" w:ascii="Times New Roman" w:hAnsi="Times New Roman" w:eastAsia="宋体" w:cs="Times New Roman"/>
          <w:lang w:val="zh-CN" w:eastAsia="zh-CN"/>
        </w:rPr>
        <w:t>与其他作业队协同作业时，建议双方签订安全管理协议，明确责任和义务，加强作业过程中的安全管理。</w:t>
      </w:r>
    </w:p>
    <w:p>
      <w:pPr>
        <w:numPr>
          <w:ilvl w:val="0"/>
          <w:numId w:val="16"/>
        </w:numPr>
        <w:autoSpaceDE w:val="0"/>
        <w:autoSpaceDN w:val="0"/>
        <w:ind w:left="0" w:leftChars="0" w:firstLine="56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zh-CN" w:eastAsia="zh-CN"/>
        </w:rPr>
        <w:t>进一步强化安全监督检查工作，对查出的问题及时督促落实整改到位</w:t>
      </w:r>
      <w:r>
        <w:rPr>
          <w:rFonts w:hint="eastAsia" w:ascii="Times New Roman" w:hAnsi="Times New Roman" w:eastAsia="宋体" w:cs="Times New Roman"/>
          <w:lang w:val="en-US" w:eastAsia="zh-CN"/>
        </w:rPr>
        <w:t>。</w:t>
      </w:r>
    </w:p>
    <w:p>
      <w:pPr>
        <w:numPr>
          <w:ilvl w:val="0"/>
          <w:numId w:val="16"/>
        </w:numPr>
        <w:autoSpaceDE w:val="0"/>
        <w:autoSpaceDN w:val="0"/>
        <w:ind w:left="0" w:leftChars="0" w:firstLine="56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井队防雷装置应由专业防雷检测机构定期检测，检测周期不应超过一年。建议企业根据《钻修井井场雷电防护规范》SY/T7386-2017的规定</w:t>
      </w:r>
      <w:r>
        <w:rPr>
          <w:rFonts w:hint="eastAsia" w:cs="Times New Roman"/>
          <w:lang w:val="en-US" w:eastAsia="zh-CN"/>
        </w:rPr>
        <w:t>定期</w:t>
      </w:r>
      <w:r>
        <w:rPr>
          <w:rFonts w:hint="eastAsia" w:ascii="Times New Roman" w:hAnsi="Times New Roman" w:eastAsia="宋体" w:cs="Times New Roman"/>
          <w:lang w:val="en-US" w:eastAsia="zh-CN"/>
        </w:rPr>
        <w:t>进行防雷检测。</w:t>
      </w:r>
    </w:p>
    <w:p>
      <w:pPr>
        <w:numPr>
          <w:ilvl w:val="0"/>
          <w:numId w:val="16"/>
        </w:numPr>
        <w:autoSpaceDE w:val="0"/>
        <w:autoSpaceDN w:val="0"/>
        <w:ind w:left="0" w:leftChars="0" w:firstLine="560" w:firstLineChars="200"/>
        <w:rPr>
          <w:rFonts w:hint="eastAsia" w:ascii="Times New Roman" w:hAnsi="Times New Roman" w:eastAsia="宋体" w:cs="Times New Roman"/>
          <w:lang w:val="en-US" w:eastAsia="zh-CN"/>
        </w:rPr>
      </w:pPr>
      <w:r>
        <w:rPr>
          <w:rFonts w:hint="eastAsia"/>
          <w:lang w:val="en-US" w:eastAsia="zh-CN"/>
        </w:rPr>
        <w:t>井场涉及的防爆电气作业委托有资质的单位东营市德慧机电设备有限公司进行防爆线路施工，建议东营大明钻井有限责任公司人员进行防爆电工取证。</w:t>
      </w:r>
    </w:p>
    <w:p>
      <w:pPr>
        <w:numPr>
          <w:ilvl w:val="0"/>
          <w:numId w:val="16"/>
        </w:numPr>
        <w:autoSpaceDE w:val="0"/>
        <w:autoSpaceDN w:val="0"/>
        <w:ind w:left="0" w:leftChars="0" w:firstLine="56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加强安全培训档案管理。企业应如实记录安全培训的时间、内容、参加人员以及考核结果等情况，档案材料应当完整、准确、系统，建立完善“一企一档、一人一档”。</w:t>
      </w:r>
    </w:p>
    <w:p>
      <w:pPr>
        <w:numPr>
          <w:ilvl w:val="0"/>
          <w:numId w:val="16"/>
        </w:numPr>
        <w:autoSpaceDE w:val="0"/>
        <w:autoSpaceDN w:val="0"/>
        <w:ind w:left="0" w:leftChars="0" w:firstLine="56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按照《山东省企业安全生产“晨会”制度规范（试行）》补充完善安全生产会议制度。</w:t>
      </w:r>
    </w:p>
    <w:p>
      <w:pPr>
        <w:numPr>
          <w:ilvl w:val="0"/>
          <w:numId w:val="16"/>
        </w:numPr>
        <w:autoSpaceDE w:val="0"/>
        <w:autoSpaceDN w:val="0"/>
        <w:ind w:left="0" w:leftChars="0" w:firstLine="560" w:firstLineChars="200"/>
        <w:rPr>
          <w:rFonts w:hint="default" w:ascii="Times New Roman" w:hAnsi="Times New Roman" w:eastAsia="宋体" w:cs="Times New Roman"/>
          <w:lang w:val="en-US" w:eastAsia="zh-CN"/>
        </w:rPr>
      </w:pPr>
      <w:r>
        <w:rPr>
          <w:rFonts w:hint="eastAsia" w:ascii="Times New Roman" w:hAnsi="Times New Roman" w:cs="Times New Roman"/>
          <w:lang w:val="en-US" w:eastAsia="zh-CN"/>
        </w:rPr>
        <w:t>根据《</w:t>
      </w:r>
      <w:r>
        <w:rPr>
          <w:rFonts w:hint="default" w:ascii="Times New Roman" w:hAnsi="Times New Roman" w:eastAsia="宋体" w:cs="Times New Roman"/>
          <w:lang w:val="en-US" w:eastAsia="zh-CN"/>
        </w:rPr>
        <w:t>山东省生产经营单位安全总监制度实施办法（试行）的通知》（鲁政办字[2021]60号）第十一条：</w:t>
      </w:r>
      <w:r>
        <w:rPr>
          <w:rFonts w:hint="eastAsia" w:ascii="Times New Roman" w:hAnsi="Times New Roman" w:cs="Times New Roman"/>
          <w:lang w:val="en-US" w:eastAsia="zh-CN"/>
        </w:rPr>
        <w:t>“</w:t>
      </w:r>
      <w:r>
        <w:rPr>
          <w:rFonts w:hint="default" w:ascii="Times New Roman" w:hAnsi="Times New Roman" w:eastAsia="宋体" w:cs="Times New Roman"/>
          <w:lang w:val="en-US" w:eastAsia="zh-CN"/>
        </w:rPr>
        <w:t>生产经营单位安全总监的任免，应当书面报告负有安全生产监督管理职责的部门和应急管理部门</w:t>
      </w:r>
      <w:r>
        <w:rPr>
          <w:rFonts w:hint="eastAsia" w:ascii="Times New Roman" w:hAnsi="Times New Roman" w:cs="Times New Roman"/>
          <w:lang w:val="en-US" w:eastAsia="zh-CN"/>
        </w:rPr>
        <w:t>”，建议对安全总监的任</w:t>
      </w:r>
      <w:r>
        <w:rPr>
          <w:rFonts w:hint="default" w:ascii="Times New Roman" w:hAnsi="Times New Roman" w:eastAsia="宋体" w:cs="Times New Roman"/>
          <w:lang w:val="en-US" w:eastAsia="zh-CN"/>
        </w:rPr>
        <w:t>免</w:t>
      </w:r>
      <w:r>
        <w:rPr>
          <w:rFonts w:hint="eastAsia" w:ascii="Times New Roman" w:hAnsi="Times New Roman" w:cs="Times New Roman"/>
          <w:lang w:val="en-US" w:eastAsia="zh-CN"/>
        </w:rPr>
        <w:t>到负有安全生产监督管理职责的部门和应急管理部门进行备案。</w:t>
      </w:r>
    </w:p>
    <w:p>
      <w:pPr>
        <w:numPr>
          <w:ilvl w:val="0"/>
          <w:numId w:val="16"/>
        </w:numPr>
        <w:autoSpaceDE w:val="0"/>
        <w:autoSpaceDN w:val="0"/>
        <w:ind w:left="0" w:leftChars="0" w:firstLine="560" w:firstLineChars="200"/>
        <w:rPr>
          <w:rFonts w:hint="default"/>
          <w:lang w:val="en-US" w:eastAsia="zh-CN"/>
        </w:rPr>
      </w:pPr>
      <w:r>
        <w:rPr>
          <w:rFonts w:hint="eastAsia" w:ascii="Times New Roman" w:hAnsi="Times New Roman" w:eastAsia="宋体" w:cs="Times New Roman"/>
          <w:lang w:val="en-US" w:eastAsia="zh-CN"/>
        </w:rPr>
        <w:t>建议企业根据《关于印发《企业安全生产费用提取和使用管理办法》的通知》（财企[2012]16号）的要求提取安全生产费用</w:t>
      </w:r>
      <w:r>
        <w:rPr>
          <w:rFonts w:hint="eastAsia" w:cs="Times New Roman"/>
          <w:lang w:val="en-US" w:eastAsia="zh-CN"/>
        </w:rPr>
        <w:t>，并按照</w:t>
      </w:r>
      <w:r>
        <w:rPr>
          <w:rFonts w:ascii="Times New Roman" w:hAnsi="Times New Roman"/>
          <w:szCs w:val="28"/>
        </w:rPr>
        <w:t>《山东省生产经营单位安全生产主体责任规定》（山东省人民政府令[2018]第311号修改版）</w:t>
      </w:r>
      <w:r>
        <w:rPr>
          <w:rFonts w:hint="eastAsia"/>
          <w:szCs w:val="28"/>
          <w:lang w:val="en-US" w:eastAsia="zh-CN"/>
        </w:rPr>
        <w:t>等有关规定确保安全费用的合理使用。</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lang w:val="en-US" w:eastAsia="zh-CN"/>
        </w:rPr>
        <w:sectPr>
          <w:headerReference r:id="rId20" w:type="default"/>
          <w:footerReference r:id="rId21" w:type="default"/>
          <w:pgSz w:w="11906" w:h="16838"/>
          <w:pgMar w:top="1440" w:right="1803" w:bottom="1440" w:left="1803" w:header="850" w:footer="992" w:gutter="0"/>
          <w:pgBorders>
            <w:top w:val="none" w:sz="0" w:space="0"/>
            <w:left w:val="none" w:sz="0" w:space="0"/>
            <w:bottom w:val="none" w:sz="0" w:space="0"/>
            <w:right w:val="none" w:sz="0" w:space="0"/>
          </w:pgBorders>
          <w:cols w:space="0" w:num="1"/>
          <w:rtlGutter w:val="0"/>
          <w:docGrid w:linePitch="312" w:charSpace="0"/>
        </w:sectPr>
      </w:pPr>
      <w:r>
        <w:rPr>
          <w:rFonts w:hint="eastAsia"/>
          <w:lang w:val="en-US" w:eastAsia="zh-CN"/>
        </w:rPr>
        <w:t>21.</w:t>
      </w:r>
      <w:r>
        <w:rPr>
          <w:rFonts w:hint="eastAsia"/>
          <w:sz w:val="28"/>
          <w:szCs w:val="28"/>
          <w:lang w:val="en-US" w:eastAsia="zh-CN"/>
        </w:rPr>
        <w:t>建议企业根据《变更管理规定》针对生产经营过程中的相关变更履行变更程序，在以后的安全生产管理过程中严格执行《变更安全管理规定》，并保存相关变更记录和资料。</w:t>
      </w:r>
    </w:p>
    <w:bookmarkEnd w:id="138"/>
    <w:p>
      <w:pPr>
        <w:pStyle w:val="3"/>
      </w:pPr>
      <w:bookmarkStart w:id="143" w:name="_Toc13932"/>
      <w:bookmarkStart w:id="144" w:name="_Toc14635"/>
      <w:r>
        <w:rPr>
          <w:rFonts w:hint="eastAsia"/>
          <w:lang w:val="en-US" w:eastAsia="zh-CN"/>
        </w:rPr>
        <w:t>7</w:t>
      </w:r>
      <w:r>
        <w:t xml:space="preserve"> </w:t>
      </w:r>
      <w:r>
        <w:rPr>
          <w:rFonts w:hint="eastAsia"/>
        </w:rPr>
        <w:t xml:space="preserve"> </w:t>
      </w:r>
      <w:r>
        <w:rPr>
          <w:rFonts w:hint="eastAsia" w:ascii="楷体" w:hAnsi="楷体" w:eastAsia="楷体" w:cs="楷体"/>
        </w:rPr>
        <w:t>隐患整改复查情况</w:t>
      </w:r>
      <w:bookmarkEnd w:id="143"/>
      <w:bookmarkEnd w:id="144"/>
    </w:p>
    <w:p>
      <w:pPr>
        <w:ind w:firstLine="560"/>
        <w:rPr>
          <w:snapToGrid w:val="0"/>
          <w:kern w:val="0"/>
        </w:rPr>
      </w:pPr>
      <w:r>
        <w:rPr>
          <w:snapToGrid w:val="0"/>
          <w:kern w:val="0"/>
        </w:rPr>
        <w:t>企业接受了本评价组提出的整改建议，对存在的问题进行了整改，本评价组对企业整改情况进行了现场复查，整改复查情况见表：</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pPr>
      <w:r>
        <w:rPr>
          <w:rFonts w:hint="eastAsia"/>
          <w:b/>
          <w:bCs/>
          <w:sz w:val="24"/>
          <w:szCs w:val="24"/>
        </w:rPr>
        <w:t>表</w:t>
      </w:r>
      <w:r>
        <w:rPr>
          <w:rFonts w:hint="eastAsia"/>
          <w:b/>
          <w:bCs/>
          <w:sz w:val="24"/>
          <w:szCs w:val="24"/>
          <w:lang w:val="en-US" w:eastAsia="zh-CN"/>
        </w:rPr>
        <w:t>7</w:t>
      </w:r>
      <w:r>
        <w:rPr>
          <w:rFonts w:hint="eastAsia"/>
          <w:b/>
          <w:bCs/>
          <w:sz w:val="24"/>
          <w:szCs w:val="24"/>
        </w:rPr>
        <w:t xml:space="preserve">-1  </w:t>
      </w:r>
      <w:r>
        <w:rPr>
          <w:b/>
          <w:bCs/>
          <w:snapToGrid w:val="0"/>
          <w:kern w:val="0"/>
          <w:sz w:val="24"/>
          <w:szCs w:val="24"/>
        </w:rPr>
        <w:t>整改复查情况表</w:t>
      </w:r>
    </w:p>
    <w:p>
      <w:pPr>
        <w:pStyle w:val="2"/>
        <w:sectPr>
          <w:pgSz w:w="16838" w:h="11906" w:orient="landscape"/>
          <w:pgMar w:top="1803" w:right="1440" w:bottom="1803" w:left="1440" w:header="850" w:footer="992" w:gutter="0"/>
          <w:pgBorders>
            <w:top w:val="none" w:sz="0" w:space="0"/>
            <w:left w:val="none" w:sz="0" w:space="0"/>
            <w:bottom w:val="none" w:sz="0" w:space="0"/>
            <w:right w:val="none" w:sz="0" w:space="0"/>
          </w:pgBorders>
          <w:cols w:space="0" w:num="1"/>
          <w:rtlGutter w:val="0"/>
          <w:docGrid w:linePitch="312" w:charSpace="0"/>
        </w:sectPr>
      </w:pPr>
      <w:r>
        <w:rPr>
          <w:rFonts w:hint="eastAsia"/>
          <w:b/>
          <w:bCs/>
          <w:lang w:val="en-US" w:eastAsia="zh-CN"/>
        </w:rPr>
        <w:t>涉及企业机密，不予公开。</w:t>
      </w:r>
    </w:p>
    <w:p>
      <w:pPr>
        <w:keepNext/>
        <w:widowControl w:val="0"/>
        <w:adjustRightInd w:val="0"/>
        <w:snapToGrid w:val="0"/>
        <w:spacing w:line="360" w:lineRule="auto"/>
        <w:ind w:firstLine="0" w:firstLineChars="0"/>
        <w:jc w:val="center"/>
        <w:outlineLvl w:val="0"/>
        <w:rPr>
          <w:rFonts w:ascii="Times New Roman" w:hAnsi="Times New Roman" w:eastAsia="宋体" w:cs="Times New Roman"/>
          <w:b/>
          <w:bCs/>
          <w:kern w:val="2"/>
          <w:sz w:val="36"/>
          <w:szCs w:val="36"/>
          <w:lang w:val="en-US" w:eastAsia="zh-CN" w:bidi="ar-SA"/>
        </w:rPr>
      </w:pPr>
      <w:bookmarkStart w:id="145" w:name="_Toc281310752"/>
      <w:bookmarkStart w:id="146" w:name="_Toc474767232"/>
      <w:bookmarkStart w:id="147" w:name="_Toc14544"/>
      <w:bookmarkStart w:id="148" w:name="_Toc321810989"/>
      <w:bookmarkStart w:id="149" w:name="_Toc4492"/>
      <w:bookmarkStart w:id="150" w:name="_Toc23603"/>
      <w:r>
        <w:rPr>
          <w:rFonts w:hint="eastAsia" w:ascii="Times New Roman" w:hAnsi="Times New Roman" w:eastAsia="宋体" w:cs="Times New Roman"/>
          <w:b/>
          <w:bCs/>
          <w:kern w:val="2"/>
          <w:sz w:val="36"/>
          <w:szCs w:val="36"/>
          <w:lang w:val="en-US" w:eastAsia="zh-CN" w:bidi="ar-SA"/>
        </w:rPr>
        <w:t>8</w:t>
      </w:r>
      <w:r>
        <w:rPr>
          <w:rFonts w:ascii="Times New Roman" w:hAnsi="Times New Roman" w:eastAsia="宋体" w:cs="Times New Roman"/>
          <w:b/>
          <w:bCs/>
          <w:kern w:val="2"/>
          <w:sz w:val="36"/>
          <w:szCs w:val="36"/>
          <w:lang w:val="en-US" w:eastAsia="zh-CN" w:bidi="ar-SA"/>
        </w:rPr>
        <w:t xml:space="preserve"> </w:t>
      </w:r>
      <w:r>
        <w:rPr>
          <w:rFonts w:hint="eastAsia" w:ascii="Times New Roman" w:hAnsi="Times New Roman" w:eastAsia="宋体" w:cs="Times New Roman"/>
          <w:b/>
          <w:bCs/>
          <w:kern w:val="2"/>
          <w:sz w:val="36"/>
          <w:szCs w:val="36"/>
          <w:lang w:val="en-US" w:eastAsia="zh-CN" w:bidi="ar-SA"/>
        </w:rPr>
        <w:t xml:space="preserve"> </w:t>
      </w:r>
      <w:r>
        <w:rPr>
          <w:rFonts w:hint="eastAsia" w:ascii="楷体" w:hAnsi="楷体" w:eastAsia="楷体" w:cs="楷体"/>
          <w:b/>
          <w:bCs/>
          <w:kern w:val="2"/>
          <w:sz w:val="36"/>
          <w:szCs w:val="36"/>
          <w:lang w:val="en-US" w:eastAsia="zh-CN" w:bidi="ar-SA"/>
        </w:rPr>
        <w:t>安全生产条件评价结果</w:t>
      </w:r>
      <w:bookmarkEnd w:id="145"/>
      <w:bookmarkEnd w:id="146"/>
      <w:bookmarkEnd w:id="147"/>
      <w:bookmarkEnd w:id="148"/>
      <w:bookmarkEnd w:id="149"/>
    </w:p>
    <w:p>
      <w:pPr>
        <w:keepNext w:val="0"/>
        <w:keepLines w:val="0"/>
        <w:pageBreakBefore w:val="0"/>
        <w:widowControl w:val="0"/>
        <w:kinsoku/>
        <w:wordWrap/>
        <w:overflowPunct/>
        <w:topLinePunct w:val="0"/>
        <w:autoSpaceDE/>
        <w:autoSpaceDN/>
        <w:bidi w:val="0"/>
        <w:adjustRightInd w:val="0"/>
        <w:snapToGrid w:val="0"/>
        <w:spacing w:before="0" w:after="0" w:line="360" w:lineRule="auto"/>
        <w:ind w:firstLine="0" w:firstLineChars="0"/>
        <w:jc w:val="both"/>
        <w:textAlignment w:val="auto"/>
        <w:outlineLvl w:val="1"/>
        <w:rPr>
          <w:rFonts w:hint="default" w:ascii="Times New Roman" w:hAnsi="Times New Roman" w:eastAsia="黑体" w:cs="Times New Roman"/>
          <w:b/>
          <w:color w:val="000000"/>
          <w:kern w:val="2"/>
          <w:sz w:val="28"/>
          <w:szCs w:val="28"/>
          <w:lang w:val="en-US" w:eastAsia="zh-CN" w:bidi="ar-SA"/>
        </w:rPr>
      </w:pPr>
      <w:bookmarkStart w:id="151" w:name="_Toc27692"/>
      <w:bookmarkStart w:id="152" w:name="_Toc28286"/>
      <w:bookmarkStart w:id="153" w:name="_Toc5621"/>
      <w:r>
        <w:rPr>
          <w:rFonts w:hint="default" w:ascii="Times New Roman" w:hAnsi="Times New Roman" w:eastAsia="黑体" w:cs="Times New Roman"/>
          <w:b w:val="0"/>
          <w:bCs/>
          <w:color w:val="000000"/>
          <w:kern w:val="2"/>
          <w:sz w:val="32"/>
          <w:szCs w:val="32"/>
          <w:lang w:val="en-US" w:eastAsia="zh-CN" w:bidi="ar-SA"/>
        </w:rPr>
        <w:t>8.1</w:t>
      </w:r>
      <w:r>
        <w:rPr>
          <w:rFonts w:hint="eastAsia" w:eastAsia="黑体" w:cs="Times New Roman"/>
          <w:b w:val="0"/>
          <w:bCs/>
          <w:color w:val="000000"/>
          <w:kern w:val="2"/>
          <w:sz w:val="32"/>
          <w:szCs w:val="32"/>
          <w:lang w:val="en-US" w:eastAsia="zh-CN" w:bidi="ar-SA"/>
        </w:rPr>
        <w:t xml:space="preserve"> </w:t>
      </w:r>
      <w:r>
        <w:rPr>
          <w:rFonts w:hint="default" w:ascii="Times New Roman" w:hAnsi="Times New Roman" w:eastAsia="黑体" w:cs="Times New Roman"/>
          <w:b w:val="0"/>
          <w:bCs/>
          <w:color w:val="000000"/>
          <w:kern w:val="2"/>
          <w:sz w:val="32"/>
          <w:szCs w:val="32"/>
          <w:lang w:val="en-US" w:eastAsia="zh-CN" w:bidi="ar-SA"/>
        </w:rPr>
        <w:t xml:space="preserve"> 安全生产条件分析</w:t>
      </w:r>
      <w:bookmarkEnd w:id="151"/>
      <w:bookmarkEnd w:id="152"/>
      <w:bookmarkEnd w:id="153"/>
    </w:p>
    <w:p>
      <w:pPr>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根据</w:t>
      </w:r>
      <w:r>
        <w:rPr>
          <w:rFonts w:hint="default" w:ascii="Times New Roman" w:hAnsi="Times New Roman" w:cs="Times New Roman"/>
          <w:sz w:val="28"/>
          <w:szCs w:val="24"/>
        </w:rPr>
        <w:t>《非煤矿矿山企业安全生产许可证实施办法》</w:t>
      </w:r>
      <w:r>
        <w:rPr>
          <w:rFonts w:hint="default" w:ascii="Times New Roman" w:hAnsi="Times New Roman" w:cs="Times New Roman"/>
          <w:sz w:val="28"/>
          <w:szCs w:val="24"/>
          <w:lang w:eastAsia="zh-CN"/>
        </w:rPr>
        <w:t>（</w:t>
      </w:r>
      <w:r>
        <w:rPr>
          <w:rFonts w:hint="default" w:ascii="Times New Roman" w:hAnsi="Times New Roman" w:cs="Times New Roman"/>
          <w:sz w:val="28"/>
          <w:szCs w:val="24"/>
        </w:rPr>
        <w:t>国家安全生产监督管理总局令[2009]第20号，2015修订版</w:t>
      </w:r>
      <w:r>
        <w:rPr>
          <w:rFonts w:hint="default" w:ascii="Times New Roman" w:hAnsi="Times New Roman" w:cs="Times New Roman"/>
          <w:sz w:val="28"/>
          <w:szCs w:val="24"/>
          <w:lang w:eastAsia="zh-CN"/>
        </w:rPr>
        <w:t>）</w:t>
      </w:r>
      <w:r>
        <w:rPr>
          <w:rFonts w:hint="default"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《山东省非煤矿矿山企业安全生产许可证实施方案》（鲁安监发[2009]133号）和本报告第5</w:t>
      </w:r>
      <w:r>
        <w:rPr>
          <w:rFonts w:hint="default" w:ascii="Times New Roman" w:hAnsi="Times New Roman" w:cs="Times New Roman"/>
          <w:color w:val="000000"/>
          <w:sz w:val="28"/>
          <w:szCs w:val="28"/>
          <w:lang w:val="en-US" w:eastAsia="zh-CN"/>
        </w:rPr>
        <w:t>、6、7章</w:t>
      </w:r>
      <w:r>
        <w:rPr>
          <w:rFonts w:hint="default" w:ascii="Times New Roman" w:hAnsi="Times New Roman" w:cs="Times New Roman"/>
          <w:color w:val="000000"/>
          <w:sz w:val="28"/>
          <w:szCs w:val="28"/>
        </w:rPr>
        <w:t>的安全检查表的详细检查情况</w:t>
      </w:r>
      <w:r>
        <w:rPr>
          <w:rFonts w:hint="default" w:ascii="Times New Roman" w:hAnsi="Times New Roman" w:cs="Times New Roman"/>
          <w:color w:val="000000"/>
          <w:sz w:val="28"/>
          <w:szCs w:val="28"/>
          <w:lang w:eastAsia="zh-CN"/>
        </w:rPr>
        <w:t>、安全对策措施</w:t>
      </w:r>
      <w:r>
        <w:rPr>
          <w:rFonts w:hint="default" w:ascii="Times New Roman" w:hAnsi="Times New Roman" w:cs="Times New Roman"/>
          <w:color w:val="000000"/>
          <w:sz w:val="28"/>
          <w:szCs w:val="28"/>
          <w:lang w:val="en-US" w:eastAsia="zh-CN"/>
        </w:rPr>
        <w:t>和隐患整改复查情况</w:t>
      </w:r>
      <w:r>
        <w:rPr>
          <w:rFonts w:hint="default" w:ascii="Times New Roman" w:hAnsi="Times New Roman" w:cs="Times New Roman"/>
          <w:color w:val="000000"/>
          <w:sz w:val="28"/>
          <w:szCs w:val="28"/>
        </w:rPr>
        <w:t>，对</w:t>
      </w:r>
      <w:r>
        <w:rPr>
          <w:rFonts w:hint="default" w:ascii="Times New Roman" w:hAnsi="Times New Roman" w:cs="Times New Roman"/>
          <w:color w:val="auto"/>
          <w:sz w:val="28"/>
          <w:szCs w:val="28"/>
          <w:lang w:val="en-US" w:eastAsia="zh-CN"/>
        </w:rPr>
        <w:t>东营大明钻井有限责任公司钻井（钻井施工）项目</w:t>
      </w:r>
      <w:r>
        <w:rPr>
          <w:rFonts w:hint="default" w:ascii="Times New Roman" w:hAnsi="Times New Roman" w:cs="Times New Roman"/>
          <w:color w:val="auto"/>
          <w:sz w:val="28"/>
          <w:szCs w:val="28"/>
        </w:rPr>
        <w:t>是</w:t>
      </w:r>
      <w:r>
        <w:rPr>
          <w:rFonts w:hint="default" w:ascii="Times New Roman" w:hAnsi="Times New Roman" w:cs="Times New Roman"/>
          <w:color w:val="000000"/>
          <w:sz w:val="28"/>
          <w:szCs w:val="28"/>
        </w:rPr>
        <w:t>否具备非煤矿矿山企业的安全生产条件进行</w:t>
      </w:r>
      <w:r>
        <w:rPr>
          <w:rFonts w:hint="default" w:ascii="Times New Roman" w:hAnsi="Times New Roman" w:cs="Times New Roman"/>
          <w:color w:val="000000"/>
          <w:sz w:val="28"/>
          <w:szCs w:val="28"/>
          <w:lang w:val="en-US" w:eastAsia="zh-CN"/>
        </w:rPr>
        <w:t>评价</w:t>
      </w:r>
      <w:r>
        <w:rPr>
          <w:rFonts w:hint="default" w:ascii="Times New Roman" w:hAnsi="Times New Roman" w:cs="Times New Roman"/>
          <w:color w:val="000000"/>
          <w:sz w:val="28"/>
          <w:szCs w:val="28"/>
        </w:rPr>
        <w:t>，</w:t>
      </w:r>
      <w:r>
        <w:rPr>
          <w:rFonts w:hint="default" w:ascii="Times New Roman" w:hAnsi="Times New Roman" w:cs="Times New Roman"/>
          <w:color w:val="000000"/>
          <w:sz w:val="28"/>
          <w:szCs w:val="28"/>
          <w:lang w:val="en-US" w:eastAsia="zh-CN"/>
        </w:rPr>
        <w:t>评价</w:t>
      </w:r>
      <w:r>
        <w:rPr>
          <w:rFonts w:hint="default" w:ascii="Times New Roman" w:hAnsi="Times New Roman" w:cs="Times New Roman"/>
          <w:color w:val="000000"/>
          <w:sz w:val="28"/>
          <w:szCs w:val="28"/>
        </w:rPr>
        <w:t>结果汇总如下，见下表</w:t>
      </w:r>
      <w:r>
        <w:rPr>
          <w:rFonts w:hint="default" w:ascii="Times New Roman" w:hAnsi="Times New Roman" w:cs="Times New Roman"/>
          <w:color w:val="000000"/>
          <w:sz w:val="28"/>
          <w:szCs w:val="28"/>
          <w:lang w:val="en-US" w:eastAsia="zh-CN"/>
        </w:rPr>
        <w:t>8</w:t>
      </w:r>
      <w:r>
        <w:rPr>
          <w:rFonts w:hint="default" w:ascii="Times New Roman" w:hAnsi="Times New Roman" w:cs="Times New Roman"/>
          <w:color w:val="000000"/>
          <w:sz w:val="28"/>
          <w:szCs w:val="28"/>
        </w:rPr>
        <w:t>-1。</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sz w:val="24"/>
          <w:szCs w:val="28"/>
          <w:lang w:val="en-US" w:eastAsia="zh-CN"/>
        </w:rPr>
      </w:pPr>
      <w:r>
        <w:rPr>
          <w:rFonts w:hint="default" w:ascii="Times New Roman" w:hAnsi="Times New Roman" w:cs="Times New Roman"/>
          <w:b/>
          <w:sz w:val="24"/>
          <w:szCs w:val="28"/>
        </w:rPr>
        <w:t>表</w:t>
      </w:r>
      <w:r>
        <w:rPr>
          <w:rFonts w:hint="default" w:ascii="Times New Roman" w:hAnsi="Times New Roman" w:cs="Times New Roman"/>
          <w:b/>
          <w:sz w:val="24"/>
          <w:szCs w:val="28"/>
          <w:lang w:val="en-US" w:eastAsia="zh-CN"/>
        </w:rPr>
        <w:t>8</w:t>
      </w:r>
      <w:r>
        <w:rPr>
          <w:rFonts w:hint="default" w:ascii="Times New Roman" w:hAnsi="Times New Roman" w:cs="Times New Roman"/>
          <w:b/>
          <w:sz w:val="24"/>
          <w:szCs w:val="28"/>
        </w:rPr>
        <w:t>-</w:t>
      </w:r>
      <w:r>
        <w:rPr>
          <w:rFonts w:hint="default" w:ascii="Times New Roman" w:hAnsi="Times New Roman" w:cs="Times New Roman"/>
          <w:b/>
          <w:sz w:val="24"/>
          <w:szCs w:val="28"/>
          <w:lang w:val="en-US" w:eastAsia="zh-CN"/>
        </w:rPr>
        <w:t>1</w:t>
      </w:r>
      <w:r>
        <w:rPr>
          <w:rFonts w:hint="default" w:ascii="Times New Roman" w:hAnsi="Times New Roman" w:cs="Times New Roman"/>
          <w:b/>
          <w:sz w:val="24"/>
          <w:szCs w:val="28"/>
        </w:rPr>
        <w:t xml:space="preserve"> </w:t>
      </w:r>
      <w:r>
        <w:rPr>
          <w:rFonts w:hint="default" w:ascii="Times New Roman" w:hAnsi="Times New Roman" w:eastAsia="宋体" w:cs="Times New Roman"/>
          <w:b/>
          <w:sz w:val="24"/>
          <w:szCs w:val="28"/>
          <w:lang w:val="en-US" w:eastAsia="zh-CN"/>
        </w:rPr>
        <w:t>非煤矿矿山企业安全生产许可证安全生产条件评价表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2" w:firstLineChars="200"/>
        <w:textAlignment w:val="auto"/>
        <w:rPr>
          <w:rFonts w:hint="default" w:ascii="Times New Roman" w:hAnsi="Times New Roman" w:cs="Times New Roman"/>
          <w:color w:val="000000"/>
          <w:sz w:val="28"/>
          <w:szCs w:val="28"/>
          <w:lang w:val="en-US" w:eastAsia="zh-CN"/>
        </w:rPr>
      </w:pPr>
      <w:r>
        <w:rPr>
          <w:rFonts w:hint="eastAsia"/>
          <w:b/>
          <w:bCs/>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cs="Times New Roman"/>
          <w:color w:val="000000"/>
          <w:sz w:val="28"/>
          <w:szCs w:val="28"/>
          <w:lang w:val="en-US" w:eastAsia="zh-CN"/>
        </w:rPr>
      </w:pPr>
      <w:r>
        <w:rPr>
          <w:rFonts w:hint="default" w:ascii="Times New Roman" w:hAnsi="Times New Roman" w:cs="Times New Roman"/>
          <w:color w:val="000000"/>
          <w:sz w:val="28"/>
          <w:szCs w:val="28"/>
          <w:lang w:val="en-US" w:eastAsia="zh-CN"/>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lang w:eastAsia="zh-CN"/>
        </w:rPr>
      </w:pPr>
      <w:r>
        <w:rPr>
          <w:rFonts w:hint="default" w:ascii="Times New Roman" w:hAnsi="Times New Roman" w:cs="Times New Roman"/>
          <w:color w:val="000000"/>
          <w:sz w:val="28"/>
          <w:szCs w:val="28"/>
          <w:lang w:val="en-US" w:eastAsia="zh-CN"/>
        </w:rPr>
        <w:t>经过现场检查和评价，该企业涉及的井下作业项目取证安全生产条件有1</w:t>
      </w:r>
      <w:r>
        <w:rPr>
          <w:rFonts w:hint="eastAsia" w:ascii="Times New Roman" w:hAnsi="Times New Roman" w:cs="Times New Roman"/>
          <w:color w:val="000000"/>
          <w:sz w:val="28"/>
          <w:szCs w:val="28"/>
          <w:lang w:val="en-US" w:eastAsia="zh-CN"/>
        </w:rPr>
        <w:t>1</w:t>
      </w:r>
      <w:r>
        <w:rPr>
          <w:rFonts w:hint="default" w:ascii="Times New Roman" w:hAnsi="Times New Roman" w:cs="Times New Roman"/>
          <w:color w:val="000000"/>
          <w:sz w:val="28"/>
          <w:szCs w:val="28"/>
          <w:lang w:val="en-US" w:eastAsia="zh-CN"/>
        </w:rPr>
        <w:t>项检查项为符合，无不符合项，1项检查项为不涉及，因此</w:t>
      </w:r>
      <w:r>
        <w:rPr>
          <w:rFonts w:hint="eastAsia" w:ascii="Times New Roman" w:hAnsi="Times New Roman" w:cs="Times New Roman"/>
          <w:color w:val="auto"/>
          <w:sz w:val="28"/>
          <w:szCs w:val="28"/>
          <w:lang w:val="en-US" w:eastAsia="zh-CN"/>
        </w:rPr>
        <w:t>东营大明钻井有限责任公司</w:t>
      </w:r>
      <w:r>
        <w:rPr>
          <w:rFonts w:hint="default" w:ascii="Times New Roman" w:hAnsi="Times New Roman" w:cs="Times New Roman"/>
          <w:b w:val="0"/>
          <w:bCs/>
          <w:smallCaps w:val="0"/>
          <w:sz w:val="28"/>
          <w:szCs w:val="24"/>
          <w:lang w:val="en-US" w:eastAsia="zh-CN"/>
        </w:rPr>
        <w:t>具备</w:t>
      </w:r>
      <w:r>
        <w:rPr>
          <w:rFonts w:hint="eastAsia" w:ascii="Times New Roman" w:hAnsi="Times New Roman" w:cs="Times New Roman"/>
          <w:b w:val="0"/>
          <w:bCs/>
          <w:smallCaps w:val="0"/>
          <w:sz w:val="28"/>
          <w:szCs w:val="24"/>
          <w:lang w:val="en-US" w:eastAsia="zh-CN"/>
        </w:rPr>
        <w:t>钻井（钻井施工）</w:t>
      </w:r>
      <w:r>
        <w:rPr>
          <w:rFonts w:hint="default" w:ascii="Times New Roman" w:hAnsi="Times New Roman" w:cs="Times New Roman"/>
          <w:b w:val="0"/>
          <w:bCs/>
          <w:smallCaps w:val="0"/>
          <w:sz w:val="28"/>
          <w:szCs w:val="24"/>
          <w:lang w:val="en-US" w:eastAsia="zh-CN"/>
        </w:rPr>
        <w:t>的安全生产条件</w:t>
      </w:r>
      <w:r>
        <w:rPr>
          <w:rFonts w:hint="default" w:ascii="Times New Roman" w:hAnsi="Times New Roman" w:cs="Times New Roman"/>
          <w:color w:val="000000"/>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b/>
          <w:sz w:val="24"/>
          <w:szCs w:val="28"/>
          <w:lang w:val="en-US" w:eastAsia="zh-CN"/>
        </w:rPr>
      </w:pPr>
      <w:r>
        <w:rPr>
          <w:rFonts w:hint="default" w:ascii="Times New Roman" w:hAnsi="Times New Roman" w:cs="Times New Roman"/>
          <w:b/>
          <w:sz w:val="24"/>
          <w:szCs w:val="28"/>
        </w:rPr>
        <w:t>表</w:t>
      </w:r>
      <w:r>
        <w:rPr>
          <w:rFonts w:hint="default" w:ascii="Times New Roman" w:hAnsi="Times New Roman" w:cs="Times New Roman"/>
          <w:b/>
          <w:sz w:val="24"/>
          <w:szCs w:val="28"/>
          <w:lang w:val="en-US" w:eastAsia="zh-CN"/>
        </w:rPr>
        <w:t>8</w:t>
      </w:r>
      <w:r>
        <w:rPr>
          <w:rFonts w:hint="default" w:ascii="Times New Roman" w:hAnsi="Times New Roman" w:cs="Times New Roman"/>
          <w:b/>
          <w:sz w:val="24"/>
          <w:szCs w:val="28"/>
        </w:rPr>
        <w:t>-</w:t>
      </w:r>
      <w:r>
        <w:rPr>
          <w:rFonts w:hint="default" w:ascii="Times New Roman" w:hAnsi="Times New Roman" w:cs="Times New Roman"/>
          <w:b/>
          <w:sz w:val="24"/>
          <w:szCs w:val="28"/>
          <w:lang w:val="en-US" w:eastAsia="zh-CN"/>
        </w:rPr>
        <w:t>2</w:t>
      </w:r>
      <w:r>
        <w:rPr>
          <w:rFonts w:hint="default" w:ascii="Times New Roman" w:hAnsi="Times New Roman" w:cs="Times New Roman"/>
          <w:b/>
          <w:sz w:val="24"/>
          <w:szCs w:val="28"/>
        </w:rPr>
        <w:t xml:space="preserve"> </w:t>
      </w:r>
      <w:r>
        <w:rPr>
          <w:rFonts w:hint="eastAsia" w:cs="Times New Roman"/>
          <w:b/>
          <w:sz w:val="24"/>
          <w:szCs w:val="28"/>
          <w:lang w:val="en-US" w:eastAsia="zh-CN"/>
        </w:rPr>
        <w:t xml:space="preserve"> </w:t>
      </w:r>
      <w:r>
        <w:rPr>
          <w:rFonts w:hint="default" w:ascii="Times New Roman" w:hAnsi="Times New Roman" w:eastAsia="宋体" w:cs="Times New Roman"/>
          <w:b/>
          <w:sz w:val="24"/>
          <w:szCs w:val="28"/>
          <w:lang w:val="en-US" w:eastAsia="zh-CN"/>
        </w:rPr>
        <w:t>非煤矿矿山企业安全生产许可证</w:t>
      </w:r>
      <w:r>
        <w:rPr>
          <w:rFonts w:hint="default" w:ascii="Times New Roman" w:hAnsi="Times New Roman" w:cs="Times New Roman"/>
          <w:b/>
          <w:sz w:val="24"/>
          <w:szCs w:val="28"/>
          <w:lang w:val="en-US" w:eastAsia="zh-CN"/>
        </w:rPr>
        <w:t>审查书</w:t>
      </w:r>
    </w:p>
    <w:p>
      <w:pPr>
        <w:adjustRightInd w:val="0"/>
        <w:snapToGrid w:val="0"/>
        <w:spacing w:line="240" w:lineRule="auto"/>
        <w:ind w:firstLine="562" w:firstLineChars="200"/>
        <w:rPr>
          <w:rFonts w:hint="default" w:ascii="Times New Roman" w:hAnsi="Times New Roman" w:cs="Times New Roman"/>
          <w:color w:val="000000"/>
          <w:sz w:val="21"/>
          <w:szCs w:val="21"/>
        </w:rPr>
      </w:pPr>
      <w:r>
        <w:rPr>
          <w:rFonts w:hint="eastAsia"/>
          <w:b/>
          <w:bCs/>
          <w:lang w:val="en-US" w:eastAsia="zh-CN"/>
        </w:rPr>
        <w:t>涉及企业机密，不予公开。</w:t>
      </w:r>
    </w:p>
    <w:p>
      <w:pPr>
        <w:adjustRightInd w:val="0"/>
        <w:snapToGrid w:val="0"/>
        <w:spacing w:line="240" w:lineRule="auto"/>
        <w:ind w:firstLine="420" w:firstLineChars="200"/>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注</w:t>
      </w:r>
      <w:r>
        <w:rPr>
          <w:rFonts w:hint="default" w:ascii="Times New Roman" w:hAnsi="Times New Roman" w:cs="Times New Roman"/>
          <w:color w:val="000000"/>
          <w:sz w:val="21"/>
          <w:szCs w:val="21"/>
          <w:lang w:eastAsia="zh-CN"/>
        </w:rPr>
        <w:t>：</w:t>
      </w:r>
      <w:r>
        <w:rPr>
          <w:rFonts w:hint="default" w:ascii="Times New Roman" w:hAnsi="Times New Roman" w:cs="Times New Roman"/>
          <w:color w:val="000000"/>
          <w:sz w:val="21"/>
          <w:szCs w:val="21"/>
        </w:rPr>
        <w:t>非煤矿矿山企业总部申请安全生产许可证，需审查第1、3、4、5、6项；金属非金属矿山企业申请安全生产许可证，需审查第1-12项，如果该单位从事爆破作业，还需审查第13项；尾矿库申请安全生产许可证，需审查第1、3、4、5、6、7、8、9、10、11、12项；地质勘探单位和采掘施工企业申请安全生产许可证，需审查第1、2、3、4、5、6、7、9、10、11项，如果该单位从事爆破作业，还需审查第13项；石油天然气勘探、开发生产和储运（陆上采油气、海上采油气、物探、钻井、测井、录井、井下作业、油田建设、海油工程、储运）单位申请安全生产许可证，需审查第1、3、4、5、6、7、8、9、10、11项（其中陆上采油气、海上采油气单位需增加审查第2、12项，储运单位需增加审查第12项）。</w:t>
      </w:r>
    </w:p>
    <w:p>
      <w:pPr>
        <w:keepNext w:val="0"/>
        <w:keepLines w:val="0"/>
        <w:pageBreakBefore w:val="0"/>
        <w:widowControl w:val="0"/>
        <w:kinsoku/>
        <w:wordWrap/>
        <w:overflowPunct/>
        <w:topLinePunct w:val="0"/>
        <w:autoSpaceDE/>
        <w:autoSpaceDN/>
        <w:bidi w:val="0"/>
        <w:adjustRightInd w:val="0"/>
        <w:snapToGrid w:val="0"/>
        <w:spacing w:before="161" w:beforeLines="50" w:line="360" w:lineRule="auto"/>
        <w:ind w:firstLine="560" w:firstLineChars="200"/>
        <w:textAlignment w:val="auto"/>
        <w:rPr>
          <w:rFonts w:hint="default" w:ascii="Times New Roman" w:hAnsi="Times New Roman" w:cs="Times New Roman"/>
          <w:color w:val="000000"/>
          <w:sz w:val="28"/>
          <w:szCs w:val="28"/>
          <w:lang w:val="en-US" w:eastAsia="zh-CN"/>
        </w:rPr>
      </w:pPr>
      <w:r>
        <w:rPr>
          <w:rFonts w:hint="default" w:ascii="Times New Roman" w:hAnsi="Times New Roman" w:cs="Times New Roman"/>
          <w:color w:val="000000"/>
          <w:sz w:val="28"/>
          <w:szCs w:val="28"/>
          <w:lang w:val="en-US" w:eastAsia="zh-CN"/>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lang w:eastAsia="zh-CN"/>
        </w:rPr>
      </w:pPr>
      <w:r>
        <w:rPr>
          <w:rFonts w:hint="default" w:ascii="Times New Roman" w:hAnsi="Times New Roman" w:cs="Times New Roman"/>
          <w:color w:val="000000"/>
          <w:sz w:val="28"/>
          <w:szCs w:val="28"/>
          <w:lang w:val="en-US" w:eastAsia="zh-CN"/>
        </w:rPr>
        <w:t>经过现场检查和评价，该企业涉及的井下作业项目有</w:t>
      </w:r>
      <w:r>
        <w:rPr>
          <w:rFonts w:hint="default" w:ascii="Times New Roman" w:hAnsi="Times New Roman" w:cs="Times New Roman"/>
          <w:color w:val="auto"/>
          <w:sz w:val="28"/>
          <w:szCs w:val="28"/>
          <w:lang w:val="en-US" w:eastAsia="zh-CN"/>
        </w:rPr>
        <w:t>10项审查项为符合，无不符合项，3项审查项为不涉及，</w:t>
      </w:r>
      <w:r>
        <w:rPr>
          <w:rFonts w:hint="default" w:ascii="Times New Roman" w:hAnsi="Times New Roman" w:cs="Times New Roman"/>
          <w:color w:val="000000"/>
          <w:sz w:val="28"/>
          <w:szCs w:val="28"/>
          <w:lang w:val="en-US" w:eastAsia="zh-CN"/>
        </w:rPr>
        <w:t>因此</w:t>
      </w:r>
      <w:r>
        <w:rPr>
          <w:rFonts w:hint="eastAsia" w:ascii="Times New Roman" w:hAnsi="Times New Roman" w:cs="Times New Roman"/>
          <w:b w:val="0"/>
          <w:bCs/>
          <w:smallCaps w:val="0"/>
          <w:sz w:val="28"/>
          <w:szCs w:val="24"/>
          <w:lang w:val="en-US" w:eastAsia="zh-CN"/>
        </w:rPr>
        <w:t>东营大明钻井有限责任公司</w:t>
      </w:r>
      <w:r>
        <w:rPr>
          <w:rFonts w:hint="default" w:ascii="Times New Roman" w:hAnsi="Times New Roman" w:cs="Times New Roman"/>
          <w:b w:val="0"/>
          <w:bCs/>
          <w:smallCaps w:val="0"/>
          <w:sz w:val="28"/>
          <w:szCs w:val="24"/>
          <w:lang w:eastAsia="zh-CN"/>
        </w:rPr>
        <w:t>钻井（钻井施工）项目</w:t>
      </w:r>
      <w:r>
        <w:rPr>
          <w:rFonts w:hint="default" w:ascii="Times New Roman" w:hAnsi="Times New Roman" w:cs="Times New Roman"/>
          <w:b w:val="0"/>
          <w:bCs/>
          <w:smallCaps w:val="0"/>
          <w:sz w:val="28"/>
          <w:szCs w:val="24"/>
          <w:lang w:val="en-US" w:eastAsia="zh-CN"/>
        </w:rPr>
        <w:t>的审查条件符合要求</w:t>
      </w:r>
      <w:r>
        <w:rPr>
          <w:rFonts w:hint="default" w:ascii="Times New Roman" w:hAnsi="Times New Roman" w:cs="Times New Roman"/>
          <w:color w:val="000000"/>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before="0" w:after="0" w:line="360" w:lineRule="auto"/>
        <w:ind w:firstLine="0" w:firstLineChars="0"/>
        <w:jc w:val="both"/>
        <w:textAlignment w:val="auto"/>
        <w:outlineLvl w:val="1"/>
        <w:rPr>
          <w:rFonts w:hint="default" w:ascii="Times New Roman" w:hAnsi="Times New Roman" w:eastAsia="黑体" w:cs="Times New Roman"/>
          <w:b w:val="0"/>
          <w:bCs/>
          <w:color w:val="000000"/>
          <w:kern w:val="2"/>
          <w:sz w:val="32"/>
          <w:szCs w:val="32"/>
          <w:lang w:val="en-US" w:eastAsia="zh-CN" w:bidi="ar-SA"/>
        </w:rPr>
      </w:pPr>
      <w:bookmarkStart w:id="154" w:name="_Toc32451"/>
      <w:bookmarkStart w:id="155" w:name="_Toc2441"/>
      <w:bookmarkStart w:id="156" w:name="_Toc27600"/>
      <w:bookmarkStart w:id="157" w:name="_Toc12531"/>
      <w:r>
        <w:rPr>
          <w:rFonts w:hint="default" w:ascii="Times New Roman" w:hAnsi="Times New Roman" w:eastAsia="黑体" w:cs="Times New Roman"/>
          <w:b w:val="0"/>
          <w:bCs/>
          <w:color w:val="000000"/>
          <w:kern w:val="2"/>
          <w:sz w:val="32"/>
          <w:szCs w:val="32"/>
          <w:lang w:val="en-US" w:eastAsia="zh-CN" w:bidi="ar-SA"/>
        </w:rPr>
        <w:t>8.2</w:t>
      </w:r>
      <w:bookmarkEnd w:id="154"/>
      <w:r>
        <w:rPr>
          <w:rFonts w:hint="eastAsia" w:ascii="Times New Roman" w:hAnsi="Times New Roman" w:eastAsia="黑体" w:cs="Times New Roman"/>
          <w:b w:val="0"/>
          <w:bCs/>
          <w:color w:val="000000"/>
          <w:kern w:val="2"/>
          <w:sz w:val="32"/>
          <w:szCs w:val="32"/>
          <w:lang w:val="en-US" w:eastAsia="zh-CN" w:bidi="ar-SA"/>
        </w:rPr>
        <w:t xml:space="preserve"> </w:t>
      </w:r>
      <w:r>
        <w:rPr>
          <w:rFonts w:hint="eastAsia" w:eastAsia="黑体" w:cs="Times New Roman"/>
          <w:b w:val="0"/>
          <w:bCs/>
          <w:color w:val="000000"/>
          <w:kern w:val="2"/>
          <w:sz w:val="32"/>
          <w:szCs w:val="32"/>
          <w:lang w:val="en-US" w:eastAsia="zh-CN" w:bidi="ar-SA"/>
        </w:rPr>
        <w:t xml:space="preserve"> </w:t>
      </w:r>
      <w:r>
        <w:rPr>
          <w:rFonts w:hint="default" w:ascii="Times New Roman" w:hAnsi="Times New Roman" w:eastAsia="黑体" w:cs="Times New Roman"/>
          <w:b w:val="0"/>
          <w:bCs/>
          <w:color w:val="000000"/>
          <w:kern w:val="2"/>
          <w:sz w:val="32"/>
          <w:szCs w:val="32"/>
          <w:lang w:val="en-US" w:eastAsia="zh-CN" w:bidi="ar-SA"/>
        </w:rPr>
        <w:t>重大安全风险隐患分析</w:t>
      </w:r>
      <w:bookmarkEnd w:id="155"/>
      <w:bookmarkEnd w:id="156"/>
      <w:bookmarkEnd w:id="157"/>
    </w:p>
    <w:p>
      <w:pPr>
        <w:keepNext w:val="0"/>
        <w:keepLines w:val="0"/>
        <w:pageBreakBefore w:val="0"/>
        <w:widowControl w:val="0"/>
        <w:kinsoku/>
        <w:wordWrap/>
        <w:overflowPunct/>
        <w:topLinePunct w:val="0"/>
        <w:autoSpaceDE/>
        <w:autoSpaceDN/>
        <w:bidi w:val="0"/>
        <w:adjustRightInd w:val="0"/>
        <w:snapToGrid w:val="0"/>
        <w:spacing w:before="0" w:beforeLines="0" w:line="360" w:lineRule="auto"/>
        <w:ind w:firstLine="560" w:firstLineChars="200"/>
        <w:jc w:val="both"/>
        <w:textAlignment w:val="auto"/>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根据《重点行业领域重大安全风险隐患清单》（鲁安发[2022]11号），对本项目是否涉及重大安全风险隐患判定情况如下：</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sz w:val="24"/>
          <w:szCs w:val="24"/>
        </w:rPr>
      </w:pPr>
      <w:r>
        <w:rPr>
          <w:rFonts w:hint="default" w:ascii="Times New Roman" w:hAnsi="Times New Roman" w:cs="Times New Roman"/>
          <w:b/>
          <w:sz w:val="24"/>
          <w:szCs w:val="24"/>
        </w:rPr>
        <w:t>表</w:t>
      </w:r>
      <w:r>
        <w:rPr>
          <w:rFonts w:hint="default" w:ascii="Times New Roman" w:hAnsi="Times New Roman" w:cs="Times New Roman"/>
          <w:b/>
          <w:sz w:val="24"/>
          <w:szCs w:val="24"/>
          <w:lang w:val="en-US" w:eastAsia="zh-CN"/>
        </w:rPr>
        <w:t>8</w:t>
      </w:r>
      <w:r>
        <w:rPr>
          <w:rFonts w:hint="default" w:ascii="Times New Roman" w:hAnsi="Times New Roman" w:cs="Times New Roman"/>
          <w:b/>
          <w:sz w:val="24"/>
          <w:szCs w:val="24"/>
        </w:rPr>
        <w:t>-</w:t>
      </w:r>
      <w:r>
        <w:rPr>
          <w:rFonts w:hint="default" w:ascii="Times New Roman" w:hAnsi="Times New Roman" w:cs="Times New Roman"/>
          <w:b/>
          <w:sz w:val="24"/>
          <w:szCs w:val="24"/>
          <w:lang w:val="en-US" w:eastAsia="zh-CN"/>
        </w:rPr>
        <w:t>3</w:t>
      </w:r>
      <w:r>
        <w:rPr>
          <w:rFonts w:hint="default" w:ascii="Times New Roman" w:hAnsi="Times New Roman" w:cs="Times New Roman"/>
          <w:b/>
          <w:sz w:val="24"/>
          <w:szCs w:val="24"/>
        </w:rPr>
        <w:t xml:space="preserve">  重大安全</w:t>
      </w:r>
      <w:r>
        <w:rPr>
          <w:rFonts w:hint="default" w:ascii="Times New Roman" w:hAnsi="Times New Roman" w:cs="Times New Roman"/>
          <w:b/>
          <w:sz w:val="24"/>
          <w:szCs w:val="24"/>
          <w:lang w:eastAsia="zh-CN"/>
        </w:rPr>
        <w:t>风险</w:t>
      </w:r>
      <w:r>
        <w:rPr>
          <w:rFonts w:hint="default" w:ascii="Times New Roman" w:hAnsi="Times New Roman" w:cs="Times New Roman"/>
          <w:b/>
          <w:sz w:val="24"/>
          <w:szCs w:val="24"/>
        </w:rPr>
        <w:t>隐患判定表</w:t>
      </w:r>
    </w:p>
    <w:p>
      <w:pPr>
        <w:keepNext w:val="0"/>
        <w:keepLines w:val="0"/>
        <w:pageBreakBefore w:val="0"/>
        <w:widowControl w:val="0"/>
        <w:kinsoku/>
        <w:wordWrap/>
        <w:overflowPunct/>
        <w:topLinePunct w:val="0"/>
        <w:autoSpaceDE/>
        <w:autoSpaceDN/>
        <w:bidi w:val="0"/>
        <w:adjustRightInd w:val="0"/>
        <w:snapToGrid w:val="0"/>
        <w:spacing w:before="120" w:beforeLines="50" w:line="360" w:lineRule="auto"/>
        <w:ind w:firstLine="562" w:firstLineChars="200"/>
        <w:jc w:val="both"/>
        <w:textAlignment w:val="auto"/>
        <w:rPr>
          <w:rFonts w:hint="default" w:ascii="Times New Roman" w:hAnsi="Times New Roman" w:eastAsia="宋体" w:cs="Times New Roman"/>
          <w:kern w:val="2"/>
          <w:sz w:val="28"/>
          <w:szCs w:val="28"/>
          <w:lang w:val="en-US" w:eastAsia="zh-CN" w:bidi="ar-SA"/>
        </w:rPr>
      </w:pPr>
      <w:r>
        <w:rPr>
          <w:rFonts w:hint="eastAsia"/>
          <w:b/>
          <w:bCs/>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20" w:beforeLines="50" w:line="360" w:lineRule="auto"/>
        <w:ind w:firstLine="560" w:firstLineChars="200"/>
        <w:jc w:val="both"/>
        <w:textAlignment w:val="auto"/>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经分析，该项目不存在《重点行业领域重大安全风险隐患清单》（鲁安发[2022]11号）规定的重大安全风险隐患。</w:t>
      </w:r>
    </w:p>
    <w:p>
      <w:pPr>
        <w:pStyle w:val="54"/>
      </w:pPr>
    </w:p>
    <w:p>
      <w:pPr>
        <w:ind w:firstLine="560"/>
        <w:sectPr>
          <w:footerReference r:id="rId22" w:type="default"/>
          <w:pgSz w:w="11906" w:h="16838"/>
          <w:pgMar w:top="1440" w:right="1803" w:bottom="1440" w:left="1803" w:header="850" w:footer="992" w:gutter="0"/>
          <w:pgBorders>
            <w:top w:val="none" w:sz="0" w:space="0"/>
            <w:left w:val="none" w:sz="0" w:space="0"/>
            <w:bottom w:val="none" w:sz="0" w:space="0"/>
            <w:right w:val="none" w:sz="0" w:space="0"/>
          </w:pgBorders>
          <w:cols w:space="0" w:num="1"/>
          <w:rtlGutter w:val="0"/>
          <w:docGrid w:linePitch="312" w:charSpace="0"/>
        </w:sectPr>
      </w:pPr>
    </w:p>
    <w:p>
      <w:pPr>
        <w:pStyle w:val="3"/>
      </w:pPr>
      <w:bookmarkStart w:id="158" w:name="_Toc9679"/>
      <w:r>
        <w:rPr>
          <w:rFonts w:hint="eastAsia"/>
        </w:rPr>
        <w:t>9</w:t>
      </w:r>
      <w:r>
        <w:t xml:space="preserve"> </w:t>
      </w:r>
      <w:r>
        <w:rPr>
          <w:rFonts w:hint="eastAsia"/>
          <w:lang w:val="en-US" w:eastAsia="zh-CN"/>
        </w:rPr>
        <w:t xml:space="preserve"> </w:t>
      </w:r>
      <w:r>
        <w:rPr>
          <w:rFonts w:hint="eastAsia" w:ascii="楷体" w:hAnsi="楷体" w:eastAsia="楷体" w:cs="楷体"/>
        </w:rPr>
        <w:t>安全现状评价结论</w:t>
      </w:r>
      <w:bookmarkEnd w:id="150"/>
      <w:bookmarkEnd w:id="158"/>
    </w:p>
    <w:p>
      <w:pPr>
        <w:adjustRightInd w:val="0"/>
        <w:snapToGrid w:val="0"/>
        <w:spacing w:line="360" w:lineRule="auto"/>
        <w:ind w:firstLine="573" w:firstLineChars="0"/>
        <w:rPr>
          <w:rFonts w:hint="eastAsia" w:eastAsia="宋体"/>
          <w:color w:val="auto"/>
          <w:sz w:val="28"/>
          <w:szCs w:val="28"/>
          <w:highlight w:val="none"/>
          <w:lang w:val="en-US" w:eastAsia="zh-CN"/>
        </w:rPr>
      </w:pPr>
      <w:r>
        <w:rPr>
          <w:rFonts w:hint="eastAsia" w:ascii="Times New Roman" w:eastAsia="宋体"/>
          <w:color w:val="auto"/>
          <w:sz w:val="28"/>
          <w:szCs w:val="28"/>
          <w:highlight w:val="none"/>
          <w:lang w:val="en-US" w:eastAsia="zh-CN"/>
        </w:rPr>
        <w:t>根据</w:t>
      </w:r>
      <w:r>
        <w:rPr>
          <w:rFonts w:hint="eastAsia"/>
          <w:color w:val="auto"/>
          <w:sz w:val="28"/>
          <w:szCs w:val="28"/>
          <w:highlight w:val="none"/>
          <w:lang w:val="en-US" w:eastAsia="zh-CN"/>
        </w:rPr>
        <w:t>东营大明钻井有限责任公司</w:t>
      </w:r>
      <w:r>
        <w:rPr>
          <w:rFonts w:hint="eastAsia" w:ascii="Times New Roman" w:eastAsia="宋体"/>
          <w:color w:val="auto"/>
          <w:sz w:val="28"/>
          <w:szCs w:val="28"/>
          <w:highlight w:val="none"/>
          <w:lang w:val="en-US" w:eastAsia="zh-CN"/>
        </w:rPr>
        <w:t>提供的有关资料，本次评价在主要危险、有害因素辨识、分析的基础上，依据国家有关法律、法规、技术标准的要求，运用安全检查表等评价方法，对本项目进行了安全现状评价，得出以下评价结论：</w:t>
      </w:r>
    </w:p>
    <w:p>
      <w:pPr>
        <w:adjustRightInd w:val="0"/>
        <w:snapToGrid w:val="0"/>
        <w:spacing w:line="360" w:lineRule="auto"/>
        <w:ind w:firstLine="573" w:firstLineChars="0"/>
        <w:rPr>
          <w:rFonts w:hint="eastAsia"/>
          <w:color w:val="auto"/>
          <w:sz w:val="28"/>
          <w:szCs w:val="28"/>
          <w:highlight w:val="none"/>
        </w:rPr>
      </w:pPr>
      <w:r>
        <w:rPr>
          <w:rFonts w:hint="eastAsia"/>
          <w:color w:val="auto"/>
          <w:sz w:val="28"/>
          <w:szCs w:val="28"/>
          <w:highlight w:val="none"/>
          <w:lang w:eastAsia="zh-CN"/>
        </w:rPr>
        <w:t>东营大明钻井有限责任公司</w:t>
      </w:r>
      <w:r>
        <w:rPr>
          <w:rFonts w:hint="eastAsia"/>
          <w:color w:val="auto"/>
          <w:sz w:val="28"/>
          <w:szCs w:val="28"/>
          <w:highlight w:val="none"/>
          <w:lang w:val="en-US" w:eastAsia="zh-CN"/>
        </w:rPr>
        <w:t>钻井</w:t>
      </w:r>
      <w:r>
        <w:rPr>
          <w:rFonts w:hint="eastAsia"/>
          <w:color w:val="auto"/>
          <w:sz w:val="28"/>
          <w:szCs w:val="28"/>
          <w:highlight w:val="none"/>
        </w:rPr>
        <w:t>施工过程中，涉及的主要危险、有害物质有：原油、天然气、硫化氢、钻井液，以及钻井用柴油、硫化氢燃烧产物二氧化硫等。施工作业过程中存在的主要危险因素有井喷及井喷失控、火灾爆炸、</w:t>
      </w:r>
      <w:r>
        <w:rPr>
          <w:rFonts w:hint="eastAsia"/>
          <w:color w:val="auto"/>
          <w:sz w:val="28"/>
          <w:szCs w:val="28"/>
          <w:highlight w:val="none"/>
          <w:lang w:eastAsia="zh-CN"/>
        </w:rPr>
        <w:t>中毒和窒息</w:t>
      </w:r>
      <w:r>
        <w:rPr>
          <w:rFonts w:hint="eastAsia"/>
          <w:color w:val="auto"/>
          <w:sz w:val="28"/>
          <w:szCs w:val="28"/>
          <w:highlight w:val="none"/>
        </w:rPr>
        <w:t>、物体打击、</w:t>
      </w:r>
      <w:r>
        <w:rPr>
          <w:rFonts w:hint="eastAsia"/>
          <w:color w:val="auto"/>
          <w:sz w:val="28"/>
          <w:szCs w:val="28"/>
          <w:highlight w:val="none"/>
          <w:lang w:val="en-US" w:eastAsia="zh-CN"/>
        </w:rPr>
        <w:t>容器爆炸、</w:t>
      </w:r>
      <w:r>
        <w:rPr>
          <w:rFonts w:hint="eastAsia"/>
          <w:color w:val="auto"/>
          <w:sz w:val="28"/>
          <w:szCs w:val="28"/>
          <w:highlight w:val="none"/>
        </w:rPr>
        <w:t>机械伤害、高处坠落、起重伤害、触电、车辆伤害</w:t>
      </w:r>
      <w:r>
        <w:rPr>
          <w:rFonts w:hint="eastAsia"/>
          <w:color w:val="auto"/>
          <w:sz w:val="28"/>
          <w:szCs w:val="28"/>
          <w:highlight w:val="none"/>
          <w:lang w:eastAsia="zh-CN"/>
        </w:rPr>
        <w:t>、</w:t>
      </w:r>
      <w:r>
        <w:rPr>
          <w:rFonts w:hint="eastAsia"/>
          <w:color w:val="auto"/>
          <w:sz w:val="28"/>
          <w:szCs w:val="28"/>
          <w:highlight w:val="none"/>
          <w:lang w:val="en-US" w:eastAsia="zh-CN"/>
        </w:rPr>
        <w:t>淹溺及其他</w:t>
      </w:r>
      <w:r>
        <w:rPr>
          <w:rFonts w:hint="eastAsia"/>
          <w:color w:val="auto"/>
          <w:sz w:val="28"/>
          <w:szCs w:val="28"/>
          <w:highlight w:val="none"/>
        </w:rPr>
        <w:t>等。自然环境条件对该项目的影响因素有：雷击、地震、洪涝灾害、大风、高温和低温等。通过重大危险源辨识，企业未构成重大危险源。</w:t>
      </w:r>
    </w:p>
    <w:p>
      <w:pPr>
        <w:adjustRightInd w:val="0"/>
        <w:snapToGrid w:val="0"/>
        <w:spacing w:line="360" w:lineRule="auto"/>
        <w:ind w:firstLine="573" w:firstLineChars="0"/>
        <w:rPr>
          <w:rFonts w:hint="eastAsia" w:ascii="Times New Roman" w:eastAsia="宋体"/>
          <w:color w:val="auto"/>
          <w:sz w:val="28"/>
          <w:szCs w:val="24"/>
          <w:highlight w:val="none"/>
          <w:lang w:val="en-US" w:eastAsia="zh-CN"/>
        </w:rPr>
      </w:pPr>
      <w:r>
        <w:rPr>
          <w:rFonts w:hint="eastAsia"/>
          <w:color w:val="auto"/>
          <w:sz w:val="28"/>
          <w:szCs w:val="28"/>
          <w:highlight w:val="none"/>
          <w:lang w:eastAsia="zh-CN"/>
        </w:rPr>
        <w:t>东营大明钻井有限责任公司</w:t>
      </w:r>
      <w:r>
        <w:rPr>
          <w:rFonts w:hint="eastAsia" w:ascii="Times New Roman" w:eastAsia="宋体"/>
          <w:color w:val="auto"/>
          <w:sz w:val="28"/>
          <w:szCs w:val="24"/>
          <w:highlight w:val="none"/>
          <w:lang w:val="en-US" w:eastAsia="zh-CN"/>
        </w:rPr>
        <w:t>安全生产责任制健全、安全管理制度和安全操作规程齐全；依法提取安全生产费用并使用；按要求设置安全生产管理机构，并配备专职安全管理人员；主要负责人、</w:t>
      </w:r>
      <w:r>
        <w:rPr>
          <w:rFonts w:hint="eastAsia"/>
          <w:color w:val="auto"/>
          <w:sz w:val="28"/>
          <w:szCs w:val="24"/>
          <w:highlight w:val="none"/>
          <w:lang w:val="en-US" w:eastAsia="zh-CN"/>
        </w:rPr>
        <w:t>专职</w:t>
      </w:r>
      <w:r>
        <w:rPr>
          <w:rFonts w:hint="eastAsia" w:ascii="Times New Roman" w:eastAsia="宋体"/>
          <w:color w:val="auto"/>
          <w:sz w:val="28"/>
          <w:szCs w:val="24"/>
          <w:highlight w:val="none"/>
          <w:lang w:val="en-US" w:eastAsia="zh-CN"/>
        </w:rPr>
        <w:t>安全管理人员经培训并考核合格，均持有安全合格证；其他从业人员按要求进行教育培训，持证上岗；依法参加工伤保险，为从业人员缴纳工伤保险和安全生产责任险；按规定为从业人员配备符合国家标准要求的劳动防护用品；定期对危险性较大的设备设施、安全设施及附件等进行检测检验；制定有应急救援预案并备案，建立了应急救援组织，配备有必要的应急救援器材、设备，制定有应急演练计划，并按照演练计划进行演练、评估。</w:t>
      </w:r>
    </w:p>
    <w:p>
      <w:pPr>
        <w:ind w:firstLine="562"/>
        <w:rPr>
          <w:rFonts w:hint="eastAsia"/>
          <w:b/>
          <w:lang w:val="en-US" w:eastAsia="zh-CN"/>
        </w:rPr>
      </w:pPr>
      <w:r>
        <w:rPr>
          <w:b/>
        </w:rPr>
        <w:t>综上所述，</w:t>
      </w:r>
      <w:r>
        <w:rPr>
          <w:rFonts w:hint="eastAsia"/>
          <w:b/>
        </w:rPr>
        <w:t>东营大明钻井有限责任公司钻井（钻井施工）项目</w:t>
      </w:r>
      <w:r>
        <w:rPr>
          <w:rFonts w:hint="eastAsia"/>
          <w:b/>
          <w:lang w:val="en-US" w:eastAsia="zh-CN"/>
        </w:rPr>
        <w:t>具备法律法规、标准规范规定的安全生产条件。</w:t>
      </w:r>
    </w:p>
    <w:p>
      <w:pPr>
        <w:pStyle w:val="2"/>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lang w:val="en-US" w:eastAsia="zh-CN"/>
        </w:rPr>
      </w:pPr>
      <w:r>
        <w:rPr>
          <w:rFonts w:hint="eastAsia" w:eastAsia="宋体"/>
          <w:color w:val="auto"/>
          <w:sz w:val="28"/>
          <w:szCs w:val="28"/>
          <w:highlight w:val="none"/>
          <w:lang w:eastAsia="zh-CN"/>
        </w:rPr>
        <w:t>东营大明钻井有限责任公司</w:t>
      </w:r>
      <w:r>
        <w:rPr>
          <w:rFonts w:hint="eastAsia" w:ascii="Times New Roman" w:eastAsia="宋体"/>
          <w:color w:val="auto"/>
          <w:sz w:val="28"/>
          <w:szCs w:val="28"/>
          <w:highlight w:val="none"/>
          <w:lang w:val="en-US" w:eastAsia="zh-CN"/>
        </w:rPr>
        <w:t>还应落实本次安全评价所提出的安全建议措施，特别是三小证过期人员要及时取证，持证上岗；及时更换不符合要求的储气瓶</w:t>
      </w:r>
      <w:r>
        <w:rPr>
          <w:rFonts w:hint="eastAsia"/>
          <w:color w:val="auto"/>
          <w:sz w:val="28"/>
          <w:szCs w:val="28"/>
          <w:highlight w:val="none"/>
          <w:lang w:val="en-US" w:eastAsia="zh-CN"/>
        </w:rPr>
        <w:t>，</w:t>
      </w:r>
      <w:r>
        <w:rPr>
          <w:rFonts w:hint="eastAsia"/>
          <w:color w:val="auto"/>
          <w:sz w:val="28"/>
          <w:szCs w:val="28"/>
          <w:highlight w:val="none"/>
        </w:rPr>
        <w:t>在</w:t>
      </w:r>
      <w:r>
        <w:rPr>
          <w:rFonts w:hint="eastAsia" w:ascii="Times New Roman" w:eastAsia="宋体"/>
          <w:color w:val="auto"/>
          <w:sz w:val="28"/>
          <w:szCs w:val="28"/>
          <w:highlight w:val="none"/>
          <w:lang w:val="en-US" w:eastAsia="zh-CN"/>
        </w:rPr>
        <w:t>以后的</w:t>
      </w:r>
      <w:r>
        <w:rPr>
          <w:rFonts w:hint="eastAsia"/>
          <w:color w:val="auto"/>
          <w:sz w:val="28"/>
          <w:szCs w:val="28"/>
          <w:highlight w:val="none"/>
        </w:rPr>
        <w:t>生产运行过程中，应严格执行各项安全管理制度，落实安全生产责任制，严格遵守各项安全操作规程，持续保持安全生产条件，从组织、管理、制度、人员等各个层面确保安全生产。</w:t>
      </w:r>
      <w:bookmarkEnd w:id="16"/>
    </w:p>
    <w:sectPr>
      <w:footerReference r:id="rId23" w:type="default"/>
      <w:pgSz w:w="11906" w:h="16838"/>
      <w:pgMar w:top="1440" w:right="1803" w:bottom="1440" w:left="1803" w:header="850" w:footer="992" w:gutter="0"/>
      <w:pgBorders>
        <w:top w:val="none" w:sz="0" w:space="0"/>
        <w:left w:val="none" w:sz="0" w:space="0"/>
        <w:bottom w:val="none" w:sz="0" w:space="0"/>
        <w:right w:val="none" w:sz="0" w:space="0"/>
      </w:pgBorders>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Bodoni MT Condensed">
    <w:altName w:val="Segoe Print"/>
    <w:panose1 w:val="02070606080606020203"/>
    <w:charset w:val="00"/>
    <w:family w:val="roman"/>
    <w:pitch w:val="default"/>
    <w:sig w:usb0="00000000"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Arial Unicode MS">
    <w:altName w:val="宋体"/>
    <w:panose1 w:val="020B0604020202020204"/>
    <w:charset w:val="86"/>
    <w:family w:val="swiss"/>
    <w:pitch w:val="default"/>
    <w:sig w:usb0="00000000" w:usb1="00000000" w:usb2="0000003F" w:usb3="00000000" w:csb0="603F01FF" w:csb1="FFFF0000"/>
  </w:font>
  <w:font w:name="方正书宋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ind w:firstLine="360"/>
      <w:rPr>
        <w:rStyle w:val="91"/>
      </w:rPr>
    </w:pPr>
    <w:r>
      <w:fldChar w:fldCharType="begin"/>
    </w:r>
    <w:r>
      <w:rPr>
        <w:rStyle w:val="91"/>
      </w:rPr>
      <w:instrText xml:space="preserve">PAGE  </w:instrText>
    </w:r>
    <w:r>
      <w:fldChar w:fldCharType="separate"/>
    </w:r>
    <w:r>
      <w:rPr>
        <w:rStyle w:val="91"/>
      </w:rPr>
      <w:t>26</w:t>
    </w:r>
    <w:r>
      <w:fldChar w:fldCharType="end"/>
    </w:r>
  </w:p>
  <w:p>
    <w:pPr>
      <w:pStyle w:val="29"/>
      <w:ind w:firstLine="360"/>
      <w:jc w:val="right"/>
    </w:pPr>
    <w:r>
      <w:rPr>
        <w:rFonts w:hint="eastAsia"/>
      </w:rPr>
      <w:t>北京实华油海工程技术有限公司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jc w:val="center"/>
      <w:rPr>
        <w:rFonts w:hint="eastAsia"/>
      </w:rPr>
    </w:pPr>
    <w:r>
      <w:fldChar w:fldCharType="begin"/>
    </w:r>
    <w:r>
      <w:instrText xml:space="preserve">PAGE   \* MERGEFORMAT</w:instrText>
    </w:r>
    <w:r>
      <w:fldChar w:fldCharType="separate"/>
    </w:r>
    <w:r>
      <w:rPr>
        <w:lang w:val="zh-CN"/>
      </w:rPr>
      <w:t>10</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jc w:val="center"/>
    </w:pPr>
    <w:r>
      <w:fldChar w:fldCharType="begin"/>
    </w:r>
    <w:r>
      <w:instrText xml:space="preserve">PAGE   \* MERGEFORMAT</w:instrText>
    </w:r>
    <w:r>
      <w:fldChar w:fldCharType="separate"/>
    </w:r>
    <w:r>
      <w:rPr>
        <w:lang w:val="zh-CN"/>
      </w:rPr>
      <w:t>48</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spacing w:line="14" w:lineRule="auto"/>
      <w:ind w:left="0"/>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fldChar w:fldCharType="begin"/>
                          </w:r>
                          <w:r>
                            <w:instrText xml:space="preserve"> PAGE  \* MERGEFORMAT </w:instrText>
                          </w:r>
                          <w:r>
                            <w:fldChar w:fldCharType="separate"/>
                          </w:r>
                          <w:r>
                            <w:t>cx</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99rAQ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99rAQzAgAAZQQAAA4AAAAAAAAAAQAgAAAAHwEAAGRycy9lMm9Eb2MueG1sUEsF&#10;BgAAAAAGAAYAWQEAAMQFA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cx</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jc w:val="center"/>
    </w:pPr>
    <w:r>
      <w:fldChar w:fldCharType="begin"/>
    </w:r>
    <w:r>
      <w:instrText xml:space="preserve">PAGE   \* MERGEFORMAT</w:instrText>
    </w:r>
    <w:r>
      <w:fldChar w:fldCharType="separate"/>
    </w:r>
    <w:r>
      <w:rPr>
        <w:lang w:val="zh-CN"/>
      </w:rPr>
      <w:t>104</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firstLine="360"/>
      <w:jc w:val="center"/>
    </w:pPr>
    <w:r>
      <w:fldChar w:fldCharType="begin"/>
    </w:r>
    <w:r>
      <w:instrText xml:space="preserve"> PAGE   \* MERGEFORMAT </w:instrText>
    </w:r>
    <w:r>
      <w:fldChar w:fldCharType="separate"/>
    </w:r>
    <w:r>
      <w:rPr>
        <w:lang w:val="zh-CN"/>
      </w:rPr>
      <w:t>327</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adjustRightInd w:val="0"/>
      <w:snapToGrid w:val="0"/>
      <w:spacing w:line="360" w:lineRule="auto"/>
      <w:ind w:firstLine="360" w:firstLineChars="200"/>
      <w:jc w:val="center"/>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PAGE   \* MERGEFORMAT</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zh-CN" w:eastAsia="zh-CN" w:bidi="ar-SA"/>
      </w:rPr>
      <w:t>106</w:t>
    </w:r>
    <w:r>
      <w:rPr>
        <w:rFonts w:ascii="Times New Roman" w:hAnsi="Times New Roman" w:eastAsia="宋体" w:cs="Times New Roman"/>
        <w:kern w:val="2"/>
        <w:sz w:val="18"/>
        <w:szCs w:val="18"/>
        <w:lang w:val="en-US" w:eastAsia="zh-CN" w:bidi="ar-SA"/>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spacing w:beforeLines="0" w:afterLines="0"/>
      <w:ind w:firstLine="360"/>
      <w:jc w:val="center"/>
      <w:rPr>
        <w:rFonts w:hint="default"/>
        <w:sz w:val="18"/>
        <w:szCs w:val="18"/>
      </w:rPr>
    </w:pPr>
    <w:r>
      <w:rPr>
        <w:rFonts w:hint="default"/>
        <w:sz w:val="18"/>
        <w:szCs w:val="18"/>
      </w:rPr>
      <w:fldChar w:fldCharType="begin"/>
    </w:r>
    <w:r>
      <w:rPr>
        <w:rFonts w:hint="default"/>
        <w:sz w:val="18"/>
        <w:szCs w:val="18"/>
      </w:rPr>
      <w:instrText xml:space="preserve">PAGE   \* MERGEFORMAT</w:instrText>
    </w:r>
    <w:r>
      <w:rPr>
        <w:rFonts w:hint="default"/>
        <w:sz w:val="18"/>
        <w:szCs w:val="18"/>
      </w:rPr>
      <w:fldChar w:fldCharType="separate"/>
    </w:r>
    <w:r>
      <w:rPr>
        <w:rFonts w:hint="default"/>
        <w:sz w:val="18"/>
        <w:szCs w:val="18"/>
        <w:lang w:val="zh-CN"/>
      </w:rPr>
      <w:t>106</w:t>
    </w:r>
    <w:r>
      <w:rPr>
        <w:rFonts w:hint="default"/>
        <w:sz w:val="18"/>
        <w:szCs w:val="18"/>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360"/>
    </w:pPr>
    <w:r>
      <w:rPr>
        <w:rFonts w:hint="eastAsia"/>
      </w:rPr>
      <w:t>胜利油田石化总厂汽油产品质量升级技改工程                                         设立安全评价报告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ind w:firstLine="360"/>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spacing w:line="276" w:lineRule="auto"/>
      <w:ind w:firstLine="0" w:firstLineChars="0"/>
      <w:rPr>
        <w:rFonts w:hint="eastAsia"/>
      </w:rPr>
    </w:pPr>
    <w:r>
      <w:rPr>
        <w:rFonts w:hint="eastAsia"/>
      </w:rPr>
      <w:t>东营大明钻井有限责任公司钻井（钻井施工）项目安全现状评价报告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spacing w:line="276" w:lineRule="auto"/>
      <w:ind w:firstLine="0" w:firstLineChars="0"/>
    </w:pPr>
    <w:r>
      <w:rPr>
        <w:rFonts w:hint="eastAsia"/>
      </w:rPr>
      <w:t>东营大明钻井有限责任公司钻井（钻井施工）项目安全现状评价报告</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spacing w:line="240" w:lineRule="auto"/>
      <w:ind w:firstLine="0" w:firstLineChars="0"/>
      <w:rPr>
        <w:rFonts w:hint="eastAsia"/>
      </w:rPr>
    </w:pPr>
    <w:r>
      <w:rPr>
        <w:rFonts w:hint="eastAsia"/>
      </w:rPr>
      <w:t>东营大明钻井有限责任公司钻井（钻井施工）项目安全现状评价报告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83956F"/>
    <w:multiLevelType w:val="multilevel"/>
    <w:tmpl w:val="8E83956F"/>
    <w:lvl w:ilvl="0" w:tentative="0">
      <w:start w:val="1"/>
      <w:numFmt w:val="decimal"/>
      <w:suff w:val="nothing"/>
      <w:lvlText w:val="%1."/>
      <w:lvlJc w:val="left"/>
      <w:pPr>
        <w:ind w:left="900" w:hanging="420"/>
      </w:pPr>
      <w:rPr>
        <w:rFonts w:hint="eastAsia"/>
      </w:rPr>
    </w:lvl>
    <w:lvl w:ilvl="1" w:tentative="0">
      <w:start w:val="1"/>
      <w:numFmt w:val="lowerLetter"/>
      <w:lvlText w:val="%2)"/>
      <w:lvlJc w:val="left"/>
      <w:pPr>
        <w:ind w:left="1320" w:hanging="420"/>
      </w:pPr>
      <w:rPr>
        <w:rFonts w:hint="eastAsia"/>
      </w:rPr>
    </w:lvl>
    <w:lvl w:ilvl="2" w:tentative="0">
      <w:start w:val="1"/>
      <w:numFmt w:val="lowerRoman"/>
      <w:lvlText w:val="%3."/>
      <w:lvlJc w:val="right"/>
      <w:pPr>
        <w:ind w:left="1740" w:hanging="420"/>
      </w:pPr>
      <w:rPr>
        <w:rFonts w:hint="eastAsia"/>
      </w:rPr>
    </w:lvl>
    <w:lvl w:ilvl="3" w:tentative="0">
      <w:start w:val="1"/>
      <w:numFmt w:val="decimal"/>
      <w:lvlText w:val="%4."/>
      <w:lvlJc w:val="left"/>
      <w:pPr>
        <w:ind w:left="2160" w:hanging="420"/>
      </w:pPr>
      <w:rPr>
        <w:rFonts w:hint="eastAsia"/>
      </w:rPr>
    </w:lvl>
    <w:lvl w:ilvl="4" w:tentative="0">
      <w:start w:val="1"/>
      <w:numFmt w:val="lowerLetter"/>
      <w:lvlText w:val="%5)"/>
      <w:lvlJc w:val="left"/>
      <w:pPr>
        <w:ind w:left="2580" w:hanging="420"/>
      </w:pPr>
      <w:rPr>
        <w:rFonts w:hint="eastAsia"/>
      </w:rPr>
    </w:lvl>
    <w:lvl w:ilvl="5" w:tentative="0">
      <w:start w:val="1"/>
      <w:numFmt w:val="lowerRoman"/>
      <w:lvlText w:val="%6."/>
      <w:lvlJc w:val="right"/>
      <w:pPr>
        <w:ind w:left="3000" w:hanging="420"/>
      </w:pPr>
      <w:rPr>
        <w:rFonts w:hint="eastAsia"/>
      </w:rPr>
    </w:lvl>
    <w:lvl w:ilvl="6" w:tentative="0">
      <w:start w:val="1"/>
      <w:numFmt w:val="decimal"/>
      <w:lvlText w:val="%7."/>
      <w:lvlJc w:val="left"/>
      <w:pPr>
        <w:ind w:left="3420" w:hanging="420"/>
      </w:pPr>
      <w:rPr>
        <w:rFonts w:hint="eastAsia"/>
      </w:rPr>
    </w:lvl>
    <w:lvl w:ilvl="7" w:tentative="0">
      <w:start w:val="1"/>
      <w:numFmt w:val="lowerLetter"/>
      <w:lvlText w:val="%8)"/>
      <w:lvlJc w:val="left"/>
      <w:pPr>
        <w:ind w:left="3840" w:hanging="420"/>
      </w:pPr>
      <w:rPr>
        <w:rFonts w:hint="eastAsia"/>
      </w:rPr>
    </w:lvl>
    <w:lvl w:ilvl="8" w:tentative="0">
      <w:start w:val="1"/>
      <w:numFmt w:val="lowerRoman"/>
      <w:lvlText w:val="%9."/>
      <w:lvlJc w:val="right"/>
      <w:pPr>
        <w:ind w:left="4260" w:hanging="420"/>
      </w:pPr>
      <w:rPr>
        <w:rFonts w:hint="eastAsia"/>
      </w:rPr>
    </w:lvl>
  </w:abstractNum>
  <w:abstractNum w:abstractNumId="1">
    <w:nsid w:val="9357EA46"/>
    <w:multiLevelType w:val="multilevel"/>
    <w:tmpl w:val="9357EA46"/>
    <w:lvl w:ilvl="0" w:tentative="0">
      <w:start w:val="1"/>
      <w:numFmt w:val="decimal"/>
      <w:suff w:val="nothing"/>
      <w:lvlText w:val="%1."/>
      <w:lvlJc w:val="left"/>
      <w:pPr>
        <w:ind w:left="900" w:hanging="420"/>
      </w:pPr>
      <w:rPr>
        <w:rFonts w:hint="eastAsia"/>
      </w:rPr>
    </w:lvl>
    <w:lvl w:ilvl="1" w:tentative="0">
      <w:start w:val="1"/>
      <w:numFmt w:val="lowerLetter"/>
      <w:lvlText w:val="%2)"/>
      <w:lvlJc w:val="left"/>
      <w:pPr>
        <w:ind w:left="1320" w:hanging="420"/>
      </w:pPr>
      <w:rPr>
        <w:rFonts w:hint="eastAsia"/>
      </w:rPr>
    </w:lvl>
    <w:lvl w:ilvl="2" w:tentative="0">
      <w:start w:val="1"/>
      <w:numFmt w:val="lowerRoman"/>
      <w:lvlText w:val="%3."/>
      <w:lvlJc w:val="right"/>
      <w:pPr>
        <w:ind w:left="1740" w:hanging="420"/>
      </w:pPr>
      <w:rPr>
        <w:rFonts w:hint="eastAsia"/>
      </w:rPr>
    </w:lvl>
    <w:lvl w:ilvl="3" w:tentative="0">
      <w:start w:val="1"/>
      <w:numFmt w:val="decimal"/>
      <w:lvlText w:val="%4."/>
      <w:lvlJc w:val="left"/>
      <w:pPr>
        <w:ind w:left="2160" w:hanging="420"/>
      </w:pPr>
      <w:rPr>
        <w:rFonts w:hint="eastAsia"/>
      </w:rPr>
    </w:lvl>
    <w:lvl w:ilvl="4" w:tentative="0">
      <w:start w:val="1"/>
      <w:numFmt w:val="lowerLetter"/>
      <w:lvlText w:val="%5)"/>
      <w:lvlJc w:val="left"/>
      <w:pPr>
        <w:ind w:left="2580" w:hanging="420"/>
      </w:pPr>
      <w:rPr>
        <w:rFonts w:hint="eastAsia"/>
      </w:rPr>
    </w:lvl>
    <w:lvl w:ilvl="5" w:tentative="0">
      <w:start w:val="1"/>
      <w:numFmt w:val="lowerRoman"/>
      <w:lvlText w:val="%6."/>
      <w:lvlJc w:val="right"/>
      <w:pPr>
        <w:ind w:left="3000" w:hanging="420"/>
      </w:pPr>
      <w:rPr>
        <w:rFonts w:hint="eastAsia"/>
      </w:rPr>
    </w:lvl>
    <w:lvl w:ilvl="6" w:tentative="0">
      <w:start w:val="1"/>
      <w:numFmt w:val="decimal"/>
      <w:lvlText w:val="%7."/>
      <w:lvlJc w:val="left"/>
      <w:pPr>
        <w:ind w:left="3420" w:hanging="420"/>
      </w:pPr>
      <w:rPr>
        <w:rFonts w:hint="eastAsia"/>
      </w:rPr>
    </w:lvl>
    <w:lvl w:ilvl="7" w:tentative="0">
      <w:start w:val="1"/>
      <w:numFmt w:val="lowerLetter"/>
      <w:lvlText w:val="%8)"/>
      <w:lvlJc w:val="left"/>
      <w:pPr>
        <w:ind w:left="3840" w:hanging="420"/>
      </w:pPr>
      <w:rPr>
        <w:rFonts w:hint="eastAsia"/>
      </w:rPr>
    </w:lvl>
    <w:lvl w:ilvl="8" w:tentative="0">
      <w:start w:val="1"/>
      <w:numFmt w:val="lowerRoman"/>
      <w:lvlText w:val="%9."/>
      <w:lvlJc w:val="right"/>
      <w:pPr>
        <w:ind w:left="4260" w:hanging="420"/>
      </w:pPr>
      <w:rPr>
        <w:rFonts w:hint="eastAsia"/>
      </w:rPr>
    </w:lvl>
  </w:abstractNum>
  <w:abstractNum w:abstractNumId="2">
    <w:nsid w:val="A1D39CB3"/>
    <w:multiLevelType w:val="singleLevel"/>
    <w:tmpl w:val="A1D39CB3"/>
    <w:lvl w:ilvl="0" w:tentative="0">
      <w:start w:val="3"/>
      <w:numFmt w:val="decimal"/>
      <w:suff w:val="nothing"/>
      <w:lvlText w:val="%1）"/>
      <w:lvlJc w:val="left"/>
    </w:lvl>
  </w:abstractNum>
  <w:abstractNum w:abstractNumId="3">
    <w:nsid w:val="AAF7AF53"/>
    <w:multiLevelType w:val="multilevel"/>
    <w:tmpl w:val="AAF7AF53"/>
    <w:lvl w:ilvl="0" w:tentative="0">
      <w:start w:val="1"/>
      <w:numFmt w:val="decimal"/>
      <w:suff w:val="nothing"/>
      <w:lvlText w:val="%1."/>
      <w:lvlJc w:val="left"/>
      <w:pPr>
        <w:ind w:left="900" w:hanging="420"/>
      </w:pPr>
      <w:rPr>
        <w:rFonts w:hint="eastAsia"/>
      </w:rPr>
    </w:lvl>
    <w:lvl w:ilvl="1" w:tentative="0">
      <w:start w:val="1"/>
      <w:numFmt w:val="lowerLetter"/>
      <w:lvlText w:val="%2)"/>
      <w:lvlJc w:val="left"/>
      <w:pPr>
        <w:ind w:left="1320" w:hanging="420"/>
      </w:pPr>
      <w:rPr>
        <w:rFonts w:hint="eastAsia"/>
      </w:rPr>
    </w:lvl>
    <w:lvl w:ilvl="2" w:tentative="0">
      <w:start w:val="1"/>
      <w:numFmt w:val="lowerRoman"/>
      <w:lvlText w:val="%3."/>
      <w:lvlJc w:val="right"/>
      <w:pPr>
        <w:ind w:left="1740" w:hanging="420"/>
      </w:pPr>
      <w:rPr>
        <w:rFonts w:hint="eastAsia"/>
      </w:rPr>
    </w:lvl>
    <w:lvl w:ilvl="3" w:tentative="0">
      <w:start w:val="1"/>
      <w:numFmt w:val="decimal"/>
      <w:lvlText w:val="%4."/>
      <w:lvlJc w:val="left"/>
      <w:pPr>
        <w:ind w:left="2160" w:hanging="420"/>
      </w:pPr>
      <w:rPr>
        <w:rFonts w:hint="eastAsia"/>
      </w:rPr>
    </w:lvl>
    <w:lvl w:ilvl="4" w:tentative="0">
      <w:start w:val="1"/>
      <w:numFmt w:val="lowerLetter"/>
      <w:lvlText w:val="%5)"/>
      <w:lvlJc w:val="left"/>
      <w:pPr>
        <w:ind w:left="2580" w:hanging="420"/>
      </w:pPr>
      <w:rPr>
        <w:rFonts w:hint="eastAsia"/>
      </w:rPr>
    </w:lvl>
    <w:lvl w:ilvl="5" w:tentative="0">
      <w:start w:val="1"/>
      <w:numFmt w:val="lowerRoman"/>
      <w:lvlText w:val="%6."/>
      <w:lvlJc w:val="right"/>
      <w:pPr>
        <w:ind w:left="3000" w:hanging="420"/>
      </w:pPr>
      <w:rPr>
        <w:rFonts w:hint="eastAsia"/>
      </w:rPr>
    </w:lvl>
    <w:lvl w:ilvl="6" w:tentative="0">
      <w:start w:val="1"/>
      <w:numFmt w:val="decimal"/>
      <w:lvlText w:val="%7."/>
      <w:lvlJc w:val="left"/>
      <w:pPr>
        <w:ind w:left="3420" w:hanging="420"/>
      </w:pPr>
      <w:rPr>
        <w:rFonts w:hint="eastAsia"/>
      </w:rPr>
    </w:lvl>
    <w:lvl w:ilvl="7" w:tentative="0">
      <w:start w:val="1"/>
      <w:numFmt w:val="lowerLetter"/>
      <w:lvlText w:val="%8)"/>
      <w:lvlJc w:val="left"/>
      <w:pPr>
        <w:ind w:left="3840" w:hanging="420"/>
      </w:pPr>
      <w:rPr>
        <w:rFonts w:hint="eastAsia"/>
      </w:rPr>
    </w:lvl>
    <w:lvl w:ilvl="8" w:tentative="0">
      <w:start w:val="1"/>
      <w:numFmt w:val="lowerRoman"/>
      <w:lvlText w:val="%9."/>
      <w:lvlJc w:val="right"/>
      <w:pPr>
        <w:ind w:left="4260" w:hanging="420"/>
      </w:pPr>
      <w:rPr>
        <w:rFonts w:hint="eastAsia"/>
      </w:rPr>
    </w:lvl>
  </w:abstractNum>
  <w:abstractNum w:abstractNumId="4">
    <w:nsid w:val="B2CB4522"/>
    <w:multiLevelType w:val="singleLevel"/>
    <w:tmpl w:val="B2CB4522"/>
    <w:lvl w:ilvl="0" w:tentative="0">
      <w:start w:val="2"/>
      <w:numFmt w:val="chineseCounting"/>
      <w:suff w:val="nothing"/>
      <w:lvlText w:val="%1、"/>
      <w:lvlJc w:val="left"/>
      <w:rPr>
        <w:rFonts w:hint="eastAsia"/>
      </w:rPr>
    </w:lvl>
  </w:abstractNum>
  <w:abstractNum w:abstractNumId="5">
    <w:nsid w:val="C721322F"/>
    <w:multiLevelType w:val="multilevel"/>
    <w:tmpl w:val="C721322F"/>
    <w:lvl w:ilvl="0" w:tentative="0">
      <w:start w:val="1"/>
      <w:numFmt w:val="decimal"/>
      <w:suff w:val="nothing"/>
      <w:lvlText w:val="%1."/>
      <w:lvlJc w:val="left"/>
      <w:pPr>
        <w:ind w:left="980" w:hanging="420"/>
      </w:pPr>
      <w:rPr>
        <w:rFonts w:hint="default"/>
        <w:u w:val="none" w:color="auto"/>
      </w:rPr>
    </w:lvl>
    <w:lvl w:ilvl="1" w:tentative="0">
      <w:start w:val="1"/>
      <w:numFmt w:val="decimal"/>
      <w:lvlText w:val="%2、"/>
      <w:lvlJc w:val="left"/>
      <w:pPr>
        <w:ind w:left="1700" w:hanging="720"/>
      </w:pPr>
      <w:rPr>
        <w:rFonts w:hint="default"/>
        <w:u w:val="none" w:color="auto"/>
      </w:rPr>
    </w:lvl>
    <w:lvl w:ilvl="2" w:tentative="0">
      <w:start w:val="1"/>
      <w:numFmt w:val="lowerRoman"/>
      <w:lvlText w:val="%3."/>
      <w:lvlJc w:val="right"/>
      <w:pPr>
        <w:ind w:left="1820" w:hanging="420"/>
      </w:pPr>
      <w:rPr>
        <w:rFonts w:hint="default"/>
        <w:u w:val="none" w:color="auto"/>
      </w:rPr>
    </w:lvl>
    <w:lvl w:ilvl="3" w:tentative="0">
      <w:start w:val="1"/>
      <w:numFmt w:val="decimal"/>
      <w:lvlText w:val="%4."/>
      <w:lvlJc w:val="left"/>
      <w:pPr>
        <w:ind w:left="2240" w:hanging="420"/>
      </w:pPr>
      <w:rPr>
        <w:rFonts w:hint="default"/>
        <w:u w:val="none" w:color="auto"/>
      </w:rPr>
    </w:lvl>
    <w:lvl w:ilvl="4" w:tentative="0">
      <w:start w:val="1"/>
      <w:numFmt w:val="lowerLetter"/>
      <w:lvlText w:val="%5)"/>
      <w:lvlJc w:val="left"/>
      <w:pPr>
        <w:ind w:left="2660" w:hanging="420"/>
      </w:pPr>
      <w:rPr>
        <w:rFonts w:hint="default"/>
        <w:u w:val="none" w:color="auto"/>
      </w:rPr>
    </w:lvl>
    <w:lvl w:ilvl="5" w:tentative="0">
      <w:start w:val="1"/>
      <w:numFmt w:val="lowerRoman"/>
      <w:lvlText w:val="%6."/>
      <w:lvlJc w:val="right"/>
      <w:pPr>
        <w:ind w:left="3080" w:hanging="420"/>
      </w:pPr>
      <w:rPr>
        <w:rFonts w:hint="default"/>
        <w:u w:val="none" w:color="auto"/>
      </w:rPr>
    </w:lvl>
    <w:lvl w:ilvl="6" w:tentative="0">
      <w:start w:val="1"/>
      <w:numFmt w:val="decimal"/>
      <w:lvlText w:val="%7."/>
      <w:lvlJc w:val="left"/>
      <w:pPr>
        <w:ind w:left="3500" w:hanging="420"/>
      </w:pPr>
      <w:rPr>
        <w:rFonts w:hint="default"/>
        <w:u w:val="none" w:color="auto"/>
      </w:rPr>
    </w:lvl>
    <w:lvl w:ilvl="7" w:tentative="0">
      <w:start w:val="1"/>
      <w:numFmt w:val="lowerLetter"/>
      <w:lvlText w:val="%8)"/>
      <w:lvlJc w:val="left"/>
      <w:pPr>
        <w:ind w:left="3920" w:hanging="420"/>
      </w:pPr>
      <w:rPr>
        <w:rFonts w:hint="default"/>
        <w:u w:val="none" w:color="auto"/>
      </w:rPr>
    </w:lvl>
    <w:lvl w:ilvl="8" w:tentative="0">
      <w:start w:val="1"/>
      <w:numFmt w:val="lowerRoman"/>
      <w:lvlText w:val="%9."/>
      <w:lvlJc w:val="right"/>
      <w:pPr>
        <w:ind w:left="4340" w:hanging="420"/>
      </w:pPr>
      <w:rPr>
        <w:rFonts w:hint="default"/>
        <w:u w:val="none" w:color="auto"/>
      </w:rPr>
    </w:lvl>
  </w:abstractNum>
  <w:abstractNum w:abstractNumId="6">
    <w:nsid w:val="DA574CAA"/>
    <w:multiLevelType w:val="multilevel"/>
    <w:tmpl w:val="DA574CAA"/>
    <w:lvl w:ilvl="0" w:tentative="0">
      <w:start w:val="1"/>
      <w:numFmt w:val="decimal"/>
      <w:suff w:val="nothing"/>
      <w:lvlText w:val="%1."/>
      <w:lvlJc w:val="left"/>
      <w:pPr>
        <w:ind w:left="980" w:hanging="420"/>
      </w:pPr>
      <w:rPr>
        <w:rFonts w:hint="default"/>
        <w:u w:val="none" w:color="auto"/>
      </w:rPr>
    </w:lvl>
    <w:lvl w:ilvl="1" w:tentative="0">
      <w:start w:val="1"/>
      <w:numFmt w:val="decimal"/>
      <w:lvlText w:val="%2、"/>
      <w:lvlJc w:val="left"/>
      <w:pPr>
        <w:ind w:left="1700" w:hanging="720"/>
      </w:pPr>
      <w:rPr>
        <w:rFonts w:hint="default"/>
        <w:u w:val="none" w:color="auto"/>
      </w:rPr>
    </w:lvl>
    <w:lvl w:ilvl="2" w:tentative="0">
      <w:start w:val="1"/>
      <w:numFmt w:val="lowerRoman"/>
      <w:lvlText w:val="%3."/>
      <w:lvlJc w:val="right"/>
      <w:pPr>
        <w:ind w:left="1820" w:hanging="420"/>
      </w:pPr>
      <w:rPr>
        <w:rFonts w:hint="default"/>
        <w:u w:val="none" w:color="auto"/>
      </w:rPr>
    </w:lvl>
    <w:lvl w:ilvl="3" w:tentative="0">
      <w:start w:val="1"/>
      <w:numFmt w:val="decimal"/>
      <w:lvlText w:val="%4."/>
      <w:lvlJc w:val="left"/>
      <w:pPr>
        <w:ind w:left="2240" w:hanging="420"/>
      </w:pPr>
      <w:rPr>
        <w:rFonts w:hint="default"/>
        <w:u w:val="none" w:color="auto"/>
      </w:rPr>
    </w:lvl>
    <w:lvl w:ilvl="4" w:tentative="0">
      <w:start w:val="1"/>
      <w:numFmt w:val="lowerLetter"/>
      <w:lvlText w:val="%5)"/>
      <w:lvlJc w:val="left"/>
      <w:pPr>
        <w:ind w:left="2660" w:hanging="420"/>
      </w:pPr>
      <w:rPr>
        <w:rFonts w:hint="default"/>
        <w:u w:val="none" w:color="auto"/>
      </w:rPr>
    </w:lvl>
    <w:lvl w:ilvl="5" w:tentative="0">
      <w:start w:val="1"/>
      <w:numFmt w:val="lowerRoman"/>
      <w:lvlText w:val="%6."/>
      <w:lvlJc w:val="right"/>
      <w:pPr>
        <w:ind w:left="3080" w:hanging="420"/>
      </w:pPr>
      <w:rPr>
        <w:rFonts w:hint="default"/>
        <w:u w:val="none" w:color="auto"/>
      </w:rPr>
    </w:lvl>
    <w:lvl w:ilvl="6" w:tentative="0">
      <w:start w:val="1"/>
      <w:numFmt w:val="decimal"/>
      <w:lvlText w:val="%7."/>
      <w:lvlJc w:val="left"/>
      <w:pPr>
        <w:ind w:left="3500" w:hanging="420"/>
      </w:pPr>
      <w:rPr>
        <w:rFonts w:hint="default"/>
        <w:u w:val="none" w:color="auto"/>
      </w:rPr>
    </w:lvl>
    <w:lvl w:ilvl="7" w:tentative="0">
      <w:start w:val="1"/>
      <w:numFmt w:val="lowerLetter"/>
      <w:lvlText w:val="%8)"/>
      <w:lvlJc w:val="left"/>
      <w:pPr>
        <w:ind w:left="3920" w:hanging="420"/>
      </w:pPr>
      <w:rPr>
        <w:rFonts w:hint="default"/>
        <w:u w:val="none" w:color="auto"/>
      </w:rPr>
    </w:lvl>
    <w:lvl w:ilvl="8" w:tentative="0">
      <w:start w:val="1"/>
      <w:numFmt w:val="lowerRoman"/>
      <w:lvlText w:val="%9."/>
      <w:lvlJc w:val="right"/>
      <w:pPr>
        <w:ind w:left="4340" w:hanging="420"/>
      </w:pPr>
      <w:rPr>
        <w:rFonts w:hint="default"/>
        <w:u w:val="none" w:color="auto"/>
      </w:rPr>
    </w:lvl>
  </w:abstractNum>
  <w:abstractNum w:abstractNumId="7">
    <w:nsid w:val="E35A2F7C"/>
    <w:multiLevelType w:val="multilevel"/>
    <w:tmpl w:val="E35A2F7C"/>
    <w:lvl w:ilvl="0" w:tentative="0">
      <w:start w:val="1"/>
      <w:numFmt w:val="decimal"/>
      <w:suff w:val="nothing"/>
      <w:lvlText w:val="%1."/>
      <w:lvlJc w:val="left"/>
      <w:pPr>
        <w:ind w:left="980" w:hanging="420"/>
      </w:pPr>
      <w:rPr>
        <w:rFonts w:hint="default"/>
        <w:u w:val="none" w:color="auto"/>
      </w:rPr>
    </w:lvl>
    <w:lvl w:ilvl="1" w:tentative="0">
      <w:start w:val="1"/>
      <w:numFmt w:val="decimal"/>
      <w:lvlText w:val="%2、"/>
      <w:lvlJc w:val="left"/>
      <w:pPr>
        <w:ind w:left="1700" w:hanging="720"/>
      </w:pPr>
      <w:rPr>
        <w:rFonts w:hint="default"/>
        <w:u w:val="none" w:color="auto"/>
      </w:rPr>
    </w:lvl>
    <w:lvl w:ilvl="2" w:tentative="0">
      <w:start w:val="1"/>
      <w:numFmt w:val="lowerRoman"/>
      <w:lvlText w:val="%3."/>
      <w:lvlJc w:val="right"/>
      <w:pPr>
        <w:ind w:left="1820" w:hanging="420"/>
      </w:pPr>
      <w:rPr>
        <w:rFonts w:hint="default"/>
        <w:u w:val="none" w:color="auto"/>
      </w:rPr>
    </w:lvl>
    <w:lvl w:ilvl="3" w:tentative="0">
      <w:start w:val="1"/>
      <w:numFmt w:val="decimal"/>
      <w:lvlText w:val="%4."/>
      <w:lvlJc w:val="left"/>
      <w:pPr>
        <w:ind w:left="2240" w:hanging="420"/>
      </w:pPr>
      <w:rPr>
        <w:rFonts w:hint="default"/>
        <w:u w:val="none" w:color="auto"/>
      </w:rPr>
    </w:lvl>
    <w:lvl w:ilvl="4" w:tentative="0">
      <w:start w:val="1"/>
      <w:numFmt w:val="lowerLetter"/>
      <w:lvlText w:val="%5)"/>
      <w:lvlJc w:val="left"/>
      <w:pPr>
        <w:ind w:left="2660" w:hanging="420"/>
      </w:pPr>
      <w:rPr>
        <w:rFonts w:hint="default"/>
        <w:u w:val="none" w:color="auto"/>
      </w:rPr>
    </w:lvl>
    <w:lvl w:ilvl="5" w:tentative="0">
      <w:start w:val="1"/>
      <w:numFmt w:val="lowerRoman"/>
      <w:lvlText w:val="%6."/>
      <w:lvlJc w:val="right"/>
      <w:pPr>
        <w:ind w:left="3080" w:hanging="420"/>
      </w:pPr>
      <w:rPr>
        <w:rFonts w:hint="default"/>
        <w:u w:val="none" w:color="auto"/>
      </w:rPr>
    </w:lvl>
    <w:lvl w:ilvl="6" w:tentative="0">
      <w:start w:val="1"/>
      <w:numFmt w:val="decimal"/>
      <w:lvlText w:val="%7."/>
      <w:lvlJc w:val="left"/>
      <w:pPr>
        <w:ind w:left="3500" w:hanging="420"/>
      </w:pPr>
      <w:rPr>
        <w:rFonts w:hint="default"/>
        <w:u w:val="none" w:color="auto"/>
      </w:rPr>
    </w:lvl>
    <w:lvl w:ilvl="7" w:tentative="0">
      <w:start w:val="1"/>
      <w:numFmt w:val="lowerLetter"/>
      <w:lvlText w:val="%8)"/>
      <w:lvlJc w:val="left"/>
      <w:pPr>
        <w:ind w:left="3920" w:hanging="420"/>
      </w:pPr>
      <w:rPr>
        <w:rFonts w:hint="default"/>
        <w:u w:val="none" w:color="auto"/>
      </w:rPr>
    </w:lvl>
    <w:lvl w:ilvl="8" w:tentative="0">
      <w:start w:val="1"/>
      <w:numFmt w:val="lowerRoman"/>
      <w:lvlText w:val="%9."/>
      <w:lvlJc w:val="right"/>
      <w:pPr>
        <w:ind w:left="4340" w:hanging="420"/>
      </w:pPr>
      <w:rPr>
        <w:rFonts w:hint="default"/>
        <w:u w:val="none" w:color="auto"/>
      </w:rPr>
    </w:lvl>
  </w:abstractNum>
  <w:abstractNum w:abstractNumId="8">
    <w:nsid w:val="F9145E8E"/>
    <w:multiLevelType w:val="singleLevel"/>
    <w:tmpl w:val="F9145E8E"/>
    <w:lvl w:ilvl="0" w:tentative="0">
      <w:start w:val="1"/>
      <w:numFmt w:val="decimal"/>
      <w:suff w:val="nothing"/>
      <w:lvlText w:val="（%1）"/>
      <w:lvlJc w:val="left"/>
    </w:lvl>
  </w:abstractNum>
  <w:abstractNum w:abstractNumId="9">
    <w:nsid w:val="07991E80"/>
    <w:multiLevelType w:val="multilevel"/>
    <w:tmpl w:val="07991E80"/>
    <w:lvl w:ilvl="0" w:tentative="0">
      <w:start w:val="1"/>
      <w:numFmt w:val="decimal"/>
      <w:suff w:val="nothing"/>
      <w:lvlText w:val="%1."/>
      <w:lvlJc w:val="left"/>
      <w:pPr>
        <w:ind w:left="900" w:hanging="420"/>
      </w:pPr>
      <w:rPr>
        <w:rFonts w:hint="eastAsia"/>
      </w:rPr>
    </w:lvl>
    <w:lvl w:ilvl="1" w:tentative="0">
      <w:start w:val="1"/>
      <w:numFmt w:val="lowerLetter"/>
      <w:lvlText w:val="%2)"/>
      <w:lvlJc w:val="left"/>
      <w:pPr>
        <w:ind w:left="1320" w:hanging="420"/>
      </w:pPr>
      <w:rPr>
        <w:rFonts w:hint="eastAsia"/>
      </w:rPr>
    </w:lvl>
    <w:lvl w:ilvl="2" w:tentative="0">
      <w:start w:val="1"/>
      <w:numFmt w:val="lowerRoman"/>
      <w:lvlText w:val="%3."/>
      <w:lvlJc w:val="right"/>
      <w:pPr>
        <w:ind w:left="1740" w:hanging="420"/>
      </w:pPr>
      <w:rPr>
        <w:rFonts w:hint="eastAsia"/>
      </w:rPr>
    </w:lvl>
    <w:lvl w:ilvl="3" w:tentative="0">
      <w:start w:val="1"/>
      <w:numFmt w:val="decimal"/>
      <w:lvlText w:val="%4."/>
      <w:lvlJc w:val="left"/>
      <w:pPr>
        <w:ind w:left="2160" w:hanging="420"/>
      </w:pPr>
      <w:rPr>
        <w:rFonts w:hint="eastAsia"/>
      </w:rPr>
    </w:lvl>
    <w:lvl w:ilvl="4" w:tentative="0">
      <w:start w:val="1"/>
      <w:numFmt w:val="lowerLetter"/>
      <w:lvlText w:val="%5)"/>
      <w:lvlJc w:val="left"/>
      <w:pPr>
        <w:ind w:left="2580" w:hanging="420"/>
      </w:pPr>
      <w:rPr>
        <w:rFonts w:hint="eastAsia"/>
      </w:rPr>
    </w:lvl>
    <w:lvl w:ilvl="5" w:tentative="0">
      <w:start w:val="1"/>
      <w:numFmt w:val="lowerRoman"/>
      <w:lvlText w:val="%6."/>
      <w:lvlJc w:val="right"/>
      <w:pPr>
        <w:ind w:left="3000" w:hanging="420"/>
      </w:pPr>
      <w:rPr>
        <w:rFonts w:hint="eastAsia"/>
      </w:rPr>
    </w:lvl>
    <w:lvl w:ilvl="6" w:tentative="0">
      <w:start w:val="1"/>
      <w:numFmt w:val="decimal"/>
      <w:lvlText w:val="%7."/>
      <w:lvlJc w:val="left"/>
      <w:pPr>
        <w:ind w:left="3420" w:hanging="420"/>
      </w:pPr>
      <w:rPr>
        <w:rFonts w:hint="eastAsia"/>
      </w:rPr>
    </w:lvl>
    <w:lvl w:ilvl="7" w:tentative="0">
      <w:start w:val="1"/>
      <w:numFmt w:val="lowerLetter"/>
      <w:lvlText w:val="%8)"/>
      <w:lvlJc w:val="left"/>
      <w:pPr>
        <w:ind w:left="3840" w:hanging="420"/>
      </w:pPr>
      <w:rPr>
        <w:rFonts w:hint="eastAsia"/>
      </w:rPr>
    </w:lvl>
    <w:lvl w:ilvl="8" w:tentative="0">
      <w:start w:val="1"/>
      <w:numFmt w:val="lowerRoman"/>
      <w:lvlText w:val="%9."/>
      <w:lvlJc w:val="right"/>
      <w:pPr>
        <w:ind w:left="4260" w:hanging="420"/>
      </w:pPr>
      <w:rPr>
        <w:rFonts w:hint="eastAsia"/>
      </w:rPr>
    </w:lvl>
  </w:abstractNum>
  <w:abstractNum w:abstractNumId="10">
    <w:nsid w:val="11D386BE"/>
    <w:multiLevelType w:val="multilevel"/>
    <w:tmpl w:val="11D386BE"/>
    <w:lvl w:ilvl="0" w:tentative="0">
      <w:start w:val="1"/>
      <w:numFmt w:val="decimal"/>
      <w:suff w:val="nothing"/>
      <w:lvlText w:val="%1."/>
      <w:lvlJc w:val="left"/>
      <w:pPr>
        <w:ind w:left="900" w:hanging="420"/>
      </w:pPr>
      <w:rPr>
        <w:rFonts w:hint="eastAsia"/>
      </w:rPr>
    </w:lvl>
    <w:lvl w:ilvl="1" w:tentative="0">
      <w:start w:val="1"/>
      <w:numFmt w:val="lowerLetter"/>
      <w:lvlText w:val="%2)"/>
      <w:lvlJc w:val="left"/>
      <w:pPr>
        <w:ind w:left="1320" w:hanging="420"/>
      </w:pPr>
      <w:rPr>
        <w:rFonts w:hint="eastAsia"/>
      </w:rPr>
    </w:lvl>
    <w:lvl w:ilvl="2" w:tentative="0">
      <w:start w:val="1"/>
      <w:numFmt w:val="lowerRoman"/>
      <w:lvlText w:val="%3."/>
      <w:lvlJc w:val="right"/>
      <w:pPr>
        <w:ind w:left="1740" w:hanging="420"/>
      </w:pPr>
      <w:rPr>
        <w:rFonts w:hint="eastAsia"/>
      </w:rPr>
    </w:lvl>
    <w:lvl w:ilvl="3" w:tentative="0">
      <w:start w:val="1"/>
      <w:numFmt w:val="decimal"/>
      <w:lvlText w:val="%4."/>
      <w:lvlJc w:val="left"/>
      <w:pPr>
        <w:ind w:left="2160" w:hanging="420"/>
      </w:pPr>
      <w:rPr>
        <w:rFonts w:hint="eastAsia"/>
      </w:rPr>
    </w:lvl>
    <w:lvl w:ilvl="4" w:tentative="0">
      <w:start w:val="1"/>
      <w:numFmt w:val="lowerLetter"/>
      <w:lvlText w:val="%5)"/>
      <w:lvlJc w:val="left"/>
      <w:pPr>
        <w:ind w:left="2580" w:hanging="420"/>
      </w:pPr>
      <w:rPr>
        <w:rFonts w:hint="eastAsia"/>
      </w:rPr>
    </w:lvl>
    <w:lvl w:ilvl="5" w:tentative="0">
      <w:start w:val="1"/>
      <w:numFmt w:val="lowerRoman"/>
      <w:lvlText w:val="%6."/>
      <w:lvlJc w:val="right"/>
      <w:pPr>
        <w:ind w:left="3000" w:hanging="420"/>
      </w:pPr>
      <w:rPr>
        <w:rFonts w:hint="eastAsia"/>
      </w:rPr>
    </w:lvl>
    <w:lvl w:ilvl="6" w:tentative="0">
      <w:start w:val="1"/>
      <w:numFmt w:val="decimal"/>
      <w:lvlText w:val="%7."/>
      <w:lvlJc w:val="left"/>
      <w:pPr>
        <w:ind w:left="3420" w:hanging="420"/>
      </w:pPr>
      <w:rPr>
        <w:rFonts w:hint="eastAsia"/>
      </w:rPr>
    </w:lvl>
    <w:lvl w:ilvl="7" w:tentative="0">
      <w:start w:val="1"/>
      <w:numFmt w:val="lowerLetter"/>
      <w:lvlText w:val="%8)"/>
      <w:lvlJc w:val="left"/>
      <w:pPr>
        <w:ind w:left="3840" w:hanging="420"/>
      </w:pPr>
      <w:rPr>
        <w:rFonts w:hint="eastAsia"/>
      </w:rPr>
    </w:lvl>
    <w:lvl w:ilvl="8" w:tentative="0">
      <w:start w:val="1"/>
      <w:numFmt w:val="lowerRoman"/>
      <w:lvlText w:val="%9."/>
      <w:lvlJc w:val="right"/>
      <w:pPr>
        <w:ind w:left="4260" w:hanging="420"/>
      </w:pPr>
      <w:rPr>
        <w:rFonts w:hint="eastAsia"/>
      </w:rPr>
    </w:lvl>
  </w:abstractNum>
  <w:abstractNum w:abstractNumId="11">
    <w:nsid w:val="2F574CDB"/>
    <w:multiLevelType w:val="multilevel"/>
    <w:tmpl w:val="2F574CDB"/>
    <w:lvl w:ilvl="0" w:tentative="0">
      <w:start w:val="1"/>
      <w:numFmt w:val="decimal"/>
      <w:suff w:val="nothing"/>
      <w:lvlText w:val="%1."/>
      <w:lvlJc w:val="left"/>
      <w:pPr>
        <w:ind w:left="900" w:hanging="420"/>
      </w:pPr>
      <w:rPr>
        <w:rFonts w:hint="eastAsia"/>
      </w:rPr>
    </w:lvl>
    <w:lvl w:ilvl="1" w:tentative="0">
      <w:start w:val="1"/>
      <w:numFmt w:val="lowerLetter"/>
      <w:lvlText w:val="%2)"/>
      <w:lvlJc w:val="left"/>
      <w:pPr>
        <w:ind w:left="1320" w:hanging="420"/>
      </w:pPr>
      <w:rPr>
        <w:rFonts w:hint="eastAsia"/>
      </w:rPr>
    </w:lvl>
    <w:lvl w:ilvl="2" w:tentative="0">
      <w:start w:val="1"/>
      <w:numFmt w:val="lowerRoman"/>
      <w:lvlText w:val="%3."/>
      <w:lvlJc w:val="right"/>
      <w:pPr>
        <w:ind w:left="1740" w:hanging="420"/>
      </w:pPr>
      <w:rPr>
        <w:rFonts w:hint="eastAsia"/>
      </w:rPr>
    </w:lvl>
    <w:lvl w:ilvl="3" w:tentative="0">
      <w:start w:val="1"/>
      <w:numFmt w:val="decimal"/>
      <w:lvlText w:val="%4."/>
      <w:lvlJc w:val="left"/>
      <w:pPr>
        <w:ind w:left="2160" w:hanging="420"/>
      </w:pPr>
      <w:rPr>
        <w:rFonts w:hint="eastAsia"/>
      </w:rPr>
    </w:lvl>
    <w:lvl w:ilvl="4" w:tentative="0">
      <w:start w:val="1"/>
      <w:numFmt w:val="lowerLetter"/>
      <w:lvlText w:val="%5)"/>
      <w:lvlJc w:val="left"/>
      <w:pPr>
        <w:ind w:left="2580" w:hanging="420"/>
      </w:pPr>
      <w:rPr>
        <w:rFonts w:hint="eastAsia"/>
      </w:rPr>
    </w:lvl>
    <w:lvl w:ilvl="5" w:tentative="0">
      <w:start w:val="1"/>
      <w:numFmt w:val="lowerRoman"/>
      <w:lvlText w:val="%6."/>
      <w:lvlJc w:val="right"/>
      <w:pPr>
        <w:ind w:left="3000" w:hanging="420"/>
      </w:pPr>
      <w:rPr>
        <w:rFonts w:hint="eastAsia"/>
      </w:rPr>
    </w:lvl>
    <w:lvl w:ilvl="6" w:tentative="0">
      <w:start w:val="1"/>
      <w:numFmt w:val="decimal"/>
      <w:lvlText w:val="%7."/>
      <w:lvlJc w:val="left"/>
      <w:pPr>
        <w:ind w:left="3420" w:hanging="420"/>
      </w:pPr>
      <w:rPr>
        <w:rFonts w:hint="eastAsia"/>
      </w:rPr>
    </w:lvl>
    <w:lvl w:ilvl="7" w:tentative="0">
      <w:start w:val="1"/>
      <w:numFmt w:val="lowerLetter"/>
      <w:lvlText w:val="%8)"/>
      <w:lvlJc w:val="left"/>
      <w:pPr>
        <w:ind w:left="3840" w:hanging="420"/>
      </w:pPr>
      <w:rPr>
        <w:rFonts w:hint="eastAsia"/>
      </w:rPr>
    </w:lvl>
    <w:lvl w:ilvl="8" w:tentative="0">
      <w:start w:val="1"/>
      <w:numFmt w:val="lowerRoman"/>
      <w:lvlText w:val="%9."/>
      <w:lvlJc w:val="right"/>
      <w:pPr>
        <w:ind w:left="4260" w:hanging="420"/>
      </w:pPr>
      <w:rPr>
        <w:rFonts w:hint="eastAsia"/>
      </w:rPr>
    </w:lvl>
  </w:abstractNum>
  <w:abstractNum w:abstractNumId="12">
    <w:nsid w:val="34A75F59"/>
    <w:multiLevelType w:val="multilevel"/>
    <w:tmpl w:val="34A75F59"/>
    <w:lvl w:ilvl="0" w:tentative="0">
      <w:start w:val="1"/>
      <w:numFmt w:val="decimal"/>
      <w:suff w:val="nothing"/>
      <w:lvlText w:val="%1."/>
      <w:lvlJc w:val="left"/>
      <w:pPr>
        <w:ind w:left="900" w:hanging="420"/>
      </w:pPr>
      <w:rPr>
        <w:rFonts w:hint="eastAsia"/>
      </w:rPr>
    </w:lvl>
    <w:lvl w:ilvl="1" w:tentative="0">
      <w:start w:val="1"/>
      <w:numFmt w:val="lowerLetter"/>
      <w:lvlText w:val="%2)"/>
      <w:lvlJc w:val="left"/>
      <w:pPr>
        <w:ind w:left="1320" w:hanging="420"/>
      </w:pPr>
      <w:rPr>
        <w:rFonts w:hint="eastAsia"/>
      </w:rPr>
    </w:lvl>
    <w:lvl w:ilvl="2" w:tentative="0">
      <w:start w:val="1"/>
      <w:numFmt w:val="lowerRoman"/>
      <w:lvlText w:val="%3."/>
      <w:lvlJc w:val="right"/>
      <w:pPr>
        <w:ind w:left="1740" w:hanging="420"/>
      </w:pPr>
      <w:rPr>
        <w:rFonts w:hint="eastAsia"/>
      </w:rPr>
    </w:lvl>
    <w:lvl w:ilvl="3" w:tentative="0">
      <w:start w:val="1"/>
      <w:numFmt w:val="decimal"/>
      <w:lvlText w:val="%4."/>
      <w:lvlJc w:val="left"/>
      <w:pPr>
        <w:ind w:left="2160" w:hanging="420"/>
      </w:pPr>
      <w:rPr>
        <w:rFonts w:hint="eastAsia"/>
      </w:rPr>
    </w:lvl>
    <w:lvl w:ilvl="4" w:tentative="0">
      <w:start w:val="1"/>
      <w:numFmt w:val="lowerLetter"/>
      <w:lvlText w:val="%5)"/>
      <w:lvlJc w:val="left"/>
      <w:pPr>
        <w:ind w:left="2580" w:hanging="420"/>
      </w:pPr>
      <w:rPr>
        <w:rFonts w:hint="eastAsia"/>
      </w:rPr>
    </w:lvl>
    <w:lvl w:ilvl="5" w:tentative="0">
      <w:start w:val="1"/>
      <w:numFmt w:val="lowerRoman"/>
      <w:lvlText w:val="%6."/>
      <w:lvlJc w:val="right"/>
      <w:pPr>
        <w:ind w:left="3000" w:hanging="420"/>
      </w:pPr>
      <w:rPr>
        <w:rFonts w:hint="eastAsia"/>
      </w:rPr>
    </w:lvl>
    <w:lvl w:ilvl="6" w:tentative="0">
      <w:start w:val="1"/>
      <w:numFmt w:val="decimal"/>
      <w:lvlText w:val="%7."/>
      <w:lvlJc w:val="left"/>
      <w:pPr>
        <w:ind w:left="3420" w:hanging="420"/>
      </w:pPr>
      <w:rPr>
        <w:rFonts w:hint="eastAsia"/>
      </w:rPr>
    </w:lvl>
    <w:lvl w:ilvl="7" w:tentative="0">
      <w:start w:val="1"/>
      <w:numFmt w:val="lowerLetter"/>
      <w:lvlText w:val="%8)"/>
      <w:lvlJc w:val="left"/>
      <w:pPr>
        <w:ind w:left="3840" w:hanging="420"/>
      </w:pPr>
      <w:rPr>
        <w:rFonts w:hint="eastAsia"/>
      </w:rPr>
    </w:lvl>
    <w:lvl w:ilvl="8" w:tentative="0">
      <w:start w:val="1"/>
      <w:numFmt w:val="lowerRoman"/>
      <w:lvlText w:val="%9."/>
      <w:lvlJc w:val="right"/>
      <w:pPr>
        <w:ind w:left="4260" w:hanging="420"/>
      </w:pPr>
      <w:rPr>
        <w:rFonts w:hint="eastAsia"/>
      </w:rPr>
    </w:lvl>
  </w:abstractNum>
  <w:abstractNum w:abstractNumId="13">
    <w:nsid w:val="4AC8E19C"/>
    <w:multiLevelType w:val="multilevel"/>
    <w:tmpl w:val="4AC8E19C"/>
    <w:lvl w:ilvl="0" w:tentative="0">
      <w:start w:val="12"/>
      <w:numFmt w:val="upperLetter"/>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4">
    <w:nsid w:val="6C9DAF66"/>
    <w:multiLevelType w:val="singleLevel"/>
    <w:tmpl w:val="6C9DAF66"/>
    <w:lvl w:ilvl="0" w:tentative="0">
      <w:start w:val="2"/>
      <w:numFmt w:val="chineseCounting"/>
      <w:suff w:val="nothing"/>
      <w:lvlText w:val="%1、"/>
      <w:lvlJc w:val="left"/>
      <w:rPr>
        <w:rFonts w:hint="eastAsia"/>
      </w:rPr>
    </w:lvl>
  </w:abstractNum>
  <w:abstractNum w:abstractNumId="15">
    <w:nsid w:val="74B2124B"/>
    <w:multiLevelType w:val="multilevel"/>
    <w:tmpl w:val="74B2124B"/>
    <w:lvl w:ilvl="0" w:tentative="0">
      <w:start w:val="1"/>
      <w:numFmt w:val="decimal"/>
      <w:lvlText w:val="%1)"/>
      <w:lvlJc w:val="left"/>
      <w:pPr>
        <w:tabs>
          <w:tab w:val="left" w:pos="1120"/>
        </w:tabs>
        <w:ind w:left="2240" w:hanging="720"/>
      </w:pPr>
      <w:rPr>
        <w:rFonts w:hint="default" w:ascii="Times New Roman" w:hAnsi="Times New Roman"/>
      </w:rPr>
    </w:lvl>
    <w:lvl w:ilvl="1" w:tentative="0">
      <w:start w:val="1"/>
      <w:numFmt w:val="decimal"/>
      <w:lvlText w:val="%2）"/>
      <w:lvlJc w:val="left"/>
      <w:pPr>
        <w:tabs>
          <w:tab w:val="left" w:pos="567"/>
        </w:tabs>
        <w:ind w:left="0" w:firstLine="567"/>
      </w:pPr>
      <w:rPr>
        <w:rFonts w:hint="default" w:ascii="Times New Roman" w:hAnsi="Times New Roman"/>
      </w:rPr>
    </w:lvl>
    <w:lvl w:ilvl="2" w:tentative="0">
      <w:start w:val="1"/>
      <w:numFmt w:val="lowerRoman"/>
      <w:lvlText w:val="%3."/>
      <w:lvlJc w:val="right"/>
      <w:pPr>
        <w:tabs>
          <w:tab w:val="left" w:pos="1820"/>
        </w:tabs>
        <w:ind w:left="1820" w:hanging="420"/>
      </w:pPr>
    </w:lvl>
    <w:lvl w:ilvl="3" w:tentative="0">
      <w:start w:val="1"/>
      <w:numFmt w:val="decimal"/>
      <w:pStyle w:val="272"/>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5"/>
  </w:num>
  <w:num w:numId="2">
    <w:abstractNumId w:val="7"/>
  </w:num>
  <w:num w:numId="3">
    <w:abstractNumId w:val="5"/>
  </w:num>
  <w:num w:numId="4">
    <w:abstractNumId w:val="9"/>
  </w:num>
  <w:num w:numId="5">
    <w:abstractNumId w:val="12"/>
  </w:num>
  <w:num w:numId="6">
    <w:abstractNumId w:val="3"/>
  </w:num>
  <w:num w:numId="7">
    <w:abstractNumId w:val="11"/>
  </w:num>
  <w:num w:numId="8">
    <w:abstractNumId w:val="1"/>
  </w:num>
  <w:num w:numId="9">
    <w:abstractNumId w:val="6"/>
  </w:num>
  <w:num w:numId="10">
    <w:abstractNumId w:val="4"/>
  </w:num>
  <w:num w:numId="11">
    <w:abstractNumId w:val="8"/>
  </w:num>
  <w:num w:numId="12">
    <w:abstractNumId w:val="14"/>
  </w:num>
  <w:num w:numId="13">
    <w:abstractNumId w:val="13"/>
  </w:num>
  <w:num w:numId="14">
    <w:abstractNumId w:val="2"/>
  </w:num>
  <w:num w:numId="15">
    <w:abstractNumId w:val="0"/>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280"/>
  <w:drawingGridVerticalSpacing w:val="99999990"/>
  <w:displayHorizontalDrawingGridEvery w:val="1"/>
  <w:displayVerticalDrawingGridEvery w:val="1"/>
  <w:doNotShadeFormData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MWJiZmRjNjAyNTI1MGM0NzNmODQ5MzE2YTcwNDMifQ=="/>
  </w:docVars>
  <w:rsids>
    <w:rsidRoot w:val="00172A27"/>
    <w:rsid w:val="0000068F"/>
    <w:rsid w:val="00000C81"/>
    <w:rsid w:val="00000EB7"/>
    <w:rsid w:val="000010D4"/>
    <w:rsid w:val="000016EE"/>
    <w:rsid w:val="00002992"/>
    <w:rsid w:val="00002E63"/>
    <w:rsid w:val="00003259"/>
    <w:rsid w:val="000038CC"/>
    <w:rsid w:val="0000668E"/>
    <w:rsid w:val="0000767F"/>
    <w:rsid w:val="000102C0"/>
    <w:rsid w:val="000113D0"/>
    <w:rsid w:val="00012E6F"/>
    <w:rsid w:val="0001428E"/>
    <w:rsid w:val="000144AA"/>
    <w:rsid w:val="00014678"/>
    <w:rsid w:val="00014815"/>
    <w:rsid w:val="000148AB"/>
    <w:rsid w:val="000157CA"/>
    <w:rsid w:val="000162F2"/>
    <w:rsid w:val="00016F36"/>
    <w:rsid w:val="00017047"/>
    <w:rsid w:val="00017CF9"/>
    <w:rsid w:val="00017EF7"/>
    <w:rsid w:val="00020887"/>
    <w:rsid w:val="00020AE3"/>
    <w:rsid w:val="00021E16"/>
    <w:rsid w:val="0002227D"/>
    <w:rsid w:val="0002259A"/>
    <w:rsid w:val="00022971"/>
    <w:rsid w:val="00022CE8"/>
    <w:rsid w:val="000232DE"/>
    <w:rsid w:val="000239D1"/>
    <w:rsid w:val="00023C1E"/>
    <w:rsid w:val="00024084"/>
    <w:rsid w:val="000241FC"/>
    <w:rsid w:val="00024BCA"/>
    <w:rsid w:val="00024F77"/>
    <w:rsid w:val="000251B5"/>
    <w:rsid w:val="00025BE0"/>
    <w:rsid w:val="00025E6B"/>
    <w:rsid w:val="0002612F"/>
    <w:rsid w:val="00026FC6"/>
    <w:rsid w:val="00027536"/>
    <w:rsid w:val="000276ED"/>
    <w:rsid w:val="00030553"/>
    <w:rsid w:val="00031252"/>
    <w:rsid w:val="0003125C"/>
    <w:rsid w:val="000323A9"/>
    <w:rsid w:val="00032AB8"/>
    <w:rsid w:val="00032DFE"/>
    <w:rsid w:val="00033167"/>
    <w:rsid w:val="00033226"/>
    <w:rsid w:val="00034374"/>
    <w:rsid w:val="0003486B"/>
    <w:rsid w:val="00035209"/>
    <w:rsid w:val="00035221"/>
    <w:rsid w:val="00035D53"/>
    <w:rsid w:val="00036391"/>
    <w:rsid w:val="000370E3"/>
    <w:rsid w:val="0003731C"/>
    <w:rsid w:val="000408DB"/>
    <w:rsid w:val="00040F51"/>
    <w:rsid w:val="00041C45"/>
    <w:rsid w:val="00041C6B"/>
    <w:rsid w:val="000430E4"/>
    <w:rsid w:val="00043D94"/>
    <w:rsid w:val="00044108"/>
    <w:rsid w:val="000448BB"/>
    <w:rsid w:val="00046708"/>
    <w:rsid w:val="00046791"/>
    <w:rsid w:val="000474C9"/>
    <w:rsid w:val="00047591"/>
    <w:rsid w:val="000478FC"/>
    <w:rsid w:val="00050183"/>
    <w:rsid w:val="00050651"/>
    <w:rsid w:val="0005110F"/>
    <w:rsid w:val="000511C3"/>
    <w:rsid w:val="00051ACE"/>
    <w:rsid w:val="00051BE2"/>
    <w:rsid w:val="00051CE3"/>
    <w:rsid w:val="0005217D"/>
    <w:rsid w:val="0005386C"/>
    <w:rsid w:val="0005439E"/>
    <w:rsid w:val="00054436"/>
    <w:rsid w:val="00054EB2"/>
    <w:rsid w:val="00054F6C"/>
    <w:rsid w:val="00055FAC"/>
    <w:rsid w:val="0005659C"/>
    <w:rsid w:val="00056C36"/>
    <w:rsid w:val="0005725C"/>
    <w:rsid w:val="000573A2"/>
    <w:rsid w:val="00057438"/>
    <w:rsid w:val="000602AF"/>
    <w:rsid w:val="00060339"/>
    <w:rsid w:val="0006066B"/>
    <w:rsid w:val="0006150C"/>
    <w:rsid w:val="00062738"/>
    <w:rsid w:val="000629B7"/>
    <w:rsid w:val="00063454"/>
    <w:rsid w:val="00063558"/>
    <w:rsid w:val="00063842"/>
    <w:rsid w:val="00063F17"/>
    <w:rsid w:val="00064450"/>
    <w:rsid w:val="000647A1"/>
    <w:rsid w:val="00064992"/>
    <w:rsid w:val="00064B58"/>
    <w:rsid w:val="00064C09"/>
    <w:rsid w:val="0006603F"/>
    <w:rsid w:val="00066536"/>
    <w:rsid w:val="000667E8"/>
    <w:rsid w:val="00067047"/>
    <w:rsid w:val="0006770E"/>
    <w:rsid w:val="0006782B"/>
    <w:rsid w:val="00067D62"/>
    <w:rsid w:val="000701BA"/>
    <w:rsid w:val="0007035B"/>
    <w:rsid w:val="000712F6"/>
    <w:rsid w:val="000725C4"/>
    <w:rsid w:val="00072AA7"/>
    <w:rsid w:val="00072BAE"/>
    <w:rsid w:val="0007366F"/>
    <w:rsid w:val="0007371A"/>
    <w:rsid w:val="00073CC2"/>
    <w:rsid w:val="00074A0E"/>
    <w:rsid w:val="00074DDC"/>
    <w:rsid w:val="00075FC4"/>
    <w:rsid w:val="0007679E"/>
    <w:rsid w:val="00077A2C"/>
    <w:rsid w:val="00077B8A"/>
    <w:rsid w:val="00077DEB"/>
    <w:rsid w:val="00080AC4"/>
    <w:rsid w:val="00080BDE"/>
    <w:rsid w:val="00080BE6"/>
    <w:rsid w:val="00080E85"/>
    <w:rsid w:val="0008104D"/>
    <w:rsid w:val="000818AD"/>
    <w:rsid w:val="0008199F"/>
    <w:rsid w:val="00082876"/>
    <w:rsid w:val="00082956"/>
    <w:rsid w:val="00082E76"/>
    <w:rsid w:val="0008333C"/>
    <w:rsid w:val="00084113"/>
    <w:rsid w:val="000842AA"/>
    <w:rsid w:val="00084A21"/>
    <w:rsid w:val="00084B67"/>
    <w:rsid w:val="0008520A"/>
    <w:rsid w:val="00085F2A"/>
    <w:rsid w:val="00086004"/>
    <w:rsid w:val="00087C13"/>
    <w:rsid w:val="000913B0"/>
    <w:rsid w:val="00091412"/>
    <w:rsid w:val="00091648"/>
    <w:rsid w:val="00091719"/>
    <w:rsid w:val="0009242D"/>
    <w:rsid w:val="00092BF8"/>
    <w:rsid w:val="000933AD"/>
    <w:rsid w:val="00093464"/>
    <w:rsid w:val="00094513"/>
    <w:rsid w:val="00094C54"/>
    <w:rsid w:val="00095376"/>
    <w:rsid w:val="00095BC3"/>
    <w:rsid w:val="00096048"/>
    <w:rsid w:val="000963D6"/>
    <w:rsid w:val="00096C26"/>
    <w:rsid w:val="00097820"/>
    <w:rsid w:val="0009794C"/>
    <w:rsid w:val="000A01D6"/>
    <w:rsid w:val="000A0A8A"/>
    <w:rsid w:val="000A20A2"/>
    <w:rsid w:val="000A2367"/>
    <w:rsid w:val="000A3B6A"/>
    <w:rsid w:val="000A46BE"/>
    <w:rsid w:val="000A4BBE"/>
    <w:rsid w:val="000A5289"/>
    <w:rsid w:val="000A53A1"/>
    <w:rsid w:val="000A576A"/>
    <w:rsid w:val="000A5BA8"/>
    <w:rsid w:val="000A5D73"/>
    <w:rsid w:val="000A608D"/>
    <w:rsid w:val="000A64DF"/>
    <w:rsid w:val="000A6B86"/>
    <w:rsid w:val="000A7D09"/>
    <w:rsid w:val="000A7DF1"/>
    <w:rsid w:val="000B0148"/>
    <w:rsid w:val="000B01C4"/>
    <w:rsid w:val="000B0D41"/>
    <w:rsid w:val="000B1601"/>
    <w:rsid w:val="000B270A"/>
    <w:rsid w:val="000B2AFB"/>
    <w:rsid w:val="000B2EF7"/>
    <w:rsid w:val="000B3443"/>
    <w:rsid w:val="000B3D5F"/>
    <w:rsid w:val="000B3D81"/>
    <w:rsid w:val="000B487B"/>
    <w:rsid w:val="000B4CD7"/>
    <w:rsid w:val="000B4CD8"/>
    <w:rsid w:val="000B5862"/>
    <w:rsid w:val="000B5C38"/>
    <w:rsid w:val="000B696D"/>
    <w:rsid w:val="000B6989"/>
    <w:rsid w:val="000B6D77"/>
    <w:rsid w:val="000B6F60"/>
    <w:rsid w:val="000B741A"/>
    <w:rsid w:val="000B773B"/>
    <w:rsid w:val="000B7E15"/>
    <w:rsid w:val="000C0E82"/>
    <w:rsid w:val="000C1399"/>
    <w:rsid w:val="000C19B8"/>
    <w:rsid w:val="000C24C6"/>
    <w:rsid w:val="000C2757"/>
    <w:rsid w:val="000C2827"/>
    <w:rsid w:val="000C2BB5"/>
    <w:rsid w:val="000C2C82"/>
    <w:rsid w:val="000C2E12"/>
    <w:rsid w:val="000C41DC"/>
    <w:rsid w:val="000C462A"/>
    <w:rsid w:val="000C481C"/>
    <w:rsid w:val="000C48AF"/>
    <w:rsid w:val="000C4EAE"/>
    <w:rsid w:val="000C5A8A"/>
    <w:rsid w:val="000C5AFA"/>
    <w:rsid w:val="000C6444"/>
    <w:rsid w:val="000C75BF"/>
    <w:rsid w:val="000C7F92"/>
    <w:rsid w:val="000D0629"/>
    <w:rsid w:val="000D06AF"/>
    <w:rsid w:val="000D0CA5"/>
    <w:rsid w:val="000D1041"/>
    <w:rsid w:val="000D13C3"/>
    <w:rsid w:val="000D3B88"/>
    <w:rsid w:val="000D3EAD"/>
    <w:rsid w:val="000D4A9E"/>
    <w:rsid w:val="000D4D43"/>
    <w:rsid w:val="000D52EC"/>
    <w:rsid w:val="000D5BF3"/>
    <w:rsid w:val="000D6292"/>
    <w:rsid w:val="000D62B0"/>
    <w:rsid w:val="000D665B"/>
    <w:rsid w:val="000D6CB5"/>
    <w:rsid w:val="000D6DD0"/>
    <w:rsid w:val="000D715F"/>
    <w:rsid w:val="000D79C1"/>
    <w:rsid w:val="000E00E6"/>
    <w:rsid w:val="000E13EF"/>
    <w:rsid w:val="000E149D"/>
    <w:rsid w:val="000E172E"/>
    <w:rsid w:val="000E1B32"/>
    <w:rsid w:val="000E3F9F"/>
    <w:rsid w:val="000E4B74"/>
    <w:rsid w:val="000E5D9F"/>
    <w:rsid w:val="000E5F6B"/>
    <w:rsid w:val="000E6D14"/>
    <w:rsid w:val="000E7244"/>
    <w:rsid w:val="000E7B9E"/>
    <w:rsid w:val="000F0928"/>
    <w:rsid w:val="000F0A2E"/>
    <w:rsid w:val="000F0BEA"/>
    <w:rsid w:val="000F1285"/>
    <w:rsid w:val="000F1535"/>
    <w:rsid w:val="000F184F"/>
    <w:rsid w:val="000F2F87"/>
    <w:rsid w:val="000F3487"/>
    <w:rsid w:val="000F3768"/>
    <w:rsid w:val="000F38CB"/>
    <w:rsid w:val="000F39CE"/>
    <w:rsid w:val="000F5220"/>
    <w:rsid w:val="000F523B"/>
    <w:rsid w:val="000F57A1"/>
    <w:rsid w:val="000F745F"/>
    <w:rsid w:val="000F79D0"/>
    <w:rsid w:val="000F7A7F"/>
    <w:rsid w:val="00101D4E"/>
    <w:rsid w:val="00101EB4"/>
    <w:rsid w:val="0010202C"/>
    <w:rsid w:val="001024BD"/>
    <w:rsid w:val="00102EF8"/>
    <w:rsid w:val="00102F5E"/>
    <w:rsid w:val="001038D4"/>
    <w:rsid w:val="00103BB1"/>
    <w:rsid w:val="00103E53"/>
    <w:rsid w:val="00104169"/>
    <w:rsid w:val="00104C44"/>
    <w:rsid w:val="00105262"/>
    <w:rsid w:val="001054F2"/>
    <w:rsid w:val="00105D89"/>
    <w:rsid w:val="00106D57"/>
    <w:rsid w:val="00106EA2"/>
    <w:rsid w:val="001070B7"/>
    <w:rsid w:val="001072D3"/>
    <w:rsid w:val="0010754A"/>
    <w:rsid w:val="00107EB2"/>
    <w:rsid w:val="00110172"/>
    <w:rsid w:val="00110FBB"/>
    <w:rsid w:val="001111C9"/>
    <w:rsid w:val="00111835"/>
    <w:rsid w:val="00111C7A"/>
    <w:rsid w:val="001125BF"/>
    <w:rsid w:val="0011296B"/>
    <w:rsid w:val="0011307C"/>
    <w:rsid w:val="00113B9E"/>
    <w:rsid w:val="00113EA7"/>
    <w:rsid w:val="0011449E"/>
    <w:rsid w:val="00114737"/>
    <w:rsid w:val="0011495D"/>
    <w:rsid w:val="00114F7E"/>
    <w:rsid w:val="001155FF"/>
    <w:rsid w:val="00115D03"/>
    <w:rsid w:val="00116477"/>
    <w:rsid w:val="00116B15"/>
    <w:rsid w:val="00116D1F"/>
    <w:rsid w:val="00116D8A"/>
    <w:rsid w:val="0012184B"/>
    <w:rsid w:val="0012195F"/>
    <w:rsid w:val="00121F7D"/>
    <w:rsid w:val="00121F7E"/>
    <w:rsid w:val="0012226A"/>
    <w:rsid w:val="00122456"/>
    <w:rsid w:val="00122463"/>
    <w:rsid w:val="0012249A"/>
    <w:rsid w:val="001226DF"/>
    <w:rsid w:val="001227D6"/>
    <w:rsid w:val="00122C9F"/>
    <w:rsid w:val="00123043"/>
    <w:rsid w:val="00123378"/>
    <w:rsid w:val="0012380D"/>
    <w:rsid w:val="00123AC0"/>
    <w:rsid w:val="0012405F"/>
    <w:rsid w:val="00124B30"/>
    <w:rsid w:val="0012526C"/>
    <w:rsid w:val="001255D6"/>
    <w:rsid w:val="00125827"/>
    <w:rsid w:val="00125BE4"/>
    <w:rsid w:val="00125CF3"/>
    <w:rsid w:val="001262E1"/>
    <w:rsid w:val="00126884"/>
    <w:rsid w:val="00127355"/>
    <w:rsid w:val="00127ED8"/>
    <w:rsid w:val="00127EFE"/>
    <w:rsid w:val="0013173A"/>
    <w:rsid w:val="00132398"/>
    <w:rsid w:val="0013257E"/>
    <w:rsid w:val="00132776"/>
    <w:rsid w:val="00132A0B"/>
    <w:rsid w:val="00132B4E"/>
    <w:rsid w:val="00132BF9"/>
    <w:rsid w:val="00133272"/>
    <w:rsid w:val="00133B30"/>
    <w:rsid w:val="00134028"/>
    <w:rsid w:val="0013439D"/>
    <w:rsid w:val="0013473A"/>
    <w:rsid w:val="001359FC"/>
    <w:rsid w:val="00135FB0"/>
    <w:rsid w:val="00136534"/>
    <w:rsid w:val="001368A8"/>
    <w:rsid w:val="00137703"/>
    <w:rsid w:val="00137D39"/>
    <w:rsid w:val="0014050F"/>
    <w:rsid w:val="001409C9"/>
    <w:rsid w:val="00140DA8"/>
    <w:rsid w:val="00140F9E"/>
    <w:rsid w:val="0014120C"/>
    <w:rsid w:val="001412EF"/>
    <w:rsid w:val="00141435"/>
    <w:rsid w:val="00141817"/>
    <w:rsid w:val="001420D2"/>
    <w:rsid w:val="0014254B"/>
    <w:rsid w:val="00142A97"/>
    <w:rsid w:val="00142EC7"/>
    <w:rsid w:val="0014434B"/>
    <w:rsid w:val="0014446C"/>
    <w:rsid w:val="00144478"/>
    <w:rsid w:val="0014447F"/>
    <w:rsid w:val="001451F9"/>
    <w:rsid w:val="00145C88"/>
    <w:rsid w:val="00146516"/>
    <w:rsid w:val="001467D3"/>
    <w:rsid w:val="001472E1"/>
    <w:rsid w:val="0014733F"/>
    <w:rsid w:val="0014735E"/>
    <w:rsid w:val="00147492"/>
    <w:rsid w:val="00147B9F"/>
    <w:rsid w:val="00147D58"/>
    <w:rsid w:val="001513FF"/>
    <w:rsid w:val="0015203D"/>
    <w:rsid w:val="00152419"/>
    <w:rsid w:val="0015300B"/>
    <w:rsid w:val="0015390A"/>
    <w:rsid w:val="00155C0B"/>
    <w:rsid w:val="00155F72"/>
    <w:rsid w:val="00156091"/>
    <w:rsid w:val="00157BC2"/>
    <w:rsid w:val="00157D0F"/>
    <w:rsid w:val="001600E1"/>
    <w:rsid w:val="00161987"/>
    <w:rsid w:val="00161A0D"/>
    <w:rsid w:val="00162FEA"/>
    <w:rsid w:val="00163AB9"/>
    <w:rsid w:val="00163AF3"/>
    <w:rsid w:val="00163E86"/>
    <w:rsid w:val="0016413C"/>
    <w:rsid w:val="00164509"/>
    <w:rsid w:val="00165830"/>
    <w:rsid w:val="00166154"/>
    <w:rsid w:val="0016721E"/>
    <w:rsid w:val="0016776F"/>
    <w:rsid w:val="00167EAB"/>
    <w:rsid w:val="00170585"/>
    <w:rsid w:val="00170AEF"/>
    <w:rsid w:val="00170DF2"/>
    <w:rsid w:val="00170F41"/>
    <w:rsid w:val="001718CE"/>
    <w:rsid w:val="001726E6"/>
    <w:rsid w:val="00173111"/>
    <w:rsid w:val="001737CF"/>
    <w:rsid w:val="00173E26"/>
    <w:rsid w:val="00174545"/>
    <w:rsid w:val="001747BC"/>
    <w:rsid w:val="00174ED8"/>
    <w:rsid w:val="00175F00"/>
    <w:rsid w:val="001764EC"/>
    <w:rsid w:val="001769C9"/>
    <w:rsid w:val="0017757E"/>
    <w:rsid w:val="001807CE"/>
    <w:rsid w:val="00180E02"/>
    <w:rsid w:val="0018128E"/>
    <w:rsid w:val="001815EB"/>
    <w:rsid w:val="001822F9"/>
    <w:rsid w:val="00183754"/>
    <w:rsid w:val="001838B5"/>
    <w:rsid w:val="001838D2"/>
    <w:rsid w:val="0018579E"/>
    <w:rsid w:val="001857A7"/>
    <w:rsid w:val="00186B8A"/>
    <w:rsid w:val="00187690"/>
    <w:rsid w:val="001876AC"/>
    <w:rsid w:val="00187A70"/>
    <w:rsid w:val="00187A89"/>
    <w:rsid w:val="00190BD1"/>
    <w:rsid w:val="00190F72"/>
    <w:rsid w:val="001913FA"/>
    <w:rsid w:val="0019183C"/>
    <w:rsid w:val="001919A1"/>
    <w:rsid w:val="001930A6"/>
    <w:rsid w:val="001945B2"/>
    <w:rsid w:val="00194609"/>
    <w:rsid w:val="00194BB0"/>
    <w:rsid w:val="00194E72"/>
    <w:rsid w:val="00194F10"/>
    <w:rsid w:val="00194F6A"/>
    <w:rsid w:val="001951E3"/>
    <w:rsid w:val="001957C3"/>
    <w:rsid w:val="00196659"/>
    <w:rsid w:val="00196824"/>
    <w:rsid w:val="00196877"/>
    <w:rsid w:val="00196D7E"/>
    <w:rsid w:val="00196FD2"/>
    <w:rsid w:val="001976E3"/>
    <w:rsid w:val="001A0A6F"/>
    <w:rsid w:val="001A0BC6"/>
    <w:rsid w:val="001A0FBF"/>
    <w:rsid w:val="001A106B"/>
    <w:rsid w:val="001A19BF"/>
    <w:rsid w:val="001A2641"/>
    <w:rsid w:val="001A3D99"/>
    <w:rsid w:val="001A3EBA"/>
    <w:rsid w:val="001A44C9"/>
    <w:rsid w:val="001A53C5"/>
    <w:rsid w:val="001A59A4"/>
    <w:rsid w:val="001A59D3"/>
    <w:rsid w:val="001A5B8D"/>
    <w:rsid w:val="001A5DED"/>
    <w:rsid w:val="001A6269"/>
    <w:rsid w:val="001A6665"/>
    <w:rsid w:val="001A66CB"/>
    <w:rsid w:val="001A6CB3"/>
    <w:rsid w:val="001A7458"/>
    <w:rsid w:val="001A7C15"/>
    <w:rsid w:val="001A7C60"/>
    <w:rsid w:val="001B031D"/>
    <w:rsid w:val="001B06D3"/>
    <w:rsid w:val="001B0800"/>
    <w:rsid w:val="001B0CED"/>
    <w:rsid w:val="001B1282"/>
    <w:rsid w:val="001B19E7"/>
    <w:rsid w:val="001B1F04"/>
    <w:rsid w:val="001B26F8"/>
    <w:rsid w:val="001B294A"/>
    <w:rsid w:val="001B2980"/>
    <w:rsid w:val="001B311C"/>
    <w:rsid w:val="001B31CC"/>
    <w:rsid w:val="001B321E"/>
    <w:rsid w:val="001B32E1"/>
    <w:rsid w:val="001B3984"/>
    <w:rsid w:val="001B3EE4"/>
    <w:rsid w:val="001B484D"/>
    <w:rsid w:val="001B498C"/>
    <w:rsid w:val="001B4B2C"/>
    <w:rsid w:val="001B4BF6"/>
    <w:rsid w:val="001B5776"/>
    <w:rsid w:val="001B5C25"/>
    <w:rsid w:val="001B5D21"/>
    <w:rsid w:val="001B601A"/>
    <w:rsid w:val="001B6E32"/>
    <w:rsid w:val="001B7C36"/>
    <w:rsid w:val="001C0024"/>
    <w:rsid w:val="001C08DE"/>
    <w:rsid w:val="001C1084"/>
    <w:rsid w:val="001C11C7"/>
    <w:rsid w:val="001C207B"/>
    <w:rsid w:val="001C214D"/>
    <w:rsid w:val="001C2E10"/>
    <w:rsid w:val="001C351A"/>
    <w:rsid w:val="001C420C"/>
    <w:rsid w:val="001C4CF2"/>
    <w:rsid w:val="001C5704"/>
    <w:rsid w:val="001C642F"/>
    <w:rsid w:val="001C6504"/>
    <w:rsid w:val="001C686D"/>
    <w:rsid w:val="001C6C20"/>
    <w:rsid w:val="001C6D9C"/>
    <w:rsid w:val="001D094F"/>
    <w:rsid w:val="001D1131"/>
    <w:rsid w:val="001D1D4F"/>
    <w:rsid w:val="001D3027"/>
    <w:rsid w:val="001D360A"/>
    <w:rsid w:val="001D4106"/>
    <w:rsid w:val="001D45FB"/>
    <w:rsid w:val="001D489C"/>
    <w:rsid w:val="001D4AEE"/>
    <w:rsid w:val="001D4BE9"/>
    <w:rsid w:val="001D4D3B"/>
    <w:rsid w:val="001D5188"/>
    <w:rsid w:val="001D52B2"/>
    <w:rsid w:val="001D58E3"/>
    <w:rsid w:val="001D5F62"/>
    <w:rsid w:val="001D6990"/>
    <w:rsid w:val="001D6BEC"/>
    <w:rsid w:val="001D6C22"/>
    <w:rsid w:val="001D715C"/>
    <w:rsid w:val="001D7355"/>
    <w:rsid w:val="001D7C2E"/>
    <w:rsid w:val="001E0168"/>
    <w:rsid w:val="001E02A7"/>
    <w:rsid w:val="001E0372"/>
    <w:rsid w:val="001E0477"/>
    <w:rsid w:val="001E0600"/>
    <w:rsid w:val="001E09E7"/>
    <w:rsid w:val="001E0ACB"/>
    <w:rsid w:val="001E0B34"/>
    <w:rsid w:val="001E116D"/>
    <w:rsid w:val="001E1619"/>
    <w:rsid w:val="001E1692"/>
    <w:rsid w:val="001E2176"/>
    <w:rsid w:val="001E2643"/>
    <w:rsid w:val="001E2ED5"/>
    <w:rsid w:val="001E34D5"/>
    <w:rsid w:val="001E4033"/>
    <w:rsid w:val="001E5B31"/>
    <w:rsid w:val="001E6064"/>
    <w:rsid w:val="001E60C7"/>
    <w:rsid w:val="001E615D"/>
    <w:rsid w:val="001E7CD0"/>
    <w:rsid w:val="001E7F08"/>
    <w:rsid w:val="001F0153"/>
    <w:rsid w:val="001F054E"/>
    <w:rsid w:val="001F0CFD"/>
    <w:rsid w:val="001F19ED"/>
    <w:rsid w:val="001F1D62"/>
    <w:rsid w:val="001F214E"/>
    <w:rsid w:val="001F3AA5"/>
    <w:rsid w:val="001F406D"/>
    <w:rsid w:val="001F4EA6"/>
    <w:rsid w:val="001F54F1"/>
    <w:rsid w:val="001F5DE3"/>
    <w:rsid w:val="001F60B1"/>
    <w:rsid w:val="001F63E4"/>
    <w:rsid w:val="001F6432"/>
    <w:rsid w:val="001F6EA3"/>
    <w:rsid w:val="001F7280"/>
    <w:rsid w:val="001F72A2"/>
    <w:rsid w:val="001F7BB9"/>
    <w:rsid w:val="001F7C8A"/>
    <w:rsid w:val="001F7F0C"/>
    <w:rsid w:val="0020250A"/>
    <w:rsid w:val="002031B0"/>
    <w:rsid w:val="00203258"/>
    <w:rsid w:val="00203B5B"/>
    <w:rsid w:val="00204370"/>
    <w:rsid w:val="00204FCD"/>
    <w:rsid w:val="00205221"/>
    <w:rsid w:val="00205386"/>
    <w:rsid w:val="00205777"/>
    <w:rsid w:val="00205895"/>
    <w:rsid w:val="00205A9B"/>
    <w:rsid w:val="00205D96"/>
    <w:rsid w:val="0020644B"/>
    <w:rsid w:val="00206468"/>
    <w:rsid w:val="002077D8"/>
    <w:rsid w:val="00207BEF"/>
    <w:rsid w:val="0021006C"/>
    <w:rsid w:val="00210222"/>
    <w:rsid w:val="002109EC"/>
    <w:rsid w:val="00210D49"/>
    <w:rsid w:val="002117C9"/>
    <w:rsid w:val="00212F54"/>
    <w:rsid w:val="002130AB"/>
    <w:rsid w:val="00213725"/>
    <w:rsid w:val="00213D38"/>
    <w:rsid w:val="00213F79"/>
    <w:rsid w:val="002141F2"/>
    <w:rsid w:val="002146A2"/>
    <w:rsid w:val="00215587"/>
    <w:rsid w:val="00215AD2"/>
    <w:rsid w:val="00216A52"/>
    <w:rsid w:val="002174DB"/>
    <w:rsid w:val="0021782C"/>
    <w:rsid w:val="002179A5"/>
    <w:rsid w:val="00217A65"/>
    <w:rsid w:val="00217D41"/>
    <w:rsid w:val="00220BC5"/>
    <w:rsid w:val="00220D43"/>
    <w:rsid w:val="00220DDC"/>
    <w:rsid w:val="00221670"/>
    <w:rsid w:val="00223104"/>
    <w:rsid w:val="002239BE"/>
    <w:rsid w:val="00223BBB"/>
    <w:rsid w:val="00223D32"/>
    <w:rsid w:val="00224C1A"/>
    <w:rsid w:val="00224E34"/>
    <w:rsid w:val="0022513E"/>
    <w:rsid w:val="00225747"/>
    <w:rsid w:val="00225A6E"/>
    <w:rsid w:val="00225E70"/>
    <w:rsid w:val="00226215"/>
    <w:rsid w:val="002263C9"/>
    <w:rsid w:val="00226A07"/>
    <w:rsid w:val="00226E79"/>
    <w:rsid w:val="00230164"/>
    <w:rsid w:val="00230251"/>
    <w:rsid w:val="002310F7"/>
    <w:rsid w:val="00231EC8"/>
    <w:rsid w:val="00233826"/>
    <w:rsid w:val="00233CD7"/>
    <w:rsid w:val="00234193"/>
    <w:rsid w:val="00234D9F"/>
    <w:rsid w:val="0023501F"/>
    <w:rsid w:val="0023518A"/>
    <w:rsid w:val="00235F46"/>
    <w:rsid w:val="0023601C"/>
    <w:rsid w:val="0023670D"/>
    <w:rsid w:val="00236BD3"/>
    <w:rsid w:val="002372B0"/>
    <w:rsid w:val="00237768"/>
    <w:rsid w:val="00237A45"/>
    <w:rsid w:val="00237A99"/>
    <w:rsid w:val="00240315"/>
    <w:rsid w:val="0024051A"/>
    <w:rsid w:val="002409C6"/>
    <w:rsid w:val="002409FA"/>
    <w:rsid w:val="00240E28"/>
    <w:rsid w:val="00240F9D"/>
    <w:rsid w:val="002419FC"/>
    <w:rsid w:val="00241E11"/>
    <w:rsid w:val="00242474"/>
    <w:rsid w:val="00243844"/>
    <w:rsid w:val="002441DF"/>
    <w:rsid w:val="002446CD"/>
    <w:rsid w:val="00245045"/>
    <w:rsid w:val="00245311"/>
    <w:rsid w:val="00245F8C"/>
    <w:rsid w:val="002468E9"/>
    <w:rsid w:val="00246AEC"/>
    <w:rsid w:val="002471B0"/>
    <w:rsid w:val="002476FA"/>
    <w:rsid w:val="002477B9"/>
    <w:rsid w:val="00250781"/>
    <w:rsid w:val="00250BFB"/>
    <w:rsid w:val="00250D17"/>
    <w:rsid w:val="002519D5"/>
    <w:rsid w:val="00252777"/>
    <w:rsid w:val="00252FFB"/>
    <w:rsid w:val="00254593"/>
    <w:rsid w:val="00254639"/>
    <w:rsid w:val="00255972"/>
    <w:rsid w:val="00255B98"/>
    <w:rsid w:val="0025680E"/>
    <w:rsid w:val="00256AF3"/>
    <w:rsid w:val="00257429"/>
    <w:rsid w:val="0025757C"/>
    <w:rsid w:val="00257620"/>
    <w:rsid w:val="0026025A"/>
    <w:rsid w:val="0026064B"/>
    <w:rsid w:val="00260FFC"/>
    <w:rsid w:val="00261404"/>
    <w:rsid w:val="00261471"/>
    <w:rsid w:val="00262773"/>
    <w:rsid w:val="00262C6A"/>
    <w:rsid w:val="00262D13"/>
    <w:rsid w:val="00264008"/>
    <w:rsid w:val="002649C1"/>
    <w:rsid w:val="00264F74"/>
    <w:rsid w:val="00265C83"/>
    <w:rsid w:val="002662FD"/>
    <w:rsid w:val="00266D54"/>
    <w:rsid w:val="0026711D"/>
    <w:rsid w:val="00267547"/>
    <w:rsid w:val="00267787"/>
    <w:rsid w:val="002678EF"/>
    <w:rsid w:val="002679D3"/>
    <w:rsid w:val="00267B6E"/>
    <w:rsid w:val="0027062E"/>
    <w:rsid w:val="00271029"/>
    <w:rsid w:val="002710B9"/>
    <w:rsid w:val="00271142"/>
    <w:rsid w:val="0027129D"/>
    <w:rsid w:val="0027178E"/>
    <w:rsid w:val="00271B00"/>
    <w:rsid w:val="00271D46"/>
    <w:rsid w:val="0027242E"/>
    <w:rsid w:val="002724CC"/>
    <w:rsid w:val="002728A8"/>
    <w:rsid w:val="00272CC2"/>
    <w:rsid w:val="00272CE3"/>
    <w:rsid w:val="00272D2F"/>
    <w:rsid w:val="00273002"/>
    <w:rsid w:val="00274445"/>
    <w:rsid w:val="0027470C"/>
    <w:rsid w:val="0027576D"/>
    <w:rsid w:val="00276070"/>
    <w:rsid w:val="00276FA9"/>
    <w:rsid w:val="00280941"/>
    <w:rsid w:val="00280D95"/>
    <w:rsid w:val="0028123A"/>
    <w:rsid w:val="002813B1"/>
    <w:rsid w:val="00281A66"/>
    <w:rsid w:val="00282015"/>
    <w:rsid w:val="0028236E"/>
    <w:rsid w:val="002823B1"/>
    <w:rsid w:val="002824B4"/>
    <w:rsid w:val="002824EC"/>
    <w:rsid w:val="0028285B"/>
    <w:rsid w:val="00283141"/>
    <w:rsid w:val="00283150"/>
    <w:rsid w:val="002834B1"/>
    <w:rsid w:val="002846B0"/>
    <w:rsid w:val="00284C7E"/>
    <w:rsid w:val="00284D31"/>
    <w:rsid w:val="00285090"/>
    <w:rsid w:val="0028691E"/>
    <w:rsid w:val="00286ACB"/>
    <w:rsid w:val="0028707F"/>
    <w:rsid w:val="00287DDF"/>
    <w:rsid w:val="00287FBB"/>
    <w:rsid w:val="0029049D"/>
    <w:rsid w:val="00290AEE"/>
    <w:rsid w:val="00292662"/>
    <w:rsid w:val="002932BE"/>
    <w:rsid w:val="002934E3"/>
    <w:rsid w:val="00293B5F"/>
    <w:rsid w:val="00293BE7"/>
    <w:rsid w:val="002946CC"/>
    <w:rsid w:val="0029588F"/>
    <w:rsid w:val="002958CE"/>
    <w:rsid w:val="0029627E"/>
    <w:rsid w:val="00297A98"/>
    <w:rsid w:val="00297F62"/>
    <w:rsid w:val="002A0019"/>
    <w:rsid w:val="002A1DA7"/>
    <w:rsid w:val="002A1DF0"/>
    <w:rsid w:val="002A24C4"/>
    <w:rsid w:val="002A27DC"/>
    <w:rsid w:val="002A3AA7"/>
    <w:rsid w:val="002A3B9B"/>
    <w:rsid w:val="002A5074"/>
    <w:rsid w:val="002A57D7"/>
    <w:rsid w:val="002A5B33"/>
    <w:rsid w:val="002A5D8B"/>
    <w:rsid w:val="002A6634"/>
    <w:rsid w:val="002A6CC8"/>
    <w:rsid w:val="002A71F9"/>
    <w:rsid w:val="002A7AE8"/>
    <w:rsid w:val="002B10C9"/>
    <w:rsid w:val="002B1110"/>
    <w:rsid w:val="002B1778"/>
    <w:rsid w:val="002B18EB"/>
    <w:rsid w:val="002B1C43"/>
    <w:rsid w:val="002B2056"/>
    <w:rsid w:val="002B45AE"/>
    <w:rsid w:val="002B4D0C"/>
    <w:rsid w:val="002B4ED7"/>
    <w:rsid w:val="002B5139"/>
    <w:rsid w:val="002B5429"/>
    <w:rsid w:val="002B5D15"/>
    <w:rsid w:val="002B66DF"/>
    <w:rsid w:val="002B6910"/>
    <w:rsid w:val="002B6EEC"/>
    <w:rsid w:val="002B729A"/>
    <w:rsid w:val="002B79F5"/>
    <w:rsid w:val="002B7B17"/>
    <w:rsid w:val="002C0031"/>
    <w:rsid w:val="002C031E"/>
    <w:rsid w:val="002C0D3A"/>
    <w:rsid w:val="002C0F05"/>
    <w:rsid w:val="002C12EA"/>
    <w:rsid w:val="002C1CDD"/>
    <w:rsid w:val="002C1DA1"/>
    <w:rsid w:val="002C1E55"/>
    <w:rsid w:val="002C1FBE"/>
    <w:rsid w:val="002C3624"/>
    <w:rsid w:val="002C62A7"/>
    <w:rsid w:val="002C6436"/>
    <w:rsid w:val="002C6D38"/>
    <w:rsid w:val="002C6D3D"/>
    <w:rsid w:val="002C6DA1"/>
    <w:rsid w:val="002C7D83"/>
    <w:rsid w:val="002D01A3"/>
    <w:rsid w:val="002D030B"/>
    <w:rsid w:val="002D04DD"/>
    <w:rsid w:val="002D0853"/>
    <w:rsid w:val="002D0F35"/>
    <w:rsid w:val="002D14FF"/>
    <w:rsid w:val="002D16AB"/>
    <w:rsid w:val="002D252A"/>
    <w:rsid w:val="002D286A"/>
    <w:rsid w:val="002D2DD7"/>
    <w:rsid w:val="002D31D6"/>
    <w:rsid w:val="002D44F5"/>
    <w:rsid w:val="002D4693"/>
    <w:rsid w:val="002D4FDB"/>
    <w:rsid w:val="002D5450"/>
    <w:rsid w:val="002D5750"/>
    <w:rsid w:val="002D5C51"/>
    <w:rsid w:val="002D6576"/>
    <w:rsid w:val="002D6A76"/>
    <w:rsid w:val="002D70A0"/>
    <w:rsid w:val="002D7204"/>
    <w:rsid w:val="002D78AB"/>
    <w:rsid w:val="002D7A7E"/>
    <w:rsid w:val="002D7E35"/>
    <w:rsid w:val="002D7EAE"/>
    <w:rsid w:val="002E0504"/>
    <w:rsid w:val="002E064D"/>
    <w:rsid w:val="002E0EFD"/>
    <w:rsid w:val="002E1771"/>
    <w:rsid w:val="002E1C63"/>
    <w:rsid w:val="002E1CA1"/>
    <w:rsid w:val="002E23EA"/>
    <w:rsid w:val="002E2B2A"/>
    <w:rsid w:val="002E3065"/>
    <w:rsid w:val="002E37B5"/>
    <w:rsid w:val="002E3CAE"/>
    <w:rsid w:val="002E4054"/>
    <w:rsid w:val="002E4274"/>
    <w:rsid w:val="002E4897"/>
    <w:rsid w:val="002E5A82"/>
    <w:rsid w:val="002E5E88"/>
    <w:rsid w:val="002E6E9A"/>
    <w:rsid w:val="002E7679"/>
    <w:rsid w:val="002F07F8"/>
    <w:rsid w:val="002F16B7"/>
    <w:rsid w:val="002F1BCB"/>
    <w:rsid w:val="002F2842"/>
    <w:rsid w:val="002F2E8D"/>
    <w:rsid w:val="002F2EF5"/>
    <w:rsid w:val="002F31E5"/>
    <w:rsid w:val="002F3B12"/>
    <w:rsid w:val="002F3F2D"/>
    <w:rsid w:val="002F3F98"/>
    <w:rsid w:val="002F5026"/>
    <w:rsid w:val="002F5E59"/>
    <w:rsid w:val="002F6301"/>
    <w:rsid w:val="002F66D0"/>
    <w:rsid w:val="002F6B36"/>
    <w:rsid w:val="002F70B3"/>
    <w:rsid w:val="002F7E87"/>
    <w:rsid w:val="002F7FBF"/>
    <w:rsid w:val="00301A23"/>
    <w:rsid w:val="00301C4F"/>
    <w:rsid w:val="00301DCB"/>
    <w:rsid w:val="0030202B"/>
    <w:rsid w:val="00302498"/>
    <w:rsid w:val="003028E8"/>
    <w:rsid w:val="00302FF2"/>
    <w:rsid w:val="00303354"/>
    <w:rsid w:val="00303461"/>
    <w:rsid w:val="0030363B"/>
    <w:rsid w:val="00305BBD"/>
    <w:rsid w:val="00306267"/>
    <w:rsid w:val="00306399"/>
    <w:rsid w:val="003100EF"/>
    <w:rsid w:val="00310156"/>
    <w:rsid w:val="003108C8"/>
    <w:rsid w:val="00310C4C"/>
    <w:rsid w:val="00310C93"/>
    <w:rsid w:val="00310F7F"/>
    <w:rsid w:val="00311396"/>
    <w:rsid w:val="0031155F"/>
    <w:rsid w:val="00312A5A"/>
    <w:rsid w:val="00312E16"/>
    <w:rsid w:val="00312E81"/>
    <w:rsid w:val="00312F89"/>
    <w:rsid w:val="00313017"/>
    <w:rsid w:val="0031404E"/>
    <w:rsid w:val="00314C23"/>
    <w:rsid w:val="003158AE"/>
    <w:rsid w:val="00315A9D"/>
    <w:rsid w:val="00315E4A"/>
    <w:rsid w:val="00315FCF"/>
    <w:rsid w:val="00316455"/>
    <w:rsid w:val="00316699"/>
    <w:rsid w:val="00316CA0"/>
    <w:rsid w:val="00317280"/>
    <w:rsid w:val="003174F0"/>
    <w:rsid w:val="003178B1"/>
    <w:rsid w:val="00317A13"/>
    <w:rsid w:val="00317A51"/>
    <w:rsid w:val="00320759"/>
    <w:rsid w:val="003212E3"/>
    <w:rsid w:val="00321330"/>
    <w:rsid w:val="00321EB6"/>
    <w:rsid w:val="00322078"/>
    <w:rsid w:val="003220B6"/>
    <w:rsid w:val="003225CB"/>
    <w:rsid w:val="00322826"/>
    <w:rsid w:val="00322982"/>
    <w:rsid w:val="0032302E"/>
    <w:rsid w:val="0032316A"/>
    <w:rsid w:val="003234BA"/>
    <w:rsid w:val="00323924"/>
    <w:rsid w:val="00323C66"/>
    <w:rsid w:val="0032460F"/>
    <w:rsid w:val="00324672"/>
    <w:rsid w:val="00324697"/>
    <w:rsid w:val="00325244"/>
    <w:rsid w:val="0032583C"/>
    <w:rsid w:val="003259ED"/>
    <w:rsid w:val="00326B20"/>
    <w:rsid w:val="00327197"/>
    <w:rsid w:val="0032735F"/>
    <w:rsid w:val="00330CE5"/>
    <w:rsid w:val="00330D5E"/>
    <w:rsid w:val="00330DB6"/>
    <w:rsid w:val="00330E71"/>
    <w:rsid w:val="003323A3"/>
    <w:rsid w:val="00332E8D"/>
    <w:rsid w:val="00333B8F"/>
    <w:rsid w:val="00333CF2"/>
    <w:rsid w:val="00334EE0"/>
    <w:rsid w:val="003351C1"/>
    <w:rsid w:val="003359A6"/>
    <w:rsid w:val="003359E6"/>
    <w:rsid w:val="00335E28"/>
    <w:rsid w:val="0033731A"/>
    <w:rsid w:val="00337724"/>
    <w:rsid w:val="00337829"/>
    <w:rsid w:val="00337BC3"/>
    <w:rsid w:val="003401E1"/>
    <w:rsid w:val="0034058D"/>
    <w:rsid w:val="003409ED"/>
    <w:rsid w:val="00341568"/>
    <w:rsid w:val="00341D91"/>
    <w:rsid w:val="00342418"/>
    <w:rsid w:val="00342DE2"/>
    <w:rsid w:val="0034357D"/>
    <w:rsid w:val="0034367A"/>
    <w:rsid w:val="0034379F"/>
    <w:rsid w:val="00343A4C"/>
    <w:rsid w:val="00343C69"/>
    <w:rsid w:val="00343C8F"/>
    <w:rsid w:val="00344000"/>
    <w:rsid w:val="0034408A"/>
    <w:rsid w:val="003444BE"/>
    <w:rsid w:val="00344D34"/>
    <w:rsid w:val="003450A4"/>
    <w:rsid w:val="0034646B"/>
    <w:rsid w:val="00347B01"/>
    <w:rsid w:val="00350473"/>
    <w:rsid w:val="0035063E"/>
    <w:rsid w:val="0035064A"/>
    <w:rsid w:val="003516B0"/>
    <w:rsid w:val="003519D1"/>
    <w:rsid w:val="00352701"/>
    <w:rsid w:val="003528F0"/>
    <w:rsid w:val="003530D0"/>
    <w:rsid w:val="00353351"/>
    <w:rsid w:val="003540E7"/>
    <w:rsid w:val="0035435F"/>
    <w:rsid w:val="003547A7"/>
    <w:rsid w:val="00354AA9"/>
    <w:rsid w:val="00354EEE"/>
    <w:rsid w:val="0035521F"/>
    <w:rsid w:val="0035644A"/>
    <w:rsid w:val="0035670B"/>
    <w:rsid w:val="0035688C"/>
    <w:rsid w:val="00356CD4"/>
    <w:rsid w:val="00356D1C"/>
    <w:rsid w:val="00357E65"/>
    <w:rsid w:val="00360379"/>
    <w:rsid w:val="003609D3"/>
    <w:rsid w:val="003609F2"/>
    <w:rsid w:val="00360A89"/>
    <w:rsid w:val="00360D22"/>
    <w:rsid w:val="003610EA"/>
    <w:rsid w:val="00361596"/>
    <w:rsid w:val="003618AF"/>
    <w:rsid w:val="00362872"/>
    <w:rsid w:val="003635A9"/>
    <w:rsid w:val="00363770"/>
    <w:rsid w:val="00363C37"/>
    <w:rsid w:val="00363E70"/>
    <w:rsid w:val="0036448E"/>
    <w:rsid w:val="00364855"/>
    <w:rsid w:val="00364982"/>
    <w:rsid w:val="00364BAA"/>
    <w:rsid w:val="00364F04"/>
    <w:rsid w:val="003656D3"/>
    <w:rsid w:val="003660E9"/>
    <w:rsid w:val="00366F5B"/>
    <w:rsid w:val="0036737F"/>
    <w:rsid w:val="003675C4"/>
    <w:rsid w:val="003677F9"/>
    <w:rsid w:val="00367D02"/>
    <w:rsid w:val="0037027F"/>
    <w:rsid w:val="0037034C"/>
    <w:rsid w:val="00370491"/>
    <w:rsid w:val="003704D3"/>
    <w:rsid w:val="00371EBA"/>
    <w:rsid w:val="0037205E"/>
    <w:rsid w:val="00372433"/>
    <w:rsid w:val="0037271B"/>
    <w:rsid w:val="00373053"/>
    <w:rsid w:val="00373082"/>
    <w:rsid w:val="00373B68"/>
    <w:rsid w:val="00373D8F"/>
    <w:rsid w:val="00373DDE"/>
    <w:rsid w:val="003746BE"/>
    <w:rsid w:val="00374BE7"/>
    <w:rsid w:val="003750E6"/>
    <w:rsid w:val="003758C2"/>
    <w:rsid w:val="00375DD3"/>
    <w:rsid w:val="003769E3"/>
    <w:rsid w:val="00376C17"/>
    <w:rsid w:val="003800E2"/>
    <w:rsid w:val="00380305"/>
    <w:rsid w:val="0038064B"/>
    <w:rsid w:val="003807CC"/>
    <w:rsid w:val="003808CC"/>
    <w:rsid w:val="00380F53"/>
    <w:rsid w:val="00381462"/>
    <w:rsid w:val="003829DA"/>
    <w:rsid w:val="0038338B"/>
    <w:rsid w:val="00383F59"/>
    <w:rsid w:val="003846C5"/>
    <w:rsid w:val="0038480E"/>
    <w:rsid w:val="003848C4"/>
    <w:rsid w:val="00384B28"/>
    <w:rsid w:val="00385139"/>
    <w:rsid w:val="00386090"/>
    <w:rsid w:val="003878F9"/>
    <w:rsid w:val="00387D3D"/>
    <w:rsid w:val="00390357"/>
    <w:rsid w:val="003910EE"/>
    <w:rsid w:val="003925BC"/>
    <w:rsid w:val="00392790"/>
    <w:rsid w:val="00392D71"/>
    <w:rsid w:val="00393B50"/>
    <w:rsid w:val="00393B84"/>
    <w:rsid w:val="0039428E"/>
    <w:rsid w:val="003943B1"/>
    <w:rsid w:val="00394891"/>
    <w:rsid w:val="003959AB"/>
    <w:rsid w:val="00395A32"/>
    <w:rsid w:val="003964AE"/>
    <w:rsid w:val="00396FEF"/>
    <w:rsid w:val="0039720A"/>
    <w:rsid w:val="00397809"/>
    <w:rsid w:val="003A064E"/>
    <w:rsid w:val="003A0B4A"/>
    <w:rsid w:val="003A10C1"/>
    <w:rsid w:val="003A1E75"/>
    <w:rsid w:val="003A212C"/>
    <w:rsid w:val="003A2789"/>
    <w:rsid w:val="003A2C99"/>
    <w:rsid w:val="003A2D19"/>
    <w:rsid w:val="003A2ECB"/>
    <w:rsid w:val="003A373B"/>
    <w:rsid w:val="003A3E4D"/>
    <w:rsid w:val="003A4383"/>
    <w:rsid w:val="003A4547"/>
    <w:rsid w:val="003A478A"/>
    <w:rsid w:val="003A4FB2"/>
    <w:rsid w:val="003A5199"/>
    <w:rsid w:val="003A541F"/>
    <w:rsid w:val="003A552F"/>
    <w:rsid w:val="003A5816"/>
    <w:rsid w:val="003A5E19"/>
    <w:rsid w:val="003A641C"/>
    <w:rsid w:val="003A729F"/>
    <w:rsid w:val="003A73E5"/>
    <w:rsid w:val="003A77CD"/>
    <w:rsid w:val="003B0CD2"/>
    <w:rsid w:val="003B1222"/>
    <w:rsid w:val="003B272E"/>
    <w:rsid w:val="003B2885"/>
    <w:rsid w:val="003B2BCF"/>
    <w:rsid w:val="003B32A8"/>
    <w:rsid w:val="003B3615"/>
    <w:rsid w:val="003B36B5"/>
    <w:rsid w:val="003B4F3D"/>
    <w:rsid w:val="003B6082"/>
    <w:rsid w:val="003B646F"/>
    <w:rsid w:val="003B667B"/>
    <w:rsid w:val="003B7499"/>
    <w:rsid w:val="003B7A14"/>
    <w:rsid w:val="003B7ACD"/>
    <w:rsid w:val="003C056E"/>
    <w:rsid w:val="003C0BFE"/>
    <w:rsid w:val="003C1B3F"/>
    <w:rsid w:val="003C243C"/>
    <w:rsid w:val="003C29C9"/>
    <w:rsid w:val="003C32CE"/>
    <w:rsid w:val="003C32DF"/>
    <w:rsid w:val="003C3A2A"/>
    <w:rsid w:val="003C4D74"/>
    <w:rsid w:val="003C567A"/>
    <w:rsid w:val="003C6200"/>
    <w:rsid w:val="003C6B5C"/>
    <w:rsid w:val="003C6C5A"/>
    <w:rsid w:val="003C6DFA"/>
    <w:rsid w:val="003C79CC"/>
    <w:rsid w:val="003C7D7F"/>
    <w:rsid w:val="003D099F"/>
    <w:rsid w:val="003D0E28"/>
    <w:rsid w:val="003D11C5"/>
    <w:rsid w:val="003D1318"/>
    <w:rsid w:val="003D1859"/>
    <w:rsid w:val="003D1B55"/>
    <w:rsid w:val="003D1C51"/>
    <w:rsid w:val="003D2AD8"/>
    <w:rsid w:val="003D2BFD"/>
    <w:rsid w:val="003D3121"/>
    <w:rsid w:val="003D323F"/>
    <w:rsid w:val="003D36F8"/>
    <w:rsid w:val="003D4199"/>
    <w:rsid w:val="003D45EA"/>
    <w:rsid w:val="003D50BE"/>
    <w:rsid w:val="003D514B"/>
    <w:rsid w:val="003D5C57"/>
    <w:rsid w:val="003D5D30"/>
    <w:rsid w:val="003D6250"/>
    <w:rsid w:val="003D6A89"/>
    <w:rsid w:val="003D6AC5"/>
    <w:rsid w:val="003D6B12"/>
    <w:rsid w:val="003D76A6"/>
    <w:rsid w:val="003D7BEA"/>
    <w:rsid w:val="003D7CD5"/>
    <w:rsid w:val="003E0822"/>
    <w:rsid w:val="003E1C29"/>
    <w:rsid w:val="003E2ECF"/>
    <w:rsid w:val="003E338E"/>
    <w:rsid w:val="003E46C8"/>
    <w:rsid w:val="003E5746"/>
    <w:rsid w:val="003E5B38"/>
    <w:rsid w:val="003E6275"/>
    <w:rsid w:val="003E62A1"/>
    <w:rsid w:val="003E6791"/>
    <w:rsid w:val="003E68B3"/>
    <w:rsid w:val="003E792D"/>
    <w:rsid w:val="003E7CB9"/>
    <w:rsid w:val="003F0BE4"/>
    <w:rsid w:val="003F0EEF"/>
    <w:rsid w:val="003F24AB"/>
    <w:rsid w:val="003F2958"/>
    <w:rsid w:val="003F2D6A"/>
    <w:rsid w:val="003F4D4E"/>
    <w:rsid w:val="003F52CB"/>
    <w:rsid w:val="003F594C"/>
    <w:rsid w:val="00400C9E"/>
    <w:rsid w:val="00400FC5"/>
    <w:rsid w:val="004020BE"/>
    <w:rsid w:val="00402AD9"/>
    <w:rsid w:val="00404312"/>
    <w:rsid w:val="004049A9"/>
    <w:rsid w:val="00404EDA"/>
    <w:rsid w:val="00404FB9"/>
    <w:rsid w:val="004052D2"/>
    <w:rsid w:val="004057F3"/>
    <w:rsid w:val="00410093"/>
    <w:rsid w:val="004103DD"/>
    <w:rsid w:val="00411D31"/>
    <w:rsid w:val="00412320"/>
    <w:rsid w:val="00414002"/>
    <w:rsid w:val="0041429E"/>
    <w:rsid w:val="0041534F"/>
    <w:rsid w:val="00415760"/>
    <w:rsid w:val="00415B14"/>
    <w:rsid w:val="00415EA1"/>
    <w:rsid w:val="00416C9E"/>
    <w:rsid w:val="00420B29"/>
    <w:rsid w:val="00420DA9"/>
    <w:rsid w:val="00421212"/>
    <w:rsid w:val="00421272"/>
    <w:rsid w:val="004224F7"/>
    <w:rsid w:val="004227A3"/>
    <w:rsid w:val="00422F56"/>
    <w:rsid w:val="00423CE4"/>
    <w:rsid w:val="00424599"/>
    <w:rsid w:val="004248CD"/>
    <w:rsid w:val="00424ABC"/>
    <w:rsid w:val="00424ECD"/>
    <w:rsid w:val="00425179"/>
    <w:rsid w:val="00425C1C"/>
    <w:rsid w:val="00427365"/>
    <w:rsid w:val="004276A0"/>
    <w:rsid w:val="00427C0C"/>
    <w:rsid w:val="00427DFF"/>
    <w:rsid w:val="0043031F"/>
    <w:rsid w:val="004308D8"/>
    <w:rsid w:val="00431186"/>
    <w:rsid w:val="004311CA"/>
    <w:rsid w:val="00431857"/>
    <w:rsid w:val="00431E74"/>
    <w:rsid w:val="00431EAF"/>
    <w:rsid w:val="00431EFE"/>
    <w:rsid w:val="00432A74"/>
    <w:rsid w:val="00432C90"/>
    <w:rsid w:val="004337B4"/>
    <w:rsid w:val="004343EE"/>
    <w:rsid w:val="0043570A"/>
    <w:rsid w:val="00436154"/>
    <w:rsid w:val="00436AF9"/>
    <w:rsid w:val="00436DB8"/>
    <w:rsid w:val="0043720A"/>
    <w:rsid w:val="00440339"/>
    <w:rsid w:val="00440391"/>
    <w:rsid w:val="00440B6F"/>
    <w:rsid w:val="00440C29"/>
    <w:rsid w:val="00440F2C"/>
    <w:rsid w:val="0044110A"/>
    <w:rsid w:val="004415AF"/>
    <w:rsid w:val="00441B8B"/>
    <w:rsid w:val="00441BC7"/>
    <w:rsid w:val="00441F09"/>
    <w:rsid w:val="004423A5"/>
    <w:rsid w:val="0044244C"/>
    <w:rsid w:val="004425DD"/>
    <w:rsid w:val="0044298E"/>
    <w:rsid w:val="00443C91"/>
    <w:rsid w:val="0044458D"/>
    <w:rsid w:val="0044570D"/>
    <w:rsid w:val="00445AA4"/>
    <w:rsid w:val="00445B1B"/>
    <w:rsid w:val="00446222"/>
    <w:rsid w:val="00447627"/>
    <w:rsid w:val="00450473"/>
    <w:rsid w:val="0045057E"/>
    <w:rsid w:val="00450B8F"/>
    <w:rsid w:val="0045101E"/>
    <w:rsid w:val="0045155A"/>
    <w:rsid w:val="004520C3"/>
    <w:rsid w:val="004534EA"/>
    <w:rsid w:val="00453996"/>
    <w:rsid w:val="00453B96"/>
    <w:rsid w:val="00454038"/>
    <w:rsid w:val="0045454F"/>
    <w:rsid w:val="00455827"/>
    <w:rsid w:val="0045587C"/>
    <w:rsid w:val="00455A10"/>
    <w:rsid w:val="00455B24"/>
    <w:rsid w:val="00455BF5"/>
    <w:rsid w:val="00456440"/>
    <w:rsid w:val="0045664D"/>
    <w:rsid w:val="00456BB5"/>
    <w:rsid w:val="00456D7F"/>
    <w:rsid w:val="00456E90"/>
    <w:rsid w:val="00460B61"/>
    <w:rsid w:val="00460D2A"/>
    <w:rsid w:val="004612A6"/>
    <w:rsid w:val="004613D5"/>
    <w:rsid w:val="00461673"/>
    <w:rsid w:val="00463274"/>
    <w:rsid w:val="0046374D"/>
    <w:rsid w:val="004639B8"/>
    <w:rsid w:val="004648AD"/>
    <w:rsid w:val="00465175"/>
    <w:rsid w:val="004652D4"/>
    <w:rsid w:val="00465358"/>
    <w:rsid w:val="004653CC"/>
    <w:rsid w:val="00466122"/>
    <w:rsid w:val="004661E5"/>
    <w:rsid w:val="00466468"/>
    <w:rsid w:val="004674C9"/>
    <w:rsid w:val="00467C2C"/>
    <w:rsid w:val="004700BE"/>
    <w:rsid w:val="004703C7"/>
    <w:rsid w:val="004709AA"/>
    <w:rsid w:val="00470A65"/>
    <w:rsid w:val="00471AC4"/>
    <w:rsid w:val="0047284F"/>
    <w:rsid w:val="004728B5"/>
    <w:rsid w:val="004731A0"/>
    <w:rsid w:val="0047329F"/>
    <w:rsid w:val="00473486"/>
    <w:rsid w:val="004739A4"/>
    <w:rsid w:val="00474303"/>
    <w:rsid w:val="004743EC"/>
    <w:rsid w:val="004753B6"/>
    <w:rsid w:val="00475522"/>
    <w:rsid w:val="00475749"/>
    <w:rsid w:val="00475C45"/>
    <w:rsid w:val="004761BB"/>
    <w:rsid w:val="004765D3"/>
    <w:rsid w:val="00477238"/>
    <w:rsid w:val="0047753E"/>
    <w:rsid w:val="00477DDF"/>
    <w:rsid w:val="00477F8E"/>
    <w:rsid w:val="004803D8"/>
    <w:rsid w:val="004809F9"/>
    <w:rsid w:val="00480CC4"/>
    <w:rsid w:val="0048140B"/>
    <w:rsid w:val="0048215F"/>
    <w:rsid w:val="00482AD9"/>
    <w:rsid w:val="00482C91"/>
    <w:rsid w:val="00482D27"/>
    <w:rsid w:val="004830D9"/>
    <w:rsid w:val="004832DA"/>
    <w:rsid w:val="004840DE"/>
    <w:rsid w:val="0048522E"/>
    <w:rsid w:val="0048672F"/>
    <w:rsid w:val="00487117"/>
    <w:rsid w:val="00487537"/>
    <w:rsid w:val="00487EC3"/>
    <w:rsid w:val="00490898"/>
    <w:rsid w:val="00490A48"/>
    <w:rsid w:val="00490B6C"/>
    <w:rsid w:val="00491374"/>
    <w:rsid w:val="004914E2"/>
    <w:rsid w:val="00491985"/>
    <w:rsid w:val="004926FD"/>
    <w:rsid w:val="00493B59"/>
    <w:rsid w:val="004943A1"/>
    <w:rsid w:val="004945CC"/>
    <w:rsid w:val="00494A21"/>
    <w:rsid w:val="00495863"/>
    <w:rsid w:val="00497412"/>
    <w:rsid w:val="004A0670"/>
    <w:rsid w:val="004A1129"/>
    <w:rsid w:val="004A125A"/>
    <w:rsid w:val="004A1C79"/>
    <w:rsid w:val="004A1CED"/>
    <w:rsid w:val="004A1DA3"/>
    <w:rsid w:val="004A2D56"/>
    <w:rsid w:val="004A3632"/>
    <w:rsid w:val="004A371D"/>
    <w:rsid w:val="004A449F"/>
    <w:rsid w:val="004A4792"/>
    <w:rsid w:val="004A49B5"/>
    <w:rsid w:val="004A4A09"/>
    <w:rsid w:val="004A4D0B"/>
    <w:rsid w:val="004A6811"/>
    <w:rsid w:val="004A6820"/>
    <w:rsid w:val="004A74B5"/>
    <w:rsid w:val="004B04CE"/>
    <w:rsid w:val="004B091A"/>
    <w:rsid w:val="004B20F7"/>
    <w:rsid w:val="004B2196"/>
    <w:rsid w:val="004B29DE"/>
    <w:rsid w:val="004B3010"/>
    <w:rsid w:val="004B344D"/>
    <w:rsid w:val="004B3B42"/>
    <w:rsid w:val="004B400F"/>
    <w:rsid w:val="004B40F0"/>
    <w:rsid w:val="004B418E"/>
    <w:rsid w:val="004B4BCB"/>
    <w:rsid w:val="004B4DAD"/>
    <w:rsid w:val="004B639D"/>
    <w:rsid w:val="004B6436"/>
    <w:rsid w:val="004B64C9"/>
    <w:rsid w:val="004B6A2F"/>
    <w:rsid w:val="004B6DB7"/>
    <w:rsid w:val="004B6F4E"/>
    <w:rsid w:val="004B701C"/>
    <w:rsid w:val="004B73E3"/>
    <w:rsid w:val="004B74BC"/>
    <w:rsid w:val="004B7618"/>
    <w:rsid w:val="004B78F0"/>
    <w:rsid w:val="004B7F53"/>
    <w:rsid w:val="004C09A9"/>
    <w:rsid w:val="004C0A71"/>
    <w:rsid w:val="004C0B26"/>
    <w:rsid w:val="004C0EE1"/>
    <w:rsid w:val="004C18B2"/>
    <w:rsid w:val="004C23CB"/>
    <w:rsid w:val="004C23F9"/>
    <w:rsid w:val="004C2A90"/>
    <w:rsid w:val="004C2CCD"/>
    <w:rsid w:val="004C390D"/>
    <w:rsid w:val="004C3B16"/>
    <w:rsid w:val="004C4073"/>
    <w:rsid w:val="004C41D6"/>
    <w:rsid w:val="004C55EF"/>
    <w:rsid w:val="004C6198"/>
    <w:rsid w:val="004C66A3"/>
    <w:rsid w:val="004C7003"/>
    <w:rsid w:val="004C73B8"/>
    <w:rsid w:val="004C77AB"/>
    <w:rsid w:val="004C7AAE"/>
    <w:rsid w:val="004C7CFD"/>
    <w:rsid w:val="004D006E"/>
    <w:rsid w:val="004D0369"/>
    <w:rsid w:val="004D05CD"/>
    <w:rsid w:val="004D1174"/>
    <w:rsid w:val="004D1C14"/>
    <w:rsid w:val="004D2ADF"/>
    <w:rsid w:val="004D316A"/>
    <w:rsid w:val="004D32AB"/>
    <w:rsid w:val="004D3BE8"/>
    <w:rsid w:val="004D3C4D"/>
    <w:rsid w:val="004D3F67"/>
    <w:rsid w:val="004D4A8C"/>
    <w:rsid w:val="004D4DB9"/>
    <w:rsid w:val="004D5088"/>
    <w:rsid w:val="004D529A"/>
    <w:rsid w:val="004D5753"/>
    <w:rsid w:val="004D5A54"/>
    <w:rsid w:val="004D65D3"/>
    <w:rsid w:val="004D680A"/>
    <w:rsid w:val="004D6B3A"/>
    <w:rsid w:val="004D78F7"/>
    <w:rsid w:val="004D7D1E"/>
    <w:rsid w:val="004E011A"/>
    <w:rsid w:val="004E178D"/>
    <w:rsid w:val="004E19AF"/>
    <w:rsid w:val="004E28FB"/>
    <w:rsid w:val="004E388A"/>
    <w:rsid w:val="004E411B"/>
    <w:rsid w:val="004E4788"/>
    <w:rsid w:val="004E55E7"/>
    <w:rsid w:val="004E6A96"/>
    <w:rsid w:val="004E6B49"/>
    <w:rsid w:val="004E6C70"/>
    <w:rsid w:val="004E6E99"/>
    <w:rsid w:val="004E7A3D"/>
    <w:rsid w:val="004F0021"/>
    <w:rsid w:val="004F031D"/>
    <w:rsid w:val="004F09B7"/>
    <w:rsid w:val="004F0FE4"/>
    <w:rsid w:val="004F1955"/>
    <w:rsid w:val="004F24FA"/>
    <w:rsid w:val="004F2565"/>
    <w:rsid w:val="004F2866"/>
    <w:rsid w:val="004F3108"/>
    <w:rsid w:val="004F311E"/>
    <w:rsid w:val="004F35CE"/>
    <w:rsid w:val="004F374C"/>
    <w:rsid w:val="004F4BEC"/>
    <w:rsid w:val="004F59A6"/>
    <w:rsid w:val="004F5F4D"/>
    <w:rsid w:val="004F6131"/>
    <w:rsid w:val="004F62B5"/>
    <w:rsid w:val="004F690C"/>
    <w:rsid w:val="004F6920"/>
    <w:rsid w:val="004F695D"/>
    <w:rsid w:val="004F6D45"/>
    <w:rsid w:val="004F776F"/>
    <w:rsid w:val="004F7AB9"/>
    <w:rsid w:val="004F7B0C"/>
    <w:rsid w:val="005006B2"/>
    <w:rsid w:val="005015F3"/>
    <w:rsid w:val="005016B9"/>
    <w:rsid w:val="005034DA"/>
    <w:rsid w:val="005037F9"/>
    <w:rsid w:val="00503E8C"/>
    <w:rsid w:val="00503F45"/>
    <w:rsid w:val="00505068"/>
    <w:rsid w:val="00505E51"/>
    <w:rsid w:val="005064D8"/>
    <w:rsid w:val="00506F39"/>
    <w:rsid w:val="0050709C"/>
    <w:rsid w:val="00507BED"/>
    <w:rsid w:val="005107D0"/>
    <w:rsid w:val="00510838"/>
    <w:rsid w:val="005113E2"/>
    <w:rsid w:val="005136EE"/>
    <w:rsid w:val="00513BBB"/>
    <w:rsid w:val="00513E60"/>
    <w:rsid w:val="005158D6"/>
    <w:rsid w:val="00516233"/>
    <w:rsid w:val="005169BB"/>
    <w:rsid w:val="005169F4"/>
    <w:rsid w:val="00516C19"/>
    <w:rsid w:val="00516C48"/>
    <w:rsid w:val="00517334"/>
    <w:rsid w:val="00517350"/>
    <w:rsid w:val="0051759E"/>
    <w:rsid w:val="00521144"/>
    <w:rsid w:val="00521C7B"/>
    <w:rsid w:val="00521E63"/>
    <w:rsid w:val="00522C83"/>
    <w:rsid w:val="00522CDE"/>
    <w:rsid w:val="005232AC"/>
    <w:rsid w:val="005234DD"/>
    <w:rsid w:val="00523A66"/>
    <w:rsid w:val="0052400E"/>
    <w:rsid w:val="00524752"/>
    <w:rsid w:val="005260F5"/>
    <w:rsid w:val="0052726D"/>
    <w:rsid w:val="00527421"/>
    <w:rsid w:val="0052761A"/>
    <w:rsid w:val="00530168"/>
    <w:rsid w:val="00530CBF"/>
    <w:rsid w:val="0053109F"/>
    <w:rsid w:val="00532714"/>
    <w:rsid w:val="005327E5"/>
    <w:rsid w:val="00532814"/>
    <w:rsid w:val="00532E3D"/>
    <w:rsid w:val="0053327A"/>
    <w:rsid w:val="005335D7"/>
    <w:rsid w:val="005337A4"/>
    <w:rsid w:val="00533998"/>
    <w:rsid w:val="00533E01"/>
    <w:rsid w:val="005340D4"/>
    <w:rsid w:val="00534E0C"/>
    <w:rsid w:val="005362C8"/>
    <w:rsid w:val="005365B6"/>
    <w:rsid w:val="00536EAB"/>
    <w:rsid w:val="005370FB"/>
    <w:rsid w:val="00537958"/>
    <w:rsid w:val="00537B8D"/>
    <w:rsid w:val="00537CA2"/>
    <w:rsid w:val="00537FA5"/>
    <w:rsid w:val="00540374"/>
    <w:rsid w:val="00540545"/>
    <w:rsid w:val="0054057F"/>
    <w:rsid w:val="005405C9"/>
    <w:rsid w:val="00540659"/>
    <w:rsid w:val="00540A3D"/>
    <w:rsid w:val="00540CA2"/>
    <w:rsid w:val="005411FD"/>
    <w:rsid w:val="00541F18"/>
    <w:rsid w:val="00542D7A"/>
    <w:rsid w:val="00542DC8"/>
    <w:rsid w:val="0054300F"/>
    <w:rsid w:val="00544035"/>
    <w:rsid w:val="00544687"/>
    <w:rsid w:val="00544EFB"/>
    <w:rsid w:val="00545CB0"/>
    <w:rsid w:val="0054623B"/>
    <w:rsid w:val="00546268"/>
    <w:rsid w:val="00546938"/>
    <w:rsid w:val="00546CA6"/>
    <w:rsid w:val="0054748F"/>
    <w:rsid w:val="005476E7"/>
    <w:rsid w:val="00550011"/>
    <w:rsid w:val="00550913"/>
    <w:rsid w:val="00550B06"/>
    <w:rsid w:val="00550CC1"/>
    <w:rsid w:val="00550F9F"/>
    <w:rsid w:val="00551A1F"/>
    <w:rsid w:val="00551BCA"/>
    <w:rsid w:val="00551CBE"/>
    <w:rsid w:val="0055249C"/>
    <w:rsid w:val="005539F5"/>
    <w:rsid w:val="00553A69"/>
    <w:rsid w:val="00553EBF"/>
    <w:rsid w:val="00554506"/>
    <w:rsid w:val="00554981"/>
    <w:rsid w:val="00554A5B"/>
    <w:rsid w:val="00555248"/>
    <w:rsid w:val="005553B2"/>
    <w:rsid w:val="00555549"/>
    <w:rsid w:val="00555A77"/>
    <w:rsid w:val="00555DAF"/>
    <w:rsid w:val="005567DF"/>
    <w:rsid w:val="00556C30"/>
    <w:rsid w:val="00557915"/>
    <w:rsid w:val="00560A01"/>
    <w:rsid w:val="00560D6F"/>
    <w:rsid w:val="005612BC"/>
    <w:rsid w:val="005617DE"/>
    <w:rsid w:val="00561AD2"/>
    <w:rsid w:val="00561B71"/>
    <w:rsid w:val="00561EC8"/>
    <w:rsid w:val="0056239A"/>
    <w:rsid w:val="005623D2"/>
    <w:rsid w:val="00563079"/>
    <w:rsid w:val="005636E0"/>
    <w:rsid w:val="00563A0B"/>
    <w:rsid w:val="00564AC2"/>
    <w:rsid w:val="00564B91"/>
    <w:rsid w:val="005653E6"/>
    <w:rsid w:val="00565529"/>
    <w:rsid w:val="00565A4C"/>
    <w:rsid w:val="00565BE4"/>
    <w:rsid w:val="00565E69"/>
    <w:rsid w:val="005661CD"/>
    <w:rsid w:val="00566805"/>
    <w:rsid w:val="005671F7"/>
    <w:rsid w:val="0057011F"/>
    <w:rsid w:val="00570671"/>
    <w:rsid w:val="005707E3"/>
    <w:rsid w:val="0057089B"/>
    <w:rsid w:val="00570AFF"/>
    <w:rsid w:val="00570E1F"/>
    <w:rsid w:val="00571879"/>
    <w:rsid w:val="00573327"/>
    <w:rsid w:val="00573362"/>
    <w:rsid w:val="00573945"/>
    <w:rsid w:val="00573E79"/>
    <w:rsid w:val="005747AA"/>
    <w:rsid w:val="0057564C"/>
    <w:rsid w:val="00575680"/>
    <w:rsid w:val="0057588E"/>
    <w:rsid w:val="00575ADD"/>
    <w:rsid w:val="00575E1F"/>
    <w:rsid w:val="00576EEA"/>
    <w:rsid w:val="005777EC"/>
    <w:rsid w:val="00577DEC"/>
    <w:rsid w:val="00582901"/>
    <w:rsid w:val="005832EE"/>
    <w:rsid w:val="00583C39"/>
    <w:rsid w:val="00584407"/>
    <w:rsid w:val="0058440B"/>
    <w:rsid w:val="00584B7E"/>
    <w:rsid w:val="00584EA1"/>
    <w:rsid w:val="005852EF"/>
    <w:rsid w:val="00585498"/>
    <w:rsid w:val="00586F79"/>
    <w:rsid w:val="00587AC2"/>
    <w:rsid w:val="00587E72"/>
    <w:rsid w:val="00590172"/>
    <w:rsid w:val="005914F1"/>
    <w:rsid w:val="00591D8B"/>
    <w:rsid w:val="005925A0"/>
    <w:rsid w:val="00592732"/>
    <w:rsid w:val="00592FAB"/>
    <w:rsid w:val="00593679"/>
    <w:rsid w:val="005939F0"/>
    <w:rsid w:val="00593A66"/>
    <w:rsid w:val="0059437C"/>
    <w:rsid w:val="005949F9"/>
    <w:rsid w:val="00594D0A"/>
    <w:rsid w:val="00594DE2"/>
    <w:rsid w:val="00594F47"/>
    <w:rsid w:val="005955A4"/>
    <w:rsid w:val="00595648"/>
    <w:rsid w:val="00595D6F"/>
    <w:rsid w:val="00596012"/>
    <w:rsid w:val="005960AF"/>
    <w:rsid w:val="005962F1"/>
    <w:rsid w:val="00596AE8"/>
    <w:rsid w:val="00597350"/>
    <w:rsid w:val="0059740B"/>
    <w:rsid w:val="00597585"/>
    <w:rsid w:val="00597777"/>
    <w:rsid w:val="005A0027"/>
    <w:rsid w:val="005A0445"/>
    <w:rsid w:val="005A07BD"/>
    <w:rsid w:val="005A0E08"/>
    <w:rsid w:val="005A0E21"/>
    <w:rsid w:val="005A0EE9"/>
    <w:rsid w:val="005A11B9"/>
    <w:rsid w:val="005A1970"/>
    <w:rsid w:val="005A22B5"/>
    <w:rsid w:val="005A2F51"/>
    <w:rsid w:val="005A30AF"/>
    <w:rsid w:val="005A34B9"/>
    <w:rsid w:val="005A4429"/>
    <w:rsid w:val="005A5F5B"/>
    <w:rsid w:val="005A6292"/>
    <w:rsid w:val="005A632A"/>
    <w:rsid w:val="005B00EC"/>
    <w:rsid w:val="005B14A3"/>
    <w:rsid w:val="005B1B6D"/>
    <w:rsid w:val="005B1CF4"/>
    <w:rsid w:val="005B2287"/>
    <w:rsid w:val="005B332F"/>
    <w:rsid w:val="005B3412"/>
    <w:rsid w:val="005B4555"/>
    <w:rsid w:val="005B4B23"/>
    <w:rsid w:val="005B5B92"/>
    <w:rsid w:val="005B62F5"/>
    <w:rsid w:val="005B69A0"/>
    <w:rsid w:val="005B7168"/>
    <w:rsid w:val="005B7E90"/>
    <w:rsid w:val="005C18E9"/>
    <w:rsid w:val="005C1AEF"/>
    <w:rsid w:val="005C20CE"/>
    <w:rsid w:val="005C258B"/>
    <w:rsid w:val="005C2D92"/>
    <w:rsid w:val="005C2F2A"/>
    <w:rsid w:val="005C302C"/>
    <w:rsid w:val="005C3480"/>
    <w:rsid w:val="005C37A1"/>
    <w:rsid w:val="005C4665"/>
    <w:rsid w:val="005C4EF6"/>
    <w:rsid w:val="005C5142"/>
    <w:rsid w:val="005C52A8"/>
    <w:rsid w:val="005C640A"/>
    <w:rsid w:val="005C799F"/>
    <w:rsid w:val="005C7D70"/>
    <w:rsid w:val="005D05DE"/>
    <w:rsid w:val="005D0D60"/>
    <w:rsid w:val="005D1524"/>
    <w:rsid w:val="005D1B13"/>
    <w:rsid w:val="005D1EDF"/>
    <w:rsid w:val="005D1F06"/>
    <w:rsid w:val="005D2A73"/>
    <w:rsid w:val="005D395B"/>
    <w:rsid w:val="005D4138"/>
    <w:rsid w:val="005D5136"/>
    <w:rsid w:val="005D51E6"/>
    <w:rsid w:val="005D54A2"/>
    <w:rsid w:val="005D5F34"/>
    <w:rsid w:val="005D6AF7"/>
    <w:rsid w:val="005D736B"/>
    <w:rsid w:val="005D73A0"/>
    <w:rsid w:val="005E022E"/>
    <w:rsid w:val="005E07E6"/>
    <w:rsid w:val="005E12F5"/>
    <w:rsid w:val="005E1408"/>
    <w:rsid w:val="005E1D05"/>
    <w:rsid w:val="005E2B58"/>
    <w:rsid w:val="005E2CC6"/>
    <w:rsid w:val="005E3031"/>
    <w:rsid w:val="005E35B2"/>
    <w:rsid w:val="005E3A2A"/>
    <w:rsid w:val="005E4398"/>
    <w:rsid w:val="005E4497"/>
    <w:rsid w:val="005E46F6"/>
    <w:rsid w:val="005E4B3D"/>
    <w:rsid w:val="005E4D43"/>
    <w:rsid w:val="005E54BE"/>
    <w:rsid w:val="005E54FC"/>
    <w:rsid w:val="005E5585"/>
    <w:rsid w:val="005E5784"/>
    <w:rsid w:val="005E693E"/>
    <w:rsid w:val="005E6D4B"/>
    <w:rsid w:val="005E6E44"/>
    <w:rsid w:val="005E6FC2"/>
    <w:rsid w:val="005E75EE"/>
    <w:rsid w:val="005E7688"/>
    <w:rsid w:val="005E7869"/>
    <w:rsid w:val="005F00EE"/>
    <w:rsid w:val="005F021D"/>
    <w:rsid w:val="005F0F45"/>
    <w:rsid w:val="005F1DF5"/>
    <w:rsid w:val="005F2302"/>
    <w:rsid w:val="005F36A2"/>
    <w:rsid w:val="005F3E4E"/>
    <w:rsid w:val="005F41E4"/>
    <w:rsid w:val="005F42C8"/>
    <w:rsid w:val="005F4313"/>
    <w:rsid w:val="005F4AB4"/>
    <w:rsid w:val="005F4CBF"/>
    <w:rsid w:val="005F4CFF"/>
    <w:rsid w:val="005F4D70"/>
    <w:rsid w:val="005F66C2"/>
    <w:rsid w:val="005F71A4"/>
    <w:rsid w:val="005F756F"/>
    <w:rsid w:val="005F795B"/>
    <w:rsid w:val="006006E5"/>
    <w:rsid w:val="0060155F"/>
    <w:rsid w:val="0060272C"/>
    <w:rsid w:val="0060275F"/>
    <w:rsid w:val="00602A0B"/>
    <w:rsid w:val="00603C8E"/>
    <w:rsid w:val="00603DBF"/>
    <w:rsid w:val="00604520"/>
    <w:rsid w:val="006048DC"/>
    <w:rsid w:val="00604B09"/>
    <w:rsid w:val="00604E6D"/>
    <w:rsid w:val="00605326"/>
    <w:rsid w:val="0060557B"/>
    <w:rsid w:val="006055F3"/>
    <w:rsid w:val="006058BD"/>
    <w:rsid w:val="0060597E"/>
    <w:rsid w:val="00605BA3"/>
    <w:rsid w:val="00605BB8"/>
    <w:rsid w:val="00606A05"/>
    <w:rsid w:val="0060708D"/>
    <w:rsid w:val="0060747E"/>
    <w:rsid w:val="00607E40"/>
    <w:rsid w:val="006107AB"/>
    <w:rsid w:val="00611717"/>
    <w:rsid w:val="006124CA"/>
    <w:rsid w:val="00613AE6"/>
    <w:rsid w:val="00613C2A"/>
    <w:rsid w:val="00613D63"/>
    <w:rsid w:val="00613DE7"/>
    <w:rsid w:val="00614229"/>
    <w:rsid w:val="00614612"/>
    <w:rsid w:val="00614CE4"/>
    <w:rsid w:val="00614D9C"/>
    <w:rsid w:val="00614DB1"/>
    <w:rsid w:val="00614E11"/>
    <w:rsid w:val="006158C3"/>
    <w:rsid w:val="006158EB"/>
    <w:rsid w:val="006161E1"/>
    <w:rsid w:val="0061636B"/>
    <w:rsid w:val="006165E9"/>
    <w:rsid w:val="00616BA5"/>
    <w:rsid w:val="00617270"/>
    <w:rsid w:val="006175EE"/>
    <w:rsid w:val="00617A7F"/>
    <w:rsid w:val="006202DA"/>
    <w:rsid w:val="0062064C"/>
    <w:rsid w:val="006212D0"/>
    <w:rsid w:val="00621307"/>
    <w:rsid w:val="006217ED"/>
    <w:rsid w:val="00622BDF"/>
    <w:rsid w:val="00622C5B"/>
    <w:rsid w:val="006231A8"/>
    <w:rsid w:val="00623692"/>
    <w:rsid w:val="00623761"/>
    <w:rsid w:val="00623B25"/>
    <w:rsid w:val="00624180"/>
    <w:rsid w:val="00624459"/>
    <w:rsid w:val="0062459C"/>
    <w:rsid w:val="00625677"/>
    <w:rsid w:val="00625947"/>
    <w:rsid w:val="00625B44"/>
    <w:rsid w:val="00625E3B"/>
    <w:rsid w:val="00626D89"/>
    <w:rsid w:val="00630B13"/>
    <w:rsid w:val="0063156B"/>
    <w:rsid w:val="006315AE"/>
    <w:rsid w:val="006319F9"/>
    <w:rsid w:val="00631AF6"/>
    <w:rsid w:val="00631E96"/>
    <w:rsid w:val="0063228D"/>
    <w:rsid w:val="006325BC"/>
    <w:rsid w:val="006326B4"/>
    <w:rsid w:val="006335B8"/>
    <w:rsid w:val="00634036"/>
    <w:rsid w:val="006341B7"/>
    <w:rsid w:val="0063443E"/>
    <w:rsid w:val="006345FD"/>
    <w:rsid w:val="00634C15"/>
    <w:rsid w:val="006352A7"/>
    <w:rsid w:val="00635BEB"/>
    <w:rsid w:val="0063693A"/>
    <w:rsid w:val="00637B35"/>
    <w:rsid w:val="00637F61"/>
    <w:rsid w:val="00640491"/>
    <w:rsid w:val="00640801"/>
    <w:rsid w:val="0064169C"/>
    <w:rsid w:val="006416D7"/>
    <w:rsid w:val="00642410"/>
    <w:rsid w:val="00642899"/>
    <w:rsid w:val="00642C68"/>
    <w:rsid w:val="00642CAB"/>
    <w:rsid w:val="00642E7C"/>
    <w:rsid w:val="00642F2D"/>
    <w:rsid w:val="00642F47"/>
    <w:rsid w:val="006435FF"/>
    <w:rsid w:val="006437CE"/>
    <w:rsid w:val="0064418E"/>
    <w:rsid w:val="006442ED"/>
    <w:rsid w:val="00644C69"/>
    <w:rsid w:val="0064658E"/>
    <w:rsid w:val="0064678A"/>
    <w:rsid w:val="00646EC4"/>
    <w:rsid w:val="00650A34"/>
    <w:rsid w:val="006510F6"/>
    <w:rsid w:val="006518C0"/>
    <w:rsid w:val="006519BE"/>
    <w:rsid w:val="00651D0C"/>
    <w:rsid w:val="0065362C"/>
    <w:rsid w:val="0065486B"/>
    <w:rsid w:val="0065489D"/>
    <w:rsid w:val="00655676"/>
    <w:rsid w:val="0065570F"/>
    <w:rsid w:val="00655DE8"/>
    <w:rsid w:val="00657773"/>
    <w:rsid w:val="00660269"/>
    <w:rsid w:val="0066034C"/>
    <w:rsid w:val="00660CEA"/>
    <w:rsid w:val="00660FF8"/>
    <w:rsid w:val="00661538"/>
    <w:rsid w:val="00661796"/>
    <w:rsid w:val="00661A29"/>
    <w:rsid w:val="0066235E"/>
    <w:rsid w:val="006626EC"/>
    <w:rsid w:val="0066296C"/>
    <w:rsid w:val="006629CF"/>
    <w:rsid w:val="00662AA4"/>
    <w:rsid w:val="00662CEB"/>
    <w:rsid w:val="00662D37"/>
    <w:rsid w:val="00663652"/>
    <w:rsid w:val="006656D2"/>
    <w:rsid w:val="00666329"/>
    <w:rsid w:val="0066636B"/>
    <w:rsid w:val="0066666D"/>
    <w:rsid w:val="00666CEA"/>
    <w:rsid w:val="00667214"/>
    <w:rsid w:val="00667324"/>
    <w:rsid w:val="0066756F"/>
    <w:rsid w:val="0066785E"/>
    <w:rsid w:val="00667C88"/>
    <w:rsid w:val="00670629"/>
    <w:rsid w:val="00671FDE"/>
    <w:rsid w:val="00672087"/>
    <w:rsid w:val="00673014"/>
    <w:rsid w:val="00673097"/>
    <w:rsid w:val="00673990"/>
    <w:rsid w:val="00673E7C"/>
    <w:rsid w:val="006743C0"/>
    <w:rsid w:val="006749C9"/>
    <w:rsid w:val="00674CB9"/>
    <w:rsid w:val="00674E79"/>
    <w:rsid w:val="006758A6"/>
    <w:rsid w:val="00675F15"/>
    <w:rsid w:val="006761A7"/>
    <w:rsid w:val="00676530"/>
    <w:rsid w:val="006773BC"/>
    <w:rsid w:val="006774DF"/>
    <w:rsid w:val="006775FC"/>
    <w:rsid w:val="00677634"/>
    <w:rsid w:val="00677E9A"/>
    <w:rsid w:val="00681019"/>
    <w:rsid w:val="00681D73"/>
    <w:rsid w:val="00681F97"/>
    <w:rsid w:val="00683159"/>
    <w:rsid w:val="006833E9"/>
    <w:rsid w:val="00683CC0"/>
    <w:rsid w:val="00683DE5"/>
    <w:rsid w:val="00683F56"/>
    <w:rsid w:val="006840AA"/>
    <w:rsid w:val="006841F9"/>
    <w:rsid w:val="006846CC"/>
    <w:rsid w:val="00684EB5"/>
    <w:rsid w:val="00684F91"/>
    <w:rsid w:val="00685041"/>
    <w:rsid w:val="006850C5"/>
    <w:rsid w:val="0068580C"/>
    <w:rsid w:val="00686D31"/>
    <w:rsid w:val="006874E7"/>
    <w:rsid w:val="0069059A"/>
    <w:rsid w:val="00690DAE"/>
    <w:rsid w:val="00690F9D"/>
    <w:rsid w:val="00691B4F"/>
    <w:rsid w:val="00691C29"/>
    <w:rsid w:val="0069203A"/>
    <w:rsid w:val="006929EA"/>
    <w:rsid w:val="00692B6A"/>
    <w:rsid w:val="00693006"/>
    <w:rsid w:val="00693C4B"/>
    <w:rsid w:val="00693DE9"/>
    <w:rsid w:val="00694839"/>
    <w:rsid w:val="00694B9D"/>
    <w:rsid w:val="00694C0C"/>
    <w:rsid w:val="00694C53"/>
    <w:rsid w:val="00694F20"/>
    <w:rsid w:val="00694FA2"/>
    <w:rsid w:val="0069731E"/>
    <w:rsid w:val="006974F1"/>
    <w:rsid w:val="00697526"/>
    <w:rsid w:val="00697F92"/>
    <w:rsid w:val="006A016D"/>
    <w:rsid w:val="006A1788"/>
    <w:rsid w:val="006A1A49"/>
    <w:rsid w:val="006A1ECD"/>
    <w:rsid w:val="006A3286"/>
    <w:rsid w:val="006A3E67"/>
    <w:rsid w:val="006A446B"/>
    <w:rsid w:val="006A4A4D"/>
    <w:rsid w:val="006A4FFA"/>
    <w:rsid w:val="006A5016"/>
    <w:rsid w:val="006A5E09"/>
    <w:rsid w:val="006A5F75"/>
    <w:rsid w:val="006A6154"/>
    <w:rsid w:val="006A6A90"/>
    <w:rsid w:val="006A7040"/>
    <w:rsid w:val="006A71F4"/>
    <w:rsid w:val="006A7260"/>
    <w:rsid w:val="006A7825"/>
    <w:rsid w:val="006B0322"/>
    <w:rsid w:val="006B03BC"/>
    <w:rsid w:val="006B163C"/>
    <w:rsid w:val="006B16CC"/>
    <w:rsid w:val="006B20BF"/>
    <w:rsid w:val="006B2B19"/>
    <w:rsid w:val="006B3499"/>
    <w:rsid w:val="006B359F"/>
    <w:rsid w:val="006B3EEC"/>
    <w:rsid w:val="006B4016"/>
    <w:rsid w:val="006B425D"/>
    <w:rsid w:val="006B4B1C"/>
    <w:rsid w:val="006B4DCC"/>
    <w:rsid w:val="006B5275"/>
    <w:rsid w:val="006B554A"/>
    <w:rsid w:val="006B607F"/>
    <w:rsid w:val="006B6A70"/>
    <w:rsid w:val="006B7394"/>
    <w:rsid w:val="006B7EF4"/>
    <w:rsid w:val="006C0018"/>
    <w:rsid w:val="006C0298"/>
    <w:rsid w:val="006C1305"/>
    <w:rsid w:val="006C229D"/>
    <w:rsid w:val="006C2695"/>
    <w:rsid w:val="006C36B4"/>
    <w:rsid w:val="006C3C99"/>
    <w:rsid w:val="006C43AE"/>
    <w:rsid w:val="006C4A09"/>
    <w:rsid w:val="006C4C83"/>
    <w:rsid w:val="006C534C"/>
    <w:rsid w:val="006C53E3"/>
    <w:rsid w:val="006C577E"/>
    <w:rsid w:val="006C5814"/>
    <w:rsid w:val="006C5D51"/>
    <w:rsid w:val="006C6224"/>
    <w:rsid w:val="006C6935"/>
    <w:rsid w:val="006C6A7E"/>
    <w:rsid w:val="006D05FF"/>
    <w:rsid w:val="006D0C1C"/>
    <w:rsid w:val="006D161E"/>
    <w:rsid w:val="006D17E4"/>
    <w:rsid w:val="006D18EB"/>
    <w:rsid w:val="006D1C62"/>
    <w:rsid w:val="006D2642"/>
    <w:rsid w:val="006D2C81"/>
    <w:rsid w:val="006D3F6B"/>
    <w:rsid w:val="006D498E"/>
    <w:rsid w:val="006D5087"/>
    <w:rsid w:val="006D53D2"/>
    <w:rsid w:val="006D654C"/>
    <w:rsid w:val="006D65AC"/>
    <w:rsid w:val="006D76B3"/>
    <w:rsid w:val="006D7849"/>
    <w:rsid w:val="006E004A"/>
    <w:rsid w:val="006E02D8"/>
    <w:rsid w:val="006E05C7"/>
    <w:rsid w:val="006E0732"/>
    <w:rsid w:val="006E076B"/>
    <w:rsid w:val="006E07ED"/>
    <w:rsid w:val="006E111F"/>
    <w:rsid w:val="006E22B6"/>
    <w:rsid w:val="006E29BD"/>
    <w:rsid w:val="006E2C50"/>
    <w:rsid w:val="006E336D"/>
    <w:rsid w:val="006E3397"/>
    <w:rsid w:val="006E3797"/>
    <w:rsid w:val="006E3963"/>
    <w:rsid w:val="006E42D7"/>
    <w:rsid w:val="006E49AE"/>
    <w:rsid w:val="006E4A16"/>
    <w:rsid w:val="006E4A75"/>
    <w:rsid w:val="006E5C34"/>
    <w:rsid w:val="006E5E38"/>
    <w:rsid w:val="006E5F08"/>
    <w:rsid w:val="006E6132"/>
    <w:rsid w:val="006E68AB"/>
    <w:rsid w:val="006E6E98"/>
    <w:rsid w:val="006E76B7"/>
    <w:rsid w:val="006E76C4"/>
    <w:rsid w:val="006F0102"/>
    <w:rsid w:val="006F06EF"/>
    <w:rsid w:val="006F07DD"/>
    <w:rsid w:val="006F08EA"/>
    <w:rsid w:val="006F09D2"/>
    <w:rsid w:val="006F0D75"/>
    <w:rsid w:val="006F0E13"/>
    <w:rsid w:val="006F18BA"/>
    <w:rsid w:val="006F19AB"/>
    <w:rsid w:val="006F21B5"/>
    <w:rsid w:val="006F24AF"/>
    <w:rsid w:val="006F269B"/>
    <w:rsid w:val="006F35E4"/>
    <w:rsid w:val="006F3A4A"/>
    <w:rsid w:val="006F48CF"/>
    <w:rsid w:val="006F4D27"/>
    <w:rsid w:val="006F523F"/>
    <w:rsid w:val="006F5311"/>
    <w:rsid w:val="006F6780"/>
    <w:rsid w:val="006F6D7D"/>
    <w:rsid w:val="006F7872"/>
    <w:rsid w:val="007007CF"/>
    <w:rsid w:val="00700BF0"/>
    <w:rsid w:val="007016E4"/>
    <w:rsid w:val="00701955"/>
    <w:rsid w:val="00701B4C"/>
    <w:rsid w:val="00701F00"/>
    <w:rsid w:val="00702175"/>
    <w:rsid w:val="00702304"/>
    <w:rsid w:val="0070277B"/>
    <w:rsid w:val="00702C87"/>
    <w:rsid w:val="007031CA"/>
    <w:rsid w:val="007037E7"/>
    <w:rsid w:val="00703880"/>
    <w:rsid w:val="00704195"/>
    <w:rsid w:val="00704371"/>
    <w:rsid w:val="00704F46"/>
    <w:rsid w:val="00705397"/>
    <w:rsid w:val="007053AC"/>
    <w:rsid w:val="00705406"/>
    <w:rsid w:val="007064AA"/>
    <w:rsid w:val="007064E3"/>
    <w:rsid w:val="007068FE"/>
    <w:rsid w:val="00706A1D"/>
    <w:rsid w:val="007070BA"/>
    <w:rsid w:val="00707142"/>
    <w:rsid w:val="00707409"/>
    <w:rsid w:val="00707873"/>
    <w:rsid w:val="00707E2E"/>
    <w:rsid w:val="0071094D"/>
    <w:rsid w:val="007111DF"/>
    <w:rsid w:val="0071153C"/>
    <w:rsid w:val="00711C93"/>
    <w:rsid w:val="00712BF1"/>
    <w:rsid w:val="00713B3C"/>
    <w:rsid w:val="0071696F"/>
    <w:rsid w:val="007169F9"/>
    <w:rsid w:val="00717005"/>
    <w:rsid w:val="0071775F"/>
    <w:rsid w:val="0072163B"/>
    <w:rsid w:val="00722BF9"/>
    <w:rsid w:val="007234C9"/>
    <w:rsid w:val="00723572"/>
    <w:rsid w:val="0072369B"/>
    <w:rsid w:val="00723ECD"/>
    <w:rsid w:val="0072499B"/>
    <w:rsid w:val="00725166"/>
    <w:rsid w:val="00726430"/>
    <w:rsid w:val="007275C4"/>
    <w:rsid w:val="0072778A"/>
    <w:rsid w:val="00727A59"/>
    <w:rsid w:val="00727B65"/>
    <w:rsid w:val="00727CE2"/>
    <w:rsid w:val="00730028"/>
    <w:rsid w:val="00730489"/>
    <w:rsid w:val="00730736"/>
    <w:rsid w:val="00730968"/>
    <w:rsid w:val="00730D8B"/>
    <w:rsid w:val="007315C9"/>
    <w:rsid w:val="0073183B"/>
    <w:rsid w:val="00732595"/>
    <w:rsid w:val="00732B46"/>
    <w:rsid w:val="00732C0D"/>
    <w:rsid w:val="00734302"/>
    <w:rsid w:val="007349FC"/>
    <w:rsid w:val="00734BB9"/>
    <w:rsid w:val="00734E3C"/>
    <w:rsid w:val="00734FA4"/>
    <w:rsid w:val="00735143"/>
    <w:rsid w:val="00735196"/>
    <w:rsid w:val="0073559B"/>
    <w:rsid w:val="007358B0"/>
    <w:rsid w:val="00735DF9"/>
    <w:rsid w:val="00736086"/>
    <w:rsid w:val="007402C9"/>
    <w:rsid w:val="00740B2C"/>
    <w:rsid w:val="00740F21"/>
    <w:rsid w:val="00740F36"/>
    <w:rsid w:val="0074120B"/>
    <w:rsid w:val="0074135B"/>
    <w:rsid w:val="007415AF"/>
    <w:rsid w:val="00741CDD"/>
    <w:rsid w:val="007421E4"/>
    <w:rsid w:val="00742200"/>
    <w:rsid w:val="0074333C"/>
    <w:rsid w:val="007442C3"/>
    <w:rsid w:val="00744922"/>
    <w:rsid w:val="0074533D"/>
    <w:rsid w:val="007457FA"/>
    <w:rsid w:val="00746798"/>
    <w:rsid w:val="007467A7"/>
    <w:rsid w:val="00746960"/>
    <w:rsid w:val="007472F2"/>
    <w:rsid w:val="0074752D"/>
    <w:rsid w:val="007477ED"/>
    <w:rsid w:val="00747FCF"/>
    <w:rsid w:val="00750892"/>
    <w:rsid w:val="007513A8"/>
    <w:rsid w:val="00751972"/>
    <w:rsid w:val="00752546"/>
    <w:rsid w:val="00752618"/>
    <w:rsid w:val="007527ED"/>
    <w:rsid w:val="00752EF9"/>
    <w:rsid w:val="00753186"/>
    <w:rsid w:val="00753430"/>
    <w:rsid w:val="00754201"/>
    <w:rsid w:val="00754670"/>
    <w:rsid w:val="007549B4"/>
    <w:rsid w:val="00754EC0"/>
    <w:rsid w:val="007559EA"/>
    <w:rsid w:val="00755B7F"/>
    <w:rsid w:val="00755C32"/>
    <w:rsid w:val="00756CB7"/>
    <w:rsid w:val="00757A62"/>
    <w:rsid w:val="00757CD9"/>
    <w:rsid w:val="00760A71"/>
    <w:rsid w:val="007610C7"/>
    <w:rsid w:val="0076129F"/>
    <w:rsid w:val="0076153F"/>
    <w:rsid w:val="00762222"/>
    <w:rsid w:val="007628D3"/>
    <w:rsid w:val="00762D8C"/>
    <w:rsid w:val="00763AD8"/>
    <w:rsid w:val="00764373"/>
    <w:rsid w:val="007647A4"/>
    <w:rsid w:val="00767B6F"/>
    <w:rsid w:val="00770476"/>
    <w:rsid w:val="00771BCE"/>
    <w:rsid w:val="007728B7"/>
    <w:rsid w:val="0077297E"/>
    <w:rsid w:val="00772D4B"/>
    <w:rsid w:val="00772FCF"/>
    <w:rsid w:val="00773A74"/>
    <w:rsid w:val="00773AED"/>
    <w:rsid w:val="00774193"/>
    <w:rsid w:val="0077424D"/>
    <w:rsid w:val="0077497C"/>
    <w:rsid w:val="007752BB"/>
    <w:rsid w:val="00775D5C"/>
    <w:rsid w:val="00775DA0"/>
    <w:rsid w:val="00776755"/>
    <w:rsid w:val="007768E6"/>
    <w:rsid w:val="00776916"/>
    <w:rsid w:val="00776932"/>
    <w:rsid w:val="00776C44"/>
    <w:rsid w:val="00776F29"/>
    <w:rsid w:val="007770A8"/>
    <w:rsid w:val="00777257"/>
    <w:rsid w:val="00777FB3"/>
    <w:rsid w:val="0078025F"/>
    <w:rsid w:val="00780640"/>
    <w:rsid w:val="00780A07"/>
    <w:rsid w:val="007811A0"/>
    <w:rsid w:val="00782469"/>
    <w:rsid w:val="00782A4B"/>
    <w:rsid w:val="0078348F"/>
    <w:rsid w:val="00783B62"/>
    <w:rsid w:val="00783F32"/>
    <w:rsid w:val="00784597"/>
    <w:rsid w:val="00784981"/>
    <w:rsid w:val="007849EA"/>
    <w:rsid w:val="00784A83"/>
    <w:rsid w:val="00784B28"/>
    <w:rsid w:val="0078508E"/>
    <w:rsid w:val="0078530E"/>
    <w:rsid w:val="007856E0"/>
    <w:rsid w:val="00785A49"/>
    <w:rsid w:val="00785E28"/>
    <w:rsid w:val="00785E6E"/>
    <w:rsid w:val="007876F6"/>
    <w:rsid w:val="00787D5A"/>
    <w:rsid w:val="007904A2"/>
    <w:rsid w:val="00790585"/>
    <w:rsid w:val="00790E61"/>
    <w:rsid w:val="007917D1"/>
    <w:rsid w:val="007920EE"/>
    <w:rsid w:val="007927F5"/>
    <w:rsid w:val="00792C86"/>
    <w:rsid w:val="00792F87"/>
    <w:rsid w:val="007930F8"/>
    <w:rsid w:val="00793534"/>
    <w:rsid w:val="00793758"/>
    <w:rsid w:val="00793967"/>
    <w:rsid w:val="00793A1A"/>
    <w:rsid w:val="00793FF2"/>
    <w:rsid w:val="00794A50"/>
    <w:rsid w:val="0079509B"/>
    <w:rsid w:val="00795727"/>
    <w:rsid w:val="007967E0"/>
    <w:rsid w:val="00796C98"/>
    <w:rsid w:val="007973CB"/>
    <w:rsid w:val="00797BD8"/>
    <w:rsid w:val="00797E69"/>
    <w:rsid w:val="00797FA5"/>
    <w:rsid w:val="007A0A8A"/>
    <w:rsid w:val="007A1105"/>
    <w:rsid w:val="007A22F9"/>
    <w:rsid w:val="007A235F"/>
    <w:rsid w:val="007A3258"/>
    <w:rsid w:val="007A3316"/>
    <w:rsid w:val="007A42A6"/>
    <w:rsid w:val="007A48D3"/>
    <w:rsid w:val="007A4F6C"/>
    <w:rsid w:val="007A5392"/>
    <w:rsid w:val="007A53D6"/>
    <w:rsid w:val="007A53FE"/>
    <w:rsid w:val="007A5B9E"/>
    <w:rsid w:val="007A5E91"/>
    <w:rsid w:val="007A63BA"/>
    <w:rsid w:val="007A6EC8"/>
    <w:rsid w:val="007A7732"/>
    <w:rsid w:val="007A79C9"/>
    <w:rsid w:val="007B008C"/>
    <w:rsid w:val="007B0258"/>
    <w:rsid w:val="007B05C4"/>
    <w:rsid w:val="007B0FF3"/>
    <w:rsid w:val="007B1011"/>
    <w:rsid w:val="007B11EA"/>
    <w:rsid w:val="007B1493"/>
    <w:rsid w:val="007B2630"/>
    <w:rsid w:val="007B2BCB"/>
    <w:rsid w:val="007B2FCF"/>
    <w:rsid w:val="007B3EE2"/>
    <w:rsid w:val="007B4994"/>
    <w:rsid w:val="007B4B0D"/>
    <w:rsid w:val="007B4B78"/>
    <w:rsid w:val="007B57A6"/>
    <w:rsid w:val="007B5E42"/>
    <w:rsid w:val="007B680E"/>
    <w:rsid w:val="007B6BB7"/>
    <w:rsid w:val="007B75AF"/>
    <w:rsid w:val="007C073E"/>
    <w:rsid w:val="007C15AF"/>
    <w:rsid w:val="007C19BD"/>
    <w:rsid w:val="007C1CA1"/>
    <w:rsid w:val="007C270D"/>
    <w:rsid w:val="007C2745"/>
    <w:rsid w:val="007C31C7"/>
    <w:rsid w:val="007C3688"/>
    <w:rsid w:val="007C4117"/>
    <w:rsid w:val="007C4CF2"/>
    <w:rsid w:val="007C4DCA"/>
    <w:rsid w:val="007C52C3"/>
    <w:rsid w:val="007C541D"/>
    <w:rsid w:val="007C5E73"/>
    <w:rsid w:val="007C64B6"/>
    <w:rsid w:val="007C64DB"/>
    <w:rsid w:val="007C736B"/>
    <w:rsid w:val="007C73A6"/>
    <w:rsid w:val="007C7BD4"/>
    <w:rsid w:val="007D0516"/>
    <w:rsid w:val="007D0600"/>
    <w:rsid w:val="007D0676"/>
    <w:rsid w:val="007D076F"/>
    <w:rsid w:val="007D0BCB"/>
    <w:rsid w:val="007D0D17"/>
    <w:rsid w:val="007D1609"/>
    <w:rsid w:val="007D2510"/>
    <w:rsid w:val="007D2DFA"/>
    <w:rsid w:val="007D3405"/>
    <w:rsid w:val="007D3733"/>
    <w:rsid w:val="007D3830"/>
    <w:rsid w:val="007D3E7D"/>
    <w:rsid w:val="007D4237"/>
    <w:rsid w:val="007D465D"/>
    <w:rsid w:val="007D4761"/>
    <w:rsid w:val="007D5191"/>
    <w:rsid w:val="007D5F7D"/>
    <w:rsid w:val="007D6559"/>
    <w:rsid w:val="007D78C8"/>
    <w:rsid w:val="007D7B0E"/>
    <w:rsid w:val="007D7C03"/>
    <w:rsid w:val="007D7F48"/>
    <w:rsid w:val="007E0B1A"/>
    <w:rsid w:val="007E0B76"/>
    <w:rsid w:val="007E15C7"/>
    <w:rsid w:val="007E18FC"/>
    <w:rsid w:val="007E2A62"/>
    <w:rsid w:val="007E2E1E"/>
    <w:rsid w:val="007E379F"/>
    <w:rsid w:val="007E39FD"/>
    <w:rsid w:val="007E4DC5"/>
    <w:rsid w:val="007E4F73"/>
    <w:rsid w:val="007E52CC"/>
    <w:rsid w:val="007E61D5"/>
    <w:rsid w:val="007E6246"/>
    <w:rsid w:val="007E64BD"/>
    <w:rsid w:val="007E662F"/>
    <w:rsid w:val="007F08E3"/>
    <w:rsid w:val="007F107C"/>
    <w:rsid w:val="007F13A5"/>
    <w:rsid w:val="007F1B9E"/>
    <w:rsid w:val="007F1D98"/>
    <w:rsid w:val="007F2EB9"/>
    <w:rsid w:val="007F36F1"/>
    <w:rsid w:val="007F3A6F"/>
    <w:rsid w:val="007F3B5E"/>
    <w:rsid w:val="007F41A3"/>
    <w:rsid w:val="007F4222"/>
    <w:rsid w:val="007F454C"/>
    <w:rsid w:val="007F4D48"/>
    <w:rsid w:val="007F5D5F"/>
    <w:rsid w:val="007F618B"/>
    <w:rsid w:val="007F6476"/>
    <w:rsid w:val="007F713B"/>
    <w:rsid w:val="007F7BB6"/>
    <w:rsid w:val="007F7C8A"/>
    <w:rsid w:val="007F7ED4"/>
    <w:rsid w:val="008003D7"/>
    <w:rsid w:val="00800C4B"/>
    <w:rsid w:val="00800F65"/>
    <w:rsid w:val="00801D90"/>
    <w:rsid w:val="00801EA0"/>
    <w:rsid w:val="00802200"/>
    <w:rsid w:val="008026B0"/>
    <w:rsid w:val="00802B51"/>
    <w:rsid w:val="00802F43"/>
    <w:rsid w:val="008036AF"/>
    <w:rsid w:val="00803763"/>
    <w:rsid w:val="00803FFC"/>
    <w:rsid w:val="008059C6"/>
    <w:rsid w:val="0080621F"/>
    <w:rsid w:val="00806380"/>
    <w:rsid w:val="00806D51"/>
    <w:rsid w:val="008078C8"/>
    <w:rsid w:val="00807B72"/>
    <w:rsid w:val="00807BED"/>
    <w:rsid w:val="00810101"/>
    <w:rsid w:val="0081016F"/>
    <w:rsid w:val="008103BB"/>
    <w:rsid w:val="008107BC"/>
    <w:rsid w:val="00810AAA"/>
    <w:rsid w:val="00811745"/>
    <w:rsid w:val="008117FB"/>
    <w:rsid w:val="0081182C"/>
    <w:rsid w:val="00811F81"/>
    <w:rsid w:val="0081208F"/>
    <w:rsid w:val="0081249B"/>
    <w:rsid w:val="008129D2"/>
    <w:rsid w:val="008131B3"/>
    <w:rsid w:val="00813399"/>
    <w:rsid w:val="00813489"/>
    <w:rsid w:val="00813544"/>
    <w:rsid w:val="00814134"/>
    <w:rsid w:val="008145BD"/>
    <w:rsid w:val="00814622"/>
    <w:rsid w:val="00814D0B"/>
    <w:rsid w:val="008154FC"/>
    <w:rsid w:val="0081557E"/>
    <w:rsid w:val="008159E9"/>
    <w:rsid w:val="00815C1B"/>
    <w:rsid w:val="00815D55"/>
    <w:rsid w:val="00816AA1"/>
    <w:rsid w:val="00816BC2"/>
    <w:rsid w:val="0081746A"/>
    <w:rsid w:val="00817D46"/>
    <w:rsid w:val="00820059"/>
    <w:rsid w:val="008202D3"/>
    <w:rsid w:val="008208D0"/>
    <w:rsid w:val="00820A09"/>
    <w:rsid w:val="00820C58"/>
    <w:rsid w:val="0082111E"/>
    <w:rsid w:val="008211BE"/>
    <w:rsid w:val="0082162B"/>
    <w:rsid w:val="00822904"/>
    <w:rsid w:val="008229E9"/>
    <w:rsid w:val="0082310E"/>
    <w:rsid w:val="00823A4F"/>
    <w:rsid w:val="00823C04"/>
    <w:rsid w:val="00823FAA"/>
    <w:rsid w:val="0082557D"/>
    <w:rsid w:val="00825A40"/>
    <w:rsid w:val="00825E14"/>
    <w:rsid w:val="00826560"/>
    <w:rsid w:val="0082674B"/>
    <w:rsid w:val="00826B0D"/>
    <w:rsid w:val="00826ED0"/>
    <w:rsid w:val="00826F40"/>
    <w:rsid w:val="008278F2"/>
    <w:rsid w:val="008302DF"/>
    <w:rsid w:val="008303E4"/>
    <w:rsid w:val="008308D9"/>
    <w:rsid w:val="00831EA2"/>
    <w:rsid w:val="00832228"/>
    <w:rsid w:val="008323FF"/>
    <w:rsid w:val="0083276A"/>
    <w:rsid w:val="00832B61"/>
    <w:rsid w:val="00832EC2"/>
    <w:rsid w:val="008330AC"/>
    <w:rsid w:val="008345F1"/>
    <w:rsid w:val="008347CB"/>
    <w:rsid w:val="00834DB0"/>
    <w:rsid w:val="0083500B"/>
    <w:rsid w:val="00835A16"/>
    <w:rsid w:val="00835B81"/>
    <w:rsid w:val="00836A15"/>
    <w:rsid w:val="00836CB9"/>
    <w:rsid w:val="00836E3C"/>
    <w:rsid w:val="00837798"/>
    <w:rsid w:val="00840FE1"/>
    <w:rsid w:val="008413EA"/>
    <w:rsid w:val="00841AD0"/>
    <w:rsid w:val="00841B7C"/>
    <w:rsid w:val="00842401"/>
    <w:rsid w:val="00842B76"/>
    <w:rsid w:val="00842CB1"/>
    <w:rsid w:val="008432E0"/>
    <w:rsid w:val="00843820"/>
    <w:rsid w:val="00844799"/>
    <w:rsid w:val="00844F96"/>
    <w:rsid w:val="0084519D"/>
    <w:rsid w:val="008452A3"/>
    <w:rsid w:val="0084609B"/>
    <w:rsid w:val="00846D90"/>
    <w:rsid w:val="00847198"/>
    <w:rsid w:val="00847337"/>
    <w:rsid w:val="00847740"/>
    <w:rsid w:val="00847CC0"/>
    <w:rsid w:val="00850542"/>
    <w:rsid w:val="00850C93"/>
    <w:rsid w:val="00850FFC"/>
    <w:rsid w:val="00851A56"/>
    <w:rsid w:val="00851F80"/>
    <w:rsid w:val="00852268"/>
    <w:rsid w:val="00852288"/>
    <w:rsid w:val="008526E5"/>
    <w:rsid w:val="00853472"/>
    <w:rsid w:val="008537E6"/>
    <w:rsid w:val="00853E6E"/>
    <w:rsid w:val="00853EBF"/>
    <w:rsid w:val="0085441A"/>
    <w:rsid w:val="00854D2C"/>
    <w:rsid w:val="00855652"/>
    <w:rsid w:val="008556B0"/>
    <w:rsid w:val="00855795"/>
    <w:rsid w:val="00855AA4"/>
    <w:rsid w:val="008569F4"/>
    <w:rsid w:val="00856F86"/>
    <w:rsid w:val="0085766F"/>
    <w:rsid w:val="00857ABE"/>
    <w:rsid w:val="00860023"/>
    <w:rsid w:val="008600E4"/>
    <w:rsid w:val="00860B52"/>
    <w:rsid w:val="00860FD0"/>
    <w:rsid w:val="008612A0"/>
    <w:rsid w:val="0086186C"/>
    <w:rsid w:val="00861937"/>
    <w:rsid w:val="00861B8D"/>
    <w:rsid w:val="00861C4E"/>
    <w:rsid w:val="00861C72"/>
    <w:rsid w:val="008620C3"/>
    <w:rsid w:val="008625E1"/>
    <w:rsid w:val="00862664"/>
    <w:rsid w:val="008630A9"/>
    <w:rsid w:val="008634D6"/>
    <w:rsid w:val="0086385F"/>
    <w:rsid w:val="008639A2"/>
    <w:rsid w:val="00863D40"/>
    <w:rsid w:val="00863FE4"/>
    <w:rsid w:val="008642CB"/>
    <w:rsid w:val="00864CC2"/>
    <w:rsid w:val="008653A1"/>
    <w:rsid w:val="00866013"/>
    <w:rsid w:val="00866635"/>
    <w:rsid w:val="008666D4"/>
    <w:rsid w:val="00866778"/>
    <w:rsid w:val="00866847"/>
    <w:rsid w:val="008673BD"/>
    <w:rsid w:val="00867D52"/>
    <w:rsid w:val="008705D8"/>
    <w:rsid w:val="008707BA"/>
    <w:rsid w:val="00870B9E"/>
    <w:rsid w:val="008714DF"/>
    <w:rsid w:val="00872559"/>
    <w:rsid w:val="00872861"/>
    <w:rsid w:val="0087306E"/>
    <w:rsid w:val="00874231"/>
    <w:rsid w:val="00874632"/>
    <w:rsid w:val="008748CF"/>
    <w:rsid w:val="00874C72"/>
    <w:rsid w:val="00874D37"/>
    <w:rsid w:val="00874EC5"/>
    <w:rsid w:val="008765F5"/>
    <w:rsid w:val="00876A10"/>
    <w:rsid w:val="00877357"/>
    <w:rsid w:val="0087766E"/>
    <w:rsid w:val="0088079B"/>
    <w:rsid w:val="00880D7E"/>
    <w:rsid w:val="0088291B"/>
    <w:rsid w:val="00884775"/>
    <w:rsid w:val="00884C0B"/>
    <w:rsid w:val="008852E0"/>
    <w:rsid w:val="008857B7"/>
    <w:rsid w:val="00885CC9"/>
    <w:rsid w:val="00885D32"/>
    <w:rsid w:val="00885DEE"/>
    <w:rsid w:val="00885EAA"/>
    <w:rsid w:val="00885F80"/>
    <w:rsid w:val="00886D92"/>
    <w:rsid w:val="008874C0"/>
    <w:rsid w:val="00887778"/>
    <w:rsid w:val="00887FB1"/>
    <w:rsid w:val="00890249"/>
    <w:rsid w:val="00890E19"/>
    <w:rsid w:val="00890FC9"/>
    <w:rsid w:val="00891B3E"/>
    <w:rsid w:val="00891BA6"/>
    <w:rsid w:val="00892057"/>
    <w:rsid w:val="008927D8"/>
    <w:rsid w:val="00893C0D"/>
    <w:rsid w:val="008944D5"/>
    <w:rsid w:val="008946AA"/>
    <w:rsid w:val="00894939"/>
    <w:rsid w:val="0089495B"/>
    <w:rsid w:val="00894E23"/>
    <w:rsid w:val="00894F08"/>
    <w:rsid w:val="00895477"/>
    <w:rsid w:val="008957A9"/>
    <w:rsid w:val="00895904"/>
    <w:rsid w:val="008A02A2"/>
    <w:rsid w:val="008A0B36"/>
    <w:rsid w:val="008A0CC8"/>
    <w:rsid w:val="008A1707"/>
    <w:rsid w:val="008A1FB5"/>
    <w:rsid w:val="008A23A7"/>
    <w:rsid w:val="008A253D"/>
    <w:rsid w:val="008A27F4"/>
    <w:rsid w:val="008A3436"/>
    <w:rsid w:val="008A3B0C"/>
    <w:rsid w:val="008A3BDD"/>
    <w:rsid w:val="008A3CCD"/>
    <w:rsid w:val="008A468E"/>
    <w:rsid w:val="008A4AB2"/>
    <w:rsid w:val="008A64B0"/>
    <w:rsid w:val="008A6A5A"/>
    <w:rsid w:val="008A6AB4"/>
    <w:rsid w:val="008A6EC8"/>
    <w:rsid w:val="008A7034"/>
    <w:rsid w:val="008B01F1"/>
    <w:rsid w:val="008B068C"/>
    <w:rsid w:val="008B0719"/>
    <w:rsid w:val="008B0898"/>
    <w:rsid w:val="008B0A1A"/>
    <w:rsid w:val="008B0D3A"/>
    <w:rsid w:val="008B11AD"/>
    <w:rsid w:val="008B1991"/>
    <w:rsid w:val="008B2731"/>
    <w:rsid w:val="008B34DA"/>
    <w:rsid w:val="008B35F8"/>
    <w:rsid w:val="008B376C"/>
    <w:rsid w:val="008B385B"/>
    <w:rsid w:val="008B3ECD"/>
    <w:rsid w:val="008B434D"/>
    <w:rsid w:val="008B45F9"/>
    <w:rsid w:val="008B4656"/>
    <w:rsid w:val="008B5491"/>
    <w:rsid w:val="008B5C25"/>
    <w:rsid w:val="008B68C5"/>
    <w:rsid w:val="008B6936"/>
    <w:rsid w:val="008B6C4A"/>
    <w:rsid w:val="008B762A"/>
    <w:rsid w:val="008B764F"/>
    <w:rsid w:val="008B785C"/>
    <w:rsid w:val="008B7A95"/>
    <w:rsid w:val="008B7F9D"/>
    <w:rsid w:val="008C0342"/>
    <w:rsid w:val="008C0A41"/>
    <w:rsid w:val="008C0B08"/>
    <w:rsid w:val="008C0CA0"/>
    <w:rsid w:val="008C1C11"/>
    <w:rsid w:val="008C2784"/>
    <w:rsid w:val="008C2A3C"/>
    <w:rsid w:val="008C2AE4"/>
    <w:rsid w:val="008C3AEA"/>
    <w:rsid w:val="008C3B21"/>
    <w:rsid w:val="008C4773"/>
    <w:rsid w:val="008C477E"/>
    <w:rsid w:val="008C683B"/>
    <w:rsid w:val="008C6FF8"/>
    <w:rsid w:val="008C7344"/>
    <w:rsid w:val="008C7459"/>
    <w:rsid w:val="008C7804"/>
    <w:rsid w:val="008C7AAA"/>
    <w:rsid w:val="008D0238"/>
    <w:rsid w:val="008D103D"/>
    <w:rsid w:val="008D1AD3"/>
    <w:rsid w:val="008D381E"/>
    <w:rsid w:val="008D3910"/>
    <w:rsid w:val="008D3E8F"/>
    <w:rsid w:val="008D4311"/>
    <w:rsid w:val="008D45F5"/>
    <w:rsid w:val="008D46CE"/>
    <w:rsid w:val="008D55A8"/>
    <w:rsid w:val="008D5AE8"/>
    <w:rsid w:val="008D6172"/>
    <w:rsid w:val="008D672C"/>
    <w:rsid w:val="008E076C"/>
    <w:rsid w:val="008E0C4D"/>
    <w:rsid w:val="008E0EC0"/>
    <w:rsid w:val="008E0F07"/>
    <w:rsid w:val="008E14C3"/>
    <w:rsid w:val="008E18C2"/>
    <w:rsid w:val="008E19D5"/>
    <w:rsid w:val="008E28E7"/>
    <w:rsid w:val="008E2DA8"/>
    <w:rsid w:val="008E2DCA"/>
    <w:rsid w:val="008E3585"/>
    <w:rsid w:val="008E3B08"/>
    <w:rsid w:val="008E502D"/>
    <w:rsid w:val="008E53FF"/>
    <w:rsid w:val="008E5C90"/>
    <w:rsid w:val="008E66FC"/>
    <w:rsid w:val="008E7157"/>
    <w:rsid w:val="008E74BD"/>
    <w:rsid w:val="008F02F9"/>
    <w:rsid w:val="008F151C"/>
    <w:rsid w:val="008F17B2"/>
    <w:rsid w:val="008F183E"/>
    <w:rsid w:val="008F1C08"/>
    <w:rsid w:val="008F2F60"/>
    <w:rsid w:val="008F3737"/>
    <w:rsid w:val="008F3894"/>
    <w:rsid w:val="008F563E"/>
    <w:rsid w:val="008F569A"/>
    <w:rsid w:val="008F5924"/>
    <w:rsid w:val="008F5AAB"/>
    <w:rsid w:val="008F5DCA"/>
    <w:rsid w:val="008F6294"/>
    <w:rsid w:val="008F6E06"/>
    <w:rsid w:val="008F6FA2"/>
    <w:rsid w:val="008F7D5D"/>
    <w:rsid w:val="00900363"/>
    <w:rsid w:val="00900C86"/>
    <w:rsid w:val="00900CAA"/>
    <w:rsid w:val="0090135C"/>
    <w:rsid w:val="009014DC"/>
    <w:rsid w:val="009027F8"/>
    <w:rsid w:val="00903427"/>
    <w:rsid w:val="00903BAC"/>
    <w:rsid w:val="00903C1C"/>
    <w:rsid w:val="00904367"/>
    <w:rsid w:val="009045B0"/>
    <w:rsid w:val="00905F67"/>
    <w:rsid w:val="00905FF3"/>
    <w:rsid w:val="009065C6"/>
    <w:rsid w:val="0090667C"/>
    <w:rsid w:val="009069B5"/>
    <w:rsid w:val="009070D2"/>
    <w:rsid w:val="0090721D"/>
    <w:rsid w:val="009077AA"/>
    <w:rsid w:val="00907AC9"/>
    <w:rsid w:val="00907D53"/>
    <w:rsid w:val="00907F36"/>
    <w:rsid w:val="0091075F"/>
    <w:rsid w:val="0091149C"/>
    <w:rsid w:val="0091151E"/>
    <w:rsid w:val="009115FE"/>
    <w:rsid w:val="00911BFE"/>
    <w:rsid w:val="009120CD"/>
    <w:rsid w:val="009127A3"/>
    <w:rsid w:val="00912ECE"/>
    <w:rsid w:val="00913164"/>
    <w:rsid w:val="009133F3"/>
    <w:rsid w:val="00913704"/>
    <w:rsid w:val="00914607"/>
    <w:rsid w:val="0091469E"/>
    <w:rsid w:val="00914AA1"/>
    <w:rsid w:val="00914C25"/>
    <w:rsid w:val="00914FC6"/>
    <w:rsid w:val="00915542"/>
    <w:rsid w:val="00915E79"/>
    <w:rsid w:val="0091600F"/>
    <w:rsid w:val="00916C73"/>
    <w:rsid w:val="00917033"/>
    <w:rsid w:val="00917041"/>
    <w:rsid w:val="00920404"/>
    <w:rsid w:val="00920542"/>
    <w:rsid w:val="0092086E"/>
    <w:rsid w:val="00920A26"/>
    <w:rsid w:val="00920ED6"/>
    <w:rsid w:val="0092110D"/>
    <w:rsid w:val="00921776"/>
    <w:rsid w:val="009218D7"/>
    <w:rsid w:val="00921B32"/>
    <w:rsid w:val="00921C3A"/>
    <w:rsid w:val="0092243F"/>
    <w:rsid w:val="00923438"/>
    <w:rsid w:val="00923538"/>
    <w:rsid w:val="00923A5E"/>
    <w:rsid w:val="00923BA4"/>
    <w:rsid w:val="00923D48"/>
    <w:rsid w:val="00924CB2"/>
    <w:rsid w:val="00925AB8"/>
    <w:rsid w:val="00925B31"/>
    <w:rsid w:val="00926337"/>
    <w:rsid w:val="00926782"/>
    <w:rsid w:val="00926D63"/>
    <w:rsid w:val="009270A4"/>
    <w:rsid w:val="00927759"/>
    <w:rsid w:val="009278ED"/>
    <w:rsid w:val="00927F48"/>
    <w:rsid w:val="00930086"/>
    <w:rsid w:val="009300A2"/>
    <w:rsid w:val="00930772"/>
    <w:rsid w:val="0093181A"/>
    <w:rsid w:val="0093258A"/>
    <w:rsid w:val="00933759"/>
    <w:rsid w:val="00933852"/>
    <w:rsid w:val="00933A50"/>
    <w:rsid w:val="00934530"/>
    <w:rsid w:val="00934714"/>
    <w:rsid w:val="009367E3"/>
    <w:rsid w:val="00936978"/>
    <w:rsid w:val="009379B2"/>
    <w:rsid w:val="00937AA4"/>
    <w:rsid w:val="00937D8B"/>
    <w:rsid w:val="009400A1"/>
    <w:rsid w:val="00940544"/>
    <w:rsid w:val="009406A9"/>
    <w:rsid w:val="0094102A"/>
    <w:rsid w:val="009420F1"/>
    <w:rsid w:val="00942A37"/>
    <w:rsid w:val="00942A9D"/>
    <w:rsid w:val="00943D75"/>
    <w:rsid w:val="009442E1"/>
    <w:rsid w:val="00944335"/>
    <w:rsid w:val="009444AB"/>
    <w:rsid w:val="009462DC"/>
    <w:rsid w:val="00946435"/>
    <w:rsid w:val="00946AC4"/>
    <w:rsid w:val="009473BD"/>
    <w:rsid w:val="00950399"/>
    <w:rsid w:val="00950873"/>
    <w:rsid w:val="0095093A"/>
    <w:rsid w:val="00950F48"/>
    <w:rsid w:val="009511E9"/>
    <w:rsid w:val="0095189F"/>
    <w:rsid w:val="00951E72"/>
    <w:rsid w:val="00952062"/>
    <w:rsid w:val="009529D2"/>
    <w:rsid w:val="00952A65"/>
    <w:rsid w:val="009535BC"/>
    <w:rsid w:val="00954305"/>
    <w:rsid w:val="00954DB4"/>
    <w:rsid w:val="00954ED1"/>
    <w:rsid w:val="00955C24"/>
    <w:rsid w:val="00955FCE"/>
    <w:rsid w:val="00956634"/>
    <w:rsid w:val="009567A2"/>
    <w:rsid w:val="00956AFE"/>
    <w:rsid w:val="00956C44"/>
    <w:rsid w:val="009572D2"/>
    <w:rsid w:val="00957799"/>
    <w:rsid w:val="00960B14"/>
    <w:rsid w:val="00960D04"/>
    <w:rsid w:val="009611E8"/>
    <w:rsid w:val="00961ABF"/>
    <w:rsid w:val="00961F14"/>
    <w:rsid w:val="009626D1"/>
    <w:rsid w:val="009628EB"/>
    <w:rsid w:val="009628EF"/>
    <w:rsid w:val="00963E17"/>
    <w:rsid w:val="00964624"/>
    <w:rsid w:val="00964816"/>
    <w:rsid w:val="00965037"/>
    <w:rsid w:val="009651C7"/>
    <w:rsid w:val="009658E7"/>
    <w:rsid w:val="00965D45"/>
    <w:rsid w:val="00966185"/>
    <w:rsid w:val="00966848"/>
    <w:rsid w:val="009674C9"/>
    <w:rsid w:val="00967657"/>
    <w:rsid w:val="00970097"/>
    <w:rsid w:val="009704F0"/>
    <w:rsid w:val="0097076B"/>
    <w:rsid w:val="009707FA"/>
    <w:rsid w:val="009715FA"/>
    <w:rsid w:val="00973323"/>
    <w:rsid w:val="009736CF"/>
    <w:rsid w:val="00973C12"/>
    <w:rsid w:val="00974274"/>
    <w:rsid w:val="009746F6"/>
    <w:rsid w:val="00974721"/>
    <w:rsid w:val="009747C0"/>
    <w:rsid w:val="009753C9"/>
    <w:rsid w:val="009759C3"/>
    <w:rsid w:val="00976038"/>
    <w:rsid w:val="009763F1"/>
    <w:rsid w:val="00977005"/>
    <w:rsid w:val="009771B1"/>
    <w:rsid w:val="00977A91"/>
    <w:rsid w:val="009800D7"/>
    <w:rsid w:val="00980112"/>
    <w:rsid w:val="00980402"/>
    <w:rsid w:val="009810A9"/>
    <w:rsid w:val="00981247"/>
    <w:rsid w:val="009819C6"/>
    <w:rsid w:val="00981BF0"/>
    <w:rsid w:val="0098235D"/>
    <w:rsid w:val="0098237D"/>
    <w:rsid w:val="009823DA"/>
    <w:rsid w:val="0098307C"/>
    <w:rsid w:val="009832D8"/>
    <w:rsid w:val="00983EDA"/>
    <w:rsid w:val="009847A1"/>
    <w:rsid w:val="00985505"/>
    <w:rsid w:val="00986321"/>
    <w:rsid w:val="009869D5"/>
    <w:rsid w:val="00986AD6"/>
    <w:rsid w:val="00987480"/>
    <w:rsid w:val="00987C0C"/>
    <w:rsid w:val="0099066B"/>
    <w:rsid w:val="009907C7"/>
    <w:rsid w:val="00991602"/>
    <w:rsid w:val="00991B86"/>
    <w:rsid w:val="00992C3A"/>
    <w:rsid w:val="00992E35"/>
    <w:rsid w:val="009930B0"/>
    <w:rsid w:val="009931FF"/>
    <w:rsid w:val="009932DD"/>
    <w:rsid w:val="0099371B"/>
    <w:rsid w:val="00993767"/>
    <w:rsid w:val="0099386F"/>
    <w:rsid w:val="00993916"/>
    <w:rsid w:val="00994415"/>
    <w:rsid w:val="00994928"/>
    <w:rsid w:val="00995120"/>
    <w:rsid w:val="00995171"/>
    <w:rsid w:val="00995F87"/>
    <w:rsid w:val="009967EA"/>
    <w:rsid w:val="00996AAC"/>
    <w:rsid w:val="009970F0"/>
    <w:rsid w:val="009A02EC"/>
    <w:rsid w:val="009A067C"/>
    <w:rsid w:val="009A0F10"/>
    <w:rsid w:val="009A13F8"/>
    <w:rsid w:val="009A1498"/>
    <w:rsid w:val="009A1AA9"/>
    <w:rsid w:val="009A1CCD"/>
    <w:rsid w:val="009A1CE9"/>
    <w:rsid w:val="009A1E6A"/>
    <w:rsid w:val="009A22EA"/>
    <w:rsid w:val="009A27D3"/>
    <w:rsid w:val="009A2B08"/>
    <w:rsid w:val="009A2D00"/>
    <w:rsid w:val="009A3337"/>
    <w:rsid w:val="009A3655"/>
    <w:rsid w:val="009A566F"/>
    <w:rsid w:val="009A5B80"/>
    <w:rsid w:val="009A5CB3"/>
    <w:rsid w:val="009A61D9"/>
    <w:rsid w:val="009A6251"/>
    <w:rsid w:val="009A66D4"/>
    <w:rsid w:val="009A72DA"/>
    <w:rsid w:val="009A7557"/>
    <w:rsid w:val="009B0019"/>
    <w:rsid w:val="009B1944"/>
    <w:rsid w:val="009B24E4"/>
    <w:rsid w:val="009B3361"/>
    <w:rsid w:val="009B40FA"/>
    <w:rsid w:val="009B46DF"/>
    <w:rsid w:val="009B52DE"/>
    <w:rsid w:val="009B5576"/>
    <w:rsid w:val="009B6A7E"/>
    <w:rsid w:val="009B7F36"/>
    <w:rsid w:val="009C017D"/>
    <w:rsid w:val="009C0253"/>
    <w:rsid w:val="009C026E"/>
    <w:rsid w:val="009C03F5"/>
    <w:rsid w:val="009C0515"/>
    <w:rsid w:val="009C122D"/>
    <w:rsid w:val="009C15CA"/>
    <w:rsid w:val="009C1BB7"/>
    <w:rsid w:val="009C2EC8"/>
    <w:rsid w:val="009C30B3"/>
    <w:rsid w:val="009C3982"/>
    <w:rsid w:val="009C3A55"/>
    <w:rsid w:val="009C3B97"/>
    <w:rsid w:val="009C4187"/>
    <w:rsid w:val="009C41B8"/>
    <w:rsid w:val="009C4746"/>
    <w:rsid w:val="009C486F"/>
    <w:rsid w:val="009C4E35"/>
    <w:rsid w:val="009C5609"/>
    <w:rsid w:val="009C56F0"/>
    <w:rsid w:val="009C5CF5"/>
    <w:rsid w:val="009C6786"/>
    <w:rsid w:val="009C69E7"/>
    <w:rsid w:val="009C778F"/>
    <w:rsid w:val="009C79BC"/>
    <w:rsid w:val="009C7C6A"/>
    <w:rsid w:val="009D04B1"/>
    <w:rsid w:val="009D09DE"/>
    <w:rsid w:val="009D0B30"/>
    <w:rsid w:val="009D1AAF"/>
    <w:rsid w:val="009D2765"/>
    <w:rsid w:val="009D3352"/>
    <w:rsid w:val="009D3368"/>
    <w:rsid w:val="009D35B7"/>
    <w:rsid w:val="009D37F3"/>
    <w:rsid w:val="009D44CB"/>
    <w:rsid w:val="009D4726"/>
    <w:rsid w:val="009D51A3"/>
    <w:rsid w:val="009D6237"/>
    <w:rsid w:val="009D631C"/>
    <w:rsid w:val="009D660F"/>
    <w:rsid w:val="009D676B"/>
    <w:rsid w:val="009D7030"/>
    <w:rsid w:val="009D726E"/>
    <w:rsid w:val="009D727D"/>
    <w:rsid w:val="009D7341"/>
    <w:rsid w:val="009D7BC7"/>
    <w:rsid w:val="009E1246"/>
    <w:rsid w:val="009E14D4"/>
    <w:rsid w:val="009E1C97"/>
    <w:rsid w:val="009E250A"/>
    <w:rsid w:val="009E2562"/>
    <w:rsid w:val="009E25A5"/>
    <w:rsid w:val="009E2C03"/>
    <w:rsid w:val="009E3DD7"/>
    <w:rsid w:val="009E3EEE"/>
    <w:rsid w:val="009E4245"/>
    <w:rsid w:val="009E4BE1"/>
    <w:rsid w:val="009E4CE7"/>
    <w:rsid w:val="009E501B"/>
    <w:rsid w:val="009E56ED"/>
    <w:rsid w:val="009E6A1D"/>
    <w:rsid w:val="009E6B88"/>
    <w:rsid w:val="009E6DD1"/>
    <w:rsid w:val="009E6E9C"/>
    <w:rsid w:val="009E7248"/>
    <w:rsid w:val="009E77DC"/>
    <w:rsid w:val="009E7D35"/>
    <w:rsid w:val="009F02D7"/>
    <w:rsid w:val="009F035C"/>
    <w:rsid w:val="009F04BC"/>
    <w:rsid w:val="009F0586"/>
    <w:rsid w:val="009F19B0"/>
    <w:rsid w:val="009F1B43"/>
    <w:rsid w:val="009F1D40"/>
    <w:rsid w:val="009F210E"/>
    <w:rsid w:val="009F2B0A"/>
    <w:rsid w:val="009F2BE1"/>
    <w:rsid w:val="009F2EDB"/>
    <w:rsid w:val="009F2FDB"/>
    <w:rsid w:val="009F3E75"/>
    <w:rsid w:val="009F549D"/>
    <w:rsid w:val="009F54C1"/>
    <w:rsid w:val="009F5F31"/>
    <w:rsid w:val="009F6237"/>
    <w:rsid w:val="009F69F2"/>
    <w:rsid w:val="009F6B6A"/>
    <w:rsid w:val="009F6BC1"/>
    <w:rsid w:val="009F7E91"/>
    <w:rsid w:val="00A004B0"/>
    <w:rsid w:val="00A00B7B"/>
    <w:rsid w:val="00A00F7B"/>
    <w:rsid w:val="00A01659"/>
    <w:rsid w:val="00A019E7"/>
    <w:rsid w:val="00A026D2"/>
    <w:rsid w:val="00A030E6"/>
    <w:rsid w:val="00A0329E"/>
    <w:rsid w:val="00A0330D"/>
    <w:rsid w:val="00A03419"/>
    <w:rsid w:val="00A0451A"/>
    <w:rsid w:val="00A048AE"/>
    <w:rsid w:val="00A0494C"/>
    <w:rsid w:val="00A04F2E"/>
    <w:rsid w:val="00A0545B"/>
    <w:rsid w:val="00A054DD"/>
    <w:rsid w:val="00A05847"/>
    <w:rsid w:val="00A0605B"/>
    <w:rsid w:val="00A062CC"/>
    <w:rsid w:val="00A063F2"/>
    <w:rsid w:val="00A067DB"/>
    <w:rsid w:val="00A07237"/>
    <w:rsid w:val="00A07C00"/>
    <w:rsid w:val="00A1048B"/>
    <w:rsid w:val="00A111C1"/>
    <w:rsid w:val="00A112B7"/>
    <w:rsid w:val="00A11E50"/>
    <w:rsid w:val="00A12BA7"/>
    <w:rsid w:val="00A12F21"/>
    <w:rsid w:val="00A13200"/>
    <w:rsid w:val="00A1412C"/>
    <w:rsid w:val="00A14925"/>
    <w:rsid w:val="00A15A46"/>
    <w:rsid w:val="00A15DC0"/>
    <w:rsid w:val="00A16028"/>
    <w:rsid w:val="00A167FB"/>
    <w:rsid w:val="00A171E9"/>
    <w:rsid w:val="00A17619"/>
    <w:rsid w:val="00A179A0"/>
    <w:rsid w:val="00A17F8D"/>
    <w:rsid w:val="00A207C6"/>
    <w:rsid w:val="00A20A07"/>
    <w:rsid w:val="00A20B62"/>
    <w:rsid w:val="00A21E64"/>
    <w:rsid w:val="00A21F22"/>
    <w:rsid w:val="00A2202D"/>
    <w:rsid w:val="00A23004"/>
    <w:rsid w:val="00A235B6"/>
    <w:rsid w:val="00A23746"/>
    <w:rsid w:val="00A24962"/>
    <w:rsid w:val="00A24A82"/>
    <w:rsid w:val="00A24EF5"/>
    <w:rsid w:val="00A25566"/>
    <w:rsid w:val="00A2592E"/>
    <w:rsid w:val="00A25F9D"/>
    <w:rsid w:val="00A26028"/>
    <w:rsid w:val="00A26146"/>
    <w:rsid w:val="00A26473"/>
    <w:rsid w:val="00A270B6"/>
    <w:rsid w:val="00A270F4"/>
    <w:rsid w:val="00A27B12"/>
    <w:rsid w:val="00A27D80"/>
    <w:rsid w:val="00A30C7D"/>
    <w:rsid w:val="00A30F13"/>
    <w:rsid w:val="00A32842"/>
    <w:rsid w:val="00A3292E"/>
    <w:rsid w:val="00A34017"/>
    <w:rsid w:val="00A341C2"/>
    <w:rsid w:val="00A342F9"/>
    <w:rsid w:val="00A34C25"/>
    <w:rsid w:val="00A34DBD"/>
    <w:rsid w:val="00A35816"/>
    <w:rsid w:val="00A3621F"/>
    <w:rsid w:val="00A36921"/>
    <w:rsid w:val="00A36E15"/>
    <w:rsid w:val="00A37083"/>
    <w:rsid w:val="00A370AD"/>
    <w:rsid w:val="00A37F2E"/>
    <w:rsid w:val="00A37FE8"/>
    <w:rsid w:val="00A405C2"/>
    <w:rsid w:val="00A41128"/>
    <w:rsid w:val="00A41349"/>
    <w:rsid w:val="00A41439"/>
    <w:rsid w:val="00A416BD"/>
    <w:rsid w:val="00A418D0"/>
    <w:rsid w:val="00A41C8A"/>
    <w:rsid w:val="00A42047"/>
    <w:rsid w:val="00A431CC"/>
    <w:rsid w:val="00A4349A"/>
    <w:rsid w:val="00A44AB7"/>
    <w:rsid w:val="00A4586D"/>
    <w:rsid w:val="00A45A70"/>
    <w:rsid w:val="00A45E38"/>
    <w:rsid w:val="00A461EC"/>
    <w:rsid w:val="00A463AB"/>
    <w:rsid w:val="00A46FA3"/>
    <w:rsid w:val="00A471CA"/>
    <w:rsid w:val="00A479EB"/>
    <w:rsid w:val="00A47E6E"/>
    <w:rsid w:val="00A50B42"/>
    <w:rsid w:val="00A51434"/>
    <w:rsid w:val="00A51E19"/>
    <w:rsid w:val="00A52122"/>
    <w:rsid w:val="00A52532"/>
    <w:rsid w:val="00A532C2"/>
    <w:rsid w:val="00A540DE"/>
    <w:rsid w:val="00A54F38"/>
    <w:rsid w:val="00A55EE3"/>
    <w:rsid w:val="00A568C8"/>
    <w:rsid w:val="00A56A25"/>
    <w:rsid w:val="00A5780D"/>
    <w:rsid w:val="00A60B66"/>
    <w:rsid w:val="00A60D49"/>
    <w:rsid w:val="00A60D62"/>
    <w:rsid w:val="00A616B4"/>
    <w:rsid w:val="00A621B2"/>
    <w:rsid w:val="00A621BF"/>
    <w:rsid w:val="00A624E6"/>
    <w:rsid w:val="00A64781"/>
    <w:rsid w:val="00A64852"/>
    <w:rsid w:val="00A664AD"/>
    <w:rsid w:val="00A6678F"/>
    <w:rsid w:val="00A667C8"/>
    <w:rsid w:val="00A669AA"/>
    <w:rsid w:val="00A70525"/>
    <w:rsid w:val="00A70550"/>
    <w:rsid w:val="00A70808"/>
    <w:rsid w:val="00A70A09"/>
    <w:rsid w:val="00A71432"/>
    <w:rsid w:val="00A71EED"/>
    <w:rsid w:val="00A71F35"/>
    <w:rsid w:val="00A72122"/>
    <w:rsid w:val="00A73979"/>
    <w:rsid w:val="00A7460A"/>
    <w:rsid w:val="00A74693"/>
    <w:rsid w:val="00A74E31"/>
    <w:rsid w:val="00A74E68"/>
    <w:rsid w:val="00A7508E"/>
    <w:rsid w:val="00A7571B"/>
    <w:rsid w:val="00A757A8"/>
    <w:rsid w:val="00A7604E"/>
    <w:rsid w:val="00A76F7F"/>
    <w:rsid w:val="00A7739F"/>
    <w:rsid w:val="00A80503"/>
    <w:rsid w:val="00A80885"/>
    <w:rsid w:val="00A81151"/>
    <w:rsid w:val="00A830C5"/>
    <w:rsid w:val="00A83743"/>
    <w:rsid w:val="00A83AF9"/>
    <w:rsid w:val="00A83B20"/>
    <w:rsid w:val="00A83E5F"/>
    <w:rsid w:val="00A841F6"/>
    <w:rsid w:val="00A845D9"/>
    <w:rsid w:val="00A847CF"/>
    <w:rsid w:val="00A84FB2"/>
    <w:rsid w:val="00A85128"/>
    <w:rsid w:val="00A858B3"/>
    <w:rsid w:val="00A858CA"/>
    <w:rsid w:val="00A8617D"/>
    <w:rsid w:val="00A86B5E"/>
    <w:rsid w:val="00A86D1D"/>
    <w:rsid w:val="00A87185"/>
    <w:rsid w:val="00A876CE"/>
    <w:rsid w:val="00A87CAA"/>
    <w:rsid w:val="00A87D04"/>
    <w:rsid w:val="00A87E2C"/>
    <w:rsid w:val="00A90872"/>
    <w:rsid w:val="00A9093E"/>
    <w:rsid w:val="00A90A46"/>
    <w:rsid w:val="00A90B58"/>
    <w:rsid w:val="00A91050"/>
    <w:rsid w:val="00A91FC3"/>
    <w:rsid w:val="00A9297C"/>
    <w:rsid w:val="00A93A00"/>
    <w:rsid w:val="00A93CCE"/>
    <w:rsid w:val="00A94297"/>
    <w:rsid w:val="00A947EB"/>
    <w:rsid w:val="00A94870"/>
    <w:rsid w:val="00A94DE6"/>
    <w:rsid w:val="00A95344"/>
    <w:rsid w:val="00A95758"/>
    <w:rsid w:val="00A95B64"/>
    <w:rsid w:val="00A962B7"/>
    <w:rsid w:val="00A96739"/>
    <w:rsid w:val="00A96D08"/>
    <w:rsid w:val="00A9796E"/>
    <w:rsid w:val="00A97EAA"/>
    <w:rsid w:val="00A97FF3"/>
    <w:rsid w:val="00AA0189"/>
    <w:rsid w:val="00AA04B1"/>
    <w:rsid w:val="00AA070A"/>
    <w:rsid w:val="00AA09BE"/>
    <w:rsid w:val="00AA0DEE"/>
    <w:rsid w:val="00AA111A"/>
    <w:rsid w:val="00AA1D26"/>
    <w:rsid w:val="00AA1ED4"/>
    <w:rsid w:val="00AA230F"/>
    <w:rsid w:val="00AA24E4"/>
    <w:rsid w:val="00AA29C8"/>
    <w:rsid w:val="00AA2FDA"/>
    <w:rsid w:val="00AA382D"/>
    <w:rsid w:val="00AA442B"/>
    <w:rsid w:val="00AA4684"/>
    <w:rsid w:val="00AA55C0"/>
    <w:rsid w:val="00AA5DC3"/>
    <w:rsid w:val="00AA5E54"/>
    <w:rsid w:val="00AA62B1"/>
    <w:rsid w:val="00AA6764"/>
    <w:rsid w:val="00AA6945"/>
    <w:rsid w:val="00AA6CBA"/>
    <w:rsid w:val="00AA6F7B"/>
    <w:rsid w:val="00AA6F8A"/>
    <w:rsid w:val="00AA780F"/>
    <w:rsid w:val="00AA7A9D"/>
    <w:rsid w:val="00AB0350"/>
    <w:rsid w:val="00AB03D2"/>
    <w:rsid w:val="00AB04B2"/>
    <w:rsid w:val="00AB1C82"/>
    <w:rsid w:val="00AB225C"/>
    <w:rsid w:val="00AB5146"/>
    <w:rsid w:val="00AB518C"/>
    <w:rsid w:val="00AB5216"/>
    <w:rsid w:val="00AB541D"/>
    <w:rsid w:val="00AB5467"/>
    <w:rsid w:val="00AB5506"/>
    <w:rsid w:val="00AB6A41"/>
    <w:rsid w:val="00AB6E7E"/>
    <w:rsid w:val="00AB6FE8"/>
    <w:rsid w:val="00AB7279"/>
    <w:rsid w:val="00AB760E"/>
    <w:rsid w:val="00AB77F6"/>
    <w:rsid w:val="00AB7D6B"/>
    <w:rsid w:val="00AB7F8F"/>
    <w:rsid w:val="00AC0027"/>
    <w:rsid w:val="00AC0A49"/>
    <w:rsid w:val="00AC0C18"/>
    <w:rsid w:val="00AC10F3"/>
    <w:rsid w:val="00AC1DAA"/>
    <w:rsid w:val="00AC3279"/>
    <w:rsid w:val="00AC3A0D"/>
    <w:rsid w:val="00AC3ED2"/>
    <w:rsid w:val="00AC3EEA"/>
    <w:rsid w:val="00AC412B"/>
    <w:rsid w:val="00AC4335"/>
    <w:rsid w:val="00AC5420"/>
    <w:rsid w:val="00AC591F"/>
    <w:rsid w:val="00AC5AE6"/>
    <w:rsid w:val="00AC5E9B"/>
    <w:rsid w:val="00AC653A"/>
    <w:rsid w:val="00AC677D"/>
    <w:rsid w:val="00AC681F"/>
    <w:rsid w:val="00AC764E"/>
    <w:rsid w:val="00AC767A"/>
    <w:rsid w:val="00AD01B7"/>
    <w:rsid w:val="00AD092A"/>
    <w:rsid w:val="00AD0EE1"/>
    <w:rsid w:val="00AD1253"/>
    <w:rsid w:val="00AD12F2"/>
    <w:rsid w:val="00AD1879"/>
    <w:rsid w:val="00AD22EA"/>
    <w:rsid w:val="00AD2F2B"/>
    <w:rsid w:val="00AD3FFE"/>
    <w:rsid w:val="00AD4478"/>
    <w:rsid w:val="00AD5404"/>
    <w:rsid w:val="00AD5A16"/>
    <w:rsid w:val="00AD5EAE"/>
    <w:rsid w:val="00AD68A9"/>
    <w:rsid w:val="00AD79B2"/>
    <w:rsid w:val="00AD7B32"/>
    <w:rsid w:val="00AE11A0"/>
    <w:rsid w:val="00AE15C7"/>
    <w:rsid w:val="00AE1AAF"/>
    <w:rsid w:val="00AE1D49"/>
    <w:rsid w:val="00AE2595"/>
    <w:rsid w:val="00AE2747"/>
    <w:rsid w:val="00AE2E8F"/>
    <w:rsid w:val="00AE2F8D"/>
    <w:rsid w:val="00AE3DFB"/>
    <w:rsid w:val="00AE40EA"/>
    <w:rsid w:val="00AE4361"/>
    <w:rsid w:val="00AE477D"/>
    <w:rsid w:val="00AE4908"/>
    <w:rsid w:val="00AE53D0"/>
    <w:rsid w:val="00AE627F"/>
    <w:rsid w:val="00AE63C9"/>
    <w:rsid w:val="00AE6C64"/>
    <w:rsid w:val="00AE6FE6"/>
    <w:rsid w:val="00AE7186"/>
    <w:rsid w:val="00AE74CC"/>
    <w:rsid w:val="00AE79DA"/>
    <w:rsid w:val="00AF0184"/>
    <w:rsid w:val="00AF0290"/>
    <w:rsid w:val="00AF05A7"/>
    <w:rsid w:val="00AF0633"/>
    <w:rsid w:val="00AF0924"/>
    <w:rsid w:val="00AF1026"/>
    <w:rsid w:val="00AF1493"/>
    <w:rsid w:val="00AF19BC"/>
    <w:rsid w:val="00AF1A23"/>
    <w:rsid w:val="00AF1BDB"/>
    <w:rsid w:val="00AF1D2C"/>
    <w:rsid w:val="00AF316F"/>
    <w:rsid w:val="00AF3742"/>
    <w:rsid w:val="00AF41B9"/>
    <w:rsid w:val="00AF43B2"/>
    <w:rsid w:val="00AF5025"/>
    <w:rsid w:val="00AF5674"/>
    <w:rsid w:val="00AF57E1"/>
    <w:rsid w:val="00AF5A67"/>
    <w:rsid w:val="00AF5B8A"/>
    <w:rsid w:val="00AF62FC"/>
    <w:rsid w:val="00AF6302"/>
    <w:rsid w:val="00AF6B5C"/>
    <w:rsid w:val="00AF73E9"/>
    <w:rsid w:val="00AF794A"/>
    <w:rsid w:val="00AF7B6F"/>
    <w:rsid w:val="00B00583"/>
    <w:rsid w:val="00B00974"/>
    <w:rsid w:val="00B00A6B"/>
    <w:rsid w:val="00B00BC7"/>
    <w:rsid w:val="00B01151"/>
    <w:rsid w:val="00B01278"/>
    <w:rsid w:val="00B01336"/>
    <w:rsid w:val="00B01A0C"/>
    <w:rsid w:val="00B023AB"/>
    <w:rsid w:val="00B02AC8"/>
    <w:rsid w:val="00B034C7"/>
    <w:rsid w:val="00B0378F"/>
    <w:rsid w:val="00B037B9"/>
    <w:rsid w:val="00B04CCD"/>
    <w:rsid w:val="00B0573D"/>
    <w:rsid w:val="00B059B7"/>
    <w:rsid w:val="00B05E30"/>
    <w:rsid w:val="00B07A32"/>
    <w:rsid w:val="00B07F55"/>
    <w:rsid w:val="00B106D5"/>
    <w:rsid w:val="00B1075F"/>
    <w:rsid w:val="00B108E5"/>
    <w:rsid w:val="00B11627"/>
    <w:rsid w:val="00B116CD"/>
    <w:rsid w:val="00B11887"/>
    <w:rsid w:val="00B1190D"/>
    <w:rsid w:val="00B12749"/>
    <w:rsid w:val="00B131D3"/>
    <w:rsid w:val="00B13A23"/>
    <w:rsid w:val="00B13E58"/>
    <w:rsid w:val="00B1401A"/>
    <w:rsid w:val="00B1411A"/>
    <w:rsid w:val="00B14AFB"/>
    <w:rsid w:val="00B14C61"/>
    <w:rsid w:val="00B15E37"/>
    <w:rsid w:val="00B16AAF"/>
    <w:rsid w:val="00B172B9"/>
    <w:rsid w:val="00B17B4F"/>
    <w:rsid w:val="00B17BC8"/>
    <w:rsid w:val="00B17F5F"/>
    <w:rsid w:val="00B200DE"/>
    <w:rsid w:val="00B2010E"/>
    <w:rsid w:val="00B20118"/>
    <w:rsid w:val="00B21110"/>
    <w:rsid w:val="00B213CE"/>
    <w:rsid w:val="00B21472"/>
    <w:rsid w:val="00B215ED"/>
    <w:rsid w:val="00B21768"/>
    <w:rsid w:val="00B21ED9"/>
    <w:rsid w:val="00B22B0D"/>
    <w:rsid w:val="00B2332E"/>
    <w:rsid w:val="00B23755"/>
    <w:rsid w:val="00B23CAD"/>
    <w:rsid w:val="00B244DD"/>
    <w:rsid w:val="00B248FB"/>
    <w:rsid w:val="00B24CEE"/>
    <w:rsid w:val="00B253EB"/>
    <w:rsid w:val="00B25C48"/>
    <w:rsid w:val="00B25C8E"/>
    <w:rsid w:val="00B260D3"/>
    <w:rsid w:val="00B268FD"/>
    <w:rsid w:val="00B26979"/>
    <w:rsid w:val="00B27DF9"/>
    <w:rsid w:val="00B30886"/>
    <w:rsid w:val="00B31026"/>
    <w:rsid w:val="00B32490"/>
    <w:rsid w:val="00B32664"/>
    <w:rsid w:val="00B32CB0"/>
    <w:rsid w:val="00B3337D"/>
    <w:rsid w:val="00B33444"/>
    <w:rsid w:val="00B334E4"/>
    <w:rsid w:val="00B335AF"/>
    <w:rsid w:val="00B33854"/>
    <w:rsid w:val="00B340FA"/>
    <w:rsid w:val="00B345E9"/>
    <w:rsid w:val="00B347A8"/>
    <w:rsid w:val="00B349F2"/>
    <w:rsid w:val="00B35CAD"/>
    <w:rsid w:val="00B36493"/>
    <w:rsid w:val="00B367D5"/>
    <w:rsid w:val="00B36BFB"/>
    <w:rsid w:val="00B37047"/>
    <w:rsid w:val="00B375F8"/>
    <w:rsid w:val="00B37CB1"/>
    <w:rsid w:val="00B40B4A"/>
    <w:rsid w:val="00B412DB"/>
    <w:rsid w:val="00B4184E"/>
    <w:rsid w:val="00B437D8"/>
    <w:rsid w:val="00B43E51"/>
    <w:rsid w:val="00B44B06"/>
    <w:rsid w:val="00B450E3"/>
    <w:rsid w:val="00B454DB"/>
    <w:rsid w:val="00B456D0"/>
    <w:rsid w:val="00B45D4B"/>
    <w:rsid w:val="00B4669A"/>
    <w:rsid w:val="00B46BEC"/>
    <w:rsid w:val="00B47161"/>
    <w:rsid w:val="00B47338"/>
    <w:rsid w:val="00B47757"/>
    <w:rsid w:val="00B50436"/>
    <w:rsid w:val="00B50614"/>
    <w:rsid w:val="00B50BCE"/>
    <w:rsid w:val="00B51070"/>
    <w:rsid w:val="00B5127F"/>
    <w:rsid w:val="00B5145A"/>
    <w:rsid w:val="00B51F5D"/>
    <w:rsid w:val="00B529CA"/>
    <w:rsid w:val="00B53A5E"/>
    <w:rsid w:val="00B53BEB"/>
    <w:rsid w:val="00B544C5"/>
    <w:rsid w:val="00B55AF7"/>
    <w:rsid w:val="00B566C5"/>
    <w:rsid w:val="00B56BF6"/>
    <w:rsid w:val="00B577CB"/>
    <w:rsid w:val="00B57C7A"/>
    <w:rsid w:val="00B60F77"/>
    <w:rsid w:val="00B6149E"/>
    <w:rsid w:val="00B614C7"/>
    <w:rsid w:val="00B61501"/>
    <w:rsid w:val="00B61B81"/>
    <w:rsid w:val="00B61C0F"/>
    <w:rsid w:val="00B61DB6"/>
    <w:rsid w:val="00B629FF"/>
    <w:rsid w:val="00B62BEB"/>
    <w:rsid w:val="00B62F63"/>
    <w:rsid w:val="00B63151"/>
    <w:rsid w:val="00B63784"/>
    <w:rsid w:val="00B645FA"/>
    <w:rsid w:val="00B64CF0"/>
    <w:rsid w:val="00B65555"/>
    <w:rsid w:val="00B65CD8"/>
    <w:rsid w:val="00B66313"/>
    <w:rsid w:val="00B6729F"/>
    <w:rsid w:val="00B6762B"/>
    <w:rsid w:val="00B678A5"/>
    <w:rsid w:val="00B6792E"/>
    <w:rsid w:val="00B67D80"/>
    <w:rsid w:val="00B71245"/>
    <w:rsid w:val="00B7184A"/>
    <w:rsid w:val="00B718F9"/>
    <w:rsid w:val="00B71A3C"/>
    <w:rsid w:val="00B72A12"/>
    <w:rsid w:val="00B72E2B"/>
    <w:rsid w:val="00B730A3"/>
    <w:rsid w:val="00B730B3"/>
    <w:rsid w:val="00B7328C"/>
    <w:rsid w:val="00B73AC7"/>
    <w:rsid w:val="00B742E5"/>
    <w:rsid w:val="00B74FE1"/>
    <w:rsid w:val="00B7523C"/>
    <w:rsid w:val="00B7527A"/>
    <w:rsid w:val="00B753C2"/>
    <w:rsid w:val="00B75831"/>
    <w:rsid w:val="00B75C99"/>
    <w:rsid w:val="00B75D31"/>
    <w:rsid w:val="00B7606F"/>
    <w:rsid w:val="00B7675D"/>
    <w:rsid w:val="00B76DA4"/>
    <w:rsid w:val="00B77368"/>
    <w:rsid w:val="00B77C02"/>
    <w:rsid w:val="00B77C17"/>
    <w:rsid w:val="00B77CE6"/>
    <w:rsid w:val="00B80289"/>
    <w:rsid w:val="00B802F4"/>
    <w:rsid w:val="00B811AD"/>
    <w:rsid w:val="00B81A20"/>
    <w:rsid w:val="00B82200"/>
    <w:rsid w:val="00B82F76"/>
    <w:rsid w:val="00B8305D"/>
    <w:rsid w:val="00B83A64"/>
    <w:rsid w:val="00B85403"/>
    <w:rsid w:val="00B8597F"/>
    <w:rsid w:val="00B8642C"/>
    <w:rsid w:val="00B86E09"/>
    <w:rsid w:val="00B878DD"/>
    <w:rsid w:val="00B8799D"/>
    <w:rsid w:val="00B879B7"/>
    <w:rsid w:val="00B90679"/>
    <w:rsid w:val="00B91247"/>
    <w:rsid w:val="00B918C5"/>
    <w:rsid w:val="00B91BF4"/>
    <w:rsid w:val="00B91C98"/>
    <w:rsid w:val="00B91E89"/>
    <w:rsid w:val="00B92DF2"/>
    <w:rsid w:val="00B93C71"/>
    <w:rsid w:val="00B93DD3"/>
    <w:rsid w:val="00B94285"/>
    <w:rsid w:val="00B945EC"/>
    <w:rsid w:val="00B946F8"/>
    <w:rsid w:val="00B949BF"/>
    <w:rsid w:val="00B958A8"/>
    <w:rsid w:val="00B96249"/>
    <w:rsid w:val="00B96503"/>
    <w:rsid w:val="00B97953"/>
    <w:rsid w:val="00BA0013"/>
    <w:rsid w:val="00BA031A"/>
    <w:rsid w:val="00BA1154"/>
    <w:rsid w:val="00BA1C98"/>
    <w:rsid w:val="00BA1DA6"/>
    <w:rsid w:val="00BA23EB"/>
    <w:rsid w:val="00BA2A60"/>
    <w:rsid w:val="00BA2E55"/>
    <w:rsid w:val="00BA304C"/>
    <w:rsid w:val="00BA3185"/>
    <w:rsid w:val="00BA31AB"/>
    <w:rsid w:val="00BA3B07"/>
    <w:rsid w:val="00BA3E9A"/>
    <w:rsid w:val="00BA4373"/>
    <w:rsid w:val="00BA506B"/>
    <w:rsid w:val="00BA56DD"/>
    <w:rsid w:val="00BA5C20"/>
    <w:rsid w:val="00BA5CAA"/>
    <w:rsid w:val="00BA5F2E"/>
    <w:rsid w:val="00BA63E2"/>
    <w:rsid w:val="00BA6DB8"/>
    <w:rsid w:val="00BA7D0E"/>
    <w:rsid w:val="00BB0422"/>
    <w:rsid w:val="00BB04F6"/>
    <w:rsid w:val="00BB0CB5"/>
    <w:rsid w:val="00BB0DC4"/>
    <w:rsid w:val="00BB13B4"/>
    <w:rsid w:val="00BB23AC"/>
    <w:rsid w:val="00BB26E9"/>
    <w:rsid w:val="00BB2B80"/>
    <w:rsid w:val="00BB2C0B"/>
    <w:rsid w:val="00BB3845"/>
    <w:rsid w:val="00BB3C89"/>
    <w:rsid w:val="00BB3D2E"/>
    <w:rsid w:val="00BB3EC8"/>
    <w:rsid w:val="00BB44FB"/>
    <w:rsid w:val="00BB466F"/>
    <w:rsid w:val="00BB48BA"/>
    <w:rsid w:val="00BB4B66"/>
    <w:rsid w:val="00BB52A3"/>
    <w:rsid w:val="00BB74EC"/>
    <w:rsid w:val="00BB7A10"/>
    <w:rsid w:val="00BB7AC9"/>
    <w:rsid w:val="00BB7F2D"/>
    <w:rsid w:val="00BB7F72"/>
    <w:rsid w:val="00BC0071"/>
    <w:rsid w:val="00BC0149"/>
    <w:rsid w:val="00BC0324"/>
    <w:rsid w:val="00BC061C"/>
    <w:rsid w:val="00BC17CE"/>
    <w:rsid w:val="00BC24E3"/>
    <w:rsid w:val="00BC383B"/>
    <w:rsid w:val="00BC38DB"/>
    <w:rsid w:val="00BC5068"/>
    <w:rsid w:val="00BC5500"/>
    <w:rsid w:val="00BC6A6C"/>
    <w:rsid w:val="00BC769D"/>
    <w:rsid w:val="00BD0574"/>
    <w:rsid w:val="00BD15EB"/>
    <w:rsid w:val="00BD283D"/>
    <w:rsid w:val="00BD31A3"/>
    <w:rsid w:val="00BD4012"/>
    <w:rsid w:val="00BD4262"/>
    <w:rsid w:val="00BD431C"/>
    <w:rsid w:val="00BD4409"/>
    <w:rsid w:val="00BD468A"/>
    <w:rsid w:val="00BD4BE6"/>
    <w:rsid w:val="00BD5007"/>
    <w:rsid w:val="00BD54CE"/>
    <w:rsid w:val="00BD630B"/>
    <w:rsid w:val="00BD687E"/>
    <w:rsid w:val="00BD726C"/>
    <w:rsid w:val="00BE0090"/>
    <w:rsid w:val="00BE05F0"/>
    <w:rsid w:val="00BE0652"/>
    <w:rsid w:val="00BE0A0C"/>
    <w:rsid w:val="00BE0B50"/>
    <w:rsid w:val="00BE0C9A"/>
    <w:rsid w:val="00BE0E59"/>
    <w:rsid w:val="00BE169C"/>
    <w:rsid w:val="00BE2130"/>
    <w:rsid w:val="00BE230A"/>
    <w:rsid w:val="00BE27EA"/>
    <w:rsid w:val="00BE310D"/>
    <w:rsid w:val="00BE3569"/>
    <w:rsid w:val="00BE39EB"/>
    <w:rsid w:val="00BE3C5C"/>
    <w:rsid w:val="00BE3D06"/>
    <w:rsid w:val="00BE4814"/>
    <w:rsid w:val="00BE49ED"/>
    <w:rsid w:val="00BE4B80"/>
    <w:rsid w:val="00BE5D72"/>
    <w:rsid w:val="00BE5E96"/>
    <w:rsid w:val="00BE6833"/>
    <w:rsid w:val="00BE6974"/>
    <w:rsid w:val="00BE69B2"/>
    <w:rsid w:val="00BE6E9C"/>
    <w:rsid w:val="00BE74FD"/>
    <w:rsid w:val="00BE78A5"/>
    <w:rsid w:val="00BE7A98"/>
    <w:rsid w:val="00BF0B25"/>
    <w:rsid w:val="00BF0B8E"/>
    <w:rsid w:val="00BF0CFD"/>
    <w:rsid w:val="00BF0DF7"/>
    <w:rsid w:val="00BF0FCE"/>
    <w:rsid w:val="00BF1581"/>
    <w:rsid w:val="00BF2296"/>
    <w:rsid w:val="00BF26F4"/>
    <w:rsid w:val="00BF28DD"/>
    <w:rsid w:val="00BF2B5D"/>
    <w:rsid w:val="00BF3E3B"/>
    <w:rsid w:val="00BF410E"/>
    <w:rsid w:val="00BF4236"/>
    <w:rsid w:val="00BF483A"/>
    <w:rsid w:val="00BF51D2"/>
    <w:rsid w:val="00BF528B"/>
    <w:rsid w:val="00BF5962"/>
    <w:rsid w:val="00BF62BD"/>
    <w:rsid w:val="00BF63C2"/>
    <w:rsid w:val="00BF6476"/>
    <w:rsid w:val="00BF6943"/>
    <w:rsid w:val="00BF7308"/>
    <w:rsid w:val="00C0096D"/>
    <w:rsid w:val="00C01D02"/>
    <w:rsid w:val="00C022AD"/>
    <w:rsid w:val="00C02761"/>
    <w:rsid w:val="00C03683"/>
    <w:rsid w:val="00C03851"/>
    <w:rsid w:val="00C03C43"/>
    <w:rsid w:val="00C03DB3"/>
    <w:rsid w:val="00C03FDC"/>
    <w:rsid w:val="00C04811"/>
    <w:rsid w:val="00C04C68"/>
    <w:rsid w:val="00C04E56"/>
    <w:rsid w:val="00C06376"/>
    <w:rsid w:val="00C06577"/>
    <w:rsid w:val="00C077C8"/>
    <w:rsid w:val="00C0782D"/>
    <w:rsid w:val="00C07A58"/>
    <w:rsid w:val="00C105CA"/>
    <w:rsid w:val="00C10995"/>
    <w:rsid w:val="00C11079"/>
    <w:rsid w:val="00C1138E"/>
    <w:rsid w:val="00C1190F"/>
    <w:rsid w:val="00C12085"/>
    <w:rsid w:val="00C12749"/>
    <w:rsid w:val="00C12A5E"/>
    <w:rsid w:val="00C12F03"/>
    <w:rsid w:val="00C13682"/>
    <w:rsid w:val="00C13B1B"/>
    <w:rsid w:val="00C13BAE"/>
    <w:rsid w:val="00C14254"/>
    <w:rsid w:val="00C143A2"/>
    <w:rsid w:val="00C14469"/>
    <w:rsid w:val="00C147DF"/>
    <w:rsid w:val="00C1485F"/>
    <w:rsid w:val="00C14E74"/>
    <w:rsid w:val="00C14F46"/>
    <w:rsid w:val="00C15102"/>
    <w:rsid w:val="00C1582D"/>
    <w:rsid w:val="00C16609"/>
    <w:rsid w:val="00C169D7"/>
    <w:rsid w:val="00C16D63"/>
    <w:rsid w:val="00C16E68"/>
    <w:rsid w:val="00C16EB3"/>
    <w:rsid w:val="00C1787F"/>
    <w:rsid w:val="00C17BFE"/>
    <w:rsid w:val="00C204CC"/>
    <w:rsid w:val="00C2064D"/>
    <w:rsid w:val="00C20692"/>
    <w:rsid w:val="00C21207"/>
    <w:rsid w:val="00C214EA"/>
    <w:rsid w:val="00C21525"/>
    <w:rsid w:val="00C21BEF"/>
    <w:rsid w:val="00C22277"/>
    <w:rsid w:val="00C22323"/>
    <w:rsid w:val="00C227D4"/>
    <w:rsid w:val="00C22DD2"/>
    <w:rsid w:val="00C233CD"/>
    <w:rsid w:val="00C23A93"/>
    <w:rsid w:val="00C241D0"/>
    <w:rsid w:val="00C25436"/>
    <w:rsid w:val="00C258C1"/>
    <w:rsid w:val="00C25981"/>
    <w:rsid w:val="00C25C98"/>
    <w:rsid w:val="00C275F6"/>
    <w:rsid w:val="00C2798A"/>
    <w:rsid w:val="00C27EA8"/>
    <w:rsid w:val="00C27F2B"/>
    <w:rsid w:val="00C303FB"/>
    <w:rsid w:val="00C312A0"/>
    <w:rsid w:val="00C32197"/>
    <w:rsid w:val="00C3268E"/>
    <w:rsid w:val="00C32F6E"/>
    <w:rsid w:val="00C333C1"/>
    <w:rsid w:val="00C356CA"/>
    <w:rsid w:val="00C35922"/>
    <w:rsid w:val="00C35B62"/>
    <w:rsid w:val="00C367A3"/>
    <w:rsid w:val="00C369B4"/>
    <w:rsid w:val="00C3700B"/>
    <w:rsid w:val="00C3726D"/>
    <w:rsid w:val="00C374DD"/>
    <w:rsid w:val="00C401F5"/>
    <w:rsid w:val="00C402F2"/>
    <w:rsid w:val="00C406B1"/>
    <w:rsid w:val="00C40C17"/>
    <w:rsid w:val="00C40F10"/>
    <w:rsid w:val="00C41889"/>
    <w:rsid w:val="00C419F9"/>
    <w:rsid w:val="00C41D3E"/>
    <w:rsid w:val="00C41D5D"/>
    <w:rsid w:val="00C4212F"/>
    <w:rsid w:val="00C42304"/>
    <w:rsid w:val="00C42E33"/>
    <w:rsid w:val="00C4315A"/>
    <w:rsid w:val="00C43778"/>
    <w:rsid w:val="00C4383E"/>
    <w:rsid w:val="00C43849"/>
    <w:rsid w:val="00C43AC6"/>
    <w:rsid w:val="00C44DD4"/>
    <w:rsid w:val="00C44DDE"/>
    <w:rsid w:val="00C44FAC"/>
    <w:rsid w:val="00C45CED"/>
    <w:rsid w:val="00C461C0"/>
    <w:rsid w:val="00C4725E"/>
    <w:rsid w:val="00C47699"/>
    <w:rsid w:val="00C504A7"/>
    <w:rsid w:val="00C507D9"/>
    <w:rsid w:val="00C51229"/>
    <w:rsid w:val="00C51AAF"/>
    <w:rsid w:val="00C52934"/>
    <w:rsid w:val="00C52F57"/>
    <w:rsid w:val="00C52F85"/>
    <w:rsid w:val="00C539D8"/>
    <w:rsid w:val="00C53DA7"/>
    <w:rsid w:val="00C53EF0"/>
    <w:rsid w:val="00C544CA"/>
    <w:rsid w:val="00C55D3D"/>
    <w:rsid w:val="00C55E9C"/>
    <w:rsid w:val="00C57503"/>
    <w:rsid w:val="00C57B32"/>
    <w:rsid w:val="00C6073C"/>
    <w:rsid w:val="00C60925"/>
    <w:rsid w:val="00C62617"/>
    <w:rsid w:val="00C6330B"/>
    <w:rsid w:val="00C633F5"/>
    <w:rsid w:val="00C63AF2"/>
    <w:rsid w:val="00C64E36"/>
    <w:rsid w:val="00C655A0"/>
    <w:rsid w:val="00C660B3"/>
    <w:rsid w:val="00C6631A"/>
    <w:rsid w:val="00C66322"/>
    <w:rsid w:val="00C6654B"/>
    <w:rsid w:val="00C66680"/>
    <w:rsid w:val="00C670E1"/>
    <w:rsid w:val="00C67DA0"/>
    <w:rsid w:val="00C67E3F"/>
    <w:rsid w:val="00C70102"/>
    <w:rsid w:val="00C70A86"/>
    <w:rsid w:val="00C70BF9"/>
    <w:rsid w:val="00C70E04"/>
    <w:rsid w:val="00C710CB"/>
    <w:rsid w:val="00C71398"/>
    <w:rsid w:val="00C716C0"/>
    <w:rsid w:val="00C71DC0"/>
    <w:rsid w:val="00C721CA"/>
    <w:rsid w:val="00C72792"/>
    <w:rsid w:val="00C72D08"/>
    <w:rsid w:val="00C73D0D"/>
    <w:rsid w:val="00C73E13"/>
    <w:rsid w:val="00C743BF"/>
    <w:rsid w:val="00C74705"/>
    <w:rsid w:val="00C747F2"/>
    <w:rsid w:val="00C74CA0"/>
    <w:rsid w:val="00C74E79"/>
    <w:rsid w:val="00C75000"/>
    <w:rsid w:val="00C75234"/>
    <w:rsid w:val="00C75970"/>
    <w:rsid w:val="00C76BF8"/>
    <w:rsid w:val="00C76E8E"/>
    <w:rsid w:val="00C805AE"/>
    <w:rsid w:val="00C81179"/>
    <w:rsid w:val="00C81392"/>
    <w:rsid w:val="00C8289B"/>
    <w:rsid w:val="00C82A65"/>
    <w:rsid w:val="00C82A8A"/>
    <w:rsid w:val="00C82FE6"/>
    <w:rsid w:val="00C832A1"/>
    <w:rsid w:val="00C834CD"/>
    <w:rsid w:val="00C8374C"/>
    <w:rsid w:val="00C837DE"/>
    <w:rsid w:val="00C8453E"/>
    <w:rsid w:val="00C84664"/>
    <w:rsid w:val="00C848D2"/>
    <w:rsid w:val="00C85371"/>
    <w:rsid w:val="00C85619"/>
    <w:rsid w:val="00C85C8A"/>
    <w:rsid w:val="00C85D81"/>
    <w:rsid w:val="00C86271"/>
    <w:rsid w:val="00C8659F"/>
    <w:rsid w:val="00C8767F"/>
    <w:rsid w:val="00C87D94"/>
    <w:rsid w:val="00C9044A"/>
    <w:rsid w:val="00C90698"/>
    <w:rsid w:val="00C911CF"/>
    <w:rsid w:val="00C92707"/>
    <w:rsid w:val="00C93B19"/>
    <w:rsid w:val="00C93C71"/>
    <w:rsid w:val="00C946E0"/>
    <w:rsid w:val="00C95001"/>
    <w:rsid w:val="00C951B2"/>
    <w:rsid w:val="00C9536F"/>
    <w:rsid w:val="00C953FB"/>
    <w:rsid w:val="00C95E1F"/>
    <w:rsid w:val="00C9603E"/>
    <w:rsid w:val="00C9631B"/>
    <w:rsid w:val="00C967BD"/>
    <w:rsid w:val="00C96EAF"/>
    <w:rsid w:val="00C97458"/>
    <w:rsid w:val="00C97618"/>
    <w:rsid w:val="00C97DA0"/>
    <w:rsid w:val="00CA05BD"/>
    <w:rsid w:val="00CA07AC"/>
    <w:rsid w:val="00CA0C00"/>
    <w:rsid w:val="00CA1371"/>
    <w:rsid w:val="00CA228F"/>
    <w:rsid w:val="00CA24A0"/>
    <w:rsid w:val="00CA2953"/>
    <w:rsid w:val="00CA2AAB"/>
    <w:rsid w:val="00CA3D64"/>
    <w:rsid w:val="00CA3DB6"/>
    <w:rsid w:val="00CA507C"/>
    <w:rsid w:val="00CA5E3D"/>
    <w:rsid w:val="00CA5E72"/>
    <w:rsid w:val="00CA6D2C"/>
    <w:rsid w:val="00CA7471"/>
    <w:rsid w:val="00CA78AC"/>
    <w:rsid w:val="00CB04E8"/>
    <w:rsid w:val="00CB087F"/>
    <w:rsid w:val="00CB0D1F"/>
    <w:rsid w:val="00CB10FB"/>
    <w:rsid w:val="00CB1AE1"/>
    <w:rsid w:val="00CB1C8F"/>
    <w:rsid w:val="00CB280B"/>
    <w:rsid w:val="00CB2BEA"/>
    <w:rsid w:val="00CB3F68"/>
    <w:rsid w:val="00CB4011"/>
    <w:rsid w:val="00CB41AF"/>
    <w:rsid w:val="00CB4282"/>
    <w:rsid w:val="00CB42AB"/>
    <w:rsid w:val="00CB4A0C"/>
    <w:rsid w:val="00CB4EF3"/>
    <w:rsid w:val="00CB4F18"/>
    <w:rsid w:val="00CB4F74"/>
    <w:rsid w:val="00CB6169"/>
    <w:rsid w:val="00CB65EC"/>
    <w:rsid w:val="00CB66BB"/>
    <w:rsid w:val="00CB694D"/>
    <w:rsid w:val="00CB6CEA"/>
    <w:rsid w:val="00CB72C7"/>
    <w:rsid w:val="00CB7944"/>
    <w:rsid w:val="00CB7E0A"/>
    <w:rsid w:val="00CC05FA"/>
    <w:rsid w:val="00CC0625"/>
    <w:rsid w:val="00CC11D3"/>
    <w:rsid w:val="00CC1E83"/>
    <w:rsid w:val="00CC3149"/>
    <w:rsid w:val="00CC314B"/>
    <w:rsid w:val="00CC424B"/>
    <w:rsid w:val="00CC4320"/>
    <w:rsid w:val="00CC4C7A"/>
    <w:rsid w:val="00CC52E1"/>
    <w:rsid w:val="00CC598F"/>
    <w:rsid w:val="00CC5C41"/>
    <w:rsid w:val="00CC5FCF"/>
    <w:rsid w:val="00CC669F"/>
    <w:rsid w:val="00CC756F"/>
    <w:rsid w:val="00CC7827"/>
    <w:rsid w:val="00CD0118"/>
    <w:rsid w:val="00CD0696"/>
    <w:rsid w:val="00CD1058"/>
    <w:rsid w:val="00CD10C3"/>
    <w:rsid w:val="00CD1E35"/>
    <w:rsid w:val="00CD2D22"/>
    <w:rsid w:val="00CD3711"/>
    <w:rsid w:val="00CD3761"/>
    <w:rsid w:val="00CD3F6F"/>
    <w:rsid w:val="00CD4828"/>
    <w:rsid w:val="00CD4936"/>
    <w:rsid w:val="00CD4C2A"/>
    <w:rsid w:val="00CD4F87"/>
    <w:rsid w:val="00CD511B"/>
    <w:rsid w:val="00CD5E1D"/>
    <w:rsid w:val="00CD6E61"/>
    <w:rsid w:val="00CD7997"/>
    <w:rsid w:val="00CD7BF7"/>
    <w:rsid w:val="00CD7E49"/>
    <w:rsid w:val="00CE06AF"/>
    <w:rsid w:val="00CE1250"/>
    <w:rsid w:val="00CE1B21"/>
    <w:rsid w:val="00CE20CD"/>
    <w:rsid w:val="00CE24DE"/>
    <w:rsid w:val="00CE45E7"/>
    <w:rsid w:val="00CE48DD"/>
    <w:rsid w:val="00CE54F9"/>
    <w:rsid w:val="00CE5750"/>
    <w:rsid w:val="00CE5876"/>
    <w:rsid w:val="00CE699F"/>
    <w:rsid w:val="00CE69BB"/>
    <w:rsid w:val="00CE7063"/>
    <w:rsid w:val="00CE7D86"/>
    <w:rsid w:val="00CF055F"/>
    <w:rsid w:val="00CF089B"/>
    <w:rsid w:val="00CF0A7F"/>
    <w:rsid w:val="00CF0DA6"/>
    <w:rsid w:val="00CF10F9"/>
    <w:rsid w:val="00CF15D6"/>
    <w:rsid w:val="00CF2D00"/>
    <w:rsid w:val="00CF31B9"/>
    <w:rsid w:val="00CF32D9"/>
    <w:rsid w:val="00CF3776"/>
    <w:rsid w:val="00CF39AC"/>
    <w:rsid w:val="00CF3B20"/>
    <w:rsid w:val="00CF4353"/>
    <w:rsid w:val="00CF48BA"/>
    <w:rsid w:val="00CF573F"/>
    <w:rsid w:val="00CF597A"/>
    <w:rsid w:val="00CF65DC"/>
    <w:rsid w:val="00CF687F"/>
    <w:rsid w:val="00CF69A3"/>
    <w:rsid w:val="00CF6B50"/>
    <w:rsid w:val="00CF6FF7"/>
    <w:rsid w:val="00CF7901"/>
    <w:rsid w:val="00CF7ACC"/>
    <w:rsid w:val="00D003AC"/>
    <w:rsid w:val="00D00460"/>
    <w:rsid w:val="00D00490"/>
    <w:rsid w:val="00D00719"/>
    <w:rsid w:val="00D00909"/>
    <w:rsid w:val="00D01CC7"/>
    <w:rsid w:val="00D022C6"/>
    <w:rsid w:val="00D0296B"/>
    <w:rsid w:val="00D02EC7"/>
    <w:rsid w:val="00D03D42"/>
    <w:rsid w:val="00D04377"/>
    <w:rsid w:val="00D04591"/>
    <w:rsid w:val="00D0478C"/>
    <w:rsid w:val="00D053BD"/>
    <w:rsid w:val="00D05D49"/>
    <w:rsid w:val="00D0607D"/>
    <w:rsid w:val="00D06233"/>
    <w:rsid w:val="00D06482"/>
    <w:rsid w:val="00D06A54"/>
    <w:rsid w:val="00D06D77"/>
    <w:rsid w:val="00D070FA"/>
    <w:rsid w:val="00D07283"/>
    <w:rsid w:val="00D1021D"/>
    <w:rsid w:val="00D10E38"/>
    <w:rsid w:val="00D1196C"/>
    <w:rsid w:val="00D11DF5"/>
    <w:rsid w:val="00D11F56"/>
    <w:rsid w:val="00D1205C"/>
    <w:rsid w:val="00D124D5"/>
    <w:rsid w:val="00D12966"/>
    <w:rsid w:val="00D12C3C"/>
    <w:rsid w:val="00D12D0B"/>
    <w:rsid w:val="00D12FB9"/>
    <w:rsid w:val="00D131B9"/>
    <w:rsid w:val="00D1496D"/>
    <w:rsid w:val="00D14990"/>
    <w:rsid w:val="00D14A20"/>
    <w:rsid w:val="00D15346"/>
    <w:rsid w:val="00D156D3"/>
    <w:rsid w:val="00D1593B"/>
    <w:rsid w:val="00D1690A"/>
    <w:rsid w:val="00D17569"/>
    <w:rsid w:val="00D1768A"/>
    <w:rsid w:val="00D17AE3"/>
    <w:rsid w:val="00D2063C"/>
    <w:rsid w:val="00D208D5"/>
    <w:rsid w:val="00D20B95"/>
    <w:rsid w:val="00D20F50"/>
    <w:rsid w:val="00D21920"/>
    <w:rsid w:val="00D225DB"/>
    <w:rsid w:val="00D236D5"/>
    <w:rsid w:val="00D23BFB"/>
    <w:rsid w:val="00D24259"/>
    <w:rsid w:val="00D24E53"/>
    <w:rsid w:val="00D25702"/>
    <w:rsid w:val="00D258FC"/>
    <w:rsid w:val="00D25FBC"/>
    <w:rsid w:val="00D26184"/>
    <w:rsid w:val="00D2645F"/>
    <w:rsid w:val="00D266EF"/>
    <w:rsid w:val="00D26781"/>
    <w:rsid w:val="00D268AA"/>
    <w:rsid w:val="00D272A2"/>
    <w:rsid w:val="00D2733B"/>
    <w:rsid w:val="00D273E2"/>
    <w:rsid w:val="00D2799E"/>
    <w:rsid w:val="00D3029F"/>
    <w:rsid w:val="00D308CD"/>
    <w:rsid w:val="00D309F9"/>
    <w:rsid w:val="00D31844"/>
    <w:rsid w:val="00D31A48"/>
    <w:rsid w:val="00D31B70"/>
    <w:rsid w:val="00D32017"/>
    <w:rsid w:val="00D32D19"/>
    <w:rsid w:val="00D337AE"/>
    <w:rsid w:val="00D3380F"/>
    <w:rsid w:val="00D33D9B"/>
    <w:rsid w:val="00D33EA9"/>
    <w:rsid w:val="00D34493"/>
    <w:rsid w:val="00D345F1"/>
    <w:rsid w:val="00D34964"/>
    <w:rsid w:val="00D34E5F"/>
    <w:rsid w:val="00D3516B"/>
    <w:rsid w:val="00D35CFA"/>
    <w:rsid w:val="00D36ADC"/>
    <w:rsid w:val="00D36C5E"/>
    <w:rsid w:val="00D37637"/>
    <w:rsid w:val="00D4001C"/>
    <w:rsid w:val="00D40204"/>
    <w:rsid w:val="00D4042B"/>
    <w:rsid w:val="00D40AC8"/>
    <w:rsid w:val="00D40C85"/>
    <w:rsid w:val="00D416C2"/>
    <w:rsid w:val="00D41D5A"/>
    <w:rsid w:val="00D41F9C"/>
    <w:rsid w:val="00D428CE"/>
    <w:rsid w:val="00D42AAF"/>
    <w:rsid w:val="00D42D52"/>
    <w:rsid w:val="00D439A5"/>
    <w:rsid w:val="00D4462C"/>
    <w:rsid w:val="00D45712"/>
    <w:rsid w:val="00D45D20"/>
    <w:rsid w:val="00D45D8C"/>
    <w:rsid w:val="00D45FF5"/>
    <w:rsid w:val="00D460E1"/>
    <w:rsid w:val="00D472C5"/>
    <w:rsid w:val="00D478EB"/>
    <w:rsid w:val="00D47CDD"/>
    <w:rsid w:val="00D5017A"/>
    <w:rsid w:val="00D50487"/>
    <w:rsid w:val="00D50EDF"/>
    <w:rsid w:val="00D512C5"/>
    <w:rsid w:val="00D516A3"/>
    <w:rsid w:val="00D517A9"/>
    <w:rsid w:val="00D518E6"/>
    <w:rsid w:val="00D51E5C"/>
    <w:rsid w:val="00D51F86"/>
    <w:rsid w:val="00D5274F"/>
    <w:rsid w:val="00D533DB"/>
    <w:rsid w:val="00D535C5"/>
    <w:rsid w:val="00D53750"/>
    <w:rsid w:val="00D53BF7"/>
    <w:rsid w:val="00D53DFF"/>
    <w:rsid w:val="00D5422E"/>
    <w:rsid w:val="00D54918"/>
    <w:rsid w:val="00D55011"/>
    <w:rsid w:val="00D55674"/>
    <w:rsid w:val="00D55E87"/>
    <w:rsid w:val="00D5665B"/>
    <w:rsid w:val="00D568E5"/>
    <w:rsid w:val="00D57390"/>
    <w:rsid w:val="00D578E0"/>
    <w:rsid w:val="00D57D1A"/>
    <w:rsid w:val="00D60707"/>
    <w:rsid w:val="00D61295"/>
    <w:rsid w:val="00D62259"/>
    <w:rsid w:val="00D62386"/>
    <w:rsid w:val="00D62B7D"/>
    <w:rsid w:val="00D62D04"/>
    <w:rsid w:val="00D63339"/>
    <w:rsid w:val="00D63AE8"/>
    <w:rsid w:val="00D642C1"/>
    <w:rsid w:val="00D644B1"/>
    <w:rsid w:val="00D645FF"/>
    <w:rsid w:val="00D64F0D"/>
    <w:rsid w:val="00D652C3"/>
    <w:rsid w:val="00D6536F"/>
    <w:rsid w:val="00D6639F"/>
    <w:rsid w:val="00D67922"/>
    <w:rsid w:val="00D67BBA"/>
    <w:rsid w:val="00D701FB"/>
    <w:rsid w:val="00D70674"/>
    <w:rsid w:val="00D70EA5"/>
    <w:rsid w:val="00D710D3"/>
    <w:rsid w:val="00D72B19"/>
    <w:rsid w:val="00D72CAB"/>
    <w:rsid w:val="00D7309F"/>
    <w:rsid w:val="00D73653"/>
    <w:rsid w:val="00D73868"/>
    <w:rsid w:val="00D73ACC"/>
    <w:rsid w:val="00D73B2F"/>
    <w:rsid w:val="00D74446"/>
    <w:rsid w:val="00D746BB"/>
    <w:rsid w:val="00D74F40"/>
    <w:rsid w:val="00D754AA"/>
    <w:rsid w:val="00D75E02"/>
    <w:rsid w:val="00D75F4B"/>
    <w:rsid w:val="00D76170"/>
    <w:rsid w:val="00D76312"/>
    <w:rsid w:val="00D7729D"/>
    <w:rsid w:val="00D778D7"/>
    <w:rsid w:val="00D77ABF"/>
    <w:rsid w:val="00D77B56"/>
    <w:rsid w:val="00D77D9D"/>
    <w:rsid w:val="00D77FC5"/>
    <w:rsid w:val="00D8029C"/>
    <w:rsid w:val="00D80BEC"/>
    <w:rsid w:val="00D81DBC"/>
    <w:rsid w:val="00D826C9"/>
    <w:rsid w:val="00D82B40"/>
    <w:rsid w:val="00D82CE0"/>
    <w:rsid w:val="00D82FD2"/>
    <w:rsid w:val="00D83C94"/>
    <w:rsid w:val="00D84670"/>
    <w:rsid w:val="00D84B67"/>
    <w:rsid w:val="00D85364"/>
    <w:rsid w:val="00D85FB4"/>
    <w:rsid w:val="00D86C51"/>
    <w:rsid w:val="00D86F31"/>
    <w:rsid w:val="00D8711D"/>
    <w:rsid w:val="00D8782B"/>
    <w:rsid w:val="00D87D87"/>
    <w:rsid w:val="00D90254"/>
    <w:rsid w:val="00D905D5"/>
    <w:rsid w:val="00D91A16"/>
    <w:rsid w:val="00D9264A"/>
    <w:rsid w:val="00D929C2"/>
    <w:rsid w:val="00D92A39"/>
    <w:rsid w:val="00D92DF2"/>
    <w:rsid w:val="00D92E8A"/>
    <w:rsid w:val="00D93AFE"/>
    <w:rsid w:val="00D940A8"/>
    <w:rsid w:val="00D941E5"/>
    <w:rsid w:val="00D94BB2"/>
    <w:rsid w:val="00D953DA"/>
    <w:rsid w:val="00D964EF"/>
    <w:rsid w:val="00D9751F"/>
    <w:rsid w:val="00D979C0"/>
    <w:rsid w:val="00DA008B"/>
    <w:rsid w:val="00DA0AD5"/>
    <w:rsid w:val="00DA164A"/>
    <w:rsid w:val="00DA1BB3"/>
    <w:rsid w:val="00DA1E25"/>
    <w:rsid w:val="00DA2378"/>
    <w:rsid w:val="00DA30D7"/>
    <w:rsid w:val="00DA31C1"/>
    <w:rsid w:val="00DA3633"/>
    <w:rsid w:val="00DA39FA"/>
    <w:rsid w:val="00DA3EEF"/>
    <w:rsid w:val="00DA474F"/>
    <w:rsid w:val="00DA49FE"/>
    <w:rsid w:val="00DA4A58"/>
    <w:rsid w:val="00DA5F6A"/>
    <w:rsid w:val="00DA75C9"/>
    <w:rsid w:val="00DA7F5E"/>
    <w:rsid w:val="00DB0182"/>
    <w:rsid w:val="00DB058F"/>
    <w:rsid w:val="00DB07E8"/>
    <w:rsid w:val="00DB1761"/>
    <w:rsid w:val="00DB20A5"/>
    <w:rsid w:val="00DB21CA"/>
    <w:rsid w:val="00DB289F"/>
    <w:rsid w:val="00DB3834"/>
    <w:rsid w:val="00DB3A0F"/>
    <w:rsid w:val="00DB3CC3"/>
    <w:rsid w:val="00DB41A8"/>
    <w:rsid w:val="00DB4613"/>
    <w:rsid w:val="00DB49A7"/>
    <w:rsid w:val="00DB4E6A"/>
    <w:rsid w:val="00DB514A"/>
    <w:rsid w:val="00DB5F06"/>
    <w:rsid w:val="00DB5FD6"/>
    <w:rsid w:val="00DB6475"/>
    <w:rsid w:val="00DB6965"/>
    <w:rsid w:val="00DB6DBD"/>
    <w:rsid w:val="00DB7032"/>
    <w:rsid w:val="00DB7AF8"/>
    <w:rsid w:val="00DC04C0"/>
    <w:rsid w:val="00DC07F8"/>
    <w:rsid w:val="00DC08B9"/>
    <w:rsid w:val="00DC0E2C"/>
    <w:rsid w:val="00DC1262"/>
    <w:rsid w:val="00DC1E81"/>
    <w:rsid w:val="00DC3F97"/>
    <w:rsid w:val="00DC418E"/>
    <w:rsid w:val="00DC4F54"/>
    <w:rsid w:val="00DC5BE4"/>
    <w:rsid w:val="00DC64DE"/>
    <w:rsid w:val="00DC6575"/>
    <w:rsid w:val="00DC6989"/>
    <w:rsid w:val="00DC6D9E"/>
    <w:rsid w:val="00DC709E"/>
    <w:rsid w:val="00DC7929"/>
    <w:rsid w:val="00DD105C"/>
    <w:rsid w:val="00DD11FB"/>
    <w:rsid w:val="00DD1CBC"/>
    <w:rsid w:val="00DD202F"/>
    <w:rsid w:val="00DD28E9"/>
    <w:rsid w:val="00DD29FB"/>
    <w:rsid w:val="00DD2C9C"/>
    <w:rsid w:val="00DD34D0"/>
    <w:rsid w:val="00DD3C87"/>
    <w:rsid w:val="00DD3E68"/>
    <w:rsid w:val="00DD4337"/>
    <w:rsid w:val="00DD4CFA"/>
    <w:rsid w:val="00DD5DC0"/>
    <w:rsid w:val="00DD6416"/>
    <w:rsid w:val="00DD6AFC"/>
    <w:rsid w:val="00DD7061"/>
    <w:rsid w:val="00DD7B6A"/>
    <w:rsid w:val="00DE02D9"/>
    <w:rsid w:val="00DE0396"/>
    <w:rsid w:val="00DE0E40"/>
    <w:rsid w:val="00DE1658"/>
    <w:rsid w:val="00DE29B0"/>
    <w:rsid w:val="00DE2A13"/>
    <w:rsid w:val="00DE32DF"/>
    <w:rsid w:val="00DE33E1"/>
    <w:rsid w:val="00DE376D"/>
    <w:rsid w:val="00DE3BEA"/>
    <w:rsid w:val="00DE41C7"/>
    <w:rsid w:val="00DE4CFF"/>
    <w:rsid w:val="00DE4F97"/>
    <w:rsid w:val="00DE549F"/>
    <w:rsid w:val="00DE5C35"/>
    <w:rsid w:val="00DE5FA1"/>
    <w:rsid w:val="00DE6E1F"/>
    <w:rsid w:val="00DE798D"/>
    <w:rsid w:val="00DE7C20"/>
    <w:rsid w:val="00DE7DDE"/>
    <w:rsid w:val="00DF0351"/>
    <w:rsid w:val="00DF0ECC"/>
    <w:rsid w:val="00DF12D1"/>
    <w:rsid w:val="00DF1DE2"/>
    <w:rsid w:val="00DF1E61"/>
    <w:rsid w:val="00DF23A0"/>
    <w:rsid w:val="00DF2B55"/>
    <w:rsid w:val="00DF353F"/>
    <w:rsid w:val="00DF3A2B"/>
    <w:rsid w:val="00DF3EA3"/>
    <w:rsid w:val="00DF4F73"/>
    <w:rsid w:val="00DF520F"/>
    <w:rsid w:val="00DF5723"/>
    <w:rsid w:val="00DF5F0E"/>
    <w:rsid w:val="00DF61C3"/>
    <w:rsid w:val="00DF6537"/>
    <w:rsid w:val="00DF76C7"/>
    <w:rsid w:val="00DF79C5"/>
    <w:rsid w:val="00DF7CB0"/>
    <w:rsid w:val="00E00D65"/>
    <w:rsid w:val="00E0267B"/>
    <w:rsid w:val="00E0312F"/>
    <w:rsid w:val="00E03142"/>
    <w:rsid w:val="00E03CF8"/>
    <w:rsid w:val="00E03E72"/>
    <w:rsid w:val="00E04E3B"/>
    <w:rsid w:val="00E0549E"/>
    <w:rsid w:val="00E05753"/>
    <w:rsid w:val="00E05761"/>
    <w:rsid w:val="00E0669A"/>
    <w:rsid w:val="00E06843"/>
    <w:rsid w:val="00E069C4"/>
    <w:rsid w:val="00E06AFA"/>
    <w:rsid w:val="00E074A5"/>
    <w:rsid w:val="00E077D9"/>
    <w:rsid w:val="00E078B1"/>
    <w:rsid w:val="00E0793E"/>
    <w:rsid w:val="00E07D5E"/>
    <w:rsid w:val="00E1026E"/>
    <w:rsid w:val="00E103D1"/>
    <w:rsid w:val="00E103DC"/>
    <w:rsid w:val="00E10B32"/>
    <w:rsid w:val="00E10D7E"/>
    <w:rsid w:val="00E10DF2"/>
    <w:rsid w:val="00E11751"/>
    <w:rsid w:val="00E11AB7"/>
    <w:rsid w:val="00E12658"/>
    <w:rsid w:val="00E1312E"/>
    <w:rsid w:val="00E135C0"/>
    <w:rsid w:val="00E13DFE"/>
    <w:rsid w:val="00E145AF"/>
    <w:rsid w:val="00E14943"/>
    <w:rsid w:val="00E16A8D"/>
    <w:rsid w:val="00E17949"/>
    <w:rsid w:val="00E17BB3"/>
    <w:rsid w:val="00E17F64"/>
    <w:rsid w:val="00E20295"/>
    <w:rsid w:val="00E20422"/>
    <w:rsid w:val="00E20779"/>
    <w:rsid w:val="00E20BED"/>
    <w:rsid w:val="00E20D68"/>
    <w:rsid w:val="00E20F15"/>
    <w:rsid w:val="00E2199B"/>
    <w:rsid w:val="00E2376E"/>
    <w:rsid w:val="00E238C6"/>
    <w:rsid w:val="00E23B94"/>
    <w:rsid w:val="00E24C5F"/>
    <w:rsid w:val="00E25A8A"/>
    <w:rsid w:val="00E27005"/>
    <w:rsid w:val="00E27148"/>
    <w:rsid w:val="00E27AB5"/>
    <w:rsid w:val="00E27E3A"/>
    <w:rsid w:val="00E3009C"/>
    <w:rsid w:val="00E30434"/>
    <w:rsid w:val="00E30BEE"/>
    <w:rsid w:val="00E30F26"/>
    <w:rsid w:val="00E316C5"/>
    <w:rsid w:val="00E32618"/>
    <w:rsid w:val="00E32FED"/>
    <w:rsid w:val="00E3300F"/>
    <w:rsid w:val="00E337AE"/>
    <w:rsid w:val="00E342BF"/>
    <w:rsid w:val="00E3496F"/>
    <w:rsid w:val="00E34AC8"/>
    <w:rsid w:val="00E34B60"/>
    <w:rsid w:val="00E35007"/>
    <w:rsid w:val="00E351F1"/>
    <w:rsid w:val="00E3532F"/>
    <w:rsid w:val="00E35E5A"/>
    <w:rsid w:val="00E36BA4"/>
    <w:rsid w:val="00E36C72"/>
    <w:rsid w:val="00E36CFF"/>
    <w:rsid w:val="00E373D3"/>
    <w:rsid w:val="00E378E7"/>
    <w:rsid w:val="00E404E0"/>
    <w:rsid w:val="00E406F6"/>
    <w:rsid w:val="00E40EF8"/>
    <w:rsid w:val="00E4163A"/>
    <w:rsid w:val="00E41F77"/>
    <w:rsid w:val="00E41F81"/>
    <w:rsid w:val="00E423C7"/>
    <w:rsid w:val="00E4267C"/>
    <w:rsid w:val="00E438CA"/>
    <w:rsid w:val="00E43D61"/>
    <w:rsid w:val="00E44B4D"/>
    <w:rsid w:val="00E44DF1"/>
    <w:rsid w:val="00E45AF3"/>
    <w:rsid w:val="00E45B70"/>
    <w:rsid w:val="00E45F0B"/>
    <w:rsid w:val="00E467AB"/>
    <w:rsid w:val="00E46DF1"/>
    <w:rsid w:val="00E47D93"/>
    <w:rsid w:val="00E47E8F"/>
    <w:rsid w:val="00E50193"/>
    <w:rsid w:val="00E509CE"/>
    <w:rsid w:val="00E51DAD"/>
    <w:rsid w:val="00E51FAB"/>
    <w:rsid w:val="00E523FE"/>
    <w:rsid w:val="00E52457"/>
    <w:rsid w:val="00E5261F"/>
    <w:rsid w:val="00E52B76"/>
    <w:rsid w:val="00E53042"/>
    <w:rsid w:val="00E5323B"/>
    <w:rsid w:val="00E5392D"/>
    <w:rsid w:val="00E54051"/>
    <w:rsid w:val="00E54058"/>
    <w:rsid w:val="00E5440E"/>
    <w:rsid w:val="00E55D09"/>
    <w:rsid w:val="00E55E16"/>
    <w:rsid w:val="00E562AA"/>
    <w:rsid w:val="00E56488"/>
    <w:rsid w:val="00E56D63"/>
    <w:rsid w:val="00E57A23"/>
    <w:rsid w:val="00E57A9A"/>
    <w:rsid w:val="00E57F1B"/>
    <w:rsid w:val="00E615E5"/>
    <w:rsid w:val="00E618B8"/>
    <w:rsid w:val="00E619BC"/>
    <w:rsid w:val="00E61FE5"/>
    <w:rsid w:val="00E62922"/>
    <w:rsid w:val="00E62B67"/>
    <w:rsid w:val="00E63340"/>
    <w:rsid w:val="00E633F7"/>
    <w:rsid w:val="00E6460F"/>
    <w:rsid w:val="00E646AD"/>
    <w:rsid w:val="00E6481B"/>
    <w:rsid w:val="00E657CB"/>
    <w:rsid w:val="00E661A8"/>
    <w:rsid w:val="00E66247"/>
    <w:rsid w:val="00E6646B"/>
    <w:rsid w:val="00E668A7"/>
    <w:rsid w:val="00E67C3F"/>
    <w:rsid w:val="00E67CBB"/>
    <w:rsid w:val="00E67CD1"/>
    <w:rsid w:val="00E70641"/>
    <w:rsid w:val="00E711E1"/>
    <w:rsid w:val="00E712BC"/>
    <w:rsid w:val="00E71445"/>
    <w:rsid w:val="00E7152F"/>
    <w:rsid w:val="00E71FB8"/>
    <w:rsid w:val="00E72108"/>
    <w:rsid w:val="00E7228F"/>
    <w:rsid w:val="00E73F3D"/>
    <w:rsid w:val="00E74310"/>
    <w:rsid w:val="00E74A6C"/>
    <w:rsid w:val="00E7517B"/>
    <w:rsid w:val="00E755AB"/>
    <w:rsid w:val="00E75EBA"/>
    <w:rsid w:val="00E76120"/>
    <w:rsid w:val="00E76428"/>
    <w:rsid w:val="00E76CA1"/>
    <w:rsid w:val="00E76E43"/>
    <w:rsid w:val="00E76E61"/>
    <w:rsid w:val="00E77A04"/>
    <w:rsid w:val="00E804CC"/>
    <w:rsid w:val="00E81AB4"/>
    <w:rsid w:val="00E81BBD"/>
    <w:rsid w:val="00E81E3F"/>
    <w:rsid w:val="00E82119"/>
    <w:rsid w:val="00E8222D"/>
    <w:rsid w:val="00E8378C"/>
    <w:rsid w:val="00E83A2C"/>
    <w:rsid w:val="00E8415A"/>
    <w:rsid w:val="00E84653"/>
    <w:rsid w:val="00E84AC0"/>
    <w:rsid w:val="00E84AE4"/>
    <w:rsid w:val="00E851B6"/>
    <w:rsid w:val="00E86B11"/>
    <w:rsid w:val="00E86E34"/>
    <w:rsid w:val="00E87372"/>
    <w:rsid w:val="00E90322"/>
    <w:rsid w:val="00E90721"/>
    <w:rsid w:val="00E907C0"/>
    <w:rsid w:val="00E9086B"/>
    <w:rsid w:val="00E90A1C"/>
    <w:rsid w:val="00E90FC0"/>
    <w:rsid w:val="00E914D3"/>
    <w:rsid w:val="00E9237A"/>
    <w:rsid w:val="00E94C1D"/>
    <w:rsid w:val="00E94E20"/>
    <w:rsid w:val="00E94E2C"/>
    <w:rsid w:val="00E95F7F"/>
    <w:rsid w:val="00E96377"/>
    <w:rsid w:val="00E97925"/>
    <w:rsid w:val="00EA095A"/>
    <w:rsid w:val="00EA09D3"/>
    <w:rsid w:val="00EA0C0F"/>
    <w:rsid w:val="00EA1184"/>
    <w:rsid w:val="00EA1EAB"/>
    <w:rsid w:val="00EA2738"/>
    <w:rsid w:val="00EA2871"/>
    <w:rsid w:val="00EA31A4"/>
    <w:rsid w:val="00EA34B0"/>
    <w:rsid w:val="00EA3B5A"/>
    <w:rsid w:val="00EA3BA5"/>
    <w:rsid w:val="00EA3C7D"/>
    <w:rsid w:val="00EA431E"/>
    <w:rsid w:val="00EA4468"/>
    <w:rsid w:val="00EA577A"/>
    <w:rsid w:val="00EA5841"/>
    <w:rsid w:val="00EA7FA1"/>
    <w:rsid w:val="00EB0089"/>
    <w:rsid w:val="00EB0BC1"/>
    <w:rsid w:val="00EB2AC3"/>
    <w:rsid w:val="00EB2CEA"/>
    <w:rsid w:val="00EB324E"/>
    <w:rsid w:val="00EB3828"/>
    <w:rsid w:val="00EB3B6C"/>
    <w:rsid w:val="00EB449A"/>
    <w:rsid w:val="00EB481D"/>
    <w:rsid w:val="00EB4B57"/>
    <w:rsid w:val="00EB4F2C"/>
    <w:rsid w:val="00EB5438"/>
    <w:rsid w:val="00EB5A0E"/>
    <w:rsid w:val="00EB5CCA"/>
    <w:rsid w:val="00EB6148"/>
    <w:rsid w:val="00EB6CEA"/>
    <w:rsid w:val="00EB733B"/>
    <w:rsid w:val="00EB7626"/>
    <w:rsid w:val="00EB7AA3"/>
    <w:rsid w:val="00EB7BBC"/>
    <w:rsid w:val="00EB7E71"/>
    <w:rsid w:val="00EB7FE7"/>
    <w:rsid w:val="00EB7FFB"/>
    <w:rsid w:val="00EC009F"/>
    <w:rsid w:val="00EC01DF"/>
    <w:rsid w:val="00EC0265"/>
    <w:rsid w:val="00EC11F2"/>
    <w:rsid w:val="00EC2701"/>
    <w:rsid w:val="00EC35E1"/>
    <w:rsid w:val="00EC4120"/>
    <w:rsid w:val="00EC4357"/>
    <w:rsid w:val="00EC4661"/>
    <w:rsid w:val="00EC4719"/>
    <w:rsid w:val="00EC4A07"/>
    <w:rsid w:val="00EC5428"/>
    <w:rsid w:val="00EC54F7"/>
    <w:rsid w:val="00EC5D92"/>
    <w:rsid w:val="00EC69CA"/>
    <w:rsid w:val="00EC6BAC"/>
    <w:rsid w:val="00ED0715"/>
    <w:rsid w:val="00ED0D84"/>
    <w:rsid w:val="00ED0E9A"/>
    <w:rsid w:val="00ED131E"/>
    <w:rsid w:val="00ED175B"/>
    <w:rsid w:val="00ED1DB9"/>
    <w:rsid w:val="00ED2F3A"/>
    <w:rsid w:val="00ED305D"/>
    <w:rsid w:val="00ED3424"/>
    <w:rsid w:val="00ED437F"/>
    <w:rsid w:val="00ED4BF1"/>
    <w:rsid w:val="00ED58B9"/>
    <w:rsid w:val="00ED5BD0"/>
    <w:rsid w:val="00ED5EA5"/>
    <w:rsid w:val="00ED62A7"/>
    <w:rsid w:val="00ED64D2"/>
    <w:rsid w:val="00ED71E1"/>
    <w:rsid w:val="00ED7839"/>
    <w:rsid w:val="00EE00CF"/>
    <w:rsid w:val="00EE05AD"/>
    <w:rsid w:val="00EE07E1"/>
    <w:rsid w:val="00EE0A01"/>
    <w:rsid w:val="00EE105A"/>
    <w:rsid w:val="00EE190D"/>
    <w:rsid w:val="00EE242D"/>
    <w:rsid w:val="00EE34AE"/>
    <w:rsid w:val="00EE3A26"/>
    <w:rsid w:val="00EE3B80"/>
    <w:rsid w:val="00EE3CBC"/>
    <w:rsid w:val="00EE42BD"/>
    <w:rsid w:val="00EE4CDD"/>
    <w:rsid w:val="00EE4F05"/>
    <w:rsid w:val="00EE5151"/>
    <w:rsid w:val="00EE6282"/>
    <w:rsid w:val="00EE6733"/>
    <w:rsid w:val="00EE6847"/>
    <w:rsid w:val="00EE6901"/>
    <w:rsid w:val="00EE6E24"/>
    <w:rsid w:val="00EE6F54"/>
    <w:rsid w:val="00EE758B"/>
    <w:rsid w:val="00EE798A"/>
    <w:rsid w:val="00EF0961"/>
    <w:rsid w:val="00EF099C"/>
    <w:rsid w:val="00EF0D92"/>
    <w:rsid w:val="00EF0E90"/>
    <w:rsid w:val="00EF169C"/>
    <w:rsid w:val="00EF22FE"/>
    <w:rsid w:val="00EF2F31"/>
    <w:rsid w:val="00EF3B4E"/>
    <w:rsid w:val="00EF484E"/>
    <w:rsid w:val="00EF491F"/>
    <w:rsid w:val="00EF6243"/>
    <w:rsid w:val="00EF6FA1"/>
    <w:rsid w:val="00EF7794"/>
    <w:rsid w:val="00EF7D20"/>
    <w:rsid w:val="00F0030F"/>
    <w:rsid w:val="00F01619"/>
    <w:rsid w:val="00F01EF1"/>
    <w:rsid w:val="00F01F13"/>
    <w:rsid w:val="00F02070"/>
    <w:rsid w:val="00F02AE7"/>
    <w:rsid w:val="00F02E0E"/>
    <w:rsid w:val="00F02E47"/>
    <w:rsid w:val="00F03241"/>
    <w:rsid w:val="00F0331E"/>
    <w:rsid w:val="00F03C9B"/>
    <w:rsid w:val="00F04145"/>
    <w:rsid w:val="00F046F4"/>
    <w:rsid w:val="00F053BC"/>
    <w:rsid w:val="00F05813"/>
    <w:rsid w:val="00F05E71"/>
    <w:rsid w:val="00F062B6"/>
    <w:rsid w:val="00F06375"/>
    <w:rsid w:val="00F06B82"/>
    <w:rsid w:val="00F071CB"/>
    <w:rsid w:val="00F07604"/>
    <w:rsid w:val="00F07DE5"/>
    <w:rsid w:val="00F108A3"/>
    <w:rsid w:val="00F109F4"/>
    <w:rsid w:val="00F10F31"/>
    <w:rsid w:val="00F117A6"/>
    <w:rsid w:val="00F11C5C"/>
    <w:rsid w:val="00F11EBF"/>
    <w:rsid w:val="00F1226D"/>
    <w:rsid w:val="00F129CE"/>
    <w:rsid w:val="00F12C7D"/>
    <w:rsid w:val="00F13015"/>
    <w:rsid w:val="00F1312A"/>
    <w:rsid w:val="00F13232"/>
    <w:rsid w:val="00F13968"/>
    <w:rsid w:val="00F1396F"/>
    <w:rsid w:val="00F139A8"/>
    <w:rsid w:val="00F13AFC"/>
    <w:rsid w:val="00F13C46"/>
    <w:rsid w:val="00F14460"/>
    <w:rsid w:val="00F14A13"/>
    <w:rsid w:val="00F1533B"/>
    <w:rsid w:val="00F157CE"/>
    <w:rsid w:val="00F15BC6"/>
    <w:rsid w:val="00F16743"/>
    <w:rsid w:val="00F16944"/>
    <w:rsid w:val="00F17480"/>
    <w:rsid w:val="00F177DA"/>
    <w:rsid w:val="00F17944"/>
    <w:rsid w:val="00F17A08"/>
    <w:rsid w:val="00F17D50"/>
    <w:rsid w:val="00F200E5"/>
    <w:rsid w:val="00F2015D"/>
    <w:rsid w:val="00F2024A"/>
    <w:rsid w:val="00F203F4"/>
    <w:rsid w:val="00F21328"/>
    <w:rsid w:val="00F218F4"/>
    <w:rsid w:val="00F2239D"/>
    <w:rsid w:val="00F225F0"/>
    <w:rsid w:val="00F22B21"/>
    <w:rsid w:val="00F22E8E"/>
    <w:rsid w:val="00F23778"/>
    <w:rsid w:val="00F240E0"/>
    <w:rsid w:val="00F24866"/>
    <w:rsid w:val="00F24F42"/>
    <w:rsid w:val="00F25366"/>
    <w:rsid w:val="00F25608"/>
    <w:rsid w:val="00F26740"/>
    <w:rsid w:val="00F26B25"/>
    <w:rsid w:val="00F27B90"/>
    <w:rsid w:val="00F3030B"/>
    <w:rsid w:val="00F30363"/>
    <w:rsid w:val="00F30CE2"/>
    <w:rsid w:val="00F30DE9"/>
    <w:rsid w:val="00F327BD"/>
    <w:rsid w:val="00F334FF"/>
    <w:rsid w:val="00F3398F"/>
    <w:rsid w:val="00F342E9"/>
    <w:rsid w:val="00F34C52"/>
    <w:rsid w:val="00F34FDE"/>
    <w:rsid w:val="00F35225"/>
    <w:rsid w:val="00F352A8"/>
    <w:rsid w:val="00F36042"/>
    <w:rsid w:val="00F36328"/>
    <w:rsid w:val="00F366A8"/>
    <w:rsid w:val="00F367A5"/>
    <w:rsid w:val="00F4028A"/>
    <w:rsid w:val="00F402CB"/>
    <w:rsid w:val="00F40BD8"/>
    <w:rsid w:val="00F41094"/>
    <w:rsid w:val="00F41B53"/>
    <w:rsid w:val="00F41ED1"/>
    <w:rsid w:val="00F420A0"/>
    <w:rsid w:val="00F42F6F"/>
    <w:rsid w:val="00F442B4"/>
    <w:rsid w:val="00F443D9"/>
    <w:rsid w:val="00F44A52"/>
    <w:rsid w:val="00F460E1"/>
    <w:rsid w:val="00F461EC"/>
    <w:rsid w:val="00F47207"/>
    <w:rsid w:val="00F474AA"/>
    <w:rsid w:val="00F47725"/>
    <w:rsid w:val="00F47D74"/>
    <w:rsid w:val="00F50969"/>
    <w:rsid w:val="00F51170"/>
    <w:rsid w:val="00F51331"/>
    <w:rsid w:val="00F51451"/>
    <w:rsid w:val="00F514A2"/>
    <w:rsid w:val="00F5168D"/>
    <w:rsid w:val="00F5264C"/>
    <w:rsid w:val="00F52F76"/>
    <w:rsid w:val="00F52FBE"/>
    <w:rsid w:val="00F530A1"/>
    <w:rsid w:val="00F5314F"/>
    <w:rsid w:val="00F5361C"/>
    <w:rsid w:val="00F539AA"/>
    <w:rsid w:val="00F53AAF"/>
    <w:rsid w:val="00F53E1E"/>
    <w:rsid w:val="00F53ED4"/>
    <w:rsid w:val="00F54599"/>
    <w:rsid w:val="00F54805"/>
    <w:rsid w:val="00F548F2"/>
    <w:rsid w:val="00F5524C"/>
    <w:rsid w:val="00F56E9E"/>
    <w:rsid w:val="00F57174"/>
    <w:rsid w:val="00F57181"/>
    <w:rsid w:val="00F57860"/>
    <w:rsid w:val="00F606FD"/>
    <w:rsid w:val="00F624E6"/>
    <w:rsid w:val="00F6260D"/>
    <w:rsid w:val="00F6261E"/>
    <w:rsid w:val="00F62A2B"/>
    <w:rsid w:val="00F63119"/>
    <w:rsid w:val="00F638B2"/>
    <w:rsid w:val="00F63ECC"/>
    <w:rsid w:val="00F64E87"/>
    <w:rsid w:val="00F650E2"/>
    <w:rsid w:val="00F651F7"/>
    <w:rsid w:val="00F65754"/>
    <w:rsid w:val="00F65998"/>
    <w:rsid w:val="00F66D88"/>
    <w:rsid w:val="00F67622"/>
    <w:rsid w:val="00F678ED"/>
    <w:rsid w:val="00F67B1F"/>
    <w:rsid w:val="00F67DB0"/>
    <w:rsid w:val="00F67EF1"/>
    <w:rsid w:val="00F709BB"/>
    <w:rsid w:val="00F70D25"/>
    <w:rsid w:val="00F70EB5"/>
    <w:rsid w:val="00F70FFC"/>
    <w:rsid w:val="00F7114E"/>
    <w:rsid w:val="00F71A69"/>
    <w:rsid w:val="00F71BC3"/>
    <w:rsid w:val="00F724D3"/>
    <w:rsid w:val="00F742D1"/>
    <w:rsid w:val="00F745CB"/>
    <w:rsid w:val="00F74BD3"/>
    <w:rsid w:val="00F75317"/>
    <w:rsid w:val="00F756AF"/>
    <w:rsid w:val="00F765AC"/>
    <w:rsid w:val="00F768DE"/>
    <w:rsid w:val="00F76C29"/>
    <w:rsid w:val="00F77522"/>
    <w:rsid w:val="00F77BD1"/>
    <w:rsid w:val="00F77DD2"/>
    <w:rsid w:val="00F77E28"/>
    <w:rsid w:val="00F77FB3"/>
    <w:rsid w:val="00F81494"/>
    <w:rsid w:val="00F81D0B"/>
    <w:rsid w:val="00F824D5"/>
    <w:rsid w:val="00F83DC2"/>
    <w:rsid w:val="00F8486F"/>
    <w:rsid w:val="00F858ED"/>
    <w:rsid w:val="00F86F60"/>
    <w:rsid w:val="00F8748C"/>
    <w:rsid w:val="00F876F0"/>
    <w:rsid w:val="00F91A48"/>
    <w:rsid w:val="00F91ADD"/>
    <w:rsid w:val="00F91FB8"/>
    <w:rsid w:val="00F9218F"/>
    <w:rsid w:val="00F92234"/>
    <w:rsid w:val="00F92852"/>
    <w:rsid w:val="00F92EB8"/>
    <w:rsid w:val="00F93132"/>
    <w:rsid w:val="00F933B9"/>
    <w:rsid w:val="00F93712"/>
    <w:rsid w:val="00F9487C"/>
    <w:rsid w:val="00F949F4"/>
    <w:rsid w:val="00F95150"/>
    <w:rsid w:val="00F95829"/>
    <w:rsid w:val="00F959B1"/>
    <w:rsid w:val="00F964CA"/>
    <w:rsid w:val="00F96C35"/>
    <w:rsid w:val="00F96CC7"/>
    <w:rsid w:val="00F97748"/>
    <w:rsid w:val="00F97844"/>
    <w:rsid w:val="00FA07AA"/>
    <w:rsid w:val="00FA07FC"/>
    <w:rsid w:val="00FA11AE"/>
    <w:rsid w:val="00FA1234"/>
    <w:rsid w:val="00FA134A"/>
    <w:rsid w:val="00FA230B"/>
    <w:rsid w:val="00FA23E4"/>
    <w:rsid w:val="00FA24CE"/>
    <w:rsid w:val="00FA33A3"/>
    <w:rsid w:val="00FA3536"/>
    <w:rsid w:val="00FA36EB"/>
    <w:rsid w:val="00FA3AF2"/>
    <w:rsid w:val="00FA3BCD"/>
    <w:rsid w:val="00FA3FEB"/>
    <w:rsid w:val="00FA41DD"/>
    <w:rsid w:val="00FA4333"/>
    <w:rsid w:val="00FA52D2"/>
    <w:rsid w:val="00FA5660"/>
    <w:rsid w:val="00FA5B59"/>
    <w:rsid w:val="00FA6F6E"/>
    <w:rsid w:val="00FA7275"/>
    <w:rsid w:val="00FB048F"/>
    <w:rsid w:val="00FB0B74"/>
    <w:rsid w:val="00FB1034"/>
    <w:rsid w:val="00FB142E"/>
    <w:rsid w:val="00FB1493"/>
    <w:rsid w:val="00FB1B4F"/>
    <w:rsid w:val="00FB1E38"/>
    <w:rsid w:val="00FB3B2F"/>
    <w:rsid w:val="00FB5530"/>
    <w:rsid w:val="00FC0A7B"/>
    <w:rsid w:val="00FC0C2C"/>
    <w:rsid w:val="00FC0D54"/>
    <w:rsid w:val="00FC0EE3"/>
    <w:rsid w:val="00FC1987"/>
    <w:rsid w:val="00FC296F"/>
    <w:rsid w:val="00FC2D5B"/>
    <w:rsid w:val="00FC4072"/>
    <w:rsid w:val="00FC4176"/>
    <w:rsid w:val="00FC525F"/>
    <w:rsid w:val="00FC5C36"/>
    <w:rsid w:val="00FC5E3B"/>
    <w:rsid w:val="00FC606F"/>
    <w:rsid w:val="00FC622D"/>
    <w:rsid w:val="00FC64EA"/>
    <w:rsid w:val="00FC6F42"/>
    <w:rsid w:val="00FC73B5"/>
    <w:rsid w:val="00FC7406"/>
    <w:rsid w:val="00FC7B81"/>
    <w:rsid w:val="00FC7B9B"/>
    <w:rsid w:val="00FC7C2C"/>
    <w:rsid w:val="00FC7CC8"/>
    <w:rsid w:val="00FC7F31"/>
    <w:rsid w:val="00FD0166"/>
    <w:rsid w:val="00FD0B92"/>
    <w:rsid w:val="00FD0C17"/>
    <w:rsid w:val="00FD135D"/>
    <w:rsid w:val="00FD145B"/>
    <w:rsid w:val="00FD1C5C"/>
    <w:rsid w:val="00FD2163"/>
    <w:rsid w:val="00FD2310"/>
    <w:rsid w:val="00FD2332"/>
    <w:rsid w:val="00FD2659"/>
    <w:rsid w:val="00FD28F8"/>
    <w:rsid w:val="00FD358A"/>
    <w:rsid w:val="00FD386E"/>
    <w:rsid w:val="00FD3F39"/>
    <w:rsid w:val="00FD437C"/>
    <w:rsid w:val="00FD538B"/>
    <w:rsid w:val="00FD5CE6"/>
    <w:rsid w:val="00FD5E75"/>
    <w:rsid w:val="00FD5EB4"/>
    <w:rsid w:val="00FD61DF"/>
    <w:rsid w:val="00FD6BDD"/>
    <w:rsid w:val="00FD6E20"/>
    <w:rsid w:val="00FD7075"/>
    <w:rsid w:val="00FD747D"/>
    <w:rsid w:val="00FE0B24"/>
    <w:rsid w:val="00FE0CDB"/>
    <w:rsid w:val="00FE0ECB"/>
    <w:rsid w:val="00FE2DBE"/>
    <w:rsid w:val="00FE3136"/>
    <w:rsid w:val="00FE3BA0"/>
    <w:rsid w:val="00FE4BA2"/>
    <w:rsid w:val="00FE4C38"/>
    <w:rsid w:val="00FE4DF5"/>
    <w:rsid w:val="00FE5BBB"/>
    <w:rsid w:val="00FE6F5B"/>
    <w:rsid w:val="00FE7856"/>
    <w:rsid w:val="00FE7F0B"/>
    <w:rsid w:val="00FF0A4E"/>
    <w:rsid w:val="00FF0B45"/>
    <w:rsid w:val="00FF0FFA"/>
    <w:rsid w:val="00FF172E"/>
    <w:rsid w:val="00FF1DC8"/>
    <w:rsid w:val="00FF1F5E"/>
    <w:rsid w:val="00FF2D85"/>
    <w:rsid w:val="00FF3359"/>
    <w:rsid w:val="00FF3A88"/>
    <w:rsid w:val="00FF41D3"/>
    <w:rsid w:val="00FF491A"/>
    <w:rsid w:val="00FF525D"/>
    <w:rsid w:val="00FF599B"/>
    <w:rsid w:val="00FF5E20"/>
    <w:rsid w:val="00FF5E7F"/>
    <w:rsid w:val="00FF6472"/>
    <w:rsid w:val="00FF78AC"/>
    <w:rsid w:val="01313480"/>
    <w:rsid w:val="014F3EBB"/>
    <w:rsid w:val="016132C6"/>
    <w:rsid w:val="019030EC"/>
    <w:rsid w:val="019B15ED"/>
    <w:rsid w:val="01E95C6C"/>
    <w:rsid w:val="021C21DE"/>
    <w:rsid w:val="023604B0"/>
    <w:rsid w:val="02542EEC"/>
    <w:rsid w:val="025D1151"/>
    <w:rsid w:val="026F3170"/>
    <w:rsid w:val="028F3A7C"/>
    <w:rsid w:val="02915E0E"/>
    <w:rsid w:val="02925A21"/>
    <w:rsid w:val="02ED3BB2"/>
    <w:rsid w:val="02F6647D"/>
    <w:rsid w:val="032904A4"/>
    <w:rsid w:val="032D00EC"/>
    <w:rsid w:val="034369F1"/>
    <w:rsid w:val="035C1BD7"/>
    <w:rsid w:val="03734095"/>
    <w:rsid w:val="037C70FE"/>
    <w:rsid w:val="037D059E"/>
    <w:rsid w:val="03890DF2"/>
    <w:rsid w:val="039C6323"/>
    <w:rsid w:val="03C4237C"/>
    <w:rsid w:val="03C56B3B"/>
    <w:rsid w:val="03C830FD"/>
    <w:rsid w:val="03E56AD0"/>
    <w:rsid w:val="0409641F"/>
    <w:rsid w:val="043B0100"/>
    <w:rsid w:val="04405A76"/>
    <w:rsid w:val="04413CAE"/>
    <w:rsid w:val="04443731"/>
    <w:rsid w:val="044A3E76"/>
    <w:rsid w:val="046165AE"/>
    <w:rsid w:val="04675DC6"/>
    <w:rsid w:val="048F48B1"/>
    <w:rsid w:val="04D02811"/>
    <w:rsid w:val="04D3183D"/>
    <w:rsid w:val="04F16063"/>
    <w:rsid w:val="04F21AC0"/>
    <w:rsid w:val="04F91A6B"/>
    <w:rsid w:val="05177BAC"/>
    <w:rsid w:val="053669C1"/>
    <w:rsid w:val="05512C5A"/>
    <w:rsid w:val="05596D15"/>
    <w:rsid w:val="056F09A1"/>
    <w:rsid w:val="059454D3"/>
    <w:rsid w:val="05DA1202"/>
    <w:rsid w:val="05FF3790"/>
    <w:rsid w:val="0600648C"/>
    <w:rsid w:val="062D09CE"/>
    <w:rsid w:val="062F77B5"/>
    <w:rsid w:val="06334945"/>
    <w:rsid w:val="063744B4"/>
    <w:rsid w:val="06487099"/>
    <w:rsid w:val="065A1CC7"/>
    <w:rsid w:val="067A137F"/>
    <w:rsid w:val="06A5268D"/>
    <w:rsid w:val="070C6F49"/>
    <w:rsid w:val="072A5D27"/>
    <w:rsid w:val="073A4C35"/>
    <w:rsid w:val="075101FF"/>
    <w:rsid w:val="077F44DB"/>
    <w:rsid w:val="07C04EC9"/>
    <w:rsid w:val="07DA13F3"/>
    <w:rsid w:val="07FB6C66"/>
    <w:rsid w:val="07FC4010"/>
    <w:rsid w:val="08103C84"/>
    <w:rsid w:val="082F5F31"/>
    <w:rsid w:val="0837069C"/>
    <w:rsid w:val="08442614"/>
    <w:rsid w:val="08815CD2"/>
    <w:rsid w:val="088758E9"/>
    <w:rsid w:val="091B1A9A"/>
    <w:rsid w:val="09490FBD"/>
    <w:rsid w:val="097F26AC"/>
    <w:rsid w:val="097F6474"/>
    <w:rsid w:val="09BF7305"/>
    <w:rsid w:val="09E16ECC"/>
    <w:rsid w:val="09EC0E63"/>
    <w:rsid w:val="0A201597"/>
    <w:rsid w:val="0A2D5046"/>
    <w:rsid w:val="0A514061"/>
    <w:rsid w:val="0A6856A9"/>
    <w:rsid w:val="0A767F81"/>
    <w:rsid w:val="0A954F65"/>
    <w:rsid w:val="0AB05841"/>
    <w:rsid w:val="0AB34B56"/>
    <w:rsid w:val="0ABF0771"/>
    <w:rsid w:val="0AD17CA6"/>
    <w:rsid w:val="0AE5151C"/>
    <w:rsid w:val="0B221C5E"/>
    <w:rsid w:val="0B356703"/>
    <w:rsid w:val="0B43360A"/>
    <w:rsid w:val="0B741859"/>
    <w:rsid w:val="0B764E38"/>
    <w:rsid w:val="0BBA527E"/>
    <w:rsid w:val="0BCB5162"/>
    <w:rsid w:val="0BDE49EA"/>
    <w:rsid w:val="0C174B9E"/>
    <w:rsid w:val="0C1E4B8E"/>
    <w:rsid w:val="0C5C6CA1"/>
    <w:rsid w:val="0CDA5B0A"/>
    <w:rsid w:val="0CFB5A7A"/>
    <w:rsid w:val="0D327EE8"/>
    <w:rsid w:val="0D6265D9"/>
    <w:rsid w:val="0D962523"/>
    <w:rsid w:val="0D9A3213"/>
    <w:rsid w:val="0DD56E50"/>
    <w:rsid w:val="0DE0339B"/>
    <w:rsid w:val="0DFC7E34"/>
    <w:rsid w:val="0E057FDC"/>
    <w:rsid w:val="0E7349D1"/>
    <w:rsid w:val="0E862370"/>
    <w:rsid w:val="0EA82BE2"/>
    <w:rsid w:val="0EB7373B"/>
    <w:rsid w:val="0EBE06B2"/>
    <w:rsid w:val="0EDC138C"/>
    <w:rsid w:val="0EE7475E"/>
    <w:rsid w:val="0F064076"/>
    <w:rsid w:val="0F3F528F"/>
    <w:rsid w:val="0F401997"/>
    <w:rsid w:val="0F481F60"/>
    <w:rsid w:val="0F626ADB"/>
    <w:rsid w:val="0F692FC4"/>
    <w:rsid w:val="0F901A01"/>
    <w:rsid w:val="0FB02C36"/>
    <w:rsid w:val="0FC448B2"/>
    <w:rsid w:val="0FDE2595"/>
    <w:rsid w:val="0FE14722"/>
    <w:rsid w:val="0FEA6882"/>
    <w:rsid w:val="0FF10C9A"/>
    <w:rsid w:val="10051F4C"/>
    <w:rsid w:val="100C7B18"/>
    <w:rsid w:val="10482310"/>
    <w:rsid w:val="10692849"/>
    <w:rsid w:val="106C37A0"/>
    <w:rsid w:val="10A9362A"/>
    <w:rsid w:val="10A94EC5"/>
    <w:rsid w:val="10BE6614"/>
    <w:rsid w:val="11293A1A"/>
    <w:rsid w:val="11357581"/>
    <w:rsid w:val="11373026"/>
    <w:rsid w:val="113B2D40"/>
    <w:rsid w:val="113D4943"/>
    <w:rsid w:val="114C4C6D"/>
    <w:rsid w:val="11686FF7"/>
    <w:rsid w:val="11B97751"/>
    <w:rsid w:val="11D02D18"/>
    <w:rsid w:val="11F15B3F"/>
    <w:rsid w:val="11FB025F"/>
    <w:rsid w:val="121C3919"/>
    <w:rsid w:val="122E49E7"/>
    <w:rsid w:val="12384FC7"/>
    <w:rsid w:val="12395554"/>
    <w:rsid w:val="125524D0"/>
    <w:rsid w:val="125D7AC2"/>
    <w:rsid w:val="12821B85"/>
    <w:rsid w:val="128A572B"/>
    <w:rsid w:val="129B7251"/>
    <w:rsid w:val="12A63F18"/>
    <w:rsid w:val="12AC4F31"/>
    <w:rsid w:val="12AF4398"/>
    <w:rsid w:val="12B14930"/>
    <w:rsid w:val="12B34A40"/>
    <w:rsid w:val="12EF7174"/>
    <w:rsid w:val="13062DAA"/>
    <w:rsid w:val="13097E53"/>
    <w:rsid w:val="131B1934"/>
    <w:rsid w:val="13340A26"/>
    <w:rsid w:val="13465E84"/>
    <w:rsid w:val="13466D26"/>
    <w:rsid w:val="135F7A2E"/>
    <w:rsid w:val="137700E1"/>
    <w:rsid w:val="1380651D"/>
    <w:rsid w:val="138907A6"/>
    <w:rsid w:val="13932912"/>
    <w:rsid w:val="13D33C75"/>
    <w:rsid w:val="13EC7CF6"/>
    <w:rsid w:val="14214263"/>
    <w:rsid w:val="145E6E6F"/>
    <w:rsid w:val="148A1FC8"/>
    <w:rsid w:val="148C2C9E"/>
    <w:rsid w:val="14B23D47"/>
    <w:rsid w:val="14C345C2"/>
    <w:rsid w:val="150213A1"/>
    <w:rsid w:val="1525798D"/>
    <w:rsid w:val="152964E2"/>
    <w:rsid w:val="153B2B2E"/>
    <w:rsid w:val="154105B9"/>
    <w:rsid w:val="15575CD5"/>
    <w:rsid w:val="156E4B15"/>
    <w:rsid w:val="15785639"/>
    <w:rsid w:val="158C6829"/>
    <w:rsid w:val="15B05469"/>
    <w:rsid w:val="15DB0B09"/>
    <w:rsid w:val="160B7BBE"/>
    <w:rsid w:val="16173EFE"/>
    <w:rsid w:val="16212CDC"/>
    <w:rsid w:val="16243E20"/>
    <w:rsid w:val="16382DEE"/>
    <w:rsid w:val="164734E2"/>
    <w:rsid w:val="16937AAD"/>
    <w:rsid w:val="16A20B69"/>
    <w:rsid w:val="16DB7AC8"/>
    <w:rsid w:val="16E9123B"/>
    <w:rsid w:val="16FD334E"/>
    <w:rsid w:val="170A40FE"/>
    <w:rsid w:val="170C4972"/>
    <w:rsid w:val="171B07C2"/>
    <w:rsid w:val="174406D6"/>
    <w:rsid w:val="17693CCD"/>
    <w:rsid w:val="177311F9"/>
    <w:rsid w:val="1792417B"/>
    <w:rsid w:val="1816730A"/>
    <w:rsid w:val="1833342C"/>
    <w:rsid w:val="1837459A"/>
    <w:rsid w:val="1890336F"/>
    <w:rsid w:val="18BA7150"/>
    <w:rsid w:val="18BE6916"/>
    <w:rsid w:val="18CA515E"/>
    <w:rsid w:val="18ED2BAB"/>
    <w:rsid w:val="192315F4"/>
    <w:rsid w:val="195D4979"/>
    <w:rsid w:val="19651492"/>
    <w:rsid w:val="1969594F"/>
    <w:rsid w:val="19BB5F8A"/>
    <w:rsid w:val="19BD5B80"/>
    <w:rsid w:val="19CA7B0E"/>
    <w:rsid w:val="19E551E0"/>
    <w:rsid w:val="19E72BE5"/>
    <w:rsid w:val="19F63B43"/>
    <w:rsid w:val="1A4A3991"/>
    <w:rsid w:val="1A4B72A9"/>
    <w:rsid w:val="1A676AB7"/>
    <w:rsid w:val="1A6C76BC"/>
    <w:rsid w:val="1A6E774D"/>
    <w:rsid w:val="1AA32DD1"/>
    <w:rsid w:val="1AA72F49"/>
    <w:rsid w:val="1AC83EBC"/>
    <w:rsid w:val="1AF818EB"/>
    <w:rsid w:val="1B0D3175"/>
    <w:rsid w:val="1B317091"/>
    <w:rsid w:val="1B7D5742"/>
    <w:rsid w:val="1B9A7297"/>
    <w:rsid w:val="1BAE7C7C"/>
    <w:rsid w:val="1BCA2967"/>
    <w:rsid w:val="1BE7477F"/>
    <w:rsid w:val="1C250C0C"/>
    <w:rsid w:val="1C307850"/>
    <w:rsid w:val="1C362422"/>
    <w:rsid w:val="1D302DE3"/>
    <w:rsid w:val="1D68628D"/>
    <w:rsid w:val="1D981605"/>
    <w:rsid w:val="1DD84C42"/>
    <w:rsid w:val="1DDD4EE6"/>
    <w:rsid w:val="1E0119F5"/>
    <w:rsid w:val="1E117241"/>
    <w:rsid w:val="1E181767"/>
    <w:rsid w:val="1E855696"/>
    <w:rsid w:val="1EBF6F98"/>
    <w:rsid w:val="1F0B5759"/>
    <w:rsid w:val="1F8C66DF"/>
    <w:rsid w:val="1FAC4831"/>
    <w:rsid w:val="200365C0"/>
    <w:rsid w:val="202007EA"/>
    <w:rsid w:val="20272E42"/>
    <w:rsid w:val="208D3E84"/>
    <w:rsid w:val="20A505D4"/>
    <w:rsid w:val="20A83C77"/>
    <w:rsid w:val="20AD2E96"/>
    <w:rsid w:val="20B56C02"/>
    <w:rsid w:val="20F31D71"/>
    <w:rsid w:val="218705A7"/>
    <w:rsid w:val="219A465C"/>
    <w:rsid w:val="21A61958"/>
    <w:rsid w:val="21AD14FC"/>
    <w:rsid w:val="21AE372A"/>
    <w:rsid w:val="21C041BF"/>
    <w:rsid w:val="21CF28E8"/>
    <w:rsid w:val="21DC5793"/>
    <w:rsid w:val="21FC7EC5"/>
    <w:rsid w:val="2201790B"/>
    <w:rsid w:val="22052799"/>
    <w:rsid w:val="222D407D"/>
    <w:rsid w:val="224C0320"/>
    <w:rsid w:val="224E7497"/>
    <w:rsid w:val="22BB5EE6"/>
    <w:rsid w:val="22D62178"/>
    <w:rsid w:val="22D6229C"/>
    <w:rsid w:val="22E75198"/>
    <w:rsid w:val="22FD46CB"/>
    <w:rsid w:val="230A372E"/>
    <w:rsid w:val="233F0DAE"/>
    <w:rsid w:val="23606DE2"/>
    <w:rsid w:val="23655AD8"/>
    <w:rsid w:val="23735169"/>
    <w:rsid w:val="237E4754"/>
    <w:rsid w:val="238228F9"/>
    <w:rsid w:val="238C0FEB"/>
    <w:rsid w:val="23913C5B"/>
    <w:rsid w:val="23AD355E"/>
    <w:rsid w:val="23B92969"/>
    <w:rsid w:val="23BD46CB"/>
    <w:rsid w:val="23CB0DA4"/>
    <w:rsid w:val="23CF76D4"/>
    <w:rsid w:val="23FB2220"/>
    <w:rsid w:val="240A3D0A"/>
    <w:rsid w:val="246F0C9A"/>
    <w:rsid w:val="249805EA"/>
    <w:rsid w:val="24BE7042"/>
    <w:rsid w:val="24FC0570"/>
    <w:rsid w:val="25264739"/>
    <w:rsid w:val="2528676C"/>
    <w:rsid w:val="257E5E83"/>
    <w:rsid w:val="25AD5939"/>
    <w:rsid w:val="25D212DD"/>
    <w:rsid w:val="25EF6EA9"/>
    <w:rsid w:val="25F070E6"/>
    <w:rsid w:val="26071E7E"/>
    <w:rsid w:val="260D23ED"/>
    <w:rsid w:val="26163391"/>
    <w:rsid w:val="261A071C"/>
    <w:rsid w:val="263E3CE9"/>
    <w:rsid w:val="264A2E3E"/>
    <w:rsid w:val="265E5E77"/>
    <w:rsid w:val="266A1BCB"/>
    <w:rsid w:val="2692157D"/>
    <w:rsid w:val="27123C1B"/>
    <w:rsid w:val="27240F17"/>
    <w:rsid w:val="27292A2D"/>
    <w:rsid w:val="273231AA"/>
    <w:rsid w:val="27AC521F"/>
    <w:rsid w:val="27B6394C"/>
    <w:rsid w:val="27B92203"/>
    <w:rsid w:val="280E2E19"/>
    <w:rsid w:val="28186E49"/>
    <w:rsid w:val="285309CF"/>
    <w:rsid w:val="286019B7"/>
    <w:rsid w:val="28E31428"/>
    <w:rsid w:val="28E736B1"/>
    <w:rsid w:val="28EF257A"/>
    <w:rsid w:val="28F90B93"/>
    <w:rsid w:val="2902711C"/>
    <w:rsid w:val="2911572A"/>
    <w:rsid w:val="29233DE2"/>
    <w:rsid w:val="29CD337A"/>
    <w:rsid w:val="29CD68F7"/>
    <w:rsid w:val="29F261B2"/>
    <w:rsid w:val="2A04545D"/>
    <w:rsid w:val="2A155165"/>
    <w:rsid w:val="2A4B0216"/>
    <w:rsid w:val="2A512DAD"/>
    <w:rsid w:val="2A757A88"/>
    <w:rsid w:val="2A966EC7"/>
    <w:rsid w:val="2AD16F7A"/>
    <w:rsid w:val="2AE15038"/>
    <w:rsid w:val="2AE87EE4"/>
    <w:rsid w:val="2B343E85"/>
    <w:rsid w:val="2B797700"/>
    <w:rsid w:val="2BA412F8"/>
    <w:rsid w:val="2BA903C9"/>
    <w:rsid w:val="2BE57FC7"/>
    <w:rsid w:val="2C176300"/>
    <w:rsid w:val="2C2E6C5D"/>
    <w:rsid w:val="2C352A69"/>
    <w:rsid w:val="2C5729D4"/>
    <w:rsid w:val="2C6B7F24"/>
    <w:rsid w:val="2C7F5888"/>
    <w:rsid w:val="2C83495B"/>
    <w:rsid w:val="2CD54435"/>
    <w:rsid w:val="2CE511B4"/>
    <w:rsid w:val="2D0F77BA"/>
    <w:rsid w:val="2D3934F2"/>
    <w:rsid w:val="2D3B5790"/>
    <w:rsid w:val="2D7877DB"/>
    <w:rsid w:val="2D7F70CB"/>
    <w:rsid w:val="2D994AA1"/>
    <w:rsid w:val="2DB00C45"/>
    <w:rsid w:val="2DE80F94"/>
    <w:rsid w:val="2DF27AAB"/>
    <w:rsid w:val="2E066AEA"/>
    <w:rsid w:val="2E38290A"/>
    <w:rsid w:val="2E402A8D"/>
    <w:rsid w:val="2E591C1A"/>
    <w:rsid w:val="2EA921AE"/>
    <w:rsid w:val="2EA93AD7"/>
    <w:rsid w:val="2F110451"/>
    <w:rsid w:val="2F436F36"/>
    <w:rsid w:val="2F457C7A"/>
    <w:rsid w:val="2FA81A49"/>
    <w:rsid w:val="2FC43B93"/>
    <w:rsid w:val="2FD951A4"/>
    <w:rsid w:val="2FDB3336"/>
    <w:rsid w:val="303B7C4B"/>
    <w:rsid w:val="304A3124"/>
    <w:rsid w:val="304C09CE"/>
    <w:rsid w:val="305A5733"/>
    <w:rsid w:val="30664824"/>
    <w:rsid w:val="308E294D"/>
    <w:rsid w:val="30BB7E5E"/>
    <w:rsid w:val="30C74DC3"/>
    <w:rsid w:val="30E65F3A"/>
    <w:rsid w:val="30EF40F6"/>
    <w:rsid w:val="30FA731E"/>
    <w:rsid w:val="310145EA"/>
    <w:rsid w:val="31064937"/>
    <w:rsid w:val="315202B3"/>
    <w:rsid w:val="3183629F"/>
    <w:rsid w:val="31880C30"/>
    <w:rsid w:val="319E4764"/>
    <w:rsid w:val="31C72DF9"/>
    <w:rsid w:val="32185089"/>
    <w:rsid w:val="325C6B63"/>
    <w:rsid w:val="329D380B"/>
    <w:rsid w:val="32B705DB"/>
    <w:rsid w:val="330605B3"/>
    <w:rsid w:val="337A568F"/>
    <w:rsid w:val="337E7632"/>
    <w:rsid w:val="33AF4B9A"/>
    <w:rsid w:val="33B66538"/>
    <w:rsid w:val="33D25345"/>
    <w:rsid w:val="341667B6"/>
    <w:rsid w:val="34251014"/>
    <w:rsid w:val="343E6F12"/>
    <w:rsid w:val="34442374"/>
    <w:rsid w:val="34C040C1"/>
    <w:rsid w:val="34DB1745"/>
    <w:rsid w:val="34FF3E5A"/>
    <w:rsid w:val="351975F9"/>
    <w:rsid w:val="355D7012"/>
    <w:rsid w:val="355E735D"/>
    <w:rsid w:val="355F194D"/>
    <w:rsid w:val="35A3337B"/>
    <w:rsid w:val="35BA7296"/>
    <w:rsid w:val="35C215BE"/>
    <w:rsid w:val="35CB3378"/>
    <w:rsid w:val="35D5339B"/>
    <w:rsid w:val="35FB7C9A"/>
    <w:rsid w:val="36116B80"/>
    <w:rsid w:val="36121CBB"/>
    <w:rsid w:val="362F6CAB"/>
    <w:rsid w:val="36966BEA"/>
    <w:rsid w:val="369B091F"/>
    <w:rsid w:val="36B640AD"/>
    <w:rsid w:val="36D77E83"/>
    <w:rsid w:val="36FC25F9"/>
    <w:rsid w:val="37010388"/>
    <w:rsid w:val="37324A70"/>
    <w:rsid w:val="37433183"/>
    <w:rsid w:val="37470A5F"/>
    <w:rsid w:val="37711A21"/>
    <w:rsid w:val="37724007"/>
    <w:rsid w:val="377E40E1"/>
    <w:rsid w:val="379768EE"/>
    <w:rsid w:val="379862FA"/>
    <w:rsid w:val="37B62A71"/>
    <w:rsid w:val="37E1596D"/>
    <w:rsid w:val="37F30DCD"/>
    <w:rsid w:val="381E4CBE"/>
    <w:rsid w:val="382B4B99"/>
    <w:rsid w:val="3836763E"/>
    <w:rsid w:val="383C6AD7"/>
    <w:rsid w:val="388F6F32"/>
    <w:rsid w:val="38927CD7"/>
    <w:rsid w:val="389360D0"/>
    <w:rsid w:val="38DD5B90"/>
    <w:rsid w:val="38E53AC3"/>
    <w:rsid w:val="38F747A5"/>
    <w:rsid w:val="390A190D"/>
    <w:rsid w:val="39494605"/>
    <w:rsid w:val="395858A6"/>
    <w:rsid w:val="397571F0"/>
    <w:rsid w:val="397E6495"/>
    <w:rsid w:val="39A1191D"/>
    <w:rsid w:val="39DC02B5"/>
    <w:rsid w:val="3A3A53E0"/>
    <w:rsid w:val="3A401A53"/>
    <w:rsid w:val="3A4B588D"/>
    <w:rsid w:val="3A82768C"/>
    <w:rsid w:val="3AAE7A5C"/>
    <w:rsid w:val="3AB54E03"/>
    <w:rsid w:val="3AC25D38"/>
    <w:rsid w:val="3B14329E"/>
    <w:rsid w:val="3B1A4BEB"/>
    <w:rsid w:val="3B2762E9"/>
    <w:rsid w:val="3B585B36"/>
    <w:rsid w:val="3B703731"/>
    <w:rsid w:val="3B8005F0"/>
    <w:rsid w:val="3B8133D9"/>
    <w:rsid w:val="3B837F8F"/>
    <w:rsid w:val="3B891F98"/>
    <w:rsid w:val="3BCC352D"/>
    <w:rsid w:val="3BCE2BC7"/>
    <w:rsid w:val="3C036061"/>
    <w:rsid w:val="3C0617F4"/>
    <w:rsid w:val="3C0B69B9"/>
    <w:rsid w:val="3C1F24C3"/>
    <w:rsid w:val="3C256950"/>
    <w:rsid w:val="3C3E0199"/>
    <w:rsid w:val="3C4E291A"/>
    <w:rsid w:val="3C621ED0"/>
    <w:rsid w:val="3C805C59"/>
    <w:rsid w:val="3CC207CC"/>
    <w:rsid w:val="3CCE0E19"/>
    <w:rsid w:val="3CCE695F"/>
    <w:rsid w:val="3CDA3541"/>
    <w:rsid w:val="3CE41133"/>
    <w:rsid w:val="3CE4601D"/>
    <w:rsid w:val="3CE86957"/>
    <w:rsid w:val="3D02023B"/>
    <w:rsid w:val="3D0B4D14"/>
    <w:rsid w:val="3D365E75"/>
    <w:rsid w:val="3D48329E"/>
    <w:rsid w:val="3D5D13D1"/>
    <w:rsid w:val="3D747EBE"/>
    <w:rsid w:val="3D7C5424"/>
    <w:rsid w:val="3D887911"/>
    <w:rsid w:val="3DB15B28"/>
    <w:rsid w:val="3DBF1D22"/>
    <w:rsid w:val="3DC85112"/>
    <w:rsid w:val="3DCC4765"/>
    <w:rsid w:val="3DE949A0"/>
    <w:rsid w:val="3DF7404C"/>
    <w:rsid w:val="3E233236"/>
    <w:rsid w:val="3E3415DA"/>
    <w:rsid w:val="3E377D8E"/>
    <w:rsid w:val="3E7F5DB8"/>
    <w:rsid w:val="3EBF58DD"/>
    <w:rsid w:val="3EC26C05"/>
    <w:rsid w:val="3ECA20A2"/>
    <w:rsid w:val="3EE619C7"/>
    <w:rsid w:val="3F054425"/>
    <w:rsid w:val="3F10433E"/>
    <w:rsid w:val="3F4A706A"/>
    <w:rsid w:val="3F647224"/>
    <w:rsid w:val="3F72768A"/>
    <w:rsid w:val="3F860355"/>
    <w:rsid w:val="3FAA4ED0"/>
    <w:rsid w:val="3FB543DE"/>
    <w:rsid w:val="3FC306F2"/>
    <w:rsid w:val="3FDD6E9C"/>
    <w:rsid w:val="3FF86C16"/>
    <w:rsid w:val="40031409"/>
    <w:rsid w:val="404D5F3C"/>
    <w:rsid w:val="404F023D"/>
    <w:rsid w:val="407976F5"/>
    <w:rsid w:val="408C4BE3"/>
    <w:rsid w:val="40C14999"/>
    <w:rsid w:val="40C71BF7"/>
    <w:rsid w:val="40E13AFE"/>
    <w:rsid w:val="40E51185"/>
    <w:rsid w:val="41234AB3"/>
    <w:rsid w:val="4196335C"/>
    <w:rsid w:val="41DB06C7"/>
    <w:rsid w:val="41E54024"/>
    <w:rsid w:val="420327A0"/>
    <w:rsid w:val="42135BDA"/>
    <w:rsid w:val="42193AB1"/>
    <w:rsid w:val="42327C54"/>
    <w:rsid w:val="423C3E1D"/>
    <w:rsid w:val="423C6277"/>
    <w:rsid w:val="425D02BB"/>
    <w:rsid w:val="426F024D"/>
    <w:rsid w:val="427D28E9"/>
    <w:rsid w:val="42D0555A"/>
    <w:rsid w:val="42E33835"/>
    <w:rsid w:val="42EE6351"/>
    <w:rsid w:val="43203FE2"/>
    <w:rsid w:val="433C212C"/>
    <w:rsid w:val="43826E4D"/>
    <w:rsid w:val="43A87DEF"/>
    <w:rsid w:val="43A94DD9"/>
    <w:rsid w:val="441326F7"/>
    <w:rsid w:val="444E3E15"/>
    <w:rsid w:val="445B2DFE"/>
    <w:rsid w:val="44615EC6"/>
    <w:rsid w:val="44CF7EA6"/>
    <w:rsid w:val="45604C24"/>
    <w:rsid w:val="456B164C"/>
    <w:rsid w:val="457106A9"/>
    <w:rsid w:val="45766EE6"/>
    <w:rsid w:val="4586371F"/>
    <w:rsid w:val="459D098A"/>
    <w:rsid w:val="45B44120"/>
    <w:rsid w:val="45E7566D"/>
    <w:rsid w:val="46137330"/>
    <w:rsid w:val="467121F6"/>
    <w:rsid w:val="46B0521A"/>
    <w:rsid w:val="46EB6882"/>
    <w:rsid w:val="46F32B98"/>
    <w:rsid w:val="46FF45A6"/>
    <w:rsid w:val="470D5BAD"/>
    <w:rsid w:val="473A3B9D"/>
    <w:rsid w:val="473A6DF8"/>
    <w:rsid w:val="4750522E"/>
    <w:rsid w:val="47681531"/>
    <w:rsid w:val="47775256"/>
    <w:rsid w:val="477D7E06"/>
    <w:rsid w:val="478C7063"/>
    <w:rsid w:val="4793683F"/>
    <w:rsid w:val="47B0431D"/>
    <w:rsid w:val="47E25E51"/>
    <w:rsid w:val="480C6F47"/>
    <w:rsid w:val="484565F6"/>
    <w:rsid w:val="48702FBC"/>
    <w:rsid w:val="488C646B"/>
    <w:rsid w:val="48B45E77"/>
    <w:rsid w:val="48CB2EDD"/>
    <w:rsid w:val="48D718D8"/>
    <w:rsid w:val="492A1684"/>
    <w:rsid w:val="496416AC"/>
    <w:rsid w:val="496F738F"/>
    <w:rsid w:val="49773081"/>
    <w:rsid w:val="497F6E0B"/>
    <w:rsid w:val="49975CAE"/>
    <w:rsid w:val="49984F82"/>
    <w:rsid w:val="49C9072D"/>
    <w:rsid w:val="49D70825"/>
    <w:rsid w:val="49ED7276"/>
    <w:rsid w:val="4A175E01"/>
    <w:rsid w:val="4A1E0A6C"/>
    <w:rsid w:val="4A2F0297"/>
    <w:rsid w:val="4A3475A9"/>
    <w:rsid w:val="4A7E7358"/>
    <w:rsid w:val="4ADE7A16"/>
    <w:rsid w:val="4AFE22CA"/>
    <w:rsid w:val="4B1014EF"/>
    <w:rsid w:val="4B1F24C3"/>
    <w:rsid w:val="4B626869"/>
    <w:rsid w:val="4B8D4453"/>
    <w:rsid w:val="4B900C37"/>
    <w:rsid w:val="4BA11A6C"/>
    <w:rsid w:val="4BDE71B5"/>
    <w:rsid w:val="4C067384"/>
    <w:rsid w:val="4C122420"/>
    <w:rsid w:val="4C2B3619"/>
    <w:rsid w:val="4C6C48CB"/>
    <w:rsid w:val="4CA86906"/>
    <w:rsid w:val="4CB10F79"/>
    <w:rsid w:val="4CBE6DDC"/>
    <w:rsid w:val="4CC93DC2"/>
    <w:rsid w:val="4CCE76F2"/>
    <w:rsid w:val="4D070EAE"/>
    <w:rsid w:val="4D722259"/>
    <w:rsid w:val="4D8F5972"/>
    <w:rsid w:val="4DA34F66"/>
    <w:rsid w:val="4DA63E06"/>
    <w:rsid w:val="4DAC06E8"/>
    <w:rsid w:val="4DD05B7C"/>
    <w:rsid w:val="4DF67FB6"/>
    <w:rsid w:val="4E1042E3"/>
    <w:rsid w:val="4E410E1D"/>
    <w:rsid w:val="4E603A99"/>
    <w:rsid w:val="4EA67C9E"/>
    <w:rsid w:val="4EB54D52"/>
    <w:rsid w:val="4EF457E0"/>
    <w:rsid w:val="4F4918E5"/>
    <w:rsid w:val="4F4D21A7"/>
    <w:rsid w:val="4F807636"/>
    <w:rsid w:val="4F944AAD"/>
    <w:rsid w:val="4FA52330"/>
    <w:rsid w:val="4FF2071B"/>
    <w:rsid w:val="503C7AC7"/>
    <w:rsid w:val="50456BE5"/>
    <w:rsid w:val="507A256B"/>
    <w:rsid w:val="509B750E"/>
    <w:rsid w:val="50CA62F8"/>
    <w:rsid w:val="50D22164"/>
    <w:rsid w:val="50ED66AF"/>
    <w:rsid w:val="50EE2903"/>
    <w:rsid w:val="5102220C"/>
    <w:rsid w:val="51281214"/>
    <w:rsid w:val="514E2F6B"/>
    <w:rsid w:val="515E543F"/>
    <w:rsid w:val="516E20B0"/>
    <w:rsid w:val="517179CE"/>
    <w:rsid w:val="51963E70"/>
    <w:rsid w:val="519B7C4A"/>
    <w:rsid w:val="51B86714"/>
    <w:rsid w:val="52263C2A"/>
    <w:rsid w:val="523A3B04"/>
    <w:rsid w:val="528364E6"/>
    <w:rsid w:val="529D424C"/>
    <w:rsid w:val="52AE444E"/>
    <w:rsid w:val="52BB2D6B"/>
    <w:rsid w:val="52EF518F"/>
    <w:rsid w:val="52F03CDA"/>
    <w:rsid w:val="53096AD9"/>
    <w:rsid w:val="533908E3"/>
    <w:rsid w:val="53504D7F"/>
    <w:rsid w:val="5355623A"/>
    <w:rsid w:val="5399683E"/>
    <w:rsid w:val="539D0EF8"/>
    <w:rsid w:val="53E3500B"/>
    <w:rsid w:val="542871D0"/>
    <w:rsid w:val="54293684"/>
    <w:rsid w:val="542A52C6"/>
    <w:rsid w:val="544743C6"/>
    <w:rsid w:val="54491405"/>
    <w:rsid w:val="544D0EC1"/>
    <w:rsid w:val="547652B3"/>
    <w:rsid w:val="547D30A2"/>
    <w:rsid w:val="54817758"/>
    <w:rsid w:val="549D6D49"/>
    <w:rsid w:val="549E6D4D"/>
    <w:rsid w:val="54D05D83"/>
    <w:rsid w:val="54F76409"/>
    <w:rsid w:val="55104A1C"/>
    <w:rsid w:val="55232958"/>
    <w:rsid w:val="55235AD9"/>
    <w:rsid w:val="554F5D1B"/>
    <w:rsid w:val="55557D2F"/>
    <w:rsid w:val="55627D0A"/>
    <w:rsid w:val="556E6619"/>
    <w:rsid w:val="55750699"/>
    <w:rsid w:val="557D68F3"/>
    <w:rsid w:val="558D3924"/>
    <w:rsid w:val="55B06648"/>
    <w:rsid w:val="55E07340"/>
    <w:rsid w:val="55F978A4"/>
    <w:rsid w:val="560C0820"/>
    <w:rsid w:val="56105BA7"/>
    <w:rsid w:val="56333137"/>
    <w:rsid w:val="563443DE"/>
    <w:rsid w:val="564B28A2"/>
    <w:rsid w:val="5661023D"/>
    <w:rsid w:val="56653AF9"/>
    <w:rsid w:val="56811F6E"/>
    <w:rsid w:val="568A5E30"/>
    <w:rsid w:val="56D01D64"/>
    <w:rsid w:val="56FD139B"/>
    <w:rsid w:val="571051BE"/>
    <w:rsid w:val="57153B01"/>
    <w:rsid w:val="576E5C6D"/>
    <w:rsid w:val="57792FC1"/>
    <w:rsid w:val="578E03F3"/>
    <w:rsid w:val="57ED2F8B"/>
    <w:rsid w:val="58014745"/>
    <w:rsid w:val="58170653"/>
    <w:rsid w:val="581B3710"/>
    <w:rsid w:val="582C6AF9"/>
    <w:rsid w:val="58987E6B"/>
    <w:rsid w:val="58EA168C"/>
    <w:rsid w:val="58EC0859"/>
    <w:rsid w:val="58F92B74"/>
    <w:rsid w:val="59465835"/>
    <w:rsid w:val="595D4FD6"/>
    <w:rsid w:val="5963645E"/>
    <w:rsid w:val="5998408B"/>
    <w:rsid w:val="599C2B47"/>
    <w:rsid w:val="59AD0472"/>
    <w:rsid w:val="59B16692"/>
    <w:rsid w:val="59DD7E5A"/>
    <w:rsid w:val="59FB2FD9"/>
    <w:rsid w:val="5A1D75A1"/>
    <w:rsid w:val="5A4E544F"/>
    <w:rsid w:val="5A6F782A"/>
    <w:rsid w:val="5AAF6163"/>
    <w:rsid w:val="5AC00B90"/>
    <w:rsid w:val="5ACC6BBD"/>
    <w:rsid w:val="5AF03056"/>
    <w:rsid w:val="5B224706"/>
    <w:rsid w:val="5B253D62"/>
    <w:rsid w:val="5B560750"/>
    <w:rsid w:val="5B7212C8"/>
    <w:rsid w:val="5B7D7CF1"/>
    <w:rsid w:val="5B915CC9"/>
    <w:rsid w:val="5B917098"/>
    <w:rsid w:val="5B9A70D3"/>
    <w:rsid w:val="5BCE10DB"/>
    <w:rsid w:val="5BD40D92"/>
    <w:rsid w:val="5BEC6B73"/>
    <w:rsid w:val="5C3D710D"/>
    <w:rsid w:val="5CA0297F"/>
    <w:rsid w:val="5CA246A9"/>
    <w:rsid w:val="5CC401D7"/>
    <w:rsid w:val="5CCA1525"/>
    <w:rsid w:val="5CD841A5"/>
    <w:rsid w:val="5D3F7F58"/>
    <w:rsid w:val="5D5362D5"/>
    <w:rsid w:val="5D741FA9"/>
    <w:rsid w:val="5DBE2F7C"/>
    <w:rsid w:val="5DD07337"/>
    <w:rsid w:val="5DDB4E6C"/>
    <w:rsid w:val="5E012DBD"/>
    <w:rsid w:val="5E021596"/>
    <w:rsid w:val="5E1C5FB7"/>
    <w:rsid w:val="5E313578"/>
    <w:rsid w:val="5ED44292"/>
    <w:rsid w:val="5ED755A7"/>
    <w:rsid w:val="5F0E0BCC"/>
    <w:rsid w:val="5F2B08C7"/>
    <w:rsid w:val="5F303113"/>
    <w:rsid w:val="5F8143E5"/>
    <w:rsid w:val="5F8D4B28"/>
    <w:rsid w:val="5F99206B"/>
    <w:rsid w:val="5FC52BA5"/>
    <w:rsid w:val="5FE86535"/>
    <w:rsid w:val="60310620"/>
    <w:rsid w:val="6043282E"/>
    <w:rsid w:val="604F1D23"/>
    <w:rsid w:val="608B2CA4"/>
    <w:rsid w:val="60A109EB"/>
    <w:rsid w:val="60B12F92"/>
    <w:rsid w:val="610D3A93"/>
    <w:rsid w:val="61714462"/>
    <w:rsid w:val="61724F90"/>
    <w:rsid w:val="618C4228"/>
    <w:rsid w:val="619F4171"/>
    <w:rsid w:val="61DA000A"/>
    <w:rsid w:val="61E574D4"/>
    <w:rsid w:val="61E664C3"/>
    <w:rsid w:val="61E866DF"/>
    <w:rsid w:val="61F57233"/>
    <w:rsid w:val="621F0417"/>
    <w:rsid w:val="62475D52"/>
    <w:rsid w:val="6286459E"/>
    <w:rsid w:val="62B85447"/>
    <w:rsid w:val="62BB6F64"/>
    <w:rsid w:val="62C36F2B"/>
    <w:rsid w:val="62E1685E"/>
    <w:rsid w:val="62EC15D3"/>
    <w:rsid w:val="6313639D"/>
    <w:rsid w:val="631A7833"/>
    <w:rsid w:val="63313275"/>
    <w:rsid w:val="634A6368"/>
    <w:rsid w:val="63A13561"/>
    <w:rsid w:val="63DE0F70"/>
    <w:rsid w:val="63F60647"/>
    <w:rsid w:val="643D05F2"/>
    <w:rsid w:val="64572CA9"/>
    <w:rsid w:val="646128B8"/>
    <w:rsid w:val="646A5DEF"/>
    <w:rsid w:val="64A2481B"/>
    <w:rsid w:val="64A63052"/>
    <w:rsid w:val="64B4598F"/>
    <w:rsid w:val="64EB7D56"/>
    <w:rsid w:val="652A4DD5"/>
    <w:rsid w:val="653152AB"/>
    <w:rsid w:val="653B7ED0"/>
    <w:rsid w:val="654869D9"/>
    <w:rsid w:val="6592127E"/>
    <w:rsid w:val="65935D06"/>
    <w:rsid w:val="65B70A4A"/>
    <w:rsid w:val="65C50EF1"/>
    <w:rsid w:val="65D3084A"/>
    <w:rsid w:val="65D33EDA"/>
    <w:rsid w:val="65DF22A7"/>
    <w:rsid w:val="65E1297B"/>
    <w:rsid w:val="662A60C9"/>
    <w:rsid w:val="662F557B"/>
    <w:rsid w:val="663B3D85"/>
    <w:rsid w:val="66733C3B"/>
    <w:rsid w:val="6677567F"/>
    <w:rsid w:val="66876EA4"/>
    <w:rsid w:val="66942794"/>
    <w:rsid w:val="66A454D4"/>
    <w:rsid w:val="66B3296E"/>
    <w:rsid w:val="66C22634"/>
    <w:rsid w:val="66F14577"/>
    <w:rsid w:val="6744034C"/>
    <w:rsid w:val="67616A13"/>
    <w:rsid w:val="67696277"/>
    <w:rsid w:val="676B3020"/>
    <w:rsid w:val="67714914"/>
    <w:rsid w:val="67770DF7"/>
    <w:rsid w:val="678A62A7"/>
    <w:rsid w:val="67D877BB"/>
    <w:rsid w:val="681B1933"/>
    <w:rsid w:val="682E3141"/>
    <w:rsid w:val="68475BDE"/>
    <w:rsid w:val="68617ADD"/>
    <w:rsid w:val="686F7457"/>
    <w:rsid w:val="68864032"/>
    <w:rsid w:val="689B171E"/>
    <w:rsid w:val="68D728EF"/>
    <w:rsid w:val="68EF55E6"/>
    <w:rsid w:val="68FD64E0"/>
    <w:rsid w:val="69061F04"/>
    <w:rsid w:val="69336A0B"/>
    <w:rsid w:val="69465948"/>
    <w:rsid w:val="69531D75"/>
    <w:rsid w:val="69542FB8"/>
    <w:rsid w:val="69574B58"/>
    <w:rsid w:val="697A310C"/>
    <w:rsid w:val="69944279"/>
    <w:rsid w:val="699F3984"/>
    <w:rsid w:val="69AF2D8A"/>
    <w:rsid w:val="69BC567A"/>
    <w:rsid w:val="69F83685"/>
    <w:rsid w:val="6A035381"/>
    <w:rsid w:val="6A3627B9"/>
    <w:rsid w:val="6A3E50CF"/>
    <w:rsid w:val="6A4069A4"/>
    <w:rsid w:val="6A5C653A"/>
    <w:rsid w:val="6A91134D"/>
    <w:rsid w:val="6AB25352"/>
    <w:rsid w:val="6AD85995"/>
    <w:rsid w:val="6AFF2D39"/>
    <w:rsid w:val="6B0F686E"/>
    <w:rsid w:val="6B2171F7"/>
    <w:rsid w:val="6B255276"/>
    <w:rsid w:val="6B325BBF"/>
    <w:rsid w:val="6B4B58D2"/>
    <w:rsid w:val="6B5319F8"/>
    <w:rsid w:val="6B7B5765"/>
    <w:rsid w:val="6B983942"/>
    <w:rsid w:val="6B9B5815"/>
    <w:rsid w:val="6BE62509"/>
    <w:rsid w:val="6C052AB5"/>
    <w:rsid w:val="6C0E109F"/>
    <w:rsid w:val="6C1A4E84"/>
    <w:rsid w:val="6C40622C"/>
    <w:rsid w:val="6C5B3868"/>
    <w:rsid w:val="6C647DDF"/>
    <w:rsid w:val="6C944859"/>
    <w:rsid w:val="6C9F2637"/>
    <w:rsid w:val="6CD12DF0"/>
    <w:rsid w:val="6CE8129E"/>
    <w:rsid w:val="6D542C2C"/>
    <w:rsid w:val="6DB82C43"/>
    <w:rsid w:val="6DFD5B21"/>
    <w:rsid w:val="6E235310"/>
    <w:rsid w:val="6E270FED"/>
    <w:rsid w:val="6E600263"/>
    <w:rsid w:val="6E6D21BA"/>
    <w:rsid w:val="6E78149C"/>
    <w:rsid w:val="6E895A15"/>
    <w:rsid w:val="6E914EF4"/>
    <w:rsid w:val="6E98379F"/>
    <w:rsid w:val="6EB144E5"/>
    <w:rsid w:val="6EC207A9"/>
    <w:rsid w:val="6ECA7F3C"/>
    <w:rsid w:val="6ED5538E"/>
    <w:rsid w:val="6EFD32B5"/>
    <w:rsid w:val="6F0E35AE"/>
    <w:rsid w:val="6F6534FD"/>
    <w:rsid w:val="6F976432"/>
    <w:rsid w:val="6FC5503E"/>
    <w:rsid w:val="6FF86EB1"/>
    <w:rsid w:val="6FF9271D"/>
    <w:rsid w:val="702D4240"/>
    <w:rsid w:val="703B6C4A"/>
    <w:rsid w:val="70526DED"/>
    <w:rsid w:val="706709A8"/>
    <w:rsid w:val="709438BF"/>
    <w:rsid w:val="70A50F3B"/>
    <w:rsid w:val="70A63A42"/>
    <w:rsid w:val="70C4216A"/>
    <w:rsid w:val="70D52BB9"/>
    <w:rsid w:val="70F523A3"/>
    <w:rsid w:val="712453CE"/>
    <w:rsid w:val="716F67F0"/>
    <w:rsid w:val="71856F5E"/>
    <w:rsid w:val="71860910"/>
    <w:rsid w:val="718A60C9"/>
    <w:rsid w:val="719408EF"/>
    <w:rsid w:val="719F3D0E"/>
    <w:rsid w:val="71A53726"/>
    <w:rsid w:val="71A97908"/>
    <w:rsid w:val="71BD5401"/>
    <w:rsid w:val="71C367DE"/>
    <w:rsid w:val="71CC0576"/>
    <w:rsid w:val="71D930C2"/>
    <w:rsid w:val="71E3201F"/>
    <w:rsid w:val="71E370D0"/>
    <w:rsid w:val="71E73F72"/>
    <w:rsid w:val="72541BDB"/>
    <w:rsid w:val="72A21DC1"/>
    <w:rsid w:val="72C15778"/>
    <w:rsid w:val="72C62AE6"/>
    <w:rsid w:val="72D57E12"/>
    <w:rsid w:val="72DE2B1B"/>
    <w:rsid w:val="72E17BA5"/>
    <w:rsid w:val="72EC643A"/>
    <w:rsid w:val="72F24983"/>
    <w:rsid w:val="731F03DE"/>
    <w:rsid w:val="7329331A"/>
    <w:rsid w:val="738177F6"/>
    <w:rsid w:val="73876676"/>
    <w:rsid w:val="7397714A"/>
    <w:rsid w:val="73A40818"/>
    <w:rsid w:val="73AA0E77"/>
    <w:rsid w:val="73C659E3"/>
    <w:rsid w:val="73DD2F3B"/>
    <w:rsid w:val="740D7DE3"/>
    <w:rsid w:val="740E7FCE"/>
    <w:rsid w:val="741178B5"/>
    <w:rsid w:val="742753F2"/>
    <w:rsid w:val="746429DF"/>
    <w:rsid w:val="748C3569"/>
    <w:rsid w:val="74B17D59"/>
    <w:rsid w:val="75103BD3"/>
    <w:rsid w:val="75527497"/>
    <w:rsid w:val="75622959"/>
    <w:rsid w:val="7563220F"/>
    <w:rsid w:val="75745885"/>
    <w:rsid w:val="75813960"/>
    <w:rsid w:val="75866CC8"/>
    <w:rsid w:val="75980DF4"/>
    <w:rsid w:val="75A60CD6"/>
    <w:rsid w:val="75D45232"/>
    <w:rsid w:val="7602489C"/>
    <w:rsid w:val="761804A4"/>
    <w:rsid w:val="7623435D"/>
    <w:rsid w:val="765637EB"/>
    <w:rsid w:val="76747104"/>
    <w:rsid w:val="767942D5"/>
    <w:rsid w:val="768536C6"/>
    <w:rsid w:val="76B9223D"/>
    <w:rsid w:val="76BB30D0"/>
    <w:rsid w:val="76C3689C"/>
    <w:rsid w:val="76C71978"/>
    <w:rsid w:val="76C96B2A"/>
    <w:rsid w:val="76ED4068"/>
    <w:rsid w:val="77106E89"/>
    <w:rsid w:val="77825DF3"/>
    <w:rsid w:val="77BA55FB"/>
    <w:rsid w:val="77C558B9"/>
    <w:rsid w:val="77F06F5D"/>
    <w:rsid w:val="77FE37A2"/>
    <w:rsid w:val="78124EFF"/>
    <w:rsid w:val="781C1296"/>
    <w:rsid w:val="783B6272"/>
    <w:rsid w:val="78797DC6"/>
    <w:rsid w:val="787A0567"/>
    <w:rsid w:val="788F2EA0"/>
    <w:rsid w:val="789971EC"/>
    <w:rsid w:val="78A20694"/>
    <w:rsid w:val="78D91CE2"/>
    <w:rsid w:val="78E42938"/>
    <w:rsid w:val="79176351"/>
    <w:rsid w:val="792144DB"/>
    <w:rsid w:val="79501A82"/>
    <w:rsid w:val="79825A21"/>
    <w:rsid w:val="79925C4E"/>
    <w:rsid w:val="79B505CA"/>
    <w:rsid w:val="79F61E10"/>
    <w:rsid w:val="79F93720"/>
    <w:rsid w:val="79FF5DE8"/>
    <w:rsid w:val="7A354816"/>
    <w:rsid w:val="7A366FB4"/>
    <w:rsid w:val="7A422889"/>
    <w:rsid w:val="7A524D32"/>
    <w:rsid w:val="7A844730"/>
    <w:rsid w:val="7AA47037"/>
    <w:rsid w:val="7AC00C1F"/>
    <w:rsid w:val="7AC51804"/>
    <w:rsid w:val="7AF5636A"/>
    <w:rsid w:val="7B151659"/>
    <w:rsid w:val="7B875081"/>
    <w:rsid w:val="7B8A011C"/>
    <w:rsid w:val="7BAB4C92"/>
    <w:rsid w:val="7BF24BDD"/>
    <w:rsid w:val="7C2F27F4"/>
    <w:rsid w:val="7C4E199F"/>
    <w:rsid w:val="7C5E23FB"/>
    <w:rsid w:val="7C8D73F0"/>
    <w:rsid w:val="7CBE3ADE"/>
    <w:rsid w:val="7CE309DD"/>
    <w:rsid w:val="7CE7603E"/>
    <w:rsid w:val="7CF366B5"/>
    <w:rsid w:val="7D140E13"/>
    <w:rsid w:val="7D376B4D"/>
    <w:rsid w:val="7D3A6580"/>
    <w:rsid w:val="7D955341"/>
    <w:rsid w:val="7DD37BAB"/>
    <w:rsid w:val="7E2F6C7E"/>
    <w:rsid w:val="7E4327A5"/>
    <w:rsid w:val="7E484A1F"/>
    <w:rsid w:val="7E502D41"/>
    <w:rsid w:val="7E5D6A8D"/>
    <w:rsid w:val="7E9B65C0"/>
    <w:rsid w:val="7F0C74AA"/>
    <w:rsid w:val="7F111F74"/>
    <w:rsid w:val="7F3744A1"/>
    <w:rsid w:val="7F394F62"/>
    <w:rsid w:val="7F39642D"/>
    <w:rsid w:val="7F4B0888"/>
    <w:rsid w:val="7F726EAF"/>
    <w:rsid w:val="7F900529"/>
    <w:rsid w:val="7FB85154"/>
    <w:rsid w:val="7FCB7EEE"/>
    <w:rsid w:val="7FE37BF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nhideWhenUsed="0" w:uiPriority="39" w:semiHidden="0" w:name="toc 6"/>
    <w:lsdException w:qFormat="1" w:unhideWhenUsed="0" w:uiPriority="39" w:semiHidden="0" w:name="toc 7"/>
    <w:lsdException w:qFormat="1" w:uiPriority="39" w:semiHidden="0" w:name="toc 8"/>
    <w:lsdException w:qFormat="1"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420" w:firstLineChars="200"/>
      <w:jc w:val="both"/>
    </w:pPr>
    <w:rPr>
      <w:rFonts w:ascii="Times New Roman" w:hAnsi="Times New Roman" w:eastAsia="宋体" w:cs="Times New Roman"/>
      <w:kern w:val="2"/>
      <w:sz w:val="28"/>
      <w:szCs w:val="28"/>
      <w:lang w:val="en-US" w:eastAsia="zh-CN" w:bidi="ar-SA"/>
    </w:rPr>
  </w:style>
  <w:style w:type="paragraph" w:styleId="3">
    <w:name w:val="heading 1"/>
    <w:basedOn w:val="1"/>
    <w:next w:val="1"/>
    <w:link w:val="57"/>
    <w:qFormat/>
    <w:uiPriority w:val="0"/>
    <w:pPr>
      <w:keepNext/>
      <w:ind w:firstLine="0" w:firstLineChars="0"/>
      <w:jc w:val="center"/>
      <w:outlineLvl w:val="0"/>
    </w:pPr>
    <w:rPr>
      <w:b/>
      <w:bCs/>
      <w:sz w:val="36"/>
      <w:szCs w:val="36"/>
    </w:rPr>
  </w:style>
  <w:style w:type="paragraph" w:styleId="4">
    <w:name w:val="heading 2"/>
    <w:basedOn w:val="1"/>
    <w:next w:val="1"/>
    <w:link w:val="58"/>
    <w:qFormat/>
    <w:uiPriority w:val="0"/>
    <w:pPr>
      <w:keepNext/>
      <w:keepLines/>
      <w:spacing w:beforeLines="0" w:afterLines="0" w:line="360" w:lineRule="auto"/>
      <w:ind w:firstLine="0" w:firstLineChars="0"/>
      <w:jc w:val="left"/>
      <w:outlineLvl w:val="1"/>
    </w:pPr>
    <w:rPr>
      <w:rFonts w:ascii="Times New Roman" w:hAnsi="Times New Roman"/>
      <w:b/>
      <w:bCs/>
      <w:sz w:val="30"/>
      <w:szCs w:val="30"/>
    </w:rPr>
  </w:style>
  <w:style w:type="paragraph" w:styleId="5">
    <w:name w:val="heading 3"/>
    <w:basedOn w:val="1"/>
    <w:next w:val="1"/>
    <w:link w:val="77"/>
    <w:qFormat/>
    <w:uiPriority w:val="0"/>
    <w:pPr>
      <w:keepNext/>
      <w:keepLines/>
      <w:spacing w:beforeLines="0" w:afterLines="0" w:line="360" w:lineRule="auto"/>
      <w:ind w:firstLine="0" w:firstLineChars="0"/>
      <w:jc w:val="left"/>
      <w:outlineLvl w:val="2"/>
    </w:pPr>
    <w:rPr>
      <w:rFonts w:ascii="Times New Roman" w:hAnsi="Times New Roman"/>
      <w:b/>
      <w:bCs/>
    </w:rPr>
  </w:style>
  <w:style w:type="paragraph" w:styleId="6">
    <w:name w:val="heading 4"/>
    <w:basedOn w:val="1"/>
    <w:next w:val="1"/>
    <w:link w:val="60"/>
    <w:qFormat/>
    <w:uiPriority w:val="99"/>
    <w:pPr>
      <w:keepNext/>
      <w:keepLines/>
      <w:adjustRightInd w:val="0"/>
      <w:snapToGrid w:val="0"/>
      <w:spacing w:beforeLines="0" w:afterLines="0" w:line="360" w:lineRule="auto"/>
      <w:ind w:firstLine="0" w:firstLineChars="0"/>
      <w:outlineLvl w:val="3"/>
    </w:pPr>
    <w:rPr>
      <w:rFonts w:ascii="Times New Roman" w:hAnsi="Times New Roman" w:eastAsia="宋体"/>
    </w:rPr>
  </w:style>
  <w:style w:type="paragraph" w:styleId="7">
    <w:name w:val="heading 5"/>
    <w:basedOn w:val="1"/>
    <w:next w:val="1"/>
    <w:link w:val="61"/>
    <w:qFormat/>
    <w:uiPriority w:val="0"/>
    <w:pPr>
      <w:keepNext/>
      <w:keepLines/>
      <w:widowControl/>
      <w:tabs>
        <w:tab w:val="left" w:pos="377"/>
        <w:tab w:val="left" w:pos="1247"/>
      </w:tabs>
      <w:spacing w:beforeLines="0" w:beforeAutospacing="0" w:afterLines="0" w:line="360" w:lineRule="auto"/>
      <w:ind w:left="0" w:firstLine="0" w:firstLineChars="0"/>
      <w:jc w:val="left"/>
      <w:outlineLvl w:val="4"/>
    </w:pPr>
    <w:rPr>
      <w:rFonts w:eastAsia="宋体"/>
      <w:kern w:val="0"/>
    </w:rPr>
  </w:style>
  <w:style w:type="paragraph" w:styleId="8">
    <w:name w:val="heading 6"/>
    <w:basedOn w:val="1"/>
    <w:next w:val="1"/>
    <w:link w:val="62"/>
    <w:qFormat/>
    <w:uiPriority w:val="0"/>
    <w:pPr>
      <w:keepNext/>
      <w:keepLines/>
      <w:widowControl/>
      <w:tabs>
        <w:tab w:val="left" w:pos="377"/>
        <w:tab w:val="left" w:pos="737"/>
      </w:tabs>
      <w:spacing w:before="240" w:beforeLines="0" w:after="64" w:afterLines="0" w:line="317" w:lineRule="auto"/>
      <w:ind w:left="737" w:hanging="510"/>
      <w:outlineLvl w:val="5"/>
    </w:pPr>
    <w:rPr>
      <w:rFonts w:eastAsia="黑体"/>
      <w:bCs/>
      <w:kern w:val="0"/>
      <w:sz w:val="28"/>
      <w:szCs w:val="28"/>
    </w:rPr>
  </w:style>
  <w:style w:type="paragraph" w:styleId="9">
    <w:name w:val="heading 7"/>
    <w:basedOn w:val="1"/>
    <w:next w:val="1"/>
    <w:qFormat/>
    <w:uiPriority w:val="0"/>
    <w:pPr>
      <w:keepNext/>
      <w:keepLines/>
      <w:spacing w:before="240" w:beforeLines="0" w:after="64" w:afterLines="0" w:line="319" w:lineRule="auto"/>
      <w:outlineLvl w:val="6"/>
    </w:pPr>
    <w:rPr>
      <w:b/>
      <w:bCs/>
      <w:sz w:val="24"/>
    </w:rPr>
  </w:style>
  <w:style w:type="paragraph" w:styleId="10">
    <w:name w:val="heading 8"/>
    <w:basedOn w:val="1"/>
    <w:next w:val="1"/>
    <w:link w:val="63"/>
    <w:qFormat/>
    <w:uiPriority w:val="0"/>
    <w:pPr>
      <w:keepNext/>
      <w:keepLines/>
      <w:widowControl/>
      <w:tabs>
        <w:tab w:val="left" w:pos="377"/>
        <w:tab w:val="left" w:pos="737"/>
      </w:tabs>
      <w:spacing w:before="240" w:beforeLines="0" w:after="64" w:afterLines="0" w:line="317" w:lineRule="auto"/>
      <w:ind w:left="737" w:hanging="510"/>
      <w:outlineLvl w:val="7"/>
    </w:pPr>
    <w:rPr>
      <w:rFonts w:eastAsia="黑体"/>
      <w:kern w:val="0"/>
      <w:sz w:val="28"/>
      <w:szCs w:val="28"/>
    </w:rPr>
  </w:style>
  <w:style w:type="paragraph" w:styleId="11">
    <w:name w:val="heading 9"/>
    <w:basedOn w:val="1"/>
    <w:next w:val="1"/>
    <w:qFormat/>
    <w:uiPriority w:val="0"/>
    <w:pPr>
      <w:keepNext/>
      <w:keepLines/>
      <w:tabs>
        <w:tab w:val="left" w:pos="1584"/>
      </w:tabs>
      <w:snapToGrid w:val="0"/>
      <w:spacing w:before="240" w:after="64" w:line="360" w:lineRule="auto"/>
      <w:ind w:left="1584" w:hanging="1584"/>
      <w:outlineLvl w:val="8"/>
    </w:pPr>
    <w:rPr>
      <w:sz w:val="24"/>
      <w:szCs w:val="28"/>
    </w:rPr>
  </w:style>
  <w:style w:type="character" w:default="1" w:styleId="48">
    <w:name w:val="Default Paragraph Font"/>
    <w:qFormat/>
    <w:uiPriority w:val="0"/>
  </w:style>
  <w:style w:type="table" w:default="1" w:styleId="45">
    <w:name w:val="Normal Table"/>
    <w:semiHidden/>
    <w:qFormat/>
    <w:uiPriority w:val="0"/>
    <w:tblPr>
      <w:tblCellMar>
        <w:top w:w="0" w:type="dxa"/>
        <w:left w:w="108" w:type="dxa"/>
        <w:bottom w:w="0" w:type="dxa"/>
        <w:right w:w="108" w:type="dxa"/>
      </w:tblCellMar>
    </w:tblPr>
  </w:style>
  <w:style w:type="paragraph" w:customStyle="1" w:styleId="2">
    <w:name w:val="正文样式"/>
    <w:basedOn w:val="1"/>
    <w:qFormat/>
    <w:uiPriority w:val="0"/>
    <w:pPr>
      <w:adjustRightInd w:val="0"/>
      <w:snapToGrid w:val="0"/>
      <w:spacing w:line="520" w:lineRule="exact"/>
      <w:ind w:firstLine="562"/>
    </w:pPr>
    <w:rPr>
      <w:color w:val="000000"/>
      <w:sz w:val="28"/>
      <w:szCs w:val="28"/>
    </w:rPr>
  </w:style>
  <w:style w:type="paragraph" w:styleId="12">
    <w:name w:val="toc 7"/>
    <w:basedOn w:val="1"/>
    <w:next w:val="1"/>
    <w:qFormat/>
    <w:uiPriority w:val="39"/>
    <w:pPr>
      <w:ind w:left="2520" w:leftChars="1200"/>
    </w:pPr>
    <w:rPr>
      <w:rFonts w:ascii="宋体"/>
    </w:rPr>
  </w:style>
  <w:style w:type="paragraph" w:styleId="13">
    <w:name w:val="Note Heading"/>
    <w:basedOn w:val="1"/>
    <w:next w:val="1"/>
    <w:qFormat/>
    <w:uiPriority w:val="0"/>
    <w:pPr>
      <w:jc w:val="center"/>
    </w:pPr>
    <w:rPr>
      <w:rFonts w:hint="eastAsia" w:ascii="宋体"/>
      <w:szCs w:val="20"/>
    </w:rPr>
  </w:style>
  <w:style w:type="paragraph" w:styleId="14">
    <w:name w:val="Normal Indent"/>
    <w:basedOn w:val="1"/>
    <w:link w:val="64"/>
    <w:qFormat/>
    <w:uiPriority w:val="0"/>
    <w:pPr>
      <w:ind w:firstLine="420" w:firstLineChars="200"/>
    </w:pPr>
  </w:style>
  <w:style w:type="paragraph" w:styleId="15">
    <w:name w:val="caption"/>
    <w:basedOn w:val="1"/>
    <w:next w:val="1"/>
    <w:qFormat/>
    <w:uiPriority w:val="0"/>
    <w:pPr>
      <w:widowControl w:val="0"/>
      <w:spacing w:line="240" w:lineRule="auto"/>
    </w:pPr>
    <w:rPr>
      <w:rFonts w:ascii="Arial" w:hAnsi="Arial" w:eastAsia="黑体" w:cs="Arial"/>
      <w:kern w:val="2"/>
      <w:sz w:val="20"/>
      <w:szCs w:val="20"/>
    </w:rPr>
  </w:style>
  <w:style w:type="paragraph" w:styleId="16">
    <w:name w:val="Document Map"/>
    <w:basedOn w:val="1"/>
    <w:semiHidden/>
    <w:qFormat/>
    <w:uiPriority w:val="0"/>
    <w:pPr>
      <w:shd w:val="clear" w:color="auto" w:fill="000080"/>
    </w:pPr>
  </w:style>
  <w:style w:type="paragraph" w:styleId="17">
    <w:name w:val="annotation text"/>
    <w:basedOn w:val="1"/>
    <w:link w:val="65"/>
    <w:qFormat/>
    <w:uiPriority w:val="0"/>
    <w:pPr>
      <w:widowControl/>
      <w:tabs>
        <w:tab w:val="left" w:pos="377"/>
      </w:tabs>
      <w:spacing w:line="360" w:lineRule="auto"/>
      <w:jc w:val="left"/>
    </w:pPr>
    <w:rPr>
      <w:rFonts w:ascii="宋体"/>
      <w:kern w:val="0"/>
      <w:sz w:val="24"/>
    </w:rPr>
  </w:style>
  <w:style w:type="paragraph" w:styleId="18">
    <w:name w:val="Body Text"/>
    <w:basedOn w:val="1"/>
    <w:link w:val="66"/>
    <w:qFormat/>
    <w:uiPriority w:val="0"/>
    <w:pPr>
      <w:spacing w:after="120" w:afterLines="0"/>
    </w:pPr>
  </w:style>
  <w:style w:type="paragraph" w:styleId="19">
    <w:name w:val="Body Text Indent"/>
    <w:basedOn w:val="1"/>
    <w:next w:val="14"/>
    <w:link w:val="67"/>
    <w:qFormat/>
    <w:uiPriority w:val="0"/>
    <w:pPr>
      <w:spacing w:after="120"/>
      <w:ind w:left="420" w:leftChars="200"/>
    </w:pPr>
  </w:style>
  <w:style w:type="paragraph" w:styleId="20">
    <w:name w:val="List 2"/>
    <w:basedOn w:val="1"/>
    <w:qFormat/>
    <w:uiPriority w:val="0"/>
    <w:pPr>
      <w:widowControl w:val="0"/>
      <w:spacing w:line="360" w:lineRule="auto"/>
      <w:ind w:left="100" w:leftChars="200" w:hanging="200" w:hangingChars="200"/>
    </w:pPr>
    <w:rPr>
      <w:szCs w:val="20"/>
    </w:rPr>
  </w:style>
  <w:style w:type="paragraph" w:styleId="21">
    <w:name w:val="Block Text"/>
    <w:basedOn w:val="1"/>
    <w:qFormat/>
    <w:uiPriority w:val="0"/>
    <w:pPr>
      <w:spacing w:line="360" w:lineRule="auto"/>
      <w:ind w:left="146" w:right="146" w:firstLine="200"/>
    </w:pPr>
    <w:rPr>
      <w:kern w:val="24"/>
      <w:sz w:val="24"/>
      <w:szCs w:val="20"/>
    </w:rPr>
  </w:style>
  <w:style w:type="paragraph" w:styleId="22">
    <w:name w:val="toc 5"/>
    <w:basedOn w:val="1"/>
    <w:next w:val="1"/>
    <w:unhideWhenUsed/>
    <w:qFormat/>
    <w:uiPriority w:val="39"/>
    <w:pPr>
      <w:ind w:left="1680" w:leftChars="800"/>
    </w:pPr>
    <w:rPr>
      <w:rFonts w:ascii="Calibri" w:hAnsi="Calibri" w:eastAsia="宋体" w:cs="Times New Roman"/>
      <w:szCs w:val="22"/>
    </w:rPr>
  </w:style>
  <w:style w:type="paragraph" w:styleId="23">
    <w:name w:val="toc 3"/>
    <w:basedOn w:val="1"/>
    <w:next w:val="1"/>
    <w:qFormat/>
    <w:uiPriority w:val="39"/>
    <w:pPr>
      <w:ind w:left="840" w:leftChars="400"/>
    </w:pPr>
  </w:style>
  <w:style w:type="paragraph" w:styleId="24">
    <w:name w:val="Plain Text"/>
    <w:basedOn w:val="1"/>
    <w:link w:val="68"/>
    <w:qFormat/>
    <w:uiPriority w:val="0"/>
    <w:rPr>
      <w:rFonts w:ascii="宋体" w:hAnsi="Courier New"/>
      <w:szCs w:val="20"/>
    </w:rPr>
  </w:style>
  <w:style w:type="paragraph" w:styleId="25">
    <w:name w:val="toc 8"/>
    <w:basedOn w:val="1"/>
    <w:next w:val="1"/>
    <w:unhideWhenUsed/>
    <w:qFormat/>
    <w:uiPriority w:val="39"/>
    <w:pPr>
      <w:ind w:left="2940" w:leftChars="1400"/>
    </w:pPr>
    <w:rPr>
      <w:rFonts w:ascii="Calibri" w:hAnsi="Calibri" w:eastAsia="宋体" w:cs="Times New Roman"/>
      <w:szCs w:val="22"/>
    </w:rPr>
  </w:style>
  <w:style w:type="paragraph" w:styleId="26">
    <w:name w:val="Date"/>
    <w:basedOn w:val="1"/>
    <w:next w:val="1"/>
    <w:qFormat/>
    <w:uiPriority w:val="0"/>
    <w:pPr>
      <w:ind w:left="100" w:leftChars="2500"/>
    </w:pPr>
  </w:style>
  <w:style w:type="paragraph" w:styleId="27">
    <w:name w:val="Body Text Indent 2"/>
    <w:basedOn w:val="1"/>
    <w:qFormat/>
    <w:uiPriority w:val="0"/>
    <w:pPr>
      <w:spacing w:after="120" w:line="480" w:lineRule="auto"/>
      <w:ind w:left="420" w:leftChars="200"/>
    </w:pPr>
  </w:style>
  <w:style w:type="paragraph" w:styleId="28">
    <w:name w:val="Balloon Text"/>
    <w:basedOn w:val="1"/>
    <w:link w:val="69"/>
    <w:qFormat/>
    <w:uiPriority w:val="0"/>
    <w:rPr>
      <w:sz w:val="18"/>
      <w:szCs w:val="18"/>
    </w:rPr>
  </w:style>
  <w:style w:type="paragraph" w:styleId="29">
    <w:name w:val="footer"/>
    <w:basedOn w:val="1"/>
    <w:link w:val="70"/>
    <w:qFormat/>
    <w:uiPriority w:val="99"/>
    <w:pPr>
      <w:tabs>
        <w:tab w:val="center" w:pos="4153"/>
        <w:tab w:val="right" w:pos="8306"/>
      </w:tabs>
      <w:snapToGrid w:val="0"/>
      <w:jc w:val="left"/>
    </w:pPr>
    <w:rPr>
      <w:sz w:val="18"/>
      <w:szCs w:val="18"/>
    </w:rPr>
  </w:style>
  <w:style w:type="paragraph" w:styleId="30">
    <w:name w:val="header"/>
    <w:basedOn w:val="1"/>
    <w:link w:val="71"/>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qFormat/>
    <w:uiPriority w:val="39"/>
    <w:pPr>
      <w:tabs>
        <w:tab w:val="right" w:leader="dot" w:pos="8302"/>
      </w:tabs>
      <w:adjustRightInd w:val="0"/>
      <w:snapToGrid w:val="0"/>
      <w:spacing w:line="360" w:lineRule="auto"/>
    </w:pPr>
    <w:rPr>
      <w:rFonts w:eastAsia="宋体"/>
      <w:b/>
      <w:sz w:val="28"/>
    </w:rPr>
  </w:style>
  <w:style w:type="paragraph" w:styleId="32">
    <w:name w:val="toc 4"/>
    <w:basedOn w:val="1"/>
    <w:next w:val="1"/>
    <w:unhideWhenUsed/>
    <w:qFormat/>
    <w:uiPriority w:val="39"/>
    <w:pPr>
      <w:ind w:left="1260" w:leftChars="600"/>
    </w:pPr>
    <w:rPr>
      <w:rFonts w:ascii="Calibri" w:hAnsi="Calibri" w:eastAsia="宋体" w:cs="Times New Roman"/>
      <w:szCs w:val="22"/>
    </w:rPr>
  </w:style>
  <w:style w:type="paragraph" w:styleId="33">
    <w:name w:val="List"/>
    <w:basedOn w:val="1"/>
    <w:qFormat/>
    <w:uiPriority w:val="0"/>
    <w:pPr>
      <w:adjustRightInd w:val="0"/>
      <w:spacing w:line="312" w:lineRule="atLeast"/>
      <w:ind w:left="420" w:hanging="420"/>
      <w:textAlignment w:val="baseline"/>
    </w:pPr>
    <w:rPr>
      <w:kern w:val="0"/>
      <w:szCs w:val="20"/>
    </w:rPr>
  </w:style>
  <w:style w:type="paragraph" w:styleId="34">
    <w:name w:val="toc 6"/>
    <w:basedOn w:val="1"/>
    <w:next w:val="1"/>
    <w:qFormat/>
    <w:uiPriority w:val="39"/>
    <w:pPr>
      <w:ind w:left="2100" w:leftChars="1000"/>
    </w:pPr>
    <w:rPr>
      <w:rFonts w:ascii="宋体"/>
    </w:rPr>
  </w:style>
  <w:style w:type="paragraph" w:styleId="35">
    <w:name w:val="Body Text Indent 3"/>
    <w:basedOn w:val="1"/>
    <w:link w:val="72"/>
    <w:qFormat/>
    <w:uiPriority w:val="0"/>
    <w:pPr>
      <w:spacing w:after="120"/>
      <w:ind w:left="420" w:leftChars="200"/>
    </w:pPr>
    <w:rPr>
      <w:sz w:val="16"/>
      <w:szCs w:val="16"/>
    </w:rPr>
  </w:style>
  <w:style w:type="paragraph" w:styleId="36">
    <w:name w:val="toc 2"/>
    <w:basedOn w:val="1"/>
    <w:next w:val="1"/>
    <w:qFormat/>
    <w:uiPriority w:val="39"/>
    <w:pPr>
      <w:tabs>
        <w:tab w:val="right" w:leader="dot" w:pos="8296"/>
      </w:tabs>
      <w:adjustRightInd w:val="0"/>
      <w:snapToGrid w:val="0"/>
      <w:spacing w:line="360" w:lineRule="auto"/>
      <w:ind w:left="200" w:leftChars="200"/>
    </w:pPr>
    <w:rPr>
      <w:bCs/>
      <w:sz w:val="24"/>
      <w:szCs w:val="28"/>
    </w:rPr>
  </w:style>
  <w:style w:type="paragraph" w:styleId="37">
    <w:name w:val="toc 9"/>
    <w:basedOn w:val="1"/>
    <w:next w:val="1"/>
    <w:unhideWhenUsed/>
    <w:qFormat/>
    <w:uiPriority w:val="39"/>
    <w:pPr>
      <w:ind w:left="3360" w:leftChars="1600"/>
    </w:pPr>
    <w:rPr>
      <w:rFonts w:ascii="Calibri" w:hAnsi="Calibri" w:eastAsia="宋体" w:cs="Times New Roman"/>
      <w:szCs w:val="22"/>
    </w:rPr>
  </w:style>
  <w:style w:type="paragraph" w:styleId="38">
    <w:name w:val="Body Text 2"/>
    <w:basedOn w:val="1"/>
    <w:link w:val="73"/>
    <w:qFormat/>
    <w:uiPriority w:val="0"/>
    <w:pPr>
      <w:jc w:val="right"/>
    </w:pPr>
    <w:rPr>
      <w:rFonts w:ascii="宋体"/>
      <w:szCs w:val="20"/>
    </w:rPr>
  </w:style>
  <w:style w:type="paragraph" w:styleId="39">
    <w:name w:val="Normal (Web)"/>
    <w:basedOn w:val="1"/>
    <w:link w:val="74"/>
    <w:qFormat/>
    <w:uiPriority w:val="0"/>
    <w:pPr>
      <w:widowControl/>
      <w:spacing w:before="100" w:beforeAutospacing="1" w:after="100" w:afterAutospacing="1"/>
      <w:jc w:val="left"/>
    </w:pPr>
    <w:rPr>
      <w:rFonts w:ascii="宋体" w:hAnsi="宋体" w:cs="宋体"/>
      <w:kern w:val="0"/>
      <w:sz w:val="24"/>
    </w:rPr>
  </w:style>
  <w:style w:type="paragraph" w:styleId="40">
    <w:name w:val="index 1"/>
    <w:basedOn w:val="1"/>
    <w:next w:val="1"/>
    <w:qFormat/>
    <w:uiPriority w:val="0"/>
    <w:pPr>
      <w:spacing w:line="360" w:lineRule="exact"/>
    </w:pPr>
    <w:rPr>
      <w:szCs w:val="20"/>
    </w:rPr>
  </w:style>
  <w:style w:type="paragraph" w:styleId="41">
    <w:name w:val="Title"/>
    <w:basedOn w:val="1"/>
    <w:next w:val="1"/>
    <w:link w:val="75"/>
    <w:qFormat/>
    <w:uiPriority w:val="0"/>
    <w:pPr>
      <w:spacing w:line="360" w:lineRule="auto"/>
      <w:jc w:val="center"/>
      <w:outlineLvl w:val="0"/>
    </w:pPr>
    <w:rPr>
      <w:rFonts w:ascii="宋体" w:hAnsi="Arial" w:cs="Arial"/>
      <w:b/>
      <w:bCs/>
      <w:sz w:val="32"/>
      <w:szCs w:val="18"/>
    </w:rPr>
  </w:style>
  <w:style w:type="paragraph" w:styleId="42">
    <w:name w:val="annotation subject"/>
    <w:basedOn w:val="17"/>
    <w:next w:val="17"/>
    <w:link w:val="76"/>
    <w:qFormat/>
    <w:uiPriority w:val="0"/>
    <w:pPr>
      <w:widowControl w:val="0"/>
      <w:tabs>
        <w:tab w:val="clear" w:pos="377"/>
      </w:tabs>
      <w:spacing w:line="240" w:lineRule="auto"/>
    </w:pPr>
    <w:rPr>
      <w:b/>
      <w:bCs/>
      <w:kern w:val="2"/>
      <w:sz w:val="21"/>
    </w:rPr>
  </w:style>
  <w:style w:type="paragraph" w:styleId="43">
    <w:name w:val="Body Text First Indent"/>
    <w:basedOn w:val="18"/>
    <w:qFormat/>
    <w:uiPriority w:val="0"/>
    <w:pPr>
      <w:ind w:firstLine="420" w:firstLineChars="100"/>
    </w:pPr>
    <w:rPr>
      <w:spacing w:val="6"/>
      <w:w w:val="92"/>
      <w:kern w:val="24"/>
      <w:sz w:val="26"/>
      <w:szCs w:val="20"/>
    </w:rPr>
  </w:style>
  <w:style w:type="paragraph" w:styleId="44">
    <w:name w:val="Body Text First Indent 2"/>
    <w:basedOn w:val="19"/>
    <w:qFormat/>
    <w:uiPriority w:val="0"/>
    <w:pPr>
      <w:ind w:firstLine="420" w:firstLineChars="200"/>
    </w:pPr>
  </w:style>
  <w:style w:type="table" w:styleId="46">
    <w:name w:val="Table Grid"/>
    <w:basedOn w:val="4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7">
    <w:name w:val="Table Theme"/>
    <w:basedOn w:val="4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qFormat/>
    <w:uiPriority w:val="0"/>
    <w:rPr>
      <w:b/>
      <w:bCs/>
    </w:rPr>
  </w:style>
  <w:style w:type="character" w:styleId="50">
    <w:name w:val="page number"/>
    <w:qFormat/>
    <w:uiPriority w:val="0"/>
  </w:style>
  <w:style w:type="character" w:styleId="51">
    <w:name w:val="FollowedHyperlink"/>
    <w:qFormat/>
    <w:uiPriority w:val="0"/>
    <w:rPr>
      <w:color w:val="800080"/>
      <w:u w:val="single"/>
    </w:rPr>
  </w:style>
  <w:style w:type="character" w:styleId="52">
    <w:name w:val="Hyperlink"/>
    <w:qFormat/>
    <w:uiPriority w:val="99"/>
    <w:rPr>
      <w:color w:val="0000FF"/>
      <w:u w:val="single"/>
    </w:rPr>
  </w:style>
  <w:style w:type="character" w:styleId="53">
    <w:name w:val="annotation reference"/>
    <w:qFormat/>
    <w:uiPriority w:val="0"/>
    <w:rPr>
      <w:sz w:val="21"/>
      <w:szCs w:val="21"/>
    </w:rPr>
  </w:style>
  <w:style w:type="paragraph" w:customStyle="1" w:styleId="54">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55">
    <w:name w:val="Normal Indent1"/>
    <w:basedOn w:val="1"/>
    <w:qFormat/>
    <w:uiPriority w:val="0"/>
    <w:pPr>
      <w:ind w:firstLine="420" w:firstLineChars="200"/>
    </w:pPr>
  </w:style>
  <w:style w:type="paragraph" w:customStyle="1" w:styleId="56">
    <w:name w:val="正文缩进1"/>
    <w:basedOn w:val="1"/>
    <w:qFormat/>
    <w:uiPriority w:val="0"/>
    <w:pPr>
      <w:ind w:firstLine="420" w:firstLineChars="200"/>
    </w:pPr>
  </w:style>
  <w:style w:type="character" w:customStyle="1" w:styleId="57">
    <w:name w:val="标题 1 Char"/>
    <w:link w:val="3"/>
    <w:qFormat/>
    <w:uiPriority w:val="0"/>
    <w:rPr>
      <w:rFonts w:ascii="Times New Roman" w:hAnsi="Times New Roman" w:eastAsia="宋体"/>
      <w:b/>
      <w:bCs/>
      <w:kern w:val="2"/>
      <w:sz w:val="36"/>
      <w:szCs w:val="36"/>
      <w:lang w:val="en-US" w:eastAsia="zh-CN" w:bidi="ar-SA"/>
    </w:rPr>
  </w:style>
  <w:style w:type="character" w:customStyle="1" w:styleId="58">
    <w:name w:val="标题 2 Char1"/>
    <w:link w:val="4"/>
    <w:qFormat/>
    <w:uiPriority w:val="0"/>
    <w:rPr>
      <w:rFonts w:ascii="Times New Roman" w:hAnsi="Times New Roman" w:eastAsia="宋体"/>
      <w:b/>
      <w:bCs/>
      <w:kern w:val="2"/>
      <w:sz w:val="30"/>
      <w:szCs w:val="30"/>
      <w:lang w:val="en-US" w:eastAsia="zh-CN"/>
    </w:rPr>
  </w:style>
  <w:style w:type="character" w:customStyle="1" w:styleId="59">
    <w:name w:val="标题 3 Char"/>
    <w:link w:val="5"/>
    <w:qFormat/>
    <w:uiPriority w:val="0"/>
    <w:rPr>
      <w:rFonts w:ascii="Times New Roman" w:hAnsi="Times New Roman" w:eastAsia="宋体"/>
      <w:b/>
      <w:bCs/>
      <w:kern w:val="2"/>
      <w:sz w:val="28"/>
      <w:szCs w:val="28"/>
    </w:rPr>
  </w:style>
  <w:style w:type="character" w:customStyle="1" w:styleId="60">
    <w:name w:val="标题 4 Char"/>
    <w:link w:val="6"/>
    <w:qFormat/>
    <w:uiPriority w:val="99"/>
    <w:rPr>
      <w:rFonts w:ascii="Times New Roman" w:hAnsi="Times New Roman" w:eastAsia="宋体"/>
      <w:kern w:val="2"/>
      <w:sz w:val="28"/>
      <w:szCs w:val="28"/>
    </w:rPr>
  </w:style>
  <w:style w:type="character" w:customStyle="1" w:styleId="61">
    <w:name w:val="标题 5 Char"/>
    <w:link w:val="7"/>
    <w:qFormat/>
    <w:uiPriority w:val="0"/>
    <w:rPr>
      <w:rFonts w:eastAsia="宋体"/>
      <w:sz w:val="28"/>
      <w:szCs w:val="28"/>
    </w:rPr>
  </w:style>
  <w:style w:type="character" w:customStyle="1" w:styleId="62">
    <w:name w:val="标题 6 Char"/>
    <w:link w:val="8"/>
    <w:qFormat/>
    <w:uiPriority w:val="0"/>
    <w:rPr>
      <w:rFonts w:eastAsia="黑体"/>
      <w:bCs/>
      <w:sz w:val="28"/>
      <w:szCs w:val="28"/>
    </w:rPr>
  </w:style>
  <w:style w:type="character" w:customStyle="1" w:styleId="63">
    <w:name w:val="标题 8 Char"/>
    <w:link w:val="10"/>
    <w:qFormat/>
    <w:uiPriority w:val="0"/>
    <w:rPr>
      <w:rFonts w:eastAsia="黑体"/>
      <w:sz w:val="28"/>
      <w:szCs w:val="28"/>
    </w:rPr>
  </w:style>
  <w:style w:type="character" w:customStyle="1" w:styleId="64">
    <w:name w:val="正文缩进 Char"/>
    <w:link w:val="14"/>
    <w:qFormat/>
    <w:uiPriority w:val="0"/>
    <w:rPr>
      <w:rFonts w:eastAsia="宋体"/>
      <w:kern w:val="2"/>
      <w:sz w:val="21"/>
      <w:szCs w:val="24"/>
      <w:lang w:val="en-US" w:eastAsia="zh-CN" w:bidi="ar-SA"/>
    </w:rPr>
  </w:style>
  <w:style w:type="character" w:customStyle="1" w:styleId="65">
    <w:name w:val="批注文字 Char"/>
    <w:link w:val="17"/>
    <w:qFormat/>
    <w:uiPriority w:val="0"/>
    <w:rPr>
      <w:rFonts w:ascii="宋体"/>
      <w:sz w:val="24"/>
      <w:szCs w:val="24"/>
    </w:rPr>
  </w:style>
  <w:style w:type="character" w:customStyle="1" w:styleId="66">
    <w:name w:val="正文文本 Char"/>
    <w:link w:val="18"/>
    <w:qFormat/>
    <w:uiPriority w:val="0"/>
    <w:rPr>
      <w:kern w:val="2"/>
      <w:sz w:val="21"/>
      <w:szCs w:val="24"/>
    </w:rPr>
  </w:style>
  <w:style w:type="character" w:customStyle="1" w:styleId="67">
    <w:name w:val="正文文本缩进 Char1"/>
    <w:link w:val="19"/>
    <w:qFormat/>
    <w:uiPriority w:val="0"/>
    <w:rPr>
      <w:rFonts w:eastAsia="宋体"/>
      <w:kern w:val="2"/>
      <w:sz w:val="21"/>
      <w:szCs w:val="24"/>
      <w:lang w:val="en-US" w:eastAsia="zh-CN" w:bidi="ar-SA"/>
    </w:rPr>
  </w:style>
  <w:style w:type="character" w:customStyle="1" w:styleId="68">
    <w:name w:val="纯文本 Char2"/>
    <w:link w:val="24"/>
    <w:qFormat/>
    <w:uiPriority w:val="0"/>
    <w:rPr>
      <w:rFonts w:ascii="宋体" w:hAnsi="Courier New"/>
      <w:kern w:val="2"/>
      <w:sz w:val="21"/>
      <w:lang w:bidi="ar-SA"/>
    </w:rPr>
  </w:style>
  <w:style w:type="character" w:customStyle="1" w:styleId="69">
    <w:name w:val="批注框文本 Char"/>
    <w:link w:val="28"/>
    <w:qFormat/>
    <w:uiPriority w:val="0"/>
    <w:rPr>
      <w:kern w:val="2"/>
      <w:sz w:val="18"/>
      <w:szCs w:val="18"/>
    </w:rPr>
  </w:style>
  <w:style w:type="character" w:customStyle="1" w:styleId="70">
    <w:name w:val="页脚 Char"/>
    <w:link w:val="29"/>
    <w:qFormat/>
    <w:uiPriority w:val="99"/>
    <w:rPr>
      <w:kern w:val="2"/>
      <w:sz w:val="18"/>
      <w:szCs w:val="18"/>
    </w:rPr>
  </w:style>
  <w:style w:type="character" w:customStyle="1" w:styleId="71">
    <w:name w:val="页眉 Char"/>
    <w:link w:val="30"/>
    <w:qFormat/>
    <w:uiPriority w:val="0"/>
    <w:rPr>
      <w:kern w:val="2"/>
      <w:sz w:val="18"/>
      <w:szCs w:val="18"/>
    </w:rPr>
  </w:style>
  <w:style w:type="character" w:customStyle="1" w:styleId="72">
    <w:name w:val="正文文本缩进 3 Char1"/>
    <w:link w:val="35"/>
    <w:qFormat/>
    <w:uiPriority w:val="0"/>
    <w:rPr>
      <w:rFonts w:eastAsia="宋体"/>
      <w:kern w:val="2"/>
      <w:sz w:val="16"/>
      <w:szCs w:val="16"/>
      <w:lang w:val="en-US" w:eastAsia="zh-CN" w:bidi="ar-SA"/>
    </w:rPr>
  </w:style>
  <w:style w:type="character" w:customStyle="1" w:styleId="73">
    <w:name w:val="正文文本 2 Char"/>
    <w:link w:val="38"/>
    <w:qFormat/>
    <w:uiPriority w:val="0"/>
    <w:rPr>
      <w:rFonts w:ascii="宋体"/>
      <w:kern w:val="2"/>
      <w:sz w:val="21"/>
    </w:rPr>
  </w:style>
  <w:style w:type="character" w:customStyle="1" w:styleId="74">
    <w:name w:val="普通(网站) Char"/>
    <w:link w:val="39"/>
    <w:qFormat/>
    <w:locked/>
    <w:uiPriority w:val="0"/>
    <w:rPr>
      <w:rFonts w:ascii="宋体" w:hAnsi="宋体" w:cs="宋体"/>
      <w:sz w:val="24"/>
      <w:szCs w:val="24"/>
    </w:rPr>
  </w:style>
  <w:style w:type="character" w:customStyle="1" w:styleId="75">
    <w:name w:val="标题 Char"/>
    <w:link w:val="41"/>
    <w:qFormat/>
    <w:uiPriority w:val="0"/>
    <w:rPr>
      <w:rFonts w:ascii="宋体" w:hAnsi="Arial" w:eastAsia="宋体" w:cs="Arial"/>
      <w:b/>
      <w:bCs/>
      <w:kern w:val="2"/>
      <w:sz w:val="32"/>
      <w:szCs w:val="18"/>
      <w:lang w:val="en-US" w:eastAsia="zh-CN" w:bidi="ar-SA"/>
    </w:rPr>
  </w:style>
  <w:style w:type="character" w:customStyle="1" w:styleId="76">
    <w:name w:val="批注主题 Char1"/>
    <w:link w:val="42"/>
    <w:qFormat/>
    <w:uiPriority w:val="0"/>
    <w:rPr>
      <w:rFonts w:ascii="宋体"/>
      <w:b/>
      <w:bCs/>
      <w:kern w:val="2"/>
      <w:sz w:val="21"/>
      <w:szCs w:val="24"/>
    </w:rPr>
  </w:style>
  <w:style w:type="character" w:customStyle="1" w:styleId="77">
    <w:name w:val="标题 3 Char1"/>
    <w:link w:val="5"/>
    <w:qFormat/>
    <w:uiPriority w:val="0"/>
    <w:rPr>
      <w:rFonts w:ascii="Times New Roman" w:hAnsi="Times New Roman" w:eastAsia="宋体"/>
      <w:b/>
      <w:bCs/>
      <w:kern w:val="2"/>
      <w:sz w:val="28"/>
      <w:szCs w:val="28"/>
    </w:rPr>
  </w:style>
  <w:style w:type="paragraph" w:customStyle="1" w:styleId="78">
    <w:name w:val="Title"/>
    <w:basedOn w:val="1"/>
    <w:qFormat/>
    <w:uiPriority w:val="0"/>
    <w:pPr>
      <w:spacing w:line="500" w:lineRule="exact"/>
      <w:jc w:val="center"/>
      <w:outlineLvl w:val="0"/>
    </w:pPr>
    <w:rPr>
      <w:rFonts w:ascii="宋体" w:hAnsi="宋体" w:eastAsia="仿宋_GB2312" w:cs="宋体"/>
      <w:bCs/>
      <w:kern w:val="0"/>
      <w:sz w:val="28"/>
      <w:szCs w:val="18"/>
    </w:rPr>
  </w:style>
  <w:style w:type="paragraph" w:customStyle="1" w:styleId="79">
    <w:name w:val="样式 正文 首行缩进:  2 字符 SL CON + 首行缩进:  2 字符 + 首行缩进:  2 字符 + 首行缩..."/>
    <w:basedOn w:val="80"/>
    <w:qFormat/>
    <w:uiPriority w:val="0"/>
    <w:pPr>
      <w:widowControl/>
      <w:tabs>
        <w:tab w:val="left" w:pos="377"/>
      </w:tabs>
      <w:spacing w:line="360" w:lineRule="auto"/>
      <w:ind w:firstLine="560" w:firstLineChars="200"/>
    </w:pPr>
    <w:rPr>
      <w:rFonts w:ascii="宋体" w:cs="宋体"/>
      <w:kern w:val="0"/>
      <w:sz w:val="28"/>
      <w:szCs w:val="20"/>
    </w:rPr>
  </w:style>
  <w:style w:type="paragraph" w:customStyle="1" w:styleId="80">
    <w:name w:val="样式 样式 正文 首行缩进:  2 字符 SL CON + 首行缩进:  2 字符 + 首行缩进:  2 字符"/>
    <w:basedOn w:val="81"/>
    <w:qFormat/>
    <w:uiPriority w:val="0"/>
    <w:pPr>
      <w:tabs>
        <w:tab w:val="left" w:pos="377"/>
      </w:tabs>
    </w:pPr>
  </w:style>
  <w:style w:type="paragraph" w:customStyle="1" w:styleId="81">
    <w:name w:val="样式 正文 首行缩进:  2 字符 SL CON + 首行缩进:  2 字符"/>
    <w:basedOn w:val="82"/>
    <w:qFormat/>
    <w:uiPriority w:val="0"/>
    <w:pPr>
      <w:tabs>
        <w:tab w:val="left" w:pos="377"/>
      </w:tabs>
    </w:pPr>
    <w:rPr>
      <w:szCs w:val="20"/>
    </w:rPr>
  </w:style>
  <w:style w:type="paragraph" w:customStyle="1" w:styleId="82">
    <w:name w:val="正文 首行缩进:  2 字符 SL CON"/>
    <w:basedOn w:val="1"/>
    <w:link w:val="83"/>
    <w:qFormat/>
    <w:uiPriority w:val="0"/>
    <w:pPr>
      <w:widowControl/>
      <w:tabs>
        <w:tab w:val="left" w:pos="377"/>
      </w:tabs>
      <w:spacing w:line="360" w:lineRule="auto"/>
      <w:ind w:firstLine="200" w:firstLineChars="200"/>
    </w:pPr>
    <w:rPr>
      <w:rFonts w:ascii="宋体" w:cs="宋体"/>
      <w:kern w:val="0"/>
      <w:sz w:val="28"/>
    </w:rPr>
  </w:style>
  <w:style w:type="character" w:customStyle="1" w:styleId="83">
    <w:name w:val="正文 首行缩进:  2 字符 SL CON Char"/>
    <w:link w:val="82"/>
    <w:qFormat/>
    <w:uiPriority w:val="0"/>
    <w:rPr>
      <w:rFonts w:ascii="宋体" w:eastAsia="宋体" w:cs="宋体"/>
      <w:sz w:val="28"/>
      <w:szCs w:val="24"/>
      <w:lang w:val="en-US" w:eastAsia="zh-CN" w:bidi="ar-SA"/>
    </w:rPr>
  </w:style>
  <w:style w:type="character" w:customStyle="1" w:styleId="84">
    <w:name w:val="二级标题 Char2"/>
    <w:qFormat/>
    <w:uiPriority w:val="0"/>
    <w:rPr>
      <w:rFonts w:ascii="Arial" w:hAnsi="Arial" w:eastAsia="黑体"/>
      <w:b/>
      <w:kern w:val="2"/>
      <w:sz w:val="32"/>
      <w:lang w:val="en-US" w:eastAsia="zh-CN"/>
    </w:rPr>
  </w:style>
  <w:style w:type="character" w:customStyle="1" w:styleId="85">
    <w:name w:val="style121"/>
    <w:qFormat/>
    <w:uiPriority w:val="0"/>
    <w:rPr>
      <w:rFonts w:hint="default" w:ascii="Arial" w:hAnsi="Arial" w:cs="Arial"/>
      <w:color w:val="333333"/>
      <w:sz w:val="23"/>
      <w:szCs w:val="23"/>
    </w:rPr>
  </w:style>
  <w:style w:type="character" w:customStyle="1" w:styleId="86">
    <w:name w:val="y 报告-4 Char"/>
    <w:link w:val="87"/>
    <w:qFormat/>
    <w:uiPriority w:val="0"/>
    <w:rPr>
      <w:rFonts w:ascii="黑体" w:hAnsi="黑体" w:eastAsia="黑体"/>
      <w:kern w:val="2"/>
      <w:sz w:val="24"/>
      <w:szCs w:val="24"/>
    </w:rPr>
  </w:style>
  <w:style w:type="paragraph" w:customStyle="1" w:styleId="87">
    <w:name w:val="y 报告-4"/>
    <w:basedOn w:val="1"/>
    <w:link w:val="86"/>
    <w:qFormat/>
    <w:uiPriority w:val="0"/>
    <w:pPr>
      <w:keepNext/>
      <w:keepLines/>
      <w:widowControl/>
      <w:tabs>
        <w:tab w:val="left" w:pos="1134"/>
        <w:tab w:val="left" w:pos="5501"/>
      </w:tabs>
      <w:spacing w:line="360" w:lineRule="auto"/>
      <w:ind w:left="400" w:hanging="400" w:hangingChars="400"/>
      <w:outlineLvl w:val="3"/>
    </w:pPr>
    <w:rPr>
      <w:rFonts w:ascii="黑体" w:hAnsi="黑体" w:eastAsia="黑体"/>
      <w:sz w:val="24"/>
    </w:rPr>
  </w:style>
  <w:style w:type="character" w:customStyle="1" w:styleId="88">
    <w:name w:val="表内5 Char"/>
    <w:link w:val="89"/>
    <w:qFormat/>
    <w:uiPriority w:val="0"/>
    <w:rPr>
      <w:rFonts w:ascii="宋体" w:hAnsi="宋体" w:eastAsia="宋体"/>
      <w:sz w:val="21"/>
      <w:szCs w:val="21"/>
      <w:lang w:val="en-US" w:eastAsia="zh-CN"/>
    </w:rPr>
  </w:style>
  <w:style w:type="paragraph" w:customStyle="1" w:styleId="89">
    <w:name w:val="表内5"/>
    <w:basedOn w:val="90"/>
    <w:link w:val="88"/>
    <w:qFormat/>
    <w:uiPriority w:val="0"/>
    <w:pPr>
      <w:adjustRightInd w:val="0"/>
      <w:snapToGrid w:val="0"/>
      <w:ind w:firstLine="0" w:firstLineChars="0"/>
      <w:jc w:val="center"/>
    </w:pPr>
    <w:rPr>
      <w:rFonts w:ascii="宋体" w:hAnsi="宋体"/>
      <w:kern w:val="0"/>
      <w:szCs w:val="21"/>
    </w:rPr>
  </w:style>
  <w:style w:type="paragraph" w:customStyle="1" w:styleId="90">
    <w:name w:val="Normal Indent"/>
    <w:basedOn w:val="1"/>
    <w:qFormat/>
    <w:uiPriority w:val="0"/>
    <w:pPr>
      <w:ind w:firstLine="420" w:firstLineChars="200"/>
    </w:pPr>
  </w:style>
  <w:style w:type="character" w:customStyle="1" w:styleId="91">
    <w:name w:val="page number"/>
    <w:qFormat/>
    <w:uiPriority w:val="0"/>
  </w:style>
  <w:style w:type="character" w:customStyle="1" w:styleId="92">
    <w:name w:val="yw表格居中五号 Char"/>
    <w:link w:val="93"/>
    <w:qFormat/>
    <w:uiPriority w:val="0"/>
    <w:rPr>
      <w:sz w:val="24"/>
      <w:szCs w:val="28"/>
      <w:lang w:val="en-US" w:eastAsia="zh-CN" w:bidi="ar-SA"/>
    </w:rPr>
  </w:style>
  <w:style w:type="paragraph" w:customStyle="1" w:styleId="93">
    <w:name w:val="yw表格居中五号"/>
    <w:link w:val="92"/>
    <w:qFormat/>
    <w:uiPriority w:val="0"/>
    <w:pPr>
      <w:autoSpaceDE w:val="0"/>
      <w:autoSpaceDN w:val="0"/>
      <w:adjustRightInd w:val="0"/>
      <w:snapToGrid w:val="0"/>
      <w:jc w:val="center"/>
    </w:pPr>
    <w:rPr>
      <w:rFonts w:ascii="Times New Roman" w:hAnsi="Times New Roman" w:eastAsia="宋体" w:cs="Times New Roman"/>
      <w:sz w:val="24"/>
      <w:szCs w:val="28"/>
      <w:lang w:val="en-US" w:eastAsia="zh-CN" w:bidi="ar-SA"/>
    </w:rPr>
  </w:style>
  <w:style w:type="character" w:customStyle="1" w:styleId="94">
    <w:name w:val="参考文献 黑体 小三 SL CON"/>
    <w:qFormat/>
    <w:uiPriority w:val="0"/>
    <w:rPr>
      <w:rFonts w:ascii="黑体" w:hAnsi="黑体" w:eastAsia="黑体"/>
      <w:sz w:val="30"/>
    </w:rPr>
  </w:style>
  <w:style w:type="character" w:customStyle="1" w:styleId="95">
    <w:name w:val="标题 2 Char"/>
    <w:qFormat/>
    <w:uiPriority w:val="0"/>
    <w:rPr>
      <w:rFonts w:eastAsia="宋体"/>
      <w:kern w:val="2"/>
      <w:sz w:val="28"/>
      <w:lang w:val="en-US" w:eastAsia="zh-CN" w:bidi="ar-SA"/>
    </w:rPr>
  </w:style>
  <w:style w:type="character" w:customStyle="1" w:styleId="96">
    <w:name w:val="标题 3 Char3"/>
    <w:qFormat/>
    <w:uiPriority w:val="0"/>
    <w:rPr>
      <w:rFonts w:eastAsia="宋体"/>
      <w:b/>
      <w:bCs/>
      <w:sz w:val="32"/>
      <w:szCs w:val="32"/>
      <w:lang w:val="en-US" w:eastAsia="zh-CN" w:bidi="ar-SA"/>
    </w:rPr>
  </w:style>
  <w:style w:type="character" w:customStyle="1" w:styleId="97">
    <w:name w:val="表格标题 Char"/>
    <w:link w:val="98"/>
    <w:qFormat/>
    <w:uiPriority w:val="0"/>
    <w:rPr>
      <w:rFonts w:ascii="宋体" w:hAnsi="宋体" w:eastAsia="宋体"/>
      <w:spacing w:val="20"/>
      <w:kern w:val="2"/>
      <w:sz w:val="24"/>
      <w:lang w:val="en-US" w:eastAsia="zh-CN"/>
    </w:rPr>
  </w:style>
  <w:style w:type="paragraph" w:customStyle="1" w:styleId="98">
    <w:name w:val="表格标题"/>
    <w:basedOn w:val="1"/>
    <w:link w:val="97"/>
    <w:qFormat/>
    <w:uiPriority w:val="0"/>
    <w:pPr>
      <w:spacing w:line="360" w:lineRule="auto"/>
      <w:ind w:firstLine="200" w:firstLineChars="200"/>
      <w:jc w:val="center"/>
    </w:pPr>
    <w:rPr>
      <w:rFonts w:ascii="宋体" w:hAnsi="宋体"/>
      <w:spacing w:val="20"/>
      <w:sz w:val="24"/>
      <w:szCs w:val="20"/>
    </w:rPr>
  </w:style>
  <w:style w:type="character" w:customStyle="1" w:styleId="99">
    <w:name w:val="font31"/>
    <w:qFormat/>
    <w:uiPriority w:val="0"/>
    <w:rPr>
      <w:rFonts w:hint="eastAsia" w:ascii="宋体" w:hAnsi="宋体" w:eastAsia="宋体" w:cs="宋体"/>
      <w:color w:val="000000"/>
      <w:sz w:val="18"/>
      <w:szCs w:val="18"/>
      <w:u w:val="none"/>
    </w:rPr>
  </w:style>
  <w:style w:type="character" w:customStyle="1" w:styleId="100">
    <w:name w:val="普通文字 Char Char"/>
    <w:qFormat/>
    <w:uiPriority w:val="0"/>
    <w:rPr>
      <w:rFonts w:ascii="宋体" w:hAnsi="宋体" w:eastAsia="宋体" w:cs="宋体"/>
      <w:sz w:val="24"/>
      <w:szCs w:val="24"/>
      <w:lang w:val="en-US" w:eastAsia="zh-CN" w:bidi="ar-SA"/>
    </w:rPr>
  </w:style>
  <w:style w:type="character" w:customStyle="1" w:styleId="101">
    <w:name w:val="标4 字符"/>
    <w:link w:val="102"/>
    <w:qFormat/>
    <w:uiPriority w:val="0"/>
    <w:rPr>
      <w:lang w:val="en-US" w:eastAsia="zh-CN" w:bidi="ar-SA"/>
    </w:rPr>
  </w:style>
  <w:style w:type="paragraph" w:customStyle="1" w:styleId="102">
    <w:name w:val="标4"/>
    <w:basedOn w:val="103"/>
    <w:link w:val="101"/>
    <w:qFormat/>
    <w:uiPriority w:val="0"/>
    <w:pPr>
      <w:keepNext w:val="0"/>
      <w:keepLines w:val="0"/>
      <w:widowControl w:val="0"/>
      <w:tabs>
        <w:tab w:val="left" w:pos="377"/>
        <w:tab w:val="left" w:pos="960"/>
        <w:tab w:val="left" w:pos="1036"/>
      </w:tabs>
      <w:spacing w:before="0" w:beforeLines="0" w:after="0" w:afterLines="0"/>
      <w:outlineLvl w:val="3"/>
    </w:pPr>
  </w:style>
  <w:style w:type="paragraph" w:customStyle="1" w:styleId="103">
    <w:name w:val="标题 3 SL CON"/>
    <w:basedOn w:val="1"/>
    <w:next w:val="1"/>
    <w:link w:val="104"/>
    <w:qFormat/>
    <w:uiPriority w:val="0"/>
    <w:pPr>
      <w:keepNext/>
      <w:keepLines/>
      <w:widowControl/>
      <w:tabs>
        <w:tab w:val="left" w:pos="377"/>
        <w:tab w:val="left" w:pos="960"/>
        <w:tab w:val="left" w:pos="1036"/>
      </w:tabs>
      <w:spacing w:before="100" w:beforeLines="0" w:beforeAutospacing="1" w:line="360" w:lineRule="auto"/>
      <w:ind w:left="1036" w:hanging="964"/>
      <w:outlineLvl w:val="2"/>
    </w:pPr>
    <w:rPr>
      <w:rFonts w:ascii="黑体" w:eastAsia="黑体" w:cs="宋体"/>
      <w:kern w:val="0"/>
      <w:sz w:val="28"/>
      <w:szCs w:val="20"/>
    </w:rPr>
  </w:style>
  <w:style w:type="character" w:customStyle="1" w:styleId="104">
    <w:name w:val="标题 3 SL CON Char"/>
    <w:link w:val="103"/>
    <w:qFormat/>
    <w:uiPriority w:val="0"/>
    <w:rPr>
      <w:rFonts w:ascii="黑体" w:eastAsia="黑体" w:cs="宋体"/>
      <w:sz w:val="28"/>
      <w:lang w:val="en-US" w:eastAsia="zh-CN" w:bidi="ar-SA"/>
    </w:rPr>
  </w:style>
  <w:style w:type="character" w:customStyle="1" w:styleId="105">
    <w:name w:val="apple-style-span"/>
    <w:qFormat/>
    <w:uiPriority w:val="0"/>
  </w:style>
  <w:style w:type="character" w:customStyle="1" w:styleId="106">
    <w:name w:val="公式书写 居中 段前: 6 磅 段后: 6 磅 SL CON Char"/>
    <w:link w:val="107"/>
    <w:qFormat/>
    <w:uiPriority w:val="0"/>
    <w:rPr>
      <w:rFonts w:ascii="宋体" w:cs="宋体"/>
      <w:sz w:val="24"/>
    </w:rPr>
  </w:style>
  <w:style w:type="paragraph" w:customStyle="1" w:styleId="107">
    <w:name w:val="公式书写 居中 段前: 6 磅 段后: 6 磅 SL CON"/>
    <w:basedOn w:val="1"/>
    <w:link w:val="106"/>
    <w:qFormat/>
    <w:uiPriority w:val="0"/>
    <w:pPr>
      <w:widowControl/>
      <w:tabs>
        <w:tab w:val="left" w:pos="377"/>
      </w:tabs>
      <w:spacing w:before="120" w:beforeLines="0" w:after="120" w:afterLines="0" w:line="360" w:lineRule="auto"/>
      <w:jc w:val="center"/>
    </w:pPr>
    <w:rPr>
      <w:rFonts w:ascii="宋体"/>
      <w:kern w:val="0"/>
      <w:sz w:val="24"/>
      <w:szCs w:val="20"/>
    </w:rPr>
  </w:style>
  <w:style w:type="character" w:customStyle="1" w:styleId="108">
    <w:name w:val="F文字-上标"/>
    <w:qFormat/>
    <w:uiPriority w:val="0"/>
    <w:rPr>
      <w:rFonts w:ascii="Bodoni MT Condensed" w:hAnsi="Bodoni MT Condensed" w:eastAsia="宋体"/>
      <w:sz w:val="24"/>
      <w:szCs w:val="24"/>
      <w:vertAlign w:val="superscript"/>
    </w:rPr>
  </w:style>
  <w:style w:type="character" w:customStyle="1" w:styleId="109">
    <w:name w:val="纯文本 Char"/>
    <w:link w:val="110"/>
    <w:qFormat/>
    <w:uiPriority w:val="0"/>
    <w:rPr>
      <w:rFonts w:ascii="宋体" w:hAnsi="Courier New"/>
      <w:kern w:val="2"/>
      <w:sz w:val="21"/>
    </w:rPr>
  </w:style>
  <w:style w:type="paragraph" w:customStyle="1" w:styleId="110">
    <w:name w:val="Plain Text"/>
    <w:basedOn w:val="1"/>
    <w:link w:val="109"/>
    <w:qFormat/>
    <w:uiPriority w:val="0"/>
    <w:rPr>
      <w:rFonts w:ascii="宋体" w:hAnsi="Courier New"/>
      <w:szCs w:val="20"/>
    </w:rPr>
  </w:style>
  <w:style w:type="character" w:customStyle="1" w:styleId="111">
    <w:name w:val="p11"/>
    <w:qFormat/>
    <w:uiPriority w:val="0"/>
    <w:rPr>
      <w:sz w:val="18"/>
      <w:szCs w:val="18"/>
    </w:rPr>
  </w:style>
  <w:style w:type="character" w:customStyle="1" w:styleId="112">
    <w:name w:val="正文文本缩进 Char"/>
    <w:qFormat/>
    <w:uiPriority w:val="0"/>
    <w:rPr>
      <w:rFonts w:ascii="宋体" w:eastAsia="宋体"/>
      <w:spacing w:val="10"/>
      <w:sz w:val="24"/>
      <w:lang w:val="en-US" w:eastAsia="zh-CN" w:bidi="ar-SA"/>
    </w:rPr>
  </w:style>
  <w:style w:type="character" w:customStyle="1" w:styleId="113">
    <w:name w:val="已访问的超链接[858D7CFB-ED40-4347-BF05-701D383B685F]"/>
    <w:qFormat/>
    <w:uiPriority w:val="0"/>
    <w:rPr>
      <w:color w:val="800080"/>
      <w:u w:val="single"/>
    </w:rPr>
  </w:style>
  <w:style w:type="character" w:customStyle="1" w:styleId="114">
    <w:name w:val="批注主题 Char"/>
    <w:link w:val="115"/>
    <w:qFormat/>
    <w:uiPriority w:val="0"/>
    <w:rPr>
      <w:rFonts w:ascii="宋体"/>
      <w:b/>
      <w:bCs/>
      <w:sz w:val="24"/>
      <w:szCs w:val="24"/>
    </w:rPr>
  </w:style>
  <w:style w:type="paragraph" w:customStyle="1" w:styleId="115">
    <w:name w:val="annotation subject"/>
    <w:basedOn w:val="17"/>
    <w:next w:val="17"/>
    <w:link w:val="114"/>
    <w:qFormat/>
    <w:uiPriority w:val="0"/>
    <w:rPr>
      <w:b/>
      <w:bCs/>
    </w:rPr>
  </w:style>
  <w:style w:type="character" w:customStyle="1" w:styleId="116">
    <w:name w:val="正文2 Char"/>
    <w:link w:val="117"/>
    <w:qFormat/>
    <w:uiPriority w:val="0"/>
    <w:rPr>
      <w:rFonts w:hAnsi="宋体" w:cs="宋体"/>
      <w:lang w:val="en-US" w:eastAsia="zh-CN" w:bidi="ar-SA"/>
    </w:rPr>
  </w:style>
  <w:style w:type="paragraph" w:customStyle="1" w:styleId="117">
    <w:name w:val="正文2"/>
    <w:next w:val="1"/>
    <w:link w:val="116"/>
    <w:qFormat/>
    <w:uiPriority w:val="0"/>
    <w:pPr>
      <w:ind w:firstLine="480" w:firstLineChars="200"/>
    </w:pPr>
    <w:rPr>
      <w:rFonts w:ascii="Times New Roman" w:hAnsi="宋体" w:eastAsia="宋体" w:cs="宋体"/>
      <w:lang w:val="en-US" w:eastAsia="zh-CN" w:bidi="ar-SA"/>
    </w:rPr>
  </w:style>
  <w:style w:type="character" w:customStyle="1" w:styleId="118">
    <w:name w:val="表格标题样式 Char"/>
    <w:link w:val="119"/>
    <w:qFormat/>
    <w:uiPriority w:val="99"/>
    <w:rPr>
      <w:rFonts w:ascii="宋体" w:hAnsi="宋体"/>
      <w:b/>
      <w:bCs/>
      <w:sz w:val="21"/>
      <w:szCs w:val="21"/>
    </w:rPr>
  </w:style>
  <w:style w:type="paragraph" w:customStyle="1" w:styleId="119">
    <w:name w:val="表格标题样式"/>
    <w:basedOn w:val="1"/>
    <w:link w:val="118"/>
    <w:qFormat/>
    <w:uiPriority w:val="99"/>
    <w:pPr>
      <w:adjustRightInd w:val="0"/>
      <w:snapToGrid w:val="0"/>
      <w:spacing w:line="360" w:lineRule="auto"/>
      <w:jc w:val="center"/>
    </w:pPr>
    <w:rPr>
      <w:rFonts w:ascii="宋体" w:hAnsi="宋体"/>
      <w:b/>
      <w:bCs/>
      <w:kern w:val="0"/>
      <w:szCs w:val="21"/>
    </w:rPr>
  </w:style>
  <w:style w:type="character" w:customStyle="1" w:styleId="120">
    <w:name w:val="font41"/>
    <w:qFormat/>
    <w:uiPriority w:val="0"/>
    <w:rPr>
      <w:rFonts w:hint="eastAsia" w:ascii="宋体" w:hAnsi="宋体" w:eastAsia="宋体" w:cs="宋体"/>
      <w:color w:val="000000"/>
      <w:sz w:val="18"/>
      <w:szCs w:val="18"/>
      <w:u w:val="none"/>
    </w:rPr>
  </w:style>
  <w:style w:type="character" w:customStyle="1" w:styleId="121">
    <w:name w:val="列出段落 Char"/>
    <w:link w:val="122"/>
    <w:qFormat/>
    <w:uiPriority w:val="0"/>
    <w:rPr>
      <w:rFonts w:ascii="Calibri" w:hAnsi="Calibri"/>
      <w:kern w:val="2"/>
      <w:sz w:val="21"/>
      <w:szCs w:val="22"/>
    </w:rPr>
  </w:style>
  <w:style w:type="paragraph" w:styleId="122">
    <w:name w:val="List Paragraph"/>
    <w:basedOn w:val="1"/>
    <w:link w:val="121"/>
    <w:qFormat/>
    <w:uiPriority w:val="0"/>
    <w:pPr>
      <w:ind w:firstLine="420" w:firstLineChars="200"/>
    </w:pPr>
    <w:rPr>
      <w:rFonts w:ascii="Calibri" w:hAnsi="Calibri"/>
      <w:szCs w:val="22"/>
    </w:rPr>
  </w:style>
  <w:style w:type="character" w:customStyle="1" w:styleId="123">
    <w:name w:val=" Char Char8"/>
    <w:qFormat/>
    <w:uiPriority w:val="0"/>
    <w:rPr>
      <w:rFonts w:ascii="Arial" w:hAnsi="Arial" w:eastAsia="黑体"/>
      <w:snapToGrid w:val="0"/>
      <w:sz w:val="32"/>
      <w:szCs w:val="32"/>
      <w:lang w:val="en-US" w:eastAsia="zh-CN" w:bidi="ar-SA"/>
      <w14:shadow w14:blurRad="50800" w14:dist="38100" w14:dir="2700000" w14:sx="100000" w14:sy="100000" w14:kx="0" w14:ky="0" w14:algn="tl">
        <w14:srgbClr w14:val="000000">
          <w14:alpha w14:val="60000"/>
        </w14:srgbClr>
      </w14:shadow>
    </w:rPr>
  </w:style>
  <w:style w:type="character" w:customStyle="1" w:styleId="124">
    <w:name w:val="无间隔 Char"/>
    <w:link w:val="125"/>
    <w:qFormat/>
    <w:uiPriority w:val="1"/>
    <w:rPr>
      <w:rFonts w:ascii="宋体"/>
      <w:sz w:val="24"/>
      <w:szCs w:val="24"/>
    </w:rPr>
  </w:style>
  <w:style w:type="paragraph" w:styleId="125">
    <w:name w:val="No Spacing"/>
    <w:link w:val="124"/>
    <w:qFormat/>
    <w:uiPriority w:val="99"/>
    <w:pPr>
      <w:tabs>
        <w:tab w:val="left" w:pos="377"/>
      </w:tabs>
      <w:jc w:val="both"/>
    </w:pPr>
    <w:rPr>
      <w:rFonts w:ascii="宋体" w:hAnsi="Times New Roman" w:eastAsia="宋体" w:cs="Times New Roman"/>
      <w:sz w:val="24"/>
      <w:szCs w:val="24"/>
      <w:lang w:val="en-US" w:eastAsia="zh-CN" w:bidi="ar-SA"/>
    </w:rPr>
  </w:style>
  <w:style w:type="character" w:customStyle="1" w:styleId="126">
    <w:name w:val="A正文 Char"/>
    <w:link w:val="127"/>
    <w:qFormat/>
    <w:uiPriority w:val="0"/>
    <w:rPr>
      <w:rFonts w:eastAsia="仿宋_GB2312"/>
      <w:sz w:val="24"/>
      <w:szCs w:val="24"/>
      <w:lang w:val="en-US" w:eastAsia="zh-CN" w:bidi="ar-SA"/>
    </w:rPr>
  </w:style>
  <w:style w:type="paragraph" w:customStyle="1" w:styleId="127">
    <w:name w:val="A正文"/>
    <w:basedOn w:val="1"/>
    <w:link w:val="126"/>
    <w:qFormat/>
    <w:uiPriority w:val="0"/>
    <w:pPr>
      <w:widowControl/>
      <w:overflowPunct w:val="0"/>
      <w:autoSpaceDE w:val="0"/>
      <w:autoSpaceDN w:val="0"/>
      <w:adjustRightInd w:val="0"/>
      <w:spacing w:line="360" w:lineRule="auto"/>
      <w:ind w:firstLine="200" w:firstLineChars="200"/>
      <w:jc w:val="left"/>
      <w:textAlignment w:val="baseline"/>
    </w:pPr>
    <w:rPr>
      <w:rFonts w:eastAsia="仿宋_GB2312"/>
      <w:kern w:val="0"/>
      <w:sz w:val="24"/>
    </w:rPr>
  </w:style>
  <w:style w:type="character" w:customStyle="1" w:styleId="128">
    <w:name w:val="纯文本 Char1"/>
    <w:qFormat/>
    <w:uiPriority w:val="0"/>
    <w:rPr>
      <w:rFonts w:ascii="宋体" w:hAnsi="Courier New"/>
      <w:kern w:val="2"/>
      <w:sz w:val="21"/>
    </w:rPr>
  </w:style>
  <w:style w:type="character" w:customStyle="1" w:styleId="129">
    <w:name w:val="！正文 Char"/>
    <w:link w:val="130"/>
    <w:qFormat/>
    <w:uiPriority w:val="0"/>
    <w:rPr>
      <w:rFonts w:eastAsia="宋体"/>
      <w:kern w:val="2"/>
      <w:sz w:val="24"/>
      <w:lang w:bidi="ar-SA"/>
    </w:rPr>
  </w:style>
  <w:style w:type="paragraph" w:customStyle="1" w:styleId="130">
    <w:name w:val="！正文"/>
    <w:basedOn w:val="1"/>
    <w:link w:val="129"/>
    <w:qFormat/>
    <w:uiPriority w:val="0"/>
    <w:pPr>
      <w:spacing w:line="360" w:lineRule="auto"/>
      <w:ind w:firstLine="480" w:firstLineChars="200"/>
    </w:pPr>
    <w:rPr>
      <w:sz w:val="24"/>
      <w:szCs w:val="20"/>
    </w:rPr>
  </w:style>
  <w:style w:type="character" w:customStyle="1" w:styleId="131">
    <w:name w:val="内容正文 字符"/>
    <w:link w:val="132"/>
    <w:qFormat/>
    <w:uiPriority w:val="0"/>
    <w:rPr>
      <w:lang w:val="en-US" w:eastAsia="zh-CN" w:bidi="ar-SA"/>
    </w:rPr>
  </w:style>
  <w:style w:type="paragraph" w:customStyle="1" w:styleId="132">
    <w:name w:val="内容正文"/>
    <w:basedOn w:val="102"/>
    <w:link w:val="131"/>
    <w:qFormat/>
    <w:uiPriority w:val="0"/>
    <w:pPr>
      <w:ind w:firstLine="200" w:firstLineChars="200"/>
      <w:outlineLvl w:val="9"/>
    </w:pPr>
  </w:style>
  <w:style w:type="character" w:customStyle="1" w:styleId="133">
    <w:name w:val="表（或图）标题 样式 宋体 五号 居中 SL CON Char"/>
    <w:link w:val="134"/>
    <w:qFormat/>
    <w:uiPriority w:val="0"/>
    <w:rPr>
      <w:rFonts w:ascii="宋体" w:hAnsi="宋体" w:eastAsia="宋体" w:cs="宋体"/>
      <w:b/>
      <w:sz w:val="21"/>
      <w:lang w:val="en-US" w:eastAsia="zh-CN" w:bidi="ar-SA"/>
    </w:rPr>
  </w:style>
  <w:style w:type="paragraph" w:customStyle="1" w:styleId="134">
    <w:name w:val="表（或图）标题 样式 宋体 五号 居中 SL CON"/>
    <w:basedOn w:val="1"/>
    <w:link w:val="133"/>
    <w:qFormat/>
    <w:uiPriority w:val="0"/>
    <w:pPr>
      <w:widowControl/>
      <w:tabs>
        <w:tab w:val="left" w:pos="377"/>
      </w:tabs>
      <w:spacing w:before="100" w:beforeLines="0" w:beforeAutospacing="1" w:line="360" w:lineRule="auto"/>
      <w:jc w:val="center"/>
    </w:pPr>
    <w:rPr>
      <w:rFonts w:ascii="宋体" w:hAnsi="宋体" w:cs="宋体"/>
      <w:b/>
      <w:kern w:val="0"/>
      <w:szCs w:val="20"/>
    </w:rPr>
  </w:style>
  <w:style w:type="character" w:customStyle="1" w:styleId="135">
    <w:name w:val="标题 2 SL CON Char"/>
    <w:link w:val="136"/>
    <w:qFormat/>
    <w:uiPriority w:val="0"/>
    <w:rPr>
      <w:rFonts w:ascii="黑体" w:eastAsia="黑体" w:cs="宋体"/>
      <w:sz w:val="30"/>
      <w:szCs w:val="24"/>
      <w:lang w:val="en-US" w:eastAsia="zh-CN" w:bidi="ar-SA"/>
    </w:rPr>
  </w:style>
  <w:style w:type="paragraph" w:customStyle="1" w:styleId="136">
    <w:name w:val="标题 2 SL CON"/>
    <w:basedOn w:val="1"/>
    <w:next w:val="1"/>
    <w:link w:val="135"/>
    <w:qFormat/>
    <w:uiPriority w:val="0"/>
    <w:pPr>
      <w:widowControl/>
      <w:tabs>
        <w:tab w:val="left" w:pos="377"/>
        <w:tab w:val="left" w:pos="794"/>
      </w:tabs>
      <w:spacing w:before="100" w:beforeLines="0" w:beforeAutospacing="1" w:line="360" w:lineRule="auto"/>
      <w:ind w:left="794" w:hanging="681"/>
      <w:outlineLvl w:val="1"/>
    </w:pPr>
    <w:rPr>
      <w:rFonts w:ascii="黑体" w:eastAsia="黑体" w:cs="宋体"/>
      <w:kern w:val="0"/>
      <w:sz w:val="30"/>
    </w:rPr>
  </w:style>
  <w:style w:type="character" w:customStyle="1" w:styleId="137">
    <w:name w:val="节下项目标题 Char"/>
    <w:link w:val="138"/>
    <w:qFormat/>
    <w:uiPriority w:val="0"/>
    <w:rPr>
      <w:rFonts w:ascii="宋体" w:hAnsi="宋体" w:eastAsia="黑体"/>
      <w:b/>
      <w:kern w:val="2"/>
      <w:sz w:val="28"/>
      <w:szCs w:val="24"/>
      <w:lang w:val="en-US" w:eastAsia="zh-CN"/>
    </w:rPr>
  </w:style>
  <w:style w:type="paragraph" w:customStyle="1" w:styleId="138">
    <w:name w:val="节下项目标题"/>
    <w:basedOn w:val="1"/>
    <w:next w:val="1"/>
    <w:link w:val="137"/>
    <w:qFormat/>
    <w:uiPriority w:val="0"/>
    <w:pPr>
      <w:spacing w:line="360" w:lineRule="auto"/>
      <w:ind w:firstLine="200" w:firstLineChars="200"/>
      <w:jc w:val="left"/>
    </w:pPr>
    <w:rPr>
      <w:rFonts w:ascii="宋体" w:hAnsi="宋体" w:eastAsia="黑体"/>
      <w:b/>
      <w:sz w:val="28"/>
    </w:rPr>
  </w:style>
  <w:style w:type="character" w:customStyle="1" w:styleId="139">
    <w:name w:val="annotation reference"/>
    <w:qFormat/>
    <w:uiPriority w:val="0"/>
    <w:rPr>
      <w:sz w:val="21"/>
      <w:szCs w:val="21"/>
    </w:rPr>
  </w:style>
  <w:style w:type="character" w:customStyle="1" w:styleId="140">
    <w:name w:val="font51"/>
    <w:qFormat/>
    <w:uiPriority w:val="0"/>
    <w:rPr>
      <w:rFonts w:hint="eastAsia" w:ascii="宋体" w:hAnsi="宋体" w:eastAsia="宋体" w:cs="宋体"/>
      <w:color w:val="000000"/>
      <w:sz w:val="18"/>
      <w:szCs w:val="18"/>
      <w:u w:val="none"/>
    </w:rPr>
  </w:style>
  <w:style w:type="character" w:customStyle="1" w:styleId="141">
    <w:name w:val="样式 标题 3 SL CON + 段前: 0.5 行 Char"/>
    <w:link w:val="142"/>
    <w:qFormat/>
    <w:uiPriority w:val="0"/>
    <w:rPr>
      <w:rFonts w:ascii="黑体" w:eastAsia="黑体" w:cs="宋体"/>
      <w:bCs/>
      <w:sz w:val="28"/>
      <w:lang w:val="en-US" w:eastAsia="zh-CN" w:bidi="ar-SA"/>
    </w:rPr>
  </w:style>
  <w:style w:type="paragraph" w:customStyle="1" w:styleId="142">
    <w:name w:val="样式 标题 3 SL CON + 段前: 0.5 行"/>
    <w:basedOn w:val="1"/>
    <w:link w:val="141"/>
    <w:qFormat/>
    <w:uiPriority w:val="0"/>
    <w:pPr>
      <w:keepNext/>
      <w:keepLines/>
      <w:widowControl/>
      <w:tabs>
        <w:tab w:val="left" w:pos="377"/>
        <w:tab w:val="left" w:pos="907"/>
      </w:tabs>
      <w:spacing w:before="100" w:beforeLines="0" w:beforeAutospacing="1" w:line="360" w:lineRule="auto"/>
      <w:ind w:left="907" w:hanging="794"/>
      <w:outlineLvl w:val="2"/>
    </w:pPr>
    <w:rPr>
      <w:rFonts w:ascii="黑体" w:eastAsia="黑体" w:cs="宋体"/>
      <w:bCs/>
      <w:kern w:val="0"/>
      <w:sz w:val="28"/>
      <w:szCs w:val="20"/>
    </w:rPr>
  </w:style>
  <w:style w:type="character" w:customStyle="1" w:styleId="143">
    <w:name w:val="正文文本缩进 3 Char"/>
    <w:qFormat/>
    <w:uiPriority w:val="0"/>
    <w:rPr>
      <w:rFonts w:ascii="楷体_GB2312" w:eastAsia="楷体_GB2312"/>
      <w:sz w:val="28"/>
      <w:lang w:val="en-US" w:eastAsia="zh-CN" w:bidi="ar-SA"/>
    </w:rPr>
  </w:style>
  <w:style w:type="character" w:customStyle="1" w:styleId="144">
    <w:name w:val="Re Char1"/>
    <w:qFormat/>
    <w:uiPriority w:val="0"/>
    <w:rPr>
      <w:b/>
      <w:bCs/>
      <w:kern w:val="2"/>
      <w:sz w:val="32"/>
      <w:szCs w:val="32"/>
    </w:rPr>
  </w:style>
  <w:style w:type="character" w:customStyle="1" w:styleId="145">
    <w:name w:val="燕山正文 Char"/>
    <w:link w:val="146"/>
    <w:qFormat/>
    <w:uiPriority w:val="0"/>
    <w:rPr>
      <w:rFonts w:ascii="宋体" w:hAnsi="宋体" w:eastAsia="宋体"/>
      <w:color w:val="000000"/>
      <w:kern w:val="2"/>
      <w:sz w:val="28"/>
      <w:szCs w:val="28"/>
      <w:lang w:val="en-US" w:eastAsia="zh-CN"/>
    </w:rPr>
  </w:style>
  <w:style w:type="paragraph" w:customStyle="1" w:styleId="146">
    <w:name w:val="燕山正文"/>
    <w:basedOn w:val="1"/>
    <w:link w:val="145"/>
    <w:qFormat/>
    <w:uiPriority w:val="0"/>
    <w:pPr>
      <w:tabs>
        <w:tab w:val="left" w:pos="4680"/>
      </w:tabs>
      <w:adjustRightInd w:val="0"/>
      <w:snapToGrid w:val="0"/>
      <w:spacing w:line="360" w:lineRule="auto"/>
      <w:ind w:firstLine="560" w:firstLineChars="200"/>
    </w:pPr>
    <w:rPr>
      <w:rFonts w:ascii="宋体" w:hAnsi="宋体"/>
      <w:color w:val="000000"/>
      <w:sz w:val="28"/>
      <w:szCs w:val="28"/>
    </w:rPr>
  </w:style>
  <w:style w:type="character" w:customStyle="1" w:styleId="147">
    <w:name w:val="style71"/>
    <w:qFormat/>
    <w:uiPriority w:val="0"/>
    <w:rPr>
      <w:sz w:val="20"/>
      <w:szCs w:val="20"/>
    </w:rPr>
  </w:style>
  <w:style w:type="character" w:customStyle="1" w:styleId="148">
    <w:name w:val="注释标题 Char"/>
    <w:link w:val="149"/>
    <w:qFormat/>
    <w:uiPriority w:val="0"/>
    <w:rPr>
      <w:rFonts w:ascii="宋体" w:cs="宋体"/>
      <w:kern w:val="2"/>
      <w:sz w:val="21"/>
      <w:szCs w:val="21"/>
    </w:rPr>
  </w:style>
  <w:style w:type="paragraph" w:customStyle="1" w:styleId="149">
    <w:name w:val="Note Heading"/>
    <w:basedOn w:val="1"/>
    <w:next w:val="1"/>
    <w:link w:val="148"/>
    <w:qFormat/>
    <w:uiPriority w:val="0"/>
    <w:pPr>
      <w:jc w:val="center"/>
    </w:pPr>
    <w:rPr>
      <w:rFonts w:ascii="宋体"/>
      <w:szCs w:val="21"/>
    </w:rPr>
  </w:style>
  <w:style w:type="character" w:customStyle="1" w:styleId="150">
    <w:name w:val="font11"/>
    <w:qFormat/>
    <w:uiPriority w:val="0"/>
    <w:rPr>
      <w:rFonts w:hint="eastAsia" w:ascii="宋体" w:hAnsi="宋体" w:eastAsia="宋体" w:cs="宋体"/>
      <w:color w:val="000000"/>
      <w:sz w:val="20"/>
      <w:szCs w:val="20"/>
      <w:u w:val="none"/>
    </w:rPr>
  </w:style>
  <w:style w:type="character" w:customStyle="1" w:styleId="151">
    <w:name w:val="font01"/>
    <w:qFormat/>
    <w:uiPriority w:val="0"/>
    <w:rPr>
      <w:rFonts w:hint="eastAsia" w:ascii="宋体" w:hAnsi="宋体" w:eastAsia="宋体" w:cs="宋体"/>
      <w:color w:val="000000"/>
      <w:sz w:val="20"/>
      <w:szCs w:val="20"/>
      <w:u w:val="none"/>
    </w:rPr>
  </w:style>
  <w:style w:type="character" w:customStyle="1" w:styleId="152">
    <w:name w:val="表内文字 样式 五号 居中 行距: 单倍行距 SL CON Char"/>
    <w:link w:val="153"/>
    <w:qFormat/>
    <w:locked/>
    <w:uiPriority w:val="0"/>
    <w:rPr>
      <w:rFonts w:ascii="宋体" w:cs="宋体"/>
      <w:sz w:val="21"/>
      <w:szCs w:val="21"/>
    </w:rPr>
  </w:style>
  <w:style w:type="paragraph" w:customStyle="1" w:styleId="153">
    <w:name w:val="表内文字 样式 五号 居中 行距: 单倍行距 SL CON"/>
    <w:basedOn w:val="1"/>
    <w:link w:val="152"/>
    <w:qFormat/>
    <w:uiPriority w:val="0"/>
    <w:pPr>
      <w:widowControl/>
      <w:tabs>
        <w:tab w:val="left" w:pos="377"/>
      </w:tabs>
      <w:jc w:val="center"/>
    </w:pPr>
    <w:rPr>
      <w:rFonts w:ascii="宋体"/>
      <w:kern w:val="0"/>
      <w:szCs w:val="21"/>
    </w:rPr>
  </w:style>
  <w:style w:type="character" w:customStyle="1" w:styleId="154">
    <w:name w:val="段落正文 Char"/>
    <w:link w:val="155"/>
    <w:qFormat/>
    <w:uiPriority w:val="0"/>
    <w:rPr>
      <w:rFonts w:ascii="宋体" w:hAnsi="宋体"/>
      <w:snapToGrid w:val="0"/>
      <w:sz w:val="24"/>
    </w:rPr>
  </w:style>
  <w:style w:type="paragraph" w:customStyle="1" w:styleId="155">
    <w:name w:val="段落正文"/>
    <w:basedOn w:val="43"/>
    <w:next w:val="1"/>
    <w:link w:val="154"/>
    <w:qFormat/>
    <w:uiPriority w:val="0"/>
    <w:pPr>
      <w:widowControl/>
      <w:adjustRightInd w:val="0"/>
      <w:ind w:firstLine="558"/>
      <w:jc w:val="left"/>
    </w:pPr>
    <w:rPr>
      <w:rFonts w:ascii="宋体" w:hAnsi="宋体"/>
      <w:snapToGrid w:val="0"/>
      <w:kern w:val="0"/>
      <w:sz w:val="24"/>
      <w:szCs w:val="20"/>
    </w:rPr>
  </w:style>
  <w:style w:type="character" w:customStyle="1" w:styleId="156">
    <w:name w:val="报告正文 Char"/>
    <w:link w:val="157"/>
    <w:qFormat/>
    <w:uiPriority w:val="0"/>
    <w:rPr>
      <w:rFonts w:hAnsi="宋体" w:eastAsia="宋体"/>
      <w:lang w:bidi="ar-SA"/>
    </w:rPr>
  </w:style>
  <w:style w:type="paragraph" w:customStyle="1" w:styleId="157">
    <w:name w:val="报告正文"/>
    <w:basedOn w:val="1"/>
    <w:link w:val="156"/>
    <w:qFormat/>
    <w:uiPriority w:val="0"/>
    <w:pPr>
      <w:widowControl/>
      <w:tabs>
        <w:tab w:val="left" w:pos="377"/>
      </w:tabs>
      <w:spacing w:line="360" w:lineRule="auto"/>
      <w:ind w:firstLine="560"/>
    </w:pPr>
    <w:rPr>
      <w:rFonts w:hAnsi="宋体"/>
      <w:kern w:val="0"/>
      <w:sz w:val="20"/>
      <w:szCs w:val="20"/>
    </w:rPr>
  </w:style>
  <w:style w:type="character" w:customStyle="1" w:styleId="158">
    <w:name w:val="公式书写（编号） 居中 段前: 6 磅 段后: 6 磅 SL CON + (符号) 宋体 Char"/>
    <w:link w:val="159"/>
    <w:qFormat/>
    <w:uiPriority w:val="0"/>
  </w:style>
  <w:style w:type="paragraph" w:customStyle="1" w:styleId="159">
    <w:name w:val="公式书写（编号） 居中 段前: 6 磅 段后: 6 磅 SL CON + (符号) 宋体"/>
    <w:basedOn w:val="107"/>
    <w:link w:val="158"/>
    <w:qFormat/>
    <w:uiPriority w:val="0"/>
  </w:style>
  <w:style w:type="character" w:customStyle="1" w:styleId="160">
    <w:name w:val="font21"/>
    <w:qFormat/>
    <w:uiPriority w:val="0"/>
    <w:rPr>
      <w:rFonts w:hint="eastAsia" w:ascii="宋体" w:hAnsi="宋体" w:eastAsia="宋体" w:cs="宋体"/>
      <w:color w:val="000000"/>
      <w:sz w:val="20"/>
      <w:szCs w:val="20"/>
      <w:u w:val="none"/>
    </w:rPr>
  </w:style>
  <w:style w:type="character" w:customStyle="1" w:styleId="161">
    <w:name w:val="A正文 Char Char"/>
    <w:qFormat/>
    <w:uiPriority w:val="0"/>
    <w:rPr>
      <w:rFonts w:eastAsia="仿宋_GB2312"/>
      <w:sz w:val="24"/>
      <w:szCs w:val="24"/>
      <w:lang w:val="en-US" w:eastAsia="zh-CN" w:bidi="ar-SA"/>
    </w:rPr>
  </w:style>
  <w:style w:type="character" w:customStyle="1" w:styleId="162">
    <w:name w:val="标题 2 SL CON Char Char"/>
    <w:qFormat/>
    <w:uiPriority w:val="0"/>
    <w:rPr>
      <w:rFonts w:ascii="黑体" w:eastAsia="黑体" w:cs="宋体"/>
      <w:sz w:val="30"/>
      <w:szCs w:val="24"/>
    </w:rPr>
  </w:style>
  <w:style w:type="character" w:customStyle="1" w:styleId="163">
    <w:name w:val="t1"/>
    <w:qFormat/>
    <w:uiPriority w:val="0"/>
    <w:rPr>
      <w:color w:val="000000"/>
      <w:spacing w:val="375"/>
      <w:sz w:val="18"/>
      <w:szCs w:val="18"/>
    </w:rPr>
  </w:style>
  <w:style w:type="character" w:customStyle="1" w:styleId="164">
    <w:name w:val="md一级标题 Char Char"/>
    <w:link w:val="165"/>
    <w:qFormat/>
    <w:uiPriority w:val="0"/>
    <w:rPr>
      <w:rFonts w:eastAsia="仿宋_GB2312"/>
      <w:b/>
      <w:kern w:val="44"/>
      <w:sz w:val="28"/>
      <w:szCs w:val="28"/>
      <w:lang w:val="en-US" w:eastAsia="zh-CN" w:bidi="ar-SA"/>
    </w:rPr>
  </w:style>
  <w:style w:type="paragraph" w:customStyle="1" w:styleId="165">
    <w:name w:val="md一级标题"/>
    <w:basedOn w:val="3"/>
    <w:next w:val="1"/>
    <w:link w:val="164"/>
    <w:qFormat/>
    <w:uiPriority w:val="0"/>
    <w:pPr>
      <w:widowControl/>
      <w:tabs>
        <w:tab w:val="center" w:pos="500"/>
      </w:tabs>
      <w:overflowPunct w:val="0"/>
      <w:adjustRightInd w:val="0"/>
      <w:spacing w:line="360" w:lineRule="auto"/>
      <w:ind w:left="136" w:right="128" w:rightChars="61"/>
      <w:jc w:val="left"/>
      <w:textAlignment w:val="center"/>
    </w:pPr>
    <w:rPr>
      <w:rFonts w:eastAsia="仿宋_GB2312"/>
      <w:b w:val="0"/>
      <w:kern w:val="44"/>
      <w:szCs w:val="28"/>
    </w:rPr>
  </w:style>
  <w:style w:type="paragraph" w:customStyle="1" w:styleId="166">
    <w:name w:val="Salutation"/>
    <w:basedOn w:val="1"/>
    <w:next w:val="1"/>
    <w:qFormat/>
    <w:uiPriority w:val="0"/>
    <w:rPr>
      <w:sz w:val="24"/>
      <w:szCs w:val="20"/>
    </w:rPr>
  </w:style>
  <w:style w:type="paragraph" w:customStyle="1" w:styleId="167">
    <w:name w:val="Char Char Char Char Char Char1 Char"/>
    <w:basedOn w:val="1"/>
    <w:qFormat/>
    <w:uiPriority w:val="0"/>
    <w:pPr>
      <w:widowControl/>
      <w:spacing w:after="160" w:afterLines="0" w:line="240" w:lineRule="exact"/>
      <w:jc w:val="left"/>
    </w:pPr>
    <w:rPr>
      <w:rFonts w:ascii="Arial" w:hAnsi="Arial" w:eastAsia="Times New Roman" w:cs="Verdana"/>
      <w:b/>
      <w:kern w:val="0"/>
      <w:sz w:val="24"/>
      <w:szCs w:val="20"/>
      <w:lang w:eastAsia="en-US"/>
    </w:rPr>
  </w:style>
  <w:style w:type="paragraph" w:customStyle="1" w:styleId="168">
    <w:name w:val="Body Text Indent"/>
    <w:basedOn w:val="1"/>
    <w:qFormat/>
    <w:uiPriority w:val="0"/>
    <w:pPr>
      <w:ind w:firstLine="538" w:firstLineChars="192"/>
    </w:pPr>
    <w:rPr>
      <w:rFonts w:ascii="宋体" w:hAnsi="宋体"/>
      <w:color w:val="FF0000"/>
      <w:sz w:val="28"/>
      <w:szCs w:val="28"/>
    </w:rPr>
  </w:style>
  <w:style w:type="paragraph" w:customStyle="1" w:styleId="169">
    <w:name w:val="正文段落"/>
    <w:basedOn w:val="157"/>
    <w:qFormat/>
    <w:uiPriority w:val="0"/>
    <w:pPr>
      <w:widowControl w:val="0"/>
      <w:adjustRightInd w:val="0"/>
      <w:snapToGrid w:val="0"/>
      <w:ind w:firstLine="200" w:firstLineChars="200"/>
    </w:pPr>
    <w:rPr>
      <w:rFonts w:ascii="Times New Roman" w:hAnsi="Times New Roman"/>
      <w:sz w:val="28"/>
    </w:rPr>
  </w:style>
  <w:style w:type="paragraph" w:customStyle="1" w:styleId="170">
    <w:name w:val="SL CON-项目编号"/>
    <w:basedOn w:val="1"/>
    <w:qFormat/>
    <w:uiPriority w:val="0"/>
    <w:pPr>
      <w:adjustRightInd w:val="0"/>
      <w:spacing w:line="360" w:lineRule="auto"/>
      <w:jc w:val="center"/>
      <w:textAlignment w:val="baseline"/>
    </w:pPr>
    <w:rPr>
      <w:rFonts w:ascii="宋体" w:cs="宋体"/>
      <w:kern w:val="0"/>
      <w:sz w:val="34"/>
      <w:szCs w:val="20"/>
    </w:rPr>
  </w:style>
  <w:style w:type="paragraph" w:customStyle="1" w:styleId="171">
    <w:name w:val="t表格文字左齐"/>
    <w:basedOn w:val="1"/>
    <w:qFormat/>
    <w:uiPriority w:val="0"/>
    <w:pPr>
      <w:widowControl/>
      <w:overflowPunct w:val="0"/>
      <w:autoSpaceDE w:val="0"/>
      <w:autoSpaceDN w:val="0"/>
      <w:adjustRightInd w:val="0"/>
      <w:jc w:val="left"/>
      <w:textAlignment w:val="baseline"/>
    </w:pPr>
    <w:rPr>
      <w:rFonts w:ascii="宋体" w:hAnsi="宋体" w:eastAsia="仿宋_GB2312"/>
      <w:kern w:val="0"/>
      <w:szCs w:val="21"/>
    </w:rPr>
  </w:style>
  <w:style w:type="paragraph" w:customStyle="1" w:styleId="172">
    <w:name w:val="Body Text First Indent"/>
    <w:basedOn w:val="1"/>
    <w:qFormat/>
    <w:uiPriority w:val="0"/>
    <w:pPr>
      <w:spacing w:line="440" w:lineRule="atLeast"/>
      <w:ind w:firstLine="493"/>
    </w:pPr>
    <w:rPr>
      <w:spacing w:val="6"/>
      <w:w w:val="92"/>
      <w:kern w:val="24"/>
      <w:sz w:val="26"/>
      <w:szCs w:val="20"/>
    </w:rPr>
  </w:style>
  <w:style w:type="paragraph" w:customStyle="1" w:styleId="173">
    <w:name w:val="样式 (符号) 宋体"/>
    <w:basedOn w:val="1"/>
    <w:qFormat/>
    <w:uiPriority w:val="0"/>
    <w:pPr>
      <w:widowControl/>
      <w:tabs>
        <w:tab w:val="left" w:pos="377"/>
      </w:tabs>
      <w:spacing w:line="360" w:lineRule="auto"/>
      <w:ind w:firstLine="480" w:firstLineChars="200"/>
    </w:pPr>
    <w:rPr>
      <w:rFonts w:ascii="宋体" w:hAnsi="宋体" w:cs="宋体"/>
      <w:kern w:val="0"/>
      <w:sz w:val="28"/>
      <w:szCs w:val="20"/>
    </w:rPr>
  </w:style>
  <w:style w:type="paragraph" w:customStyle="1" w:styleId="174">
    <w:name w:val=" Char2 Char Char Char1 Char Char Char Char Char Char"/>
    <w:basedOn w:val="1"/>
    <w:qFormat/>
    <w:uiPriority w:val="0"/>
  </w:style>
  <w:style w:type="paragraph" w:customStyle="1" w:styleId="175">
    <w:name w:val="样式 正文  SL CON"/>
    <w:basedOn w:val="82"/>
    <w:qFormat/>
    <w:uiPriority w:val="0"/>
    <w:pPr>
      <w:spacing w:line="300" w:lineRule="auto"/>
      <w:ind w:firstLine="480"/>
    </w:pPr>
    <w:rPr>
      <w:sz w:val="24"/>
      <w:szCs w:val="20"/>
    </w:rPr>
  </w:style>
  <w:style w:type="paragraph" w:customStyle="1" w:styleId="176">
    <w:name w:val="标题3"/>
    <w:basedOn w:val="1"/>
    <w:next w:val="1"/>
    <w:qFormat/>
    <w:uiPriority w:val="0"/>
    <w:pPr>
      <w:spacing w:before="240" w:after="240" w:line="400" w:lineRule="exact"/>
      <w:jc w:val="left"/>
    </w:pPr>
    <w:rPr>
      <w:rFonts w:ascii="宋体" w:hAnsi="宋体"/>
      <w:sz w:val="24"/>
    </w:rPr>
  </w:style>
  <w:style w:type="paragraph" w:customStyle="1" w:styleId="177">
    <w:name w:val="T标题5级"/>
    <w:basedOn w:val="7"/>
    <w:next w:val="1"/>
    <w:qFormat/>
    <w:uiPriority w:val="0"/>
    <w:pPr>
      <w:tabs>
        <w:tab w:val="clear" w:pos="377"/>
        <w:tab w:val="clear" w:pos="1247"/>
      </w:tabs>
      <w:overflowPunct w:val="0"/>
      <w:autoSpaceDE w:val="0"/>
      <w:autoSpaceDN w:val="0"/>
      <w:adjustRightInd w:val="0"/>
      <w:spacing w:before="0" w:beforeAutospacing="0" w:after="0" w:line="360" w:lineRule="auto"/>
      <w:ind w:left="1900" w:hanging="850"/>
      <w:jc w:val="left"/>
      <w:textAlignment w:val="baseline"/>
    </w:pPr>
    <w:rPr>
      <w:rFonts w:eastAsia="仿宋_GB2312"/>
      <w:bCs/>
      <w:sz w:val="24"/>
      <w:szCs w:val="24"/>
      <w:lang w:val="en-US" w:eastAsia="zh-CN"/>
    </w:rPr>
  </w:style>
  <w:style w:type="paragraph" w:customStyle="1" w:styleId="178">
    <w:name w:val="font5"/>
    <w:basedOn w:val="1"/>
    <w:qFormat/>
    <w:uiPriority w:val="0"/>
    <w:pPr>
      <w:widowControl/>
      <w:spacing w:before="100" w:beforeLines="0" w:beforeAutospacing="1" w:after="100" w:afterLines="0" w:afterAutospacing="1"/>
      <w:jc w:val="left"/>
    </w:pPr>
    <w:rPr>
      <w:rFonts w:hint="eastAsia" w:ascii="宋体" w:hAnsi="宋体"/>
      <w:kern w:val="0"/>
      <w:sz w:val="24"/>
    </w:rPr>
  </w:style>
  <w:style w:type="paragraph" w:customStyle="1" w:styleId="179">
    <w:name w:val="Body Text Indent 3"/>
    <w:basedOn w:val="1"/>
    <w:qFormat/>
    <w:uiPriority w:val="0"/>
    <w:pPr>
      <w:spacing w:after="120" w:afterLines="0"/>
      <w:ind w:left="420" w:leftChars="200"/>
    </w:pPr>
    <w:rPr>
      <w:sz w:val="16"/>
      <w:szCs w:val="16"/>
    </w:rPr>
  </w:style>
  <w:style w:type="paragraph" w:customStyle="1" w:styleId="180">
    <w:name w:val="默认段落字体 Para Char Char Char Char"/>
    <w:basedOn w:val="1"/>
    <w:qFormat/>
    <w:uiPriority w:val="0"/>
    <w:pPr>
      <w:snapToGrid w:val="0"/>
    </w:pPr>
    <w:rPr>
      <w:rFonts w:ascii="Arial" w:hAnsi="Arial"/>
      <w:szCs w:val="21"/>
    </w:rPr>
  </w:style>
  <w:style w:type="paragraph" w:customStyle="1" w:styleId="181">
    <w:name w:val="安评节"/>
    <w:basedOn w:val="4"/>
    <w:qFormat/>
    <w:uiPriority w:val="0"/>
    <w:pPr>
      <w:tabs>
        <w:tab w:val="left" w:pos="567"/>
      </w:tabs>
      <w:overflowPunct w:val="0"/>
      <w:autoSpaceDE w:val="0"/>
      <w:autoSpaceDN w:val="0"/>
      <w:adjustRightInd w:val="0"/>
      <w:spacing w:before="120" w:beforeLines="0" w:after="120" w:afterLines="0" w:line="360" w:lineRule="auto"/>
      <w:ind w:firstLine="200" w:firstLineChars="200"/>
      <w:jc w:val="center"/>
      <w:textAlignment w:val="baseline"/>
    </w:pPr>
    <w:rPr>
      <w:rFonts w:ascii="黑体" w:hAnsi="宋体" w:eastAsia="楷体_GB2312"/>
      <w:kern w:val="16"/>
      <w:szCs w:val="32"/>
    </w:rPr>
  </w:style>
  <w:style w:type="paragraph" w:customStyle="1" w:styleId="182">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183">
    <w:name w:val="表格内"/>
    <w:basedOn w:val="1"/>
    <w:qFormat/>
    <w:uiPriority w:val="0"/>
    <w:pPr>
      <w:adjustRightInd w:val="0"/>
      <w:spacing w:line="240" w:lineRule="atLeast"/>
      <w:jc w:val="center"/>
      <w:textAlignment w:val="baseline"/>
    </w:pPr>
    <w:rPr>
      <w:rFonts w:ascii="宋体"/>
      <w:kern w:val="0"/>
      <w:sz w:val="28"/>
      <w:szCs w:val="20"/>
    </w:rPr>
  </w:style>
  <w:style w:type="paragraph" w:customStyle="1" w:styleId="184">
    <w:name w:val="Y页眉-项目"/>
    <w:basedOn w:val="1"/>
    <w:qFormat/>
    <w:uiPriority w:val="0"/>
    <w:pPr>
      <w:jc w:val="center"/>
      <w:textAlignment w:val="center"/>
    </w:pPr>
    <w:rPr>
      <w:rFonts w:ascii="宋体"/>
      <w:b/>
      <w:sz w:val="24"/>
      <w:szCs w:val="28"/>
    </w:rPr>
  </w:style>
  <w:style w:type="paragraph" w:customStyle="1" w:styleId="185">
    <w:name w:val="图样式 居中 SL CON"/>
    <w:basedOn w:val="1"/>
    <w:qFormat/>
    <w:uiPriority w:val="0"/>
    <w:pPr>
      <w:widowControl/>
      <w:tabs>
        <w:tab w:val="left" w:pos="377"/>
      </w:tabs>
      <w:spacing w:line="360" w:lineRule="auto"/>
      <w:jc w:val="center"/>
    </w:pPr>
    <w:rPr>
      <w:rFonts w:ascii="宋体" w:cs="宋体"/>
      <w:kern w:val="0"/>
      <w:sz w:val="24"/>
      <w:szCs w:val="20"/>
    </w:rPr>
  </w:style>
  <w:style w:type="paragraph" w:customStyle="1" w:styleId="186">
    <w:name w:val=" Char Char Char1 Char"/>
    <w:basedOn w:val="1"/>
    <w:qFormat/>
    <w:uiPriority w:val="0"/>
    <w:pPr>
      <w:ind w:firstLine="200" w:firstLineChars="200"/>
    </w:pPr>
    <w:rPr>
      <w:sz w:val="24"/>
    </w:rPr>
  </w:style>
  <w:style w:type="paragraph" w:customStyle="1" w:styleId="187">
    <w:name w:val="样式 标题 3Re条标题1.1.1标题 3 Char CharSection三级标题1.1.1标题03标题 3 ..."/>
    <w:basedOn w:val="5"/>
    <w:qFormat/>
    <w:uiPriority w:val="0"/>
    <w:pPr>
      <w:spacing w:before="0" w:after="0" w:line="360" w:lineRule="auto"/>
    </w:pPr>
    <w:rPr>
      <w:rFonts w:cs="宋体"/>
      <w:bCs w:val="0"/>
      <w:snapToGrid w:val="0"/>
      <w:color w:val="000000"/>
      <w:kern w:val="0"/>
      <w:sz w:val="28"/>
      <w:szCs w:val="20"/>
    </w:rPr>
  </w:style>
  <w:style w:type="paragraph" w:customStyle="1" w:styleId="188">
    <w:name w:val=" Char5 Char Char Char"/>
    <w:basedOn w:val="1"/>
    <w:qFormat/>
    <w:uiPriority w:val="0"/>
    <w:pPr>
      <w:spacing w:line="360" w:lineRule="auto"/>
    </w:pPr>
    <w:rPr>
      <w:sz w:val="24"/>
    </w:rPr>
  </w:style>
  <w:style w:type="paragraph" w:customStyle="1" w:styleId="189">
    <w:name w:val="1"/>
    <w:basedOn w:val="1"/>
    <w:next w:val="110"/>
    <w:qFormat/>
    <w:uiPriority w:val="0"/>
    <w:rPr>
      <w:rFonts w:ascii="宋体" w:hAnsi="Courier New"/>
      <w:szCs w:val="21"/>
    </w:rPr>
  </w:style>
  <w:style w:type="paragraph" w:customStyle="1" w:styleId="190">
    <w:name w:val="简单回函地址"/>
    <w:basedOn w:val="1"/>
    <w:qFormat/>
    <w:uiPriority w:val="0"/>
  </w:style>
  <w:style w:type="paragraph" w:customStyle="1" w:styleId="191">
    <w:name w:val="表内序号"/>
    <w:basedOn w:val="1"/>
    <w:qFormat/>
    <w:uiPriority w:val="0"/>
    <w:pPr>
      <w:spacing w:line="400" w:lineRule="exact"/>
    </w:pPr>
    <w:rPr>
      <w:szCs w:val="20"/>
    </w:rPr>
  </w:style>
  <w:style w:type="paragraph" w:customStyle="1" w:styleId="192">
    <w:name w:val="样式33"/>
    <w:basedOn w:val="1"/>
    <w:qFormat/>
    <w:uiPriority w:val="0"/>
    <w:pPr>
      <w:adjustRightInd w:val="0"/>
      <w:snapToGrid w:val="0"/>
      <w:spacing w:line="360" w:lineRule="auto"/>
      <w:ind w:firstLine="480" w:firstLineChars="200"/>
    </w:pPr>
    <w:rPr>
      <w:rFonts w:hAnsi="宋体"/>
      <w:sz w:val="24"/>
    </w:rPr>
  </w:style>
  <w:style w:type="paragraph" w:customStyle="1" w:styleId="193">
    <w:name w:val="BIG BOLD"/>
    <w:basedOn w:val="1"/>
    <w:qFormat/>
    <w:uiPriority w:val="0"/>
    <w:pPr>
      <w:tabs>
        <w:tab w:val="left" w:leader="underscore" w:pos="1134"/>
      </w:tabs>
    </w:pPr>
    <w:rPr>
      <w:szCs w:val="20"/>
    </w:rPr>
  </w:style>
  <w:style w:type="paragraph" w:customStyle="1" w:styleId="194">
    <w:name w:val=" Char Char Char Char Char Char Char1"/>
    <w:basedOn w:val="1"/>
    <w:qFormat/>
    <w:uiPriority w:val="0"/>
  </w:style>
  <w:style w:type="paragraph" w:customStyle="1" w:styleId="195">
    <w:name w:val="内容表格"/>
    <w:basedOn w:val="1"/>
    <w:qFormat/>
    <w:uiPriority w:val="0"/>
    <w:pPr>
      <w:tabs>
        <w:tab w:val="left" w:pos="377"/>
      </w:tabs>
      <w:adjustRightInd w:val="0"/>
      <w:snapToGrid w:val="0"/>
      <w:jc w:val="center"/>
    </w:pPr>
    <w:rPr>
      <w:rFonts w:cs="宋体"/>
      <w:kern w:val="0"/>
    </w:rPr>
  </w:style>
  <w:style w:type="paragraph" w:customStyle="1" w:styleId="196">
    <w:name w:val="xl23"/>
    <w:basedOn w:val="1"/>
    <w:qFormat/>
    <w:uiPriority w:val="0"/>
    <w:pPr>
      <w:widowControl/>
      <w:spacing w:before="100" w:beforeLines="0" w:after="100" w:afterLines="0"/>
      <w:jc w:val="center"/>
    </w:pPr>
    <w:rPr>
      <w:rFonts w:ascii="宋体" w:hAnsi="宋体"/>
      <w:kern w:val="0"/>
      <w:sz w:val="24"/>
      <w:szCs w:val="20"/>
    </w:rPr>
  </w:style>
  <w:style w:type="paragraph" w:customStyle="1" w:styleId="197">
    <w:name w:val="1级标题"/>
    <w:basedOn w:val="3"/>
    <w:next w:val="4"/>
    <w:qFormat/>
    <w:uiPriority w:val="0"/>
    <w:rPr>
      <w:sz w:val="32"/>
    </w:rPr>
  </w:style>
  <w:style w:type="paragraph" w:customStyle="1" w:styleId="198">
    <w:name w:val="F文字-标准规范"/>
    <w:basedOn w:val="127"/>
    <w:qFormat/>
    <w:uiPriority w:val="0"/>
    <w:pPr>
      <w:tabs>
        <w:tab w:val="left" w:pos="1260"/>
        <w:tab w:val="right" w:leader="dot" w:pos="10100"/>
      </w:tabs>
      <w:ind w:left="1260" w:right="144" w:rightChars="72" w:hanging="420" w:firstLineChars="0"/>
      <w:jc w:val="both"/>
      <w:textAlignment w:val="center"/>
    </w:pPr>
    <w:rPr>
      <w:rFonts w:ascii="仿宋_GB2312" w:hAnsi="宋体"/>
    </w:rPr>
  </w:style>
  <w:style w:type="paragraph" w:customStyle="1" w:styleId="199">
    <w:name w:val="默认段落字体 Para Char Char Char Char Char Char Char"/>
    <w:basedOn w:val="1"/>
    <w:qFormat/>
    <w:uiPriority w:val="0"/>
    <w:pPr>
      <w:spacing w:line="360" w:lineRule="auto"/>
    </w:pPr>
    <w:rPr>
      <w:sz w:val="24"/>
    </w:rPr>
  </w:style>
  <w:style w:type="paragraph" w:customStyle="1" w:styleId="200">
    <w:name w:val=" Char2"/>
    <w:basedOn w:val="1"/>
    <w:qFormat/>
    <w:uiPriority w:val="0"/>
  </w:style>
  <w:style w:type="paragraph" w:customStyle="1" w:styleId="201">
    <w:name w:val="_Style 199"/>
    <w:basedOn w:val="3"/>
    <w:next w:val="1"/>
    <w:qFormat/>
    <w:uiPriority w:val="39"/>
    <w:pPr>
      <w:keepLines/>
      <w:widowControl/>
      <w:spacing w:before="480" w:line="276" w:lineRule="auto"/>
      <w:jc w:val="left"/>
      <w:outlineLvl w:val="9"/>
    </w:pPr>
    <w:rPr>
      <w:rFonts w:ascii="Cambria" w:hAnsi="Cambria" w:eastAsia="宋体" w:cs="Times New Roman"/>
      <w:b w:val="0"/>
      <w:bCs w:val="0"/>
      <w:color w:val="365F91"/>
      <w:kern w:val="0"/>
      <w:szCs w:val="28"/>
    </w:rPr>
  </w:style>
  <w:style w:type="paragraph" w:customStyle="1" w:styleId="202">
    <w:name w:val="安评章"/>
    <w:basedOn w:val="3"/>
    <w:qFormat/>
    <w:uiPriority w:val="0"/>
    <w:pPr>
      <w:keepLines/>
      <w:tabs>
        <w:tab w:val="left" w:pos="567"/>
      </w:tabs>
      <w:overflowPunct w:val="0"/>
      <w:autoSpaceDE w:val="0"/>
      <w:autoSpaceDN w:val="0"/>
      <w:adjustRightInd w:val="0"/>
      <w:spacing w:before="100" w:beforeLines="0" w:after="100" w:afterLines="0" w:line="360" w:lineRule="auto"/>
      <w:ind w:firstLine="562" w:firstLineChars="200"/>
      <w:textAlignment w:val="baseline"/>
    </w:pPr>
    <w:rPr>
      <w:rFonts w:ascii="宋体" w:hAnsi="宋体" w:eastAsia="黑体"/>
      <w:spacing w:val="20"/>
      <w:kern w:val="16"/>
      <w:sz w:val="32"/>
    </w:rPr>
  </w:style>
  <w:style w:type="paragraph" w:customStyle="1" w:styleId="203">
    <w:name w:val="p0"/>
    <w:basedOn w:val="1"/>
    <w:qFormat/>
    <w:uiPriority w:val="0"/>
    <w:pPr>
      <w:widowControl/>
    </w:pPr>
    <w:rPr>
      <w:kern w:val="0"/>
      <w:szCs w:val="21"/>
    </w:rPr>
  </w:style>
  <w:style w:type="paragraph" w:customStyle="1" w:styleId="204">
    <w:name w:val="日期时间 样式 四号 居中 行距: 1.5 倍行距(SL CON)"/>
    <w:basedOn w:val="1"/>
    <w:qFormat/>
    <w:uiPriority w:val="0"/>
    <w:pPr>
      <w:widowControl/>
      <w:tabs>
        <w:tab w:val="left" w:pos="377"/>
      </w:tabs>
      <w:spacing w:line="360" w:lineRule="auto"/>
      <w:jc w:val="center"/>
    </w:pPr>
    <w:rPr>
      <w:rFonts w:ascii="宋体" w:cs="宋体"/>
      <w:kern w:val="0"/>
      <w:sz w:val="28"/>
      <w:szCs w:val="28"/>
    </w:rPr>
  </w:style>
  <w:style w:type="paragraph" w:customStyle="1" w:styleId="205">
    <w:name w:val="T标题2级"/>
    <w:basedOn w:val="4"/>
    <w:next w:val="5"/>
    <w:qFormat/>
    <w:uiPriority w:val="0"/>
    <w:pPr>
      <w:widowControl/>
      <w:tabs>
        <w:tab w:val="center" w:pos="500"/>
      </w:tabs>
      <w:overflowPunct w:val="0"/>
      <w:spacing w:before="120" w:beforeLines="50" w:after="120" w:afterLines="50" w:line="360" w:lineRule="auto"/>
      <w:ind w:left="567" w:hanging="567"/>
      <w:contextualSpacing/>
      <w:jc w:val="left"/>
      <w:textAlignment w:val="center"/>
    </w:pPr>
    <w:rPr>
      <w:rFonts w:ascii="Times New Roman" w:hAnsi="Times New Roman" w:eastAsia="仿宋_GB2312"/>
      <w:kern w:val="0"/>
      <w:sz w:val="24"/>
      <w:szCs w:val="24"/>
    </w:rPr>
  </w:style>
  <w:style w:type="paragraph" w:customStyle="1" w:styleId="206">
    <w:name w:val="样式 首行缩进:  1.7 厘米 行距: 1.5 倍行距"/>
    <w:basedOn w:val="1"/>
    <w:qFormat/>
    <w:uiPriority w:val="0"/>
    <w:pPr>
      <w:widowControl/>
      <w:tabs>
        <w:tab w:val="left" w:pos="377"/>
      </w:tabs>
      <w:spacing w:line="360" w:lineRule="auto"/>
      <w:ind w:firstLine="963"/>
    </w:pPr>
    <w:rPr>
      <w:rFonts w:ascii="宋体" w:cs="宋体"/>
      <w:kern w:val="0"/>
      <w:sz w:val="32"/>
      <w:szCs w:val="20"/>
    </w:rPr>
  </w:style>
  <w:style w:type="paragraph" w:customStyle="1" w:styleId="207">
    <w:name w:val="正文1"/>
    <w:basedOn w:val="1"/>
    <w:qFormat/>
    <w:uiPriority w:val="0"/>
    <w:pPr>
      <w:adjustRightInd w:val="0"/>
      <w:spacing w:after="120" w:line="360" w:lineRule="atLeast"/>
      <w:jc w:val="center"/>
      <w:textAlignment w:val="baseline"/>
    </w:pPr>
    <w:rPr>
      <w:kern w:val="0"/>
      <w:sz w:val="24"/>
      <w:szCs w:val="20"/>
    </w:rPr>
  </w:style>
  <w:style w:type="paragraph" w:customStyle="1" w:styleId="208">
    <w:name w:val="表内文字 SL CON + (符号)"/>
    <w:basedOn w:val="1"/>
    <w:qFormat/>
    <w:uiPriority w:val="0"/>
    <w:pPr>
      <w:widowControl/>
      <w:tabs>
        <w:tab w:val="left" w:pos="377"/>
      </w:tabs>
      <w:jc w:val="center"/>
    </w:pPr>
    <w:rPr>
      <w:rFonts w:ascii="宋体" w:cs="宋体"/>
      <w:kern w:val="0"/>
      <w:sz w:val="24"/>
      <w:szCs w:val="21"/>
    </w:rPr>
  </w:style>
  <w:style w:type="paragraph" w:customStyle="1" w:styleId="209">
    <w:name w:val="表（或图）标题 样式 宋体 小四号 居中 SL CON"/>
    <w:basedOn w:val="1"/>
    <w:qFormat/>
    <w:uiPriority w:val="0"/>
    <w:pPr>
      <w:widowControl/>
      <w:tabs>
        <w:tab w:val="left" w:pos="377"/>
      </w:tabs>
      <w:spacing w:before="100" w:beforeLines="0" w:beforeAutospacing="1" w:line="360" w:lineRule="auto"/>
      <w:jc w:val="center"/>
    </w:pPr>
    <w:rPr>
      <w:rFonts w:ascii="宋体" w:hAnsi="宋体" w:cs="宋体"/>
      <w:b/>
      <w:kern w:val="0"/>
      <w:sz w:val="24"/>
      <w:szCs w:val="20"/>
    </w:rPr>
  </w:style>
  <w:style w:type="paragraph" w:customStyle="1" w:styleId="210">
    <w:name w:val="IDDS表格正文"/>
    <w:basedOn w:val="1"/>
    <w:qFormat/>
    <w:uiPriority w:val="0"/>
    <w:pPr>
      <w:spacing w:line="300" w:lineRule="auto"/>
      <w:jc w:val="center"/>
    </w:pPr>
    <w:rPr>
      <w:rFonts w:cs="宋体"/>
      <w:szCs w:val="20"/>
    </w:rPr>
  </w:style>
  <w:style w:type="paragraph" w:customStyle="1" w:styleId="211">
    <w:name w:val="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12">
    <w:name w:val="p18"/>
    <w:basedOn w:val="1"/>
    <w:qFormat/>
    <w:uiPriority w:val="0"/>
    <w:pPr>
      <w:widowControl/>
      <w:snapToGrid w:val="0"/>
      <w:spacing w:before="120" w:after="120" w:line="440" w:lineRule="atLeast"/>
      <w:ind w:firstLine="482"/>
    </w:pPr>
    <w:rPr>
      <w:rFonts w:ascii="宋体" w:hAnsi="宋体"/>
      <w:kern w:val="0"/>
      <w:sz w:val="24"/>
      <w:szCs w:val="20"/>
    </w:rPr>
  </w:style>
  <w:style w:type="paragraph" w:customStyle="1" w:styleId="213">
    <w:name w:val="p1"/>
    <w:basedOn w:val="1"/>
    <w:qFormat/>
    <w:uiPriority w:val="0"/>
    <w:pPr>
      <w:widowControl/>
      <w:spacing w:before="100" w:beforeLines="0" w:beforeAutospacing="1" w:after="100" w:afterLines="0" w:afterAutospacing="1" w:line="280" w:lineRule="atLeast"/>
      <w:jc w:val="left"/>
    </w:pPr>
    <w:rPr>
      <w:rFonts w:ascii="宋体" w:hAnsi="宋体"/>
      <w:color w:val="000000"/>
      <w:kern w:val="0"/>
      <w:sz w:val="18"/>
      <w:szCs w:val="18"/>
    </w:rPr>
  </w:style>
  <w:style w:type="paragraph" w:customStyle="1" w:styleId="214">
    <w:name w:val="表格2"/>
    <w:basedOn w:val="1"/>
    <w:qFormat/>
    <w:uiPriority w:val="0"/>
    <w:pPr>
      <w:adjustRightInd w:val="0"/>
      <w:jc w:val="center"/>
      <w:textAlignment w:val="baseline"/>
    </w:pPr>
    <w:rPr>
      <w:rFonts w:ascii="宋体"/>
      <w:kern w:val="0"/>
      <w:szCs w:val="20"/>
    </w:rPr>
  </w:style>
  <w:style w:type="paragraph" w:customStyle="1" w:styleId="215">
    <w:name w:val="I目录3级"/>
    <w:basedOn w:val="1"/>
    <w:qFormat/>
    <w:uiPriority w:val="0"/>
    <w:pPr>
      <w:tabs>
        <w:tab w:val="right" w:leader="dot" w:pos="9800"/>
      </w:tabs>
      <w:ind w:left="50" w:leftChars="50" w:right="50" w:rightChars="50" w:firstLine="400" w:firstLineChars="400"/>
      <w:textAlignment w:val="center"/>
    </w:pPr>
    <w:rPr>
      <w:rFonts w:eastAsia="仿宋_GB2312"/>
      <w:szCs w:val="21"/>
    </w:rPr>
  </w:style>
  <w:style w:type="paragraph" w:customStyle="1" w:styleId="216">
    <w:name w:val="纯文本2"/>
    <w:basedOn w:val="1"/>
    <w:qFormat/>
    <w:uiPriority w:val="0"/>
    <w:rPr>
      <w:rFonts w:ascii="宋体" w:hAnsi="Courier New"/>
      <w:szCs w:val="20"/>
      <w:lang w:val="zh-CN"/>
    </w:rPr>
  </w:style>
  <w:style w:type="paragraph" w:customStyle="1" w:styleId="217">
    <w:name w:val="In Table"/>
    <w:basedOn w:val="1"/>
    <w:qFormat/>
    <w:uiPriority w:val="0"/>
    <w:pPr>
      <w:tabs>
        <w:tab w:val="left" w:pos="2200"/>
        <w:tab w:val="left" w:pos="3960"/>
        <w:tab w:val="left" w:pos="5280"/>
      </w:tabs>
      <w:spacing w:before="96" w:beforeLines="0" w:after="96" w:afterLines="0" w:line="0" w:lineRule="atLeast"/>
      <w:jc w:val="center"/>
    </w:pPr>
    <w:rPr>
      <w:rFonts w:ascii="Tahoma" w:hAnsi="Tahoma" w:eastAsia="华文中宋"/>
      <w:szCs w:val="20"/>
    </w:rPr>
  </w:style>
  <w:style w:type="paragraph" w:customStyle="1" w:styleId="218">
    <w:name w:val="正文首行缩进1"/>
    <w:basedOn w:val="1"/>
    <w:qFormat/>
    <w:uiPriority w:val="0"/>
    <w:pPr>
      <w:spacing w:line="500" w:lineRule="exact"/>
      <w:ind w:firstLine="520" w:firstLineChars="200"/>
    </w:pPr>
    <w:rPr>
      <w:sz w:val="26"/>
    </w:rPr>
  </w:style>
  <w:style w:type="paragraph" w:customStyle="1" w:styleId="219">
    <w:name w:val="表格1"/>
    <w:basedOn w:val="1"/>
    <w:qFormat/>
    <w:uiPriority w:val="0"/>
    <w:pPr>
      <w:adjustRightInd w:val="0"/>
      <w:jc w:val="center"/>
      <w:textAlignment w:val="baseline"/>
    </w:pPr>
    <w:rPr>
      <w:rFonts w:ascii="宋体"/>
      <w:kern w:val="0"/>
      <w:sz w:val="24"/>
      <w:szCs w:val="20"/>
    </w:rPr>
  </w:style>
  <w:style w:type="paragraph" w:customStyle="1" w:styleId="220">
    <w:name w:val="报告的名称 样式 宋体 小初号 加粗 居中(SL CON)"/>
    <w:basedOn w:val="1"/>
    <w:qFormat/>
    <w:uiPriority w:val="0"/>
    <w:pPr>
      <w:widowControl/>
      <w:tabs>
        <w:tab w:val="left" w:pos="377"/>
      </w:tabs>
      <w:spacing w:line="360" w:lineRule="auto"/>
      <w:jc w:val="center"/>
    </w:pPr>
    <w:rPr>
      <w:rFonts w:ascii="宋体" w:hAnsi="宋体" w:eastAsia="黑体" w:cs="宋体"/>
      <w:b/>
      <w:bCs/>
      <w:kern w:val="0"/>
      <w:sz w:val="72"/>
      <w:szCs w:val="20"/>
    </w:rPr>
  </w:style>
  <w:style w:type="paragraph" w:customStyle="1" w:styleId="221">
    <w:name w:val="t表格题目"/>
    <w:basedOn w:val="127"/>
    <w:qFormat/>
    <w:uiPriority w:val="0"/>
    <w:pPr>
      <w:spacing w:line="240" w:lineRule="auto"/>
      <w:ind w:firstLine="0" w:firstLineChars="0"/>
      <w:jc w:val="center"/>
    </w:pPr>
    <w:rPr>
      <w:sz w:val="21"/>
    </w:rPr>
  </w:style>
  <w:style w:type="paragraph" w:customStyle="1" w:styleId="222">
    <w:name w:val="表名、图名"/>
    <w:basedOn w:val="1"/>
    <w:qFormat/>
    <w:uiPriority w:val="0"/>
    <w:pPr>
      <w:adjustRightInd w:val="0"/>
      <w:snapToGrid w:val="0"/>
      <w:spacing w:line="360" w:lineRule="auto"/>
      <w:jc w:val="center"/>
    </w:pPr>
    <w:rPr>
      <w:rFonts w:ascii="宋体" w:hAnsi="宋体"/>
      <w:color w:val="000000"/>
      <w:spacing w:val="-20"/>
      <w:sz w:val="18"/>
      <w:szCs w:val="18"/>
    </w:rPr>
  </w:style>
  <w:style w:type="paragraph" w:customStyle="1" w:styleId="223">
    <w:name w:val="Char Char Char Char"/>
    <w:basedOn w:val="1"/>
    <w:qFormat/>
    <w:uiPriority w:val="0"/>
  </w:style>
  <w:style w:type="paragraph" w:customStyle="1" w:styleId="224">
    <w:name w:val="表头"/>
    <w:basedOn w:val="1"/>
    <w:qFormat/>
    <w:uiPriority w:val="0"/>
    <w:pPr>
      <w:tabs>
        <w:tab w:val="left" w:pos="3240"/>
      </w:tabs>
      <w:adjustRightInd w:val="0"/>
      <w:snapToGrid w:val="0"/>
      <w:spacing w:line="360" w:lineRule="auto"/>
      <w:jc w:val="center"/>
    </w:pPr>
    <w:rPr>
      <w:b/>
      <w:bCs/>
      <w:color w:val="000000"/>
      <w:sz w:val="24"/>
    </w:rPr>
  </w:style>
  <w:style w:type="paragraph" w:customStyle="1" w:styleId="225">
    <w:name w:val="t表格文字居中"/>
    <w:basedOn w:val="127"/>
    <w:qFormat/>
    <w:uiPriority w:val="0"/>
    <w:pPr>
      <w:snapToGrid w:val="0"/>
      <w:spacing w:before="156" w:beforeLines="50" w:line="240" w:lineRule="auto"/>
      <w:ind w:firstLine="480" w:firstLineChars="0"/>
      <w:jc w:val="both"/>
      <w:textAlignment w:val="center"/>
    </w:pPr>
    <w:rPr>
      <w:snapToGrid w:val="0"/>
      <w:sz w:val="21"/>
      <w:szCs w:val="21"/>
      <w:shd w:val="clear" w:color="auto" w:fill="FFFFFF"/>
    </w:rPr>
  </w:style>
  <w:style w:type="paragraph" w:customStyle="1" w:styleId="226">
    <w:name w:val="List Paragraph1"/>
    <w:basedOn w:val="1"/>
    <w:qFormat/>
    <w:uiPriority w:val="0"/>
    <w:pPr>
      <w:ind w:firstLine="420" w:firstLineChars="200"/>
    </w:pPr>
  </w:style>
  <w:style w:type="paragraph" w:customStyle="1" w:styleId="227">
    <w:name w:val="表内文字"/>
    <w:basedOn w:val="1"/>
    <w:qFormat/>
    <w:uiPriority w:val="0"/>
    <w:pPr>
      <w:widowControl/>
      <w:adjustRightInd w:val="0"/>
      <w:snapToGrid w:val="0"/>
      <w:jc w:val="center"/>
    </w:pPr>
    <w:rPr>
      <w:kern w:val="0"/>
      <w:sz w:val="24"/>
      <w:szCs w:val="20"/>
    </w:rPr>
  </w:style>
  <w:style w:type="paragraph" w:customStyle="1" w:styleId="228">
    <w:name w:val="表内文字 样式 小四号 居中 行距: 单倍行距 SL CON"/>
    <w:basedOn w:val="1"/>
    <w:qFormat/>
    <w:uiPriority w:val="0"/>
    <w:pPr>
      <w:widowControl/>
      <w:tabs>
        <w:tab w:val="left" w:pos="377"/>
      </w:tabs>
      <w:jc w:val="center"/>
    </w:pPr>
    <w:rPr>
      <w:rFonts w:ascii="宋体" w:cs="宋体"/>
      <w:kern w:val="0"/>
      <w:sz w:val="24"/>
      <w:szCs w:val="21"/>
    </w:rPr>
  </w:style>
  <w:style w:type="paragraph" w:customStyle="1" w:styleId="229">
    <w:name w:val="标题一"/>
    <w:basedOn w:val="1"/>
    <w:qFormat/>
    <w:uiPriority w:val="0"/>
    <w:pPr>
      <w:spacing w:before="200" w:after="120"/>
    </w:pPr>
    <w:rPr>
      <w:b/>
      <w:sz w:val="30"/>
    </w:rPr>
  </w:style>
  <w:style w:type="paragraph" w:customStyle="1" w:styleId="230">
    <w:name w:val="纯文本4"/>
    <w:basedOn w:val="1"/>
    <w:qFormat/>
    <w:uiPriority w:val="0"/>
    <w:rPr>
      <w:rFonts w:ascii="宋体" w:hAnsi="Courier New"/>
      <w:szCs w:val="20"/>
    </w:rPr>
  </w:style>
  <w:style w:type="paragraph" w:customStyle="1" w:styleId="231">
    <w:name w:val="xl32"/>
    <w:basedOn w:val="1"/>
    <w:qFormat/>
    <w:uiPriority w:val="0"/>
    <w:pPr>
      <w:widowControl/>
      <w:pBdr>
        <w:left w:val="single" w:color="auto" w:sz="4" w:space="0"/>
      </w:pBdr>
      <w:tabs>
        <w:tab w:val="left" w:pos="720"/>
      </w:tabs>
      <w:adjustRightInd w:val="0"/>
      <w:snapToGrid w:val="0"/>
      <w:spacing w:before="100" w:beforeLines="0" w:after="100" w:afterLines="0" w:line="360" w:lineRule="atLeast"/>
      <w:jc w:val="center"/>
      <w:textAlignment w:val="center"/>
    </w:pPr>
    <w:rPr>
      <w:rFonts w:ascii="Arial" w:hAnsi="Arial" w:eastAsia="Arial Unicode MS"/>
      <w:kern w:val="0"/>
      <w:sz w:val="24"/>
      <w:szCs w:val="20"/>
    </w:rPr>
  </w:style>
  <w:style w:type="paragraph" w:customStyle="1" w:styleId="232">
    <w:name w:val="xl3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Arial Unicode MS" w:hAnsi="Arial Unicode MS" w:eastAsia="Arial Unicode MS"/>
      <w:kern w:val="0"/>
      <w:sz w:val="24"/>
    </w:rPr>
  </w:style>
  <w:style w:type="paragraph" w:customStyle="1" w:styleId="233">
    <w:name w:val="表中字"/>
    <w:basedOn w:val="1"/>
    <w:qFormat/>
    <w:uiPriority w:val="0"/>
    <w:pPr>
      <w:widowControl/>
      <w:tabs>
        <w:tab w:val="left" w:pos="5375"/>
      </w:tabs>
      <w:spacing w:line="240" w:lineRule="atLeast"/>
      <w:jc w:val="center"/>
    </w:pPr>
    <w:rPr>
      <w:rFonts w:ascii="宋体" w:hAnsi="宋体" w:cs="宋体"/>
      <w:kern w:val="0"/>
      <w:sz w:val="24"/>
    </w:rPr>
  </w:style>
  <w:style w:type="paragraph" w:customStyle="1" w:styleId="234">
    <w:name w:val="Body Text 3"/>
    <w:basedOn w:val="1"/>
    <w:qFormat/>
    <w:uiPriority w:val="0"/>
    <w:pPr>
      <w:spacing w:line="360" w:lineRule="auto"/>
    </w:pPr>
    <w:rPr>
      <w:sz w:val="24"/>
    </w:rPr>
  </w:style>
  <w:style w:type="paragraph" w:customStyle="1" w:styleId="235">
    <w:name w:val="标题1"/>
    <w:basedOn w:val="3"/>
    <w:qFormat/>
    <w:uiPriority w:val="0"/>
    <w:pPr>
      <w:keepLines/>
      <w:snapToGrid w:val="0"/>
      <w:spacing w:before="156" w:beforeLines="50" w:after="156" w:afterLines="50" w:line="360" w:lineRule="auto"/>
      <w:jc w:val="left"/>
    </w:pPr>
    <w:rPr>
      <w:rFonts w:eastAsia="黑体" w:cs="宋体"/>
      <w:kern w:val="44"/>
      <w:sz w:val="32"/>
    </w:rPr>
  </w:style>
  <w:style w:type="paragraph" w:customStyle="1" w:styleId="236">
    <w:name w:val="Body Text Indent 2"/>
    <w:basedOn w:val="1"/>
    <w:qFormat/>
    <w:uiPriority w:val="0"/>
    <w:pPr>
      <w:spacing w:after="120" w:afterLines="0" w:line="480" w:lineRule="auto"/>
      <w:ind w:left="420" w:leftChars="200"/>
    </w:pPr>
  </w:style>
  <w:style w:type="paragraph" w:customStyle="1" w:styleId="237">
    <w:name w:val="纯文本3"/>
    <w:basedOn w:val="1"/>
    <w:qFormat/>
    <w:uiPriority w:val="0"/>
    <w:rPr>
      <w:rFonts w:ascii="宋体" w:hAnsi="Courier New"/>
      <w:szCs w:val="20"/>
      <w:lang w:val="zh-CN"/>
    </w:rPr>
  </w:style>
  <w:style w:type="paragraph" w:customStyle="1" w:styleId="238">
    <w:name w:val="yw正文文本缩进"/>
    <w:qFormat/>
    <w:uiPriority w:val="0"/>
    <w:pPr>
      <w:autoSpaceDN w:val="0"/>
      <w:adjustRightInd w:val="0"/>
      <w:snapToGrid w:val="0"/>
      <w:spacing w:line="360" w:lineRule="auto"/>
      <w:ind w:firstLine="200" w:firstLineChars="200"/>
      <w:jc w:val="both"/>
    </w:pPr>
    <w:rPr>
      <w:rFonts w:ascii="宋体" w:hAnsi="宋体" w:eastAsia="宋体" w:cs="Times New Roman"/>
      <w:kern w:val="2"/>
      <w:sz w:val="24"/>
      <w:szCs w:val="24"/>
      <w:lang w:val="en-US" w:eastAsia="zh-CN" w:bidi="ar-SA"/>
    </w:rPr>
  </w:style>
  <w:style w:type="paragraph" w:customStyle="1" w:styleId="239">
    <w:name w:val="标3"/>
    <w:basedOn w:val="5"/>
    <w:qFormat/>
    <w:uiPriority w:val="0"/>
    <w:pPr>
      <w:keepNext w:val="0"/>
      <w:keepLines w:val="0"/>
      <w:spacing w:before="0" w:after="0" w:line="360" w:lineRule="auto"/>
    </w:pPr>
    <w:rPr>
      <w:sz w:val="28"/>
    </w:rPr>
  </w:style>
  <w:style w:type="paragraph" w:customStyle="1" w:styleId="240">
    <w:name w:val="样式 样式 首行缩进:  0.99 厘米 行距: 最小值 23 磅 + 行距: 最小值 24 磅"/>
    <w:basedOn w:val="1"/>
    <w:qFormat/>
    <w:uiPriority w:val="0"/>
    <w:pPr>
      <w:snapToGrid w:val="0"/>
      <w:spacing w:line="520" w:lineRule="atLeast"/>
      <w:ind w:firstLine="680"/>
    </w:pPr>
    <w:rPr>
      <w:spacing w:val="12"/>
      <w:kern w:val="24"/>
      <w:sz w:val="28"/>
      <w:szCs w:val="28"/>
    </w:rPr>
  </w:style>
  <w:style w:type="paragraph" w:customStyle="1" w:styleId="241">
    <w:name w:val="正文+首行缩进"/>
    <w:basedOn w:val="1"/>
    <w:qFormat/>
    <w:uiPriority w:val="99"/>
    <w:pPr>
      <w:widowControl w:val="0"/>
      <w:spacing w:line="360" w:lineRule="auto"/>
      <w:ind w:firstLine="480" w:firstLineChars="200"/>
    </w:pPr>
    <w:rPr>
      <w:color w:val="auto"/>
      <w:szCs w:val="22"/>
    </w:rPr>
  </w:style>
  <w:style w:type="paragraph" w:customStyle="1" w:styleId="242">
    <w:name w:val="缩进正文"/>
    <w:qFormat/>
    <w:uiPriority w:val="99"/>
    <w:pPr>
      <w:overflowPunct w:val="0"/>
      <w:spacing w:line="360" w:lineRule="auto"/>
      <w:ind w:firstLine="200" w:firstLineChars="200"/>
      <w:jc w:val="both"/>
    </w:pPr>
    <w:rPr>
      <w:rFonts w:ascii="宋体" w:hAnsi="Times New Roman" w:eastAsia="宋体" w:cs="Times New Roman"/>
      <w:color w:val="000000"/>
      <w:kern w:val="2"/>
      <w:sz w:val="22"/>
      <w:szCs w:val="22"/>
      <w:lang w:val="en-US" w:eastAsia="zh-CN" w:bidi="ar-SA"/>
    </w:rPr>
  </w:style>
  <w:style w:type="paragraph" w:customStyle="1" w:styleId="243">
    <w:name w:val="Char Char Char Char Char Char Char"/>
    <w:basedOn w:val="1"/>
    <w:qFormat/>
    <w:uiPriority w:val="0"/>
  </w:style>
  <w:style w:type="paragraph" w:customStyle="1" w:styleId="244">
    <w:name w:val="reader-word-layer reader-word-s1-4"/>
    <w:basedOn w:val="1"/>
    <w:qFormat/>
    <w:uiPriority w:val="0"/>
    <w:pPr>
      <w:widowControl/>
      <w:spacing w:before="100" w:beforeAutospacing="1" w:after="100" w:afterAutospacing="1"/>
      <w:jc w:val="left"/>
    </w:pPr>
    <w:rPr>
      <w:rFonts w:ascii="宋体" w:hAnsi="宋体" w:cs="宋体"/>
      <w:kern w:val="0"/>
      <w:sz w:val="24"/>
    </w:rPr>
  </w:style>
  <w:style w:type="paragraph" w:customStyle="1" w:styleId="245">
    <w:name w:val="003"/>
    <w:basedOn w:val="1"/>
    <w:qFormat/>
    <w:uiPriority w:val="0"/>
    <w:pPr>
      <w:spacing w:line="360" w:lineRule="auto"/>
    </w:pPr>
    <w:rPr>
      <w:rFonts w:ascii="黑体" w:hAnsi="宋体" w:eastAsia="黑体"/>
      <w:sz w:val="24"/>
      <w:szCs w:val="32"/>
      <w:u w:val="none" w:color="FF0000"/>
    </w:rPr>
  </w:style>
  <w:style w:type="paragraph" w:customStyle="1" w:styleId="246">
    <w:name w:val="正文缩进2"/>
    <w:basedOn w:val="1"/>
    <w:qFormat/>
    <w:uiPriority w:val="0"/>
    <w:pPr>
      <w:spacing w:line="0" w:lineRule="atLeast"/>
      <w:ind w:firstLine="420"/>
    </w:pPr>
    <w:rPr>
      <w:sz w:val="28"/>
      <w:szCs w:val="20"/>
    </w:rPr>
  </w:style>
  <w:style w:type="paragraph" w:customStyle="1" w:styleId="247">
    <w:name w:val="表名"/>
    <w:basedOn w:val="1"/>
    <w:qFormat/>
    <w:uiPriority w:val="0"/>
    <w:pPr>
      <w:spacing w:line="360" w:lineRule="auto"/>
      <w:jc w:val="center"/>
    </w:pPr>
    <w:rPr>
      <w:rFonts w:ascii="宋体" w:hAnsi="宋体"/>
      <w:sz w:val="24"/>
    </w:rPr>
  </w:style>
  <w:style w:type="paragraph" w:customStyle="1" w:styleId="248">
    <w:name w:val="样式 正文 首行缩进:  2 字符 SL CON + (符号) 宋体 首行缩进:  2 字符"/>
    <w:basedOn w:val="1"/>
    <w:qFormat/>
    <w:uiPriority w:val="0"/>
    <w:pPr>
      <w:widowControl/>
      <w:tabs>
        <w:tab w:val="left" w:pos="377"/>
      </w:tabs>
      <w:spacing w:line="360" w:lineRule="auto"/>
      <w:ind w:firstLine="200" w:firstLineChars="200"/>
    </w:pPr>
    <w:rPr>
      <w:rFonts w:ascii="宋体" w:hAnsi="宋体" w:cs="宋体"/>
      <w:kern w:val="0"/>
      <w:sz w:val="28"/>
      <w:szCs w:val="20"/>
    </w:rPr>
  </w:style>
  <w:style w:type="paragraph" w:customStyle="1" w:styleId="249">
    <w:name w:val="样式 样式 标题 51)项无序号，小四黑常规，空两字th标题 5标题二标题 5 Char + (西文) 宋体 (中文) ... ..."/>
    <w:basedOn w:val="1"/>
    <w:qFormat/>
    <w:uiPriority w:val="0"/>
    <w:pPr>
      <w:keepNext/>
      <w:keepLines/>
      <w:widowControl/>
      <w:tabs>
        <w:tab w:val="left" w:pos="2660"/>
      </w:tabs>
      <w:adjustRightInd w:val="0"/>
      <w:snapToGrid w:val="0"/>
      <w:spacing w:before="156" w:line="360" w:lineRule="auto"/>
      <w:ind w:left="2660" w:hanging="420"/>
      <w:jc w:val="left"/>
      <w:outlineLvl w:val="4"/>
    </w:pPr>
    <w:rPr>
      <w:rFonts w:ascii="宋体" w:hAnsi="宋体" w:cs="宋体"/>
      <w:b/>
      <w:bCs/>
      <w:color w:val="000000"/>
      <w:spacing w:val="4"/>
      <w:kern w:val="0"/>
      <w:sz w:val="24"/>
      <w:szCs w:val="20"/>
      <w:shd w:val="clear" w:color="auto" w:fill="FFFFFF"/>
    </w:rPr>
  </w:style>
  <w:style w:type="paragraph" w:customStyle="1" w:styleId="250">
    <w:name w:val=" Char"/>
    <w:basedOn w:val="1"/>
    <w:qFormat/>
    <w:uiPriority w:val="0"/>
  </w:style>
  <w:style w:type="paragraph" w:customStyle="1" w:styleId="251">
    <w:name w:val="Char Char Char2 Char"/>
    <w:basedOn w:val="1"/>
    <w:qFormat/>
    <w:uiPriority w:val="0"/>
    <w:rPr>
      <w:rFonts w:ascii="Tahoma" w:hAnsi="Tahoma"/>
      <w:sz w:val="24"/>
      <w:szCs w:val="20"/>
    </w:rPr>
  </w:style>
  <w:style w:type="paragraph" w:customStyle="1" w:styleId="252">
    <w:name w:val=" Char1"/>
    <w:basedOn w:val="1"/>
    <w:semiHidden/>
    <w:qFormat/>
    <w:uiPriority w:val="0"/>
  </w:style>
  <w:style w:type="paragraph" w:customStyle="1" w:styleId="253">
    <w:name w:val="样式3"/>
    <w:basedOn w:val="1"/>
    <w:qFormat/>
    <w:uiPriority w:val="0"/>
    <w:pPr>
      <w:adjustRightInd w:val="0"/>
      <w:spacing w:before="240" w:beforeLines="0" w:line="460" w:lineRule="exact"/>
      <w:jc w:val="left"/>
      <w:textAlignment w:val="baseline"/>
    </w:pPr>
    <w:rPr>
      <w:rFonts w:ascii="黑体" w:eastAsia="黑体"/>
      <w:kern w:val="0"/>
      <w:sz w:val="28"/>
      <w:szCs w:val="20"/>
    </w:rPr>
  </w:style>
  <w:style w:type="paragraph" w:customStyle="1" w:styleId="254">
    <w:name w:val=" Char Char1 Char Char Char Char"/>
    <w:basedOn w:val="1"/>
    <w:qFormat/>
    <w:uiPriority w:val="0"/>
    <w:rPr>
      <w:rFonts w:ascii="宋体"/>
      <w:kern w:val="0"/>
      <w:sz w:val="24"/>
    </w:rPr>
  </w:style>
  <w:style w:type="paragraph" w:customStyle="1" w:styleId="255">
    <w:name w:val="塔河正文"/>
    <w:qFormat/>
    <w:uiPriority w:val="0"/>
    <w:pPr>
      <w:spacing w:line="360" w:lineRule="auto"/>
      <w:ind w:firstLine="224" w:firstLineChars="224"/>
    </w:pPr>
    <w:rPr>
      <w:rFonts w:ascii="宋体" w:hAnsi="宋体" w:eastAsia="宋体" w:cs="Times New Roman"/>
      <w:sz w:val="24"/>
      <w:lang w:val="en-US" w:eastAsia="zh-CN" w:bidi="ar-SA"/>
    </w:rPr>
  </w:style>
  <w:style w:type="paragraph" w:customStyle="1" w:styleId="256">
    <w:name w:val="T标题3级"/>
    <w:basedOn w:val="5"/>
    <w:next w:val="1"/>
    <w:qFormat/>
    <w:uiPriority w:val="0"/>
    <w:pPr>
      <w:widowControl/>
      <w:tabs>
        <w:tab w:val="left" w:pos="500"/>
      </w:tabs>
      <w:overflowPunct w:val="0"/>
      <w:spacing w:before="120" w:beforeLines="50" w:after="120" w:afterLines="50" w:line="360" w:lineRule="auto"/>
      <w:ind w:left="-131" w:firstLine="851"/>
      <w:jc w:val="left"/>
      <w:textAlignment w:val="baseline"/>
    </w:pPr>
    <w:rPr>
      <w:rFonts w:eastAsia="仿宋_GB2312"/>
      <w:bCs w:val="0"/>
      <w:kern w:val="0"/>
      <w:sz w:val="24"/>
      <w:szCs w:val="24"/>
      <w:lang w:val="en-US" w:eastAsia="zh-CN"/>
    </w:rPr>
  </w:style>
  <w:style w:type="paragraph" w:customStyle="1" w:styleId="257">
    <w:name w:val="样式 正文 首行缩进 SL CON"/>
    <w:basedOn w:val="80"/>
    <w:qFormat/>
    <w:uiPriority w:val="0"/>
    <w:pPr>
      <w:ind w:firstLine="560"/>
    </w:pPr>
  </w:style>
  <w:style w:type="paragraph" w:customStyle="1" w:styleId="258">
    <w:name w:val="font10"/>
    <w:basedOn w:val="1"/>
    <w:qFormat/>
    <w:uiPriority w:val="0"/>
    <w:pPr>
      <w:widowControl/>
      <w:spacing w:before="100" w:beforeAutospacing="1" w:after="100" w:afterAutospacing="1"/>
      <w:jc w:val="left"/>
    </w:pPr>
    <w:rPr>
      <w:kern w:val="0"/>
      <w:sz w:val="24"/>
    </w:rPr>
  </w:style>
  <w:style w:type="paragraph" w:customStyle="1" w:styleId="259">
    <w:name w:val="样式 标题 4四级标题标题 4 SL CON标题 4(SLconsult)Alt+D条 2点标题段H4h4 s..."/>
    <w:basedOn w:val="6"/>
    <w:qFormat/>
    <w:uiPriority w:val="0"/>
    <w:pPr>
      <w:keepLines w:val="0"/>
      <w:adjustRightInd w:val="0"/>
      <w:snapToGrid w:val="0"/>
      <w:spacing w:before="50" w:beforeLines="50" w:after="100" w:afterLines="100" w:line="240" w:lineRule="auto"/>
      <w:jc w:val="left"/>
    </w:pPr>
    <w:rPr>
      <w:rFonts w:ascii="黑体" w:hAnsi="黑体"/>
      <w:b/>
      <w:bCs/>
      <w:snapToGrid w:val="0"/>
      <w:sz w:val="24"/>
      <w:szCs w:val="32"/>
      <w14:shadow w14:blurRad="50800" w14:dist="38100" w14:dir="2700000" w14:sx="100000" w14:sy="100000" w14:kx="0" w14:ky="0" w14:algn="tl">
        <w14:srgbClr w14:val="000000">
          <w14:alpha w14:val="60000"/>
        </w14:srgbClr>
      </w14:shadow>
    </w:rPr>
  </w:style>
  <w:style w:type="paragraph" w:customStyle="1" w:styleId="260">
    <w:name w:val="reader-word-layer reader-word-s1-5"/>
    <w:basedOn w:val="1"/>
    <w:qFormat/>
    <w:uiPriority w:val="0"/>
    <w:pPr>
      <w:widowControl/>
      <w:spacing w:before="100" w:beforeAutospacing="1" w:after="100" w:afterAutospacing="1"/>
      <w:jc w:val="left"/>
    </w:pPr>
    <w:rPr>
      <w:rFonts w:ascii="宋体" w:hAnsi="宋体" w:cs="宋体"/>
      <w:kern w:val="0"/>
      <w:sz w:val="24"/>
    </w:rPr>
  </w:style>
  <w:style w:type="paragraph" w:customStyle="1" w:styleId="261">
    <w:name w:val="标三"/>
    <w:basedOn w:val="5"/>
    <w:qFormat/>
    <w:uiPriority w:val="0"/>
    <w:pPr>
      <w:spacing w:before="0" w:beforeLines="0" w:after="0" w:afterLines="0" w:line="240" w:lineRule="auto"/>
      <w:jc w:val="center"/>
    </w:pPr>
    <w:rPr>
      <w:b w:val="0"/>
      <w:sz w:val="24"/>
      <w:szCs w:val="24"/>
    </w:rPr>
  </w:style>
  <w:style w:type="paragraph" w:customStyle="1" w:styleId="262">
    <w:name w:val="Body Text 2"/>
    <w:basedOn w:val="1"/>
    <w:qFormat/>
    <w:uiPriority w:val="0"/>
    <w:rPr>
      <w:rFonts w:ascii="宋体" w:hAnsi="宋体"/>
      <w:sz w:val="24"/>
      <w:szCs w:val="21"/>
    </w:rPr>
  </w:style>
  <w:style w:type="paragraph" w:customStyle="1" w:styleId="263">
    <w:name w:val="Char"/>
    <w:basedOn w:val="1"/>
    <w:qFormat/>
    <w:uiPriority w:val="0"/>
    <w:pPr>
      <w:spacing w:line="360" w:lineRule="auto"/>
    </w:pPr>
    <w:rPr>
      <w:sz w:val="24"/>
    </w:rPr>
  </w:style>
  <w:style w:type="paragraph" w:customStyle="1" w:styleId="264">
    <w:name w:val="T标题1级"/>
    <w:basedOn w:val="3"/>
    <w:next w:val="1"/>
    <w:qFormat/>
    <w:uiPriority w:val="0"/>
    <w:pPr>
      <w:widowControl/>
      <w:tabs>
        <w:tab w:val="center" w:pos="500"/>
      </w:tabs>
      <w:overflowPunct w:val="0"/>
      <w:adjustRightInd w:val="0"/>
      <w:spacing w:before="120" w:beforeLines="50" w:after="120" w:afterLines="50" w:line="360" w:lineRule="auto"/>
      <w:ind w:left="-226" w:hanging="425"/>
      <w:textAlignment w:val="center"/>
    </w:pPr>
    <w:rPr>
      <w:rFonts w:eastAsia="仿宋_GB2312"/>
      <w:b w:val="0"/>
      <w:kern w:val="44"/>
      <w:szCs w:val="28"/>
    </w:rPr>
  </w:style>
  <w:style w:type="paragraph" w:customStyle="1" w:styleId="265">
    <w:name w:val="标2"/>
    <w:basedOn w:val="4"/>
    <w:qFormat/>
    <w:uiPriority w:val="0"/>
    <w:pPr>
      <w:keepNext w:val="0"/>
      <w:keepLines w:val="0"/>
      <w:spacing w:before="0" w:after="0" w:line="360" w:lineRule="auto"/>
    </w:pPr>
    <w:rPr>
      <w:rFonts w:ascii="Times New Roman" w:hAnsi="Times New Roman" w:eastAsia="宋体"/>
      <w:sz w:val="30"/>
    </w:rPr>
  </w:style>
  <w:style w:type="paragraph" w:customStyle="1" w:styleId="266">
    <w:name w:val="表格"/>
    <w:basedOn w:val="1"/>
    <w:qFormat/>
    <w:uiPriority w:val="0"/>
    <w:pPr>
      <w:widowControl/>
      <w:jc w:val="center"/>
    </w:pPr>
    <w:rPr>
      <w:rFonts w:ascii="宋体" w:hAnsi="宋体"/>
      <w:snapToGrid w:val="0"/>
      <w:kern w:val="0"/>
      <w:sz w:val="24"/>
      <w:szCs w:val="21"/>
    </w:rPr>
  </w:style>
  <w:style w:type="paragraph" w:customStyle="1" w:styleId="267">
    <w:name w:val="T标题4级"/>
    <w:basedOn w:val="6"/>
    <w:next w:val="1"/>
    <w:qFormat/>
    <w:uiPriority w:val="0"/>
    <w:pPr>
      <w:widowControl/>
      <w:overflowPunct w:val="0"/>
      <w:autoSpaceDE w:val="0"/>
      <w:autoSpaceDN w:val="0"/>
      <w:adjustRightInd w:val="0"/>
      <w:spacing w:before="0" w:after="120" w:afterLines="50" w:line="360" w:lineRule="auto"/>
      <w:ind w:left="1333" w:hanging="708"/>
      <w:jc w:val="left"/>
      <w:textAlignment w:val="baseline"/>
    </w:pPr>
    <w:rPr>
      <w:rFonts w:ascii="Times New Roman" w:hAnsi="Times New Roman" w:eastAsia="仿宋_GB2312"/>
      <w:b/>
      <w:bCs/>
      <w:kern w:val="0"/>
      <w:sz w:val="24"/>
      <w:szCs w:val="24"/>
    </w:rPr>
  </w:style>
  <w:style w:type="paragraph" w:customStyle="1" w:styleId="268">
    <w:name w:val="样式1"/>
    <w:basedOn w:val="18"/>
    <w:qFormat/>
    <w:uiPriority w:val="0"/>
    <w:pPr>
      <w:tabs>
        <w:tab w:val="left" w:pos="567"/>
      </w:tabs>
      <w:spacing w:line="360" w:lineRule="auto"/>
      <w:jc w:val="center"/>
    </w:pPr>
    <w:rPr>
      <w:sz w:val="24"/>
      <w:szCs w:val="20"/>
    </w:rPr>
  </w:style>
  <w:style w:type="paragraph" w:customStyle="1" w:styleId="269">
    <w:name w:val="Char1 Char Char Char"/>
    <w:basedOn w:val="1"/>
    <w:qFormat/>
    <w:uiPriority w:val="0"/>
    <w:pPr>
      <w:spacing w:line="360" w:lineRule="auto"/>
    </w:pPr>
    <w:rPr>
      <w:sz w:val="24"/>
    </w:rPr>
  </w:style>
  <w:style w:type="paragraph" w:customStyle="1" w:styleId="270">
    <w:name w:val="表中文字"/>
    <w:basedOn w:val="1"/>
    <w:qFormat/>
    <w:uiPriority w:val="0"/>
    <w:pPr>
      <w:jc w:val="center"/>
    </w:pPr>
    <w:rPr>
      <w:rFonts w:ascii="宋体" w:hAnsi="宋体"/>
    </w:rPr>
  </w:style>
  <w:style w:type="paragraph" w:customStyle="1" w:styleId="271">
    <w:name w:val="index 1"/>
    <w:basedOn w:val="1"/>
    <w:next w:val="1"/>
    <w:qFormat/>
    <w:uiPriority w:val="0"/>
    <w:pPr>
      <w:spacing w:line="360" w:lineRule="exact"/>
    </w:pPr>
    <w:rPr>
      <w:szCs w:val="20"/>
    </w:rPr>
  </w:style>
  <w:style w:type="paragraph" w:customStyle="1" w:styleId="272">
    <w:name w:val="heading 4"/>
    <w:basedOn w:val="1"/>
    <w:next w:val="1"/>
    <w:qFormat/>
    <w:uiPriority w:val="0"/>
    <w:pPr>
      <w:keepNext/>
      <w:keepLines/>
      <w:widowControl/>
      <w:numPr>
        <w:ilvl w:val="3"/>
        <w:numId w:val="1"/>
      </w:numPr>
      <w:tabs>
        <w:tab w:val="left" w:pos="960"/>
      </w:tabs>
      <w:spacing w:before="100" w:beforeAutospacing="1" w:after="240" w:line="360" w:lineRule="auto"/>
      <w:outlineLvl w:val="3"/>
    </w:pPr>
    <w:rPr>
      <w:rFonts w:eastAsia="黑体"/>
      <w:bCs/>
      <w:kern w:val="0"/>
      <w:sz w:val="28"/>
      <w:szCs w:val="28"/>
    </w:rPr>
  </w:style>
  <w:style w:type="paragraph" w:customStyle="1" w:styleId="273">
    <w:name w:val="Document Map"/>
    <w:basedOn w:val="1"/>
    <w:qFormat/>
    <w:uiPriority w:val="0"/>
    <w:pPr>
      <w:shd w:val="clear" w:color="auto" w:fill="000080"/>
    </w:pPr>
  </w:style>
  <w:style w:type="paragraph" w:customStyle="1" w:styleId="274">
    <w:name w:val="004"/>
    <w:basedOn w:val="1"/>
    <w:qFormat/>
    <w:uiPriority w:val="0"/>
    <w:pPr>
      <w:spacing w:line="460" w:lineRule="exact"/>
      <w:ind w:firstLine="480" w:firstLineChars="200"/>
    </w:pPr>
    <w:rPr>
      <w:rFonts w:ascii="方正书宋简体" w:hAnsi="宋体" w:eastAsia="方正书宋简体"/>
      <w:sz w:val="24"/>
      <w:szCs w:val="32"/>
      <w:u w:val="none" w:color="FF0000"/>
    </w:rPr>
  </w:style>
  <w:style w:type="paragraph" w:customStyle="1" w:styleId="275">
    <w:name w:val="标题5"/>
    <w:next w:val="1"/>
    <w:qFormat/>
    <w:uiPriority w:val="0"/>
    <w:pPr>
      <w:snapToGrid w:val="0"/>
      <w:spacing w:line="360" w:lineRule="auto"/>
      <w:ind w:firstLine="480" w:firstLineChars="200"/>
      <w:jc w:val="both"/>
    </w:pPr>
    <w:rPr>
      <w:rFonts w:ascii="宋体" w:hAnsi="宋体" w:eastAsia="宋体" w:cs="Times New Roman"/>
      <w:kern w:val="2"/>
      <w:sz w:val="24"/>
      <w:szCs w:val="24"/>
      <w:lang w:val="en-US" w:eastAsia="zh-CN" w:bidi="ar-SA"/>
    </w:rPr>
  </w:style>
  <w:style w:type="paragraph" w:customStyle="1" w:styleId="276">
    <w:name w:val="封面2-3"/>
    <w:basedOn w:val="24"/>
    <w:qFormat/>
    <w:uiPriority w:val="0"/>
    <w:pPr>
      <w:spacing w:line="360" w:lineRule="auto"/>
      <w:jc w:val="center"/>
    </w:pPr>
    <w:rPr>
      <w:rFonts w:hint="eastAsia" w:ascii="黑体" w:hAnsi="宋体" w:eastAsia="黑体"/>
      <w:bCs/>
      <w:sz w:val="30"/>
      <w:szCs w:val="30"/>
      <w:lang w:val="en-US" w:eastAsia="zh-CN"/>
    </w:rPr>
  </w:style>
  <w:style w:type="paragraph" w:customStyle="1" w:styleId="277">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4"/>
    </w:rPr>
  </w:style>
  <w:style w:type="paragraph" w:customStyle="1" w:styleId="278">
    <w:name w:val="Char Char Char Char Char Char Char Char Char Char"/>
    <w:basedOn w:val="1"/>
    <w:qFormat/>
    <w:uiPriority w:val="0"/>
    <w:pPr>
      <w:spacing w:line="360" w:lineRule="auto"/>
    </w:pPr>
    <w:rPr>
      <w:sz w:val="24"/>
    </w:rPr>
  </w:style>
  <w:style w:type="paragraph" w:customStyle="1" w:styleId="279">
    <w:name w:val="主标题 样式 小一 加粗 居中(SL CON)"/>
    <w:basedOn w:val="1"/>
    <w:qFormat/>
    <w:uiPriority w:val="0"/>
    <w:pPr>
      <w:widowControl/>
      <w:tabs>
        <w:tab w:val="left" w:pos="377"/>
      </w:tabs>
      <w:spacing w:line="360" w:lineRule="auto"/>
      <w:jc w:val="center"/>
    </w:pPr>
    <w:rPr>
      <w:rFonts w:ascii="宋体" w:cs="宋体"/>
      <w:b/>
      <w:bCs/>
      <w:kern w:val="0"/>
      <w:sz w:val="48"/>
      <w:szCs w:val="20"/>
    </w:rPr>
  </w:style>
  <w:style w:type="paragraph" w:customStyle="1" w:styleId="280">
    <w:name w:val="xl24"/>
    <w:basedOn w:val="1"/>
    <w:qFormat/>
    <w:uiPriority w:val="0"/>
    <w:pPr>
      <w:widowControl/>
      <w:spacing w:before="100" w:beforeAutospacing="1" w:after="100" w:afterAutospacing="1"/>
      <w:jc w:val="center"/>
    </w:pPr>
    <w:rPr>
      <w:rFonts w:ascii="宋体" w:hAnsi="宋体"/>
      <w:kern w:val="0"/>
      <w:sz w:val="24"/>
    </w:rPr>
  </w:style>
  <w:style w:type="paragraph" w:customStyle="1" w:styleId="281">
    <w:name w:val="Date"/>
    <w:basedOn w:val="1"/>
    <w:next w:val="1"/>
    <w:qFormat/>
    <w:uiPriority w:val="0"/>
    <w:pPr>
      <w:adjustRightInd w:val="0"/>
      <w:spacing w:line="360" w:lineRule="auto"/>
      <w:textAlignment w:val="baseline"/>
    </w:pPr>
    <w:rPr>
      <w:rFonts w:ascii="宋体"/>
      <w:spacing w:val="10"/>
      <w:kern w:val="0"/>
      <w:sz w:val="28"/>
      <w:szCs w:val="20"/>
    </w:rPr>
  </w:style>
  <w:style w:type="table" w:customStyle="1" w:styleId="282">
    <w:name w:val="表格样式1"/>
    <w:basedOn w:val="4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3">
    <w:name w:val="网格型1"/>
    <w:basedOn w:val="45"/>
    <w:qFormat/>
    <w:uiPriority w:val="0"/>
    <w:pPr>
      <w:widowControl w:val="0"/>
      <w:adjustRightInd w:val="0"/>
      <w:spacing w:line="312" w:lineRule="atLeast"/>
      <w:jc w:val="both"/>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4">
    <w:name w:val="网格型2"/>
    <w:basedOn w:val="4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85">
    <w:name w:val="正文图标题"/>
    <w:next w:val="6"/>
    <w:qFormat/>
    <w:uiPriority w:val="0"/>
    <w:p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286">
    <w:name w:val="SSEC 正文"/>
    <w:qFormat/>
    <w:uiPriority w:val="0"/>
    <w:pPr>
      <w:widowControl w:val="0"/>
      <w:adjustRightInd w:val="0"/>
      <w:snapToGrid w:val="0"/>
      <w:spacing w:line="331" w:lineRule="auto"/>
      <w:ind w:firstLine="200" w:firstLineChars="200"/>
      <w:jc w:val="both"/>
    </w:pPr>
    <w:rPr>
      <w:rFonts w:ascii="宋体" w:hAnsi="宋体" w:eastAsia="宋体" w:cs="Times New Roman"/>
      <w:kern w:val="2"/>
      <w:sz w:val="24"/>
      <w:szCs w:val="24"/>
      <w:lang w:val="en-US" w:eastAsia="zh-CN" w:bidi="ar-SA"/>
    </w:rPr>
  </w:style>
  <w:style w:type="paragraph" w:customStyle="1" w:styleId="287">
    <w:name w:val="标准小四"/>
    <w:basedOn w:val="1"/>
    <w:qFormat/>
    <w:uiPriority w:val="0"/>
    <w:pPr>
      <w:widowControl w:val="0"/>
      <w:ind w:firstLine="480" w:firstLineChars="200"/>
    </w:pPr>
    <w:rPr>
      <w:rFonts w:ascii="Times New Roman"/>
      <w:kern w:val="2"/>
      <w:szCs w:val="21"/>
    </w:rPr>
  </w:style>
  <w:style w:type="paragraph" w:styleId="288">
    <w:name w:val="Quote"/>
    <w:basedOn w:val="1"/>
    <w:next w:val="1"/>
    <w:qFormat/>
    <w:uiPriority w:val="29"/>
    <w:pPr>
      <w:widowControl/>
      <w:spacing w:line="360" w:lineRule="auto"/>
      <w:ind w:firstLine="200" w:firstLineChars="200"/>
    </w:pPr>
    <w:rPr>
      <w:rFonts w:cs="Times New Roman"/>
      <w:iCs/>
      <w:color w:val="000000"/>
      <w:kern w:val="0"/>
      <w:sz w:val="28"/>
      <w:szCs w:val="22"/>
    </w:rPr>
  </w:style>
  <w:style w:type="paragraph" w:customStyle="1" w:styleId="289">
    <w:name w:val="纯文本1"/>
    <w:basedOn w:val="1"/>
    <w:qFormat/>
    <w:uiPriority w:val="0"/>
    <w:rPr>
      <w:rFonts w:ascii="宋体" w:hAnsi="Courier New"/>
      <w:szCs w:val="20"/>
    </w:rPr>
  </w:style>
  <w:style w:type="character" w:customStyle="1" w:styleId="290">
    <w:name w:val="bjh-p"/>
    <w:qFormat/>
    <w:uiPriority w:val="0"/>
  </w:style>
  <w:style w:type="paragraph" w:customStyle="1" w:styleId="291">
    <w:name w:val="注释标题1"/>
    <w:basedOn w:val="1"/>
    <w:next w:val="1"/>
    <w:qFormat/>
    <w:uiPriority w:val="0"/>
    <w:pPr>
      <w:jc w:val="center"/>
    </w:pPr>
    <w:rPr>
      <w:rFonts w:ascii="宋体"/>
      <w:szCs w:val="21"/>
    </w:rPr>
  </w:style>
  <w:style w:type="character" w:customStyle="1" w:styleId="292">
    <w:name w:val="title41"/>
    <w:qFormat/>
    <w:uiPriority w:val="7"/>
    <w:rPr>
      <w:rFonts w:hint="eastAsia" w:ascii="宋体" w:hAnsi="宋体" w:eastAsia="宋体"/>
      <w:color w:val="194F95"/>
      <w:sz w:val="23"/>
      <w:szCs w:val="23"/>
    </w:rPr>
  </w:style>
  <w:style w:type="paragraph" w:customStyle="1" w:styleId="293">
    <w:name w:val="正文3"/>
    <w:next w:val="125"/>
    <w:qFormat/>
    <w:uiPriority w:val="0"/>
    <w:pPr>
      <w:kinsoku w:val="0"/>
      <w:overflowPunct w:val="0"/>
      <w:autoSpaceDE w:val="0"/>
      <w:autoSpaceDN w:val="0"/>
      <w:adjustRightInd w:val="0"/>
      <w:snapToGrid w:val="0"/>
      <w:jc w:val="center"/>
    </w:pPr>
    <w:rPr>
      <w:rFonts w:ascii="Times New Roman" w:hAnsi="Times New Roman" w:eastAsia="宋体" w:cs="宋体"/>
      <w:snapToGrid w:val="0"/>
      <w:kern w:val="2"/>
      <w:sz w:val="21"/>
      <w:szCs w:val="22"/>
      <w:lang w:val="en-US" w:eastAsia="en-US" w:bidi="ar-SA"/>
    </w:rPr>
  </w:style>
  <w:style w:type="character" w:customStyle="1" w:styleId="294">
    <w:name w:val="font71"/>
    <w:qFormat/>
    <w:uiPriority w:val="0"/>
    <w:rPr>
      <w:rFonts w:ascii="Arial" w:hAnsi="Arial" w:cs="Arial"/>
      <w:color w:val="000000"/>
      <w:sz w:val="22"/>
      <w:szCs w:val="22"/>
      <w:u w:val="none"/>
    </w:rPr>
  </w:style>
  <w:style w:type="character" w:customStyle="1" w:styleId="295">
    <w:name w:val="font81"/>
    <w:qFormat/>
    <w:uiPriority w:val="0"/>
    <w:rPr>
      <w:rFonts w:ascii="微软雅黑" w:hAnsi="微软雅黑" w:eastAsia="微软雅黑" w:cs="微软雅黑"/>
      <w:color w:val="000000"/>
      <w:sz w:val="22"/>
      <w:szCs w:val="22"/>
      <w:u w:val="none"/>
    </w:rPr>
  </w:style>
  <w:style w:type="paragraph" w:customStyle="1" w:styleId="296">
    <w:name w:val="IDDS表图注"/>
    <w:basedOn w:val="1"/>
    <w:qFormat/>
    <w:uiPriority w:val="0"/>
    <w:pPr>
      <w:spacing w:line="360" w:lineRule="auto"/>
      <w:jc w:val="center"/>
    </w:pPr>
    <w:rPr>
      <w:rFonts w:ascii="宋体" w:hAnsi="宋体" w:cs="宋体"/>
      <w:b/>
      <w:bCs/>
      <w:szCs w:val="20"/>
    </w:rPr>
  </w:style>
  <w:style w:type="paragraph" w:customStyle="1" w:styleId="297">
    <w:name w:val="列出段落1"/>
    <w:basedOn w:val="1"/>
    <w:qFormat/>
    <w:uiPriority w:val="0"/>
    <w:pPr>
      <w:ind w:firstLine="420" w:firstLineChars="200"/>
    </w:pPr>
  </w:style>
  <w:style w:type="character" w:customStyle="1" w:styleId="298">
    <w:name w:val="font91"/>
    <w:basedOn w:val="48"/>
    <w:qFormat/>
    <w:uiPriority w:val="0"/>
    <w:rPr>
      <w:rFonts w:ascii="微软雅黑" w:hAnsi="微软雅黑" w:eastAsia="微软雅黑" w:cs="微软雅黑"/>
      <w:color w:val="000000"/>
      <w:sz w:val="22"/>
      <w:szCs w:val="22"/>
      <w:u w:val="none"/>
    </w:rPr>
  </w:style>
  <w:style w:type="table" w:customStyle="1" w:styleId="299">
    <w:name w:val="Table Normal"/>
    <w:unhideWhenUsed/>
    <w:qFormat/>
    <w:uiPriority w:val="2"/>
    <w:pPr>
      <w:widowControl w:val="0"/>
    </w:pPr>
    <w:rPr>
      <w:kern w:val="0"/>
      <w:sz w:val="22"/>
      <w:lang w:eastAsia="en-US"/>
    </w:rPr>
    <w:tblPr>
      <w:tblCellMar>
        <w:top w:w="0" w:type="dxa"/>
        <w:left w:w="0" w:type="dxa"/>
        <w:bottom w:w="0" w:type="dxa"/>
        <w:right w:w="0" w:type="dxa"/>
      </w:tblCellMar>
    </w:tblPr>
  </w:style>
  <w:style w:type="paragraph" w:customStyle="1" w:styleId="300">
    <w:name w:val="Table Paragraph"/>
    <w:basedOn w:val="1"/>
    <w:qFormat/>
    <w:uiPriority w:val="1"/>
    <w:rPr>
      <w:rFonts w:ascii="宋体" w:hAnsi="宋体" w:eastAsia="宋体" w:cs="宋体"/>
      <w:lang w:val="zh-CN" w:eastAsia="zh-CN" w:bidi="zh-CN"/>
    </w:rPr>
  </w:style>
  <w:style w:type="paragraph" w:customStyle="1" w:styleId="301">
    <w:name w:val="+正文"/>
    <w:basedOn w:val="1"/>
    <w:unhideWhenUsed/>
    <w:qFormat/>
    <w:uiPriority w:val="0"/>
    <w:pPr>
      <w:spacing w:before="120" w:beforeLines="50" w:afterLines="0" w:line="360" w:lineRule="auto"/>
      <w:ind w:firstLine="560" w:firstLineChars="200"/>
      <w:jc w:val="left"/>
    </w:pPr>
    <w:rPr>
      <w:rFonts w:hint="default"/>
      <w:sz w:val="28"/>
      <w:szCs w:val="28"/>
    </w:rPr>
  </w:style>
  <w:style w:type="paragraph" w:customStyle="1" w:styleId="302">
    <w:name w:val="Char3"/>
    <w:basedOn w:val="1"/>
    <w:qFormat/>
    <w:uiPriority w:val="0"/>
    <w:pPr>
      <w:widowControl/>
      <w:spacing w:after="160" w:line="240" w:lineRule="exact"/>
      <w:jc w:val="left"/>
    </w:pPr>
    <w:rPr>
      <w:szCs w:val="20"/>
    </w:rPr>
  </w:style>
  <w:style w:type="paragraph" w:customStyle="1" w:styleId="303">
    <w:name w:val="Body text|1"/>
    <w:basedOn w:val="1"/>
    <w:qFormat/>
    <w:uiPriority w:val="0"/>
    <w:pPr>
      <w:spacing w:line="408" w:lineRule="auto"/>
      <w:ind w:firstLine="400"/>
    </w:pPr>
    <w:rPr>
      <w:rFonts w:ascii="宋体" w:hAnsi="宋体" w:eastAsia="宋体" w:cs="宋体"/>
      <w:sz w:val="26"/>
      <w:szCs w:val="26"/>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12.jpeg"/><Relationship Id="rId35" Type="http://schemas.openxmlformats.org/officeDocument/2006/relationships/image" Target="media/image11.jpeg"/><Relationship Id="rId34" Type="http://schemas.openxmlformats.org/officeDocument/2006/relationships/image" Target="media/image10.jpeg"/><Relationship Id="rId33" Type="http://schemas.openxmlformats.org/officeDocument/2006/relationships/image" Target="media/image9.png"/><Relationship Id="rId32" Type="http://schemas.openxmlformats.org/officeDocument/2006/relationships/image" Target="media/image8.jpeg"/><Relationship Id="rId31" Type="http://schemas.openxmlformats.org/officeDocument/2006/relationships/image" Target="media/image7.jpeg"/><Relationship Id="rId30" Type="http://schemas.openxmlformats.org/officeDocument/2006/relationships/image" Target="media/image6.jpeg"/><Relationship Id="rId3" Type="http://schemas.openxmlformats.org/officeDocument/2006/relationships/footnotes" Target="footnotes.xml"/><Relationship Id="rId29" Type="http://schemas.openxmlformats.org/officeDocument/2006/relationships/image" Target="media/image5.png"/><Relationship Id="rId28" Type="http://schemas.openxmlformats.org/officeDocument/2006/relationships/image" Target="media/image4.png"/><Relationship Id="rId27" Type="http://schemas.openxmlformats.org/officeDocument/2006/relationships/image" Target="media/image3.jpeg"/><Relationship Id="rId26" Type="http://schemas.openxmlformats.org/officeDocument/2006/relationships/image" Target="media/image2.png"/><Relationship Id="rId25" Type="http://schemas.openxmlformats.org/officeDocument/2006/relationships/image" Target="media/image1.jpeg"/><Relationship Id="rId24" Type="http://schemas.openxmlformats.org/officeDocument/2006/relationships/theme" Target="theme/theme1.xml"/><Relationship Id="rId23" Type="http://schemas.openxmlformats.org/officeDocument/2006/relationships/footer" Target="footer12.xml"/><Relationship Id="rId22" Type="http://schemas.openxmlformats.org/officeDocument/2006/relationships/footer" Target="footer11.xml"/><Relationship Id="rId21" Type="http://schemas.openxmlformats.org/officeDocument/2006/relationships/footer" Target="footer10.xml"/><Relationship Id="rId20" Type="http://schemas.openxmlformats.org/officeDocument/2006/relationships/header" Target="header7.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sdip.com</Company>
  <Pages>108</Pages>
  <Words>50377</Words>
  <Characters>54220</Characters>
  <Lines>1034</Lines>
  <Paragraphs>291</Paragraphs>
  <TotalTime>1</TotalTime>
  <ScaleCrop>false</ScaleCrop>
  <LinksUpToDate>false</LinksUpToDate>
  <CharactersWithSpaces>54684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2015-11-25T05:48:00Z</dcterms:created>
  <dc:creator>Shang</dc:creator>
  <cp:lastModifiedBy>Administrator</cp:lastModifiedBy>
  <cp:lastPrinted>2022-10-31T04:45:00Z</cp:lastPrinted>
  <dcterms:modified xsi:type="dcterms:W3CDTF">2022-10-21T09:58:15Z</dcterms:modified>
  <dc:title>预评</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FBFB697B4B324F38BC7B4EE982D46A32</vt:lpwstr>
  </property>
</Properties>
</file>