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both"/>
        <w:rPr>
          <w:rFonts w:hint="eastAsia" w:ascii="Times New Roman" w:hAnsi="Times New Roman" w:eastAsia="宋体" w:cs="Times New Roman"/>
          <w:kern w:val="0"/>
          <w:sz w:val="21"/>
          <w:szCs w:val="21"/>
          <w:shd w:val="clear" w:color="FFFFFF" w:fill="D9D9D9"/>
          <w:lang w:eastAsia="zh-CN"/>
        </w:rPr>
      </w:pPr>
    </w:p>
    <w:p>
      <w:pPr>
        <w:ind w:firstLine="0" w:firstLineChars="0"/>
        <w:jc w:val="both"/>
        <w:rPr>
          <w:rFonts w:ascii="Times New Roman" w:hAnsi="Times New Roman" w:cs="Times New Roman"/>
          <w:kern w:val="0"/>
          <w:sz w:val="21"/>
          <w:szCs w:val="21"/>
          <w:shd w:val="clear" w:color="FFFFFF" w:fill="D9D9D9"/>
        </w:rPr>
      </w:pPr>
    </w:p>
    <w:p>
      <w:pPr>
        <w:ind w:firstLine="0" w:firstLineChars="0"/>
        <w:jc w:val="both"/>
        <w:rPr>
          <w:rFonts w:ascii="Times New Roman" w:hAnsi="Times New Roman" w:cs="Times New Roman"/>
          <w:kern w:val="0"/>
          <w:sz w:val="21"/>
          <w:szCs w:val="21"/>
          <w:shd w:val="clear" w:color="FFFFFF" w:fill="D9D9D9"/>
        </w:rPr>
      </w:pPr>
    </w:p>
    <w:p>
      <w:pPr>
        <w:snapToGrid w:val="0"/>
        <w:spacing w:line="360" w:lineRule="auto"/>
        <w:ind w:firstLine="0" w:firstLineChars="0"/>
        <w:jc w:val="center"/>
        <w:rPr>
          <w:rFonts w:ascii="Times New Roman" w:hAnsi="Times New Roman" w:cs="Times New Roman"/>
          <w:b/>
          <w:sz w:val="44"/>
          <w:szCs w:val="44"/>
        </w:rPr>
      </w:pPr>
      <w:bookmarkStart w:id="0" w:name="_Hlk509666633"/>
    </w:p>
    <w:p>
      <w:pPr>
        <w:keepNext w:val="0"/>
        <w:keepLines w:val="0"/>
        <w:pageBreakBefore w:val="0"/>
        <w:widowControl w:val="0"/>
        <w:kinsoku/>
        <w:wordWrap/>
        <w:overflowPunct/>
        <w:topLinePunct w:val="0"/>
        <w:autoSpaceDE/>
        <w:autoSpaceDN/>
        <w:bidi w:val="0"/>
        <w:snapToGrid w:val="0"/>
        <w:spacing w:line="360" w:lineRule="auto"/>
        <w:ind w:firstLine="0" w:firstLineChars="0"/>
        <w:jc w:val="center"/>
        <w:textAlignment w:val="auto"/>
        <w:rPr>
          <w:rFonts w:ascii="Times New Roman" w:hAnsi="Times New Roman" w:cs="Times New Roman"/>
          <w:b/>
          <w:sz w:val="44"/>
          <w:szCs w:val="44"/>
        </w:rPr>
      </w:pPr>
      <w:r>
        <w:rPr>
          <w:rFonts w:ascii="Times New Roman" w:hAnsi="Times New Roman" w:cs="Times New Roman"/>
          <w:b/>
          <w:sz w:val="44"/>
          <w:szCs w:val="44"/>
        </w:rPr>
        <w:t>中国石油化工股份有限公司</w:t>
      </w:r>
    </w:p>
    <w:p>
      <w:pPr>
        <w:keepNext w:val="0"/>
        <w:keepLines w:val="0"/>
        <w:pageBreakBefore w:val="0"/>
        <w:widowControl w:val="0"/>
        <w:kinsoku/>
        <w:wordWrap/>
        <w:overflowPunct/>
        <w:topLinePunct w:val="0"/>
        <w:autoSpaceDE/>
        <w:autoSpaceDN/>
        <w:bidi w:val="0"/>
        <w:snapToGrid w:val="0"/>
        <w:spacing w:line="360" w:lineRule="auto"/>
        <w:ind w:firstLine="0" w:firstLineChars="0"/>
        <w:jc w:val="center"/>
        <w:textAlignment w:val="auto"/>
        <w:rPr>
          <w:rFonts w:ascii="Times New Roman" w:hAnsi="Times New Roman" w:cs="Times New Roman"/>
          <w:sz w:val="44"/>
          <w:szCs w:val="44"/>
        </w:rPr>
      </w:pPr>
      <w:r>
        <w:rPr>
          <w:rFonts w:ascii="Times New Roman" w:hAnsi="Times New Roman" w:cs="Times New Roman"/>
          <w:b/>
          <w:sz w:val="44"/>
          <w:szCs w:val="44"/>
        </w:rPr>
        <w:t>胜利油田分公司石油化工总厂</w:t>
      </w:r>
    </w:p>
    <w:bookmarkEnd w:id="0"/>
    <w:p>
      <w:pPr>
        <w:keepNext w:val="0"/>
        <w:keepLines w:val="0"/>
        <w:pageBreakBefore w:val="0"/>
        <w:widowControl w:val="0"/>
        <w:kinsoku/>
        <w:wordWrap/>
        <w:overflowPunct/>
        <w:topLinePunct w:val="0"/>
        <w:autoSpaceDE/>
        <w:autoSpaceDN/>
        <w:bidi w:val="0"/>
        <w:snapToGrid w:val="0"/>
        <w:spacing w:line="360" w:lineRule="auto"/>
        <w:ind w:firstLine="0" w:firstLineChars="0"/>
        <w:jc w:val="center"/>
        <w:textAlignment w:val="auto"/>
        <w:rPr>
          <w:rFonts w:ascii="Times New Roman" w:hAnsi="Times New Roman" w:cs="Times New Roman"/>
          <w:sz w:val="21"/>
        </w:rPr>
      </w:pPr>
      <w:r>
        <w:rPr>
          <w:rFonts w:ascii="Times New Roman" w:hAnsi="Times New Roman" w:cs="Times New Roman"/>
          <w:b/>
          <w:bCs/>
          <w:color w:val="000000"/>
          <w:kern w:val="0"/>
          <w:sz w:val="44"/>
          <w:szCs w:val="44"/>
          <w:lang w:bidi="ar"/>
        </w:rPr>
        <w:t>原油罐区分输分储改造工程项目</w:t>
      </w:r>
    </w:p>
    <w:p>
      <w:pPr>
        <w:keepNext w:val="0"/>
        <w:keepLines w:val="0"/>
        <w:pageBreakBefore w:val="0"/>
        <w:widowControl w:val="0"/>
        <w:kinsoku/>
        <w:wordWrap/>
        <w:overflowPunct/>
        <w:topLinePunct w:val="0"/>
        <w:autoSpaceDE/>
        <w:autoSpaceDN/>
        <w:bidi w:val="0"/>
        <w:snapToGrid w:val="0"/>
        <w:spacing w:line="360" w:lineRule="auto"/>
        <w:ind w:firstLine="0" w:firstLineChars="0"/>
        <w:jc w:val="center"/>
        <w:textAlignment w:val="auto"/>
        <w:rPr>
          <w:rFonts w:ascii="Times New Roman" w:hAnsi="Times New Roman" w:cs="Times New Roman"/>
          <w:sz w:val="21"/>
        </w:rPr>
      </w:pP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s="Times New Roman"/>
          <w:b/>
          <w:kern w:val="0"/>
          <w:sz w:val="36"/>
          <w:szCs w:val="36"/>
        </w:rPr>
      </w:pP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ascii="Times New Roman" w:hAnsi="Times New Roman" w:cs="Times New Roman"/>
          <w:b/>
          <w:bCs/>
          <w:kern w:val="0"/>
          <w:sz w:val="52"/>
          <w:szCs w:val="52"/>
        </w:rPr>
      </w:pPr>
      <w:bookmarkStart w:id="1" w:name="_Toc309889243"/>
      <w:bookmarkEnd w:id="1"/>
      <w:bookmarkStart w:id="2" w:name="_Toc309889174"/>
      <w:r>
        <w:rPr>
          <w:rFonts w:ascii="Times New Roman" w:hAnsi="Times New Roman" w:cs="Times New Roman"/>
          <w:b/>
          <w:bCs/>
          <w:kern w:val="0"/>
          <w:sz w:val="52"/>
          <w:szCs w:val="52"/>
        </w:rPr>
        <w:t>安全条件评价报告</w:t>
      </w:r>
      <w:bookmarkEnd w:id="2"/>
    </w:p>
    <w:p>
      <w:pPr>
        <w:pStyle w:val="18"/>
        <w:ind w:firstLine="200"/>
      </w:pPr>
    </w:p>
    <w:p>
      <w:pPr>
        <w:ind w:left="560" w:leftChars="200" w:firstLine="562"/>
        <w:jc w:val="both"/>
        <w:textAlignment w:val="baseline"/>
        <w:rPr>
          <w:rFonts w:ascii="Times New Roman" w:hAnsi="Times New Roman" w:cs="Times New Roman"/>
          <w:b/>
          <w:bCs/>
          <w:kern w:val="0"/>
          <w:szCs w:val="28"/>
        </w:rPr>
      </w:pPr>
    </w:p>
    <w:p>
      <w:pPr>
        <w:ind w:left="560" w:leftChars="200" w:firstLine="562"/>
        <w:jc w:val="both"/>
        <w:textAlignment w:val="baseline"/>
        <w:rPr>
          <w:rFonts w:ascii="Times New Roman" w:hAnsi="Times New Roman" w:cs="Times New Roman"/>
          <w:b/>
          <w:bCs/>
          <w:kern w:val="0"/>
          <w:szCs w:val="28"/>
        </w:rPr>
      </w:pPr>
    </w:p>
    <w:p>
      <w:pPr>
        <w:ind w:left="560" w:leftChars="200" w:firstLine="562"/>
        <w:jc w:val="both"/>
        <w:textAlignment w:val="baseline"/>
        <w:rPr>
          <w:rFonts w:ascii="Times New Roman" w:hAnsi="Times New Roman" w:cs="Times New Roman"/>
          <w:b/>
          <w:bCs/>
          <w:kern w:val="0"/>
          <w:szCs w:val="28"/>
        </w:rPr>
      </w:pPr>
    </w:p>
    <w:p>
      <w:pPr>
        <w:spacing w:line="360" w:lineRule="auto"/>
        <w:ind w:firstLine="560"/>
        <w:jc w:val="both"/>
        <w:rPr>
          <w:rFonts w:ascii="Times New Roman" w:hAnsi="Times New Roman" w:cs="Times New Roman"/>
          <w:szCs w:val="28"/>
        </w:rPr>
      </w:pPr>
      <w:r>
        <w:rPr>
          <w:rFonts w:ascii="Times New Roman" w:hAnsi="Times New Roman" w:cs="Times New Roman"/>
          <w:szCs w:val="28"/>
        </w:rPr>
        <w:t>建设单位：中国石油化工股份有限公司胜利油田分公司石油化工总厂</w:t>
      </w:r>
    </w:p>
    <w:p>
      <w:pPr>
        <w:spacing w:line="360" w:lineRule="auto"/>
        <w:ind w:firstLine="560"/>
        <w:jc w:val="both"/>
        <w:rPr>
          <w:rFonts w:ascii="Times New Roman" w:hAnsi="Times New Roman" w:cs="Times New Roman"/>
          <w:szCs w:val="28"/>
        </w:rPr>
      </w:pPr>
      <w:r>
        <w:rPr>
          <w:rFonts w:ascii="Times New Roman" w:hAnsi="Times New Roman" w:cs="Times New Roman"/>
          <w:szCs w:val="28"/>
        </w:rPr>
        <w:t>建设单位</w:t>
      </w:r>
      <w:r>
        <w:rPr>
          <w:rFonts w:hint="eastAsia" w:ascii="Times New Roman" w:hAnsi="Times New Roman" w:cs="Times New Roman"/>
          <w:szCs w:val="28"/>
        </w:rPr>
        <w:t>负责人</w:t>
      </w:r>
      <w:r>
        <w:rPr>
          <w:rFonts w:ascii="Times New Roman" w:hAnsi="Times New Roman" w:cs="Times New Roman"/>
          <w:szCs w:val="28"/>
        </w:rPr>
        <w:t>：谷月刚</w:t>
      </w:r>
    </w:p>
    <w:p>
      <w:pPr>
        <w:spacing w:line="360" w:lineRule="auto"/>
        <w:ind w:firstLine="560"/>
        <w:jc w:val="both"/>
        <w:rPr>
          <w:rFonts w:ascii="Times New Roman" w:hAnsi="Times New Roman" w:cs="Times New Roman"/>
          <w:szCs w:val="28"/>
        </w:rPr>
      </w:pPr>
      <w:r>
        <w:rPr>
          <w:rFonts w:ascii="Times New Roman" w:hAnsi="Times New Roman" w:cs="Times New Roman"/>
          <w:szCs w:val="28"/>
        </w:rPr>
        <w:t>建设项目单位：中国石油化工股份有限公司胜利油田分公司石油化工总厂</w:t>
      </w:r>
    </w:p>
    <w:p>
      <w:pPr>
        <w:spacing w:line="360" w:lineRule="auto"/>
        <w:ind w:firstLine="560"/>
        <w:jc w:val="both"/>
        <w:rPr>
          <w:rFonts w:ascii="Times New Roman" w:hAnsi="Times New Roman" w:cs="Times New Roman"/>
          <w:szCs w:val="28"/>
        </w:rPr>
      </w:pPr>
      <w:r>
        <w:rPr>
          <w:rFonts w:ascii="Times New Roman" w:hAnsi="Times New Roman" w:cs="Times New Roman"/>
          <w:szCs w:val="28"/>
        </w:rPr>
        <w:t>建设项目单位主要负责人：谷月刚</w:t>
      </w:r>
    </w:p>
    <w:p>
      <w:pPr>
        <w:spacing w:line="360" w:lineRule="auto"/>
        <w:ind w:firstLine="560"/>
        <w:jc w:val="both"/>
        <w:rPr>
          <w:rFonts w:ascii="Times New Roman" w:hAnsi="Times New Roman" w:cs="Times New Roman"/>
          <w:szCs w:val="28"/>
        </w:rPr>
      </w:pPr>
      <w:r>
        <w:rPr>
          <w:rFonts w:ascii="Times New Roman" w:hAnsi="Times New Roman" w:cs="Times New Roman"/>
          <w:szCs w:val="28"/>
        </w:rPr>
        <w:t>建设项目单位联系人：王晖</w:t>
      </w:r>
    </w:p>
    <w:p>
      <w:pPr>
        <w:spacing w:line="360" w:lineRule="auto"/>
        <w:ind w:firstLine="560"/>
        <w:jc w:val="both"/>
        <w:rPr>
          <w:rFonts w:ascii="Times New Roman" w:hAnsi="Times New Roman" w:cs="Times New Roman"/>
          <w:szCs w:val="28"/>
        </w:rPr>
      </w:pPr>
      <w:r>
        <w:rPr>
          <w:rFonts w:ascii="Times New Roman" w:hAnsi="Times New Roman" w:cs="Times New Roman"/>
          <w:szCs w:val="28"/>
        </w:rPr>
        <w:t>建设项目单位联系电话：13054659412</w:t>
      </w:r>
    </w:p>
    <w:p>
      <w:pPr>
        <w:spacing w:line="360" w:lineRule="auto"/>
        <w:ind w:firstLine="562" w:firstLineChars="0"/>
        <w:jc w:val="center"/>
        <w:rPr>
          <w:rFonts w:ascii="Times New Roman" w:hAnsi="Times New Roman" w:cs="Times New Roman"/>
        </w:rPr>
      </w:pPr>
    </w:p>
    <w:p>
      <w:pPr>
        <w:ind w:left="560" w:leftChars="200" w:firstLine="560"/>
        <w:jc w:val="both"/>
        <w:textAlignment w:val="baseline"/>
        <w:rPr>
          <w:rFonts w:ascii="Times New Roman" w:hAnsi="Times New Roman" w:cs="Times New Roman"/>
          <w:szCs w:val="24"/>
        </w:rPr>
      </w:pPr>
    </w:p>
    <w:p>
      <w:pPr>
        <w:pStyle w:val="18"/>
        <w:ind w:firstLine="200"/>
      </w:pPr>
    </w:p>
    <w:p>
      <w:pPr>
        <w:ind w:left="560" w:leftChars="200" w:firstLine="560"/>
        <w:jc w:val="both"/>
        <w:textAlignment w:val="baseline"/>
        <w:rPr>
          <w:rFonts w:ascii="Times New Roman" w:hAnsi="Times New Roman" w:cs="Times New Roman"/>
          <w:szCs w:val="24"/>
        </w:rPr>
      </w:pPr>
    </w:p>
    <w:p>
      <w:pPr>
        <w:spacing w:line="360" w:lineRule="auto"/>
        <w:ind w:firstLine="562" w:firstLineChars="0"/>
        <w:jc w:val="center"/>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cs="Times New Roman"/>
          <w:bCs/>
        </w:rPr>
      </w:pPr>
      <w:r>
        <w:rPr>
          <w:rFonts w:ascii="Times New Roman" w:hAnsi="Times New Roman" w:cs="Times New Roman"/>
          <w:bCs/>
        </w:rPr>
        <w:t>中国石油化工股份有限公司胜利油田分公司石油化工总厂</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cs="Times New Roman"/>
          <w:bCs/>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cs="Times New Roman"/>
          <w:bCs/>
        </w:rPr>
      </w:pPr>
      <w:r>
        <w:rPr>
          <w:rFonts w:ascii="Times New Roman" w:hAnsi="Times New Roman" w:cs="Times New Roman"/>
          <w:bCs/>
        </w:rPr>
        <w:t>202</w:t>
      </w:r>
      <w:r>
        <w:rPr>
          <w:rFonts w:hint="eastAsia" w:ascii="Times New Roman" w:hAnsi="Times New Roman" w:cs="Times New Roman"/>
          <w:bCs/>
          <w:lang w:val="en-US" w:eastAsia="zh-CN"/>
        </w:rPr>
        <w:t>3</w:t>
      </w:r>
      <w:r>
        <w:rPr>
          <w:rFonts w:ascii="Times New Roman" w:hAnsi="Times New Roman" w:cs="Times New Roman"/>
          <w:bCs/>
        </w:rPr>
        <w:t>年</w:t>
      </w:r>
      <w:r>
        <w:rPr>
          <w:rFonts w:hint="eastAsia" w:ascii="Times New Roman" w:hAnsi="Times New Roman" w:cs="Times New Roman"/>
          <w:bCs/>
          <w:lang w:val="en-US" w:eastAsia="zh-CN"/>
        </w:rPr>
        <w:t>2</w:t>
      </w:r>
      <w:r>
        <w:rPr>
          <w:rFonts w:ascii="Times New Roman" w:hAnsi="Times New Roman" w:cs="Times New Roman"/>
          <w:bCs/>
        </w:rPr>
        <w:t>月</w:t>
      </w:r>
    </w:p>
    <w:p>
      <w:pPr>
        <w:rPr>
          <w:rFonts w:ascii="Times New Roman" w:hAnsi="Times New Roman" w:cs="Times New Roman"/>
          <w:bCs/>
        </w:rPr>
      </w:pPr>
      <w:r>
        <w:rPr>
          <w:rFonts w:ascii="Times New Roman" w:hAnsi="Times New Roman" w:cs="Times New Roman"/>
          <w:bCs/>
        </w:rPr>
        <w:br w:type="page"/>
      </w:r>
    </w:p>
    <w:p>
      <w:pPr>
        <w:pStyle w:val="18"/>
      </w:pPr>
    </w:p>
    <w:p>
      <w:pPr>
        <w:pStyle w:val="18"/>
        <w:ind w:firstLine="200"/>
      </w:pPr>
    </w:p>
    <w:p>
      <w:pPr>
        <w:snapToGrid w:val="0"/>
        <w:spacing w:line="360" w:lineRule="auto"/>
        <w:ind w:firstLine="562"/>
        <w:jc w:val="center"/>
        <w:rPr>
          <w:rFonts w:ascii="Times New Roman" w:hAnsi="Times New Roman" w:cs="Times New Roman"/>
          <w:b/>
        </w:rPr>
        <w:sectPr>
          <w:pgSz w:w="11906" w:h="16838"/>
          <w:pgMar w:top="1440" w:right="1080" w:bottom="1440" w:left="1080" w:header="851" w:footer="992" w:gutter="0"/>
          <w:pgBorders>
            <w:top w:val="none" w:sz="0" w:space="0"/>
            <w:left w:val="none" w:sz="0" w:space="0"/>
            <w:bottom w:val="none" w:sz="0" w:space="0"/>
            <w:right w:val="none" w:sz="0" w:space="0"/>
          </w:pgBorders>
          <w:cols w:space="720" w:num="1"/>
          <w:docGrid w:linePitch="312" w:charSpace="0"/>
        </w:sectPr>
      </w:pPr>
      <w:r>
        <w:rPr>
          <w:rFonts w:ascii="Times New Roman" w:hAnsi="Times New Roman" w:cs="Times New Roman"/>
          <w:b/>
        </w:rPr>
        <w:br w:type="page"/>
      </w:r>
    </w:p>
    <w:p>
      <w:pPr>
        <w:snapToGrid w:val="0"/>
        <w:spacing w:line="360" w:lineRule="auto"/>
        <w:ind w:firstLine="640" w:firstLineChars="0"/>
        <w:jc w:val="center"/>
        <w:rPr>
          <w:rFonts w:ascii="Times New Roman" w:hAnsi="Times New Roman" w:cs="Times New Roman"/>
          <w:b/>
          <w:bCs/>
          <w:kern w:val="0"/>
          <w:sz w:val="32"/>
          <w:szCs w:val="32"/>
        </w:rPr>
      </w:pPr>
    </w:p>
    <w:p>
      <w:pPr>
        <w:ind w:firstLine="0" w:firstLineChars="0"/>
        <w:jc w:val="both"/>
        <w:rPr>
          <w:rFonts w:ascii="Times New Roman" w:hAnsi="Times New Roman" w:cs="Times New Roman"/>
          <w:kern w:val="0"/>
          <w:sz w:val="21"/>
          <w:szCs w:val="21"/>
        </w:rPr>
      </w:pPr>
    </w:p>
    <w:p>
      <w:pPr>
        <w:snapToGrid w:val="0"/>
        <w:spacing w:line="360" w:lineRule="auto"/>
        <w:ind w:firstLine="0" w:firstLineChars="0"/>
        <w:jc w:val="center"/>
        <w:rPr>
          <w:rFonts w:ascii="Times New Roman" w:hAnsi="Times New Roman" w:cs="Times New Roman"/>
          <w:b/>
          <w:sz w:val="44"/>
          <w:szCs w:val="44"/>
        </w:rPr>
      </w:pPr>
    </w:p>
    <w:p>
      <w:pPr>
        <w:snapToGrid w:val="0"/>
        <w:spacing w:line="360" w:lineRule="auto"/>
        <w:ind w:firstLine="0" w:firstLineChars="0"/>
        <w:jc w:val="center"/>
        <w:rPr>
          <w:rFonts w:ascii="Times New Roman" w:hAnsi="Times New Roman" w:cs="Times New Roman"/>
          <w:b/>
          <w:sz w:val="44"/>
          <w:szCs w:val="44"/>
        </w:rPr>
      </w:pPr>
      <w:r>
        <w:rPr>
          <w:rFonts w:ascii="Times New Roman" w:hAnsi="Times New Roman" w:cs="Times New Roman"/>
          <w:b/>
          <w:sz w:val="44"/>
          <w:szCs w:val="44"/>
        </w:rPr>
        <w:t>中国石油化工股份有限公司</w:t>
      </w:r>
    </w:p>
    <w:p>
      <w:pPr>
        <w:snapToGrid w:val="0"/>
        <w:spacing w:line="360" w:lineRule="auto"/>
        <w:ind w:firstLine="0" w:firstLineChars="0"/>
        <w:jc w:val="center"/>
        <w:rPr>
          <w:rFonts w:ascii="Times New Roman" w:hAnsi="Times New Roman" w:cs="Times New Roman"/>
          <w:sz w:val="44"/>
          <w:szCs w:val="44"/>
        </w:rPr>
      </w:pPr>
      <w:r>
        <w:rPr>
          <w:rFonts w:ascii="Times New Roman" w:hAnsi="Times New Roman" w:cs="Times New Roman"/>
          <w:b/>
          <w:sz w:val="44"/>
          <w:szCs w:val="44"/>
        </w:rPr>
        <w:t>胜利油田分公司石油化工总厂</w:t>
      </w:r>
    </w:p>
    <w:p>
      <w:pPr>
        <w:snapToGrid w:val="0"/>
        <w:spacing w:line="360" w:lineRule="auto"/>
        <w:ind w:firstLine="0" w:firstLineChars="0"/>
        <w:jc w:val="center"/>
        <w:rPr>
          <w:rFonts w:ascii="Times New Roman" w:hAnsi="Times New Roman" w:cs="Times New Roman"/>
          <w:sz w:val="21"/>
        </w:rPr>
      </w:pPr>
      <w:r>
        <w:rPr>
          <w:rFonts w:ascii="Times New Roman" w:hAnsi="Times New Roman" w:cs="Times New Roman"/>
          <w:b/>
          <w:bCs/>
          <w:color w:val="000000"/>
          <w:kern w:val="0"/>
          <w:sz w:val="44"/>
          <w:szCs w:val="44"/>
          <w:lang w:bidi="ar"/>
        </w:rPr>
        <w:t>原油罐区分输分储改造工程项目</w:t>
      </w:r>
    </w:p>
    <w:p>
      <w:pPr>
        <w:snapToGrid w:val="0"/>
        <w:spacing w:line="360" w:lineRule="auto"/>
        <w:ind w:firstLine="640" w:firstLineChars="0"/>
        <w:jc w:val="center"/>
        <w:rPr>
          <w:rFonts w:ascii="Times New Roman" w:hAnsi="Times New Roman" w:cs="Times New Roman"/>
          <w:b/>
          <w:bCs/>
          <w:kern w:val="0"/>
          <w:sz w:val="32"/>
          <w:szCs w:val="32"/>
        </w:rPr>
      </w:pPr>
    </w:p>
    <w:p>
      <w:pPr>
        <w:snapToGrid w:val="0"/>
        <w:spacing w:line="360" w:lineRule="auto"/>
        <w:ind w:firstLine="0" w:firstLineChars="0"/>
        <w:jc w:val="center"/>
        <w:rPr>
          <w:rFonts w:ascii="Times New Roman" w:hAnsi="Times New Roman" w:cs="Times New Roman"/>
          <w:b/>
          <w:bCs/>
          <w:spacing w:val="60"/>
          <w:kern w:val="0"/>
          <w:sz w:val="44"/>
          <w:szCs w:val="44"/>
        </w:rPr>
      </w:pPr>
      <w:r>
        <w:rPr>
          <w:rFonts w:ascii="Times New Roman" w:hAnsi="Times New Roman" w:cs="Times New Roman"/>
          <w:b/>
          <w:bCs/>
          <w:spacing w:val="60"/>
          <w:kern w:val="0"/>
          <w:sz w:val="44"/>
          <w:szCs w:val="44"/>
        </w:rPr>
        <w:t>安全条件评价报告</w:t>
      </w:r>
    </w:p>
    <w:p>
      <w:pPr>
        <w:snapToGrid w:val="0"/>
        <w:spacing w:line="360" w:lineRule="auto"/>
        <w:ind w:firstLine="640" w:firstLineChars="0"/>
        <w:jc w:val="both"/>
        <w:rPr>
          <w:rFonts w:ascii="Times New Roman" w:hAnsi="Times New Roman" w:cs="Times New Roman"/>
          <w:b/>
          <w:bCs/>
          <w:kern w:val="0"/>
          <w:sz w:val="32"/>
          <w:szCs w:val="32"/>
        </w:rPr>
      </w:pPr>
    </w:p>
    <w:p>
      <w:pPr>
        <w:snapToGrid w:val="0"/>
        <w:spacing w:line="360" w:lineRule="auto"/>
        <w:ind w:firstLine="640" w:firstLineChars="0"/>
        <w:jc w:val="both"/>
        <w:rPr>
          <w:rFonts w:ascii="Times New Roman" w:hAnsi="Times New Roman" w:cs="Times New Roman"/>
          <w:b/>
          <w:bCs/>
          <w:kern w:val="0"/>
          <w:sz w:val="32"/>
          <w:szCs w:val="32"/>
        </w:rPr>
      </w:pPr>
    </w:p>
    <w:p>
      <w:pPr>
        <w:pStyle w:val="18"/>
      </w:pPr>
    </w:p>
    <w:p>
      <w:pPr>
        <w:adjustRightInd w:val="0"/>
        <w:snapToGrid w:val="0"/>
        <w:spacing w:line="360" w:lineRule="auto"/>
        <w:ind w:firstLine="640" w:firstLineChars="0"/>
        <w:jc w:val="both"/>
        <w:rPr>
          <w:rFonts w:ascii="Times New Roman" w:hAnsi="Times New Roman" w:cs="Times New Roman"/>
          <w:b/>
          <w:bCs/>
          <w:kern w:val="0"/>
          <w:sz w:val="32"/>
          <w:szCs w:val="32"/>
        </w:rPr>
      </w:pPr>
    </w:p>
    <w:p>
      <w:pPr>
        <w:adjustRightInd w:val="0"/>
        <w:snapToGrid w:val="0"/>
        <w:spacing w:line="360" w:lineRule="auto"/>
        <w:ind w:left="1820" w:leftChars="650" w:right="-454" w:rightChars="-162" w:firstLine="0" w:firstLineChars="0"/>
        <w:jc w:val="both"/>
        <w:rPr>
          <w:rFonts w:ascii="Times New Roman" w:hAnsi="Times New Roman" w:cs="Times New Roman"/>
          <w:kern w:val="0"/>
          <w:szCs w:val="28"/>
        </w:rPr>
      </w:pPr>
      <w:r>
        <w:rPr>
          <w:rFonts w:ascii="Times New Roman" w:hAnsi="Times New Roman" w:cs="Times New Roman"/>
          <w:kern w:val="0"/>
          <w:szCs w:val="28"/>
        </w:rPr>
        <w:t>评价机构名称：山东实华安全技术有限公司</w:t>
      </w:r>
    </w:p>
    <w:p>
      <w:pPr>
        <w:adjustRightInd w:val="0"/>
        <w:snapToGrid w:val="0"/>
        <w:spacing w:line="360" w:lineRule="auto"/>
        <w:ind w:left="1820" w:leftChars="650" w:firstLine="0" w:firstLineChars="0"/>
        <w:jc w:val="both"/>
        <w:rPr>
          <w:rFonts w:ascii="Times New Roman" w:hAnsi="Times New Roman" w:cs="Times New Roman"/>
          <w:kern w:val="0"/>
          <w:szCs w:val="28"/>
        </w:rPr>
      </w:pPr>
      <w:r>
        <w:rPr>
          <w:rFonts w:ascii="Times New Roman" w:hAnsi="Times New Roman" w:cs="Times New Roman"/>
          <w:kern w:val="0"/>
          <w:szCs w:val="28"/>
        </w:rPr>
        <w:t>资质证书编号：APJ-（鲁）-013</w:t>
      </w:r>
    </w:p>
    <w:p>
      <w:pPr>
        <w:adjustRightInd w:val="0"/>
        <w:snapToGrid w:val="0"/>
        <w:spacing w:line="360" w:lineRule="auto"/>
        <w:ind w:left="1820" w:leftChars="650" w:firstLine="0" w:firstLineChars="0"/>
        <w:jc w:val="both"/>
        <w:rPr>
          <w:rFonts w:ascii="Times New Roman" w:hAnsi="Times New Roman" w:cs="Times New Roman"/>
          <w:kern w:val="0"/>
          <w:szCs w:val="28"/>
        </w:rPr>
      </w:pPr>
      <w:r>
        <w:rPr>
          <w:rFonts w:ascii="Times New Roman" w:hAnsi="Times New Roman" w:cs="Times New Roman"/>
          <w:kern w:val="0"/>
          <w:szCs w:val="28"/>
        </w:rPr>
        <w:t>法定代表人：任红艳</w:t>
      </w:r>
    </w:p>
    <w:p>
      <w:pPr>
        <w:adjustRightInd w:val="0"/>
        <w:snapToGrid w:val="0"/>
        <w:spacing w:line="360" w:lineRule="auto"/>
        <w:ind w:left="1820" w:leftChars="650" w:firstLine="0" w:firstLineChars="0"/>
        <w:jc w:val="both"/>
        <w:rPr>
          <w:rFonts w:ascii="Times New Roman" w:hAnsi="Times New Roman" w:cs="Times New Roman"/>
          <w:kern w:val="0"/>
          <w:szCs w:val="28"/>
        </w:rPr>
      </w:pPr>
      <w:r>
        <w:rPr>
          <w:rFonts w:ascii="Times New Roman" w:hAnsi="Times New Roman" w:cs="Times New Roman"/>
          <w:kern w:val="0"/>
          <w:szCs w:val="28"/>
        </w:rPr>
        <w:t>技术负责人：吴佳东</w:t>
      </w:r>
    </w:p>
    <w:p>
      <w:pPr>
        <w:adjustRightInd w:val="0"/>
        <w:snapToGrid w:val="0"/>
        <w:spacing w:line="360" w:lineRule="auto"/>
        <w:ind w:left="1820" w:leftChars="650" w:firstLine="0" w:firstLineChars="0"/>
        <w:jc w:val="both"/>
        <w:rPr>
          <w:rFonts w:ascii="Times New Roman" w:hAnsi="Times New Roman" w:cs="Times New Roman"/>
          <w:kern w:val="0"/>
          <w:szCs w:val="28"/>
        </w:rPr>
      </w:pPr>
      <w:r>
        <w:rPr>
          <w:rFonts w:ascii="Times New Roman" w:hAnsi="Times New Roman" w:cs="Times New Roman"/>
          <w:kern w:val="0"/>
          <w:szCs w:val="28"/>
        </w:rPr>
        <w:t>项目负责人：林更鹏</w:t>
      </w:r>
    </w:p>
    <w:p>
      <w:pPr>
        <w:adjustRightInd w:val="0"/>
        <w:snapToGrid w:val="0"/>
        <w:spacing w:line="360" w:lineRule="auto"/>
        <w:ind w:left="1820" w:leftChars="650" w:firstLine="0" w:firstLineChars="0"/>
        <w:jc w:val="both"/>
        <w:rPr>
          <w:rFonts w:ascii="Times New Roman" w:hAnsi="Times New Roman" w:cs="Times New Roman"/>
          <w:kern w:val="0"/>
          <w:szCs w:val="28"/>
        </w:rPr>
      </w:pPr>
      <w:r>
        <w:rPr>
          <w:rFonts w:ascii="Times New Roman" w:hAnsi="Times New Roman" w:cs="Times New Roman"/>
          <w:kern w:val="0"/>
          <w:szCs w:val="28"/>
        </w:rPr>
        <w:t>评价机构联系电话：0546-8176702</w:t>
      </w:r>
    </w:p>
    <w:p>
      <w:pPr>
        <w:adjustRightInd w:val="0"/>
        <w:snapToGrid w:val="0"/>
        <w:spacing w:line="360" w:lineRule="auto"/>
        <w:ind w:left="1820" w:leftChars="650" w:firstLine="562" w:firstLineChars="0"/>
        <w:jc w:val="both"/>
        <w:rPr>
          <w:rFonts w:ascii="Times New Roman" w:hAnsi="Times New Roman" w:cs="Times New Roman"/>
          <w:kern w:val="0"/>
          <w:szCs w:val="28"/>
        </w:rPr>
      </w:pPr>
    </w:p>
    <w:p>
      <w:pPr>
        <w:snapToGrid w:val="0"/>
        <w:spacing w:line="360" w:lineRule="auto"/>
        <w:ind w:firstLine="643" w:firstLineChars="0"/>
        <w:jc w:val="both"/>
        <w:rPr>
          <w:rFonts w:ascii="Times New Roman" w:hAnsi="Times New Roman" w:cs="Times New Roman"/>
          <w:kern w:val="0"/>
          <w:sz w:val="32"/>
          <w:szCs w:val="32"/>
        </w:rPr>
      </w:pPr>
    </w:p>
    <w:p>
      <w:pPr>
        <w:snapToGrid w:val="0"/>
        <w:spacing w:line="360" w:lineRule="auto"/>
        <w:ind w:firstLine="0" w:firstLineChars="0"/>
        <w:jc w:val="center"/>
        <w:rPr>
          <w:rFonts w:ascii="Times New Roman" w:hAnsi="Times New Roman" w:cs="Times New Roman"/>
          <w:bCs/>
          <w:kern w:val="0"/>
          <w:szCs w:val="28"/>
        </w:rPr>
      </w:pPr>
      <w:r>
        <w:rPr>
          <w:rFonts w:ascii="Times New Roman" w:hAnsi="Times New Roman" w:cs="Times New Roman"/>
          <w:bCs/>
          <w:kern w:val="0"/>
          <w:szCs w:val="28"/>
        </w:rPr>
        <w:t>（安全评价机构公章）</w:t>
      </w:r>
    </w:p>
    <w:p>
      <w:pPr>
        <w:snapToGrid w:val="0"/>
        <w:spacing w:line="360" w:lineRule="auto"/>
        <w:ind w:firstLine="0" w:firstLineChars="0"/>
        <w:jc w:val="center"/>
        <w:rPr>
          <w:rFonts w:ascii="Times New Roman" w:hAnsi="Times New Roman" w:cs="Times New Roman"/>
          <w:kern w:val="0"/>
          <w:szCs w:val="28"/>
        </w:rPr>
      </w:pPr>
      <w:r>
        <w:rPr>
          <w:rFonts w:ascii="Times New Roman" w:hAnsi="Times New Roman" w:cs="Times New Roman"/>
          <w:kern w:val="0"/>
          <w:szCs w:val="28"/>
        </w:rPr>
        <w:t>202</w:t>
      </w:r>
      <w:r>
        <w:rPr>
          <w:rFonts w:hint="eastAsia" w:ascii="Times New Roman" w:hAnsi="Times New Roman" w:cs="Times New Roman"/>
          <w:kern w:val="0"/>
          <w:szCs w:val="28"/>
          <w:lang w:val="en-US" w:eastAsia="zh-CN"/>
        </w:rPr>
        <w:t>3</w:t>
      </w:r>
      <w:r>
        <w:rPr>
          <w:rFonts w:ascii="Times New Roman" w:hAnsi="Times New Roman" w:cs="Times New Roman"/>
          <w:kern w:val="0"/>
          <w:szCs w:val="28"/>
        </w:rPr>
        <w:t>年</w:t>
      </w:r>
      <w:r>
        <w:rPr>
          <w:rFonts w:hint="eastAsia" w:ascii="Times New Roman" w:hAnsi="Times New Roman" w:cs="Times New Roman"/>
          <w:kern w:val="0"/>
          <w:szCs w:val="28"/>
          <w:lang w:val="en-US" w:eastAsia="zh-CN"/>
        </w:rPr>
        <w:t>2</w:t>
      </w:r>
      <w:r>
        <w:rPr>
          <w:rFonts w:ascii="Times New Roman" w:hAnsi="Times New Roman" w:cs="Times New Roman"/>
          <w:kern w:val="0"/>
          <w:szCs w:val="28"/>
        </w:rPr>
        <w:t>月</w:t>
      </w:r>
    </w:p>
    <w:p>
      <w:pPr>
        <w:rPr>
          <w:rFonts w:ascii="Times New Roman" w:hAnsi="Times New Roman" w:cs="Times New Roman"/>
          <w:kern w:val="0"/>
          <w:szCs w:val="28"/>
        </w:rPr>
      </w:pPr>
      <w:r>
        <w:rPr>
          <w:rFonts w:ascii="Times New Roman" w:hAnsi="Times New Roman" w:cs="Times New Roman"/>
          <w:kern w:val="0"/>
          <w:szCs w:val="28"/>
        </w:rPr>
        <w:br w:type="page"/>
      </w:r>
    </w:p>
    <w:p>
      <w:pPr>
        <w:pStyle w:val="18"/>
      </w:pPr>
    </w:p>
    <w:p>
      <w:pPr>
        <w:snapToGrid w:val="0"/>
        <w:spacing w:line="360" w:lineRule="auto"/>
        <w:ind w:firstLine="0" w:firstLineChars="0"/>
        <w:jc w:val="center"/>
        <w:rPr>
          <w:rFonts w:ascii="Times New Roman" w:hAnsi="Times New Roman" w:cs="Times New Roman"/>
          <w:kern w:val="0"/>
          <w:szCs w:val="28"/>
        </w:rPr>
      </w:pPr>
    </w:p>
    <w:p>
      <w:pPr>
        <w:snapToGrid w:val="0"/>
        <w:spacing w:line="360" w:lineRule="auto"/>
        <w:ind w:firstLine="0" w:firstLineChars="0"/>
        <w:jc w:val="center"/>
        <w:rPr>
          <w:rFonts w:ascii="Times New Roman" w:hAnsi="Times New Roman" w:cs="Times New Roman"/>
          <w:kern w:val="0"/>
          <w:szCs w:val="28"/>
          <w:shd w:val="clear" w:color="FFFFFF" w:fill="D9D9D9"/>
        </w:rPr>
      </w:pPr>
    </w:p>
    <w:p>
      <w:pPr>
        <w:snapToGrid w:val="0"/>
        <w:spacing w:line="360" w:lineRule="auto"/>
        <w:ind w:firstLine="0" w:firstLineChars="0"/>
        <w:jc w:val="center"/>
        <w:rPr>
          <w:rFonts w:ascii="Times New Roman" w:hAnsi="Times New Roman" w:eastAsia="黑体" w:cs="Times New Roman"/>
          <w:sz w:val="32"/>
          <w:szCs w:val="32"/>
        </w:rPr>
      </w:pPr>
      <w:r>
        <w:rPr>
          <w:rFonts w:ascii="Times New Roman" w:hAnsi="Times New Roman" w:cs="Times New Roman"/>
          <w:kern w:val="0"/>
          <w:szCs w:val="28"/>
          <w:shd w:val="clear" w:color="FFFFFF" w:fill="D9D9D9"/>
        </w:rPr>
        <w:br w:type="page"/>
      </w:r>
      <w:r>
        <w:rPr>
          <w:rFonts w:ascii="Times New Roman" w:hAnsi="Times New Roman" w:eastAsia="黑体" w:cs="Times New Roman"/>
          <w:sz w:val="32"/>
          <w:szCs w:val="32"/>
        </w:rPr>
        <w:t>前言</w:t>
      </w:r>
    </w:p>
    <w:p>
      <w:pPr>
        <w:pStyle w:val="6"/>
        <w:ind w:firstLine="560"/>
      </w:pPr>
      <w:r>
        <w:t>中国石油化工股份有限公司胜利油田分公司石油化工总厂（以下简称石油化工总厂），位于东营市东营区郝纯路，全厂占地面积2.3平方公里。其前身为稠油处理厂，于1996年6月，公司更名为石油化工总厂。经营范围：汽油569300吨/年、轻柴油931800吨/年、液化石油气132600吨/年、丙烯47000吨/年、石脑油58800吨/年、硫磺9100吨/年、氢气11000Nm³/h、氮气1500Nm³/h、混合碳五13400吨/年、干气96600吨/年、液氨2000吨/年、混合芳烃31900吨/年、轻芳烃[闭杯闪点≤60℃]4320吨/年、MTBE40000吨/年生产销售；（以上事项有效期限以许可证为准）。石油焦、7#燃料油、商品重油、减压渣油、环烷酸、化工产品（不含危险化学品）加工销售；机械加工、电器仪表修理；防腐工程、进出口业务（国家限制和禁止的除外）。</w:t>
      </w:r>
    </w:p>
    <w:p>
      <w:pPr>
        <w:pStyle w:val="6"/>
        <w:ind w:firstLine="560"/>
      </w:pPr>
      <w:r>
        <w:t>石油化工总厂获得山东省应急管理厅颁发的《安全生产许可证》（鲁）WH安许证字[2020]000060号，有效期为2020年7月8日至2023年7月7日，许可范围：汽油569300吨/年、轻柴油931800吨/年、液化石油气132600吨/年、丙烯47000吨/年、石脑油262600吨/年、硫磺9100吨/年、氢气11000Nm³/h、氮气1500Nm³/h、混合碳五（正戊烷75.04%，异戊烷20.10%）[闭杯闪点≤60℃]13400吨/年、干气（氢气25.63%，甲烷22.2%，乙烯9.84%，乙烷11.8%，氮气22%等）96600吨/年、液氨2000吨/年、轻芳烃[闭杯闪点≤60℃]4320吨/年、MTBE40000吨/年。</w:t>
      </w:r>
    </w:p>
    <w:p>
      <w:pPr>
        <w:pStyle w:val="6"/>
        <w:ind w:firstLine="560"/>
      </w:pPr>
      <w:r>
        <w:t>石油化工总厂于2020年6月8日取得危险化学品登记证，证书编号370512099。</w:t>
      </w:r>
    </w:p>
    <w:p>
      <w:pPr>
        <w:pStyle w:val="6"/>
        <w:ind w:firstLine="560"/>
      </w:pPr>
      <w:r>
        <w:rPr>
          <w:rFonts w:hint="eastAsia"/>
          <w:b/>
          <w:bCs/>
        </w:rPr>
        <w:t>涉及企业机密，不予公开。</w:t>
      </w:r>
      <w:r>
        <w:rPr>
          <w:lang w:val="en-US"/>
        </w:rPr>
        <w:t>该项目</w:t>
      </w:r>
      <w:r>
        <w:t>利用预留位置</w:t>
      </w:r>
      <w:r>
        <w:rPr>
          <w:lang w:val="en-US"/>
        </w:rPr>
        <w:t>拟建</w:t>
      </w:r>
      <w:r>
        <w:t>1台30000m³原油罐</w:t>
      </w:r>
      <w:r>
        <w:rPr>
          <w:lang w:val="en-US"/>
        </w:rPr>
        <w:t>及配套设备</w:t>
      </w:r>
      <w:r>
        <w:t>，满足分炼加工情况下三种原油收付油正常周转。</w:t>
      </w:r>
    </w:p>
    <w:p>
      <w:pPr>
        <w:pStyle w:val="6"/>
        <w:ind w:firstLine="560"/>
      </w:pPr>
      <w:r>
        <w:t>根据《危险化学品目录（2015 版）》及《国家安全监管总局办公厅关于印发&lt;危险化学品目录（2015 版）&gt;实施指南（试行）的通知》（安监总厅管三[2015]80 号），该项目所储存的原油属于危险化学品，</w:t>
      </w:r>
      <w:r>
        <w:rPr>
          <w:rFonts w:hint="eastAsia"/>
          <w:lang w:val="en-US" w:eastAsia="zh-CN"/>
        </w:rPr>
        <w:t>105#罐区构成三级危险化学品重大危险源，本项目不涉及重点监管的危险化工工艺，</w:t>
      </w:r>
      <w:r>
        <w:t>石油化工总厂原油罐区分输分储改造工程项目属于新建危险化学品储存项目。</w:t>
      </w:r>
    </w:p>
    <w:p>
      <w:pPr>
        <w:pStyle w:val="6"/>
        <w:ind w:firstLine="560"/>
      </w:pPr>
      <w:r>
        <w:t>为贯彻</w:t>
      </w:r>
      <w:r>
        <w:rPr>
          <w:rFonts w:hint="eastAsia"/>
        </w:rPr>
        <w:t>“</w:t>
      </w:r>
      <w:r>
        <w:t>安全第一、预防为主、综合治理</w:t>
      </w:r>
      <w:r>
        <w:rPr>
          <w:rFonts w:hint="eastAsia"/>
        </w:rPr>
        <w:t>”</w:t>
      </w:r>
      <w:r>
        <w:t>的方针，确保建设项目在安全方面符合国家的有关法律、法规、标准和规定，根据《中华人民共和国安全生产法》（中华人民共和国主席令[2002]第70号发布，中华人民共和国主席令[2009]第18号修正，中华人民共和国主席令[2014]第13号修正，中华人民共和国主席令[2021]第88号修正）、《危险化学品建设项目安全监督管理办法》（国家安全生产监督管理总局45号令，79号令修</w:t>
      </w:r>
      <w:r>
        <w:rPr>
          <w:rFonts w:hint="eastAsia"/>
          <w:lang w:val="en-US" w:eastAsia="zh-CN"/>
        </w:rPr>
        <w:t>正</w:t>
      </w:r>
      <w:r>
        <w:t>）、《山东省危险化学品建设项目安全监督管理办法实施细则》（鲁安监发[2018]17号）规定，</w:t>
      </w:r>
      <w:r>
        <w:rPr>
          <w:lang w:val="en-US"/>
        </w:rPr>
        <w:t>石油化工总厂</w:t>
      </w:r>
      <w:r>
        <w:t>应对其原油罐区分输分储改造工程项目进行安全条件评价。为此，该单位委托我公司承担该项目的安全条件评价工作。</w:t>
      </w:r>
    </w:p>
    <w:p>
      <w:pPr>
        <w:pStyle w:val="6"/>
        <w:ind w:firstLine="560"/>
      </w:pPr>
      <w:r>
        <w:t>我公司接到委托后，成立了评价项目组，按照《安全评价通则》（AQ8001-2007）、《安全预评价导则》（AQ8002-2007）和《危险化学品建设项目安全评价细则（试行）》（安监总危化[2007]255号）要求，在对该企业生产项目实地考察、现场询问、查阅资料和调研的基础上，通过科学分析并采用安全检查表法、危险度法等方法进行评价，找出该项目潜在的事故隐患，并在此基础上提出了消除、预防或降低装置危险性和提高装置安全运行等级的安全对策与措施，最后编制完成了本次安全条件评价报告。</w:t>
      </w:r>
    </w:p>
    <w:p>
      <w:pPr>
        <w:pStyle w:val="6"/>
        <w:ind w:firstLine="560"/>
      </w:pPr>
      <w:r>
        <w:t>此次安全评价工作，自始至终都得到了</w:t>
      </w:r>
      <w:r>
        <w:rPr>
          <w:lang w:val="en-US"/>
        </w:rPr>
        <w:t>石油化工总厂</w:t>
      </w:r>
      <w:r>
        <w:t>领导和员工的大力支持和配合，在此表示衷心的感谢！</w:t>
      </w:r>
    </w:p>
    <w:p>
      <w:pPr>
        <w:pStyle w:val="6"/>
        <w:ind w:firstLine="560"/>
        <w:jc w:val="right"/>
      </w:pPr>
      <w:r>
        <w:t>安全评价组</w:t>
      </w:r>
    </w:p>
    <w:p>
      <w:pPr>
        <w:pStyle w:val="6"/>
        <w:ind w:firstLine="560"/>
        <w:jc w:val="right"/>
        <w:rPr>
          <w:rFonts w:hint="eastAsia" w:eastAsia="宋体"/>
          <w:lang w:val="en-US" w:eastAsia="zh-CN"/>
        </w:rPr>
      </w:pPr>
      <w:r>
        <w:t>202</w:t>
      </w:r>
      <w:r>
        <w:rPr>
          <w:rFonts w:hint="eastAsia"/>
          <w:lang w:val="en-US" w:eastAsia="zh-CN"/>
        </w:rPr>
        <w:t>3</w:t>
      </w:r>
      <w:r>
        <w:t>.</w:t>
      </w:r>
      <w:r>
        <w:rPr>
          <w:rFonts w:hint="eastAsia"/>
          <w:lang w:val="en-US" w:eastAsia="zh-CN"/>
        </w:rPr>
        <w:t>2</w:t>
      </w:r>
    </w:p>
    <w:p>
      <w:pPr>
        <w:pStyle w:val="6"/>
        <w:ind w:firstLine="560"/>
        <w:jc w:val="right"/>
        <w:sectPr>
          <w:headerReference r:id="rId5" w:type="default"/>
          <w:footerReference r:id="rId6" w:type="default"/>
          <w:pgSz w:w="11906" w:h="16838"/>
          <w:pgMar w:top="1440" w:right="1644" w:bottom="1440" w:left="1701" w:header="851" w:footer="992" w:gutter="0"/>
          <w:pgBorders>
            <w:top w:val="none" w:sz="0" w:space="0"/>
            <w:left w:val="none" w:sz="0" w:space="0"/>
            <w:bottom w:val="none" w:sz="0" w:space="0"/>
            <w:right w:val="none" w:sz="0" w:space="0"/>
          </w:pgBorders>
          <w:pgNumType w:fmt="upperRoman" w:start="1"/>
          <w:cols w:space="0" w:num="1"/>
          <w:rtlGutter w:val="0"/>
          <w:docGrid w:linePitch="312" w:charSpace="0"/>
        </w:sectPr>
      </w:pPr>
    </w:p>
    <w:p>
      <w:pPr>
        <w:rPr>
          <w:rFonts w:ascii="Times New Roman" w:hAnsi="Times New Roman" w:eastAsia="黑体" w:cs="Times New Roman"/>
          <w:sz w:val="36"/>
          <w:szCs w:val="36"/>
        </w:rPr>
      </w:pPr>
      <w:bookmarkStart w:id="3" w:name="_Toc511827208"/>
      <w:bookmarkStart w:id="4" w:name="_Toc488931607"/>
      <w:bookmarkStart w:id="5" w:name="_Toc510779069"/>
      <w:bookmarkStart w:id="6" w:name="_Toc490032193"/>
      <w:bookmarkStart w:id="7" w:name="_Toc496101423"/>
      <w:bookmarkStart w:id="8" w:name="_Toc482027357"/>
      <w:bookmarkStart w:id="9" w:name="_Toc510618933"/>
      <w:r>
        <w:rPr>
          <w:rFonts w:ascii="Times New Roman" w:hAnsi="Times New Roman" w:eastAsia="黑体" w:cs="Times New Roman"/>
          <w:sz w:val="36"/>
          <w:szCs w:val="36"/>
        </w:rPr>
        <w:br w:type="page"/>
      </w:r>
    </w:p>
    <w:p>
      <w:pPr>
        <w:spacing w:line="360" w:lineRule="auto"/>
        <w:ind w:firstLine="0" w:firstLineChars="0"/>
        <w:jc w:val="center"/>
        <w:rPr>
          <w:rFonts w:ascii="Times New Roman" w:hAnsi="Times New Roman" w:eastAsia="宋体" w:cs="Times New Roman"/>
          <w:kern w:val="2"/>
          <w:sz w:val="24"/>
          <w:szCs w:val="24"/>
          <w:shd w:val="clear" w:color="FFFFFF" w:fill="D9D9D9"/>
          <w:lang w:val="en-US" w:eastAsia="zh-CN" w:bidi="ar-SA"/>
        </w:rPr>
      </w:pPr>
      <w:r>
        <w:rPr>
          <w:rFonts w:ascii="Times New Roman" w:hAnsi="Times New Roman" w:eastAsia="黑体" w:cs="Times New Roman"/>
          <w:sz w:val="36"/>
          <w:szCs w:val="36"/>
        </w:rPr>
        <w:t>目  录</w:t>
      </w:r>
      <w:bookmarkEnd w:id="3"/>
      <w:bookmarkEnd w:id="4"/>
      <w:bookmarkEnd w:id="5"/>
      <w:bookmarkEnd w:id="6"/>
      <w:bookmarkEnd w:id="7"/>
      <w:bookmarkEnd w:id="8"/>
      <w:bookmarkEnd w:id="9"/>
      <w:r>
        <w:rPr>
          <w:rFonts w:ascii="Times New Roman" w:hAnsi="Times New Roman" w:eastAsia="黑体" w:cs="Times New Roman"/>
          <w:sz w:val="36"/>
          <w:szCs w:val="36"/>
          <w:shd w:val="clear" w:color="FFFFFF" w:fill="D9D9D9"/>
        </w:rPr>
        <w:fldChar w:fldCharType="begin"/>
      </w:r>
      <w:r>
        <w:rPr>
          <w:rFonts w:ascii="Times New Roman" w:hAnsi="Times New Roman" w:eastAsia="黑体" w:cs="Times New Roman"/>
          <w:sz w:val="36"/>
          <w:szCs w:val="36"/>
          <w:shd w:val="clear" w:color="FFFFFF" w:fill="D9D9D9"/>
        </w:rPr>
        <w:instrText xml:space="preserve"> TOC \o "1-2" \h \z \u </w:instrText>
      </w:r>
      <w:r>
        <w:rPr>
          <w:rFonts w:ascii="Times New Roman" w:hAnsi="Times New Roman" w:eastAsia="黑体" w:cs="Times New Roman"/>
          <w:sz w:val="36"/>
          <w:szCs w:val="36"/>
          <w:shd w:val="clear" w:color="FFFFFF" w:fill="D9D9D9"/>
        </w:rPr>
        <w:fldChar w:fldCharType="separate"/>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_Toc13778 </w:instrText>
      </w:r>
      <w:r>
        <w:rPr>
          <w:rFonts w:ascii="Times New Roman" w:hAnsi="Times New Roman" w:cs="Times New Roman"/>
          <w:szCs w:val="24"/>
          <w:shd w:val="clear" w:color="FFFFFF" w:fill="D9D9D9"/>
        </w:rPr>
        <w:fldChar w:fldCharType="separate"/>
      </w:r>
      <w:r>
        <w:rPr>
          <w:rFonts w:hint="eastAsia" w:ascii="Times New Roman" w:hAnsi="Times New Roman" w:cs="Times New Roman"/>
        </w:rPr>
        <w:t xml:space="preserve">1 </w:t>
      </w:r>
      <w:r>
        <w:rPr>
          <w:rFonts w:ascii="Times New Roman" w:hAnsi="Times New Roman" w:cs="Times New Roman"/>
        </w:rPr>
        <w:t>安全评价工作经过</w:t>
      </w:r>
      <w:r>
        <w:tab/>
      </w:r>
      <w:r>
        <w:fldChar w:fldCharType="begin"/>
      </w:r>
      <w:r>
        <w:instrText xml:space="preserve"> PAGEREF _Toc13778 \h </w:instrText>
      </w:r>
      <w:r>
        <w:fldChar w:fldCharType="separate"/>
      </w:r>
      <w:r>
        <w:t>1</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_Toc5623 </w:instrText>
      </w:r>
      <w:r>
        <w:rPr>
          <w:rFonts w:ascii="Times New Roman" w:hAnsi="Times New Roman" w:cs="Times New Roman"/>
          <w:szCs w:val="24"/>
          <w:shd w:val="clear" w:color="FFFFFF" w:fill="D9D9D9"/>
        </w:rPr>
        <w:fldChar w:fldCharType="separate"/>
      </w:r>
      <w:r>
        <w:t>1.1 评价目的</w:t>
      </w:r>
      <w:r>
        <w:tab/>
      </w:r>
      <w:r>
        <w:fldChar w:fldCharType="begin"/>
      </w:r>
      <w:r>
        <w:instrText xml:space="preserve"> PAGEREF _Toc5623 \h </w:instrText>
      </w:r>
      <w:r>
        <w:fldChar w:fldCharType="separate"/>
      </w:r>
      <w:r>
        <w:t>1</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_Toc28254 </w:instrText>
      </w:r>
      <w:r>
        <w:rPr>
          <w:rFonts w:ascii="Times New Roman" w:hAnsi="Times New Roman" w:cs="Times New Roman"/>
          <w:szCs w:val="24"/>
          <w:shd w:val="clear" w:color="FFFFFF" w:fill="D9D9D9"/>
        </w:rPr>
        <w:fldChar w:fldCharType="separate"/>
      </w:r>
      <w:r>
        <w:t>1.2 评价依据</w:t>
      </w:r>
      <w:r>
        <w:tab/>
      </w:r>
      <w:r>
        <w:fldChar w:fldCharType="begin"/>
      </w:r>
      <w:r>
        <w:instrText xml:space="preserve"> PAGEREF _Toc28254 \h </w:instrText>
      </w:r>
      <w:r>
        <w:fldChar w:fldCharType="separate"/>
      </w:r>
      <w:r>
        <w:t>1</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_Toc1753 </w:instrText>
      </w:r>
      <w:r>
        <w:rPr>
          <w:rFonts w:ascii="Times New Roman" w:hAnsi="Times New Roman" w:cs="Times New Roman"/>
          <w:szCs w:val="24"/>
          <w:shd w:val="clear" w:color="FFFFFF" w:fill="D9D9D9"/>
        </w:rPr>
        <w:fldChar w:fldCharType="separate"/>
      </w:r>
      <w:r>
        <w:t>1.3 评价对象及范围</w:t>
      </w:r>
      <w:r>
        <w:tab/>
      </w:r>
      <w:r>
        <w:fldChar w:fldCharType="begin"/>
      </w:r>
      <w:r>
        <w:instrText xml:space="preserve"> PAGEREF _Toc1753 \h </w:instrText>
      </w:r>
      <w:r>
        <w:fldChar w:fldCharType="separate"/>
      </w:r>
      <w:r>
        <w:t>2</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_Toc29640 </w:instrText>
      </w:r>
      <w:r>
        <w:rPr>
          <w:rFonts w:ascii="Times New Roman" w:hAnsi="Times New Roman" w:cs="Times New Roman"/>
          <w:szCs w:val="24"/>
          <w:shd w:val="clear" w:color="FFFFFF" w:fill="D9D9D9"/>
        </w:rPr>
        <w:fldChar w:fldCharType="separate"/>
      </w:r>
      <w:r>
        <w:t>1.4 工作经过和程序</w:t>
      </w:r>
      <w:r>
        <w:tab/>
      </w:r>
      <w:r>
        <w:fldChar w:fldCharType="begin"/>
      </w:r>
      <w:r>
        <w:instrText xml:space="preserve"> PAGEREF _Toc29640 \h </w:instrText>
      </w:r>
      <w:r>
        <w:fldChar w:fldCharType="separate"/>
      </w:r>
      <w:r>
        <w:t>3</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_Toc30603 </w:instrText>
      </w:r>
      <w:r>
        <w:rPr>
          <w:rFonts w:ascii="Times New Roman" w:hAnsi="Times New Roman" w:cs="Times New Roman"/>
          <w:szCs w:val="24"/>
          <w:shd w:val="clear" w:color="FFFFFF" w:fill="D9D9D9"/>
        </w:rPr>
        <w:fldChar w:fldCharType="separate"/>
      </w:r>
      <w:r>
        <w:rPr>
          <w:rFonts w:hint="eastAsia" w:ascii="Times New Roman" w:hAnsi="Times New Roman" w:cs="Times New Roman"/>
        </w:rPr>
        <w:t xml:space="preserve">2 </w:t>
      </w:r>
      <w:r>
        <w:rPr>
          <w:rFonts w:ascii="Times New Roman" w:hAnsi="Times New Roman" w:cs="Times New Roman"/>
        </w:rPr>
        <w:t>建设项目概述</w:t>
      </w:r>
      <w:r>
        <w:tab/>
      </w:r>
      <w:r>
        <w:fldChar w:fldCharType="begin"/>
      </w:r>
      <w:r>
        <w:instrText xml:space="preserve"> PAGEREF _Toc30603 \h </w:instrText>
      </w:r>
      <w:r>
        <w:fldChar w:fldCharType="separate"/>
      </w:r>
      <w:r>
        <w:t>5</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_Toc893 </w:instrText>
      </w:r>
      <w:r>
        <w:rPr>
          <w:rFonts w:ascii="Times New Roman" w:hAnsi="Times New Roman" w:cs="Times New Roman"/>
          <w:szCs w:val="24"/>
          <w:shd w:val="clear" w:color="FFFFFF" w:fill="D9D9D9"/>
        </w:rPr>
        <w:fldChar w:fldCharType="separate"/>
      </w:r>
      <w:r>
        <w:t>2.1 建设单位概况</w:t>
      </w:r>
      <w:r>
        <w:tab/>
      </w:r>
      <w:r>
        <w:fldChar w:fldCharType="begin"/>
      </w:r>
      <w:r>
        <w:instrText xml:space="preserve"> PAGEREF _Toc893 \h </w:instrText>
      </w:r>
      <w:r>
        <w:fldChar w:fldCharType="separate"/>
      </w:r>
      <w:r>
        <w:t>5</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_Toc29984 </w:instrText>
      </w:r>
      <w:r>
        <w:rPr>
          <w:rFonts w:ascii="Times New Roman" w:hAnsi="Times New Roman" w:cs="Times New Roman"/>
          <w:szCs w:val="24"/>
          <w:shd w:val="clear" w:color="FFFFFF" w:fill="D9D9D9"/>
        </w:rPr>
        <w:fldChar w:fldCharType="separate"/>
      </w:r>
      <w:r>
        <w:t>2.2 建设项目概况</w:t>
      </w:r>
      <w:r>
        <w:tab/>
      </w:r>
      <w:r>
        <w:fldChar w:fldCharType="begin"/>
      </w:r>
      <w:r>
        <w:instrText xml:space="preserve"> PAGEREF _Toc29984 \h </w:instrText>
      </w:r>
      <w:r>
        <w:fldChar w:fldCharType="separate"/>
      </w:r>
      <w:r>
        <w:t>7</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_Toc3645 </w:instrText>
      </w:r>
      <w:r>
        <w:rPr>
          <w:rFonts w:ascii="Times New Roman" w:hAnsi="Times New Roman" w:cs="Times New Roman"/>
          <w:szCs w:val="24"/>
          <w:shd w:val="clear" w:color="FFFFFF" w:fill="D9D9D9"/>
        </w:rPr>
        <w:fldChar w:fldCharType="separate"/>
      </w:r>
      <w:r>
        <w:t>2.3 建设项目的地理位置、周边环境</w:t>
      </w:r>
      <w:r>
        <w:tab/>
      </w:r>
      <w:r>
        <w:fldChar w:fldCharType="begin"/>
      </w:r>
      <w:r>
        <w:instrText xml:space="preserve"> PAGEREF _Toc3645 \h </w:instrText>
      </w:r>
      <w:r>
        <w:fldChar w:fldCharType="separate"/>
      </w:r>
      <w:r>
        <w:t>18</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_Toc11656 </w:instrText>
      </w:r>
      <w:r>
        <w:rPr>
          <w:rFonts w:ascii="Times New Roman" w:hAnsi="Times New Roman" w:cs="Times New Roman"/>
          <w:szCs w:val="24"/>
          <w:shd w:val="clear" w:color="FFFFFF" w:fill="D9D9D9"/>
        </w:rPr>
        <w:fldChar w:fldCharType="separate"/>
      </w:r>
      <w:r>
        <w:t>2.4 项目涉及的主要物料品种名称、数量和储存情况</w:t>
      </w:r>
      <w:r>
        <w:tab/>
      </w:r>
      <w:r>
        <w:fldChar w:fldCharType="begin"/>
      </w:r>
      <w:r>
        <w:instrText xml:space="preserve"> PAGEREF _Toc11656 \h </w:instrText>
      </w:r>
      <w:r>
        <w:fldChar w:fldCharType="separate"/>
      </w:r>
      <w:r>
        <w:t>29</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_Toc12728 </w:instrText>
      </w:r>
      <w:r>
        <w:rPr>
          <w:rFonts w:ascii="Times New Roman" w:hAnsi="Times New Roman" w:cs="Times New Roman"/>
          <w:szCs w:val="24"/>
          <w:shd w:val="clear" w:color="FFFFFF" w:fill="D9D9D9"/>
        </w:rPr>
        <w:fldChar w:fldCharType="separate"/>
      </w:r>
      <w:r>
        <w:t>2.5 项目工艺流程和主要装置和设施的布局及其上下游生产装置关系</w:t>
      </w:r>
      <w:r>
        <w:tab/>
      </w:r>
      <w:r>
        <w:fldChar w:fldCharType="begin"/>
      </w:r>
      <w:r>
        <w:instrText xml:space="preserve"> PAGEREF _Toc12728 \h </w:instrText>
      </w:r>
      <w:r>
        <w:fldChar w:fldCharType="separate"/>
      </w:r>
      <w:r>
        <w:t>30</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_Toc22821 </w:instrText>
      </w:r>
      <w:r>
        <w:rPr>
          <w:rFonts w:ascii="Times New Roman" w:hAnsi="Times New Roman" w:cs="Times New Roman"/>
          <w:szCs w:val="24"/>
          <w:shd w:val="clear" w:color="FFFFFF" w:fill="D9D9D9"/>
        </w:rPr>
        <w:fldChar w:fldCharType="separate"/>
      </w:r>
      <w:r>
        <w:t>2.6 建设项目公用工程及辅助设施</w:t>
      </w:r>
      <w:r>
        <w:tab/>
      </w:r>
      <w:r>
        <w:fldChar w:fldCharType="begin"/>
      </w:r>
      <w:r>
        <w:instrText xml:space="preserve"> PAGEREF _Toc22821 \h </w:instrText>
      </w:r>
      <w:r>
        <w:fldChar w:fldCharType="separate"/>
      </w:r>
      <w:r>
        <w:t>37</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_Toc30806 </w:instrText>
      </w:r>
      <w:r>
        <w:rPr>
          <w:rFonts w:ascii="Times New Roman" w:hAnsi="Times New Roman" w:cs="Times New Roman"/>
          <w:szCs w:val="24"/>
          <w:shd w:val="clear" w:color="FFFFFF" w:fill="D9D9D9"/>
        </w:rPr>
        <w:fldChar w:fldCharType="separate"/>
      </w:r>
      <w:r>
        <w:t>2.7 危险化学品包装、储存、运输的技术要求</w:t>
      </w:r>
      <w:r>
        <w:tab/>
      </w:r>
      <w:r>
        <w:fldChar w:fldCharType="begin"/>
      </w:r>
      <w:r>
        <w:instrText xml:space="preserve"> PAGEREF _Toc30806 \h </w:instrText>
      </w:r>
      <w:r>
        <w:fldChar w:fldCharType="separate"/>
      </w:r>
      <w:r>
        <w:t>57</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_Toc1549 </w:instrText>
      </w:r>
      <w:r>
        <w:rPr>
          <w:rFonts w:ascii="Times New Roman" w:hAnsi="Times New Roman" w:cs="Times New Roman"/>
          <w:szCs w:val="24"/>
          <w:shd w:val="clear" w:color="FFFFFF" w:fill="D9D9D9"/>
        </w:rPr>
        <w:fldChar w:fldCharType="separate"/>
      </w:r>
      <w:r>
        <w:t>2.8 安全投入</w:t>
      </w:r>
      <w:r>
        <w:tab/>
      </w:r>
      <w:r>
        <w:fldChar w:fldCharType="begin"/>
      </w:r>
      <w:r>
        <w:instrText xml:space="preserve"> PAGEREF _Toc1549 \h </w:instrText>
      </w:r>
      <w:r>
        <w:fldChar w:fldCharType="separate"/>
      </w:r>
      <w:r>
        <w:t>58</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_Toc22519 </w:instrText>
      </w:r>
      <w:r>
        <w:rPr>
          <w:rFonts w:ascii="Times New Roman" w:hAnsi="Times New Roman" w:cs="Times New Roman"/>
          <w:szCs w:val="24"/>
          <w:shd w:val="clear" w:color="FFFFFF" w:fill="D9D9D9"/>
        </w:rPr>
        <w:fldChar w:fldCharType="separate"/>
      </w:r>
      <w:r>
        <w:t>2.9 该项目劳动定员及安全管理</w:t>
      </w:r>
      <w:r>
        <w:tab/>
      </w:r>
      <w:r>
        <w:fldChar w:fldCharType="begin"/>
      </w:r>
      <w:r>
        <w:instrText xml:space="preserve"> PAGEREF _Toc22519 \h </w:instrText>
      </w:r>
      <w:r>
        <w:fldChar w:fldCharType="separate"/>
      </w:r>
      <w:r>
        <w:t>58</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_Toc31288 </w:instrText>
      </w:r>
      <w:r>
        <w:rPr>
          <w:rFonts w:ascii="Times New Roman" w:hAnsi="Times New Roman" w:cs="Times New Roman"/>
          <w:szCs w:val="24"/>
          <w:shd w:val="clear" w:color="FFFFFF" w:fill="D9D9D9"/>
        </w:rPr>
        <w:fldChar w:fldCharType="separate"/>
      </w:r>
      <w:r>
        <w:rPr>
          <w:rFonts w:hint="eastAsia" w:ascii="Times New Roman" w:hAnsi="Times New Roman" w:cs="Times New Roman"/>
        </w:rPr>
        <w:t xml:space="preserve">3 </w:t>
      </w:r>
      <w:r>
        <w:rPr>
          <w:rFonts w:ascii="Times New Roman" w:hAnsi="Times New Roman" w:cs="Times New Roman"/>
        </w:rPr>
        <w:t>危险、有害因素辨识结果</w:t>
      </w:r>
      <w:r>
        <w:tab/>
      </w:r>
      <w:r>
        <w:fldChar w:fldCharType="begin"/>
      </w:r>
      <w:r>
        <w:instrText xml:space="preserve"> PAGEREF _Toc31288 \h </w:instrText>
      </w:r>
      <w:r>
        <w:fldChar w:fldCharType="separate"/>
      </w:r>
      <w:r>
        <w:t>59</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_Toc28650 </w:instrText>
      </w:r>
      <w:r>
        <w:rPr>
          <w:rFonts w:ascii="Times New Roman" w:hAnsi="Times New Roman" w:cs="Times New Roman"/>
          <w:szCs w:val="24"/>
          <w:shd w:val="clear" w:color="FFFFFF" w:fill="D9D9D9"/>
        </w:rPr>
        <w:fldChar w:fldCharType="separate"/>
      </w:r>
      <w:r>
        <w:t>3.1 物质的危险、有害特性</w:t>
      </w:r>
      <w:r>
        <w:tab/>
      </w:r>
      <w:r>
        <w:fldChar w:fldCharType="begin"/>
      </w:r>
      <w:r>
        <w:instrText xml:space="preserve"> PAGEREF _Toc28650 \h </w:instrText>
      </w:r>
      <w:r>
        <w:fldChar w:fldCharType="separate"/>
      </w:r>
      <w:r>
        <w:t>59</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_Toc19492 </w:instrText>
      </w:r>
      <w:r>
        <w:rPr>
          <w:rFonts w:ascii="Times New Roman" w:hAnsi="Times New Roman" w:cs="Times New Roman"/>
          <w:szCs w:val="24"/>
          <w:shd w:val="clear" w:color="FFFFFF" w:fill="D9D9D9"/>
        </w:rPr>
        <w:fldChar w:fldCharType="separate"/>
      </w:r>
      <w:r>
        <w:t>3.2 项目存在的危险、有害因素及其分布范围</w:t>
      </w:r>
      <w:r>
        <w:tab/>
      </w:r>
      <w:r>
        <w:fldChar w:fldCharType="begin"/>
      </w:r>
      <w:r>
        <w:instrText xml:space="preserve"> PAGEREF _Toc19492 \h </w:instrText>
      </w:r>
      <w:r>
        <w:fldChar w:fldCharType="separate"/>
      </w:r>
      <w:r>
        <w:t>60</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_Toc18290 </w:instrText>
      </w:r>
      <w:r>
        <w:rPr>
          <w:rFonts w:ascii="Times New Roman" w:hAnsi="Times New Roman" w:cs="Times New Roman"/>
          <w:szCs w:val="24"/>
          <w:shd w:val="clear" w:color="FFFFFF" w:fill="D9D9D9"/>
        </w:rPr>
        <w:fldChar w:fldCharType="separate"/>
      </w:r>
      <w:r>
        <w:t>3.3 重大危险源辨识结果</w:t>
      </w:r>
      <w:r>
        <w:tab/>
      </w:r>
      <w:r>
        <w:fldChar w:fldCharType="begin"/>
      </w:r>
      <w:r>
        <w:instrText xml:space="preserve"> PAGEREF _Toc18290 \h </w:instrText>
      </w:r>
      <w:r>
        <w:fldChar w:fldCharType="separate"/>
      </w:r>
      <w:r>
        <w:t>61</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_Toc3525 </w:instrText>
      </w:r>
      <w:r>
        <w:rPr>
          <w:rFonts w:ascii="Times New Roman" w:hAnsi="Times New Roman" w:cs="Times New Roman"/>
          <w:szCs w:val="24"/>
          <w:shd w:val="clear" w:color="FFFFFF" w:fill="D9D9D9"/>
        </w:rPr>
        <w:fldChar w:fldCharType="separate"/>
      </w:r>
      <w:r>
        <w:rPr>
          <w:rFonts w:hint="eastAsia" w:ascii="Times New Roman" w:hAnsi="Times New Roman" w:cs="Times New Roman"/>
        </w:rPr>
        <w:t xml:space="preserve">4 </w:t>
      </w:r>
      <w:r>
        <w:rPr>
          <w:rFonts w:ascii="Times New Roman" w:hAnsi="Times New Roman" w:cs="Times New Roman"/>
        </w:rPr>
        <w:t>评价单元划分、安全评价方法选择</w:t>
      </w:r>
      <w:r>
        <w:tab/>
      </w:r>
      <w:r>
        <w:fldChar w:fldCharType="begin"/>
      </w:r>
      <w:r>
        <w:instrText xml:space="preserve"> PAGEREF _Toc3525 \h </w:instrText>
      </w:r>
      <w:r>
        <w:fldChar w:fldCharType="separate"/>
      </w:r>
      <w:r>
        <w:t>62</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_Toc6538 </w:instrText>
      </w:r>
      <w:r>
        <w:rPr>
          <w:rFonts w:ascii="Times New Roman" w:hAnsi="Times New Roman" w:cs="Times New Roman"/>
          <w:szCs w:val="24"/>
          <w:shd w:val="clear" w:color="FFFFFF" w:fill="D9D9D9"/>
        </w:rPr>
        <w:fldChar w:fldCharType="separate"/>
      </w:r>
      <w:r>
        <w:t>4.1 评价单元的确定</w:t>
      </w:r>
      <w:r>
        <w:tab/>
      </w:r>
      <w:r>
        <w:fldChar w:fldCharType="begin"/>
      </w:r>
      <w:r>
        <w:instrText xml:space="preserve"> PAGEREF _Toc6538 \h </w:instrText>
      </w:r>
      <w:r>
        <w:fldChar w:fldCharType="separate"/>
      </w:r>
      <w:r>
        <w:t>62</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_Toc944 </w:instrText>
      </w:r>
      <w:r>
        <w:rPr>
          <w:rFonts w:ascii="Times New Roman" w:hAnsi="Times New Roman" w:cs="Times New Roman"/>
          <w:szCs w:val="24"/>
          <w:shd w:val="clear" w:color="FFFFFF" w:fill="D9D9D9"/>
        </w:rPr>
        <w:fldChar w:fldCharType="separate"/>
      </w:r>
      <w:r>
        <w:t>4.2 评价方法的选择</w:t>
      </w:r>
      <w:r>
        <w:tab/>
      </w:r>
      <w:r>
        <w:fldChar w:fldCharType="begin"/>
      </w:r>
      <w:r>
        <w:instrText xml:space="preserve"> PAGEREF _Toc944 \h </w:instrText>
      </w:r>
      <w:r>
        <w:fldChar w:fldCharType="separate"/>
      </w:r>
      <w:r>
        <w:t>63</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_Toc24528 </w:instrText>
      </w:r>
      <w:r>
        <w:rPr>
          <w:rFonts w:ascii="Times New Roman" w:hAnsi="Times New Roman" w:cs="Times New Roman"/>
          <w:szCs w:val="24"/>
          <w:shd w:val="clear" w:color="FFFFFF" w:fill="D9D9D9"/>
        </w:rPr>
        <w:fldChar w:fldCharType="separate"/>
      </w:r>
      <w:r>
        <w:rPr>
          <w:rFonts w:hint="eastAsia" w:ascii="Times New Roman" w:hAnsi="Times New Roman" w:cs="Times New Roman"/>
        </w:rPr>
        <w:t xml:space="preserve">5 </w:t>
      </w:r>
      <w:r>
        <w:rPr>
          <w:rFonts w:ascii="Times New Roman" w:hAnsi="Times New Roman" w:cs="Times New Roman"/>
        </w:rPr>
        <w:t>定性、定量分析评价</w:t>
      </w:r>
      <w:r>
        <w:tab/>
      </w:r>
      <w:r>
        <w:fldChar w:fldCharType="begin"/>
      </w:r>
      <w:r>
        <w:instrText xml:space="preserve"> PAGEREF _Toc24528 \h </w:instrText>
      </w:r>
      <w:r>
        <w:fldChar w:fldCharType="separate"/>
      </w:r>
      <w:r>
        <w:t>64</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_Toc29412 </w:instrText>
      </w:r>
      <w:r>
        <w:rPr>
          <w:rFonts w:ascii="Times New Roman" w:hAnsi="Times New Roman" w:cs="Times New Roman"/>
          <w:szCs w:val="24"/>
          <w:shd w:val="clear" w:color="FFFFFF" w:fill="D9D9D9"/>
        </w:rPr>
        <w:fldChar w:fldCharType="separate"/>
      </w:r>
      <w:r>
        <w:t>5.1 固有危险程度分析</w:t>
      </w:r>
      <w:r>
        <w:tab/>
      </w:r>
      <w:r>
        <w:fldChar w:fldCharType="begin"/>
      </w:r>
      <w:r>
        <w:instrText xml:space="preserve"> PAGEREF _Toc29412 \h </w:instrText>
      </w:r>
      <w:r>
        <w:fldChar w:fldCharType="separate"/>
      </w:r>
      <w:r>
        <w:t>64</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_Toc7614 </w:instrText>
      </w:r>
      <w:r>
        <w:rPr>
          <w:rFonts w:ascii="Times New Roman" w:hAnsi="Times New Roman" w:cs="Times New Roman"/>
          <w:szCs w:val="24"/>
          <w:shd w:val="clear" w:color="FFFFFF" w:fill="D9D9D9"/>
        </w:rPr>
        <w:fldChar w:fldCharType="separate"/>
      </w:r>
      <w:r>
        <w:t>5.2 风险程度分析</w:t>
      </w:r>
      <w:r>
        <w:tab/>
      </w:r>
      <w:r>
        <w:fldChar w:fldCharType="begin"/>
      </w:r>
      <w:r>
        <w:instrText xml:space="preserve"> PAGEREF _Toc7614 \h </w:instrText>
      </w:r>
      <w:r>
        <w:fldChar w:fldCharType="separate"/>
      </w:r>
      <w:r>
        <w:t>65</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_Toc8609 </w:instrText>
      </w:r>
      <w:r>
        <w:rPr>
          <w:rFonts w:ascii="Times New Roman" w:hAnsi="Times New Roman" w:cs="Times New Roman"/>
          <w:szCs w:val="24"/>
          <w:shd w:val="clear" w:color="FFFFFF" w:fill="D9D9D9"/>
        </w:rPr>
        <w:fldChar w:fldCharType="separate"/>
      </w:r>
      <w:r>
        <w:t>5.3 定性、定量评价结果</w:t>
      </w:r>
      <w:r>
        <w:tab/>
      </w:r>
      <w:r>
        <w:fldChar w:fldCharType="begin"/>
      </w:r>
      <w:r>
        <w:instrText xml:space="preserve"> PAGEREF _Toc8609 \h </w:instrText>
      </w:r>
      <w:r>
        <w:fldChar w:fldCharType="separate"/>
      </w:r>
      <w:r>
        <w:t>68</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_Toc13968 </w:instrText>
      </w:r>
      <w:r>
        <w:rPr>
          <w:rFonts w:ascii="Times New Roman" w:hAnsi="Times New Roman" w:cs="Times New Roman"/>
          <w:szCs w:val="24"/>
          <w:shd w:val="clear" w:color="FFFFFF" w:fill="D9D9D9"/>
        </w:rPr>
        <w:fldChar w:fldCharType="separate"/>
      </w:r>
      <w:r>
        <w:t>5.4 事故案例分析</w:t>
      </w:r>
      <w:r>
        <w:tab/>
      </w:r>
      <w:r>
        <w:fldChar w:fldCharType="begin"/>
      </w:r>
      <w:r>
        <w:instrText xml:space="preserve"> PAGEREF _Toc13968 \h </w:instrText>
      </w:r>
      <w:r>
        <w:fldChar w:fldCharType="separate"/>
      </w:r>
      <w:r>
        <w:t>69</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_Toc19499 </w:instrText>
      </w:r>
      <w:r>
        <w:rPr>
          <w:rFonts w:ascii="Times New Roman" w:hAnsi="Times New Roman" w:cs="Times New Roman"/>
          <w:szCs w:val="24"/>
          <w:shd w:val="clear" w:color="FFFFFF" w:fill="D9D9D9"/>
        </w:rPr>
        <w:fldChar w:fldCharType="separate"/>
      </w:r>
      <w:r>
        <w:rPr>
          <w:rFonts w:hint="eastAsia" w:ascii="Times New Roman" w:hAnsi="Times New Roman" w:cs="Times New Roman"/>
        </w:rPr>
        <w:t xml:space="preserve">6 </w:t>
      </w:r>
      <w:r>
        <w:rPr>
          <w:rFonts w:ascii="Times New Roman" w:hAnsi="Times New Roman" w:cs="Times New Roman"/>
        </w:rPr>
        <w:t>安全条件分析</w:t>
      </w:r>
      <w:r>
        <w:tab/>
      </w:r>
      <w:r>
        <w:fldChar w:fldCharType="begin"/>
      </w:r>
      <w:r>
        <w:instrText xml:space="preserve"> PAGEREF _Toc19499 \h </w:instrText>
      </w:r>
      <w:r>
        <w:fldChar w:fldCharType="separate"/>
      </w:r>
      <w:r>
        <w:t>77</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_Toc11154 </w:instrText>
      </w:r>
      <w:r>
        <w:rPr>
          <w:rFonts w:ascii="Times New Roman" w:hAnsi="Times New Roman" w:cs="Times New Roman"/>
          <w:szCs w:val="24"/>
          <w:shd w:val="clear" w:color="FFFFFF" w:fill="D9D9D9"/>
        </w:rPr>
        <w:fldChar w:fldCharType="separate"/>
      </w:r>
      <w:r>
        <w:t>6.1 建设项目外部安全条件分析</w:t>
      </w:r>
      <w:r>
        <w:tab/>
      </w:r>
      <w:r>
        <w:fldChar w:fldCharType="begin"/>
      </w:r>
      <w:r>
        <w:instrText xml:space="preserve"> PAGEREF _Toc11154 \h </w:instrText>
      </w:r>
      <w:r>
        <w:fldChar w:fldCharType="separate"/>
      </w:r>
      <w:r>
        <w:t>77</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_Toc5226 </w:instrText>
      </w:r>
      <w:r>
        <w:rPr>
          <w:rFonts w:ascii="Times New Roman" w:hAnsi="Times New Roman" w:cs="Times New Roman"/>
          <w:szCs w:val="24"/>
          <w:shd w:val="clear" w:color="FFFFFF" w:fill="D9D9D9"/>
        </w:rPr>
        <w:fldChar w:fldCharType="separate"/>
      </w:r>
      <w:r>
        <w:t>6.2 安全可靠性分析</w:t>
      </w:r>
      <w:r>
        <w:tab/>
      </w:r>
      <w:r>
        <w:fldChar w:fldCharType="begin"/>
      </w:r>
      <w:r>
        <w:instrText xml:space="preserve"> PAGEREF _Toc5226 \h </w:instrText>
      </w:r>
      <w:r>
        <w:fldChar w:fldCharType="separate"/>
      </w:r>
      <w:r>
        <w:t>84</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_Toc19881 </w:instrText>
      </w:r>
      <w:r>
        <w:rPr>
          <w:rFonts w:ascii="Times New Roman" w:hAnsi="Times New Roman" w:cs="Times New Roman"/>
          <w:szCs w:val="24"/>
          <w:shd w:val="clear" w:color="FFFFFF" w:fill="D9D9D9"/>
        </w:rPr>
        <w:fldChar w:fldCharType="separate"/>
      </w:r>
      <w:r>
        <w:t>6.3 生产工艺装置自动化控制分析评价</w:t>
      </w:r>
      <w:r>
        <w:tab/>
      </w:r>
      <w:r>
        <w:fldChar w:fldCharType="begin"/>
      </w:r>
      <w:r>
        <w:instrText xml:space="preserve"> PAGEREF _Toc19881 \h </w:instrText>
      </w:r>
      <w:r>
        <w:fldChar w:fldCharType="separate"/>
      </w:r>
      <w:r>
        <w:t>86</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_Toc27590 </w:instrText>
      </w:r>
      <w:r>
        <w:rPr>
          <w:rFonts w:ascii="Times New Roman" w:hAnsi="Times New Roman" w:cs="Times New Roman"/>
          <w:szCs w:val="24"/>
          <w:shd w:val="clear" w:color="FFFFFF" w:fill="D9D9D9"/>
        </w:rPr>
        <w:fldChar w:fldCharType="separate"/>
      </w:r>
      <w:r>
        <w:t>6.4 安全管理可靠性分析评价</w:t>
      </w:r>
      <w:r>
        <w:tab/>
      </w:r>
      <w:r>
        <w:fldChar w:fldCharType="begin"/>
      </w:r>
      <w:r>
        <w:instrText xml:space="preserve"> PAGEREF _Toc27590 \h </w:instrText>
      </w:r>
      <w:r>
        <w:fldChar w:fldCharType="separate"/>
      </w:r>
      <w:r>
        <w:t>90</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_Toc1105 </w:instrText>
      </w:r>
      <w:r>
        <w:rPr>
          <w:rFonts w:ascii="Times New Roman" w:hAnsi="Times New Roman" w:cs="Times New Roman"/>
          <w:szCs w:val="24"/>
          <w:shd w:val="clear" w:color="FFFFFF" w:fill="D9D9D9"/>
        </w:rPr>
        <w:fldChar w:fldCharType="separate"/>
      </w:r>
      <w:r>
        <w:rPr>
          <w:rFonts w:hint="eastAsia" w:ascii="Times New Roman" w:hAnsi="Times New Roman" w:cs="Times New Roman"/>
        </w:rPr>
        <w:t xml:space="preserve">7 </w:t>
      </w:r>
      <w:r>
        <w:rPr>
          <w:rFonts w:ascii="Times New Roman" w:hAnsi="Times New Roman" w:cs="Times New Roman"/>
        </w:rPr>
        <w:t>安全对策措施、建议和结论</w:t>
      </w:r>
      <w:r>
        <w:tab/>
      </w:r>
      <w:r>
        <w:fldChar w:fldCharType="begin"/>
      </w:r>
      <w:r>
        <w:instrText xml:space="preserve"> PAGEREF _Toc1105 \h </w:instrText>
      </w:r>
      <w:r>
        <w:fldChar w:fldCharType="separate"/>
      </w:r>
      <w:r>
        <w:t>95</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_Toc12469 </w:instrText>
      </w:r>
      <w:r>
        <w:rPr>
          <w:rFonts w:ascii="Times New Roman" w:hAnsi="Times New Roman" w:cs="Times New Roman"/>
          <w:szCs w:val="24"/>
          <w:shd w:val="clear" w:color="FFFFFF" w:fill="D9D9D9"/>
        </w:rPr>
        <w:fldChar w:fldCharType="separate"/>
      </w:r>
      <w:r>
        <w:t>7.1 对策措施与建议</w:t>
      </w:r>
      <w:r>
        <w:tab/>
      </w:r>
      <w:r>
        <w:fldChar w:fldCharType="begin"/>
      </w:r>
      <w:r>
        <w:instrText xml:space="preserve"> PAGEREF _Toc12469 \h </w:instrText>
      </w:r>
      <w:r>
        <w:fldChar w:fldCharType="separate"/>
      </w:r>
      <w:r>
        <w:t>95</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_Toc7533 </w:instrText>
      </w:r>
      <w:r>
        <w:rPr>
          <w:rFonts w:ascii="Times New Roman" w:hAnsi="Times New Roman" w:cs="Times New Roman"/>
          <w:szCs w:val="24"/>
          <w:shd w:val="clear" w:color="FFFFFF" w:fill="D9D9D9"/>
        </w:rPr>
        <w:fldChar w:fldCharType="separate"/>
      </w:r>
      <w:r>
        <w:t>7.2 结论</w:t>
      </w:r>
      <w:r>
        <w:tab/>
      </w:r>
      <w:r>
        <w:fldChar w:fldCharType="begin"/>
      </w:r>
      <w:r>
        <w:instrText xml:space="preserve"> PAGEREF _Toc7533 \h </w:instrText>
      </w:r>
      <w:r>
        <w:fldChar w:fldCharType="separate"/>
      </w:r>
      <w:r>
        <w:t>106</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_Toc17866 </w:instrText>
      </w:r>
      <w:r>
        <w:rPr>
          <w:rFonts w:ascii="Times New Roman" w:hAnsi="Times New Roman" w:cs="Times New Roman"/>
          <w:szCs w:val="24"/>
          <w:shd w:val="clear" w:color="FFFFFF" w:fill="D9D9D9"/>
        </w:rPr>
        <w:fldChar w:fldCharType="separate"/>
      </w:r>
      <w:r>
        <w:rPr>
          <w:rFonts w:hint="eastAsia" w:ascii="Times New Roman" w:hAnsi="Times New Roman" w:eastAsia="黑体" w:cs="Times New Roman"/>
          <w:szCs w:val="32"/>
        </w:rPr>
        <w:t xml:space="preserve">8 </w:t>
      </w:r>
      <w:r>
        <w:rPr>
          <w:rFonts w:ascii="Times New Roman" w:hAnsi="Times New Roman" w:cs="Times New Roman"/>
        </w:rPr>
        <w:t>评价单位与建设单位交换意见</w:t>
      </w:r>
      <w:r>
        <w:tab/>
      </w:r>
      <w:r>
        <w:fldChar w:fldCharType="begin"/>
      </w:r>
      <w:r>
        <w:instrText xml:space="preserve"> PAGEREF _Toc17866 \h </w:instrText>
      </w:r>
      <w:r>
        <w:fldChar w:fldCharType="separate"/>
      </w:r>
      <w:r>
        <w:t>109</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_Toc29841 </w:instrText>
      </w:r>
      <w:r>
        <w:rPr>
          <w:rFonts w:ascii="Times New Roman" w:hAnsi="Times New Roman" w:cs="Times New Roman"/>
          <w:szCs w:val="24"/>
          <w:shd w:val="clear" w:color="FFFFFF" w:fill="D9D9D9"/>
        </w:rPr>
        <w:fldChar w:fldCharType="separate"/>
      </w:r>
      <w:r>
        <w:rPr>
          <w:rFonts w:ascii="Times New Roman" w:hAnsi="Times New Roman" w:cs="Times New Roman"/>
        </w:rPr>
        <w:t>附件1 危险有害因素分析过程</w:t>
      </w:r>
      <w:r>
        <w:tab/>
      </w:r>
      <w:r>
        <w:fldChar w:fldCharType="begin"/>
      </w:r>
      <w:r>
        <w:instrText xml:space="preserve"> PAGEREF _Toc29841 \h </w:instrText>
      </w:r>
      <w:r>
        <w:fldChar w:fldCharType="separate"/>
      </w:r>
      <w:r>
        <w:t>113</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_Toc22101 </w:instrText>
      </w:r>
      <w:r>
        <w:rPr>
          <w:rFonts w:ascii="Times New Roman" w:hAnsi="Times New Roman" w:cs="Times New Roman"/>
          <w:szCs w:val="24"/>
          <w:shd w:val="clear" w:color="FFFFFF" w:fill="D9D9D9"/>
        </w:rPr>
        <w:fldChar w:fldCharType="separate"/>
      </w:r>
      <w:r>
        <w:t>F1.1 主要危险、有害物质及其危险、危害特性</w:t>
      </w:r>
      <w:r>
        <w:tab/>
      </w:r>
      <w:r>
        <w:fldChar w:fldCharType="begin"/>
      </w:r>
      <w:r>
        <w:instrText xml:space="preserve"> PAGEREF _Toc22101 \h </w:instrText>
      </w:r>
      <w:r>
        <w:fldChar w:fldCharType="separate"/>
      </w:r>
      <w:r>
        <w:t>113</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_Toc30131 </w:instrText>
      </w:r>
      <w:r>
        <w:rPr>
          <w:rFonts w:ascii="Times New Roman" w:hAnsi="Times New Roman" w:cs="Times New Roman"/>
          <w:szCs w:val="24"/>
          <w:shd w:val="clear" w:color="FFFFFF" w:fill="D9D9D9"/>
        </w:rPr>
        <w:fldChar w:fldCharType="separate"/>
      </w:r>
      <w:r>
        <w:t>F1.2 建设项目危险有害因素分析</w:t>
      </w:r>
      <w:r>
        <w:tab/>
      </w:r>
      <w:r>
        <w:fldChar w:fldCharType="begin"/>
      </w:r>
      <w:r>
        <w:instrText xml:space="preserve"> PAGEREF _Toc30131 \h </w:instrText>
      </w:r>
      <w:r>
        <w:fldChar w:fldCharType="separate"/>
      </w:r>
      <w:r>
        <w:t>119</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_Toc23751 </w:instrText>
      </w:r>
      <w:r>
        <w:rPr>
          <w:rFonts w:ascii="Times New Roman" w:hAnsi="Times New Roman" w:cs="Times New Roman"/>
          <w:szCs w:val="24"/>
          <w:shd w:val="clear" w:color="FFFFFF" w:fill="D9D9D9"/>
        </w:rPr>
        <w:fldChar w:fldCharType="separate"/>
      </w:r>
      <w:r>
        <w:t>F1.3 安全管理缺陷危险性分析</w:t>
      </w:r>
      <w:r>
        <w:tab/>
      </w:r>
      <w:r>
        <w:fldChar w:fldCharType="begin"/>
      </w:r>
      <w:r>
        <w:instrText xml:space="preserve"> PAGEREF _Toc23751 \h </w:instrText>
      </w:r>
      <w:r>
        <w:fldChar w:fldCharType="separate"/>
      </w:r>
      <w:r>
        <w:t>132</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_Toc24175 </w:instrText>
      </w:r>
      <w:r>
        <w:rPr>
          <w:rFonts w:ascii="Times New Roman" w:hAnsi="Times New Roman" w:cs="Times New Roman"/>
          <w:szCs w:val="24"/>
          <w:shd w:val="clear" w:color="FFFFFF" w:fill="D9D9D9"/>
        </w:rPr>
        <w:fldChar w:fldCharType="separate"/>
      </w:r>
      <w:r>
        <w:t>F1.</w:t>
      </w:r>
      <w:r>
        <w:rPr>
          <w:rFonts w:hint="eastAsia"/>
        </w:rPr>
        <w:t>4</w:t>
      </w:r>
      <w:r>
        <w:t xml:space="preserve"> 重大危险源辨识过程</w:t>
      </w:r>
      <w:r>
        <w:tab/>
      </w:r>
      <w:r>
        <w:fldChar w:fldCharType="begin"/>
      </w:r>
      <w:r>
        <w:instrText xml:space="preserve"> PAGEREF _Toc24175 \h </w:instrText>
      </w:r>
      <w:r>
        <w:fldChar w:fldCharType="separate"/>
      </w:r>
      <w:r>
        <w:t>134</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_Toc24956 </w:instrText>
      </w:r>
      <w:r>
        <w:rPr>
          <w:rFonts w:ascii="Times New Roman" w:hAnsi="Times New Roman" w:cs="Times New Roman"/>
          <w:szCs w:val="24"/>
          <w:shd w:val="clear" w:color="FFFFFF" w:fill="D9D9D9"/>
        </w:rPr>
        <w:fldChar w:fldCharType="separate"/>
      </w:r>
      <w:r>
        <w:rPr>
          <w:rFonts w:ascii="Times New Roman" w:hAnsi="Times New Roman" w:cs="Times New Roman"/>
        </w:rPr>
        <w:t>附件2 选用的安全评价方法简介</w:t>
      </w:r>
      <w:r>
        <w:tab/>
      </w:r>
      <w:r>
        <w:fldChar w:fldCharType="begin"/>
      </w:r>
      <w:r>
        <w:instrText xml:space="preserve"> PAGEREF _Toc24956 \h </w:instrText>
      </w:r>
      <w:r>
        <w:fldChar w:fldCharType="separate"/>
      </w:r>
      <w:r>
        <w:t>140</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_Toc31285 </w:instrText>
      </w:r>
      <w:r>
        <w:rPr>
          <w:rFonts w:ascii="Times New Roman" w:hAnsi="Times New Roman" w:cs="Times New Roman"/>
          <w:szCs w:val="24"/>
          <w:shd w:val="clear" w:color="FFFFFF" w:fill="D9D9D9"/>
        </w:rPr>
        <w:fldChar w:fldCharType="separate"/>
      </w:r>
      <w:r>
        <w:t>F2.1 安全检查表法（SCL）</w:t>
      </w:r>
      <w:r>
        <w:tab/>
      </w:r>
      <w:r>
        <w:fldChar w:fldCharType="begin"/>
      </w:r>
      <w:r>
        <w:instrText xml:space="preserve"> PAGEREF _Toc31285 \h </w:instrText>
      </w:r>
      <w:r>
        <w:fldChar w:fldCharType="separate"/>
      </w:r>
      <w:r>
        <w:t>140</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_Toc23709 </w:instrText>
      </w:r>
      <w:r>
        <w:rPr>
          <w:rFonts w:ascii="Times New Roman" w:hAnsi="Times New Roman" w:cs="Times New Roman"/>
          <w:szCs w:val="24"/>
          <w:shd w:val="clear" w:color="FFFFFF" w:fill="D9D9D9"/>
        </w:rPr>
        <w:fldChar w:fldCharType="separate"/>
      </w:r>
      <w:r>
        <w:t>F2.2 危险度评价法</w:t>
      </w:r>
      <w:r>
        <w:tab/>
      </w:r>
      <w:r>
        <w:fldChar w:fldCharType="begin"/>
      </w:r>
      <w:r>
        <w:instrText xml:space="preserve"> PAGEREF _Toc23709 \h </w:instrText>
      </w:r>
      <w:r>
        <w:fldChar w:fldCharType="separate"/>
      </w:r>
      <w:r>
        <w:t>140</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_Toc14620 </w:instrText>
      </w:r>
      <w:r>
        <w:rPr>
          <w:rFonts w:ascii="Times New Roman" w:hAnsi="Times New Roman" w:cs="Times New Roman"/>
          <w:szCs w:val="24"/>
          <w:shd w:val="clear" w:color="FFFFFF" w:fill="D9D9D9"/>
        </w:rPr>
        <w:fldChar w:fldCharType="separate"/>
      </w:r>
      <w:r>
        <w:t>F2.3 事故后果模拟</w:t>
      </w:r>
      <w:r>
        <w:tab/>
      </w:r>
      <w:r>
        <w:fldChar w:fldCharType="begin"/>
      </w:r>
      <w:r>
        <w:instrText xml:space="preserve"> PAGEREF _Toc14620 \h </w:instrText>
      </w:r>
      <w:r>
        <w:fldChar w:fldCharType="separate"/>
      </w:r>
      <w:r>
        <w:t>142</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_Toc15406 </w:instrText>
      </w:r>
      <w:r>
        <w:rPr>
          <w:rFonts w:ascii="Times New Roman" w:hAnsi="Times New Roman" w:cs="Times New Roman"/>
          <w:szCs w:val="24"/>
          <w:shd w:val="clear" w:color="FFFFFF" w:fill="D9D9D9"/>
        </w:rPr>
        <w:fldChar w:fldCharType="separate"/>
      </w:r>
      <w:r>
        <w:rPr>
          <w:rFonts w:ascii="Times New Roman" w:hAnsi="Times New Roman" w:cs="Times New Roman"/>
        </w:rPr>
        <w:t>附件3 定性、定量分析过程</w:t>
      </w:r>
      <w:r>
        <w:tab/>
      </w:r>
      <w:r>
        <w:fldChar w:fldCharType="begin"/>
      </w:r>
      <w:r>
        <w:instrText xml:space="preserve"> PAGEREF _Toc15406 \h </w:instrText>
      </w:r>
      <w:r>
        <w:fldChar w:fldCharType="separate"/>
      </w:r>
      <w:r>
        <w:t>143</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_Toc15927 </w:instrText>
      </w:r>
      <w:r>
        <w:rPr>
          <w:rFonts w:ascii="Times New Roman" w:hAnsi="Times New Roman" w:cs="Times New Roman"/>
          <w:szCs w:val="24"/>
          <w:shd w:val="clear" w:color="FFFFFF" w:fill="D9D9D9"/>
        </w:rPr>
        <w:fldChar w:fldCharType="separate"/>
      </w:r>
      <w:r>
        <w:t>F3.1 安全检查表法</w:t>
      </w:r>
      <w:r>
        <w:tab/>
      </w:r>
      <w:r>
        <w:fldChar w:fldCharType="begin"/>
      </w:r>
      <w:r>
        <w:instrText xml:space="preserve"> PAGEREF _Toc15927 \h </w:instrText>
      </w:r>
      <w:r>
        <w:fldChar w:fldCharType="separate"/>
      </w:r>
      <w:r>
        <w:t>143</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_Toc22416 </w:instrText>
      </w:r>
      <w:r>
        <w:rPr>
          <w:rFonts w:ascii="Times New Roman" w:hAnsi="Times New Roman" w:cs="Times New Roman"/>
          <w:szCs w:val="24"/>
          <w:shd w:val="clear" w:color="FFFFFF" w:fill="D9D9D9"/>
        </w:rPr>
        <w:fldChar w:fldCharType="separate"/>
      </w:r>
      <w:r>
        <w:t>F3.2 定量分析评价</w:t>
      </w:r>
      <w:r>
        <w:tab/>
      </w:r>
      <w:r>
        <w:fldChar w:fldCharType="begin"/>
      </w:r>
      <w:r>
        <w:instrText xml:space="preserve"> PAGEREF _Toc22416 \h </w:instrText>
      </w:r>
      <w:r>
        <w:fldChar w:fldCharType="separate"/>
      </w:r>
      <w:r>
        <w:t>167</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_Toc10649 </w:instrText>
      </w:r>
      <w:r>
        <w:rPr>
          <w:rFonts w:ascii="Times New Roman" w:hAnsi="Times New Roman" w:cs="Times New Roman"/>
          <w:szCs w:val="24"/>
          <w:shd w:val="clear" w:color="FFFFFF" w:fill="D9D9D9"/>
        </w:rPr>
        <w:fldChar w:fldCharType="separate"/>
      </w:r>
      <w:r>
        <w:rPr>
          <w:rFonts w:ascii="Times New Roman" w:hAnsi="Times New Roman" w:cs="Times New Roman"/>
        </w:rPr>
        <w:t>附件4 评价依据</w:t>
      </w:r>
      <w:r>
        <w:tab/>
      </w:r>
      <w:r>
        <w:fldChar w:fldCharType="begin"/>
      </w:r>
      <w:r>
        <w:instrText xml:space="preserve"> PAGEREF _Toc10649 \h </w:instrText>
      </w:r>
      <w:r>
        <w:fldChar w:fldCharType="separate"/>
      </w:r>
      <w:r>
        <w:t>175</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_Toc9205 </w:instrText>
      </w:r>
      <w:r>
        <w:rPr>
          <w:rFonts w:ascii="Times New Roman" w:hAnsi="Times New Roman" w:cs="Times New Roman"/>
          <w:szCs w:val="24"/>
          <w:shd w:val="clear" w:color="FFFFFF" w:fill="D9D9D9"/>
        </w:rPr>
        <w:fldChar w:fldCharType="separate"/>
      </w:r>
      <w:r>
        <w:t>F4.1 法律、法规、</w:t>
      </w:r>
      <w:r>
        <w:rPr>
          <w:rFonts w:hint="eastAsia"/>
          <w:lang w:val="en-US" w:eastAsia="zh-CN"/>
        </w:rPr>
        <w:t>规章</w:t>
      </w:r>
      <w:r>
        <w:tab/>
      </w:r>
      <w:r>
        <w:fldChar w:fldCharType="begin"/>
      </w:r>
      <w:r>
        <w:instrText xml:space="preserve"> PAGEREF _Toc9205 \h </w:instrText>
      </w:r>
      <w:r>
        <w:fldChar w:fldCharType="separate"/>
      </w:r>
      <w:r>
        <w:t>175</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_Toc17258 </w:instrText>
      </w:r>
      <w:r>
        <w:rPr>
          <w:rFonts w:ascii="Times New Roman" w:hAnsi="Times New Roman" w:cs="Times New Roman"/>
          <w:szCs w:val="24"/>
          <w:shd w:val="clear" w:color="FFFFFF" w:fill="D9D9D9"/>
        </w:rPr>
        <w:fldChar w:fldCharType="separate"/>
      </w:r>
      <w:r>
        <w:t>F4.2 国家标准、规范、规程</w:t>
      </w:r>
      <w:r>
        <w:tab/>
      </w:r>
      <w:r>
        <w:fldChar w:fldCharType="begin"/>
      </w:r>
      <w:r>
        <w:instrText xml:space="preserve"> PAGEREF _Toc17258 \h </w:instrText>
      </w:r>
      <w:r>
        <w:fldChar w:fldCharType="separate"/>
      </w:r>
      <w:r>
        <w:t>179</w:t>
      </w:r>
      <w:r>
        <w:fldChar w:fldCharType="end"/>
      </w:r>
      <w:r>
        <w:rPr>
          <w:rFonts w:ascii="Times New Roman" w:hAnsi="Times New Roman" w:cs="Times New Roman"/>
          <w:szCs w:val="24"/>
          <w:shd w:val="clear" w:color="FFFFFF" w:fill="D9D9D9"/>
        </w:rPr>
        <w:fldChar w:fldCharType="end"/>
      </w:r>
    </w:p>
    <w:p>
      <w:pPr>
        <w:pStyle w:val="14"/>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_Toc22942 </w:instrText>
      </w:r>
      <w:r>
        <w:rPr>
          <w:rFonts w:ascii="Times New Roman" w:hAnsi="Times New Roman" w:cs="Times New Roman"/>
          <w:szCs w:val="24"/>
          <w:shd w:val="clear" w:color="FFFFFF" w:fill="D9D9D9"/>
        </w:rPr>
        <w:fldChar w:fldCharType="separate"/>
      </w:r>
      <w:r>
        <w:t>F4.3 依据的其他有关文件资料</w:t>
      </w:r>
      <w:r>
        <w:tab/>
      </w:r>
      <w:r>
        <w:fldChar w:fldCharType="begin"/>
      </w:r>
      <w:r>
        <w:instrText xml:space="preserve"> PAGEREF _Toc22942 \h </w:instrText>
      </w:r>
      <w:r>
        <w:fldChar w:fldCharType="separate"/>
      </w:r>
      <w:r>
        <w:t>181</w:t>
      </w:r>
      <w:r>
        <w:fldChar w:fldCharType="end"/>
      </w:r>
      <w:r>
        <w:rPr>
          <w:rFonts w:ascii="Times New Roman" w:hAnsi="Times New Roman" w:cs="Times New Roman"/>
          <w:szCs w:val="24"/>
          <w:shd w:val="clear" w:color="FFFFFF" w:fill="D9D9D9"/>
        </w:rPr>
        <w:fldChar w:fldCharType="end"/>
      </w:r>
    </w:p>
    <w:p>
      <w:pPr>
        <w:pStyle w:val="13"/>
        <w:tabs>
          <w:tab w:val="right" w:leader="dot" w:pos="8306"/>
          <w:tab w:val="clear" w:pos="315"/>
        </w:tabs>
      </w:pPr>
      <w:r>
        <w:rPr>
          <w:rFonts w:ascii="Times New Roman" w:hAnsi="Times New Roman" w:cs="Times New Roman"/>
          <w:szCs w:val="24"/>
          <w:shd w:val="clear" w:color="FFFFFF" w:fill="D9D9D9"/>
        </w:rPr>
        <w:fldChar w:fldCharType="begin"/>
      </w:r>
      <w:r>
        <w:rPr>
          <w:rFonts w:ascii="Times New Roman" w:hAnsi="Times New Roman" w:cs="Times New Roman"/>
          <w:szCs w:val="24"/>
          <w:shd w:val="clear" w:color="FFFFFF" w:fill="D9D9D9"/>
        </w:rPr>
        <w:instrText xml:space="preserve"> HYPERLINK \l _Toc6334 </w:instrText>
      </w:r>
      <w:r>
        <w:rPr>
          <w:rFonts w:ascii="Times New Roman" w:hAnsi="Times New Roman" w:cs="Times New Roman"/>
          <w:szCs w:val="24"/>
          <w:shd w:val="clear" w:color="FFFFFF" w:fill="D9D9D9"/>
        </w:rPr>
        <w:fldChar w:fldCharType="separate"/>
      </w:r>
      <w:r>
        <w:rPr>
          <w:rFonts w:ascii="Times New Roman" w:hAnsi="Times New Roman" w:cs="Times New Roman"/>
        </w:rPr>
        <w:t>附件5 报告附件目录</w:t>
      </w:r>
      <w:r>
        <w:tab/>
      </w:r>
      <w:r>
        <w:fldChar w:fldCharType="begin"/>
      </w:r>
      <w:r>
        <w:instrText xml:space="preserve"> PAGEREF _Toc6334 \h </w:instrText>
      </w:r>
      <w:r>
        <w:fldChar w:fldCharType="separate"/>
      </w:r>
      <w:r>
        <w:t>182</w:t>
      </w:r>
      <w:r>
        <w:fldChar w:fldCharType="end"/>
      </w:r>
      <w:r>
        <w:rPr>
          <w:rFonts w:ascii="Times New Roman" w:hAnsi="Times New Roman" w:cs="Times New Roman"/>
          <w:szCs w:val="24"/>
          <w:shd w:val="clear" w:color="FFFFFF" w:fill="D9D9D9"/>
        </w:rPr>
        <w:fldChar w:fldCharType="end"/>
      </w:r>
    </w:p>
    <w:p>
      <w:pPr>
        <w:spacing w:line="360" w:lineRule="auto"/>
        <w:ind w:firstLine="0" w:firstLineChars="0"/>
        <w:jc w:val="center"/>
        <w:rPr>
          <w:rFonts w:ascii="Times New Roman" w:hAnsi="Times New Roman" w:cs="Times New Roman"/>
          <w:snapToGrid w:val="0"/>
          <w:sz w:val="24"/>
          <w:szCs w:val="21"/>
          <w:shd w:val="clear" w:color="FFFFFF" w:fill="D9D9D9"/>
        </w:rPr>
        <w:sectPr>
          <w:footerReference r:id="rId7" w:type="default"/>
          <w:pgSz w:w="11906" w:h="16838"/>
          <w:pgMar w:top="1497" w:right="1800" w:bottom="1497" w:left="1800" w:header="851" w:footer="992" w:gutter="0"/>
          <w:pgBorders>
            <w:top w:val="none" w:sz="0" w:space="0"/>
            <w:left w:val="none" w:sz="0" w:space="0"/>
            <w:bottom w:val="none" w:sz="0" w:space="0"/>
            <w:right w:val="none" w:sz="0" w:space="0"/>
          </w:pgBorders>
          <w:pgNumType w:fmt="upperRoman" w:start="1"/>
          <w:cols w:space="720" w:num="1"/>
          <w:docGrid w:linePitch="312" w:charSpace="0"/>
        </w:sectPr>
      </w:pPr>
      <w:r>
        <w:rPr>
          <w:rFonts w:ascii="Times New Roman" w:hAnsi="Times New Roman" w:cs="Times New Roman"/>
          <w:sz w:val="24"/>
          <w:szCs w:val="24"/>
          <w:shd w:val="clear" w:color="FFFFFF" w:fill="D9D9D9"/>
        </w:rPr>
        <w:fldChar w:fldCharType="end"/>
      </w:r>
    </w:p>
    <w:p>
      <w:pPr>
        <w:pStyle w:val="16"/>
        <w:rPr>
          <w:rFonts w:ascii="Times New Roman" w:hAnsi="Times New Roman" w:cs="Times New Roman"/>
        </w:rPr>
      </w:pPr>
      <w:bookmarkStart w:id="10" w:name="_Toc13778"/>
      <w:r>
        <w:rPr>
          <w:rFonts w:ascii="Times New Roman" w:hAnsi="Times New Roman" w:cs="Times New Roman"/>
        </w:rPr>
        <w:t>安全评价工作经过</w:t>
      </w:r>
      <w:bookmarkEnd w:id="10"/>
    </w:p>
    <w:p>
      <w:pPr>
        <w:pStyle w:val="3"/>
        <w:spacing w:before="156" w:after="156"/>
      </w:pPr>
      <w:bookmarkStart w:id="11" w:name="_Toc5623"/>
      <w:r>
        <w:t>评价目的</w:t>
      </w:r>
      <w:bookmarkEnd w:id="11"/>
    </w:p>
    <w:p>
      <w:pPr>
        <w:pStyle w:val="6"/>
        <w:numPr>
          <w:ilvl w:val="0"/>
          <w:numId w:val="3"/>
        </w:numPr>
        <w:ind w:firstLine="560"/>
        <w:rPr>
          <w:lang w:val="en-US"/>
        </w:rPr>
      </w:pPr>
      <w:r>
        <w:rPr>
          <w:lang w:val="en-US"/>
        </w:rPr>
        <w:t>贯彻</w:t>
      </w:r>
      <w:r>
        <w:rPr>
          <w:rFonts w:hint="eastAsia"/>
          <w:lang w:val="en-US"/>
        </w:rPr>
        <w:t>“</w:t>
      </w:r>
      <w:r>
        <w:rPr>
          <w:lang w:val="en-US"/>
        </w:rPr>
        <w:t>安全第一、预防为主、综合治理</w:t>
      </w:r>
      <w:r>
        <w:rPr>
          <w:rFonts w:hint="eastAsia"/>
          <w:lang w:val="en-US"/>
        </w:rPr>
        <w:t>”</w:t>
      </w:r>
      <w:r>
        <w:rPr>
          <w:lang w:val="en-US"/>
        </w:rPr>
        <w:t>的安全生产方针，确保石油化工总厂原油罐区分输分储改造工程项目的安全设施与主体工程同时设计、同时施工、同时投入生产和使用，保证项目建成后在安全方面符合国家有关法律、法规和标准、规范的要求。</w:t>
      </w:r>
    </w:p>
    <w:p>
      <w:pPr>
        <w:pStyle w:val="6"/>
        <w:numPr>
          <w:ilvl w:val="0"/>
          <w:numId w:val="3"/>
        </w:numPr>
        <w:ind w:firstLine="560"/>
        <w:rPr>
          <w:lang w:val="en-US"/>
        </w:rPr>
      </w:pPr>
      <w:bookmarkStart w:id="12" w:name="_Toc112572894"/>
      <w:r>
        <w:rPr>
          <w:lang w:val="en-US"/>
        </w:rPr>
        <w:t>通过对石油化工总厂原油罐区分输分储改造工程项目的环境条件、地理位置、生产工艺过程、物料介质、主要设备设施、作业场所和操作条件等进行调研、分析，辨识生产过程中可能存在的危险、有害因素的种类、分布及危险、危害程度。</w:t>
      </w:r>
    </w:p>
    <w:p>
      <w:pPr>
        <w:pStyle w:val="6"/>
        <w:numPr>
          <w:ilvl w:val="0"/>
          <w:numId w:val="3"/>
        </w:numPr>
        <w:ind w:firstLine="560"/>
        <w:rPr>
          <w:lang w:val="en-US"/>
        </w:rPr>
      </w:pPr>
      <w:r>
        <w:rPr>
          <w:lang w:val="en-US"/>
        </w:rPr>
        <w:t>通过对石油化工总厂原油罐区分输分储改造工程项目的评价，预测发生事故的可能性及其严重程度，提出科学、合理、可行的安全对策措施建议，做出安全评价结论。</w:t>
      </w:r>
    </w:p>
    <w:p>
      <w:pPr>
        <w:pStyle w:val="6"/>
        <w:numPr>
          <w:ilvl w:val="0"/>
          <w:numId w:val="3"/>
        </w:numPr>
        <w:ind w:firstLine="560"/>
        <w:rPr>
          <w:kern w:val="2"/>
          <w:szCs w:val="28"/>
          <w:lang w:val="en-US"/>
        </w:rPr>
      </w:pPr>
      <w:r>
        <w:rPr>
          <w:lang w:val="en-US"/>
        </w:rPr>
        <w:t>为建设单位安全生产管理系统化、标准化和科学化提供依据和条件，为应急管理部门实施监督提供参考依据，为建设项目初步设计提供依据。</w:t>
      </w:r>
    </w:p>
    <w:bookmarkEnd w:id="12"/>
    <w:p>
      <w:pPr>
        <w:pStyle w:val="3"/>
        <w:spacing w:before="156" w:after="156"/>
      </w:pPr>
      <w:bookmarkStart w:id="13" w:name="_Toc28254"/>
      <w:bookmarkStart w:id="14" w:name="_Toc509842587"/>
      <w:r>
        <w:t>评价依据</w:t>
      </w:r>
      <w:bookmarkEnd w:id="13"/>
      <w:bookmarkEnd w:id="14"/>
    </w:p>
    <w:p>
      <w:pPr>
        <w:pStyle w:val="6"/>
        <w:ind w:firstLine="560"/>
      </w:pPr>
      <w:r>
        <w:t>（1）有关法律、法规、规定。</w:t>
      </w:r>
    </w:p>
    <w:p>
      <w:pPr>
        <w:pStyle w:val="6"/>
        <w:ind w:firstLine="560"/>
      </w:pPr>
      <w:r>
        <w:t>（2）技术标准、规范。</w:t>
      </w:r>
    </w:p>
    <w:p>
      <w:pPr>
        <w:pStyle w:val="6"/>
        <w:ind w:firstLine="560"/>
      </w:pPr>
      <w:r>
        <w:t>（3）建设项目的有关技术文件、资料。</w:t>
      </w:r>
    </w:p>
    <w:p>
      <w:pPr>
        <w:pStyle w:val="6"/>
        <w:ind w:firstLine="560"/>
      </w:pPr>
      <w:r>
        <w:t>评价依据的详细目录参见附件4-评价依据。</w:t>
      </w:r>
    </w:p>
    <w:p>
      <w:pPr>
        <w:ind w:firstLine="560"/>
        <w:rPr>
          <w:rFonts w:ascii="Times New Roman" w:hAnsi="Times New Roman" w:cs="Times New Roman"/>
        </w:rPr>
      </w:pPr>
      <w:r>
        <w:rPr>
          <w:rFonts w:ascii="Times New Roman" w:hAnsi="Times New Roman" w:cs="Times New Roman"/>
        </w:rPr>
        <w:br w:type="page"/>
      </w:r>
    </w:p>
    <w:p>
      <w:pPr>
        <w:pStyle w:val="3"/>
        <w:spacing w:before="156" w:after="156"/>
      </w:pPr>
      <w:bookmarkStart w:id="15" w:name="_Toc1753"/>
      <w:r>
        <w:t>评价对象及范围</w:t>
      </w:r>
      <w:bookmarkEnd w:id="15"/>
    </w:p>
    <w:p>
      <w:pPr>
        <w:pStyle w:val="6"/>
        <w:ind w:firstLine="560"/>
      </w:pPr>
      <w:bookmarkStart w:id="16" w:name="_Toc99770416"/>
      <w:bookmarkStart w:id="17" w:name="_Toc98850072"/>
      <w:r>
        <w:t>根据该项目的实际情况，经与建设单位共同协商，本次评价对象为石油化工总厂原油罐区分输分储改造工程项目，评价范围为新建1台30000m³原油罐</w:t>
      </w:r>
      <w:r>
        <w:rPr>
          <w:lang w:val="en-US"/>
        </w:rPr>
        <w:t>G-106</w:t>
      </w:r>
      <w:r>
        <w:t>及配套设施，</w:t>
      </w:r>
      <w:r>
        <w:rPr>
          <w:lang w:val="en-US"/>
        </w:rPr>
        <w:t>具体</w:t>
      </w:r>
      <w:r>
        <w:t>评价范围见下表：</w:t>
      </w:r>
    </w:p>
    <w:p>
      <w:pPr>
        <w:pStyle w:val="23"/>
      </w:pPr>
      <w:r>
        <w:t>表</w:t>
      </w:r>
      <w:r>
        <w:rPr>
          <w:rFonts w:hint="eastAsia"/>
          <w:lang w:val="en-US"/>
        </w:rPr>
        <w:t>1.1</w:t>
      </w:r>
      <w:r>
        <w:t>-1  原油罐区分输分储改造工程内容一览表</w:t>
      </w:r>
    </w:p>
    <w:tbl>
      <w:tblPr>
        <w:tblStyle w:val="19"/>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009"/>
        <w:gridCol w:w="1949"/>
        <w:gridCol w:w="3646"/>
        <w:gridCol w:w="862"/>
        <w:gridCol w:w="8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Align w:val="center"/>
          </w:tcPr>
          <w:p>
            <w:pPr>
              <w:pStyle w:val="24"/>
              <w:rPr>
                <w:b/>
                <w:bCs/>
              </w:rPr>
            </w:pPr>
            <w:r>
              <w:rPr>
                <w:b/>
                <w:bCs/>
              </w:rPr>
              <w:t>类别</w:t>
            </w:r>
          </w:p>
        </w:tc>
        <w:tc>
          <w:tcPr>
            <w:tcW w:w="1169" w:type="pct"/>
            <w:vAlign w:val="center"/>
          </w:tcPr>
          <w:p>
            <w:pPr>
              <w:pStyle w:val="24"/>
              <w:rPr>
                <w:b/>
                <w:bCs/>
              </w:rPr>
            </w:pPr>
            <w:r>
              <w:rPr>
                <w:b/>
                <w:bCs/>
              </w:rPr>
              <w:t>系统单元</w:t>
            </w:r>
          </w:p>
        </w:tc>
        <w:tc>
          <w:tcPr>
            <w:tcW w:w="2187" w:type="pct"/>
            <w:vAlign w:val="center"/>
          </w:tcPr>
          <w:p>
            <w:pPr>
              <w:pStyle w:val="24"/>
              <w:rPr>
                <w:b/>
                <w:bCs/>
              </w:rPr>
            </w:pPr>
            <w:r>
              <w:rPr>
                <w:b/>
                <w:bCs/>
              </w:rPr>
              <w:t>说 明</w:t>
            </w:r>
          </w:p>
        </w:tc>
        <w:tc>
          <w:tcPr>
            <w:tcW w:w="517" w:type="pct"/>
            <w:vAlign w:val="center"/>
          </w:tcPr>
          <w:p>
            <w:pPr>
              <w:pStyle w:val="24"/>
              <w:rPr>
                <w:b/>
                <w:bCs/>
              </w:rPr>
            </w:pPr>
            <w:r>
              <w:rPr>
                <w:b/>
                <w:bCs/>
              </w:rPr>
              <w:t>备注</w:t>
            </w:r>
          </w:p>
        </w:tc>
        <w:tc>
          <w:tcPr>
            <w:tcW w:w="520" w:type="pct"/>
            <w:vAlign w:val="center"/>
          </w:tcPr>
          <w:p>
            <w:pPr>
              <w:pStyle w:val="24"/>
              <w:rPr>
                <w:b/>
                <w:bCs/>
              </w:rPr>
            </w:pPr>
            <w:r>
              <w:rPr>
                <w:b/>
                <w:bCs/>
              </w:rPr>
              <w:t>是否属于评价范围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restart"/>
            <w:vAlign w:val="center"/>
          </w:tcPr>
          <w:p>
            <w:pPr>
              <w:pStyle w:val="24"/>
            </w:pPr>
            <w:r>
              <w:rPr>
                <w:rFonts w:hint="eastAsia"/>
              </w:rPr>
              <w:t>储运设施</w:t>
            </w:r>
          </w:p>
        </w:tc>
        <w:tc>
          <w:tcPr>
            <w:tcW w:w="1169" w:type="pct"/>
            <w:vMerge w:val="restart"/>
            <w:vAlign w:val="center"/>
          </w:tcPr>
          <w:p>
            <w:pPr>
              <w:pStyle w:val="24"/>
            </w:pPr>
            <w:r>
              <w:rPr>
                <w:rFonts w:hint="eastAsia"/>
              </w:rPr>
              <w:t>原油储罐</w:t>
            </w:r>
          </w:p>
        </w:tc>
        <w:tc>
          <w:tcPr>
            <w:tcW w:w="2187" w:type="pct"/>
            <w:vAlign w:val="center"/>
          </w:tcPr>
          <w:p>
            <w:pPr>
              <w:pStyle w:val="24"/>
            </w:pPr>
            <w:r>
              <w:t>1台30000m³（Ф46000mm×20014mm）原油罐G-106（内浮顶）</w:t>
            </w:r>
          </w:p>
        </w:tc>
        <w:tc>
          <w:tcPr>
            <w:tcW w:w="517" w:type="pct"/>
            <w:vAlign w:val="center"/>
          </w:tcPr>
          <w:p>
            <w:pPr>
              <w:pStyle w:val="24"/>
            </w:pPr>
            <w:r>
              <w:t>新建</w:t>
            </w:r>
          </w:p>
        </w:tc>
        <w:tc>
          <w:tcPr>
            <w:tcW w:w="520" w:type="pct"/>
            <w:vAlign w:val="center"/>
          </w:tcPr>
          <w:p>
            <w:pPr>
              <w:pStyle w:val="24"/>
            </w:pPr>
            <w: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70" w:hRule="atLeast"/>
        </w:trPr>
        <w:tc>
          <w:tcPr>
            <w:tcW w:w="605" w:type="pct"/>
            <w:vMerge w:val="continue"/>
            <w:vAlign w:val="center"/>
          </w:tcPr>
          <w:p>
            <w:pPr>
              <w:pStyle w:val="24"/>
            </w:pPr>
          </w:p>
        </w:tc>
        <w:tc>
          <w:tcPr>
            <w:tcW w:w="1169" w:type="pct"/>
            <w:vMerge w:val="continue"/>
            <w:vAlign w:val="center"/>
          </w:tcPr>
          <w:p>
            <w:pPr>
              <w:pStyle w:val="24"/>
            </w:pPr>
          </w:p>
        </w:tc>
        <w:tc>
          <w:tcPr>
            <w:tcW w:w="2187" w:type="pct"/>
            <w:vAlign w:val="center"/>
          </w:tcPr>
          <w:p>
            <w:pPr>
              <w:pStyle w:val="24"/>
            </w:pPr>
            <w:r>
              <w:rPr>
                <w:rFonts w:hint="eastAsia"/>
              </w:rPr>
              <w:t>105#罐区</w:t>
            </w:r>
            <w:r>
              <w:t>防火堤</w:t>
            </w:r>
          </w:p>
        </w:tc>
        <w:tc>
          <w:tcPr>
            <w:tcW w:w="517" w:type="pct"/>
            <w:vAlign w:val="center"/>
          </w:tcPr>
          <w:p>
            <w:pPr>
              <w:pStyle w:val="24"/>
            </w:pPr>
            <w:r>
              <w:t>新建</w:t>
            </w:r>
          </w:p>
        </w:tc>
        <w:tc>
          <w:tcPr>
            <w:tcW w:w="520" w:type="pct"/>
            <w:vAlign w:val="center"/>
          </w:tcPr>
          <w:p>
            <w:pPr>
              <w:pStyle w:val="24"/>
            </w:pPr>
            <w: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Align w:val="center"/>
          </w:tcPr>
          <w:p>
            <w:pPr>
              <w:pStyle w:val="24"/>
            </w:pPr>
            <w:r>
              <w:rPr>
                <w:rFonts w:hint="eastAsia"/>
              </w:rPr>
              <w:t>管线</w:t>
            </w:r>
          </w:p>
        </w:tc>
        <w:tc>
          <w:tcPr>
            <w:tcW w:w="2187" w:type="pct"/>
            <w:vAlign w:val="center"/>
          </w:tcPr>
          <w:p>
            <w:pPr>
              <w:pStyle w:val="24"/>
            </w:pPr>
            <w:r>
              <w:rPr>
                <w:rFonts w:hint="eastAsia"/>
              </w:rPr>
              <w:t>本次改造涉及的工艺、辅助设施管线</w:t>
            </w:r>
            <w:r>
              <w:rPr>
                <w:rFonts w:hint="eastAsia"/>
                <w:color w:val="auto"/>
                <w:lang w:eastAsia="zh-CN"/>
              </w:rPr>
              <w:t>（</w:t>
            </w:r>
            <w:r>
              <w:rPr>
                <w:rFonts w:hint="eastAsia"/>
                <w:color w:val="auto"/>
                <w:lang w:val="en-US" w:eastAsia="zh-CN"/>
              </w:rPr>
              <w:t>均为厂内管线）</w:t>
            </w:r>
            <w:r>
              <w:rPr>
                <w:rFonts w:hint="eastAsia"/>
              </w:rPr>
              <w:t>，详见报告表2.5-2。</w:t>
            </w:r>
          </w:p>
        </w:tc>
        <w:tc>
          <w:tcPr>
            <w:tcW w:w="517" w:type="pct"/>
            <w:vAlign w:val="center"/>
          </w:tcPr>
          <w:p>
            <w:pPr>
              <w:pStyle w:val="24"/>
            </w:pPr>
            <w:r>
              <w:t>新建</w:t>
            </w:r>
          </w:p>
        </w:tc>
        <w:tc>
          <w:tcPr>
            <w:tcW w:w="520" w:type="pct"/>
            <w:vAlign w:val="center"/>
          </w:tcPr>
          <w:p>
            <w:pPr>
              <w:pStyle w:val="24"/>
            </w:pPr>
            <w: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Align w:val="center"/>
          </w:tcPr>
          <w:p>
            <w:pPr>
              <w:pStyle w:val="24"/>
              <w:rPr>
                <w:rFonts w:hint="default" w:eastAsia="宋体"/>
                <w:lang w:val="en-US" w:eastAsia="zh-CN"/>
              </w:rPr>
            </w:pPr>
            <w:r>
              <w:rPr>
                <w:rFonts w:hint="eastAsia"/>
                <w:lang w:val="en-US" w:eastAsia="zh-CN"/>
              </w:rPr>
              <w:t>卸车设施</w:t>
            </w:r>
          </w:p>
        </w:tc>
        <w:tc>
          <w:tcPr>
            <w:tcW w:w="2187" w:type="pct"/>
            <w:vAlign w:val="center"/>
          </w:tcPr>
          <w:p>
            <w:pPr>
              <w:pStyle w:val="24"/>
              <w:rPr>
                <w:rFonts w:hint="default" w:eastAsia="宋体"/>
                <w:lang w:val="en-US" w:eastAsia="zh-CN"/>
              </w:rPr>
            </w:pPr>
            <w:r>
              <w:rPr>
                <w:rFonts w:hint="eastAsia"/>
                <w:lang w:val="en-US" w:eastAsia="zh-CN"/>
              </w:rPr>
              <w:t>厂区北侧原油卸车设施</w:t>
            </w:r>
          </w:p>
        </w:tc>
        <w:tc>
          <w:tcPr>
            <w:tcW w:w="517" w:type="pct"/>
            <w:vAlign w:val="center"/>
          </w:tcPr>
          <w:p>
            <w:pPr>
              <w:pStyle w:val="24"/>
              <w:ind w:firstLine="0" w:firstLineChars="0"/>
              <w:rPr>
                <w:rFonts w:ascii="Times New Roman" w:hAnsi="Times New Roman" w:eastAsia="宋体" w:cs="Times New Roman"/>
                <w:color w:val="000000"/>
                <w:kern w:val="2"/>
                <w:sz w:val="21"/>
                <w:szCs w:val="21"/>
                <w:lang w:val="en-US" w:eastAsia="zh-CN" w:bidi="ar-SA"/>
              </w:rPr>
            </w:pPr>
            <w:r>
              <w:t>依托</w:t>
            </w:r>
          </w:p>
        </w:tc>
        <w:tc>
          <w:tcPr>
            <w:tcW w:w="520" w:type="pct"/>
            <w:vAlign w:val="center"/>
          </w:tcPr>
          <w:p>
            <w:pPr>
              <w:pStyle w:val="24"/>
              <w:ind w:firstLine="0" w:firstLineChars="0"/>
              <w:rPr>
                <w:rFonts w:ascii="Times New Roman" w:hAnsi="Times New Roman" w:eastAsia="宋体" w:cs="Times New Roman"/>
                <w:color w:val="000000"/>
                <w:kern w:val="2"/>
                <w:sz w:val="21"/>
                <w:szCs w:val="21"/>
                <w:lang w:val="en-US" w:eastAsia="zh-CN" w:bidi="ar-SA"/>
              </w:rPr>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Align w:val="center"/>
          </w:tcPr>
          <w:p>
            <w:pPr>
              <w:pStyle w:val="24"/>
            </w:pPr>
            <w:r>
              <w:rPr>
                <w:rFonts w:hint="eastAsia"/>
              </w:rPr>
              <w:t>泵</w:t>
            </w:r>
          </w:p>
        </w:tc>
        <w:tc>
          <w:tcPr>
            <w:tcW w:w="2187" w:type="pct"/>
            <w:vAlign w:val="center"/>
          </w:tcPr>
          <w:p>
            <w:pPr>
              <w:pStyle w:val="24"/>
            </w:pPr>
            <w:r>
              <w:rPr>
                <w:rFonts w:hint="eastAsia"/>
              </w:rPr>
              <w:t>储运</w:t>
            </w:r>
            <w:r>
              <w:t>一部泵房现有原油倒罐泵P-101、清</w:t>
            </w:r>
          </w:p>
          <w:p>
            <w:pPr>
              <w:pStyle w:val="24"/>
            </w:pPr>
            <w:r>
              <w:t>罐泵P-104</w:t>
            </w:r>
          </w:p>
        </w:tc>
        <w:tc>
          <w:tcPr>
            <w:tcW w:w="517" w:type="pct"/>
            <w:vAlign w:val="center"/>
          </w:tcPr>
          <w:p>
            <w:pPr>
              <w:pStyle w:val="24"/>
            </w:pPr>
            <w:r>
              <w:t>依托</w:t>
            </w:r>
          </w:p>
        </w:tc>
        <w:tc>
          <w:tcPr>
            <w:tcW w:w="520" w:type="pct"/>
            <w:vAlign w:val="center"/>
          </w:tcPr>
          <w:p>
            <w:pPr>
              <w:pStyle w:val="24"/>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restart"/>
            <w:vAlign w:val="center"/>
          </w:tcPr>
          <w:p>
            <w:pPr>
              <w:pStyle w:val="24"/>
            </w:pPr>
            <w:r>
              <w:t>公辅设施</w:t>
            </w:r>
          </w:p>
        </w:tc>
        <w:tc>
          <w:tcPr>
            <w:tcW w:w="1169" w:type="pct"/>
            <w:vMerge w:val="restart"/>
            <w:vAlign w:val="center"/>
          </w:tcPr>
          <w:p>
            <w:pPr>
              <w:pStyle w:val="24"/>
            </w:pPr>
            <w:r>
              <w:t>供配电</w:t>
            </w:r>
          </w:p>
        </w:tc>
        <w:tc>
          <w:tcPr>
            <w:tcW w:w="2187" w:type="pct"/>
            <w:vAlign w:val="center"/>
          </w:tcPr>
          <w:p>
            <w:pPr>
              <w:pStyle w:val="24"/>
            </w:pPr>
            <w:r>
              <w:t>厂区设有焦化变电所</w:t>
            </w:r>
          </w:p>
        </w:tc>
        <w:tc>
          <w:tcPr>
            <w:tcW w:w="517" w:type="pct"/>
            <w:vAlign w:val="center"/>
          </w:tcPr>
          <w:p>
            <w:pPr>
              <w:pStyle w:val="24"/>
            </w:pPr>
            <w:r>
              <w:t>依托</w:t>
            </w:r>
          </w:p>
        </w:tc>
        <w:tc>
          <w:tcPr>
            <w:tcW w:w="520" w:type="pct"/>
            <w:vAlign w:val="center"/>
          </w:tcPr>
          <w:p>
            <w:pPr>
              <w:pStyle w:val="24"/>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Merge w:val="continue"/>
            <w:vAlign w:val="center"/>
          </w:tcPr>
          <w:p>
            <w:pPr>
              <w:pStyle w:val="24"/>
            </w:pPr>
          </w:p>
        </w:tc>
        <w:tc>
          <w:tcPr>
            <w:tcW w:w="2187" w:type="pct"/>
            <w:vAlign w:val="center"/>
          </w:tcPr>
          <w:p>
            <w:pPr>
              <w:pStyle w:val="24"/>
            </w:pPr>
            <w:r>
              <w:rPr>
                <w:rFonts w:hint="eastAsia"/>
              </w:rPr>
              <w:t>新增2台低压配电柜，为本项目供电</w:t>
            </w:r>
          </w:p>
        </w:tc>
        <w:tc>
          <w:tcPr>
            <w:tcW w:w="517" w:type="pct"/>
            <w:vAlign w:val="center"/>
          </w:tcPr>
          <w:p>
            <w:pPr>
              <w:pStyle w:val="24"/>
            </w:pPr>
            <w:r>
              <w:t>新建</w:t>
            </w:r>
          </w:p>
        </w:tc>
        <w:tc>
          <w:tcPr>
            <w:tcW w:w="520" w:type="pct"/>
            <w:vAlign w:val="center"/>
          </w:tcPr>
          <w:p>
            <w:pPr>
              <w:pStyle w:val="24"/>
            </w:pPr>
            <w: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Align w:val="center"/>
          </w:tcPr>
          <w:p>
            <w:pPr>
              <w:pStyle w:val="24"/>
            </w:pPr>
            <w:r>
              <w:t>给排水</w:t>
            </w:r>
          </w:p>
        </w:tc>
        <w:tc>
          <w:tcPr>
            <w:tcW w:w="2187" w:type="pct"/>
            <w:vAlign w:val="center"/>
          </w:tcPr>
          <w:p>
            <w:pPr>
              <w:pStyle w:val="24"/>
            </w:pPr>
            <w:r>
              <w:t>厂区现有生产给水系统、消防给水系统、排水系统等</w:t>
            </w:r>
          </w:p>
        </w:tc>
        <w:tc>
          <w:tcPr>
            <w:tcW w:w="517" w:type="pct"/>
            <w:vAlign w:val="center"/>
          </w:tcPr>
          <w:p>
            <w:pPr>
              <w:pStyle w:val="24"/>
            </w:pPr>
            <w:r>
              <w:t>依托</w:t>
            </w:r>
          </w:p>
        </w:tc>
        <w:tc>
          <w:tcPr>
            <w:tcW w:w="520" w:type="pct"/>
            <w:vAlign w:val="center"/>
          </w:tcPr>
          <w:p>
            <w:pPr>
              <w:pStyle w:val="24"/>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514" w:hRule="atLeast"/>
        </w:trPr>
        <w:tc>
          <w:tcPr>
            <w:tcW w:w="605" w:type="pct"/>
            <w:vMerge w:val="continue"/>
            <w:vAlign w:val="center"/>
          </w:tcPr>
          <w:p>
            <w:pPr>
              <w:pStyle w:val="24"/>
            </w:pPr>
          </w:p>
        </w:tc>
        <w:tc>
          <w:tcPr>
            <w:tcW w:w="1169" w:type="pct"/>
            <w:vMerge w:val="restart"/>
            <w:vAlign w:val="center"/>
          </w:tcPr>
          <w:p>
            <w:pPr>
              <w:pStyle w:val="24"/>
            </w:pPr>
            <w:r>
              <w:t>消防</w:t>
            </w:r>
          </w:p>
        </w:tc>
        <w:tc>
          <w:tcPr>
            <w:tcW w:w="2187" w:type="pct"/>
            <w:vAlign w:val="center"/>
          </w:tcPr>
          <w:p>
            <w:pPr>
              <w:pStyle w:val="24"/>
            </w:pPr>
            <w:r>
              <w:t>厂区内现有消防站、气防站</w:t>
            </w:r>
            <w:r>
              <w:rPr>
                <w:rFonts w:hint="eastAsia"/>
              </w:rPr>
              <w:t>、消防栓等</w:t>
            </w:r>
          </w:p>
        </w:tc>
        <w:tc>
          <w:tcPr>
            <w:tcW w:w="517" w:type="pct"/>
            <w:vAlign w:val="center"/>
          </w:tcPr>
          <w:p>
            <w:pPr>
              <w:pStyle w:val="24"/>
            </w:pPr>
            <w:r>
              <w:t>依托</w:t>
            </w:r>
          </w:p>
        </w:tc>
        <w:tc>
          <w:tcPr>
            <w:tcW w:w="520" w:type="pct"/>
            <w:vAlign w:val="center"/>
          </w:tcPr>
          <w:p>
            <w:pPr>
              <w:pStyle w:val="24"/>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Merge w:val="continue"/>
            <w:vAlign w:val="center"/>
          </w:tcPr>
          <w:p>
            <w:pPr>
              <w:pStyle w:val="24"/>
            </w:pPr>
          </w:p>
        </w:tc>
        <w:tc>
          <w:tcPr>
            <w:tcW w:w="2187" w:type="pct"/>
            <w:vAlign w:val="center"/>
          </w:tcPr>
          <w:p>
            <w:pPr>
              <w:pStyle w:val="24"/>
            </w:pPr>
            <w:r>
              <w:t>1座泡沫站</w:t>
            </w:r>
            <w:r>
              <w:rPr>
                <w:rFonts w:hint="eastAsia"/>
              </w:rPr>
              <w:t>（包括1套平衡压力式泡沫比例混合装置、2台泡沫液储罐）</w:t>
            </w:r>
          </w:p>
        </w:tc>
        <w:tc>
          <w:tcPr>
            <w:tcW w:w="517" w:type="pct"/>
            <w:vAlign w:val="center"/>
          </w:tcPr>
          <w:p>
            <w:pPr>
              <w:pStyle w:val="24"/>
            </w:pPr>
            <w:r>
              <w:t>新建</w:t>
            </w:r>
          </w:p>
        </w:tc>
        <w:tc>
          <w:tcPr>
            <w:tcW w:w="520" w:type="pct"/>
            <w:vAlign w:val="center"/>
          </w:tcPr>
          <w:p>
            <w:pPr>
              <w:pStyle w:val="24"/>
            </w:pPr>
            <w: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Align w:val="center"/>
          </w:tcPr>
          <w:p>
            <w:pPr>
              <w:pStyle w:val="24"/>
            </w:pPr>
            <w:r>
              <w:t>电信</w:t>
            </w:r>
          </w:p>
        </w:tc>
        <w:tc>
          <w:tcPr>
            <w:tcW w:w="2187" w:type="pct"/>
            <w:vAlign w:val="center"/>
          </w:tcPr>
          <w:p>
            <w:pPr>
              <w:pStyle w:val="24"/>
            </w:pPr>
            <w:r>
              <w:t>G-106储罐及泡沫站的无线通信系统、广播系统、电视监视系统、火灾自动报警系统、消防控制系统及电信线路</w:t>
            </w:r>
          </w:p>
        </w:tc>
        <w:tc>
          <w:tcPr>
            <w:tcW w:w="517" w:type="pct"/>
            <w:vAlign w:val="center"/>
          </w:tcPr>
          <w:p>
            <w:pPr>
              <w:pStyle w:val="24"/>
            </w:pPr>
            <w:r>
              <w:t>新建</w:t>
            </w:r>
          </w:p>
        </w:tc>
        <w:tc>
          <w:tcPr>
            <w:tcW w:w="520" w:type="pct"/>
            <w:vAlign w:val="center"/>
          </w:tcPr>
          <w:p>
            <w:pPr>
              <w:pStyle w:val="24"/>
            </w:pPr>
            <w: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Align w:val="center"/>
          </w:tcPr>
          <w:p>
            <w:pPr>
              <w:pStyle w:val="24"/>
            </w:pPr>
            <w:r>
              <w:rPr>
                <w:rFonts w:hint="eastAsia"/>
              </w:rPr>
              <w:t>供气</w:t>
            </w:r>
          </w:p>
        </w:tc>
        <w:tc>
          <w:tcPr>
            <w:tcW w:w="2187" w:type="pct"/>
            <w:vAlign w:val="center"/>
          </w:tcPr>
          <w:p>
            <w:pPr>
              <w:pStyle w:val="24"/>
            </w:pPr>
            <w:r>
              <w:t>厂区现有空压站、氮气站</w:t>
            </w:r>
            <w:r>
              <w:rPr>
                <w:rFonts w:hint="eastAsia"/>
              </w:rPr>
              <w:t>及供气管网</w:t>
            </w:r>
          </w:p>
        </w:tc>
        <w:tc>
          <w:tcPr>
            <w:tcW w:w="517" w:type="pct"/>
            <w:vAlign w:val="center"/>
          </w:tcPr>
          <w:p>
            <w:pPr>
              <w:pStyle w:val="24"/>
            </w:pPr>
            <w:r>
              <w:t>依托</w:t>
            </w:r>
          </w:p>
        </w:tc>
        <w:tc>
          <w:tcPr>
            <w:tcW w:w="520" w:type="pct"/>
            <w:vAlign w:val="center"/>
          </w:tcPr>
          <w:p>
            <w:pPr>
              <w:pStyle w:val="24"/>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913" w:hRule="atLeast"/>
        </w:trPr>
        <w:tc>
          <w:tcPr>
            <w:tcW w:w="605" w:type="pct"/>
            <w:vMerge w:val="continue"/>
            <w:vAlign w:val="center"/>
          </w:tcPr>
          <w:p>
            <w:pPr>
              <w:pStyle w:val="24"/>
            </w:pPr>
          </w:p>
        </w:tc>
        <w:tc>
          <w:tcPr>
            <w:tcW w:w="1169" w:type="pct"/>
            <w:vMerge w:val="restart"/>
            <w:vAlign w:val="center"/>
          </w:tcPr>
          <w:p>
            <w:pPr>
              <w:pStyle w:val="24"/>
            </w:pPr>
            <w:r>
              <w:rPr>
                <w:rFonts w:hint="eastAsia"/>
              </w:rPr>
              <w:t>自动控制</w:t>
            </w:r>
          </w:p>
        </w:tc>
        <w:tc>
          <w:tcPr>
            <w:tcW w:w="2187" w:type="pct"/>
            <w:vAlign w:val="center"/>
          </w:tcPr>
          <w:p>
            <w:pPr>
              <w:pStyle w:val="24"/>
            </w:pPr>
            <w:r>
              <w:t>油品储运控制室（仪表维修间、仪表值班室、UPS室、软件室、机柜室、控制室、值班室等）</w:t>
            </w:r>
          </w:p>
        </w:tc>
        <w:tc>
          <w:tcPr>
            <w:tcW w:w="517" w:type="pct"/>
            <w:vAlign w:val="center"/>
          </w:tcPr>
          <w:p>
            <w:pPr>
              <w:pStyle w:val="24"/>
            </w:pPr>
            <w:r>
              <w:t>依托</w:t>
            </w:r>
          </w:p>
        </w:tc>
        <w:tc>
          <w:tcPr>
            <w:tcW w:w="520" w:type="pct"/>
            <w:vAlign w:val="center"/>
          </w:tcPr>
          <w:p>
            <w:pPr>
              <w:pStyle w:val="24"/>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Merge w:val="continue"/>
            <w:vAlign w:val="center"/>
          </w:tcPr>
          <w:p>
            <w:pPr>
              <w:pStyle w:val="24"/>
            </w:pPr>
          </w:p>
        </w:tc>
        <w:tc>
          <w:tcPr>
            <w:tcW w:w="2187" w:type="pct"/>
            <w:vAlign w:val="center"/>
          </w:tcPr>
          <w:p>
            <w:pPr>
              <w:pStyle w:val="24"/>
            </w:pPr>
            <w:r>
              <w:t>油品储运控制室现有分散控制系统（DCS）、安全仪表系统（SIS）</w:t>
            </w:r>
          </w:p>
        </w:tc>
        <w:tc>
          <w:tcPr>
            <w:tcW w:w="517" w:type="pct"/>
            <w:vAlign w:val="center"/>
          </w:tcPr>
          <w:p>
            <w:pPr>
              <w:pStyle w:val="24"/>
            </w:pPr>
            <w:r>
              <w:t>依托</w:t>
            </w:r>
          </w:p>
        </w:tc>
        <w:tc>
          <w:tcPr>
            <w:tcW w:w="520" w:type="pct"/>
            <w:vAlign w:val="center"/>
          </w:tcPr>
          <w:p>
            <w:pPr>
              <w:pStyle w:val="24"/>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3" w:hRule="atLeast"/>
        </w:trPr>
        <w:tc>
          <w:tcPr>
            <w:tcW w:w="605" w:type="pct"/>
            <w:vMerge w:val="continue"/>
            <w:vAlign w:val="center"/>
          </w:tcPr>
          <w:p>
            <w:pPr>
              <w:pStyle w:val="24"/>
            </w:pPr>
          </w:p>
        </w:tc>
        <w:tc>
          <w:tcPr>
            <w:tcW w:w="1169" w:type="pct"/>
            <w:vMerge w:val="continue"/>
            <w:vAlign w:val="center"/>
          </w:tcPr>
          <w:p>
            <w:pPr>
              <w:pStyle w:val="24"/>
            </w:pPr>
          </w:p>
        </w:tc>
        <w:tc>
          <w:tcPr>
            <w:tcW w:w="2187" w:type="pct"/>
            <w:vAlign w:val="center"/>
          </w:tcPr>
          <w:p>
            <w:pPr>
              <w:pStyle w:val="24"/>
            </w:pPr>
            <w:r>
              <w:rPr>
                <w:rFonts w:hint="eastAsia"/>
              </w:rPr>
              <w:t>1</w:t>
            </w:r>
            <w:r>
              <w:t>套可燃和有毒气体检测报警系统（GDS）</w:t>
            </w:r>
          </w:p>
        </w:tc>
        <w:tc>
          <w:tcPr>
            <w:tcW w:w="517" w:type="pct"/>
            <w:vAlign w:val="center"/>
          </w:tcPr>
          <w:p>
            <w:pPr>
              <w:pStyle w:val="24"/>
            </w:pPr>
            <w:r>
              <w:t>新建</w:t>
            </w:r>
          </w:p>
        </w:tc>
        <w:tc>
          <w:tcPr>
            <w:tcW w:w="520" w:type="pct"/>
            <w:vAlign w:val="center"/>
          </w:tcPr>
          <w:p>
            <w:pPr>
              <w:pStyle w:val="24"/>
            </w:pPr>
            <w:r>
              <w:t>是</w:t>
            </w:r>
          </w:p>
        </w:tc>
      </w:tr>
      <w:bookmarkEnd w:id="16"/>
      <w:bookmarkEnd w:id="17"/>
    </w:tbl>
    <w:p>
      <w:pPr>
        <w:pStyle w:val="6"/>
        <w:spacing w:before="156" w:beforeLines="50"/>
        <w:ind w:firstLine="560"/>
      </w:pPr>
      <w:r>
        <w:t>依托设施不在本次评价范围内，本次评价仅对依托设施的符合性和安全可靠性进行描述判定，对其匹配性进行分析。</w:t>
      </w:r>
    </w:p>
    <w:p>
      <w:pPr>
        <w:pStyle w:val="6"/>
        <w:ind w:firstLine="560"/>
      </w:pPr>
      <w:r>
        <w:t>凡涉及项目的环保问题、职业卫生评价、生活设施、项目界区外的运输及输送等，应执行国家有关规定和相关标准，不在本评价范围之内。同一厂区内的其他生产装置及配套设施不在本次评价范围。</w:t>
      </w:r>
    </w:p>
    <w:p>
      <w:pPr>
        <w:pStyle w:val="3"/>
        <w:spacing w:before="156" w:after="156"/>
      </w:pPr>
      <w:bookmarkStart w:id="18" w:name="_Toc29640"/>
      <w:r>
        <w:t>工作经过和程序</w:t>
      </w:r>
      <w:bookmarkEnd w:id="18"/>
    </w:p>
    <w:p>
      <w:pPr>
        <w:pStyle w:val="4"/>
        <w:spacing w:before="62" w:after="62"/>
      </w:pPr>
      <w:r>
        <w:t>1.4.1 前期准备</w:t>
      </w:r>
    </w:p>
    <w:p>
      <w:pPr>
        <w:pStyle w:val="6"/>
        <w:ind w:firstLine="560"/>
      </w:pPr>
      <w:r>
        <w:t>根据该项目的实际情况，与建设单位共同协商确定安全评价对象和范围。在充分调查研究安全评价对象和范围相关情况后，收集、整理安全评价所需要的各种文件、资料和数据。</w:t>
      </w:r>
    </w:p>
    <w:p>
      <w:pPr>
        <w:pStyle w:val="4"/>
        <w:spacing w:before="62" w:after="62"/>
      </w:pPr>
      <w:r>
        <w:t>1.4.2 安全评价</w:t>
      </w:r>
    </w:p>
    <w:p>
      <w:pPr>
        <w:pStyle w:val="6"/>
        <w:ind w:firstLine="560"/>
      </w:pPr>
      <w:r>
        <w:t>（1）辨识危险、有害因素</w:t>
      </w:r>
    </w:p>
    <w:p>
      <w:pPr>
        <w:pStyle w:val="6"/>
        <w:ind w:firstLine="560"/>
      </w:pPr>
      <w:r>
        <w:t>运用危险、有害因素辨识的科学方法，辨识该项目可能造成爆炸、火灾、中毒等事故的危险、有害因素及其分布。分析该项目可能造成作业人员伤亡的其它危险、有害因素及其分布。</w:t>
      </w:r>
    </w:p>
    <w:p>
      <w:pPr>
        <w:pStyle w:val="6"/>
        <w:ind w:firstLine="560"/>
      </w:pPr>
      <w:r>
        <w:t>（2）划分评价单元</w:t>
      </w:r>
    </w:p>
    <w:p>
      <w:pPr>
        <w:pStyle w:val="6"/>
        <w:ind w:firstLine="560"/>
      </w:pPr>
      <w:r>
        <w:t>根据建设项目的实际情况和安全评价的需要，将外部安全条件及总平面布置、储运、公用工程及辅助设施划分为评价单元。</w:t>
      </w:r>
    </w:p>
    <w:p>
      <w:pPr>
        <w:pStyle w:val="6"/>
        <w:ind w:firstLine="560"/>
      </w:pPr>
      <w:r>
        <w:t>（3）确定安全评价方法</w:t>
      </w:r>
    </w:p>
    <w:p>
      <w:pPr>
        <w:pStyle w:val="6"/>
        <w:ind w:firstLine="560"/>
      </w:pPr>
      <w:r>
        <w:t>选择国际、国内通行的安全评价方法。</w:t>
      </w:r>
    </w:p>
    <w:p>
      <w:pPr>
        <w:pStyle w:val="6"/>
        <w:ind w:firstLine="560"/>
      </w:pPr>
      <w:r>
        <w:t>（4）定性、定量分析危险、危害程度</w:t>
      </w:r>
    </w:p>
    <w:p>
      <w:pPr>
        <w:pStyle w:val="6"/>
        <w:ind w:firstLine="560"/>
      </w:pPr>
      <w:r>
        <w:t>（5）分析安全条件和安全生产条件</w:t>
      </w:r>
    </w:p>
    <w:p>
      <w:pPr>
        <w:pStyle w:val="6"/>
        <w:ind w:firstLine="560"/>
      </w:pPr>
      <w:r>
        <w:t>（6）提出安全对策措施与建议</w:t>
      </w:r>
    </w:p>
    <w:p>
      <w:pPr>
        <w:pStyle w:val="6"/>
        <w:ind w:firstLine="560"/>
      </w:pPr>
      <w:r>
        <w:t>（7）整理、归纳安全评价结论</w:t>
      </w:r>
    </w:p>
    <w:p>
      <w:pPr>
        <w:ind w:firstLine="560"/>
        <w:rPr>
          <w:rFonts w:ascii="Times New Roman" w:hAnsi="Times New Roman" w:cs="Times New Roman"/>
        </w:rPr>
      </w:pPr>
      <w:r>
        <w:rPr>
          <w:rFonts w:ascii="Times New Roman" w:hAnsi="Times New Roman" w:cs="Times New Roman"/>
        </w:rPr>
        <w:br w:type="page"/>
      </w:r>
    </w:p>
    <w:p>
      <w:pPr>
        <w:pStyle w:val="4"/>
        <w:spacing w:before="62" w:after="62"/>
      </w:pPr>
      <w:r>
        <w:t>1.4.3 与建设单位交换意见</w:t>
      </w:r>
    </w:p>
    <w:p>
      <w:pPr>
        <w:pStyle w:val="6"/>
        <w:ind w:firstLine="560"/>
      </w:pPr>
      <w:r>
        <w:t>评价机构就该项目安全评价中各个方面的情况，与建设单位反复、充分交换意见。</w:t>
      </w:r>
    </w:p>
    <w:p>
      <w:pPr>
        <w:pStyle w:val="4"/>
        <w:spacing w:before="62" w:after="62"/>
      </w:pPr>
      <w:r>
        <w:t>1.4.4 编制安全评价报告</w:t>
      </w:r>
    </w:p>
    <w:p>
      <w:pPr>
        <w:pStyle w:val="6"/>
        <w:ind w:firstLine="560"/>
      </w:pPr>
      <w:r>
        <w:t>具体评价程序见下图：</w:t>
      </w: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r>
        <mc:AlternateContent>
          <mc:Choice Requires="wpg">
            <w:drawing>
              <wp:anchor distT="0" distB="0" distL="114300" distR="114300" simplePos="0" relativeHeight="251659264" behindDoc="0" locked="0" layoutInCell="1" allowOverlap="1">
                <wp:simplePos x="0" y="0"/>
                <wp:positionH relativeFrom="column">
                  <wp:posOffset>1078865</wp:posOffset>
                </wp:positionH>
                <wp:positionV relativeFrom="paragraph">
                  <wp:posOffset>139065</wp:posOffset>
                </wp:positionV>
                <wp:extent cx="2776220" cy="4829175"/>
                <wp:effectExtent l="0" t="0" r="24130" b="28575"/>
                <wp:wrapNone/>
                <wp:docPr id="24" name="组合 24"/>
                <wp:cNvGraphicFramePr/>
                <a:graphic xmlns:a="http://schemas.openxmlformats.org/drawingml/2006/main">
                  <a:graphicData uri="http://schemas.microsoft.com/office/word/2010/wordprocessingGroup">
                    <wpg:wgp>
                      <wpg:cNvGrpSpPr/>
                      <wpg:grpSpPr>
                        <a:xfrm>
                          <a:off x="0" y="0"/>
                          <a:ext cx="2776220" cy="4829175"/>
                          <a:chOff x="0" y="90"/>
                          <a:chExt cx="3435" cy="7843"/>
                        </a:xfrm>
                      </wpg:grpSpPr>
                      <wpg:grpSp>
                        <wpg:cNvPr id="35" name="组合 35"/>
                        <wpg:cNvGrpSpPr/>
                        <wpg:grpSpPr>
                          <a:xfrm>
                            <a:off x="0" y="90"/>
                            <a:ext cx="3435" cy="7843"/>
                            <a:chOff x="0" y="90"/>
                            <a:chExt cx="3435" cy="7843"/>
                          </a:xfrm>
                        </wpg:grpSpPr>
                        <wps:wsp>
                          <wps:cNvPr id="25" name="矩形 20"/>
                          <wps:cNvSpPr/>
                          <wps:spPr>
                            <a:xfrm>
                              <a:off x="15" y="90"/>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前期准备</w:t>
                                </w:r>
                              </w:p>
                            </w:txbxContent>
                          </wps:txbx>
                          <wps:bodyPr upright="1"/>
                        </wps:wsp>
                        <wps:wsp>
                          <wps:cNvPr id="26" name="直接连接符 21"/>
                          <wps:cNvCnPr/>
                          <wps:spPr>
                            <a:xfrm>
                              <a:off x="1815" y="533"/>
                              <a:ext cx="0" cy="378"/>
                            </a:xfrm>
                            <a:prstGeom prst="line">
                              <a:avLst/>
                            </a:prstGeom>
                            <a:ln w="9525" cap="flat" cmpd="sng">
                              <a:solidFill>
                                <a:srgbClr val="000000"/>
                              </a:solidFill>
                              <a:prstDash val="solid"/>
                              <a:headEnd type="none" w="med" len="med"/>
                              <a:tailEnd type="triangle" w="med" len="med"/>
                            </a:ln>
                          </wps:spPr>
                          <wps:bodyPr/>
                        </wps:wsp>
                        <wps:wsp>
                          <wps:cNvPr id="27" name="矩形 22"/>
                          <wps:cNvSpPr/>
                          <wps:spPr>
                            <a:xfrm>
                              <a:off x="0" y="917"/>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辨识与分析危险、有害因素</w:t>
                                </w:r>
                              </w:p>
                            </w:txbxContent>
                          </wps:txbx>
                          <wps:bodyPr upright="1"/>
                        </wps:wsp>
                        <wps:wsp>
                          <wps:cNvPr id="28" name="矩形 23"/>
                          <wps:cNvSpPr/>
                          <wps:spPr>
                            <a:xfrm>
                              <a:off x="0" y="2789"/>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确定评价方法</w:t>
                                </w:r>
                              </w:p>
                            </w:txbxContent>
                          </wps:txbx>
                          <wps:bodyPr upright="1"/>
                        </wps:wsp>
                        <wps:wsp>
                          <wps:cNvPr id="29" name="矩形 24"/>
                          <wps:cNvSpPr/>
                          <wps:spPr>
                            <a:xfrm>
                              <a:off x="0" y="3725"/>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定性、定量分析危险、有害程度</w:t>
                                </w:r>
                              </w:p>
                            </w:txbxContent>
                          </wps:txbx>
                          <wps:bodyPr upright="1"/>
                        </wps:wsp>
                        <wps:wsp>
                          <wps:cNvPr id="30" name="矩形 25"/>
                          <wps:cNvSpPr/>
                          <wps:spPr>
                            <a:xfrm>
                              <a:off x="0" y="4661"/>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提出安全对策措施建议</w:t>
                                </w:r>
                              </w:p>
                            </w:txbxContent>
                          </wps:txbx>
                          <wps:bodyPr upright="1"/>
                        </wps:wsp>
                        <wps:wsp>
                          <wps:cNvPr id="31" name="矩形 26"/>
                          <wps:cNvSpPr/>
                          <wps:spPr>
                            <a:xfrm>
                              <a:off x="15" y="7465"/>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编制建设项目安全条件评价报告</w:t>
                                </w:r>
                              </w:p>
                            </w:txbxContent>
                          </wps:txbx>
                          <wps:bodyPr upright="1"/>
                        </wps:wsp>
                        <wps:wsp>
                          <wps:cNvPr id="32" name="直接连接符 27"/>
                          <wps:cNvCnPr/>
                          <wps:spPr>
                            <a:xfrm>
                              <a:off x="1800" y="1385"/>
                              <a:ext cx="0" cy="468"/>
                            </a:xfrm>
                            <a:prstGeom prst="line">
                              <a:avLst/>
                            </a:prstGeom>
                            <a:ln w="9525" cap="flat" cmpd="sng">
                              <a:solidFill>
                                <a:srgbClr val="000000"/>
                              </a:solidFill>
                              <a:prstDash val="solid"/>
                              <a:headEnd type="none" w="med" len="med"/>
                              <a:tailEnd type="triangle" w="med" len="med"/>
                            </a:ln>
                          </wps:spPr>
                          <wps:bodyPr/>
                        </wps:wsp>
                        <wps:wsp>
                          <wps:cNvPr id="33" name="直接连接符 28"/>
                          <wps:cNvCnPr/>
                          <wps:spPr>
                            <a:xfrm>
                              <a:off x="1800" y="4193"/>
                              <a:ext cx="0" cy="468"/>
                            </a:xfrm>
                            <a:prstGeom prst="line">
                              <a:avLst/>
                            </a:prstGeom>
                            <a:ln w="9525" cap="flat" cmpd="sng">
                              <a:solidFill>
                                <a:srgbClr val="000000"/>
                              </a:solidFill>
                              <a:prstDash val="solid"/>
                              <a:headEnd type="none" w="med" len="med"/>
                              <a:tailEnd type="triangle" w="med" len="med"/>
                            </a:ln>
                          </wps:spPr>
                          <wps:bodyPr/>
                        </wps:wsp>
                        <wps:wsp>
                          <wps:cNvPr id="34" name="直接连接符 29"/>
                          <wps:cNvCnPr/>
                          <wps:spPr>
                            <a:xfrm>
                              <a:off x="1800" y="6965"/>
                              <a:ext cx="0" cy="468"/>
                            </a:xfrm>
                            <a:prstGeom prst="line">
                              <a:avLst/>
                            </a:prstGeom>
                            <a:ln w="9525" cap="flat" cmpd="sng">
                              <a:solidFill>
                                <a:srgbClr val="000000"/>
                              </a:solidFill>
                              <a:prstDash val="solid"/>
                              <a:headEnd type="none" w="med" len="med"/>
                              <a:tailEnd type="triangle" w="med" len="med"/>
                            </a:ln>
                          </wps:spPr>
                          <wps:bodyPr/>
                        </wps:wsp>
                        <wps:wsp>
                          <wps:cNvPr id="36" name="直接连接符 30"/>
                          <wps:cNvCnPr/>
                          <wps:spPr>
                            <a:xfrm>
                              <a:off x="1800" y="2321"/>
                              <a:ext cx="0" cy="468"/>
                            </a:xfrm>
                            <a:prstGeom prst="line">
                              <a:avLst/>
                            </a:prstGeom>
                            <a:ln w="9525" cap="flat" cmpd="sng">
                              <a:solidFill>
                                <a:srgbClr val="000000"/>
                              </a:solidFill>
                              <a:prstDash val="solid"/>
                              <a:headEnd type="none" w="med" len="med"/>
                              <a:tailEnd type="triangle" w="med" len="med"/>
                            </a:ln>
                          </wps:spPr>
                          <wps:bodyPr/>
                        </wps:wsp>
                        <wps:wsp>
                          <wps:cNvPr id="37" name="直接连接符 31"/>
                          <wps:cNvCnPr/>
                          <wps:spPr>
                            <a:xfrm>
                              <a:off x="1800" y="3257"/>
                              <a:ext cx="0" cy="468"/>
                            </a:xfrm>
                            <a:prstGeom prst="line">
                              <a:avLst/>
                            </a:prstGeom>
                            <a:ln w="9525" cap="flat" cmpd="sng">
                              <a:solidFill>
                                <a:srgbClr val="000000"/>
                              </a:solidFill>
                              <a:prstDash val="solid"/>
                              <a:headEnd type="none" w="med" len="med"/>
                              <a:tailEnd type="triangle" w="med" len="med"/>
                            </a:ln>
                          </wps:spPr>
                          <wps:bodyPr/>
                        </wps:wsp>
                        <wps:wsp>
                          <wps:cNvPr id="38" name="矩形 32"/>
                          <wps:cNvSpPr/>
                          <wps:spPr>
                            <a:xfrm>
                              <a:off x="0" y="1853"/>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划分评价单元</w:t>
                                </w:r>
                              </w:p>
                            </w:txbxContent>
                          </wps:txbx>
                          <wps:bodyPr upright="1"/>
                        </wps:wsp>
                        <wps:wsp>
                          <wps:cNvPr id="39" name="矩形 33"/>
                          <wps:cNvSpPr/>
                          <wps:spPr>
                            <a:xfrm>
                              <a:off x="0" y="5597"/>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整理、归纳评价结论</w:t>
                                </w:r>
                              </w:p>
                              <w:p>
                                <w:pPr>
                                  <w:ind w:firstLine="0" w:firstLineChars="0"/>
                                  <w:jc w:val="center"/>
                                  <w:rPr>
                                    <w:sz w:val="21"/>
                                  </w:rPr>
                                </w:pPr>
                              </w:p>
                            </w:txbxContent>
                          </wps:txbx>
                          <wps:bodyPr upright="1"/>
                        </wps:wsp>
                        <wps:wsp>
                          <wps:cNvPr id="40" name="直接连接符 34"/>
                          <wps:cNvCnPr/>
                          <wps:spPr>
                            <a:xfrm>
                              <a:off x="1800" y="5129"/>
                              <a:ext cx="0" cy="468"/>
                            </a:xfrm>
                            <a:prstGeom prst="line">
                              <a:avLst/>
                            </a:prstGeom>
                            <a:ln w="9525" cap="flat" cmpd="sng">
                              <a:solidFill>
                                <a:srgbClr val="000000"/>
                              </a:solidFill>
                              <a:prstDash val="solid"/>
                              <a:headEnd type="none" w="med" len="med"/>
                              <a:tailEnd type="triangle" w="med" len="med"/>
                            </a:ln>
                          </wps:spPr>
                          <wps:bodyPr/>
                        </wps:wsp>
                      </wpg:grpSp>
                      <wps:wsp>
                        <wps:cNvPr id="41" name="矩形 36"/>
                        <wps:cNvSpPr/>
                        <wps:spPr>
                          <a:xfrm>
                            <a:off x="0" y="6548"/>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jc w:val="center"/>
                                <w:rPr>
                                  <w:sz w:val="21"/>
                                </w:rPr>
                              </w:pPr>
                              <w:r>
                                <w:rPr>
                                  <w:rFonts w:hint="eastAsia"/>
                                  <w:sz w:val="21"/>
                                </w:rPr>
                                <w:t>与建设单位交换意见</w:t>
                              </w:r>
                            </w:p>
                          </w:txbxContent>
                        </wps:txbx>
                        <wps:bodyPr upright="1"/>
                      </wps:wsp>
                      <wps:wsp>
                        <wps:cNvPr id="42" name="直接连接符 37"/>
                        <wps:cNvCnPr/>
                        <wps:spPr>
                          <a:xfrm>
                            <a:off x="1800" y="6080"/>
                            <a:ext cx="0" cy="468"/>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id="_x0000_s1026" o:spid="_x0000_s1026" o:spt="203" style="position:absolute;left:0pt;margin-left:84.95pt;margin-top:10.95pt;height:380.25pt;width:218.6pt;z-index:251659264;mso-width-relative:page;mso-height-relative:page;" coordorigin="0,90" coordsize="3435,7843" o:gfxdata="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&#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">
                <o:lock v:ext="edit" aspectratio="f"/>
                <v:group id="_x0000_s1026" o:spid="_x0000_s1026" o:spt="203" style="position:absolute;left:0;top:90;height:7843;width:3435;" coordorigin="0,90" coordsize="3435,7843"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rect id="矩形 20" o:spid="_x0000_s1026" o:spt="1" style="position:absolute;left:15;top:90;height:468;width:3420;" fillcolor="#FFFFFF" filled="t" stroked="t" coordsize="21600,21600" o:gfxdata="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h3e0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0" w:firstLineChars="0"/>
                            <w:jc w:val="center"/>
                            <w:rPr>
                              <w:sz w:val="21"/>
                            </w:rPr>
                          </w:pPr>
                          <w:r>
                            <w:rPr>
                              <w:rFonts w:hint="eastAsia"/>
                              <w:sz w:val="21"/>
                            </w:rPr>
                            <w:t>前期准备</w:t>
                          </w:r>
                        </w:p>
                      </w:txbxContent>
                    </v:textbox>
                  </v:rect>
                  <v:line id="直接连接符 21" o:spid="_x0000_s1026" o:spt="20" style="position:absolute;left:1815;top:533;height:378;width:0;" filled="f" stroked="t" coordsize="21600,21600" o:gfxdata="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2A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矩形 22" o:spid="_x0000_s1026" o:spt="1" style="position:absolute;left:0;top:917;height:468;width:3420;" fillcolor="#FFFFFF" filled="t" stroked="t" coordsize="21600,21600" o:gfxdata="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Ux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0" w:firstLineChars="0"/>
                            <w:jc w:val="center"/>
                            <w:rPr>
                              <w:sz w:val="21"/>
                            </w:rPr>
                          </w:pPr>
                          <w:r>
                            <w:rPr>
                              <w:rFonts w:hint="eastAsia"/>
                              <w:sz w:val="21"/>
                            </w:rPr>
                            <w:t>辨识与分析危险、有害因素</w:t>
                          </w:r>
                        </w:p>
                      </w:txbxContent>
                    </v:textbox>
                  </v:rect>
                  <v:rect id="矩形 23" o:spid="_x0000_s1026" o:spt="1" style="position:absolute;left:0;top:2789;height:468;width:3420;" fillcolor="#FFFFFF" filled="t" stroked="t" coordsize="21600,21600" o:gfxdata="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htgq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firstLine="0" w:firstLineChars="0"/>
                            <w:jc w:val="center"/>
                            <w:rPr>
                              <w:sz w:val="21"/>
                            </w:rPr>
                          </w:pPr>
                          <w:r>
                            <w:rPr>
                              <w:rFonts w:hint="eastAsia"/>
                              <w:sz w:val="21"/>
                            </w:rPr>
                            <w:t>确定评价方法</w:t>
                          </w:r>
                        </w:p>
                      </w:txbxContent>
                    </v:textbox>
                  </v:rect>
                  <v:rect id="矩形 24" o:spid="_x0000_s1026" o:spt="1" style="position:absolute;left:0;top:3725;height:468;width:3420;" fillcolor="#FFFFFF" filled="t" stroked="t" coordsize="21600,21600" o:gfxdata="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Kfb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firstLine="0" w:firstLineChars="0"/>
                            <w:jc w:val="center"/>
                            <w:rPr>
                              <w:sz w:val="21"/>
                            </w:rPr>
                          </w:pPr>
                          <w:r>
                            <w:rPr>
                              <w:rFonts w:hint="eastAsia"/>
                              <w:sz w:val="21"/>
                            </w:rPr>
                            <w:t>定性、定量分析危险、有害程度</w:t>
                          </w:r>
                        </w:p>
                      </w:txbxContent>
                    </v:textbox>
                  </v:rect>
                  <v:rect id="矩形 25" o:spid="_x0000_s1026" o:spt="1" style="position:absolute;left:0;top:4661;height:468;width:3420;" fillcolor="#FFFFFF" filled="t" stroked="t" coordsize="21600,21600" o:gfxdata="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lC8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ind w:firstLine="0" w:firstLineChars="0"/>
                            <w:jc w:val="center"/>
                            <w:rPr>
                              <w:sz w:val="21"/>
                            </w:rPr>
                          </w:pPr>
                          <w:r>
                            <w:rPr>
                              <w:rFonts w:hint="eastAsia"/>
                              <w:sz w:val="21"/>
                            </w:rPr>
                            <w:t>提出安全对策措施建议</w:t>
                          </w:r>
                        </w:p>
                      </w:txbxContent>
                    </v:textbox>
                  </v:rect>
                  <v:rect id="矩形 26" o:spid="_x0000_s1026" o:spt="1" style="position:absolute;left:15;top:7465;height:468;width:3420;" fillcolor="#FFFFFF" filled="t" stroked="t" coordsize="21600,21600" o:gfxdata="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l52q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firstLine="0" w:firstLineChars="0"/>
                            <w:jc w:val="center"/>
                            <w:rPr>
                              <w:sz w:val="21"/>
                            </w:rPr>
                          </w:pPr>
                          <w:r>
                            <w:rPr>
                              <w:rFonts w:hint="eastAsia"/>
                              <w:sz w:val="21"/>
                            </w:rPr>
                            <w:t>编制建设项目安全条件评价报告</w:t>
                          </w:r>
                        </w:p>
                      </w:txbxContent>
                    </v:textbox>
                  </v:rect>
                  <v:line id="直接连接符 27" o:spid="_x0000_s1026" o:spt="20" style="position:absolute;left:1800;top:1385;height:468;width:0;" filled="f" stroked="t" coordsize="21600,21600" o:gfxdata="UEsDBAoAAAAAAIdO4kAAAAAAAAAAAAAAAAAEAAAAZHJzL1BLAwQUAAAACACHTuJAvYKbJ78AAADb&#10;AAAADwAAAGRycy9kb3ducmV2LnhtbEWPT2vCQBTE7wW/w/IEb3UTh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2Cmye/&#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28" o:spid="_x0000_s1026" o:spt="20" style="position:absolute;left:1800;top:4193;height:468;width:0;" filled="f" stroked="t" coordsize="21600,21600" o:gfxdata="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s4+v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29" o:spid="_x0000_s1026" o:spt="20" style="position:absolute;left:1800;top:6965;height:468;width:0;" filled="f" stroked="t" coordsize="21600,21600" o:gfxdata="UEsDBAoAAAAAAIdO4kAAAAAAAAAAAAAAAAAEAAAAZHJzL1BLAwQUAAAACACHTuJAXSemyL8AAADb&#10;AAAADwAAAGRycy9kb3ducmV2LnhtbEWPT2vCQBTE7wW/w/KE3uomtki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nps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30" o:spid="_x0000_s1026" o:spt="20" style="position:absolute;left:1800;top:2321;height:468;width:0;" filled="f" stroked="t" coordsize="21600,21600" o:gfxdata="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5nSS/&#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31" o:spid="_x0000_s1026" o:spt="20" style="position:absolute;left:1800;top:3257;height:468;width:0;" filled="f" stroked="t" coordsize="21600,21600" o:gfxdata="UEsDBAoAAAAAAIdO4kAAAAAAAAAAAAAAAAAEAAAAZHJzL1BLAwQUAAAACACHTuJArfU4v78AAADb&#10;AAAADwAAAGRycy9kb3ducmV2LnhtbEWPT2vCQBTE7wW/w/KE3uomF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31OL+/&#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32" o:spid="_x0000_s1026" o:spt="1" style="position:absolute;left:0;top:1853;height:468;width:3420;" fillcolor="#FFFFFF" filled="t" stroked="t" coordsize="21600,21600" o:gfxdata="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F9O9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ind w:firstLine="0" w:firstLineChars="0"/>
                            <w:jc w:val="center"/>
                            <w:rPr>
                              <w:sz w:val="21"/>
                            </w:rPr>
                          </w:pPr>
                          <w:r>
                            <w:rPr>
                              <w:rFonts w:hint="eastAsia"/>
                              <w:sz w:val="21"/>
                            </w:rPr>
                            <w:t>划分评价单元</w:t>
                          </w:r>
                        </w:p>
                      </w:txbxContent>
                    </v:textbox>
                  </v:rect>
                  <v:rect id="矩形 33" o:spid="_x0000_s1026" o:spt="1" style="position:absolute;left:0;top:5597;height:468;width:3420;" fillcolor="#FFFFFF" filled="t" stroked="t" coordsize="21600,21600" o:gfxdata="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E+ts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0" w:firstLineChars="0"/>
                            <w:jc w:val="center"/>
                            <w:rPr>
                              <w:sz w:val="21"/>
                            </w:rPr>
                          </w:pPr>
                          <w:r>
                            <w:rPr>
                              <w:rFonts w:hint="eastAsia"/>
                              <w:sz w:val="21"/>
                            </w:rPr>
                            <w:t>整理、归纳评价结论</w:t>
                          </w:r>
                        </w:p>
                        <w:p>
                          <w:pPr>
                            <w:ind w:firstLine="0" w:firstLineChars="0"/>
                            <w:jc w:val="center"/>
                            <w:rPr>
                              <w:sz w:val="21"/>
                            </w:rPr>
                          </w:pPr>
                        </w:p>
                      </w:txbxContent>
                    </v:textbox>
                  </v:rect>
                  <v:line id="直接连接符 34" o:spid="_x0000_s1026" o:spt="20" style="position:absolute;left:1800;top:5129;height:468;width:0;" filled="f" stroked="t" coordsize="21600,21600" o:gfxdata="UEsDBAoAAAAAAIdO4kAAAAAAAAAAAAAAAAAEAAAAZHJzL1BLAwQUAAAACACHTuJAehrTtrsAAADb&#10;AAAADwAAAGRycy9kb3ducmV2LnhtbEVPy4rCMBTdC/MP4Q6407Qi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hrTt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group>
                <v:rect id="矩形 36" o:spid="_x0000_s1026" o:spt="1" style="position:absolute;left:0;top:6548;height:468;width:3420;" fillcolor="#FFFFFF" filled="t" stroked="t" coordsize="21600,21600" o:gfxdata="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Y5QX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0" w:firstLineChars="0"/>
                          <w:jc w:val="center"/>
                          <w:rPr>
                            <w:sz w:val="21"/>
                          </w:rPr>
                        </w:pPr>
                        <w:r>
                          <w:rPr>
                            <w:rFonts w:hint="eastAsia"/>
                            <w:sz w:val="21"/>
                          </w:rPr>
                          <w:t>与建设单位交换意见</w:t>
                        </w:r>
                      </w:p>
                    </w:txbxContent>
                  </v:textbox>
                </v:rect>
                <v:line id="直接连接符 37" o:spid="_x0000_s1026" o:spt="20" style="position:absolute;left:1800;top:6080;height:468;width:0;" filled="f" stroked="t" coordsize="21600,21600" o:gfxdata="UEsDBAoAAAAAAIdO4kAAAAAAAAAAAAAAAAAEAAAAZHJzL1BLAwQUAAAACACHTuJA5YToWr8AAADb&#10;AAAADwAAAGRycy9kb3ducmV2LnhtbEWPT2vCQBTE7wW/w/IEb3UTk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WE6F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w:pict>
          </mc:Fallback>
        </mc:AlternateContent>
      </w: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480" w:firstLineChars="0"/>
        <w:jc w:val="both"/>
        <w:rPr>
          <w:rFonts w:ascii="Times New Roman" w:hAnsi="Times New Roman" w:cs="Times New Roman"/>
          <w:kern w:val="0"/>
          <w:szCs w:val="28"/>
          <w:lang w:val="zh-CN"/>
        </w:rPr>
      </w:pPr>
    </w:p>
    <w:p>
      <w:pPr>
        <w:autoSpaceDE w:val="0"/>
        <w:autoSpaceDN w:val="0"/>
        <w:adjustRightInd w:val="0"/>
        <w:snapToGrid w:val="0"/>
        <w:spacing w:line="360" w:lineRule="auto"/>
        <w:ind w:firstLine="2240" w:firstLineChars="800"/>
        <w:jc w:val="both"/>
        <w:rPr>
          <w:rFonts w:ascii="Times New Roman" w:hAnsi="Times New Roman" w:cs="Times New Roman"/>
          <w:kern w:val="0"/>
          <w:szCs w:val="28"/>
          <w:lang w:val="zh-CN"/>
        </w:rPr>
      </w:pPr>
    </w:p>
    <w:p>
      <w:pPr>
        <w:pStyle w:val="25"/>
        <w:rPr>
          <w:bCs/>
        </w:rPr>
      </w:pPr>
      <w:r>
        <w:rPr>
          <w:bCs/>
        </w:rPr>
        <w:t xml:space="preserve">图1-1 </w:t>
      </w:r>
      <w:r>
        <w:rPr>
          <w:rFonts w:hint="eastAsia"/>
          <w:bCs/>
          <w:lang w:val="en-US"/>
        </w:rPr>
        <w:t xml:space="preserve"> </w:t>
      </w:r>
      <w:r>
        <w:rPr>
          <w:bCs/>
        </w:rPr>
        <w:t>安全条件评价程序框图</w:t>
      </w:r>
    </w:p>
    <w:p>
      <w:pPr>
        <w:pStyle w:val="25"/>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pStyle w:val="16"/>
        <w:rPr>
          <w:rFonts w:ascii="Times New Roman" w:hAnsi="Times New Roman" w:cs="Times New Roman"/>
        </w:rPr>
      </w:pPr>
      <w:bookmarkStart w:id="19" w:name="_Toc30603"/>
      <w:r>
        <w:rPr>
          <w:rFonts w:ascii="Times New Roman" w:hAnsi="Times New Roman" w:cs="Times New Roman"/>
        </w:rPr>
        <w:t>建设项目概述</w:t>
      </w:r>
      <w:bookmarkEnd w:id="19"/>
    </w:p>
    <w:p>
      <w:pPr>
        <w:pStyle w:val="3"/>
        <w:spacing w:before="156" w:after="156"/>
      </w:pPr>
      <w:bookmarkStart w:id="20" w:name="_Toc893"/>
      <w:r>
        <w:t>建设单位概况</w:t>
      </w:r>
      <w:bookmarkEnd w:id="20"/>
    </w:p>
    <w:p>
      <w:pPr>
        <w:pStyle w:val="4"/>
        <w:spacing w:before="62" w:after="62"/>
      </w:pPr>
      <w:r>
        <w:t>2.1.1单位名称、类型、地址和法人代表</w:t>
      </w:r>
    </w:p>
    <w:p>
      <w:pPr>
        <w:pStyle w:val="6"/>
        <w:ind w:firstLine="560"/>
      </w:pPr>
      <w:r>
        <w:t>企业名称：中国石油化工股份有限公司胜利油田分公司石油化工总厂</w:t>
      </w:r>
    </w:p>
    <w:p>
      <w:pPr>
        <w:pStyle w:val="6"/>
        <w:ind w:firstLine="560"/>
      </w:pPr>
      <w:r>
        <w:t>负责人：谷月刚</w:t>
      </w:r>
    </w:p>
    <w:p>
      <w:pPr>
        <w:pStyle w:val="6"/>
        <w:ind w:firstLine="560"/>
      </w:pPr>
      <w:r>
        <w:t>企业类型：股份有限公司分公司（上市）</w:t>
      </w:r>
    </w:p>
    <w:p>
      <w:pPr>
        <w:pStyle w:val="6"/>
        <w:ind w:firstLine="560"/>
      </w:pPr>
      <w:r>
        <w:t>营业场所：东营市东营区郝纯路</w:t>
      </w:r>
    </w:p>
    <w:p>
      <w:pPr>
        <w:pStyle w:val="6"/>
        <w:ind w:firstLine="560"/>
      </w:pPr>
      <w:r>
        <w:t>成立日期：2006年3月22日</w:t>
      </w:r>
    </w:p>
    <w:p>
      <w:pPr>
        <w:pStyle w:val="4"/>
        <w:spacing w:before="62" w:after="62"/>
      </w:pPr>
      <w:r>
        <w:t>2.1.2 建设单位简介</w:t>
      </w:r>
    </w:p>
    <w:p>
      <w:pPr>
        <w:pStyle w:val="6"/>
        <w:ind w:firstLine="560"/>
      </w:pPr>
      <w:r>
        <w:t>胜利油田分公司石油化工总厂位于山东省东营市东营区郝纯路，全厂占地面积2.3平方公里，属于工业用地，已于2000年12月分别办理了国有土地使用证与土地他项权利证明书，该项目设施主要位于厂区</w:t>
      </w:r>
      <w:r>
        <w:rPr>
          <w:rFonts w:hint="eastAsia"/>
          <w:lang w:val="en-US"/>
        </w:rPr>
        <w:t>中部</w:t>
      </w:r>
      <w:r>
        <w:t>。石油化工总厂其前身为稠油处理厂，依据国家计委计燃[1985]第1535号批复，1987年5月动工建设，1990年9月建成投产。1996年6月根据胜油局发编字[1996]45号文，胜利油田石油化工开发总公司更名为胜利石油管理局石油化工总厂。</w:t>
      </w:r>
    </w:p>
    <w:p>
      <w:pPr>
        <w:pStyle w:val="6"/>
        <w:ind w:firstLine="560"/>
        <w:rPr>
          <w:b/>
          <w:bCs/>
        </w:rPr>
      </w:pPr>
      <w:r>
        <w:rPr>
          <w:rFonts w:hint="eastAsia"/>
          <w:b/>
          <w:bCs/>
        </w:rPr>
        <w:t>涉及企业机密，不予公开。</w:t>
      </w:r>
    </w:p>
    <w:p>
      <w:pPr>
        <w:pStyle w:val="4"/>
        <w:spacing w:before="62" w:after="62"/>
      </w:pPr>
      <w:r>
        <w:t>2.1.3 安全生产管理机构和安全管理状况</w:t>
      </w:r>
    </w:p>
    <w:p>
      <w:pPr>
        <w:pStyle w:val="6"/>
        <w:ind w:firstLine="560"/>
        <w:rPr>
          <w:b/>
          <w:bCs/>
          <w:lang w:val="en-US"/>
        </w:rPr>
      </w:pPr>
      <w:r>
        <w:rPr>
          <w:rFonts w:hint="eastAsia"/>
          <w:b/>
          <w:bCs/>
        </w:rPr>
        <w:t>涉及企业机密，不予公开。</w:t>
      </w:r>
    </w:p>
    <w:p>
      <w:pPr>
        <w:pStyle w:val="3"/>
        <w:spacing w:before="156" w:after="156"/>
      </w:pPr>
      <w:bookmarkStart w:id="21" w:name="_Toc29984"/>
      <w:r>
        <w:t>建设项目概况</w:t>
      </w:r>
      <w:bookmarkEnd w:id="21"/>
    </w:p>
    <w:p>
      <w:pPr>
        <w:pStyle w:val="4"/>
        <w:spacing w:before="62" w:after="62"/>
      </w:pPr>
      <w:r>
        <w:t>2.2.1建设项目规模</w:t>
      </w:r>
    </w:p>
    <w:p>
      <w:pPr>
        <w:pStyle w:val="6"/>
        <w:ind w:firstLine="560"/>
      </w:pPr>
      <w:r>
        <w:t>项目名称：原油</w:t>
      </w:r>
      <w:r>
        <w:rPr>
          <w:rFonts w:hint="eastAsia"/>
          <w:lang w:val="en-US" w:eastAsia="zh-CN"/>
        </w:rPr>
        <w:t>罐区</w:t>
      </w:r>
      <w:r>
        <w:t>分输分储改造工程项目</w:t>
      </w:r>
    </w:p>
    <w:p>
      <w:pPr>
        <w:pStyle w:val="6"/>
        <w:ind w:firstLine="560"/>
      </w:pPr>
      <w:r>
        <w:t>项目性质：新建危险化学品储存项目</w:t>
      </w:r>
    </w:p>
    <w:p>
      <w:pPr>
        <w:pStyle w:val="6"/>
        <w:ind w:firstLine="560"/>
      </w:pPr>
      <w:r>
        <w:t>建设地址：胜利油田分公司石油化工总厂</w:t>
      </w:r>
    </w:p>
    <w:p>
      <w:pPr>
        <w:pStyle w:val="6"/>
        <w:ind w:firstLine="560"/>
        <w:rPr>
          <w:rFonts w:hint="eastAsia"/>
          <w:b/>
          <w:bCs/>
        </w:rPr>
      </w:pPr>
      <w:r>
        <w:rPr>
          <w:rFonts w:hint="eastAsia"/>
          <w:b/>
          <w:bCs/>
        </w:rPr>
        <w:t>涉及企业机密，不予公开。</w:t>
      </w:r>
    </w:p>
    <w:p>
      <w:pPr>
        <w:pStyle w:val="4"/>
        <w:spacing w:before="62" w:after="62"/>
      </w:pPr>
      <w:r>
        <w:t>2.2.2建设项目的由来产业政策的符合性分析</w:t>
      </w:r>
    </w:p>
    <w:p>
      <w:pPr>
        <w:pStyle w:val="6"/>
        <w:ind w:firstLine="560"/>
      </w:pPr>
      <w:r>
        <w:t>（1）建设项目的由来</w:t>
      </w:r>
    </w:p>
    <w:p>
      <w:pPr>
        <w:pStyle w:val="6"/>
        <w:ind w:firstLine="560"/>
        <w:rPr>
          <w:rFonts w:hint="eastAsia"/>
          <w:b/>
          <w:bCs/>
        </w:rPr>
      </w:pPr>
      <w:r>
        <w:rPr>
          <w:rFonts w:hint="eastAsia"/>
          <w:b/>
          <w:bCs/>
        </w:rPr>
        <w:t>涉及企业机密，不予公开。</w:t>
      </w:r>
    </w:p>
    <w:p>
      <w:pPr>
        <w:pStyle w:val="6"/>
        <w:ind w:firstLine="560"/>
      </w:pPr>
      <w:r>
        <w:t>（2）产业政策的符合性分析</w:t>
      </w:r>
    </w:p>
    <w:p>
      <w:pPr>
        <w:pStyle w:val="6"/>
        <w:ind w:firstLine="560"/>
      </w:pPr>
      <w:r>
        <w:t>根据国家发展和改革委员会《产业结构调整指导目录（2019年本）》（</w:t>
      </w:r>
      <w:r>
        <w:rPr>
          <w:rFonts w:hint="eastAsia"/>
        </w:rPr>
        <w:t>国家发展和改革委员会令第29号</w:t>
      </w:r>
      <w:r>
        <w:rPr>
          <w:rFonts w:hint="eastAsia"/>
          <w:lang w:val="en-US" w:eastAsia="zh-CN"/>
        </w:rPr>
        <w:t>发布，国家发展和改革委员会令第49号修正</w:t>
      </w:r>
      <w:r>
        <w:t>），该项目属于鼓励类建设项目</w:t>
      </w:r>
      <w:r>
        <w:rPr>
          <w:rFonts w:hint="eastAsia"/>
          <w:lang w:val="en-US"/>
        </w:rPr>
        <w:t>“七、石油、天然气”中“3原油的储运和管道输送设施”，</w:t>
      </w:r>
      <w:r>
        <w:t>符合国家产业政策要求。</w:t>
      </w:r>
    </w:p>
    <w:p>
      <w:pPr>
        <w:pStyle w:val="6"/>
        <w:ind w:firstLine="560"/>
        <w:rPr>
          <w:rFonts w:hint="eastAsia"/>
          <w:b/>
          <w:bCs/>
          <w:color w:val="auto"/>
          <w:lang w:val="en-US" w:eastAsia="zh-CN"/>
        </w:rPr>
      </w:pPr>
      <w:r>
        <w:rPr>
          <w:rFonts w:hint="eastAsia"/>
          <w:b/>
          <w:bCs/>
          <w:color w:val="auto"/>
          <w:lang w:val="en-US" w:eastAsia="zh-CN"/>
        </w:rPr>
        <w:t>涉及企业机密，不予公开。</w:t>
      </w:r>
    </w:p>
    <w:p>
      <w:pPr>
        <w:pStyle w:val="6"/>
        <w:ind w:firstLine="560"/>
        <w:rPr>
          <w:color w:val="auto"/>
        </w:rPr>
      </w:pPr>
      <w:r>
        <w:rPr>
          <w:color w:val="auto"/>
        </w:rPr>
        <w:t>该项目不经营国家明令禁止的危险化学品，</w:t>
      </w:r>
      <w:r>
        <w:rPr>
          <w:rFonts w:hint="eastAsia"/>
          <w:color w:val="auto"/>
          <w:lang w:val="en-US" w:eastAsia="zh-CN"/>
        </w:rPr>
        <w:t>根据《淘汰落后危险化学品安全生产工艺技术设备目录（第一批）》应急厅[2020]38号及《限期淘汰产生严重污染环境的工业固体废物的落后生产工艺设备名录》（中华人民共和国工业和信息化部公告2021年第25号），该项目未</w:t>
      </w:r>
      <w:r>
        <w:rPr>
          <w:color w:val="auto"/>
        </w:rPr>
        <w:t>采用和使用国家明令淘汰、禁止使用的工艺、设备，符合国家产业政策。</w:t>
      </w:r>
    </w:p>
    <w:p>
      <w:pPr>
        <w:pStyle w:val="4"/>
        <w:spacing w:before="62" w:after="62"/>
      </w:pPr>
      <w:r>
        <w:t>2.2.3设计上采用的主要技术、工艺（方式）和国内、外同类建设项目水平对比情况</w:t>
      </w:r>
    </w:p>
    <w:p>
      <w:pPr>
        <w:pStyle w:val="6"/>
        <w:ind w:firstLine="560"/>
        <w:rPr>
          <w:rFonts w:hint="eastAsia"/>
          <w:b/>
          <w:bCs/>
        </w:rPr>
      </w:pPr>
      <w:r>
        <w:rPr>
          <w:rFonts w:hint="eastAsia"/>
          <w:b/>
          <w:bCs/>
        </w:rPr>
        <w:t>涉及企业机密，不予公开。</w:t>
      </w:r>
    </w:p>
    <w:p>
      <w:pPr>
        <w:pStyle w:val="3"/>
        <w:spacing w:before="156" w:after="156"/>
      </w:pPr>
      <w:bookmarkStart w:id="22" w:name="_Toc3645"/>
      <w:r>
        <w:t>建设项目的地理位置、周边环境</w:t>
      </w:r>
      <w:bookmarkEnd w:id="22"/>
    </w:p>
    <w:p>
      <w:pPr>
        <w:pStyle w:val="4"/>
        <w:spacing w:before="62" w:after="0" w:afterLines="0"/>
      </w:pPr>
      <w:r>
        <w:t>2.3.1建设项目地理位置</w:t>
      </w:r>
    </w:p>
    <w:p>
      <w:pPr>
        <w:pStyle w:val="6"/>
        <w:ind w:firstLine="560"/>
      </w:pPr>
      <w:r>
        <w:t>该项目在</w:t>
      </w:r>
      <w:r>
        <w:rPr>
          <w:rFonts w:hint="eastAsia"/>
          <w:lang w:val="en-US"/>
        </w:rPr>
        <w:t>石油化工总厂</w:t>
      </w:r>
      <w:r>
        <w:t>厂内建设，该厂位于东营市西南约11km处，东南距史口镇约2km。石油化工总厂距离最近的史口火车站约2km，距离东营机场距离约为40km。在该厂西面约11km处，黄河由西南向东北流入渤海。</w:t>
      </w:r>
    </w:p>
    <w:p>
      <w:pPr>
        <w:pStyle w:val="4"/>
        <w:spacing w:before="62" w:after="62"/>
      </w:pPr>
      <w:r>
        <w:t>2.3.2建设项目占地面积和生产规模</w:t>
      </w:r>
    </w:p>
    <w:p>
      <w:pPr>
        <w:pStyle w:val="6"/>
        <w:ind w:firstLine="560"/>
        <w:rPr>
          <w:lang w:val="en-US"/>
        </w:rPr>
      </w:pPr>
      <w:r>
        <w:t>该项目</w:t>
      </w:r>
      <w:r>
        <w:rPr>
          <w:lang w:val="en-US"/>
        </w:rPr>
        <w:t>新建G-106原油储罐在</w:t>
      </w:r>
      <w:r>
        <w:t>105#罐区的预留位置上进行建设，不涉及新征土地，</w:t>
      </w:r>
      <w:r>
        <w:rPr>
          <w:lang w:val="en-US"/>
        </w:rPr>
        <w:t>储存规模30000m</w:t>
      </w:r>
      <w:r>
        <w:rPr>
          <w:vertAlign w:val="superscript"/>
          <w:lang w:val="en-US"/>
        </w:rPr>
        <w:t>3</w:t>
      </w:r>
      <w:r>
        <w:t>。</w:t>
      </w:r>
      <w:r>
        <w:rPr>
          <w:lang w:val="en-US"/>
        </w:rPr>
        <w:t>新建泡沫站于105#罐区南侧空地进行建设，</w:t>
      </w:r>
      <w:r>
        <w:rPr>
          <w:rFonts w:hint="eastAsia"/>
          <w:lang w:val="en-US" w:eastAsia="zh-CN"/>
        </w:rPr>
        <w:t>不涉及新征土地，</w:t>
      </w:r>
      <w:r>
        <w:rPr>
          <w:lang w:val="en-US"/>
        </w:rPr>
        <w:t>占地面积16</w:t>
      </w:r>
      <w:r>
        <w:rPr>
          <w:rFonts w:hint="eastAsia"/>
          <w:lang w:val="en-US"/>
        </w:rPr>
        <w:t>9</w:t>
      </w:r>
      <w:r>
        <w:rPr>
          <w:lang w:val="en-US"/>
        </w:rPr>
        <w:t>m</w:t>
      </w:r>
      <w:r>
        <w:rPr>
          <w:vertAlign w:val="superscript"/>
          <w:lang w:val="en-US"/>
        </w:rPr>
        <w:t>2</w:t>
      </w:r>
      <w:r>
        <w:rPr>
          <w:lang w:val="en-US"/>
        </w:rPr>
        <w:t>。</w:t>
      </w:r>
    </w:p>
    <w:p>
      <w:pPr>
        <w:pStyle w:val="4"/>
        <w:spacing w:before="62" w:after="62"/>
      </w:pPr>
      <w:r>
        <w:t>2.3.3建设项目周边环境</w:t>
      </w:r>
    </w:p>
    <w:p>
      <w:pPr>
        <w:pStyle w:val="6"/>
        <w:ind w:firstLine="560"/>
      </w:pPr>
      <w:r>
        <w:t>（1）该项目与厂外周边设施情况</w:t>
      </w:r>
    </w:p>
    <w:p>
      <w:pPr>
        <w:pStyle w:val="6"/>
        <w:ind w:firstLine="560"/>
      </w:pPr>
      <w:r>
        <w:t>石油化工总厂厂区北面有大赵村、小赵村等村庄以及山东海科化工有限公司、东营市鑫博化工有限责任公司、山东万金石化有限公司、山东万通石油化工集团有限公司，北面700m处有一条由东西向的排水渠－五干排；东临郝纯路（228省道）；南侧为东营市益盛石油产品销售有限责任公司、东营立洋化工有限公司、山东神驰化工集团有限公司；西侧为东营胜利中亚化工有限公司、东营宝莫环境工程有限公司以及东营德佑环保科技有限公司。</w:t>
      </w:r>
    </w:p>
    <w:p>
      <w:pPr>
        <w:pStyle w:val="6"/>
        <w:ind w:firstLine="560"/>
      </w:pPr>
      <w:r>
        <w:t>项目区上空无架空电力、通讯线穿过，地下无输油输气管线穿过。厂址与周边环境及距离见下表。</w:t>
      </w:r>
    </w:p>
    <w:p>
      <w:r>
        <w:br w:type="page"/>
      </w:r>
    </w:p>
    <w:p>
      <w:pPr>
        <w:pStyle w:val="23"/>
        <w:rPr>
          <w:b w:val="0"/>
        </w:rPr>
      </w:pPr>
      <w:r>
        <w:t>表2.3-1  该项目与周边企业、道路及居民区之间的间距</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3"/>
        <w:gridCol w:w="724"/>
        <w:gridCol w:w="2136"/>
        <w:gridCol w:w="953"/>
        <w:gridCol w:w="1151"/>
        <w:gridCol w:w="1559"/>
        <w:gridCol w:w="863"/>
        <w:gridCol w:w="4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blHeader/>
          <w:jc w:val="center"/>
        </w:trPr>
        <w:tc>
          <w:tcPr>
            <w:tcW w:w="400" w:type="pct"/>
            <w:vAlign w:val="center"/>
          </w:tcPr>
          <w:p>
            <w:pPr>
              <w:pStyle w:val="24"/>
              <w:rPr>
                <w:b/>
                <w:bCs/>
                <w:color w:val="auto"/>
              </w:rPr>
            </w:pPr>
            <w:r>
              <w:rPr>
                <w:b/>
                <w:bCs/>
                <w:color w:val="auto"/>
              </w:rPr>
              <w:t>类别</w:t>
            </w:r>
          </w:p>
        </w:tc>
        <w:tc>
          <w:tcPr>
            <w:tcW w:w="424" w:type="pct"/>
            <w:vAlign w:val="center"/>
          </w:tcPr>
          <w:p>
            <w:pPr>
              <w:pStyle w:val="24"/>
              <w:rPr>
                <w:b/>
                <w:bCs/>
                <w:color w:val="auto"/>
              </w:rPr>
            </w:pPr>
            <w:r>
              <w:rPr>
                <w:b/>
                <w:bCs/>
                <w:color w:val="auto"/>
              </w:rPr>
              <w:t>相对位置</w:t>
            </w:r>
          </w:p>
        </w:tc>
        <w:tc>
          <w:tcPr>
            <w:tcW w:w="1253" w:type="pct"/>
            <w:vAlign w:val="center"/>
          </w:tcPr>
          <w:p>
            <w:pPr>
              <w:pStyle w:val="24"/>
              <w:rPr>
                <w:b/>
                <w:bCs/>
                <w:color w:val="auto"/>
              </w:rPr>
            </w:pPr>
            <w:r>
              <w:rPr>
                <w:b/>
                <w:bCs/>
                <w:color w:val="auto"/>
              </w:rPr>
              <w:t>名称</w:t>
            </w:r>
          </w:p>
        </w:tc>
        <w:tc>
          <w:tcPr>
            <w:tcW w:w="559" w:type="pct"/>
            <w:vAlign w:val="center"/>
          </w:tcPr>
          <w:p>
            <w:pPr>
              <w:pStyle w:val="24"/>
              <w:rPr>
                <w:b/>
                <w:bCs/>
                <w:color w:val="auto"/>
              </w:rPr>
            </w:pPr>
            <w:r>
              <w:rPr>
                <w:b/>
                <w:bCs/>
                <w:color w:val="auto"/>
              </w:rPr>
              <w:t>相邻</w:t>
            </w:r>
          </w:p>
          <w:p>
            <w:pPr>
              <w:pStyle w:val="24"/>
              <w:rPr>
                <w:b/>
                <w:bCs/>
                <w:color w:val="auto"/>
              </w:rPr>
            </w:pPr>
            <w:r>
              <w:rPr>
                <w:b/>
                <w:bCs/>
                <w:color w:val="auto"/>
              </w:rPr>
              <w:t>设施</w:t>
            </w:r>
          </w:p>
        </w:tc>
        <w:tc>
          <w:tcPr>
            <w:tcW w:w="675" w:type="pct"/>
            <w:noWrap/>
            <w:vAlign w:val="center"/>
          </w:tcPr>
          <w:p>
            <w:pPr>
              <w:pStyle w:val="24"/>
              <w:rPr>
                <w:b/>
                <w:bCs/>
                <w:color w:val="auto"/>
              </w:rPr>
            </w:pPr>
            <w:r>
              <w:rPr>
                <w:b/>
                <w:bCs/>
                <w:color w:val="auto"/>
              </w:rPr>
              <w:t>实际距离</w:t>
            </w:r>
          </w:p>
        </w:tc>
        <w:tc>
          <w:tcPr>
            <w:tcW w:w="914" w:type="pct"/>
            <w:vAlign w:val="center"/>
          </w:tcPr>
          <w:p>
            <w:pPr>
              <w:pStyle w:val="24"/>
              <w:rPr>
                <w:b/>
                <w:bCs/>
                <w:color w:val="auto"/>
              </w:rPr>
            </w:pPr>
            <w:r>
              <w:rPr>
                <w:b/>
                <w:bCs/>
                <w:color w:val="auto"/>
              </w:rPr>
              <w:t>要求的距离依据规范</w:t>
            </w:r>
          </w:p>
        </w:tc>
        <w:tc>
          <w:tcPr>
            <w:tcW w:w="506" w:type="pct"/>
            <w:vAlign w:val="center"/>
          </w:tcPr>
          <w:p>
            <w:pPr>
              <w:pStyle w:val="24"/>
              <w:rPr>
                <w:b/>
                <w:bCs/>
                <w:color w:val="auto"/>
              </w:rPr>
            </w:pPr>
            <w:r>
              <w:rPr>
                <w:b/>
                <w:bCs/>
                <w:color w:val="auto"/>
              </w:rPr>
              <w:t>规范要求（m）</w:t>
            </w:r>
          </w:p>
        </w:tc>
        <w:tc>
          <w:tcPr>
            <w:tcW w:w="265" w:type="pct"/>
            <w:vAlign w:val="center"/>
          </w:tcPr>
          <w:p>
            <w:pPr>
              <w:pStyle w:val="24"/>
              <w:rPr>
                <w:b/>
                <w:bCs/>
                <w:color w:val="auto"/>
              </w:rPr>
            </w:pPr>
            <w:r>
              <w:rPr>
                <w:b/>
                <w:bCs/>
                <w:color w:val="auto"/>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noWrap/>
            <w:vAlign w:val="center"/>
          </w:tcPr>
          <w:p>
            <w:pPr>
              <w:pStyle w:val="24"/>
              <w:rPr>
                <w:color w:val="auto"/>
              </w:rPr>
            </w:pPr>
            <w:r>
              <w:rPr>
                <w:color w:val="auto"/>
              </w:rPr>
              <w:t>生活区</w:t>
            </w:r>
          </w:p>
        </w:tc>
        <w:tc>
          <w:tcPr>
            <w:tcW w:w="424" w:type="pct"/>
            <w:vAlign w:val="center"/>
          </w:tcPr>
          <w:p>
            <w:pPr>
              <w:pStyle w:val="24"/>
              <w:rPr>
                <w:color w:val="auto"/>
              </w:rPr>
            </w:pPr>
            <w:r>
              <w:rPr>
                <w:color w:val="auto"/>
              </w:rPr>
              <w:t>东北</w:t>
            </w:r>
          </w:p>
        </w:tc>
        <w:tc>
          <w:tcPr>
            <w:tcW w:w="1253" w:type="pct"/>
            <w:noWrap/>
            <w:vAlign w:val="center"/>
          </w:tcPr>
          <w:p>
            <w:pPr>
              <w:pStyle w:val="24"/>
              <w:rPr>
                <w:color w:val="auto"/>
              </w:rPr>
            </w:pPr>
            <w:r>
              <w:rPr>
                <w:color w:val="auto"/>
              </w:rPr>
              <w:t>石油化工总厂生活区</w:t>
            </w:r>
          </w:p>
        </w:tc>
        <w:tc>
          <w:tcPr>
            <w:tcW w:w="559" w:type="pct"/>
            <w:vMerge w:val="restart"/>
            <w:vAlign w:val="center"/>
          </w:tcPr>
          <w:p>
            <w:pPr>
              <w:pStyle w:val="24"/>
              <w:rPr>
                <w:rFonts w:hint="eastAsia" w:eastAsia="宋体"/>
                <w:color w:val="auto"/>
                <w:lang w:val="en-US" w:eastAsia="zh-CN"/>
              </w:rPr>
            </w:pPr>
            <w:r>
              <w:rPr>
                <w:color w:val="auto"/>
              </w:rPr>
              <w:t>新建原油储罐G-106（甲</w:t>
            </w:r>
            <w:r>
              <w:rPr>
                <w:rFonts w:hint="eastAsia"/>
                <w:color w:val="auto"/>
                <w:vertAlign w:val="subscript"/>
              </w:rPr>
              <w:t>B</w:t>
            </w:r>
            <w:r>
              <w:rPr>
                <w:color w:val="auto"/>
              </w:rPr>
              <w:t>类）</w:t>
            </w:r>
            <w:r>
              <w:rPr>
                <w:rFonts w:hint="eastAsia"/>
                <w:color w:val="auto"/>
                <w:lang w:val="en-US" w:eastAsia="zh-CN"/>
              </w:rPr>
              <w:t>罐壁</w:t>
            </w:r>
          </w:p>
        </w:tc>
        <w:tc>
          <w:tcPr>
            <w:tcW w:w="675" w:type="pct"/>
            <w:noWrap/>
            <w:vAlign w:val="center"/>
          </w:tcPr>
          <w:p>
            <w:pPr>
              <w:pStyle w:val="24"/>
              <w:rPr>
                <w:color w:val="auto"/>
              </w:rPr>
            </w:pPr>
            <w:r>
              <w:rPr>
                <w:color w:val="auto"/>
              </w:rPr>
              <w:t>约2.4km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≥100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noWrap/>
            <w:vAlign w:val="center"/>
          </w:tcPr>
          <w:p>
            <w:pPr>
              <w:pStyle w:val="24"/>
              <w:rPr>
                <w:color w:val="auto"/>
              </w:rPr>
            </w:pPr>
            <w:r>
              <w:rPr>
                <w:color w:val="auto"/>
              </w:rPr>
              <w:t>城镇</w:t>
            </w:r>
          </w:p>
        </w:tc>
        <w:tc>
          <w:tcPr>
            <w:tcW w:w="424" w:type="pct"/>
            <w:vAlign w:val="center"/>
          </w:tcPr>
          <w:p>
            <w:pPr>
              <w:pStyle w:val="24"/>
              <w:rPr>
                <w:color w:val="auto"/>
              </w:rPr>
            </w:pPr>
            <w:r>
              <w:rPr>
                <w:color w:val="auto"/>
              </w:rPr>
              <w:t>东南</w:t>
            </w:r>
          </w:p>
        </w:tc>
        <w:tc>
          <w:tcPr>
            <w:tcW w:w="1253" w:type="pct"/>
            <w:noWrap/>
            <w:vAlign w:val="center"/>
          </w:tcPr>
          <w:p>
            <w:pPr>
              <w:pStyle w:val="24"/>
              <w:rPr>
                <w:color w:val="auto"/>
              </w:rPr>
            </w:pPr>
            <w:r>
              <w:rPr>
                <w:color w:val="auto"/>
              </w:rPr>
              <w:t>史口镇</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约2.3km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≥100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restart"/>
            <w:noWrap/>
            <w:vAlign w:val="center"/>
          </w:tcPr>
          <w:p>
            <w:pPr>
              <w:pStyle w:val="24"/>
              <w:rPr>
                <w:color w:val="auto"/>
              </w:rPr>
            </w:pPr>
            <w:r>
              <w:rPr>
                <w:color w:val="auto"/>
              </w:rPr>
              <w:t>自然村</w:t>
            </w:r>
          </w:p>
        </w:tc>
        <w:tc>
          <w:tcPr>
            <w:tcW w:w="424" w:type="pct"/>
            <w:vAlign w:val="center"/>
          </w:tcPr>
          <w:p>
            <w:pPr>
              <w:pStyle w:val="24"/>
              <w:rPr>
                <w:color w:val="auto"/>
              </w:rPr>
            </w:pPr>
            <w:r>
              <w:rPr>
                <w:color w:val="auto"/>
              </w:rPr>
              <w:t>北</w:t>
            </w:r>
          </w:p>
        </w:tc>
        <w:tc>
          <w:tcPr>
            <w:tcW w:w="1253" w:type="pct"/>
            <w:noWrap/>
            <w:vAlign w:val="center"/>
          </w:tcPr>
          <w:p>
            <w:pPr>
              <w:pStyle w:val="24"/>
              <w:rPr>
                <w:color w:val="auto"/>
              </w:rPr>
            </w:pPr>
            <w:r>
              <w:rPr>
                <w:color w:val="auto"/>
              </w:rPr>
              <w:t>小赵村</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约500m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≥100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西北</w:t>
            </w:r>
          </w:p>
        </w:tc>
        <w:tc>
          <w:tcPr>
            <w:tcW w:w="1253" w:type="pct"/>
            <w:noWrap/>
            <w:vAlign w:val="center"/>
          </w:tcPr>
          <w:p>
            <w:pPr>
              <w:pStyle w:val="24"/>
              <w:rPr>
                <w:color w:val="auto"/>
              </w:rPr>
            </w:pPr>
            <w:r>
              <w:rPr>
                <w:color w:val="auto"/>
              </w:rPr>
              <w:t>大赵村</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约1.1km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≥100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南</w:t>
            </w:r>
          </w:p>
        </w:tc>
        <w:tc>
          <w:tcPr>
            <w:tcW w:w="1253" w:type="pct"/>
            <w:noWrap/>
            <w:vAlign w:val="center"/>
          </w:tcPr>
          <w:p>
            <w:pPr>
              <w:pStyle w:val="24"/>
              <w:rPr>
                <w:color w:val="auto"/>
              </w:rPr>
            </w:pPr>
            <w:r>
              <w:rPr>
                <w:color w:val="auto"/>
              </w:rPr>
              <w:t>十一图村</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670m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≥100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南</w:t>
            </w:r>
          </w:p>
        </w:tc>
        <w:tc>
          <w:tcPr>
            <w:tcW w:w="1253" w:type="pct"/>
            <w:noWrap/>
            <w:vAlign w:val="center"/>
          </w:tcPr>
          <w:p>
            <w:pPr>
              <w:pStyle w:val="24"/>
              <w:rPr>
                <w:color w:val="auto"/>
              </w:rPr>
            </w:pPr>
            <w:r>
              <w:rPr>
                <w:color w:val="auto"/>
              </w:rPr>
              <w:t>小刘村</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830m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≥100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noWrap/>
            <w:vAlign w:val="center"/>
          </w:tcPr>
          <w:p>
            <w:pPr>
              <w:pStyle w:val="24"/>
              <w:rPr>
                <w:color w:val="auto"/>
              </w:rPr>
            </w:pPr>
            <w:r>
              <w:rPr>
                <w:color w:val="auto"/>
              </w:rPr>
              <w:t>学校</w:t>
            </w:r>
          </w:p>
        </w:tc>
        <w:tc>
          <w:tcPr>
            <w:tcW w:w="424" w:type="pct"/>
            <w:vAlign w:val="center"/>
          </w:tcPr>
          <w:p>
            <w:pPr>
              <w:pStyle w:val="24"/>
              <w:rPr>
                <w:color w:val="auto"/>
              </w:rPr>
            </w:pPr>
            <w:r>
              <w:rPr>
                <w:color w:val="auto"/>
              </w:rPr>
              <w:t>东南</w:t>
            </w:r>
          </w:p>
        </w:tc>
        <w:tc>
          <w:tcPr>
            <w:tcW w:w="1253" w:type="pct"/>
            <w:vAlign w:val="center"/>
          </w:tcPr>
          <w:p>
            <w:pPr>
              <w:pStyle w:val="24"/>
              <w:rPr>
                <w:color w:val="auto"/>
              </w:rPr>
            </w:pPr>
            <w:r>
              <w:rPr>
                <w:color w:val="auto"/>
              </w:rPr>
              <w:t>史口镇中学</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约2.4km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≥100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restart"/>
            <w:vAlign w:val="center"/>
          </w:tcPr>
          <w:p>
            <w:pPr>
              <w:pStyle w:val="24"/>
              <w:rPr>
                <w:color w:val="auto"/>
              </w:rPr>
            </w:pPr>
            <w:r>
              <w:rPr>
                <w:color w:val="auto"/>
              </w:rPr>
              <w:t>相邻工厂</w:t>
            </w:r>
          </w:p>
        </w:tc>
        <w:tc>
          <w:tcPr>
            <w:tcW w:w="424" w:type="pct"/>
            <w:vAlign w:val="center"/>
          </w:tcPr>
          <w:p>
            <w:pPr>
              <w:pStyle w:val="24"/>
              <w:rPr>
                <w:color w:val="auto"/>
              </w:rPr>
            </w:pPr>
            <w:r>
              <w:rPr>
                <w:color w:val="auto"/>
              </w:rPr>
              <w:t>东</w:t>
            </w:r>
          </w:p>
        </w:tc>
        <w:tc>
          <w:tcPr>
            <w:tcW w:w="1253" w:type="pct"/>
            <w:vAlign w:val="center"/>
          </w:tcPr>
          <w:p>
            <w:pPr>
              <w:pStyle w:val="24"/>
              <w:rPr>
                <w:color w:val="auto"/>
              </w:rPr>
            </w:pPr>
            <w:r>
              <w:rPr>
                <w:color w:val="auto"/>
              </w:rPr>
              <w:t>昊元宾馆</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约1.5km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≥70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东</w:t>
            </w:r>
          </w:p>
        </w:tc>
        <w:tc>
          <w:tcPr>
            <w:tcW w:w="1253" w:type="pct"/>
            <w:vAlign w:val="center"/>
          </w:tcPr>
          <w:p>
            <w:pPr>
              <w:pStyle w:val="24"/>
              <w:rPr>
                <w:color w:val="auto"/>
              </w:rPr>
            </w:pPr>
            <w:r>
              <w:rPr>
                <w:color w:val="auto"/>
              </w:rPr>
              <w:t>228省道</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约1.4km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≥30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北</w:t>
            </w:r>
          </w:p>
        </w:tc>
        <w:tc>
          <w:tcPr>
            <w:tcW w:w="1253" w:type="pct"/>
            <w:vAlign w:val="center"/>
          </w:tcPr>
          <w:p>
            <w:pPr>
              <w:pStyle w:val="24"/>
              <w:rPr>
                <w:color w:val="auto"/>
              </w:rPr>
            </w:pPr>
            <w:r>
              <w:rPr>
                <w:color w:val="auto"/>
              </w:rPr>
              <w:t>稠油末站</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540m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≥70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东北</w:t>
            </w:r>
          </w:p>
        </w:tc>
        <w:tc>
          <w:tcPr>
            <w:tcW w:w="1253" w:type="pct"/>
            <w:vAlign w:val="center"/>
          </w:tcPr>
          <w:p>
            <w:pPr>
              <w:pStyle w:val="24"/>
              <w:rPr>
                <w:color w:val="auto"/>
              </w:rPr>
            </w:pPr>
            <w:r>
              <w:rPr>
                <w:color w:val="auto"/>
              </w:rPr>
              <w:t>山东海科化工有限公司（石油化工企业可燃液体罐组</w:t>
            </w:r>
            <w:r>
              <w:rPr>
                <w:rFonts w:hint="eastAsia"/>
                <w:color w:val="auto"/>
                <w:lang w:val="en-US" w:eastAsia="zh-CN"/>
              </w:rPr>
              <w:t>罐壁</w:t>
            </w:r>
            <w:r>
              <w:rPr>
                <w:color w:val="auto"/>
              </w:rPr>
              <w:t>）</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800m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4.1.10</w:t>
            </w:r>
          </w:p>
        </w:tc>
        <w:tc>
          <w:tcPr>
            <w:tcW w:w="506" w:type="pct"/>
            <w:vAlign w:val="center"/>
          </w:tcPr>
          <w:p>
            <w:pPr>
              <w:pStyle w:val="24"/>
              <w:rPr>
                <w:color w:val="auto"/>
              </w:rPr>
            </w:pPr>
            <w:r>
              <w:rPr>
                <w:color w:val="auto"/>
              </w:rPr>
              <w:t>≥60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东北</w:t>
            </w:r>
          </w:p>
        </w:tc>
        <w:tc>
          <w:tcPr>
            <w:tcW w:w="1253" w:type="pct"/>
            <w:vAlign w:val="center"/>
          </w:tcPr>
          <w:p>
            <w:pPr>
              <w:pStyle w:val="24"/>
              <w:rPr>
                <w:color w:val="auto"/>
              </w:rPr>
            </w:pPr>
            <w:r>
              <w:rPr>
                <w:color w:val="auto"/>
              </w:rPr>
              <w:t>东营市鑫博化工有限责任公司办公室</w:t>
            </w:r>
            <w:r>
              <w:rPr>
                <w:rFonts w:hint="eastAsia"/>
                <w:color w:val="auto"/>
                <w:lang w:val="en-US" w:eastAsia="zh-CN"/>
              </w:rPr>
              <w:t>围墙</w:t>
            </w:r>
            <w:r>
              <w:rPr>
                <w:color w:val="auto"/>
              </w:rPr>
              <w:t>（石油化工企业全厂性重要设施）</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约1km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4.1.10</w:t>
            </w:r>
          </w:p>
        </w:tc>
        <w:tc>
          <w:tcPr>
            <w:tcW w:w="506" w:type="pct"/>
            <w:vAlign w:val="center"/>
          </w:tcPr>
          <w:p>
            <w:pPr>
              <w:pStyle w:val="24"/>
              <w:rPr>
                <w:color w:val="auto"/>
              </w:rPr>
            </w:pPr>
            <w:r>
              <w:rPr>
                <w:color w:val="auto"/>
              </w:rPr>
              <w:t>≥60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东北</w:t>
            </w:r>
          </w:p>
        </w:tc>
        <w:tc>
          <w:tcPr>
            <w:tcW w:w="1253" w:type="pct"/>
            <w:vAlign w:val="center"/>
          </w:tcPr>
          <w:p>
            <w:pPr>
              <w:pStyle w:val="24"/>
              <w:rPr>
                <w:color w:val="auto"/>
              </w:rPr>
            </w:pPr>
            <w:r>
              <w:rPr>
                <w:color w:val="auto"/>
              </w:rPr>
              <w:t>山东万金石化有限公司办公室</w:t>
            </w:r>
            <w:r>
              <w:rPr>
                <w:rFonts w:hint="eastAsia"/>
                <w:color w:val="auto"/>
              </w:rPr>
              <w:t>围墙</w:t>
            </w:r>
            <w:r>
              <w:rPr>
                <w:color w:val="auto"/>
              </w:rPr>
              <w:t>（石化企业全厂性重要设施）</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约1.1km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4.1.10</w:t>
            </w:r>
          </w:p>
        </w:tc>
        <w:tc>
          <w:tcPr>
            <w:tcW w:w="506" w:type="pct"/>
            <w:vAlign w:val="center"/>
          </w:tcPr>
          <w:p>
            <w:pPr>
              <w:pStyle w:val="24"/>
              <w:rPr>
                <w:color w:val="auto"/>
              </w:rPr>
            </w:pPr>
            <w:r>
              <w:rPr>
                <w:color w:val="auto"/>
              </w:rPr>
              <w:t>≥60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东北</w:t>
            </w:r>
          </w:p>
        </w:tc>
        <w:tc>
          <w:tcPr>
            <w:tcW w:w="1253" w:type="pct"/>
            <w:vAlign w:val="center"/>
          </w:tcPr>
          <w:p>
            <w:pPr>
              <w:pStyle w:val="24"/>
              <w:rPr>
                <w:color w:val="auto"/>
              </w:rPr>
            </w:pPr>
            <w:r>
              <w:rPr>
                <w:color w:val="auto"/>
              </w:rPr>
              <w:t>山东万通石油化工集团有限公司（石油化工企业可燃液体罐组</w:t>
            </w:r>
            <w:r>
              <w:rPr>
                <w:rFonts w:hint="eastAsia"/>
                <w:color w:val="auto"/>
                <w:lang w:val="en-US" w:eastAsia="zh-CN"/>
              </w:rPr>
              <w:t>罐壁</w:t>
            </w:r>
            <w:r>
              <w:rPr>
                <w:color w:val="auto"/>
              </w:rPr>
              <w:t>）</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约1km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4.1.10</w:t>
            </w:r>
          </w:p>
        </w:tc>
        <w:tc>
          <w:tcPr>
            <w:tcW w:w="506" w:type="pct"/>
            <w:vAlign w:val="center"/>
          </w:tcPr>
          <w:p>
            <w:pPr>
              <w:pStyle w:val="24"/>
              <w:rPr>
                <w:color w:val="auto"/>
              </w:rPr>
            </w:pPr>
            <w:r>
              <w:rPr>
                <w:color w:val="auto"/>
              </w:rPr>
              <w:t>≥60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南</w:t>
            </w:r>
          </w:p>
        </w:tc>
        <w:tc>
          <w:tcPr>
            <w:tcW w:w="1253" w:type="pct"/>
            <w:vAlign w:val="center"/>
          </w:tcPr>
          <w:p>
            <w:pPr>
              <w:pStyle w:val="24"/>
              <w:rPr>
                <w:color w:val="auto"/>
              </w:rPr>
            </w:pPr>
            <w:r>
              <w:rPr>
                <w:color w:val="auto"/>
              </w:rPr>
              <w:t>东营市益盛石油产品销售有限责任公司（石油化工企业可燃液体罐组</w:t>
            </w:r>
            <w:r>
              <w:rPr>
                <w:rFonts w:hint="eastAsia"/>
                <w:color w:val="auto"/>
              </w:rPr>
              <w:t>罐壁</w:t>
            </w:r>
            <w:r>
              <w:rPr>
                <w:color w:val="auto"/>
              </w:rPr>
              <w:t>）</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450m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4.1.10</w:t>
            </w:r>
          </w:p>
        </w:tc>
        <w:tc>
          <w:tcPr>
            <w:tcW w:w="506" w:type="pct"/>
            <w:vAlign w:val="center"/>
          </w:tcPr>
          <w:p>
            <w:pPr>
              <w:pStyle w:val="24"/>
              <w:rPr>
                <w:color w:val="auto"/>
              </w:rPr>
            </w:pPr>
            <w:r>
              <w:rPr>
                <w:color w:val="auto"/>
              </w:rPr>
              <w:t>≥60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南</w:t>
            </w:r>
          </w:p>
        </w:tc>
        <w:tc>
          <w:tcPr>
            <w:tcW w:w="1253" w:type="pct"/>
            <w:vAlign w:val="center"/>
          </w:tcPr>
          <w:p>
            <w:pPr>
              <w:pStyle w:val="24"/>
              <w:rPr>
                <w:color w:val="auto"/>
              </w:rPr>
            </w:pPr>
            <w:r>
              <w:rPr>
                <w:color w:val="auto"/>
              </w:rPr>
              <w:t>东营立洋化工有限公司</w:t>
            </w:r>
            <w:r>
              <w:rPr>
                <w:rFonts w:hint="eastAsia"/>
                <w:color w:val="auto"/>
                <w:lang w:val="en-US" w:eastAsia="zh-CN"/>
              </w:rPr>
              <w:t>围墙</w:t>
            </w:r>
            <w:r>
              <w:rPr>
                <w:color w:val="auto"/>
              </w:rPr>
              <w:t>（精细化工）</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360m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≥70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南</w:t>
            </w:r>
          </w:p>
        </w:tc>
        <w:tc>
          <w:tcPr>
            <w:tcW w:w="1253" w:type="pct"/>
            <w:vAlign w:val="center"/>
          </w:tcPr>
          <w:p>
            <w:pPr>
              <w:pStyle w:val="24"/>
              <w:rPr>
                <w:color w:val="auto"/>
              </w:rPr>
            </w:pPr>
            <w:r>
              <w:rPr>
                <w:color w:val="auto"/>
              </w:rPr>
              <w:t>山东神驰化工集团有限公司（石油化工企业甲类工艺装置）</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770m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4.1.10</w:t>
            </w:r>
          </w:p>
        </w:tc>
        <w:tc>
          <w:tcPr>
            <w:tcW w:w="506" w:type="pct"/>
            <w:vAlign w:val="center"/>
          </w:tcPr>
          <w:p>
            <w:pPr>
              <w:pStyle w:val="24"/>
              <w:rPr>
                <w:color w:val="auto"/>
              </w:rPr>
            </w:pPr>
            <w:r>
              <w:rPr>
                <w:color w:val="auto"/>
              </w:rPr>
              <w:t>≥50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西</w:t>
            </w:r>
          </w:p>
        </w:tc>
        <w:tc>
          <w:tcPr>
            <w:tcW w:w="1253" w:type="pct"/>
            <w:vAlign w:val="center"/>
          </w:tcPr>
          <w:p>
            <w:pPr>
              <w:pStyle w:val="24"/>
              <w:rPr>
                <w:color w:val="auto"/>
              </w:rPr>
            </w:pPr>
            <w:r>
              <w:rPr>
                <w:color w:val="auto"/>
              </w:rPr>
              <w:t>东营胜利中亚化工有限公司（石化企业甲类装置）</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700m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4.1.10</w:t>
            </w:r>
          </w:p>
        </w:tc>
        <w:tc>
          <w:tcPr>
            <w:tcW w:w="506" w:type="pct"/>
            <w:vAlign w:val="center"/>
          </w:tcPr>
          <w:p>
            <w:pPr>
              <w:pStyle w:val="24"/>
              <w:rPr>
                <w:color w:val="auto"/>
              </w:rPr>
            </w:pPr>
            <w:r>
              <w:rPr>
                <w:color w:val="auto"/>
              </w:rPr>
              <w:t>≥50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西</w:t>
            </w:r>
          </w:p>
        </w:tc>
        <w:tc>
          <w:tcPr>
            <w:tcW w:w="1253" w:type="pct"/>
            <w:vAlign w:val="center"/>
          </w:tcPr>
          <w:p>
            <w:pPr>
              <w:pStyle w:val="24"/>
              <w:rPr>
                <w:color w:val="auto"/>
              </w:rPr>
            </w:pPr>
            <w:r>
              <w:rPr>
                <w:color w:val="auto"/>
              </w:rPr>
              <w:t>东营宝莫环境工程有限公司办公楼</w:t>
            </w:r>
            <w:r>
              <w:rPr>
                <w:rFonts w:hint="eastAsia"/>
                <w:color w:val="auto"/>
                <w:lang w:val="en-US" w:eastAsia="zh-CN"/>
              </w:rPr>
              <w:t>围墙</w:t>
            </w:r>
            <w:r>
              <w:rPr>
                <w:color w:val="auto"/>
              </w:rPr>
              <w:t>（石化企业全厂性重要设施）</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690m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4.1.10</w:t>
            </w:r>
          </w:p>
        </w:tc>
        <w:tc>
          <w:tcPr>
            <w:tcW w:w="506" w:type="pct"/>
            <w:vAlign w:val="center"/>
          </w:tcPr>
          <w:p>
            <w:pPr>
              <w:pStyle w:val="24"/>
              <w:rPr>
                <w:color w:val="auto"/>
              </w:rPr>
            </w:pPr>
            <w:r>
              <w:rPr>
                <w:color w:val="auto"/>
              </w:rPr>
              <w:t>≥60</w:t>
            </w:r>
          </w:p>
        </w:tc>
        <w:tc>
          <w:tcPr>
            <w:tcW w:w="265" w:type="pct"/>
            <w:vAlign w:val="center"/>
          </w:tcPr>
          <w:p>
            <w:pPr>
              <w:pStyle w:val="24"/>
              <w:rPr>
                <w:color w:val="auto"/>
              </w:rPr>
            </w:pPr>
            <w:r>
              <w:rPr>
                <w:color w:val="auto"/>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400" w:type="pct"/>
            <w:vMerge w:val="continue"/>
            <w:vAlign w:val="center"/>
          </w:tcPr>
          <w:p>
            <w:pPr>
              <w:pStyle w:val="24"/>
              <w:rPr>
                <w:color w:val="auto"/>
              </w:rPr>
            </w:pPr>
          </w:p>
        </w:tc>
        <w:tc>
          <w:tcPr>
            <w:tcW w:w="424" w:type="pct"/>
            <w:vAlign w:val="center"/>
          </w:tcPr>
          <w:p>
            <w:pPr>
              <w:pStyle w:val="24"/>
              <w:rPr>
                <w:color w:val="auto"/>
              </w:rPr>
            </w:pPr>
            <w:r>
              <w:rPr>
                <w:color w:val="auto"/>
              </w:rPr>
              <w:t>西</w:t>
            </w:r>
          </w:p>
        </w:tc>
        <w:tc>
          <w:tcPr>
            <w:tcW w:w="1253" w:type="pct"/>
            <w:vAlign w:val="center"/>
          </w:tcPr>
          <w:p>
            <w:pPr>
              <w:pStyle w:val="24"/>
              <w:rPr>
                <w:color w:val="auto"/>
              </w:rPr>
            </w:pPr>
            <w:r>
              <w:rPr>
                <w:color w:val="auto"/>
              </w:rPr>
              <w:t>东营德佑环保科技有限公司</w:t>
            </w:r>
            <w:r>
              <w:rPr>
                <w:rFonts w:hint="eastAsia"/>
                <w:color w:val="auto"/>
              </w:rPr>
              <w:t>围墙</w:t>
            </w:r>
          </w:p>
        </w:tc>
        <w:tc>
          <w:tcPr>
            <w:tcW w:w="559" w:type="pct"/>
            <w:vMerge w:val="continue"/>
            <w:vAlign w:val="center"/>
          </w:tcPr>
          <w:p>
            <w:pPr>
              <w:pStyle w:val="24"/>
              <w:rPr>
                <w:color w:val="auto"/>
              </w:rPr>
            </w:pPr>
          </w:p>
        </w:tc>
        <w:tc>
          <w:tcPr>
            <w:tcW w:w="675" w:type="pct"/>
            <w:noWrap/>
            <w:vAlign w:val="center"/>
          </w:tcPr>
          <w:p>
            <w:pPr>
              <w:pStyle w:val="24"/>
              <w:rPr>
                <w:color w:val="auto"/>
              </w:rPr>
            </w:pPr>
            <w:r>
              <w:rPr>
                <w:color w:val="auto"/>
              </w:rPr>
              <w:t>约1km</w:t>
            </w:r>
          </w:p>
        </w:tc>
        <w:tc>
          <w:tcPr>
            <w:tcW w:w="914" w:type="pct"/>
            <w:vAlign w:val="center"/>
          </w:tcPr>
          <w:p>
            <w:pPr>
              <w:pStyle w:val="24"/>
              <w:rPr>
                <w:color w:val="auto"/>
              </w:rPr>
            </w:pPr>
            <w:r>
              <w:rPr>
                <w:color w:val="auto"/>
              </w:rPr>
              <w:t>GB50160-2008</w:t>
            </w:r>
          </w:p>
          <w:p>
            <w:pPr>
              <w:pStyle w:val="24"/>
              <w:rPr>
                <w:color w:val="auto"/>
              </w:rPr>
            </w:pPr>
            <w:r>
              <w:rPr>
                <w:color w:val="auto"/>
              </w:rPr>
              <w:t>（</w:t>
            </w:r>
            <w:r>
              <w:rPr>
                <w:rFonts w:hint="eastAsia"/>
                <w:color w:val="auto"/>
              </w:rPr>
              <w:t>2018年版</w:t>
            </w:r>
            <w:r>
              <w:rPr>
                <w:color w:val="auto"/>
              </w:rPr>
              <w:t>）</w:t>
            </w:r>
          </w:p>
          <w:p>
            <w:pPr>
              <w:pStyle w:val="24"/>
              <w:rPr>
                <w:color w:val="auto"/>
              </w:rPr>
            </w:pPr>
            <w:r>
              <w:rPr>
                <w:color w:val="auto"/>
              </w:rPr>
              <w:t>4.1.9</w:t>
            </w:r>
          </w:p>
        </w:tc>
        <w:tc>
          <w:tcPr>
            <w:tcW w:w="506" w:type="pct"/>
            <w:vAlign w:val="center"/>
          </w:tcPr>
          <w:p>
            <w:pPr>
              <w:pStyle w:val="24"/>
              <w:rPr>
                <w:color w:val="auto"/>
              </w:rPr>
            </w:pPr>
            <w:r>
              <w:rPr>
                <w:color w:val="auto"/>
              </w:rPr>
              <w:t>≥70</w:t>
            </w:r>
          </w:p>
        </w:tc>
        <w:tc>
          <w:tcPr>
            <w:tcW w:w="265" w:type="pct"/>
            <w:vAlign w:val="center"/>
          </w:tcPr>
          <w:p>
            <w:pPr>
              <w:pStyle w:val="24"/>
              <w:rPr>
                <w:color w:val="auto"/>
              </w:rPr>
            </w:pPr>
            <w:r>
              <w:rPr>
                <w:color w:val="auto"/>
              </w:rPr>
              <w:t>符合</w:t>
            </w:r>
          </w:p>
        </w:tc>
      </w:tr>
    </w:tbl>
    <w:p>
      <w:pPr>
        <w:pStyle w:val="6"/>
        <w:ind w:firstLine="560"/>
      </w:pPr>
      <w:r>
        <w:t>由上表可知，该项目与周边设施之间的间距符合《石油化工企业设计防火</w:t>
      </w:r>
      <w:r>
        <w:rPr>
          <w:rFonts w:hint="eastAsia"/>
          <w:lang w:val="en-US"/>
        </w:rPr>
        <w:t>标准</w:t>
      </w:r>
      <w:r>
        <w:rPr>
          <w:rFonts w:hint="eastAsia"/>
        </w:rPr>
        <w:t>（2018</w:t>
      </w:r>
      <w:r>
        <w:rPr>
          <w:rFonts w:hint="eastAsia"/>
          <w:lang w:val="en-US"/>
        </w:rPr>
        <w:t>年</w:t>
      </w:r>
      <w:r>
        <w:rPr>
          <w:rFonts w:hint="eastAsia"/>
        </w:rPr>
        <w:t>版）</w:t>
      </w:r>
      <w:r>
        <w:t>》（GB50160-2008）等标准、规范的要求。</w:t>
      </w:r>
    </w:p>
    <w:p>
      <w:pPr>
        <w:pStyle w:val="6"/>
        <w:ind w:firstLine="560"/>
      </w:pPr>
      <w:r>
        <w:t>（2）该项目厂内周边环境</w:t>
      </w:r>
    </w:p>
    <w:p>
      <w:pPr>
        <w:pStyle w:val="6"/>
        <w:ind w:firstLine="560"/>
      </w:pPr>
      <w:r>
        <w:rPr>
          <w:rFonts w:hint="eastAsia"/>
          <w:lang w:val="en-US"/>
        </w:rPr>
        <w:t>该项目拟建</w:t>
      </w:r>
      <w:r>
        <w:t>原油储罐</w:t>
      </w:r>
      <w:r>
        <w:rPr>
          <w:lang w:val="en-US"/>
        </w:rPr>
        <w:t>G-106</w:t>
      </w:r>
      <w:r>
        <w:t>位于厂区中部，其东侧为1#原油罐区</w:t>
      </w:r>
      <w:r>
        <w:rPr>
          <w:rFonts w:hint="eastAsia"/>
          <w:lang w:val="en-US"/>
        </w:rPr>
        <w:t>储罐</w:t>
      </w:r>
      <w:r>
        <w:t>（内浮顶10000m³）（甲类），西侧为13#催化原料罐区</w:t>
      </w:r>
      <w:r>
        <w:rPr>
          <w:rFonts w:hint="eastAsia"/>
          <w:lang w:val="en-US"/>
        </w:rPr>
        <w:t>储罐</w:t>
      </w:r>
      <w:r>
        <w:t>（拱顶罐5000m³），南侧为350万吨/年原料预处理及减粘装置（甲类），北侧为</w:t>
      </w:r>
      <w:r>
        <w:rPr>
          <w:rFonts w:hint="eastAsia"/>
          <w:lang w:val="en-US" w:eastAsia="zh-CN"/>
        </w:rPr>
        <w:t>40</w:t>
      </w:r>
      <w:r>
        <w:t>万吨/年延迟焦化装置（甲类）</w:t>
      </w:r>
      <w:r>
        <w:rPr>
          <w:rFonts w:hint="eastAsia"/>
          <w:lang w:eastAsia="zh-CN"/>
        </w:rPr>
        <w:t>（</w:t>
      </w:r>
      <w:r>
        <w:rPr>
          <w:rFonts w:hint="eastAsia"/>
          <w:lang w:val="en-US" w:eastAsia="zh-CN"/>
        </w:rPr>
        <w:t>现停用</w:t>
      </w:r>
      <w:r>
        <w:rPr>
          <w:rFonts w:hint="eastAsia"/>
          <w:lang w:eastAsia="zh-CN"/>
        </w:rPr>
        <w:t>）</w:t>
      </w:r>
      <w:r>
        <w:t>。该项目新建原油储罐在105#罐区预留位置建造，未超出预留位置范围。</w:t>
      </w:r>
    </w:p>
    <w:p>
      <w:pPr>
        <w:pStyle w:val="23"/>
        <w:rPr>
          <w:lang w:val="en-US"/>
        </w:rPr>
      </w:pPr>
      <w:r>
        <w:t>表2.3-</w:t>
      </w:r>
      <w:r>
        <w:rPr>
          <w:lang w:val="en-US"/>
        </w:rPr>
        <w:t>2</w:t>
      </w:r>
      <w:r>
        <w:t xml:space="preserve"> </w:t>
      </w:r>
      <w:r>
        <w:rPr>
          <w:lang w:val="en-US"/>
        </w:rPr>
        <w:t xml:space="preserve"> </w:t>
      </w:r>
      <w:r>
        <w:t>该项目与厂内周边设备设施之间的间</w:t>
      </w:r>
      <w:r>
        <w:rPr>
          <w:lang w:val="en-US"/>
        </w:rPr>
        <w:t>距</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743"/>
        <w:gridCol w:w="2516"/>
        <w:gridCol w:w="1524"/>
        <w:gridCol w:w="827"/>
        <w:gridCol w:w="765"/>
        <w:gridCol w:w="7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blHeader/>
          <w:jc w:val="center"/>
        </w:trPr>
        <w:tc>
          <w:tcPr>
            <w:tcW w:w="812" w:type="pct"/>
            <w:vMerge w:val="restart"/>
            <w:tcBorders>
              <w:tl2br w:val="nil"/>
              <w:tr2bl w:val="nil"/>
            </w:tcBorders>
            <w:vAlign w:val="center"/>
          </w:tcPr>
          <w:p>
            <w:pPr>
              <w:pStyle w:val="24"/>
              <w:rPr>
                <w:b/>
                <w:bCs/>
              </w:rPr>
            </w:pPr>
            <w:r>
              <w:rPr>
                <w:b/>
                <w:bCs/>
              </w:rPr>
              <w:t>装置</w:t>
            </w:r>
          </w:p>
        </w:tc>
        <w:tc>
          <w:tcPr>
            <w:tcW w:w="436" w:type="pct"/>
            <w:vMerge w:val="restart"/>
            <w:tcBorders>
              <w:tl2br w:val="nil"/>
              <w:tr2bl w:val="nil"/>
            </w:tcBorders>
            <w:vAlign w:val="center"/>
          </w:tcPr>
          <w:p>
            <w:pPr>
              <w:pStyle w:val="24"/>
              <w:rPr>
                <w:b/>
                <w:bCs/>
              </w:rPr>
            </w:pPr>
            <w:r>
              <w:rPr>
                <w:b/>
                <w:bCs/>
              </w:rPr>
              <w:t>方位</w:t>
            </w:r>
          </w:p>
        </w:tc>
        <w:tc>
          <w:tcPr>
            <w:tcW w:w="1476" w:type="pct"/>
            <w:vMerge w:val="restart"/>
            <w:tcBorders>
              <w:tl2br w:val="nil"/>
              <w:tr2bl w:val="nil"/>
            </w:tcBorders>
            <w:vAlign w:val="center"/>
          </w:tcPr>
          <w:p>
            <w:pPr>
              <w:pStyle w:val="24"/>
              <w:rPr>
                <w:b/>
                <w:bCs/>
              </w:rPr>
            </w:pPr>
            <w:r>
              <w:rPr>
                <w:b/>
                <w:bCs/>
              </w:rPr>
              <w:t>相邻装置或建构筑物名称</w:t>
            </w:r>
          </w:p>
        </w:tc>
        <w:tc>
          <w:tcPr>
            <w:tcW w:w="894" w:type="pct"/>
            <w:vMerge w:val="restart"/>
            <w:tcBorders>
              <w:tl2br w:val="nil"/>
              <w:tr2bl w:val="nil"/>
            </w:tcBorders>
            <w:vAlign w:val="center"/>
          </w:tcPr>
          <w:p>
            <w:pPr>
              <w:pStyle w:val="24"/>
              <w:rPr>
                <w:b/>
                <w:bCs/>
              </w:rPr>
            </w:pPr>
            <w:r>
              <w:rPr>
                <w:b/>
                <w:bCs/>
              </w:rPr>
              <w:t>依据规范</w:t>
            </w:r>
          </w:p>
        </w:tc>
        <w:tc>
          <w:tcPr>
            <w:tcW w:w="934" w:type="pct"/>
            <w:gridSpan w:val="2"/>
            <w:tcBorders>
              <w:tl2br w:val="nil"/>
              <w:tr2bl w:val="nil"/>
            </w:tcBorders>
            <w:vAlign w:val="center"/>
          </w:tcPr>
          <w:p>
            <w:pPr>
              <w:pStyle w:val="24"/>
              <w:rPr>
                <w:b/>
                <w:bCs/>
              </w:rPr>
            </w:pPr>
            <w:r>
              <w:rPr>
                <w:b/>
                <w:bCs/>
              </w:rPr>
              <w:t>防火距离（m）</w:t>
            </w:r>
          </w:p>
        </w:tc>
        <w:tc>
          <w:tcPr>
            <w:tcW w:w="446" w:type="pct"/>
            <w:vMerge w:val="restart"/>
            <w:tcBorders>
              <w:tl2br w:val="nil"/>
              <w:tr2bl w:val="nil"/>
            </w:tcBorders>
            <w:vAlign w:val="center"/>
          </w:tcPr>
          <w:p>
            <w:pPr>
              <w:pStyle w:val="24"/>
            </w:pPr>
            <w:r>
              <w:rPr>
                <w:b/>
                <w:bCs/>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blHeader/>
          <w:jc w:val="center"/>
        </w:trPr>
        <w:tc>
          <w:tcPr>
            <w:tcW w:w="812" w:type="pct"/>
            <w:vMerge w:val="continue"/>
            <w:tcBorders>
              <w:tl2br w:val="nil"/>
              <w:tr2bl w:val="nil"/>
            </w:tcBorders>
            <w:vAlign w:val="center"/>
          </w:tcPr>
          <w:p>
            <w:pPr>
              <w:pStyle w:val="24"/>
              <w:rPr>
                <w:b/>
                <w:bCs/>
              </w:rPr>
            </w:pPr>
          </w:p>
        </w:tc>
        <w:tc>
          <w:tcPr>
            <w:tcW w:w="436" w:type="pct"/>
            <w:vMerge w:val="continue"/>
            <w:tcBorders>
              <w:tl2br w:val="nil"/>
              <w:tr2bl w:val="nil"/>
            </w:tcBorders>
            <w:vAlign w:val="center"/>
          </w:tcPr>
          <w:p>
            <w:pPr>
              <w:pStyle w:val="24"/>
              <w:rPr>
                <w:b/>
                <w:bCs/>
              </w:rPr>
            </w:pPr>
          </w:p>
        </w:tc>
        <w:tc>
          <w:tcPr>
            <w:tcW w:w="1476" w:type="pct"/>
            <w:vMerge w:val="continue"/>
            <w:tcBorders>
              <w:tl2br w:val="nil"/>
              <w:tr2bl w:val="nil"/>
            </w:tcBorders>
            <w:vAlign w:val="center"/>
          </w:tcPr>
          <w:p>
            <w:pPr>
              <w:pStyle w:val="24"/>
              <w:rPr>
                <w:b/>
                <w:bCs/>
              </w:rPr>
            </w:pPr>
          </w:p>
        </w:tc>
        <w:tc>
          <w:tcPr>
            <w:tcW w:w="894" w:type="pct"/>
            <w:vMerge w:val="continue"/>
            <w:tcBorders>
              <w:tl2br w:val="nil"/>
              <w:tr2bl w:val="nil"/>
            </w:tcBorders>
            <w:vAlign w:val="center"/>
          </w:tcPr>
          <w:p>
            <w:pPr>
              <w:pStyle w:val="24"/>
              <w:rPr>
                <w:b/>
                <w:bCs/>
              </w:rPr>
            </w:pPr>
          </w:p>
        </w:tc>
        <w:tc>
          <w:tcPr>
            <w:tcW w:w="485" w:type="pct"/>
            <w:tcBorders>
              <w:tl2br w:val="nil"/>
              <w:tr2bl w:val="nil"/>
            </w:tcBorders>
            <w:vAlign w:val="center"/>
          </w:tcPr>
          <w:p>
            <w:pPr>
              <w:pStyle w:val="24"/>
              <w:rPr>
                <w:b/>
                <w:bCs/>
              </w:rPr>
            </w:pPr>
            <w:r>
              <w:rPr>
                <w:b/>
                <w:bCs/>
              </w:rPr>
              <w:t>规范要求</w:t>
            </w:r>
          </w:p>
        </w:tc>
        <w:tc>
          <w:tcPr>
            <w:tcW w:w="448" w:type="pct"/>
            <w:tcBorders>
              <w:tl2br w:val="nil"/>
              <w:tr2bl w:val="nil"/>
            </w:tcBorders>
            <w:vAlign w:val="center"/>
          </w:tcPr>
          <w:p>
            <w:pPr>
              <w:pStyle w:val="24"/>
              <w:rPr>
                <w:b/>
                <w:bCs/>
              </w:rPr>
            </w:pPr>
            <w:r>
              <w:rPr>
                <w:b/>
                <w:bCs/>
              </w:rPr>
              <w:t>设计距离</w:t>
            </w:r>
          </w:p>
        </w:tc>
        <w:tc>
          <w:tcPr>
            <w:tcW w:w="446" w:type="pct"/>
            <w:vMerge w:val="continue"/>
            <w:tcBorders>
              <w:tl2br w:val="nil"/>
              <w:tr2bl w:val="nil"/>
            </w:tcBorders>
            <w:vAlign w:val="center"/>
          </w:tcPr>
          <w:p>
            <w:pPr>
              <w:pStyle w:val="2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12" w:type="pct"/>
            <w:vMerge w:val="restart"/>
            <w:tcBorders>
              <w:tl2br w:val="nil"/>
              <w:tr2bl w:val="nil"/>
            </w:tcBorders>
            <w:vAlign w:val="center"/>
          </w:tcPr>
          <w:p>
            <w:pPr>
              <w:pStyle w:val="24"/>
            </w:pPr>
            <w:r>
              <w:t>30000m³原油储罐G-106（内浮顶，甲</w:t>
            </w:r>
            <w:r>
              <w:rPr>
                <w:rFonts w:hint="eastAsia"/>
                <w:vertAlign w:val="subscript"/>
              </w:rPr>
              <w:t>B</w:t>
            </w:r>
            <w:r>
              <w:t>类）</w:t>
            </w:r>
          </w:p>
        </w:tc>
        <w:tc>
          <w:tcPr>
            <w:tcW w:w="436" w:type="pct"/>
            <w:tcBorders>
              <w:tl2br w:val="nil"/>
              <w:tr2bl w:val="nil"/>
            </w:tcBorders>
            <w:vAlign w:val="center"/>
          </w:tcPr>
          <w:p>
            <w:pPr>
              <w:pStyle w:val="24"/>
            </w:pPr>
            <w:r>
              <w:t>南</w:t>
            </w:r>
          </w:p>
        </w:tc>
        <w:tc>
          <w:tcPr>
            <w:tcW w:w="1476" w:type="pct"/>
            <w:tcBorders>
              <w:tl2br w:val="nil"/>
              <w:tr2bl w:val="nil"/>
            </w:tcBorders>
            <w:vAlign w:val="center"/>
          </w:tcPr>
          <w:p>
            <w:pPr>
              <w:pStyle w:val="24"/>
            </w:pPr>
            <w:r>
              <w:t>350万吨/年原料预处理及减黏装置（甲类）</w:t>
            </w:r>
          </w:p>
        </w:tc>
        <w:tc>
          <w:tcPr>
            <w:tcW w:w="894" w:type="pct"/>
            <w:tcBorders>
              <w:tl2br w:val="nil"/>
              <w:tr2bl w:val="nil"/>
            </w:tcBorders>
            <w:vAlign w:val="center"/>
          </w:tcPr>
          <w:p>
            <w:pPr>
              <w:pStyle w:val="24"/>
            </w:pPr>
            <w:r>
              <w:t>GB50160-2008</w:t>
            </w:r>
          </w:p>
          <w:p>
            <w:pPr>
              <w:pStyle w:val="24"/>
            </w:pPr>
            <w:r>
              <w:t>（</w:t>
            </w:r>
            <w:r>
              <w:rPr>
                <w:rFonts w:hint="eastAsia"/>
              </w:rPr>
              <w:t>2018年版</w:t>
            </w:r>
            <w:r>
              <w:t>）4.2.12</w:t>
            </w:r>
          </w:p>
        </w:tc>
        <w:tc>
          <w:tcPr>
            <w:tcW w:w="485" w:type="pct"/>
            <w:tcBorders>
              <w:tl2br w:val="nil"/>
              <w:tr2bl w:val="nil"/>
            </w:tcBorders>
            <w:vAlign w:val="center"/>
          </w:tcPr>
          <w:p>
            <w:pPr>
              <w:pStyle w:val="24"/>
            </w:pPr>
            <w:r>
              <w:t>≥40</w:t>
            </w:r>
          </w:p>
        </w:tc>
        <w:tc>
          <w:tcPr>
            <w:tcW w:w="448" w:type="pct"/>
            <w:tcBorders>
              <w:tl2br w:val="nil"/>
              <w:tr2bl w:val="nil"/>
            </w:tcBorders>
            <w:vAlign w:val="center"/>
          </w:tcPr>
          <w:p>
            <w:pPr>
              <w:pStyle w:val="24"/>
            </w:pPr>
            <w:r>
              <w:t>90.5</w:t>
            </w:r>
          </w:p>
        </w:tc>
        <w:tc>
          <w:tcPr>
            <w:tcW w:w="446" w:type="pct"/>
            <w:tcBorders>
              <w:tl2br w:val="nil"/>
              <w:tr2bl w:val="nil"/>
            </w:tcBorders>
            <w:vAlign w:val="center"/>
          </w:tcPr>
          <w:p>
            <w:pPr>
              <w:pStyle w:val="24"/>
            </w:pPr>
            <w: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812" w:type="pct"/>
            <w:vMerge w:val="continue"/>
            <w:tcBorders>
              <w:tl2br w:val="nil"/>
              <w:tr2bl w:val="nil"/>
            </w:tcBorders>
            <w:vAlign w:val="center"/>
          </w:tcPr>
          <w:p>
            <w:pPr>
              <w:pStyle w:val="24"/>
            </w:pPr>
          </w:p>
        </w:tc>
        <w:tc>
          <w:tcPr>
            <w:tcW w:w="436" w:type="pct"/>
            <w:tcBorders>
              <w:tl2br w:val="nil"/>
              <w:tr2bl w:val="nil"/>
            </w:tcBorders>
            <w:vAlign w:val="center"/>
          </w:tcPr>
          <w:p>
            <w:pPr>
              <w:pStyle w:val="24"/>
            </w:pPr>
            <w:r>
              <w:t>西</w:t>
            </w:r>
          </w:p>
        </w:tc>
        <w:tc>
          <w:tcPr>
            <w:tcW w:w="1476" w:type="pct"/>
            <w:tcBorders>
              <w:tl2br w:val="nil"/>
              <w:tr2bl w:val="nil"/>
            </w:tcBorders>
            <w:vAlign w:val="center"/>
          </w:tcPr>
          <w:p>
            <w:pPr>
              <w:pStyle w:val="24"/>
            </w:pPr>
            <w:r>
              <w:t>13#催化原料罐区</w:t>
            </w:r>
            <w:r>
              <w:rPr>
                <w:rFonts w:hint="eastAsia"/>
              </w:rPr>
              <w:t>储罐</w:t>
            </w:r>
            <w:r>
              <w:t>（拱顶罐5000m³）</w:t>
            </w:r>
          </w:p>
        </w:tc>
        <w:tc>
          <w:tcPr>
            <w:tcW w:w="894" w:type="pct"/>
            <w:tcBorders>
              <w:tl2br w:val="nil"/>
              <w:tr2bl w:val="nil"/>
            </w:tcBorders>
            <w:vAlign w:val="center"/>
          </w:tcPr>
          <w:p>
            <w:pPr>
              <w:pStyle w:val="24"/>
            </w:pPr>
            <w:r>
              <w:t>GB50160-2008</w:t>
            </w:r>
          </w:p>
          <w:p>
            <w:pPr>
              <w:pStyle w:val="24"/>
            </w:pPr>
            <w:r>
              <w:t>（</w:t>
            </w:r>
            <w:r>
              <w:rPr>
                <w:rFonts w:hint="eastAsia"/>
              </w:rPr>
              <w:t>2018年版</w:t>
            </w:r>
            <w:r>
              <w:t>）6.2.8</w:t>
            </w:r>
          </w:p>
        </w:tc>
        <w:tc>
          <w:tcPr>
            <w:tcW w:w="485" w:type="pct"/>
            <w:tcBorders>
              <w:tl2br w:val="nil"/>
              <w:tr2bl w:val="nil"/>
            </w:tcBorders>
            <w:vAlign w:val="center"/>
          </w:tcPr>
          <w:p>
            <w:pPr>
              <w:pStyle w:val="24"/>
              <w:rPr>
                <w:rFonts w:hint="eastAsia" w:eastAsia="宋体"/>
                <w:lang w:val="en-US" w:eastAsia="zh-CN"/>
              </w:rPr>
            </w:pPr>
            <w:r>
              <w:t>≥18.4</w:t>
            </w:r>
            <w:r>
              <w:rPr>
                <w:rFonts w:hint="eastAsia"/>
                <w:vertAlign w:val="superscript"/>
                <w:lang w:val="en-US" w:eastAsia="zh-CN"/>
              </w:rPr>
              <w:t>①</w:t>
            </w:r>
          </w:p>
        </w:tc>
        <w:tc>
          <w:tcPr>
            <w:tcW w:w="448" w:type="pct"/>
            <w:tcBorders>
              <w:tl2br w:val="nil"/>
              <w:tr2bl w:val="nil"/>
            </w:tcBorders>
            <w:vAlign w:val="center"/>
          </w:tcPr>
          <w:p>
            <w:pPr>
              <w:pStyle w:val="24"/>
            </w:pPr>
            <w:r>
              <w:t>150</w:t>
            </w:r>
          </w:p>
        </w:tc>
        <w:tc>
          <w:tcPr>
            <w:tcW w:w="446" w:type="pct"/>
            <w:tcBorders>
              <w:tl2br w:val="nil"/>
              <w:tr2bl w:val="nil"/>
            </w:tcBorders>
            <w:vAlign w:val="center"/>
          </w:tcPr>
          <w:p>
            <w:pPr>
              <w:pStyle w:val="24"/>
            </w:pPr>
            <w: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812" w:type="pct"/>
            <w:vMerge w:val="continue"/>
            <w:tcBorders>
              <w:tl2br w:val="nil"/>
              <w:tr2bl w:val="nil"/>
            </w:tcBorders>
            <w:vAlign w:val="center"/>
          </w:tcPr>
          <w:p>
            <w:pPr>
              <w:pStyle w:val="24"/>
            </w:pPr>
          </w:p>
        </w:tc>
        <w:tc>
          <w:tcPr>
            <w:tcW w:w="436" w:type="pct"/>
            <w:tcBorders>
              <w:tl2br w:val="nil"/>
              <w:tr2bl w:val="nil"/>
            </w:tcBorders>
            <w:vAlign w:val="center"/>
          </w:tcPr>
          <w:p>
            <w:pPr>
              <w:pStyle w:val="24"/>
            </w:pPr>
            <w:r>
              <w:t>北</w:t>
            </w:r>
          </w:p>
        </w:tc>
        <w:tc>
          <w:tcPr>
            <w:tcW w:w="1476" w:type="pct"/>
            <w:tcBorders>
              <w:tl2br w:val="nil"/>
              <w:tr2bl w:val="nil"/>
            </w:tcBorders>
            <w:vAlign w:val="center"/>
          </w:tcPr>
          <w:p>
            <w:pPr>
              <w:pStyle w:val="24"/>
            </w:pPr>
            <w:r>
              <w:rPr>
                <w:rFonts w:hint="eastAsia"/>
                <w:lang w:val="en-US" w:eastAsia="zh-CN"/>
              </w:rPr>
              <w:t>40</w:t>
            </w:r>
            <w:r>
              <w:t>万吨/年延迟焦化装置（甲类）（现停用）</w:t>
            </w:r>
          </w:p>
        </w:tc>
        <w:tc>
          <w:tcPr>
            <w:tcW w:w="894" w:type="pct"/>
            <w:tcBorders>
              <w:tl2br w:val="nil"/>
              <w:tr2bl w:val="nil"/>
            </w:tcBorders>
            <w:vAlign w:val="center"/>
          </w:tcPr>
          <w:p>
            <w:pPr>
              <w:pStyle w:val="24"/>
            </w:pPr>
            <w:r>
              <w:t>GB50160-2008</w:t>
            </w:r>
          </w:p>
          <w:p>
            <w:pPr>
              <w:pStyle w:val="24"/>
            </w:pPr>
            <w:r>
              <w:t>（</w:t>
            </w:r>
            <w:r>
              <w:rPr>
                <w:rFonts w:hint="eastAsia"/>
              </w:rPr>
              <w:t>2018年版</w:t>
            </w:r>
            <w:r>
              <w:t>）4.2.12</w:t>
            </w:r>
          </w:p>
        </w:tc>
        <w:tc>
          <w:tcPr>
            <w:tcW w:w="485" w:type="pct"/>
            <w:tcBorders>
              <w:tl2br w:val="nil"/>
              <w:tr2bl w:val="nil"/>
            </w:tcBorders>
            <w:vAlign w:val="center"/>
          </w:tcPr>
          <w:p>
            <w:pPr>
              <w:pStyle w:val="24"/>
            </w:pPr>
            <w:r>
              <w:t>≥40</w:t>
            </w:r>
          </w:p>
        </w:tc>
        <w:tc>
          <w:tcPr>
            <w:tcW w:w="448" w:type="pct"/>
            <w:tcBorders>
              <w:tl2br w:val="nil"/>
              <w:tr2bl w:val="nil"/>
            </w:tcBorders>
            <w:vAlign w:val="center"/>
          </w:tcPr>
          <w:p>
            <w:pPr>
              <w:pStyle w:val="24"/>
            </w:pPr>
            <w:r>
              <w:t>47.5</w:t>
            </w:r>
          </w:p>
        </w:tc>
        <w:tc>
          <w:tcPr>
            <w:tcW w:w="446" w:type="pct"/>
            <w:tcBorders>
              <w:tl2br w:val="nil"/>
              <w:tr2bl w:val="nil"/>
            </w:tcBorders>
            <w:vAlign w:val="center"/>
          </w:tcPr>
          <w:p>
            <w:pPr>
              <w:pStyle w:val="24"/>
            </w:pPr>
            <w: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1" w:hRule="atLeast"/>
          <w:jc w:val="center"/>
        </w:trPr>
        <w:tc>
          <w:tcPr>
            <w:tcW w:w="812" w:type="pct"/>
            <w:vMerge w:val="continue"/>
            <w:tcBorders>
              <w:tl2br w:val="nil"/>
              <w:tr2bl w:val="nil"/>
            </w:tcBorders>
            <w:vAlign w:val="center"/>
          </w:tcPr>
          <w:p>
            <w:pPr>
              <w:pStyle w:val="24"/>
            </w:pPr>
          </w:p>
        </w:tc>
        <w:tc>
          <w:tcPr>
            <w:tcW w:w="436" w:type="pct"/>
            <w:tcBorders>
              <w:tl2br w:val="nil"/>
              <w:tr2bl w:val="nil"/>
            </w:tcBorders>
            <w:vAlign w:val="center"/>
          </w:tcPr>
          <w:p>
            <w:pPr>
              <w:pStyle w:val="24"/>
            </w:pPr>
            <w:r>
              <w:t>西南</w:t>
            </w:r>
          </w:p>
        </w:tc>
        <w:tc>
          <w:tcPr>
            <w:tcW w:w="1476" w:type="pct"/>
            <w:tcBorders>
              <w:tl2br w:val="nil"/>
              <w:tr2bl w:val="nil"/>
            </w:tcBorders>
            <w:vAlign w:val="center"/>
          </w:tcPr>
          <w:p>
            <w:pPr>
              <w:pStyle w:val="24"/>
            </w:pPr>
            <w:r>
              <w:t>油品储运控制室（第一类区域性重要设施）</w:t>
            </w:r>
          </w:p>
        </w:tc>
        <w:tc>
          <w:tcPr>
            <w:tcW w:w="894" w:type="pct"/>
            <w:tcBorders>
              <w:tl2br w:val="nil"/>
              <w:tr2bl w:val="nil"/>
            </w:tcBorders>
            <w:vAlign w:val="center"/>
          </w:tcPr>
          <w:p>
            <w:pPr>
              <w:pStyle w:val="24"/>
            </w:pPr>
            <w:r>
              <w:t>GB50160-2008</w:t>
            </w:r>
          </w:p>
          <w:p>
            <w:pPr>
              <w:pStyle w:val="24"/>
            </w:pPr>
            <w:r>
              <w:t>（</w:t>
            </w:r>
            <w:r>
              <w:rPr>
                <w:rFonts w:hint="eastAsia"/>
              </w:rPr>
              <w:t>2018年版</w:t>
            </w:r>
            <w:r>
              <w:t>）4.2.12</w:t>
            </w:r>
          </w:p>
        </w:tc>
        <w:tc>
          <w:tcPr>
            <w:tcW w:w="485" w:type="pct"/>
            <w:tcBorders>
              <w:tl2br w:val="nil"/>
              <w:tr2bl w:val="nil"/>
            </w:tcBorders>
            <w:vAlign w:val="center"/>
          </w:tcPr>
          <w:p>
            <w:pPr>
              <w:pStyle w:val="24"/>
              <w:rPr>
                <w:rFonts w:hint="eastAsia" w:eastAsia="宋体"/>
                <w:lang w:val="en-US" w:eastAsia="zh-CN"/>
              </w:rPr>
            </w:pPr>
            <w:r>
              <w:t>≥37.5</w:t>
            </w:r>
            <w:r>
              <w:rPr>
                <w:rFonts w:hint="eastAsia"/>
                <w:vertAlign w:val="superscript"/>
                <w:lang w:val="en-US" w:eastAsia="zh-CN"/>
              </w:rPr>
              <w:t>②</w:t>
            </w:r>
          </w:p>
        </w:tc>
        <w:tc>
          <w:tcPr>
            <w:tcW w:w="448" w:type="pct"/>
            <w:tcBorders>
              <w:tl2br w:val="nil"/>
              <w:tr2bl w:val="nil"/>
            </w:tcBorders>
            <w:vAlign w:val="center"/>
          </w:tcPr>
          <w:p>
            <w:pPr>
              <w:pStyle w:val="24"/>
            </w:pPr>
            <w:r>
              <w:t>55.7</w:t>
            </w:r>
          </w:p>
        </w:tc>
        <w:tc>
          <w:tcPr>
            <w:tcW w:w="446" w:type="pct"/>
            <w:tcBorders>
              <w:tl2br w:val="nil"/>
              <w:tr2bl w:val="nil"/>
            </w:tcBorders>
            <w:vAlign w:val="center"/>
          </w:tcPr>
          <w:p>
            <w:pPr>
              <w:pStyle w:val="24"/>
            </w:pPr>
            <w: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812" w:type="pct"/>
            <w:vMerge w:val="restart"/>
            <w:tcBorders>
              <w:tl2br w:val="nil"/>
              <w:tr2bl w:val="nil"/>
            </w:tcBorders>
            <w:vAlign w:val="center"/>
          </w:tcPr>
          <w:p>
            <w:pPr>
              <w:pStyle w:val="24"/>
              <w:rPr>
                <w:rFonts w:hint="eastAsia" w:eastAsia="宋体"/>
                <w:lang w:eastAsia="zh-CN"/>
              </w:rPr>
            </w:pPr>
            <w:r>
              <w:t>新建泡沫站</w:t>
            </w:r>
            <w:r>
              <w:rPr>
                <w:rFonts w:hint="eastAsia"/>
                <w:lang w:eastAsia="zh-CN"/>
              </w:rPr>
              <w:t>（</w:t>
            </w:r>
            <w:r>
              <w:rPr>
                <w:rFonts w:hint="eastAsia"/>
                <w:lang w:val="en-US" w:eastAsia="zh-CN"/>
              </w:rPr>
              <w:t>第一类区域性重要设施</w:t>
            </w:r>
            <w:r>
              <w:rPr>
                <w:rFonts w:hint="eastAsia"/>
                <w:lang w:eastAsia="zh-CN"/>
              </w:rPr>
              <w:t>）</w:t>
            </w:r>
          </w:p>
        </w:tc>
        <w:tc>
          <w:tcPr>
            <w:tcW w:w="436" w:type="pct"/>
            <w:tcBorders>
              <w:tl2br w:val="nil"/>
              <w:tr2bl w:val="nil"/>
            </w:tcBorders>
            <w:vAlign w:val="center"/>
          </w:tcPr>
          <w:p>
            <w:pPr>
              <w:pStyle w:val="24"/>
            </w:pPr>
            <w:r>
              <w:t>东</w:t>
            </w:r>
          </w:p>
        </w:tc>
        <w:tc>
          <w:tcPr>
            <w:tcW w:w="1476" w:type="pct"/>
            <w:tcBorders>
              <w:tl2br w:val="nil"/>
              <w:tr2bl w:val="nil"/>
            </w:tcBorders>
            <w:vAlign w:val="center"/>
          </w:tcPr>
          <w:p>
            <w:pPr>
              <w:pStyle w:val="24"/>
            </w:pPr>
            <w:r>
              <w:t>1#原油罐区</w:t>
            </w:r>
            <w:r>
              <w:rPr>
                <w:rFonts w:hint="eastAsia"/>
              </w:rPr>
              <w:t>储罐</w:t>
            </w:r>
            <w:r>
              <w:t>（内浮顶10000m³）（甲类）</w:t>
            </w:r>
          </w:p>
        </w:tc>
        <w:tc>
          <w:tcPr>
            <w:tcW w:w="894" w:type="pct"/>
            <w:tcBorders>
              <w:tl2br w:val="nil"/>
              <w:tr2bl w:val="nil"/>
            </w:tcBorders>
            <w:vAlign w:val="center"/>
          </w:tcPr>
          <w:p>
            <w:pPr>
              <w:pStyle w:val="24"/>
            </w:pPr>
            <w:r>
              <w:t>GB50151-2021</w:t>
            </w:r>
          </w:p>
          <w:p>
            <w:pPr>
              <w:pStyle w:val="24"/>
            </w:pPr>
            <w:r>
              <w:t>7.1.7</w:t>
            </w:r>
          </w:p>
        </w:tc>
        <w:tc>
          <w:tcPr>
            <w:tcW w:w="485" w:type="pct"/>
            <w:tcBorders>
              <w:tl2br w:val="nil"/>
              <w:tr2bl w:val="nil"/>
            </w:tcBorders>
            <w:vAlign w:val="center"/>
          </w:tcPr>
          <w:p>
            <w:pPr>
              <w:pStyle w:val="24"/>
            </w:pPr>
            <w:r>
              <w:t>≥20</w:t>
            </w:r>
          </w:p>
        </w:tc>
        <w:tc>
          <w:tcPr>
            <w:tcW w:w="448" w:type="pct"/>
            <w:tcBorders>
              <w:tl2br w:val="nil"/>
              <w:tr2bl w:val="nil"/>
            </w:tcBorders>
            <w:vAlign w:val="center"/>
          </w:tcPr>
          <w:p>
            <w:pPr>
              <w:pStyle w:val="24"/>
            </w:pPr>
            <w:r>
              <w:t>170</w:t>
            </w:r>
          </w:p>
        </w:tc>
        <w:tc>
          <w:tcPr>
            <w:tcW w:w="446" w:type="pct"/>
            <w:tcBorders>
              <w:tl2br w:val="nil"/>
              <w:tr2bl w:val="nil"/>
            </w:tcBorders>
            <w:vAlign w:val="center"/>
          </w:tcPr>
          <w:p>
            <w:pPr>
              <w:pStyle w:val="24"/>
            </w:pPr>
            <w: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812" w:type="pct"/>
            <w:vMerge w:val="continue"/>
            <w:tcBorders>
              <w:tl2br w:val="nil"/>
              <w:tr2bl w:val="nil"/>
            </w:tcBorders>
            <w:vAlign w:val="center"/>
          </w:tcPr>
          <w:p>
            <w:pPr>
              <w:pStyle w:val="24"/>
            </w:pPr>
          </w:p>
        </w:tc>
        <w:tc>
          <w:tcPr>
            <w:tcW w:w="436" w:type="pct"/>
            <w:vMerge w:val="restart"/>
            <w:tcBorders>
              <w:tl2br w:val="nil"/>
              <w:tr2bl w:val="nil"/>
            </w:tcBorders>
            <w:vAlign w:val="center"/>
          </w:tcPr>
          <w:p>
            <w:pPr>
              <w:pStyle w:val="24"/>
            </w:pPr>
            <w:r>
              <w:t>西</w:t>
            </w:r>
          </w:p>
        </w:tc>
        <w:tc>
          <w:tcPr>
            <w:tcW w:w="1476" w:type="pct"/>
            <w:tcBorders>
              <w:tl2br w:val="nil"/>
              <w:tr2bl w:val="nil"/>
            </w:tcBorders>
            <w:vAlign w:val="center"/>
          </w:tcPr>
          <w:p>
            <w:pPr>
              <w:pStyle w:val="24"/>
            </w:pPr>
            <w:r>
              <w:t>13#催化原料罐区</w:t>
            </w:r>
            <w:r>
              <w:rPr>
                <w:rFonts w:hint="eastAsia"/>
              </w:rPr>
              <w:t>储罐</w:t>
            </w:r>
            <w:r>
              <w:t>（拱顶罐5000m³）</w:t>
            </w:r>
          </w:p>
        </w:tc>
        <w:tc>
          <w:tcPr>
            <w:tcW w:w="894" w:type="pct"/>
            <w:tcBorders>
              <w:tl2br w:val="nil"/>
              <w:tr2bl w:val="nil"/>
            </w:tcBorders>
            <w:vAlign w:val="center"/>
          </w:tcPr>
          <w:p>
            <w:pPr>
              <w:pStyle w:val="24"/>
            </w:pPr>
            <w:r>
              <w:t>GB50151-2021</w:t>
            </w:r>
          </w:p>
          <w:p>
            <w:pPr>
              <w:pStyle w:val="24"/>
            </w:pPr>
            <w:r>
              <w:t>7.1.7</w:t>
            </w:r>
          </w:p>
        </w:tc>
        <w:tc>
          <w:tcPr>
            <w:tcW w:w="485" w:type="pct"/>
            <w:tcBorders>
              <w:tl2br w:val="nil"/>
              <w:tr2bl w:val="nil"/>
            </w:tcBorders>
            <w:vAlign w:val="center"/>
          </w:tcPr>
          <w:p>
            <w:pPr>
              <w:pStyle w:val="24"/>
            </w:pPr>
            <w:r>
              <w:t>≥20</w:t>
            </w:r>
          </w:p>
        </w:tc>
        <w:tc>
          <w:tcPr>
            <w:tcW w:w="448" w:type="pct"/>
            <w:tcBorders>
              <w:tl2br w:val="nil"/>
              <w:tr2bl w:val="nil"/>
            </w:tcBorders>
            <w:vAlign w:val="center"/>
          </w:tcPr>
          <w:p>
            <w:pPr>
              <w:pStyle w:val="24"/>
            </w:pPr>
            <w:r>
              <w:t>139</w:t>
            </w:r>
          </w:p>
        </w:tc>
        <w:tc>
          <w:tcPr>
            <w:tcW w:w="446" w:type="pct"/>
            <w:tcBorders>
              <w:tl2br w:val="nil"/>
              <w:tr2bl w:val="nil"/>
            </w:tcBorders>
            <w:vAlign w:val="center"/>
          </w:tcPr>
          <w:p>
            <w:pPr>
              <w:pStyle w:val="24"/>
            </w:pPr>
            <w: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812" w:type="pct"/>
            <w:vMerge w:val="continue"/>
            <w:tcBorders>
              <w:tl2br w:val="nil"/>
              <w:tr2bl w:val="nil"/>
            </w:tcBorders>
            <w:vAlign w:val="center"/>
          </w:tcPr>
          <w:p>
            <w:pPr>
              <w:pStyle w:val="24"/>
              <w:rPr>
                <w:color w:val="auto"/>
              </w:rPr>
            </w:pPr>
          </w:p>
        </w:tc>
        <w:tc>
          <w:tcPr>
            <w:tcW w:w="436" w:type="pct"/>
            <w:vMerge w:val="continue"/>
            <w:tcBorders>
              <w:tl2br w:val="nil"/>
              <w:tr2bl w:val="nil"/>
            </w:tcBorders>
            <w:vAlign w:val="center"/>
          </w:tcPr>
          <w:p>
            <w:pPr>
              <w:pStyle w:val="24"/>
              <w:rPr>
                <w:color w:val="auto"/>
              </w:rPr>
            </w:pPr>
          </w:p>
        </w:tc>
        <w:tc>
          <w:tcPr>
            <w:tcW w:w="1476" w:type="pct"/>
            <w:tcBorders>
              <w:tl2br w:val="nil"/>
              <w:tr2bl w:val="nil"/>
            </w:tcBorders>
            <w:vAlign w:val="center"/>
          </w:tcPr>
          <w:p>
            <w:pPr>
              <w:pStyle w:val="24"/>
              <w:rPr>
                <w:rFonts w:hint="default" w:eastAsia="宋体"/>
                <w:color w:val="auto"/>
                <w:lang w:val="en-US" w:eastAsia="zh-CN"/>
              </w:rPr>
            </w:pPr>
            <w:r>
              <w:rPr>
                <w:rFonts w:hint="eastAsia"/>
                <w:color w:val="auto"/>
                <w:lang w:val="en-US" w:eastAsia="zh-CN"/>
              </w:rPr>
              <w:t>油品储运控制室（第一类区域性重要设施）</w:t>
            </w:r>
          </w:p>
        </w:tc>
        <w:tc>
          <w:tcPr>
            <w:tcW w:w="894" w:type="pct"/>
            <w:tcBorders>
              <w:tl2br w:val="nil"/>
              <w:tr2bl w:val="nil"/>
            </w:tcBorders>
            <w:vAlign w:val="center"/>
          </w:tcPr>
          <w:p>
            <w:pPr>
              <w:pStyle w:val="24"/>
              <w:rPr>
                <w:rFonts w:hint="eastAsia" w:eastAsia="宋体"/>
                <w:color w:val="auto"/>
                <w:lang w:val="en-US" w:eastAsia="zh-CN"/>
              </w:rPr>
            </w:pPr>
            <w:r>
              <w:rPr>
                <w:rFonts w:hint="eastAsia"/>
                <w:color w:val="auto"/>
                <w:lang w:val="en-US" w:eastAsia="zh-CN"/>
              </w:rPr>
              <w:t>-</w:t>
            </w:r>
          </w:p>
        </w:tc>
        <w:tc>
          <w:tcPr>
            <w:tcW w:w="485" w:type="pct"/>
            <w:tcBorders>
              <w:tl2br w:val="nil"/>
              <w:tr2bl w:val="nil"/>
            </w:tcBorders>
            <w:vAlign w:val="center"/>
          </w:tcPr>
          <w:p>
            <w:pPr>
              <w:pStyle w:val="24"/>
              <w:rPr>
                <w:rFonts w:hint="eastAsia" w:eastAsia="宋体"/>
                <w:color w:val="auto"/>
                <w:lang w:val="en-US" w:eastAsia="zh-CN"/>
              </w:rPr>
            </w:pPr>
            <w:r>
              <w:rPr>
                <w:rFonts w:hint="eastAsia"/>
                <w:color w:val="auto"/>
                <w:lang w:val="en-US" w:eastAsia="zh-CN"/>
              </w:rPr>
              <w:t>-</w:t>
            </w:r>
          </w:p>
        </w:tc>
        <w:tc>
          <w:tcPr>
            <w:tcW w:w="448" w:type="pct"/>
            <w:tcBorders>
              <w:tl2br w:val="nil"/>
              <w:tr2bl w:val="nil"/>
            </w:tcBorders>
            <w:vAlign w:val="center"/>
          </w:tcPr>
          <w:p>
            <w:pPr>
              <w:pStyle w:val="24"/>
              <w:rPr>
                <w:rFonts w:hint="default" w:eastAsia="宋体"/>
                <w:color w:val="auto"/>
                <w:lang w:val="en-US" w:eastAsia="zh-CN"/>
              </w:rPr>
            </w:pPr>
            <w:r>
              <w:rPr>
                <w:rFonts w:hint="eastAsia"/>
                <w:color w:val="auto"/>
                <w:lang w:val="en-US" w:eastAsia="zh-CN"/>
              </w:rPr>
              <w:t>11</w:t>
            </w:r>
          </w:p>
        </w:tc>
        <w:tc>
          <w:tcPr>
            <w:tcW w:w="446" w:type="pct"/>
            <w:tcBorders>
              <w:tl2br w:val="nil"/>
              <w:tr2bl w:val="nil"/>
            </w:tcBorders>
            <w:vAlign w:val="center"/>
          </w:tcPr>
          <w:p>
            <w:pPr>
              <w:pStyle w:val="24"/>
              <w:rPr>
                <w:rFonts w:hint="default" w:eastAsia="宋体"/>
                <w:color w:val="auto"/>
                <w:lang w:val="en-US" w:eastAsia="zh-CN"/>
              </w:rPr>
            </w:pPr>
            <w:r>
              <w:rPr>
                <w:rFonts w:hint="eastAsia"/>
                <w:color w:val="auto"/>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812" w:type="pct"/>
            <w:vMerge w:val="continue"/>
            <w:tcBorders>
              <w:tl2br w:val="nil"/>
              <w:tr2bl w:val="nil"/>
            </w:tcBorders>
            <w:vAlign w:val="center"/>
          </w:tcPr>
          <w:p>
            <w:pPr>
              <w:pStyle w:val="24"/>
              <w:rPr>
                <w:color w:val="auto"/>
              </w:rPr>
            </w:pPr>
          </w:p>
        </w:tc>
        <w:tc>
          <w:tcPr>
            <w:tcW w:w="436" w:type="pct"/>
            <w:vMerge w:val="restart"/>
            <w:tcBorders>
              <w:tl2br w:val="nil"/>
              <w:tr2bl w:val="nil"/>
            </w:tcBorders>
            <w:vAlign w:val="center"/>
          </w:tcPr>
          <w:p>
            <w:pPr>
              <w:pStyle w:val="24"/>
              <w:rPr>
                <w:rFonts w:hint="eastAsia"/>
                <w:color w:val="auto"/>
                <w:lang w:val="en-US" w:eastAsia="zh-CN"/>
              </w:rPr>
            </w:pPr>
            <w:r>
              <w:rPr>
                <w:rFonts w:hint="eastAsia"/>
                <w:color w:val="auto"/>
                <w:lang w:val="en-US" w:eastAsia="zh-CN"/>
              </w:rPr>
              <w:t>南</w:t>
            </w:r>
          </w:p>
          <w:p>
            <w:pPr>
              <w:pStyle w:val="24"/>
              <w:rPr>
                <w:rFonts w:hint="eastAsia" w:eastAsia="宋体"/>
                <w:color w:val="auto"/>
                <w:lang w:val="en-US" w:eastAsia="zh-CN"/>
              </w:rPr>
            </w:pPr>
            <w:r>
              <w:rPr>
                <w:rFonts w:hint="eastAsia"/>
                <w:color w:val="auto"/>
                <w:lang w:val="en-US" w:eastAsia="zh-CN"/>
              </w:rPr>
              <w:t>南</w:t>
            </w:r>
          </w:p>
        </w:tc>
        <w:tc>
          <w:tcPr>
            <w:tcW w:w="1476" w:type="pct"/>
            <w:tcBorders>
              <w:tl2br w:val="nil"/>
              <w:tr2bl w:val="nil"/>
            </w:tcBorders>
            <w:vAlign w:val="center"/>
          </w:tcPr>
          <w:p>
            <w:pPr>
              <w:pStyle w:val="24"/>
              <w:rPr>
                <w:rFonts w:hint="eastAsia"/>
                <w:color w:val="auto"/>
                <w:lang w:val="en-US" w:eastAsia="zh-CN"/>
              </w:rPr>
            </w:pPr>
            <w:r>
              <w:rPr>
                <w:rFonts w:hint="eastAsia"/>
                <w:color w:val="auto"/>
                <w:lang w:val="en-US" w:eastAsia="zh-CN"/>
              </w:rPr>
              <w:t>220万吨/年常减压蒸馏装置（甲类）</w:t>
            </w:r>
          </w:p>
        </w:tc>
        <w:tc>
          <w:tcPr>
            <w:tcW w:w="894" w:type="pct"/>
            <w:tcBorders>
              <w:tl2br w:val="nil"/>
              <w:tr2bl w:val="nil"/>
            </w:tcBorders>
            <w:vAlign w:val="center"/>
          </w:tcPr>
          <w:p>
            <w:pPr>
              <w:pStyle w:val="24"/>
              <w:rPr>
                <w:rFonts w:hint="eastAsia"/>
                <w:color w:val="auto"/>
                <w:lang w:val="en-US" w:eastAsia="zh-CN"/>
              </w:rPr>
            </w:pPr>
            <w:r>
              <w:rPr>
                <w:rFonts w:hint="eastAsia"/>
                <w:color w:val="auto"/>
                <w:lang w:val="en-US" w:eastAsia="zh-CN"/>
              </w:rPr>
              <w:t>GB50160-2008</w:t>
            </w:r>
          </w:p>
          <w:p>
            <w:pPr>
              <w:pStyle w:val="24"/>
              <w:rPr>
                <w:rFonts w:hint="eastAsia"/>
                <w:color w:val="auto"/>
                <w:lang w:val="en-US" w:eastAsia="zh-CN"/>
              </w:rPr>
            </w:pPr>
            <w:r>
              <w:rPr>
                <w:rFonts w:hint="eastAsia"/>
                <w:color w:val="auto"/>
                <w:lang w:val="en-US" w:eastAsia="zh-CN"/>
              </w:rPr>
              <w:t>（2018年版）4.2.12</w:t>
            </w:r>
          </w:p>
        </w:tc>
        <w:tc>
          <w:tcPr>
            <w:tcW w:w="485" w:type="pct"/>
            <w:tcBorders>
              <w:tl2br w:val="nil"/>
              <w:tr2bl w:val="nil"/>
            </w:tcBorders>
            <w:vAlign w:val="center"/>
          </w:tcPr>
          <w:p>
            <w:pPr>
              <w:pStyle w:val="24"/>
              <w:rPr>
                <w:rFonts w:hint="eastAsia"/>
                <w:color w:val="auto"/>
                <w:lang w:val="en-US" w:eastAsia="zh-CN"/>
              </w:rPr>
            </w:pPr>
            <w:r>
              <w:rPr>
                <w:rFonts w:hint="eastAsia"/>
                <w:color w:val="auto"/>
                <w:lang w:val="en-US" w:eastAsia="zh-CN"/>
              </w:rPr>
              <w:t>≥30</w:t>
            </w:r>
            <w:r>
              <w:rPr>
                <w:rFonts w:hint="eastAsia"/>
                <w:color w:val="auto"/>
                <w:vertAlign w:val="superscript"/>
                <w:lang w:val="en-US" w:eastAsia="zh-CN"/>
              </w:rPr>
              <w:t>②</w:t>
            </w:r>
          </w:p>
        </w:tc>
        <w:tc>
          <w:tcPr>
            <w:tcW w:w="448" w:type="pct"/>
            <w:tcBorders>
              <w:tl2br w:val="nil"/>
              <w:tr2bl w:val="nil"/>
            </w:tcBorders>
            <w:vAlign w:val="center"/>
          </w:tcPr>
          <w:p>
            <w:pPr>
              <w:pStyle w:val="24"/>
              <w:rPr>
                <w:rFonts w:hint="default"/>
                <w:color w:val="auto"/>
                <w:lang w:val="en-US" w:eastAsia="zh-CN"/>
              </w:rPr>
            </w:pPr>
            <w:r>
              <w:rPr>
                <w:rFonts w:hint="eastAsia"/>
                <w:color w:val="auto"/>
                <w:lang w:val="en-US" w:eastAsia="zh-CN"/>
              </w:rPr>
              <w:t>169</w:t>
            </w:r>
          </w:p>
        </w:tc>
        <w:tc>
          <w:tcPr>
            <w:tcW w:w="446" w:type="pct"/>
            <w:tcBorders>
              <w:tl2br w:val="nil"/>
              <w:tr2bl w:val="nil"/>
            </w:tcBorders>
            <w:vAlign w:val="center"/>
          </w:tcPr>
          <w:p>
            <w:pPr>
              <w:pStyle w:val="24"/>
              <w:rPr>
                <w:rFonts w:hint="eastAsia"/>
                <w:color w:val="auto"/>
                <w:lang w:val="en-US" w:eastAsia="zh-CN"/>
              </w:rPr>
            </w:pPr>
            <w:r>
              <w:rPr>
                <w:rFonts w:hint="eastAsia"/>
                <w:color w:val="auto"/>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812" w:type="pct"/>
            <w:vMerge w:val="continue"/>
            <w:tcBorders>
              <w:tl2br w:val="nil"/>
              <w:tr2bl w:val="nil"/>
            </w:tcBorders>
            <w:vAlign w:val="center"/>
          </w:tcPr>
          <w:p>
            <w:pPr>
              <w:pStyle w:val="24"/>
              <w:rPr>
                <w:color w:val="auto"/>
              </w:rPr>
            </w:pPr>
          </w:p>
        </w:tc>
        <w:tc>
          <w:tcPr>
            <w:tcW w:w="436" w:type="pct"/>
            <w:vMerge w:val="continue"/>
            <w:tcBorders>
              <w:tl2br w:val="nil"/>
              <w:tr2bl w:val="nil"/>
            </w:tcBorders>
            <w:vAlign w:val="center"/>
          </w:tcPr>
          <w:p>
            <w:pPr>
              <w:pStyle w:val="24"/>
              <w:rPr>
                <w:rFonts w:hint="eastAsia"/>
                <w:color w:val="auto"/>
                <w:lang w:val="en-US" w:eastAsia="zh-CN"/>
              </w:rPr>
            </w:pPr>
          </w:p>
        </w:tc>
        <w:tc>
          <w:tcPr>
            <w:tcW w:w="1476" w:type="pct"/>
            <w:tcBorders>
              <w:tl2br w:val="nil"/>
              <w:tr2bl w:val="nil"/>
            </w:tcBorders>
            <w:vAlign w:val="center"/>
          </w:tcPr>
          <w:p>
            <w:pPr>
              <w:pStyle w:val="24"/>
              <w:rPr>
                <w:rFonts w:hint="eastAsia"/>
                <w:color w:val="auto"/>
                <w:lang w:val="en-US" w:eastAsia="zh-CN"/>
              </w:rPr>
            </w:pPr>
            <w:r>
              <w:rPr>
                <w:rFonts w:hint="eastAsia"/>
                <w:color w:val="auto"/>
                <w:lang w:val="en-US" w:eastAsia="zh-CN"/>
              </w:rPr>
              <w:t>350万吨/年原料预处理及减黏装置（甲类）</w:t>
            </w:r>
          </w:p>
        </w:tc>
        <w:tc>
          <w:tcPr>
            <w:tcW w:w="894" w:type="pct"/>
            <w:tcBorders>
              <w:tl2br w:val="nil"/>
              <w:tr2bl w:val="nil"/>
            </w:tcBorders>
            <w:vAlign w:val="center"/>
          </w:tcPr>
          <w:p>
            <w:pPr>
              <w:pStyle w:val="24"/>
              <w:rPr>
                <w:rFonts w:hint="eastAsia"/>
                <w:color w:val="auto"/>
                <w:lang w:val="en-US" w:eastAsia="zh-CN"/>
              </w:rPr>
            </w:pPr>
            <w:r>
              <w:rPr>
                <w:rFonts w:hint="eastAsia"/>
                <w:color w:val="auto"/>
                <w:lang w:val="en-US" w:eastAsia="zh-CN"/>
              </w:rPr>
              <w:t>GB50160-2008</w:t>
            </w:r>
          </w:p>
          <w:p>
            <w:pPr>
              <w:pStyle w:val="24"/>
              <w:rPr>
                <w:rFonts w:hint="eastAsia"/>
                <w:color w:val="auto"/>
                <w:lang w:val="en-US" w:eastAsia="zh-CN"/>
              </w:rPr>
            </w:pPr>
            <w:r>
              <w:rPr>
                <w:rFonts w:hint="eastAsia"/>
                <w:color w:val="auto"/>
                <w:lang w:val="en-US" w:eastAsia="zh-CN"/>
              </w:rPr>
              <w:t>（2018年版）4.2.12</w:t>
            </w:r>
          </w:p>
        </w:tc>
        <w:tc>
          <w:tcPr>
            <w:tcW w:w="485" w:type="pct"/>
            <w:tcBorders>
              <w:tl2br w:val="nil"/>
              <w:tr2bl w:val="nil"/>
            </w:tcBorders>
            <w:vAlign w:val="center"/>
          </w:tcPr>
          <w:p>
            <w:pPr>
              <w:pStyle w:val="24"/>
              <w:rPr>
                <w:rFonts w:hint="eastAsia"/>
                <w:color w:val="auto"/>
                <w:lang w:val="en-US" w:eastAsia="zh-CN"/>
              </w:rPr>
            </w:pPr>
            <w:r>
              <w:rPr>
                <w:rFonts w:hint="eastAsia"/>
                <w:color w:val="auto"/>
                <w:lang w:val="en-US" w:eastAsia="zh-CN"/>
              </w:rPr>
              <w:t>≥30</w:t>
            </w:r>
            <w:r>
              <w:rPr>
                <w:rFonts w:hint="eastAsia"/>
                <w:color w:val="auto"/>
                <w:vertAlign w:val="superscript"/>
                <w:lang w:val="en-US" w:eastAsia="zh-CN"/>
              </w:rPr>
              <w:t>②</w:t>
            </w:r>
          </w:p>
        </w:tc>
        <w:tc>
          <w:tcPr>
            <w:tcW w:w="448" w:type="pct"/>
            <w:tcBorders>
              <w:tl2br w:val="nil"/>
              <w:tr2bl w:val="nil"/>
            </w:tcBorders>
            <w:vAlign w:val="center"/>
          </w:tcPr>
          <w:p>
            <w:pPr>
              <w:pStyle w:val="24"/>
              <w:rPr>
                <w:rFonts w:hint="default"/>
                <w:color w:val="auto"/>
                <w:lang w:val="en-US" w:eastAsia="zh-CN"/>
              </w:rPr>
            </w:pPr>
            <w:r>
              <w:rPr>
                <w:rFonts w:hint="eastAsia"/>
                <w:color w:val="auto"/>
                <w:lang w:val="en-US" w:eastAsia="zh-CN"/>
              </w:rPr>
              <w:t>40</w:t>
            </w:r>
          </w:p>
        </w:tc>
        <w:tc>
          <w:tcPr>
            <w:tcW w:w="446" w:type="pct"/>
            <w:tcBorders>
              <w:tl2br w:val="nil"/>
              <w:tr2bl w:val="nil"/>
            </w:tcBorders>
            <w:vAlign w:val="center"/>
          </w:tcPr>
          <w:p>
            <w:pPr>
              <w:pStyle w:val="24"/>
              <w:rPr>
                <w:rFonts w:hint="eastAsia"/>
                <w:color w:val="auto"/>
                <w:lang w:val="en-US" w:eastAsia="zh-CN"/>
              </w:rPr>
            </w:pPr>
            <w:r>
              <w:rPr>
                <w:rFonts w:hint="eastAsia"/>
                <w:color w:val="auto"/>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812" w:type="pct"/>
            <w:vMerge w:val="continue"/>
            <w:tcBorders>
              <w:tl2br w:val="nil"/>
              <w:tr2bl w:val="nil"/>
            </w:tcBorders>
            <w:vAlign w:val="center"/>
          </w:tcPr>
          <w:p>
            <w:pPr>
              <w:pStyle w:val="24"/>
              <w:rPr>
                <w:color w:val="auto"/>
              </w:rPr>
            </w:pPr>
          </w:p>
        </w:tc>
        <w:tc>
          <w:tcPr>
            <w:tcW w:w="436" w:type="pct"/>
            <w:vMerge w:val="continue"/>
            <w:tcBorders>
              <w:tl2br w:val="nil"/>
              <w:tr2bl w:val="nil"/>
            </w:tcBorders>
            <w:vAlign w:val="center"/>
          </w:tcPr>
          <w:p>
            <w:pPr>
              <w:pStyle w:val="24"/>
              <w:rPr>
                <w:rFonts w:hint="eastAsia" w:eastAsia="宋体"/>
                <w:color w:val="auto"/>
                <w:lang w:val="en-US" w:eastAsia="zh-CN"/>
              </w:rPr>
            </w:pPr>
          </w:p>
        </w:tc>
        <w:tc>
          <w:tcPr>
            <w:tcW w:w="1476" w:type="pct"/>
            <w:tcBorders>
              <w:tl2br w:val="nil"/>
              <w:tr2bl w:val="nil"/>
            </w:tcBorders>
            <w:vAlign w:val="center"/>
          </w:tcPr>
          <w:p>
            <w:pPr>
              <w:pStyle w:val="24"/>
              <w:rPr>
                <w:rFonts w:hint="eastAsia"/>
                <w:color w:val="auto"/>
                <w:lang w:val="en-US" w:eastAsia="zh-CN"/>
              </w:rPr>
            </w:pPr>
            <w:r>
              <w:rPr>
                <w:rFonts w:hint="eastAsia"/>
                <w:color w:val="auto"/>
                <w:lang w:val="en-US" w:eastAsia="zh-CN"/>
              </w:rPr>
              <w:t>110万吨/年重油催化裂化装置（甲类）</w:t>
            </w:r>
          </w:p>
        </w:tc>
        <w:tc>
          <w:tcPr>
            <w:tcW w:w="894" w:type="pct"/>
            <w:tcBorders>
              <w:tl2br w:val="nil"/>
              <w:tr2bl w:val="nil"/>
            </w:tcBorders>
            <w:vAlign w:val="center"/>
          </w:tcPr>
          <w:p>
            <w:pPr>
              <w:pStyle w:val="24"/>
              <w:rPr>
                <w:rFonts w:hint="eastAsia"/>
                <w:color w:val="auto"/>
                <w:lang w:val="en-US" w:eastAsia="zh-CN"/>
              </w:rPr>
            </w:pPr>
            <w:r>
              <w:rPr>
                <w:rFonts w:hint="eastAsia"/>
                <w:color w:val="auto"/>
                <w:lang w:val="en-US" w:eastAsia="zh-CN"/>
              </w:rPr>
              <w:t>GB50160-2008</w:t>
            </w:r>
          </w:p>
          <w:p>
            <w:pPr>
              <w:pStyle w:val="24"/>
              <w:rPr>
                <w:rFonts w:hint="eastAsia"/>
                <w:color w:val="auto"/>
                <w:lang w:val="en-US" w:eastAsia="zh-CN"/>
              </w:rPr>
            </w:pPr>
            <w:r>
              <w:rPr>
                <w:rFonts w:hint="eastAsia"/>
                <w:color w:val="auto"/>
                <w:lang w:val="en-US" w:eastAsia="zh-CN"/>
              </w:rPr>
              <w:t>（2018年版）4.2.12</w:t>
            </w:r>
          </w:p>
        </w:tc>
        <w:tc>
          <w:tcPr>
            <w:tcW w:w="485" w:type="pct"/>
            <w:tcBorders>
              <w:tl2br w:val="nil"/>
              <w:tr2bl w:val="nil"/>
            </w:tcBorders>
            <w:vAlign w:val="center"/>
          </w:tcPr>
          <w:p>
            <w:pPr>
              <w:pStyle w:val="24"/>
              <w:rPr>
                <w:rFonts w:hint="eastAsia"/>
                <w:color w:val="auto"/>
                <w:lang w:val="en-US" w:eastAsia="zh-CN"/>
              </w:rPr>
            </w:pPr>
            <w:r>
              <w:rPr>
                <w:rFonts w:hint="eastAsia"/>
                <w:color w:val="auto"/>
                <w:lang w:val="en-US" w:eastAsia="zh-CN"/>
              </w:rPr>
              <w:t>≥30</w:t>
            </w:r>
            <w:r>
              <w:rPr>
                <w:rFonts w:hint="eastAsia"/>
                <w:color w:val="auto"/>
                <w:vertAlign w:val="superscript"/>
                <w:lang w:val="en-US" w:eastAsia="zh-CN"/>
              </w:rPr>
              <w:t>②</w:t>
            </w:r>
          </w:p>
        </w:tc>
        <w:tc>
          <w:tcPr>
            <w:tcW w:w="448" w:type="pct"/>
            <w:tcBorders>
              <w:tl2br w:val="nil"/>
              <w:tr2bl w:val="nil"/>
            </w:tcBorders>
            <w:vAlign w:val="center"/>
          </w:tcPr>
          <w:p>
            <w:pPr>
              <w:pStyle w:val="24"/>
              <w:rPr>
                <w:rFonts w:hint="default"/>
                <w:color w:val="auto"/>
                <w:lang w:val="en-US" w:eastAsia="zh-CN"/>
              </w:rPr>
            </w:pPr>
            <w:r>
              <w:rPr>
                <w:rFonts w:hint="eastAsia"/>
                <w:color w:val="auto"/>
                <w:lang w:val="en-US" w:eastAsia="zh-CN"/>
              </w:rPr>
              <w:t>102</w:t>
            </w:r>
          </w:p>
        </w:tc>
        <w:tc>
          <w:tcPr>
            <w:tcW w:w="446" w:type="pct"/>
            <w:tcBorders>
              <w:tl2br w:val="nil"/>
              <w:tr2bl w:val="nil"/>
            </w:tcBorders>
            <w:vAlign w:val="center"/>
          </w:tcPr>
          <w:p>
            <w:pPr>
              <w:pStyle w:val="24"/>
              <w:rPr>
                <w:rFonts w:hint="eastAsia"/>
                <w:color w:val="auto"/>
                <w:lang w:val="en-US" w:eastAsia="zh-CN"/>
              </w:rPr>
            </w:pPr>
            <w:r>
              <w:rPr>
                <w:rFonts w:hint="eastAsia"/>
                <w:color w:val="auto"/>
                <w:lang w:val="en-US" w:eastAsia="zh-CN"/>
              </w:rPr>
              <w:t>符合</w:t>
            </w:r>
          </w:p>
        </w:tc>
      </w:tr>
    </w:tbl>
    <w:p>
      <w:pPr>
        <w:pStyle w:val="26"/>
        <w:bidi w:val="0"/>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注：①</w:t>
      </w:r>
      <w:r>
        <w:rPr>
          <w:rFonts w:hint="eastAsia" w:ascii="Times New Roman" w:hAnsi="Times New Roman" w:cs="Times New Roman"/>
          <w:color w:val="auto"/>
          <w:lang w:val="en-US" w:eastAsia="zh-CN"/>
        </w:rPr>
        <w:t>相邻直径较大罐为</w:t>
      </w:r>
      <w:r>
        <w:rPr>
          <w:rFonts w:hint="default" w:ascii="Times New Roman" w:hAnsi="Times New Roman" w:cs="Times New Roman"/>
          <w:color w:val="auto"/>
          <w:lang w:val="en-US" w:eastAsia="zh-CN"/>
        </w:rPr>
        <w:t>G-106</w:t>
      </w:r>
      <w:r>
        <w:rPr>
          <w:rFonts w:hint="eastAsia" w:ascii="Times New Roman" w:hAnsi="Times New Roman" w:cs="Times New Roman"/>
          <w:color w:val="auto"/>
          <w:lang w:val="en-US" w:eastAsia="zh-CN"/>
        </w:rPr>
        <w:t>储罐，高度为20.014m，直径为46m，0.4D=18.4m。</w:t>
      </w:r>
    </w:p>
    <w:p>
      <w:pPr>
        <w:pStyle w:val="26"/>
        <w:bidi w:val="0"/>
        <w:ind w:firstLine="840" w:firstLineChars="400"/>
        <w:rPr>
          <w:rFonts w:hint="default" w:ascii="Times New Roman" w:hAnsi="Times New Roman" w:eastAsia="宋体" w:cs="Times New Roman"/>
          <w:color w:val="0000FF"/>
          <w:lang w:val="en-US" w:eastAsia="zh-CN"/>
        </w:rPr>
      </w:pPr>
      <w:r>
        <w:rPr>
          <w:rFonts w:hint="default" w:ascii="Times New Roman" w:hAnsi="Times New Roman" w:eastAsia="宋体" w:cs="Times New Roman"/>
          <w:color w:val="auto"/>
          <w:lang w:val="en-US" w:eastAsia="zh-CN"/>
        </w:rPr>
        <w:t>②</w:t>
      </w:r>
      <w:r>
        <w:rPr>
          <w:rFonts w:hint="eastAsia"/>
          <w:color w:val="auto"/>
          <w:lang w:val="en-US" w:eastAsia="zh-CN"/>
        </w:rPr>
        <w:t>区域性重要设施与相邻设施的防火间距，可减少25%。</w:t>
      </w:r>
    </w:p>
    <w:p>
      <w:pPr>
        <w:pStyle w:val="6"/>
        <w:spacing w:before="156" w:beforeLines="50"/>
        <w:ind w:firstLine="560"/>
      </w:pPr>
      <w:r>
        <w:t>根据现场勘查，该项目与《危险化学品安全管理条例》（国务院令第344号，经国务院令第591号，国务院令第645号修订）第十九条规定的以下八大类场所的距离</w:t>
      </w:r>
      <w:r>
        <w:rPr>
          <w:lang w:val="en-US"/>
        </w:rPr>
        <w:t>见表2.3-</w:t>
      </w:r>
      <w:r>
        <w:rPr>
          <w:rFonts w:hint="eastAsia"/>
          <w:lang w:val="en-US"/>
        </w:rPr>
        <w:t>3</w:t>
      </w:r>
      <w:r>
        <w:t>。</w:t>
      </w:r>
    </w:p>
    <w:p>
      <w:pPr>
        <w:rPr>
          <w:rFonts w:ascii="Times New Roman" w:hAnsi="Times New Roman" w:cs="Times New Roman"/>
          <w:b/>
          <w:bCs/>
          <w:kern w:val="0"/>
          <w:sz w:val="24"/>
          <w:szCs w:val="24"/>
          <w:lang w:val="zh-CN"/>
        </w:rPr>
      </w:pPr>
      <w:r>
        <w:rPr>
          <w:rFonts w:ascii="Times New Roman" w:hAnsi="Times New Roman" w:cs="Times New Roman"/>
          <w:b/>
          <w:bCs/>
          <w:kern w:val="0"/>
          <w:sz w:val="24"/>
          <w:szCs w:val="24"/>
          <w:lang w:val="zh-CN"/>
        </w:rPr>
        <w:br w:type="page"/>
      </w:r>
    </w:p>
    <w:p>
      <w:pPr>
        <w:adjustRightInd w:val="0"/>
        <w:snapToGrid w:val="0"/>
        <w:ind w:firstLine="482"/>
        <w:jc w:val="center"/>
        <w:rPr>
          <w:rFonts w:ascii="Times New Roman" w:hAnsi="Times New Roman" w:cs="Times New Roman"/>
          <w:b/>
          <w:bCs/>
          <w:kern w:val="0"/>
          <w:sz w:val="24"/>
          <w:szCs w:val="24"/>
          <w:lang w:val="zh-CN"/>
        </w:rPr>
      </w:pPr>
      <w:r>
        <w:rPr>
          <w:rFonts w:ascii="Times New Roman" w:hAnsi="Times New Roman" w:cs="Times New Roman"/>
          <w:b/>
          <w:bCs/>
          <w:kern w:val="0"/>
          <w:sz w:val="24"/>
          <w:szCs w:val="24"/>
          <w:lang w:val="zh-CN"/>
        </w:rPr>
        <w:t>表2.3-</w:t>
      </w:r>
      <w:r>
        <w:rPr>
          <w:rFonts w:ascii="Times New Roman" w:hAnsi="Times New Roman" w:cs="Times New Roman"/>
          <w:b/>
          <w:bCs/>
          <w:kern w:val="0"/>
          <w:sz w:val="24"/>
          <w:szCs w:val="24"/>
        </w:rPr>
        <w:t>3</w:t>
      </w:r>
      <w:r>
        <w:rPr>
          <w:rFonts w:ascii="Times New Roman" w:hAnsi="Times New Roman" w:cs="Times New Roman"/>
          <w:b/>
          <w:bCs/>
          <w:kern w:val="0"/>
          <w:sz w:val="24"/>
          <w:szCs w:val="24"/>
          <w:lang w:val="zh-CN"/>
        </w:rPr>
        <w:t xml:space="preserve">  建设项目与法律法规予以保护区域的安全距离</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4"/>
        <w:gridCol w:w="1779"/>
        <w:gridCol w:w="2082"/>
        <w:gridCol w:w="3141"/>
        <w:gridCol w:w="8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7" w:hRule="atLeast"/>
          <w:tblHeader/>
          <w:jc w:val="center"/>
        </w:trPr>
        <w:tc>
          <w:tcPr>
            <w:tcW w:w="372" w:type="pct"/>
            <w:tcBorders>
              <w:tl2br w:val="nil"/>
              <w:tr2bl w:val="nil"/>
            </w:tcBorders>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序号</w:t>
            </w:r>
          </w:p>
        </w:tc>
        <w:tc>
          <w:tcPr>
            <w:tcW w:w="1043" w:type="pct"/>
            <w:tcBorders>
              <w:tl2br w:val="nil"/>
              <w:tr2bl w:val="nil"/>
            </w:tcBorders>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八大场所、区域</w:t>
            </w:r>
          </w:p>
        </w:tc>
        <w:tc>
          <w:tcPr>
            <w:tcW w:w="1221" w:type="pct"/>
            <w:tcBorders>
              <w:tl2br w:val="nil"/>
              <w:tr2bl w:val="nil"/>
            </w:tcBorders>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周边情况及距离</w:t>
            </w:r>
          </w:p>
        </w:tc>
        <w:tc>
          <w:tcPr>
            <w:tcW w:w="1842" w:type="pct"/>
            <w:tcBorders>
              <w:tl2br w:val="nil"/>
              <w:tr2bl w:val="nil"/>
            </w:tcBorders>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规范要求距离</w:t>
            </w:r>
          </w:p>
        </w:tc>
        <w:tc>
          <w:tcPr>
            <w:tcW w:w="519" w:type="pct"/>
            <w:tcBorders>
              <w:tl2br w:val="nil"/>
              <w:tr2bl w:val="nil"/>
            </w:tcBorders>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37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043"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居住区以及商业中心、公园等人员密集场所</w:t>
            </w:r>
          </w:p>
        </w:tc>
        <w:tc>
          <w:tcPr>
            <w:tcW w:w="1221"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该项目生产装置周围500m范围内无居住区以及商业中心、公园等人员密集场所。</w:t>
            </w:r>
          </w:p>
        </w:tc>
        <w:tc>
          <w:tcPr>
            <w:tcW w:w="1842" w:type="pct"/>
            <w:vMerge w:val="restar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GB 50160-2008（2018年版）/4.1.9规定甲类液体罐组（罐外壁）距居民区、公共福利设施、村庄不应小于100m。</w:t>
            </w:r>
          </w:p>
        </w:tc>
        <w:tc>
          <w:tcPr>
            <w:tcW w:w="519"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76" w:hRule="atLeast"/>
          <w:jc w:val="center"/>
        </w:trPr>
        <w:tc>
          <w:tcPr>
            <w:tcW w:w="37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043"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学校、医院、影剧院、体育场（馆）等公共设施</w:t>
            </w:r>
          </w:p>
        </w:tc>
        <w:tc>
          <w:tcPr>
            <w:tcW w:w="1221"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项目所在地周边1000m范围内无影剧院、体育场（馆）等其他公共设施。</w:t>
            </w:r>
          </w:p>
        </w:tc>
        <w:tc>
          <w:tcPr>
            <w:tcW w:w="1842" w:type="pct"/>
            <w:vMerge w:val="continue"/>
            <w:tcBorders>
              <w:tl2br w:val="nil"/>
              <w:tr2bl w:val="nil"/>
            </w:tcBorders>
            <w:vAlign w:val="center"/>
          </w:tcPr>
          <w:p>
            <w:pPr>
              <w:ind w:firstLine="0" w:firstLineChars="0"/>
              <w:rPr>
                <w:rFonts w:ascii="Times New Roman" w:hAnsi="Times New Roman" w:cs="Times New Roman"/>
                <w:color w:val="000000"/>
                <w:sz w:val="21"/>
                <w:szCs w:val="21"/>
              </w:rPr>
            </w:pPr>
          </w:p>
        </w:tc>
        <w:tc>
          <w:tcPr>
            <w:tcW w:w="519"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37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043"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饮用水源、水厂及水源保护区</w:t>
            </w:r>
          </w:p>
        </w:tc>
        <w:tc>
          <w:tcPr>
            <w:tcW w:w="1221"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项目所在地1000m范围内无饮用水源、水厂及水源保护区。</w:t>
            </w:r>
          </w:p>
        </w:tc>
        <w:tc>
          <w:tcPr>
            <w:tcW w:w="1842"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《中华人民共和国水污染防治法》第</w:t>
            </w:r>
            <w:r>
              <w:rPr>
                <w:rFonts w:hint="eastAsia" w:ascii="Times New Roman" w:hAnsi="Times New Roman" w:cs="Times New Roman"/>
                <w:color w:val="000000"/>
                <w:sz w:val="21"/>
                <w:szCs w:val="21"/>
              </w:rPr>
              <w:t>65</w:t>
            </w:r>
            <w:r>
              <w:rPr>
                <w:rFonts w:ascii="Times New Roman" w:hAnsi="Times New Roman" w:cs="Times New Roman"/>
                <w:color w:val="000000"/>
                <w:sz w:val="21"/>
                <w:szCs w:val="21"/>
              </w:rPr>
              <w:t>条禁止在饮用水水源一级保护区内新建、改建、扩建与供水设施和保护水源无关的建设项目。第</w:t>
            </w:r>
            <w:r>
              <w:rPr>
                <w:rFonts w:hint="eastAsia" w:ascii="Times New Roman" w:hAnsi="Times New Roman" w:cs="Times New Roman"/>
                <w:color w:val="000000"/>
                <w:sz w:val="21"/>
                <w:szCs w:val="21"/>
              </w:rPr>
              <w:t>66</w:t>
            </w:r>
            <w:r>
              <w:rPr>
                <w:rFonts w:ascii="Times New Roman" w:hAnsi="Times New Roman" w:cs="Times New Roman"/>
                <w:color w:val="000000"/>
                <w:sz w:val="21"/>
                <w:szCs w:val="21"/>
              </w:rPr>
              <w:t>条禁止在饮用水水源二级保护区内新建、改建、扩建排放污染物的建设项目。第6</w:t>
            </w:r>
            <w:r>
              <w:rPr>
                <w:rFonts w:hint="eastAsia" w:ascii="Times New Roman" w:hAnsi="Times New Roman" w:cs="Times New Roman"/>
                <w:color w:val="000000"/>
                <w:sz w:val="21"/>
                <w:szCs w:val="21"/>
              </w:rPr>
              <w:t>7</w:t>
            </w:r>
            <w:r>
              <w:rPr>
                <w:rFonts w:ascii="Times New Roman" w:hAnsi="Times New Roman" w:cs="Times New Roman"/>
                <w:color w:val="000000"/>
                <w:sz w:val="21"/>
                <w:szCs w:val="21"/>
              </w:rPr>
              <w:t>条禁止在饮用水水源准保护区内新建、扩建对水体污染严重的建设项目；改建建设项目，不得增加排污量。</w:t>
            </w:r>
          </w:p>
        </w:tc>
        <w:tc>
          <w:tcPr>
            <w:tcW w:w="519"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37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1043"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车站、码头（依法经许可从事危险化学品装卸作业的除外）、机场以及通信干线、通信枢纽、铁路线路、道路交通干线、水路交通干线、地铁风亭以及地铁站出入口。</w:t>
            </w:r>
          </w:p>
        </w:tc>
        <w:tc>
          <w:tcPr>
            <w:tcW w:w="1221"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距离东侧S228（郝纯路）约1.4km，1000m范围内无左述其他设施。</w:t>
            </w:r>
          </w:p>
        </w:tc>
        <w:tc>
          <w:tcPr>
            <w:tcW w:w="1842"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公路安全保护条例》（中华人民共和国国务院令第593号）第十八条除按照国家有关规定设立的为车辆补充燃料的场所、设施外，禁止在下列范围内设立生产、储存、销售易燃、易爆、剧毒、放射性等危险物品的场所、设施：（一）公路用地外缘起向外100m；（二）公路渡口和中型以上公路桥梁周围200m；（三）公路隧道上方和洞口外100m。《铁路运输安全保护条例》第十七条：任何单位和个人不得在铁路线路两侧距路堤坡脚、路堑坡顶、铁路桥梁外侧200m范围内，或者铁路车站及周围200m范围内，及铁路隧道上方中心线两侧各200m范围内，建造、设立生产、加工、储存和销售易燃、易爆或者放射性物品等危险物品的场所、仓库。</w:t>
            </w:r>
          </w:p>
        </w:tc>
        <w:tc>
          <w:tcPr>
            <w:tcW w:w="519"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23" w:hRule="atLeast"/>
          <w:jc w:val="center"/>
        </w:trPr>
        <w:tc>
          <w:tcPr>
            <w:tcW w:w="37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043"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基本农田保护区、基本草原、畜禽遗传资源保护区、畜禽规模化养殖场（养殖小区）、渔业水域以及种子、种畜禽、水产苗种生产基地</w:t>
            </w:r>
          </w:p>
        </w:tc>
        <w:tc>
          <w:tcPr>
            <w:tcW w:w="1221"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项目所在地周边500m范围内无基本农田保护区、基本草原、畜禽遗传资源保护区、畜禽规模化养殖场、渔业水域以及种子、种畜禽、水产苗种生产基地。</w:t>
            </w:r>
          </w:p>
        </w:tc>
        <w:tc>
          <w:tcPr>
            <w:tcW w:w="1842"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草原法》、《渔业法》、《基本农田保护条例》等规定：基本农田保护区外；不得占用基本草原；畜禽遗传资源保护区外500m；距畜禽规模化养殖场500m；渔业水域以及种子、种畜禽、水产苗种生产基地保护区外。</w:t>
            </w:r>
          </w:p>
        </w:tc>
        <w:tc>
          <w:tcPr>
            <w:tcW w:w="519"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37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043"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河流、湖泊、风景名胜区和自然保护区</w:t>
            </w:r>
          </w:p>
        </w:tc>
        <w:tc>
          <w:tcPr>
            <w:tcW w:w="1221"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项目所在地1000m范围内无河流、湖泊、风景名胜区和自然保护区。</w:t>
            </w:r>
          </w:p>
        </w:tc>
        <w:tc>
          <w:tcPr>
            <w:tcW w:w="1842"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风景名胜区条例》第26条禁止在风景名胜区内修建储存爆炸性、易燃性、放射性、毒害性、腐蚀性物品的设施；《中华人民共和国自然保护区条例》第32条在自然保护区的核心区和缓冲区内，不得建设任何生产设施。在自然保护区的实验区内，不得建设污染环境、破坏资源或者景观的生产设施；建设其他项目，其污染物排放不得超过国家和地方规定的污染物排放标准。</w:t>
            </w:r>
          </w:p>
        </w:tc>
        <w:tc>
          <w:tcPr>
            <w:tcW w:w="519"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37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043"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军事禁区、军事管理区</w:t>
            </w:r>
          </w:p>
        </w:tc>
        <w:tc>
          <w:tcPr>
            <w:tcW w:w="1221"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项目所在地1000m范围内无军事禁区、军事管理区。</w:t>
            </w:r>
          </w:p>
        </w:tc>
        <w:tc>
          <w:tcPr>
            <w:tcW w:w="1842"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参照《全国人民代表大会常务委员会关于修改＜中华人民共和国军事设施保护法＞的决定》（中华人民共和国主席令［2021］第87号）第18条的要求，该项目1000m范围内无类场所、区域。</w:t>
            </w:r>
          </w:p>
        </w:tc>
        <w:tc>
          <w:tcPr>
            <w:tcW w:w="519"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37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043"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法律、行政法规规定予以保护的其他区域</w:t>
            </w:r>
          </w:p>
        </w:tc>
        <w:tc>
          <w:tcPr>
            <w:tcW w:w="1221" w:type="pct"/>
            <w:tcBorders>
              <w:tl2br w:val="nil"/>
              <w:tr2bl w:val="nil"/>
            </w:tcBorders>
            <w:vAlign w:val="center"/>
          </w:tcPr>
          <w:p>
            <w:pPr>
              <w:ind w:firstLine="0" w:firstLineChars="0"/>
              <w:rPr>
                <w:rFonts w:ascii="Times New Roman" w:hAnsi="Times New Roman" w:cs="Times New Roman"/>
                <w:color w:val="000000"/>
                <w:sz w:val="21"/>
                <w:szCs w:val="21"/>
              </w:rPr>
            </w:pPr>
            <w:r>
              <w:rPr>
                <w:rFonts w:ascii="Times New Roman" w:hAnsi="Times New Roman" w:cs="Times New Roman"/>
                <w:color w:val="000000"/>
                <w:sz w:val="21"/>
                <w:szCs w:val="21"/>
              </w:rPr>
              <w:t>项目所在地1000m范围内无此类场所、区域。</w:t>
            </w:r>
          </w:p>
        </w:tc>
        <w:tc>
          <w:tcPr>
            <w:tcW w:w="1842"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519" w:type="pct"/>
            <w:tcBorders>
              <w:tl2br w:val="nil"/>
              <w:tr2bl w:val="nil"/>
            </w:tcBorders>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符合</w:t>
            </w:r>
          </w:p>
        </w:tc>
      </w:tr>
    </w:tbl>
    <w:p>
      <w:pPr>
        <w:pStyle w:val="6"/>
        <w:spacing w:before="156" w:beforeLines="50"/>
        <w:ind w:firstLine="560"/>
      </w:pPr>
      <w:r>
        <w:t>该项目与周边环境的安全防火距离符合《石油化工企业设计防火标准（</w:t>
      </w:r>
      <w:r>
        <w:rPr>
          <w:rFonts w:hint="eastAsia"/>
        </w:rPr>
        <w:t>2018年版</w:t>
      </w:r>
      <w:r>
        <w:t>）》（GB 50160-2008）、《危险化学品安全管理条例》（国务院令第344号，经国务院令第591号，国务院令第645号修订）第十九条的相关距离要求。</w:t>
      </w:r>
    </w:p>
    <w:p>
      <w:pPr>
        <w:pStyle w:val="4"/>
        <w:spacing w:before="62" w:after="62"/>
      </w:pPr>
      <w:r>
        <w:t>2.3.4 项目所在地自然环境条件</w:t>
      </w:r>
    </w:p>
    <w:p>
      <w:pPr>
        <w:pStyle w:val="5"/>
      </w:pPr>
      <w:r>
        <w:t>2.3.4.1气象条件</w:t>
      </w:r>
    </w:p>
    <w:p>
      <w:pPr>
        <w:pStyle w:val="6"/>
        <w:ind w:firstLine="560"/>
      </w:pPr>
      <w:r>
        <w:t>该企业所在地地处暖温带，属温带季风型大陆性气候，境内气候无明显差异，气候特征是雨热同期，气候温和，大陆性强，寒暑交替，四季分明。主要气象、气候条件数据如下：</w:t>
      </w:r>
    </w:p>
    <w:p>
      <w:pPr>
        <w:pStyle w:val="6"/>
        <w:ind w:firstLine="560"/>
      </w:pPr>
      <w:r>
        <w:t>（1）气温（℃）</w:t>
      </w:r>
    </w:p>
    <w:p>
      <w:pPr>
        <w:pStyle w:val="6"/>
        <w:ind w:firstLine="560"/>
      </w:pPr>
      <w:r>
        <w:t>累年平均气温                           13.6</w:t>
      </w:r>
    </w:p>
    <w:p>
      <w:pPr>
        <w:pStyle w:val="6"/>
        <w:ind w:firstLine="560"/>
      </w:pPr>
      <w:r>
        <w:t>累年最热月平均气温                     27.5（7月）</w:t>
      </w:r>
    </w:p>
    <w:p>
      <w:pPr>
        <w:pStyle w:val="6"/>
        <w:ind w:firstLine="560"/>
      </w:pPr>
      <w:r>
        <w:t>累年最冷月平均气温                     -2.1（1月）</w:t>
      </w:r>
    </w:p>
    <w:p>
      <w:pPr>
        <w:pStyle w:val="6"/>
        <w:ind w:firstLine="560"/>
      </w:pPr>
      <w:r>
        <w:t>累年极端最高温度                       42.1</w:t>
      </w:r>
    </w:p>
    <w:p>
      <w:pPr>
        <w:pStyle w:val="6"/>
        <w:ind w:firstLine="560"/>
      </w:pPr>
      <w:r>
        <w:t>累年极端最低温度                       -23.3</w:t>
      </w:r>
    </w:p>
    <w:p>
      <w:pPr>
        <w:pStyle w:val="6"/>
        <w:ind w:firstLine="560"/>
      </w:pPr>
      <w:r>
        <w:t>累年7月平均最高温度                   31.9</w:t>
      </w:r>
    </w:p>
    <w:p>
      <w:pPr>
        <w:pStyle w:val="6"/>
        <w:ind w:firstLine="560"/>
      </w:pPr>
      <w:r>
        <w:t>累年1月平均最低温度                   -5.5</w:t>
      </w:r>
    </w:p>
    <w:p>
      <w:pPr>
        <w:pStyle w:val="6"/>
        <w:ind w:firstLine="560"/>
      </w:pPr>
      <w:r>
        <w:t>（2）湿度</w:t>
      </w:r>
    </w:p>
    <w:p>
      <w:pPr>
        <w:pStyle w:val="6"/>
        <w:ind w:firstLine="560"/>
      </w:pPr>
      <w:r>
        <w:t>累年年平均相对湿度                     63%</w:t>
      </w:r>
    </w:p>
    <w:p>
      <w:pPr>
        <w:pStyle w:val="6"/>
        <w:ind w:firstLine="560"/>
      </w:pPr>
      <w:r>
        <w:t>累年最小相对湿度                       2%</w:t>
      </w:r>
    </w:p>
    <w:p>
      <w:pPr>
        <w:pStyle w:val="6"/>
        <w:ind w:firstLine="560"/>
      </w:pPr>
      <w:r>
        <w:t>累年最冷月（1月14时）平均相对湿度     2%</w:t>
      </w:r>
    </w:p>
    <w:p>
      <w:pPr>
        <w:pStyle w:val="6"/>
        <w:ind w:firstLine="560"/>
      </w:pPr>
      <w:r>
        <w:t>（3）气压</w:t>
      </w:r>
    </w:p>
    <w:p>
      <w:pPr>
        <w:pStyle w:val="6"/>
        <w:ind w:firstLine="560"/>
      </w:pPr>
      <w:r>
        <w:t>年平均大气压                           101.69kPa</w:t>
      </w:r>
    </w:p>
    <w:p>
      <w:pPr>
        <w:pStyle w:val="6"/>
        <w:ind w:firstLine="560"/>
      </w:pPr>
      <w:r>
        <w:t>月平均最大气压                         102.64kPa</w:t>
      </w:r>
    </w:p>
    <w:p>
      <w:pPr>
        <w:pStyle w:val="6"/>
        <w:ind w:firstLine="560"/>
      </w:pPr>
      <w:r>
        <w:t>月平均最小气压                         100.40kPa</w:t>
      </w:r>
    </w:p>
    <w:p>
      <w:pPr>
        <w:pStyle w:val="6"/>
        <w:ind w:firstLine="560"/>
      </w:pPr>
      <w:r>
        <w:t>（4）风向及风速</w:t>
      </w:r>
    </w:p>
    <w:p>
      <w:pPr>
        <w:pStyle w:val="6"/>
        <w:ind w:firstLine="560"/>
      </w:pPr>
      <w:r>
        <w:t>累年最多风向                           SE、S</w:t>
      </w:r>
    </w:p>
    <w:p>
      <w:pPr>
        <w:pStyle w:val="6"/>
        <w:ind w:firstLine="560"/>
      </w:pPr>
      <w:r>
        <w:t>累年最多风向频率                       10%</w:t>
      </w:r>
    </w:p>
    <w:p>
      <w:pPr>
        <w:pStyle w:val="6"/>
        <w:ind w:firstLine="560"/>
      </w:pPr>
      <w:r>
        <w:t>累年1月最多风向                       W</w:t>
      </w:r>
    </w:p>
    <w:p>
      <w:pPr>
        <w:pStyle w:val="6"/>
        <w:ind w:firstLine="560"/>
      </w:pPr>
      <w:r>
        <w:t>累年1月最多风向频率                   11％</w:t>
      </w:r>
    </w:p>
    <w:p>
      <w:pPr>
        <w:pStyle w:val="6"/>
        <w:ind w:firstLine="560"/>
      </w:pPr>
      <w:r>
        <w:t>累年7月最多风向                       SE、S</w:t>
      </w:r>
    </w:p>
    <w:p>
      <w:pPr>
        <w:pStyle w:val="6"/>
        <w:ind w:firstLine="560"/>
      </w:pPr>
      <w:r>
        <w:t>累年1月最多风向频率                   15％</w:t>
      </w:r>
    </w:p>
    <w:p>
      <w:pPr>
        <w:pStyle w:val="6"/>
        <w:ind w:firstLine="560"/>
      </w:pPr>
      <w:r>
        <w:t>累年最大风速风向                       NE</w:t>
      </w:r>
    </w:p>
    <w:p>
      <w:pPr>
        <w:pStyle w:val="6"/>
        <w:ind w:firstLine="560"/>
      </w:pPr>
      <w:r>
        <w:t>累年平均风速                           3.7m/s</w:t>
      </w:r>
    </w:p>
    <w:p>
      <w:pPr>
        <w:pStyle w:val="6"/>
        <w:ind w:firstLine="560"/>
      </w:pPr>
      <w:r>
        <w:t>累年夏季（6、7、8月）平均风速         3.5m/s</w:t>
      </w:r>
    </w:p>
    <w:p>
      <w:pPr>
        <w:pStyle w:val="6"/>
        <w:ind w:firstLine="560"/>
      </w:pPr>
      <w:r>
        <w:t>累年冬季（12、1、2月）平均风速        3.4m/s</w:t>
      </w:r>
    </w:p>
    <w:p>
      <w:pPr>
        <w:pStyle w:val="6"/>
        <w:ind w:firstLine="560"/>
      </w:pPr>
      <w:r>
        <w:t>累年最大风速                          21.1m/s</w:t>
      </w:r>
    </w:p>
    <w:p>
      <w:pPr>
        <w:pStyle w:val="6"/>
        <w:ind w:firstLine="560"/>
      </w:pPr>
      <w:r>
        <w:t>累年最大风速风向                      NE</w:t>
      </w:r>
    </w:p>
    <w:p>
      <w:pPr>
        <w:pStyle w:val="6"/>
        <w:ind w:firstLine="560"/>
      </w:pPr>
      <w:r>
        <w:t>累年极大风速                          29.4m/s</w:t>
      </w:r>
    </w:p>
    <w:p>
      <w:pPr>
        <w:pStyle w:val="6"/>
        <w:ind w:firstLine="560"/>
      </w:pPr>
      <w:r>
        <w:t>累年极大风速风向                      N</w:t>
      </w:r>
    </w:p>
    <w:p>
      <w:pPr>
        <w:pStyle w:val="6"/>
        <w:ind w:firstLine="560"/>
      </w:pPr>
      <w:r>
        <w:t>基本风压值                            0.5kN/㎡</w:t>
      </w:r>
    </w:p>
    <w:p>
      <w:pPr>
        <w:pStyle w:val="6"/>
        <w:ind w:firstLine="560"/>
      </w:pPr>
      <w:r>
        <w:t>（5）霜冻（mm）</w:t>
      </w:r>
    </w:p>
    <w:p>
      <w:pPr>
        <w:pStyle w:val="6"/>
        <w:ind w:firstLine="560"/>
      </w:pPr>
      <w:r>
        <w:t>最大冻土深度                         550</w:t>
      </w:r>
    </w:p>
    <w:p>
      <w:pPr>
        <w:pStyle w:val="6"/>
        <w:ind w:firstLine="560"/>
      </w:pPr>
      <w:r>
        <w:t>（6）降雨（mm）</w:t>
      </w:r>
    </w:p>
    <w:p>
      <w:pPr>
        <w:pStyle w:val="6"/>
        <w:ind w:firstLine="560"/>
      </w:pPr>
      <w:r>
        <w:t>累年平均降雨量                       612.8</w:t>
      </w:r>
    </w:p>
    <w:p>
      <w:pPr>
        <w:pStyle w:val="6"/>
        <w:ind w:firstLine="560"/>
      </w:pPr>
      <w:r>
        <w:t>累年最大年降雨量                     726.8</w:t>
      </w:r>
    </w:p>
    <w:p>
      <w:pPr>
        <w:pStyle w:val="6"/>
        <w:ind w:firstLine="560"/>
      </w:pPr>
      <w:r>
        <w:t>累年最小年降雨量                     534.1</w:t>
      </w:r>
    </w:p>
    <w:p>
      <w:pPr>
        <w:pStyle w:val="6"/>
        <w:ind w:firstLine="560"/>
      </w:pPr>
      <w:r>
        <w:t>累年月最大降雨量                     253.6</w:t>
      </w:r>
    </w:p>
    <w:p>
      <w:pPr>
        <w:pStyle w:val="6"/>
        <w:ind w:firstLine="560"/>
      </w:pPr>
      <w:r>
        <w:t>累年日最大降雨量                     137.6</w:t>
      </w:r>
    </w:p>
    <w:p>
      <w:pPr>
        <w:pStyle w:val="6"/>
        <w:ind w:firstLine="560"/>
      </w:pPr>
      <w:r>
        <w:t>累年1小时最大降雨量                 48.0</w:t>
      </w:r>
    </w:p>
    <w:p>
      <w:pPr>
        <w:pStyle w:val="6"/>
        <w:ind w:firstLine="560"/>
      </w:pPr>
      <w:r>
        <w:t>累年平均暴雨（日降雨量≥50mm）日数   3.4天</w:t>
      </w:r>
    </w:p>
    <w:p>
      <w:pPr>
        <w:pStyle w:val="6"/>
        <w:ind w:firstLine="560"/>
      </w:pPr>
      <w:r>
        <w:t>暴雨强度公式q=3888.62（1+0.78lgP）/（t+10） 0.91（l/s·ha）</w:t>
      </w:r>
    </w:p>
    <w:p>
      <w:pPr>
        <w:pStyle w:val="6"/>
        <w:ind w:firstLine="560"/>
      </w:pPr>
      <w:r>
        <w:t>（7）积雪（mm）</w:t>
      </w:r>
    </w:p>
    <w:p>
      <w:pPr>
        <w:pStyle w:val="6"/>
        <w:ind w:firstLine="560"/>
      </w:pPr>
      <w:r>
        <w:t xml:space="preserve">最大积雪厚度                   </w:t>
      </w:r>
      <w:r>
        <w:tab/>
      </w:r>
      <w:r>
        <w:tab/>
      </w:r>
      <w:r>
        <w:t xml:space="preserve">  240</w:t>
      </w:r>
    </w:p>
    <w:p>
      <w:pPr>
        <w:pStyle w:val="6"/>
        <w:ind w:firstLine="560"/>
      </w:pPr>
      <w:r>
        <w:t xml:space="preserve">年平均有雪天数                 </w:t>
      </w:r>
      <w:r>
        <w:tab/>
      </w:r>
      <w:r>
        <w:tab/>
      </w:r>
      <w:r>
        <w:t xml:space="preserve">  46.3天</w:t>
      </w:r>
    </w:p>
    <w:p>
      <w:pPr>
        <w:pStyle w:val="6"/>
        <w:ind w:firstLine="560"/>
      </w:pPr>
      <w:r>
        <w:t xml:space="preserve">基本雪压                      </w:t>
      </w:r>
      <w:r>
        <w:tab/>
      </w:r>
      <w:r>
        <w:tab/>
      </w:r>
      <w:r>
        <w:t xml:space="preserve">  0.30kN/㎡</w:t>
      </w:r>
    </w:p>
    <w:p>
      <w:pPr>
        <w:pStyle w:val="6"/>
        <w:ind w:firstLine="560"/>
      </w:pPr>
      <w:r>
        <w:t>（8）蒸发量（mm）</w:t>
      </w:r>
    </w:p>
    <w:p>
      <w:pPr>
        <w:pStyle w:val="6"/>
        <w:ind w:firstLine="560"/>
      </w:pPr>
      <w:r>
        <w:t xml:space="preserve">平均年蒸发量                   </w:t>
      </w:r>
      <w:r>
        <w:tab/>
      </w:r>
      <w:r>
        <w:tab/>
      </w:r>
      <w:r>
        <w:t xml:space="preserve">  1900.8</w:t>
      </w:r>
    </w:p>
    <w:p>
      <w:pPr>
        <w:pStyle w:val="6"/>
        <w:ind w:firstLine="560"/>
      </w:pPr>
      <w:r>
        <w:t xml:space="preserve">最大蒸发量                     </w:t>
      </w:r>
      <w:r>
        <w:tab/>
      </w:r>
      <w:r>
        <w:tab/>
      </w:r>
      <w:r>
        <w:t xml:space="preserve">  325.1（5月）</w:t>
      </w:r>
    </w:p>
    <w:p>
      <w:pPr>
        <w:pStyle w:val="6"/>
        <w:ind w:firstLine="560"/>
      </w:pPr>
      <w:r>
        <w:t xml:space="preserve">最小蒸发量                     </w:t>
      </w:r>
      <w:r>
        <w:tab/>
      </w:r>
      <w:r>
        <w:tab/>
      </w:r>
      <w:r>
        <w:t xml:space="preserve">  37（1月）</w:t>
      </w:r>
    </w:p>
    <w:p>
      <w:pPr>
        <w:pStyle w:val="6"/>
        <w:ind w:firstLine="560"/>
      </w:pPr>
      <w:r>
        <w:t>（9）日照</w:t>
      </w:r>
    </w:p>
    <w:p>
      <w:pPr>
        <w:pStyle w:val="6"/>
        <w:ind w:firstLine="560"/>
      </w:pPr>
      <w:r>
        <w:t xml:space="preserve">累年平均日照时数                   </w:t>
      </w:r>
      <w:r>
        <w:tab/>
      </w:r>
      <w:r>
        <w:t>2633.3h</w:t>
      </w:r>
    </w:p>
    <w:p>
      <w:pPr>
        <w:pStyle w:val="6"/>
        <w:ind w:firstLine="560"/>
      </w:pPr>
      <w:r>
        <w:t xml:space="preserve">累年平均日照百分率                 </w:t>
      </w:r>
      <w:r>
        <w:tab/>
      </w:r>
      <w:r>
        <w:t>59％</w:t>
      </w:r>
    </w:p>
    <w:p>
      <w:pPr>
        <w:pStyle w:val="6"/>
        <w:ind w:firstLine="560"/>
      </w:pPr>
      <w:r>
        <w:t>（10）雾</w:t>
      </w:r>
    </w:p>
    <w:p>
      <w:pPr>
        <w:pStyle w:val="6"/>
        <w:ind w:firstLine="560"/>
      </w:pPr>
      <w:r>
        <w:t xml:space="preserve">累年平均雾日数                </w:t>
      </w:r>
      <w:r>
        <w:tab/>
      </w:r>
      <w:r>
        <w:t xml:space="preserve">   </w:t>
      </w:r>
      <w:r>
        <w:tab/>
      </w:r>
      <w:r>
        <w:t>12.2天</w:t>
      </w:r>
    </w:p>
    <w:p>
      <w:pPr>
        <w:pStyle w:val="6"/>
        <w:ind w:firstLine="560"/>
      </w:pPr>
      <w:r>
        <w:t xml:space="preserve">累年最多雾日数                </w:t>
      </w:r>
      <w:r>
        <w:tab/>
      </w:r>
      <w:r>
        <w:t xml:space="preserve">   </w:t>
      </w:r>
      <w:r>
        <w:tab/>
      </w:r>
      <w:r>
        <w:t>16天</w:t>
      </w:r>
    </w:p>
    <w:p>
      <w:pPr>
        <w:pStyle w:val="6"/>
        <w:ind w:firstLine="560"/>
      </w:pPr>
      <w:r>
        <w:t xml:space="preserve">累年平均轻雾日数                   </w:t>
      </w:r>
      <w:r>
        <w:tab/>
      </w:r>
      <w:r>
        <w:t>108.0天</w:t>
      </w:r>
    </w:p>
    <w:p>
      <w:pPr>
        <w:pStyle w:val="6"/>
        <w:ind w:firstLine="560"/>
      </w:pPr>
      <w:r>
        <w:t>（11）雷暴、雹</w:t>
      </w:r>
    </w:p>
    <w:p>
      <w:pPr>
        <w:pStyle w:val="6"/>
        <w:ind w:firstLine="560"/>
      </w:pPr>
      <w:r>
        <w:t xml:space="preserve">累年平均雷暴日数                </w:t>
      </w:r>
      <w:r>
        <w:tab/>
      </w:r>
      <w:r>
        <w:t xml:space="preserve">   27.4天</w:t>
      </w:r>
    </w:p>
    <w:p>
      <w:pPr>
        <w:pStyle w:val="6"/>
        <w:ind w:firstLine="560"/>
      </w:pPr>
      <w:r>
        <w:t xml:space="preserve">累年最多雷暴日数                </w:t>
      </w:r>
      <w:r>
        <w:tab/>
      </w:r>
      <w:r>
        <w:t xml:space="preserve">   32天</w:t>
      </w:r>
    </w:p>
    <w:p>
      <w:pPr>
        <w:pStyle w:val="6"/>
        <w:ind w:firstLine="560"/>
      </w:pPr>
      <w:r>
        <w:t xml:space="preserve">累年平均有雹日数              </w:t>
      </w:r>
      <w:r>
        <w:tab/>
      </w:r>
      <w:r>
        <w:t xml:space="preserve">      0.8天</w:t>
      </w:r>
    </w:p>
    <w:p>
      <w:pPr>
        <w:pStyle w:val="5"/>
      </w:pPr>
      <w:r>
        <w:t>2.3.4.2地质、地震</w:t>
      </w:r>
    </w:p>
    <w:p>
      <w:pPr>
        <w:pStyle w:val="6"/>
        <w:ind w:firstLine="560"/>
      </w:pPr>
      <w:r>
        <w:t>（1）地质</w:t>
      </w:r>
    </w:p>
    <w:p>
      <w:pPr>
        <w:pStyle w:val="6"/>
        <w:ind w:firstLine="560"/>
      </w:pPr>
      <w:r>
        <w:t>石油化工总厂所在场地地形平坦，地貌属于第四纪黄河三角洲冲积平原，岩层以亚粘土和粘土为主，表层为粉质粘土，可作为建筑物的天然地基，无威胁场区安全的不良地质现象。该场地地下水属第四系潜水，现地下水静止水位埋深为0.60～1.30m左右，相应标高为3.54～4.62m，地下水位随季节性变化而变化，历年最高水位深埋为0.50m，水位变化幅度在3.00m左右。</w:t>
      </w:r>
    </w:p>
    <w:p>
      <w:pPr>
        <w:pStyle w:val="6"/>
        <w:ind w:firstLine="560"/>
      </w:pPr>
      <w:r>
        <w:t>（2）地震</w:t>
      </w:r>
    </w:p>
    <w:p>
      <w:pPr>
        <w:pStyle w:val="6"/>
        <w:ind w:firstLine="560"/>
      </w:pPr>
      <w:r>
        <w:t>根据《建筑抗震设计规范（2016年版）》（GB 50011-2010），该地区抗震设防烈度为7度，设计基本地震加速度为0.10g。</w:t>
      </w:r>
    </w:p>
    <w:p>
      <w:pPr>
        <w:pStyle w:val="4"/>
        <w:spacing w:before="62" w:after="62"/>
      </w:pPr>
      <w:r>
        <w:t>2.3.5总图布置</w:t>
      </w:r>
    </w:p>
    <w:p>
      <w:pPr>
        <w:pStyle w:val="6"/>
        <w:ind w:firstLine="560"/>
      </w:pPr>
      <w:r>
        <w:t>（1）总图布置</w:t>
      </w:r>
    </w:p>
    <w:p>
      <w:pPr>
        <w:pStyle w:val="6"/>
        <w:ind w:firstLine="560"/>
      </w:pPr>
      <w:r>
        <w:t>厂区根据功能分区为办公区、生产区、公辅工程区、储存区。办公区位于厂区东南角，布置有综合办公楼、档案室。公辅工程区位于厂区南侧，布置有锅炉房、变电站、空压、制氮站、循环水场等设施。生产区位于厂区的中部，布置有常减压装置、原料预处理及减粘装置、重油催化裂化装置、柴油加氢装置、延迟焦化装置、硫磺回收装置、气分装置、制氢装置。储存区位于厂区东北侧，布置有</w:t>
      </w:r>
      <w:r>
        <w:rPr>
          <w:lang w:val="en-US"/>
        </w:rPr>
        <w:t>原油罐区、</w:t>
      </w:r>
      <w:r>
        <w:t>液化气罐区、柴油罐区、汽油罐区。</w:t>
      </w:r>
    </w:p>
    <w:p>
      <w:pPr>
        <w:pStyle w:val="6"/>
        <w:ind w:firstLine="560"/>
        <w:rPr>
          <w:lang w:val="en-US"/>
        </w:rPr>
      </w:pPr>
      <w:r>
        <w:rPr>
          <w:lang w:val="en-US"/>
        </w:rPr>
        <w:t>拟建30000m³的原油储罐（G-106）位于原105#罐区预留位置，本次拟为105#罐区新建防火堤，并在新建原油储罐西南侧新建一座泡沫站。</w:t>
      </w:r>
    </w:p>
    <w:p>
      <w:pPr>
        <w:pStyle w:val="6"/>
        <w:ind w:firstLine="560"/>
      </w:pPr>
      <w:r>
        <w:t>装置内设备、建筑物平面布置的防火间距见表2.3-4。</w:t>
      </w:r>
    </w:p>
    <w:p>
      <w:pPr>
        <w:pStyle w:val="23"/>
      </w:pPr>
      <w:r>
        <w:t>表2.3-4装置内设备、建筑物平面布置的防火间距检查表</w:t>
      </w:r>
    </w:p>
    <w:tbl>
      <w:tblPr>
        <w:tblStyle w:val="19"/>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814"/>
        <w:gridCol w:w="677"/>
        <w:gridCol w:w="1475"/>
        <w:gridCol w:w="988"/>
        <w:gridCol w:w="713"/>
        <w:gridCol w:w="1523"/>
        <w:gridCol w:w="6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49" w:hRule="atLeast"/>
          <w:tblHeader/>
        </w:trPr>
        <w:tc>
          <w:tcPr>
            <w:tcW w:w="379" w:type="pct"/>
            <w:vMerge w:val="restart"/>
            <w:vAlign w:val="center"/>
          </w:tcPr>
          <w:p>
            <w:pPr>
              <w:pStyle w:val="24"/>
              <w:rPr>
                <w:b/>
                <w:bCs/>
              </w:rPr>
            </w:pPr>
            <w:r>
              <w:rPr>
                <w:b/>
                <w:bCs/>
              </w:rPr>
              <w:t>序号</w:t>
            </w:r>
          </w:p>
        </w:tc>
        <w:tc>
          <w:tcPr>
            <w:tcW w:w="1064" w:type="pct"/>
            <w:vMerge w:val="restart"/>
            <w:vAlign w:val="center"/>
          </w:tcPr>
          <w:p>
            <w:pPr>
              <w:pStyle w:val="24"/>
              <w:rPr>
                <w:b/>
                <w:bCs/>
              </w:rPr>
            </w:pPr>
            <w:r>
              <w:rPr>
                <w:b/>
                <w:bCs/>
              </w:rPr>
              <w:t>名称</w:t>
            </w:r>
          </w:p>
        </w:tc>
        <w:tc>
          <w:tcPr>
            <w:tcW w:w="397" w:type="pct"/>
            <w:vMerge w:val="restart"/>
            <w:vAlign w:val="center"/>
          </w:tcPr>
          <w:p>
            <w:pPr>
              <w:pStyle w:val="24"/>
              <w:rPr>
                <w:b/>
                <w:bCs/>
              </w:rPr>
            </w:pPr>
            <w:r>
              <w:rPr>
                <w:b/>
                <w:bCs/>
              </w:rPr>
              <w:t>相对</w:t>
            </w:r>
          </w:p>
          <w:p>
            <w:pPr>
              <w:pStyle w:val="24"/>
              <w:rPr>
                <w:b/>
                <w:bCs/>
              </w:rPr>
            </w:pPr>
            <w:r>
              <w:rPr>
                <w:b/>
                <w:bCs/>
              </w:rPr>
              <w:t>方位</w:t>
            </w:r>
          </w:p>
        </w:tc>
        <w:tc>
          <w:tcPr>
            <w:tcW w:w="865" w:type="pct"/>
            <w:vMerge w:val="restart"/>
            <w:vAlign w:val="center"/>
          </w:tcPr>
          <w:p>
            <w:pPr>
              <w:pStyle w:val="24"/>
              <w:rPr>
                <w:b/>
                <w:bCs/>
              </w:rPr>
            </w:pPr>
            <w:r>
              <w:rPr>
                <w:b/>
                <w:bCs/>
              </w:rPr>
              <w:t>周边设施</w:t>
            </w:r>
          </w:p>
        </w:tc>
        <w:tc>
          <w:tcPr>
            <w:tcW w:w="998" w:type="pct"/>
            <w:gridSpan w:val="2"/>
            <w:vAlign w:val="center"/>
          </w:tcPr>
          <w:p>
            <w:pPr>
              <w:pStyle w:val="24"/>
              <w:rPr>
                <w:b/>
                <w:bCs/>
              </w:rPr>
            </w:pPr>
            <w:r>
              <w:rPr>
                <w:b/>
                <w:bCs/>
              </w:rPr>
              <w:t>防火间距（m）</w:t>
            </w:r>
          </w:p>
        </w:tc>
        <w:tc>
          <w:tcPr>
            <w:tcW w:w="893" w:type="pct"/>
            <w:vMerge w:val="restart"/>
            <w:vAlign w:val="center"/>
          </w:tcPr>
          <w:p>
            <w:pPr>
              <w:pStyle w:val="24"/>
              <w:rPr>
                <w:b/>
                <w:bCs/>
              </w:rPr>
            </w:pPr>
            <w:r>
              <w:rPr>
                <w:b/>
                <w:bCs/>
              </w:rPr>
              <w:t>标准依据</w:t>
            </w:r>
          </w:p>
        </w:tc>
        <w:tc>
          <w:tcPr>
            <w:tcW w:w="400" w:type="pct"/>
            <w:vMerge w:val="restart"/>
            <w:vAlign w:val="center"/>
          </w:tcPr>
          <w:p>
            <w:pPr>
              <w:pStyle w:val="24"/>
              <w:rPr>
                <w:b/>
                <w:bCs/>
              </w:rPr>
            </w:pPr>
            <w:r>
              <w:rPr>
                <w:b/>
                <w:bCs/>
              </w:rPr>
              <w:t>是否</w:t>
            </w:r>
          </w:p>
          <w:p>
            <w:pPr>
              <w:pStyle w:val="24"/>
              <w:rPr>
                <w:b/>
                <w:bCs/>
              </w:rPr>
            </w:pPr>
            <w:r>
              <w:rPr>
                <w:b/>
                <w:bCs/>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9" w:hRule="atLeast"/>
          <w:tblHeader/>
        </w:trPr>
        <w:tc>
          <w:tcPr>
            <w:tcW w:w="379" w:type="pct"/>
            <w:vMerge w:val="continue"/>
            <w:vAlign w:val="center"/>
          </w:tcPr>
          <w:p>
            <w:pPr>
              <w:pStyle w:val="24"/>
            </w:pPr>
          </w:p>
        </w:tc>
        <w:tc>
          <w:tcPr>
            <w:tcW w:w="1064" w:type="pct"/>
            <w:vMerge w:val="continue"/>
            <w:vAlign w:val="center"/>
          </w:tcPr>
          <w:p>
            <w:pPr>
              <w:pStyle w:val="24"/>
            </w:pPr>
          </w:p>
        </w:tc>
        <w:tc>
          <w:tcPr>
            <w:tcW w:w="397" w:type="pct"/>
            <w:vMerge w:val="continue"/>
            <w:vAlign w:val="center"/>
          </w:tcPr>
          <w:p>
            <w:pPr>
              <w:pStyle w:val="24"/>
            </w:pPr>
          </w:p>
        </w:tc>
        <w:tc>
          <w:tcPr>
            <w:tcW w:w="865" w:type="pct"/>
            <w:vMerge w:val="continue"/>
            <w:vAlign w:val="center"/>
          </w:tcPr>
          <w:p>
            <w:pPr>
              <w:pStyle w:val="24"/>
            </w:pPr>
          </w:p>
        </w:tc>
        <w:tc>
          <w:tcPr>
            <w:tcW w:w="579" w:type="pct"/>
            <w:vAlign w:val="center"/>
          </w:tcPr>
          <w:p>
            <w:pPr>
              <w:pStyle w:val="24"/>
              <w:rPr>
                <w:b/>
                <w:bCs/>
              </w:rPr>
            </w:pPr>
            <w:r>
              <w:rPr>
                <w:b/>
                <w:bCs/>
              </w:rPr>
              <w:t>规范要求</w:t>
            </w:r>
          </w:p>
        </w:tc>
        <w:tc>
          <w:tcPr>
            <w:tcW w:w="418" w:type="pct"/>
            <w:vAlign w:val="center"/>
          </w:tcPr>
          <w:p>
            <w:pPr>
              <w:pStyle w:val="24"/>
              <w:rPr>
                <w:b/>
                <w:bCs/>
              </w:rPr>
            </w:pPr>
            <w:r>
              <w:rPr>
                <w:b/>
                <w:bCs/>
              </w:rPr>
              <w:t>实际距离</w:t>
            </w:r>
          </w:p>
        </w:tc>
        <w:tc>
          <w:tcPr>
            <w:tcW w:w="893" w:type="pct"/>
            <w:vMerge w:val="continue"/>
            <w:vAlign w:val="center"/>
          </w:tcPr>
          <w:p>
            <w:pPr>
              <w:pStyle w:val="24"/>
            </w:pPr>
          </w:p>
        </w:tc>
        <w:tc>
          <w:tcPr>
            <w:tcW w:w="400" w:type="pct"/>
            <w:vMerge w:val="continue"/>
            <w:vAlign w:val="center"/>
          </w:tcPr>
          <w:p>
            <w:pPr>
              <w:pStyle w:val="2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 w:hRule="atLeast"/>
        </w:trPr>
        <w:tc>
          <w:tcPr>
            <w:tcW w:w="379" w:type="pct"/>
            <w:vMerge w:val="restart"/>
            <w:vAlign w:val="center"/>
          </w:tcPr>
          <w:p>
            <w:pPr>
              <w:pStyle w:val="24"/>
            </w:pPr>
            <w:r>
              <w:t>1</w:t>
            </w:r>
          </w:p>
        </w:tc>
        <w:tc>
          <w:tcPr>
            <w:tcW w:w="1064" w:type="pct"/>
            <w:vMerge w:val="restart"/>
            <w:vAlign w:val="center"/>
          </w:tcPr>
          <w:p>
            <w:pPr>
              <w:pStyle w:val="24"/>
            </w:pPr>
            <w:r>
              <w:t>30000m³原油罐（G-106）</w:t>
            </w:r>
          </w:p>
        </w:tc>
        <w:tc>
          <w:tcPr>
            <w:tcW w:w="397" w:type="pct"/>
            <w:vAlign w:val="center"/>
          </w:tcPr>
          <w:p>
            <w:pPr>
              <w:pStyle w:val="24"/>
            </w:pPr>
            <w:r>
              <w:t>北</w:t>
            </w:r>
          </w:p>
        </w:tc>
        <w:tc>
          <w:tcPr>
            <w:tcW w:w="865" w:type="pct"/>
            <w:vAlign w:val="center"/>
          </w:tcPr>
          <w:p>
            <w:pPr>
              <w:pStyle w:val="24"/>
            </w:pPr>
            <w:r>
              <w:t>防火堤</w:t>
            </w:r>
          </w:p>
        </w:tc>
        <w:tc>
          <w:tcPr>
            <w:tcW w:w="579" w:type="pct"/>
            <w:vAlign w:val="center"/>
          </w:tcPr>
          <w:p>
            <w:pPr>
              <w:pStyle w:val="24"/>
            </w:pPr>
            <w:r>
              <w:t>≥10.007</w:t>
            </w:r>
          </w:p>
        </w:tc>
        <w:tc>
          <w:tcPr>
            <w:tcW w:w="418" w:type="pct"/>
            <w:vAlign w:val="center"/>
          </w:tcPr>
          <w:p>
            <w:pPr>
              <w:pStyle w:val="24"/>
            </w:pPr>
            <w:r>
              <w:t>12.5</w:t>
            </w:r>
          </w:p>
        </w:tc>
        <w:tc>
          <w:tcPr>
            <w:tcW w:w="893" w:type="pct"/>
            <w:vAlign w:val="center"/>
          </w:tcPr>
          <w:p>
            <w:pPr>
              <w:pStyle w:val="24"/>
            </w:pPr>
            <w:r>
              <w:t>GB50160-2008</w:t>
            </w:r>
          </w:p>
          <w:p>
            <w:pPr>
              <w:pStyle w:val="24"/>
            </w:pPr>
            <w:r>
              <w:t>（</w:t>
            </w:r>
            <w:r>
              <w:rPr>
                <w:rFonts w:hint="eastAsia"/>
              </w:rPr>
              <w:t>2018年版</w:t>
            </w:r>
            <w:r>
              <w:t>）6.2.13</w:t>
            </w:r>
          </w:p>
        </w:tc>
        <w:tc>
          <w:tcPr>
            <w:tcW w:w="400" w:type="pct"/>
            <w:vAlign w:val="center"/>
          </w:tcPr>
          <w:p>
            <w:pPr>
              <w:pStyle w:val="24"/>
            </w:pPr>
            <w: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 w:hRule="atLeast"/>
        </w:trPr>
        <w:tc>
          <w:tcPr>
            <w:tcW w:w="379" w:type="pct"/>
            <w:vMerge w:val="continue"/>
            <w:vAlign w:val="center"/>
          </w:tcPr>
          <w:p>
            <w:pPr>
              <w:pStyle w:val="24"/>
            </w:pPr>
          </w:p>
        </w:tc>
        <w:tc>
          <w:tcPr>
            <w:tcW w:w="1064" w:type="pct"/>
            <w:vMerge w:val="continue"/>
            <w:vAlign w:val="center"/>
          </w:tcPr>
          <w:p>
            <w:pPr>
              <w:pStyle w:val="24"/>
            </w:pPr>
          </w:p>
        </w:tc>
        <w:tc>
          <w:tcPr>
            <w:tcW w:w="397" w:type="pct"/>
            <w:vAlign w:val="center"/>
          </w:tcPr>
          <w:p>
            <w:pPr>
              <w:pStyle w:val="24"/>
            </w:pPr>
            <w:r>
              <w:t>东</w:t>
            </w:r>
          </w:p>
        </w:tc>
        <w:tc>
          <w:tcPr>
            <w:tcW w:w="865" w:type="pct"/>
            <w:vAlign w:val="center"/>
          </w:tcPr>
          <w:p>
            <w:pPr>
              <w:pStyle w:val="24"/>
            </w:pPr>
            <w:r>
              <w:t>30000m³原油罐（G-105）</w:t>
            </w:r>
          </w:p>
        </w:tc>
        <w:tc>
          <w:tcPr>
            <w:tcW w:w="579" w:type="pct"/>
            <w:vAlign w:val="center"/>
          </w:tcPr>
          <w:p>
            <w:pPr>
              <w:pStyle w:val="24"/>
            </w:pPr>
            <w:r>
              <w:t>≥18.4</w:t>
            </w:r>
          </w:p>
        </w:tc>
        <w:tc>
          <w:tcPr>
            <w:tcW w:w="418" w:type="pct"/>
            <w:vAlign w:val="center"/>
          </w:tcPr>
          <w:p>
            <w:pPr>
              <w:pStyle w:val="24"/>
            </w:pPr>
            <w:r>
              <w:t>18.5</w:t>
            </w:r>
          </w:p>
        </w:tc>
        <w:tc>
          <w:tcPr>
            <w:tcW w:w="893" w:type="pct"/>
            <w:vAlign w:val="center"/>
          </w:tcPr>
          <w:p>
            <w:pPr>
              <w:pStyle w:val="24"/>
            </w:pPr>
            <w:r>
              <w:t>GB50160-2008</w:t>
            </w:r>
          </w:p>
          <w:p>
            <w:pPr>
              <w:pStyle w:val="24"/>
            </w:pPr>
            <w:r>
              <w:t>（</w:t>
            </w:r>
            <w:r>
              <w:rPr>
                <w:rFonts w:hint="eastAsia"/>
              </w:rPr>
              <w:t>2018年版</w:t>
            </w:r>
            <w:r>
              <w:t>）6.2.8</w:t>
            </w:r>
          </w:p>
        </w:tc>
        <w:tc>
          <w:tcPr>
            <w:tcW w:w="400" w:type="pct"/>
            <w:vAlign w:val="center"/>
          </w:tcPr>
          <w:p>
            <w:pPr>
              <w:pStyle w:val="24"/>
            </w:pPr>
            <w: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49" w:hRule="atLeast"/>
        </w:trPr>
        <w:tc>
          <w:tcPr>
            <w:tcW w:w="379" w:type="pct"/>
            <w:vAlign w:val="center"/>
          </w:tcPr>
          <w:p>
            <w:pPr>
              <w:pStyle w:val="24"/>
            </w:pPr>
            <w:r>
              <w:rPr>
                <w:rFonts w:hint="eastAsia"/>
              </w:rPr>
              <w:t>2</w:t>
            </w:r>
          </w:p>
        </w:tc>
        <w:tc>
          <w:tcPr>
            <w:tcW w:w="1064" w:type="pct"/>
            <w:vAlign w:val="center"/>
          </w:tcPr>
          <w:p>
            <w:pPr>
              <w:pStyle w:val="24"/>
            </w:pPr>
            <w:r>
              <w:rPr>
                <w:rFonts w:hint="eastAsia"/>
              </w:rPr>
              <w:t>新建泡沫站</w:t>
            </w:r>
          </w:p>
        </w:tc>
        <w:tc>
          <w:tcPr>
            <w:tcW w:w="397" w:type="pct"/>
            <w:vAlign w:val="center"/>
          </w:tcPr>
          <w:p>
            <w:pPr>
              <w:pStyle w:val="24"/>
            </w:pPr>
            <w:r>
              <w:rPr>
                <w:rFonts w:hint="eastAsia"/>
              </w:rPr>
              <w:t>北</w:t>
            </w:r>
          </w:p>
        </w:tc>
        <w:tc>
          <w:tcPr>
            <w:tcW w:w="865" w:type="pct"/>
            <w:vAlign w:val="center"/>
          </w:tcPr>
          <w:p>
            <w:pPr>
              <w:pStyle w:val="24"/>
            </w:pPr>
            <w:r>
              <w:t>30000m³原油罐（G-106）</w:t>
            </w:r>
          </w:p>
        </w:tc>
        <w:tc>
          <w:tcPr>
            <w:tcW w:w="579" w:type="pct"/>
            <w:vAlign w:val="center"/>
          </w:tcPr>
          <w:p>
            <w:pPr>
              <w:pStyle w:val="24"/>
            </w:pPr>
            <w:r>
              <w:t>≥20</w:t>
            </w:r>
          </w:p>
        </w:tc>
        <w:tc>
          <w:tcPr>
            <w:tcW w:w="418" w:type="pct"/>
            <w:vAlign w:val="center"/>
          </w:tcPr>
          <w:p>
            <w:pPr>
              <w:pStyle w:val="24"/>
            </w:pPr>
            <w:r>
              <w:t>41.3</w:t>
            </w:r>
            <w:r>
              <w:rPr>
                <w:rFonts w:hint="eastAsia"/>
              </w:rPr>
              <w:t>8</w:t>
            </w:r>
          </w:p>
        </w:tc>
        <w:tc>
          <w:tcPr>
            <w:tcW w:w="893" w:type="pct"/>
            <w:vAlign w:val="center"/>
          </w:tcPr>
          <w:p>
            <w:pPr>
              <w:pStyle w:val="24"/>
            </w:pPr>
            <w:r>
              <w:t>GB50160-2008</w:t>
            </w:r>
          </w:p>
          <w:p>
            <w:pPr>
              <w:pStyle w:val="24"/>
            </w:pPr>
            <w:r>
              <w:t>（</w:t>
            </w:r>
            <w:r>
              <w:rPr>
                <w:rFonts w:hint="eastAsia"/>
              </w:rPr>
              <w:t>2018年版</w:t>
            </w:r>
            <w:r>
              <w:t>）</w:t>
            </w:r>
          </w:p>
          <w:p>
            <w:pPr>
              <w:pStyle w:val="24"/>
            </w:pPr>
            <w:r>
              <w:t>4.2.8</w:t>
            </w:r>
          </w:p>
        </w:tc>
        <w:tc>
          <w:tcPr>
            <w:tcW w:w="400" w:type="pct"/>
            <w:vAlign w:val="center"/>
          </w:tcPr>
          <w:p>
            <w:pPr>
              <w:pStyle w:val="24"/>
            </w:pPr>
            <w:r>
              <w:t>是</w:t>
            </w:r>
          </w:p>
        </w:tc>
      </w:tr>
    </w:tbl>
    <w:p>
      <w:pPr>
        <w:pStyle w:val="6"/>
        <w:spacing w:before="156" w:beforeLines="50"/>
        <w:ind w:firstLine="560"/>
      </w:pPr>
      <w:r>
        <w:t>（2）竖向布置</w:t>
      </w:r>
    </w:p>
    <w:p>
      <w:pPr>
        <w:pStyle w:val="6"/>
        <w:ind w:firstLine="560"/>
        <w:rPr>
          <w:lang w:val="en-US"/>
        </w:rPr>
      </w:pPr>
      <w:r>
        <w:rPr>
          <w:lang w:val="en-US"/>
        </w:rPr>
        <w:t>该项目竖向、雨水设施依托石油化工总厂现有设施，无新增。</w:t>
      </w:r>
    </w:p>
    <w:p>
      <w:pPr>
        <w:pStyle w:val="6"/>
        <w:ind w:firstLine="560"/>
        <w:rPr>
          <w:rFonts w:hint="eastAsia"/>
          <w:b/>
          <w:bCs/>
          <w:color w:val="auto"/>
          <w:lang w:val="en-US" w:eastAsia="zh-CN"/>
        </w:rPr>
      </w:pPr>
      <w:r>
        <w:rPr>
          <w:rFonts w:hint="eastAsia"/>
          <w:b/>
          <w:bCs/>
          <w:color w:val="auto"/>
          <w:lang w:val="en-US" w:eastAsia="zh-CN"/>
        </w:rPr>
        <w:t>涉及企业机密，不予公开。</w:t>
      </w:r>
    </w:p>
    <w:p>
      <w:pPr>
        <w:pStyle w:val="6"/>
        <w:ind w:firstLine="560"/>
        <w:rPr>
          <w:rFonts w:hint="eastAsia" w:eastAsia="宋体"/>
          <w:color w:val="auto"/>
          <w:lang w:val="en-US" w:eastAsia="zh-CN"/>
        </w:rPr>
      </w:pPr>
      <w:r>
        <w:rPr>
          <w:rFonts w:hint="default"/>
          <w:color w:val="auto"/>
          <w:lang w:val="en-US" w:eastAsia="zh-CN"/>
        </w:rPr>
        <w:t>可行性研究阶段未对</w:t>
      </w:r>
      <w:r>
        <w:rPr>
          <w:rFonts w:hint="eastAsia"/>
          <w:color w:val="auto"/>
          <w:lang w:val="en-US" w:eastAsia="zh-CN"/>
        </w:rPr>
        <w:t>防火堤坡度、坡向、雨水流向、雨水沟的布置、水封井等</w:t>
      </w:r>
      <w:r>
        <w:rPr>
          <w:rFonts w:hint="default"/>
          <w:color w:val="auto"/>
          <w:lang w:val="en-US" w:eastAsia="zh-CN"/>
        </w:rPr>
        <w:t>进行详细介绍。在下一步进行安全设施设计阶段，应严格按照《储罐区防火堤设计规范》（GB50</w:t>
      </w:r>
      <w:r>
        <w:rPr>
          <w:rFonts w:hint="eastAsia"/>
          <w:color w:val="auto"/>
          <w:lang w:val="en-US" w:eastAsia="zh-CN"/>
        </w:rPr>
        <w:t>351</w:t>
      </w:r>
      <w:r>
        <w:rPr>
          <w:rFonts w:hint="default"/>
          <w:color w:val="auto"/>
          <w:lang w:val="en-US" w:eastAsia="zh-CN"/>
        </w:rPr>
        <w:t>-201</w:t>
      </w:r>
      <w:r>
        <w:rPr>
          <w:rFonts w:hint="eastAsia"/>
          <w:color w:val="auto"/>
          <w:lang w:val="en-US" w:eastAsia="zh-CN"/>
        </w:rPr>
        <w:t>4</w:t>
      </w:r>
      <w:r>
        <w:rPr>
          <w:rFonts w:hint="default"/>
          <w:color w:val="auto"/>
          <w:lang w:val="en-US" w:eastAsia="zh-CN"/>
        </w:rPr>
        <w:t>）、《石油化工企业设计防火标准</w:t>
      </w:r>
      <w:r>
        <w:rPr>
          <w:rFonts w:hint="eastAsia"/>
          <w:color w:val="auto"/>
          <w:lang w:val="en-US" w:eastAsia="zh-CN"/>
        </w:rPr>
        <w:t>（2018年版）</w:t>
      </w:r>
      <w:r>
        <w:rPr>
          <w:rFonts w:hint="default"/>
          <w:color w:val="auto"/>
          <w:lang w:val="en-US" w:eastAsia="zh-CN"/>
        </w:rPr>
        <w:t>》（</w:t>
      </w:r>
      <w:r>
        <w:rPr>
          <w:rFonts w:hint="eastAsia"/>
          <w:color w:val="auto"/>
          <w:lang w:val="en-US" w:eastAsia="zh-CN"/>
        </w:rPr>
        <w:t>GB50160-2008</w:t>
      </w:r>
      <w:r>
        <w:rPr>
          <w:rFonts w:hint="default"/>
          <w:color w:val="auto"/>
          <w:lang w:val="en-US" w:eastAsia="zh-CN"/>
        </w:rPr>
        <w:t>）对防雷防静电系统进行详细的设计。</w:t>
      </w:r>
    </w:p>
    <w:p>
      <w:pPr>
        <w:pStyle w:val="6"/>
        <w:ind w:firstLine="560"/>
      </w:pPr>
      <w:r>
        <w:t>（3）道路及出入口</w:t>
      </w:r>
    </w:p>
    <w:p>
      <w:pPr>
        <w:pStyle w:val="6"/>
        <w:ind w:firstLine="560"/>
        <w:rPr>
          <w:lang w:val="en-US"/>
        </w:rPr>
      </w:pPr>
      <w:r>
        <w:t>拟</w:t>
      </w:r>
      <w:r>
        <w:rPr>
          <w:lang w:val="en-US"/>
        </w:rPr>
        <w:t>新建</w:t>
      </w:r>
      <w:r>
        <w:rPr>
          <w:rFonts w:hint="eastAsia"/>
          <w:lang w:val="en-US"/>
        </w:rPr>
        <w:t>G-106</w:t>
      </w:r>
      <w:r>
        <w:rPr>
          <w:lang w:val="en-US"/>
        </w:rPr>
        <w:t>储罐</w:t>
      </w:r>
      <w:r>
        <w:t>四周设有环形消防车道</w:t>
      </w:r>
      <w:r>
        <w:rPr>
          <w:rFonts w:hint="eastAsia"/>
        </w:rPr>
        <w:t>，</w:t>
      </w:r>
      <w:r>
        <w:rPr>
          <w:lang w:val="en-US"/>
        </w:rPr>
        <w:t>消防通道宽度为6m，道路转弯半径12m。道路路面采用水泥混凝土路面，跨越道路管廊净空高度不小于5m。</w:t>
      </w:r>
    </w:p>
    <w:p>
      <w:pPr>
        <w:pStyle w:val="6"/>
        <w:ind w:firstLine="560"/>
      </w:pPr>
      <w:r>
        <w:t>厂区设有5个出入口与厂外道路直接相连，东侧设有2处人流出入口、1处铁路出入口，1处物流出入口，北侧设有1处物流出入口。</w:t>
      </w:r>
    </w:p>
    <w:p>
      <w:pPr>
        <w:pStyle w:val="6"/>
        <w:numPr>
          <w:ilvl w:val="0"/>
          <w:numId w:val="4"/>
        </w:numPr>
        <w:ind w:firstLine="560"/>
      </w:pPr>
      <w:r>
        <w:t>综合管网及管架敷设</w:t>
      </w:r>
    </w:p>
    <w:p>
      <w:pPr>
        <w:pStyle w:val="6"/>
        <w:ind w:firstLine="560"/>
      </w:pPr>
      <w:r>
        <w:t>该项目的</w:t>
      </w:r>
      <w:r>
        <w:rPr>
          <w:rFonts w:hint="eastAsia"/>
          <w:lang w:val="en-US"/>
        </w:rPr>
        <w:t>105#罐区内</w:t>
      </w:r>
      <w:r>
        <w:t>管道拟选用架空设置，管架选用钢构墩架，跨越</w:t>
      </w:r>
      <w:r>
        <w:rPr>
          <w:lang w:val="en-US"/>
        </w:rPr>
        <w:t>厂区</w:t>
      </w:r>
      <w:r>
        <w:t>道路的管线管架净空高度不小于5m。</w:t>
      </w:r>
      <w:r>
        <w:rPr>
          <w:rFonts w:hint="eastAsia"/>
          <w:color w:val="auto"/>
        </w:rPr>
        <w:t>管道以管墩敷设为主，主要用于105#罐区内主管带延伸至新建G-106罐。管架位于主管带进罐的分支管带上，用于支撑进出罐的工艺管道和公用工程管道。</w:t>
      </w:r>
      <w:r>
        <w:t>管道之间及管道与管件之间拟采用焊接连接，管道与设备、阀门、仪表之间采用法兰连接。罐根阀及主要控制阀门</w:t>
      </w:r>
      <w:r>
        <w:rPr>
          <w:lang w:val="en-US"/>
        </w:rPr>
        <w:t>拟</w:t>
      </w:r>
      <w:r>
        <w:t>采用气动闸阀。</w:t>
      </w:r>
    </w:p>
    <w:p>
      <w:pPr>
        <w:pStyle w:val="3"/>
        <w:spacing w:before="156" w:after="156"/>
      </w:pPr>
      <w:bookmarkStart w:id="23" w:name="_Toc11656"/>
      <w:r>
        <w:t>项目涉及的主要物料品种名称、数量和储存情况</w:t>
      </w:r>
      <w:bookmarkEnd w:id="23"/>
    </w:p>
    <w:p>
      <w:pPr>
        <w:pStyle w:val="6"/>
        <w:ind w:firstLine="560"/>
      </w:pPr>
      <w:r>
        <w:t>（1）储存规模</w:t>
      </w:r>
    </w:p>
    <w:p>
      <w:pPr>
        <w:pStyle w:val="6"/>
        <w:ind w:firstLine="560"/>
      </w:pPr>
      <w:r>
        <w:t>物料的储存规模情况见表2.4-1。</w:t>
      </w:r>
    </w:p>
    <w:p>
      <w:pPr>
        <w:pStyle w:val="6"/>
        <w:ind w:firstLine="560"/>
        <w:rPr>
          <w:b/>
          <w:bCs/>
        </w:rPr>
      </w:pPr>
      <w:r>
        <w:rPr>
          <w:rFonts w:hint="eastAsia"/>
          <w:b/>
          <w:bCs/>
        </w:rPr>
        <w:t>涉及企业机密，不予公开。</w:t>
      </w:r>
    </w:p>
    <w:p>
      <w:pPr>
        <w:pStyle w:val="6"/>
        <w:spacing w:before="156" w:beforeLines="50"/>
        <w:ind w:firstLine="560"/>
      </w:pPr>
      <w:r>
        <w:t>（2）主要质量指标</w:t>
      </w:r>
    </w:p>
    <w:p>
      <w:pPr>
        <w:pStyle w:val="6"/>
        <w:ind w:firstLine="560"/>
      </w:pPr>
      <w:r>
        <w:t>该项目储存物质的质量指标见下表。</w:t>
      </w:r>
    </w:p>
    <w:p>
      <w:pPr>
        <w:pStyle w:val="6"/>
        <w:ind w:firstLine="560"/>
        <w:rPr>
          <w:b/>
          <w:bCs/>
        </w:rPr>
      </w:pPr>
      <w:r>
        <w:rPr>
          <w:rFonts w:hint="eastAsia"/>
          <w:b/>
          <w:bCs/>
        </w:rPr>
        <w:t>涉及企业机密，不予公开。</w:t>
      </w:r>
    </w:p>
    <w:p>
      <w:pPr>
        <w:pStyle w:val="3"/>
        <w:spacing w:before="156" w:after="156"/>
      </w:pPr>
      <w:bookmarkStart w:id="24" w:name="_Toc12728"/>
      <w:r>
        <w:t>项目工艺流程和主要装置和设施的布局及其上下游生产装置关系</w:t>
      </w:r>
      <w:bookmarkEnd w:id="24"/>
    </w:p>
    <w:p>
      <w:pPr>
        <w:pStyle w:val="4"/>
        <w:spacing w:before="62" w:after="62"/>
      </w:pPr>
      <w:r>
        <w:t>2.5.1 工艺流程简述</w:t>
      </w:r>
    </w:p>
    <w:p>
      <w:pPr>
        <w:pStyle w:val="6"/>
        <w:ind w:firstLine="560"/>
      </w:pPr>
      <w:r>
        <w:rPr>
          <w:rFonts w:hint="eastAsia"/>
          <w:b/>
          <w:bCs/>
        </w:rPr>
        <w:t>涉及企业机密，不予公开。</w:t>
      </w:r>
    </w:p>
    <w:p>
      <w:pPr>
        <w:pStyle w:val="4"/>
        <w:spacing w:before="62" w:after="62"/>
      </w:pPr>
      <w:r>
        <w:t>2.5.2 建设项目与上下游生产装置的关系</w:t>
      </w:r>
    </w:p>
    <w:p>
      <w:pPr>
        <w:pStyle w:val="6"/>
        <w:ind w:firstLine="560"/>
        <w:rPr>
          <w:rFonts w:hint="eastAsia"/>
          <w:b/>
          <w:bCs/>
        </w:rPr>
      </w:pPr>
      <w:r>
        <w:rPr>
          <w:rFonts w:hint="eastAsia"/>
          <w:b/>
          <w:bCs/>
        </w:rPr>
        <w:t>涉及企业机密，不予公开。</w:t>
      </w:r>
    </w:p>
    <w:p>
      <w:pPr>
        <w:pStyle w:val="4"/>
        <w:spacing w:before="62" w:after="62"/>
      </w:pPr>
      <w:r>
        <w:t>2.5.3 主要设备设施</w:t>
      </w:r>
    </w:p>
    <w:p>
      <w:pPr>
        <w:pStyle w:val="6"/>
        <w:ind w:firstLine="560"/>
      </w:pPr>
      <w:r>
        <w:t>该项目的设备设施主要是新建1座30000m³内浮顶储罐，同时新建1座泡沫站，为新建储罐提供泡沫灭火服务。</w:t>
      </w:r>
    </w:p>
    <w:p>
      <w:pPr>
        <w:pStyle w:val="6"/>
        <w:ind w:firstLine="560"/>
      </w:pPr>
      <w:r>
        <w:t>主要设备见下表：</w:t>
      </w:r>
    </w:p>
    <w:p>
      <w:pPr>
        <w:pStyle w:val="6"/>
        <w:ind w:firstLine="560"/>
        <w:rPr>
          <w:b/>
          <w:bCs/>
        </w:rPr>
      </w:pPr>
      <w:r>
        <w:rPr>
          <w:rFonts w:hint="eastAsia"/>
          <w:b/>
          <w:bCs/>
        </w:rPr>
        <w:t>涉及企业机密，不予公开。</w:t>
      </w:r>
    </w:p>
    <w:p>
      <w:pPr>
        <w:pStyle w:val="3"/>
        <w:spacing w:before="156" w:after="156"/>
      </w:pPr>
      <w:bookmarkStart w:id="25" w:name="_Toc22821"/>
      <w:r>
        <w:t>建设项目公用工程及辅助设施</w:t>
      </w:r>
      <w:bookmarkEnd w:id="25"/>
    </w:p>
    <w:p>
      <w:pPr>
        <w:pStyle w:val="4"/>
        <w:spacing w:before="62" w:after="62"/>
      </w:pPr>
      <w:r>
        <w:t>2.6.1 供配电系统</w:t>
      </w:r>
    </w:p>
    <w:p>
      <w:pPr>
        <w:pStyle w:val="6"/>
        <w:ind w:firstLine="560"/>
        <w:rPr>
          <w:lang w:val="en-US"/>
        </w:rPr>
      </w:pPr>
      <w:r>
        <w:t>（</w:t>
      </w:r>
      <w:r>
        <w:rPr>
          <w:lang w:val="en-US"/>
        </w:rPr>
        <w:t>1</w:t>
      </w:r>
      <w:r>
        <w:t>）</w:t>
      </w:r>
      <w:r>
        <w:rPr>
          <w:lang w:val="en-US"/>
        </w:rPr>
        <w:t>供电负荷要求</w:t>
      </w:r>
    </w:p>
    <w:p>
      <w:pPr>
        <w:pStyle w:val="6"/>
        <w:ind w:firstLine="560"/>
      </w:pPr>
      <w:r>
        <w:t>根据《供配电系统设计规范》（GB50052-2009）及《石油化工仪表供电设计规范》（SH/T3082-2019），本项目依托罐区生产作业的供电负荷等级为二级负荷；本项目依托的消防系统供电负荷等级为一级负荷，新增泡沫站用电为</w:t>
      </w:r>
      <w:r>
        <w:rPr>
          <w:lang w:val="en-US"/>
        </w:rPr>
        <w:t>一</w:t>
      </w:r>
      <w:r>
        <w:t>级负荷；本项目</w:t>
      </w:r>
      <w:r>
        <w:rPr>
          <w:rFonts w:hint="eastAsia"/>
          <w:lang w:val="en-US"/>
        </w:rPr>
        <w:t>依托</w:t>
      </w:r>
      <w:r>
        <w:t>的DCS控制系统、SIS控制系统，新增的可燃、有毒气体报警系统、火灾自动报警系统、仪表电源用电等为一级负荷中的特别重要负荷；照明等其他辅助设施为三级负荷。</w:t>
      </w:r>
    </w:p>
    <w:p>
      <w:pPr>
        <w:pStyle w:val="6"/>
        <w:ind w:firstLine="560"/>
        <w:rPr>
          <w:lang w:val="en-US"/>
        </w:rPr>
      </w:pPr>
      <w:r>
        <w:t>（</w:t>
      </w:r>
      <w:r>
        <w:rPr>
          <w:lang w:val="en-US"/>
        </w:rPr>
        <w:t>2</w:t>
      </w:r>
      <w:r>
        <w:t>）</w:t>
      </w:r>
      <w:r>
        <w:rPr>
          <w:lang w:val="en-US"/>
        </w:rPr>
        <w:t>供电电源及设备</w:t>
      </w:r>
    </w:p>
    <w:p>
      <w:pPr>
        <w:pStyle w:val="6"/>
        <w:keepNext w:val="0"/>
        <w:keepLines w:val="0"/>
        <w:pageBreakBefore w:val="0"/>
        <w:widowControl/>
        <w:kinsoku/>
        <w:wordWrap/>
        <w:overflowPunct/>
        <w:topLinePunct w:val="0"/>
        <w:autoSpaceDE/>
        <w:autoSpaceDN/>
        <w:bidi w:val="0"/>
        <w:adjustRightInd/>
        <w:snapToGrid w:val="0"/>
        <w:spacing w:before="157" w:beforeLines="50"/>
        <w:ind w:firstLine="560"/>
        <w:textAlignment w:val="auto"/>
        <w:rPr>
          <w:b/>
          <w:bCs/>
          <w:highlight w:val="yellow"/>
          <w:lang w:val="en-US"/>
        </w:rPr>
      </w:pPr>
      <w:r>
        <w:rPr>
          <w:rFonts w:hint="eastAsia"/>
          <w:b/>
          <w:bCs/>
          <w:lang w:val="en-US"/>
        </w:rPr>
        <w:t>涉及企业机密，不予公开。</w:t>
      </w:r>
    </w:p>
    <w:p>
      <w:pPr>
        <w:pStyle w:val="6"/>
        <w:ind w:firstLine="560"/>
        <w:rPr>
          <w:lang w:val="en-US"/>
        </w:rPr>
      </w:pPr>
      <w:r>
        <w:rPr>
          <w:lang w:val="en-US"/>
        </w:rPr>
        <w:t>（3）配电线路</w:t>
      </w:r>
    </w:p>
    <w:p>
      <w:pPr>
        <w:pStyle w:val="6"/>
        <w:ind w:firstLine="560"/>
        <w:rPr>
          <w:lang w:val="en-US"/>
        </w:rPr>
      </w:pPr>
      <w:r>
        <w:rPr>
          <w:lang w:val="en-US"/>
        </w:rPr>
        <w:t>泡沫站电缆敷设方式主要沿厂区原有电缆沟敷设，出电缆沟后采用穿钢管埋地敷设至用电设备，埋地深度不低于500mm。</w:t>
      </w:r>
    </w:p>
    <w:p>
      <w:pPr>
        <w:pStyle w:val="6"/>
        <w:ind w:firstLine="560"/>
      </w:pPr>
      <w:r>
        <w:rPr>
          <w:lang w:val="en-US"/>
        </w:rPr>
        <w:t>可研未明确罐区配电电缆的敷设方式，</w:t>
      </w:r>
      <w:r>
        <w:t>本次评价在第7.1.2节补充的安全对策措施中提出了相关要求。</w:t>
      </w:r>
    </w:p>
    <w:p>
      <w:pPr>
        <w:pStyle w:val="6"/>
        <w:ind w:firstLine="560"/>
        <w:rPr>
          <w:lang w:val="en-US"/>
        </w:rPr>
      </w:pPr>
      <w:r>
        <w:rPr>
          <w:lang w:val="en-US"/>
        </w:rPr>
        <w:t>（4）照明方式及其配电</w:t>
      </w:r>
    </w:p>
    <w:p>
      <w:pPr>
        <w:pStyle w:val="6"/>
        <w:ind w:firstLine="560"/>
        <w:rPr>
          <w:lang w:val="en-US"/>
        </w:rPr>
      </w:pPr>
      <w:r>
        <w:rPr>
          <w:lang w:val="en-US"/>
        </w:rPr>
        <w:t>新建G-106原油储罐的照明设施依托厂内现有照明装置。</w:t>
      </w:r>
    </w:p>
    <w:p>
      <w:pPr>
        <w:pStyle w:val="6"/>
        <w:ind w:firstLine="560"/>
        <w:rPr>
          <w:lang w:val="en-US"/>
        </w:rPr>
      </w:pPr>
      <w:r>
        <w:rPr>
          <w:lang w:val="en-US"/>
        </w:rPr>
        <w:t>新建泡沫站的照明设施电源引自焦化变电所照明段低压柜；照明控制方式采用照明开关就地控制。</w:t>
      </w:r>
    </w:p>
    <w:p>
      <w:pPr>
        <w:pStyle w:val="6"/>
        <w:ind w:firstLine="560"/>
      </w:pPr>
      <w:r>
        <w:t>（</w:t>
      </w:r>
      <w:r>
        <w:rPr>
          <w:lang w:val="en-US"/>
        </w:rPr>
        <w:t>5</w:t>
      </w:r>
      <w:r>
        <w:t>）爆炸危险环境的电气设备选择</w:t>
      </w:r>
    </w:p>
    <w:p>
      <w:pPr>
        <w:pStyle w:val="6"/>
        <w:ind w:firstLine="560"/>
        <w:rPr>
          <w:lang w:val="en-US"/>
        </w:rPr>
      </w:pPr>
      <w:r>
        <w:rPr>
          <w:lang w:val="en-US"/>
        </w:rPr>
        <w:t>该项目爆炸危险区域划分如下：</w:t>
      </w:r>
    </w:p>
    <w:p>
      <w:pPr>
        <w:pStyle w:val="6"/>
        <w:ind w:firstLine="560"/>
      </w:pPr>
      <w:r>
        <w:rPr>
          <w:lang w:val="en-US"/>
        </w:rPr>
        <w:t>105#罐区（内浮顶）</w:t>
      </w:r>
      <w:r>
        <w:t>：在浮顶移动范围内的空间划为1区，爆炸危险区域内地坪下的坑、沟划为1区；距离贮罐的外壁和顶部3m的范围内划为2区；当贮罐周围设围堤时，贮罐外壁至围堤，其高度为堤顶高度的范围内划为2区。</w:t>
      </w:r>
    </w:p>
    <w:p>
      <w:pPr>
        <w:pStyle w:val="6"/>
        <w:ind w:firstLine="560"/>
      </w:pPr>
      <w:r>
        <w:t>本项目处于爆炸危险区域内的电气设备、元件及照明设备采用防爆型，防爆等级不低于ExdIIBT4。</w:t>
      </w:r>
    </w:p>
    <w:p>
      <w:pPr>
        <w:pStyle w:val="4"/>
        <w:spacing w:before="62" w:after="62"/>
      </w:pPr>
      <w:r>
        <w:t>2.6.2 给排水系统</w:t>
      </w:r>
    </w:p>
    <w:p>
      <w:pPr>
        <w:pStyle w:val="6"/>
        <w:ind w:firstLine="560"/>
      </w:pPr>
      <w:r>
        <w:rPr>
          <w:rFonts w:hint="eastAsia"/>
          <w:b/>
          <w:bCs/>
        </w:rPr>
        <w:t>涉及企业机密，不予公开。</w:t>
      </w:r>
    </w:p>
    <w:p>
      <w:pPr>
        <w:pStyle w:val="4"/>
        <w:spacing w:before="62" w:after="62"/>
      </w:pPr>
      <w:r>
        <w:t>2.6.3 防雷、防静电接地</w:t>
      </w:r>
    </w:p>
    <w:p>
      <w:pPr>
        <w:pStyle w:val="6"/>
        <w:ind w:firstLine="560"/>
      </w:pPr>
      <w:r>
        <w:t>（</w:t>
      </w:r>
      <w:r>
        <w:rPr>
          <w:lang w:val="en-US"/>
        </w:rPr>
        <w:t>1</w:t>
      </w:r>
      <w:r>
        <w:t>）储罐</w:t>
      </w:r>
    </w:p>
    <w:p>
      <w:pPr>
        <w:pStyle w:val="6"/>
        <w:ind w:firstLine="560"/>
      </w:pPr>
      <w:r>
        <w:t>为防止大型储罐出现雷击、静电起火等不安全事故，该项目</w:t>
      </w:r>
      <w:r>
        <w:rPr>
          <w:lang w:val="en-US"/>
        </w:rPr>
        <w:t>拟</w:t>
      </w:r>
      <w:r>
        <w:t>采取的主要措施如下：</w:t>
      </w:r>
    </w:p>
    <w:p>
      <w:pPr>
        <w:pStyle w:val="6"/>
        <w:ind w:firstLine="560"/>
      </w:pPr>
      <w:r>
        <w:rPr>
          <w:lang w:val="en-US"/>
        </w:rPr>
        <w:t>①</w:t>
      </w:r>
      <w:r>
        <w:t>防雷接地引下线沿罐周向均匀布置，引下线间距不大于18m（弧长）。</w:t>
      </w:r>
    </w:p>
    <w:p>
      <w:pPr>
        <w:pStyle w:val="6"/>
        <w:ind w:firstLine="560"/>
      </w:pPr>
      <w:r>
        <w:rPr>
          <w:lang w:val="en-US"/>
        </w:rPr>
        <w:t>②</w:t>
      </w:r>
      <w:r>
        <w:t>内浮顶与罐顶连接导线不少于4根，电气连接导线的横截面积不小于25</w:t>
      </w:r>
      <w:r>
        <w:rPr>
          <w:lang w:val="en-US"/>
        </w:rPr>
        <w:t>mm</w:t>
      </w:r>
      <w:r>
        <w:rPr>
          <w:vertAlign w:val="superscript"/>
          <w:lang w:val="en-US"/>
        </w:rPr>
        <w:t>2</w:t>
      </w:r>
      <w:r>
        <w:t>。</w:t>
      </w:r>
    </w:p>
    <w:p>
      <w:pPr>
        <w:pStyle w:val="6"/>
        <w:ind w:firstLine="560"/>
      </w:pPr>
      <w:r>
        <w:rPr>
          <w:lang w:val="en-US"/>
        </w:rPr>
        <w:t>③</w:t>
      </w:r>
      <w:r>
        <w:t>储罐的量油孔、自动通气阀与内浮顶作电气连接。</w:t>
      </w:r>
    </w:p>
    <w:p>
      <w:pPr>
        <w:pStyle w:val="6"/>
        <w:ind w:firstLine="560"/>
      </w:pPr>
      <w:r>
        <w:rPr>
          <w:lang w:val="en-US"/>
        </w:rPr>
        <w:t>④</w:t>
      </w:r>
      <w:r>
        <w:t>罐顶中央通气孔加装阻爆轰型阻火器。</w:t>
      </w:r>
    </w:p>
    <w:p>
      <w:pPr>
        <w:pStyle w:val="6"/>
        <w:ind w:firstLine="560"/>
      </w:pPr>
      <w:r>
        <w:t>⑤储罐的上罐扶梯入口处设置消除人体静电的装置。</w:t>
      </w:r>
    </w:p>
    <w:p>
      <w:pPr>
        <w:pStyle w:val="6"/>
        <w:ind w:firstLine="560"/>
      </w:pPr>
      <w:r>
        <w:t>⑥罐顶平台取样口的两侧1.5m之外各设一组消除人体静电设施。</w:t>
      </w:r>
    </w:p>
    <w:p>
      <w:pPr>
        <w:pStyle w:val="6"/>
        <w:ind w:firstLine="560"/>
      </w:pPr>
      <w:r>
        <w:t>⑦电气连接导线的横截面积不小于10</w:t>
      </w:r>
      <w:r>
        <w:rPr>
          <w:lang w:val="en-US"/>
        </w:rPr>
        <w:t>mm</w:t>
      </w:r>
      <w:r>
        <w:rPr>
          <w:vertAlign w:val="superscript"/>
          <w:lang w:val="en-US"/>
        </w:rPr>
        <w:t>2</w:t>
      </w:r>
      <w:r>
        <w:t>。</w:t>
      </w:r>
    </w:p>
    <w:p>
      <w:pPr>
        <w:pStyle w:val="6"/>
        <w:ind w:firstLine="560"/>
      </w:pPr>
      <w:r>
        <w:t>新建原油罐增加接地设施。接地线采用复合防腐镀锌扁钢，接地极采用复合防腐镀锌角钢。新增原油罐接地设施接地电阻检测合格后，接入罐区原有接地系统中。</w:t>
      </w:r>
    </w:p>
    <w:p>
      <w:pPr>
        <w:pStyle w:val="6"/>
        <w:ind w:firstLine="560"/>
        <w:rPr>
          <w:lang w:val="en-US"/>
        </w:rPr>
      </w:pPr>
      <w:r>
        <w:rPr>
          <w:lang w:val="en-US"/>
        </w:rPr>
        <w:t>（2）建构筑物</w:t>
      </w:r>
    </w:p>
    <w:p>
      <w:pPr>
        <w:pStyle w:val="6"/>
        <w:ind w:firstLine="560"/>
        <w:rPr>
          <w:lang w:val="en-US"/>
        </w:rPr>
      </w:pPr>
      <w:r>
        <w:rPr>
          <w:lang w:val="en-US"/>
        </w:rPr>
        <w:t>本项目涉及的泡沫站拟按第三类防雷建筑物设防，屋面接闪带的网格按照间距不大于20m×20m或18m×24m设置。屋面接闪带使用Φ12热镀锌圆钢制作。屋顶接闪带在接闪带引下线位置与立柱主筋可靠连接，引下线的间距不大于24m。在地面600mm处设明装断接并经断接卡与地下接地网连接。</w:t>
      </w:r>
    </w:p>
    <w:p>
      <w:pPr>
        <w:pStyle w:val="6"/>
        <w:ind w:firstLine="560"/>
        <w:rPr>
          <w:lang w:val="en-US"/>
        </w:rPr>
      </w:pPr>
      <w:r>
        <w:rPr>
          <w:lang w:val="en-US"/>
        </w:rPr>
        <w:t>所有接地用的螺栓均采用不锈钢螺栓。</w:t>
      </w:r>
    </w:p>
    <w:p>
      <w:pPr>
        <w:pStyle w:val="6"/>
        <w:ind w:firstLine="560"/>
        <w:rPr>
          <w:lang w:val="en-US"/>
        </w:rPr>
      </w:pPr>
      <w:r>
        <w:rPr>
          <w:lang w:val="en-US"/>
        </w:rPr>
        <w:t>所有用电设备正常不带电的金属外壳、电缆桥架及爆炸危险区域内的工艺金属设备（容器）均做可靠接地。</w:t>
      </w:r>
    </w:p>
    <w:p>
      <w:pPr>
        <w:pStyle w:val="6"/>
        <w:ind w:firstLine="560"/>
        <w:rPr>
          <w:lang w:val="en-US"/>
        </w:rPr>
      </w:pPr>
      <w:r>
        <w:rPr>
          <w:lang w:val="en-US"/>
        </w:rPr>
        <w:t>泡沫站的工作接地、保护接地、防雷、防静电接地共用一套接地系统，并与本单元相邻的其它装置及供电的变配电所接地网连成一体，接成一个总体接地网。接地网的接地电阻不大于4Ω。</w:t>
      </w:r>
    </w:p>
    <w:p>
      <w:pPr>
        <w:pStyle w:val="6"/>
        <w:ind w:firstLine="560"/>
        <w:rPr>
          <w:lang w:val="en-US"/>
        </w:rPr>
      </w:pPr>
      <w:r>
        <w:rPr>
          <w:lang w:val="en-US"/>
        </w:rPr>
        <w:t>接地装置由接地体、接地引下线、接地干线和设备接地支线组成。接地极采用∠50×5，长2.5m热镀锌角钢，垂直打入地下，顶端距地面下0.8m；地面下的水平接地线采用-50×5热镀锌扁钢，接地线埋深0.9m。</w:t>
      </w:r>
    </w:p>
    <w:p>
      <w:pPr>
        <w:pStyle w:val="6"/>
        <w:ind w:firstLine="560"/>
        <w:rPr>
          <w:lang w:val="en-US"/>
        </w:rPr>
      </w:pPr>
      <w:r>
        <w:rPr>
          <w:lang w:val="en-US"/>
        </w:rPr>
        <w:t>（3）仪表及电气设备</w:t>
      </w:r>
    </w:p>
    <w:p>
      <w:pPr>
        <w:pStyle w:val="6"/>
        <w:ind w:firstLine="560"/>
        <w:rPr>
          <w:lang w:val="en-US"/>
        </w:rPr>
      </w:pPr>
      <w:r>
        <w:rPr>
          <w:lang w:val="en-US"/>
        </w:rPr>
        <w:t>本项目涉及的仪表拟按照《石油化工仪表接地设计规范》（SH/T 3081-2019）进行设计。</w:t>
      </w:r>
    </w:p>
    <w:p>
      <w:pPr>
        <w:pStyle w:val="6"/>
        <w:ind w:firstLine="560"/>
        <w:rPr>
          <w:lang w:val="en-US"/>
        </w:rPr>
      </w:pPr>
      <w:r>
        <w:rPr>
          <w:lang w:val="en-US"/>
        </w:rPr>
        <w:t>电气设备、电信设备、仪表系统接地采用联合接地，公用一个接地系统。工作接地、保护接地、防雷、防静电接地共用一套接地系统，接地装置构成一个封闭的接地网，接地网的接地电阻不大于4Ω。</w:t>
      </w:r>
    </w:p>
    <w:p>
      <w:pPr>
        <w:pStyle w:val="6"/>
        <w:ind w:firstLine="560"/>
        <w:rPr>
          <w:lang w:val="en-US"/>
        </w:rPr>
      </w:pPr>
      <w:r>
        <w:rPr>
          <w:lang w:val="en-US"/>
        </w:rPr>
        <w:t>对爆炸、火灾危险场所内可能产生静电危险的设备和管道，设置静电接地设施。</w:t>
      </w:r>
    </w:p>
    <w:p>
      <w:pPr>
        <w:pStyle w:val="6"/>
        <w:ind w:firstLine="560"/>
        <w:rPr>
          <w:lang w:val="en-US"/>
        </w:rPr>
      </w:pPr>
      <w:r>
        <w:rPr>
          <w:lang w:val="en-US"/>
        </w:rPr>
        <w:t>可行性研究阶段未对涉及改造的工艺管道的防雷、防静电措施进行详细介绍。在下一步进行安全设施设计阶段，应严格按照</w:t>
      </w:r>
      <w:r>
        <w:t>《建筑物防雷设计规范》（GB50057-2010）</w:t>
      </w:r>
      <w:r>
        <w:rPr>
          <w:rFonts w:hint="eastAsia"/>
        </w:rPr>
        <w:t>、</w:t>
      </w:r>
      <w:r>
        <w:t>《石油化工静电接地设计规范》（SH/T3097-2017）</w:t>
      </w:r>
      <w:r>
        <w:rPr>
          <w:lang w:val="en-US"/>
        </w:rPr>
        <w:t>对防雷防静电系统进行详细的设计。</w:t>
      </w:r>
    </w:p>
    <w:p>
      <w:pPr>
        <w:pStyle w:val="4"/>
        <w:spacing w:before="0" w:beforeLines="0" w:after="0" w:afterLines="0"/>
      </w:pPr>
      <w:r>
        <w:t>2.6.4 供气系统</w:t>
      </w:r>
    </w:p>
    <w:p>
      <w:pPr>
        <w:pStyle w:val="6"/>
        <w:ind w:firstLine="560"/>
        <w:rPr>
          <w:lang w:val="en-US"/>
        </w:rPr>
      </w:pPr>
      <w:r>
        <w:t>（</w:t>
      </w:r>
      <w:r>
        <w:rPr>
          <w:lang w:val="en-US"/>
        </w:rPr>
        <w:t>1</w:t>
      </w:r>
      <w:r>
        <w:t>）</w:t>
      </w:r>
      <w:r>
        <w:rPr>
          <w:lang w:val="en-US"/>
        </w:rPr>
        <w:t>氮气</w:t>
      </w:r>
    </w:p>
    <w:p>
      <w:pPr>
        <w:pStyle w:val="6"/>
        <w:ind w:firstLine="560"/>
      </w:pPr>
      <w:r>
        <w:rPr>
          <w:rFonts w:hint="eastAsia"/>
          <w:b/>
          <w:bCs/>
        </w:rPr>
        <w:t>涉及企业机密，不予公开。</w:t>
      </w:r>
    </w:p>
    <w:p>
      <w:pPr>
        <w:pStyle w:val="6"/>
        <w:ind w:firstLine="560"/>
        <w:rPr>
          <w:lang w:val="en-US"/>
        </w:rPr>
      </w:pPr>
      <w:r>
        <w:t>（</w:t>
      </w:r>
      <w:r>
        <w:rPr>
          <w:lang w:val="en-US"/>
        </w:rPr>
        <w:t>2</w:t>
      </w:r>
      <w:r>
        <w:t>）</w:t>
      </w:r>
      <w:r>
        <w:rPr>
          <w:lang w:val="en-US"/>
        </w:rPr>
        <w:t>净化压缩空气</w:t>
      </w:r>
    </w:p>
    <w:p>
      <w:pPr>
        <w:pStyle w:val="6"/>
        <w:ind w:firstLine="560"/>
      </w:pPr>
      <w:r>
        <w:rPr>
          <w:rFonts w:hint="eastAsia"/>
          <w:b/>
          <w:bCs/>
        </w:rPr>
        <w:t>涉及企业机密，不予公开。</w:t>
      </w:r>
    </w:p>
    <w:p>
      <w:pPr>
        <w:pStyle w:val="4"/>
        <w:spacing w:before="62" w:after="62"/>
      </w:pPr>
      <w:r>
        <w:t>2.6.5 采暖、通风</w:t>
      </w:r>
    </w:p>
    <w:p>
      <w:pPr>
        <w:pStyle w:val="6"/>
        <w:ind w:firstLine="560"/>
      </w:pPr>
      <w:r>
        <w:t>本项目新建</w:t>
      </w:r>
      <w:r>
        <w:rPr>
          <w:lang w:val="en-US"/>
        </w:rPr>
        <w:t>G-106</w:t>
      </w:r>
      <w:r>
        <w:t>储罐露天布置，不需要采暖，采用自然通风。倒罐等操作依托现有1#罐区南侧泵房</w:t>
      </w:r>
      <w:r>
        <w:rPr>
          <w:rFonts w:hint="eastAsia"/>
        </w:rPr>
        <w:t>。</w:t>
      </w:r>
    </w:p>
    <w:p>
      <w:pPr>
        <w:pStyle w:val="6"/>
        <w:ind w:firstLine="560"/>
      </w:pPr>
      <w:r>
        <w:t>泡沫站设计集中采暖系统，采暖热水为0.5MPa，75/50℃，</w:t>
      </w:r>
      <w:r>
        <w:rPr>
          <w:lang w:val="en-US"/>
        </w:rPr>
        <w:t>由</w:t>
      </w:r>
      <w:r>
        <w:t>室外管网提供。散热器采用钢管制柱式散热器，通风采用自然通风与机械通风相结合的方式。</w:t>
      </w:r>
    </w:p>
    <w:p>
      <w:pPr>
        <w:pStyle w:val="4"/>
        <w:spacing w:before="62" w:after="62"/>
      </w:pPr>
      <w:r>
        <w:t>2.6.6 消防系统</w:t>
      </w:r>
    </w:p>
    <w:p>
      <w:pPr>
        <w:pStyle w:val="6"/>
        <w:ind w:firstLine="560"/>
      </w:pPr>
      <w:r>
        <w:t>该项目依托厂区内原有消防系统，该项目拟新建1座泡沫站，为新建储罐提供泡沫灭火服务。</w:t>
      </w:r>
    </w:p>
    <w:p>
      <w:pPr>
        <w:pStyle w:val="6"/>
        <w:ind w:firstLine="560"/>
      </w:pPr>
      <w:r>
        <w:t>（1）消防依托</w:t>
      </w:r>
    </w:p>
    <w:p>
      <w:pPr>
        <w:pStyle w:val="6"/>
        <w:ind w:firstLine="560"/>
      </w:pPr>
      <w:r>
        <w:t>1）消防站</w:t>
      </w:r>
    </w:p>
    <w:p>
      <w:pPr>
        <w:pStyle w:val="6"/>
        <w:ind w:firstLine="560"/>
      </w:pPr>
      <w:r>
        <w:t>石油化工总厂应急消防依托驻厂的胜利油田应急救援中心（消防支队）石化专业应急救援站。应急救援站现有人员46名，其中3个执勤分队（每班12人）实行消防气防合并24h执勤制度。消防车辆配置情况见下表。</w:t>
      </w:r>
    </w:p>
    <w:p>
      <w:pPr>
        <w:pStyle w:val="6"/>
        <w:ind w:firstLine="560"/>
        <w:rPr>
          <w:b/>
          <w:bCs/>
        </w:rPr>
      </w:pPr>
      <w:r>
        <w:rPr>
          <w:rFonts w:hint="eastAsia"/>
          <w:b/>
          <w:bCs/>
        </w:rPr>
        <w:t>涉及企业机密，不予公开。</w:t>
      </w:r>
    </w:p>
    <w:p>
      <w:pPr>
        <w:pStyle w:val="6"/>
        <w:numPr>
          <w:ilvl w:val="0"/>
          <w:numId w:val="5"/>
        </w:numPr>
        <w:spacing w:before="156" w:beforeLines="50"/>
        <w:ind w:firstLine="560"/>
        <w:rPr>
          <w:lang w:val="en-US"/>
        </w:rPr>
      </w:pPr>
      <w:r>
        <w:rPr>
          <w:lang w:val="en-US"/>
        </w:rPr>
        <w:t>气防站</w:t>
      </w:r>
    </w:p>
    <w:p>
      <w:pPr>
        <w:pStyle w:val="6"/>
        <w:ind w:firstLine="560"/>
        <w:rPr>
          <w:lang w:val="en-US"/>
        </w:rPr>
      </w:pPr>
      <w:r>
        <w:rPr>
          <w:lang w:val="en-US"/>
        </w:rPr>
        <w:t>气防站设于应急救援站内，现有气防车1辆，兼职管理人员1人，兼职气防员6人，随消防战斗班24h执勤，并配置相应的装备器材。气防站装备配置见下表。</w:t>
      </w:r>
    </w:p>
    <w:p>
      <w:pPr>
        <w:pStyle w:val="6"/>
        <w:ind w:firstLine="560"/>
        <w:rPr>
          <w:b/>
          <w:bCs/>
          <w:lang w:val="en-US"/>
        </w:rPr>
      </w:pPr>
      <w:r>
        <w:rPr>
          <w:rFonts w:hint="eastAsia"/>
          <w:b/>
          <w:bCs/>
          <w:lang w:val="en-US"/>
        </w:rPr>
        <w:t>涉及企业机密，不予公开。</w:t>
      </w:r>
    </w:p>
    <w:p>
      <w:pPr>
        <w:pStyle w:val="6"/>
        <w:numPr>
          <w:ilvl w:val="0"/>
          <w:numId w:val="5"/>
        </w:numPr>
        <w:spacing w:before="156" w:beforeLines="50"/>
        <w:ind w:firstLine="560"/>
      </w:pPr>
      <w:r>
        <w:t>消防水</w:t>
      </w:r>
    </w:p>
    <w:p>
      <w:pPr>
        <w:pStyle w:val="6"/>
        <w:ind w:firstLine="560"/>
        <w:rPr>
          <w:b/>
          <w:bCs/>
        </w:rPr>
      </w:pPr>
      <w:r>
        <w:t>石油化工总厂现有2000m³消防水池2座，3000m³消防水罐1座，消防水有效储量6000m³。工厂现有消防水管网为独立的稳高压消防供水环状管网，消防水供水压力1.0MPa。系统管网上设置消火栓，每隔5个消火栓设置相应的切断阀。厂区现有的消防水泵配置如下：</w:t>
      </w:r>
      <w:r>
        <w:rPr>
          <w:rFonts w:hint="eastAsia"/>
          <w:b/>
          <w:bCs/>
        </w:rPr>
        <w:t>涉及企业机密，不予公开。</w:t>
      </w:r>
    </w:p>
    <w:p>
      <w:pPr>
        <w:pStyle w:val="6"/>
        <w:spacing w:before="156" w:beforeLines="50"/>
        <w:ind w:firstLine="560"/>
        <w:rPr>
          <w:lang w:val="en-US"/>
        </w:rPr>
      </w:pPr>
      <w:r>
        <w:rPr>
          <w:lang w:val="en-US"/>
        </w:rPr>
        <w:t>（2）本项目消防设施</w:t>
      </w:r>
    </w:p>
    <w:p>
      <w:pPr>
        <w:pStyle w:val="6"/>
        <w:ind w:firstLine="560"/>
        <w:rPr>
          <w:lang w:val="en-US"/>
        </w:rPr>
      </w:pPr>
      <w:r>
        <w:rPr>
          <w:lang w:val="en-US"/>
        </w:rPr>
        <w:t>罐区消防水由</w:t>
      </w:r>
      <w:r>
        <w:rPr>
          <w:rFonts w:hint="eastAsia"/>
          <w:lang w:val="en-US"/>
        </w:rPr>
        <w:t>石油化工总厂</w:t>
      </w:r>
      <w:r>
        <w:rPr>
          <w:lang w:val="en-US"/>
        </w:rPr>
        <w:t>现有消防水泵站提供，依托厂区现有消防水环状管网供给。新建G-160原油内浮顶储罐拟设固定式水喷淋冷却系统和固定式泡沫灭火系统。</w:t>
      </w:r>
    </w:p>
    <w:p>
      <w:pPr>
        <w:pStyle w:val="6"/>
        <w:ind w:firstLine="560"/>
        <w:rPr>
          <w:lang w:val="en-US"/>
        </w:rPr>
      </w:pPr>
      <w:r>
        <w:rPr>
          <w:lang w:val="en-US"/>
        </w:rPr>
        <w:t>①消防水用量</w:t>
      </w:r>
    </w:p>
    <w:p>
      <w:pPr>
        <w:pStyle w:val="6"/>
        <w:ind w:firstLine="560"/>
        <w:rPr>
          <w:lang w:val="en-US"/>
        </w:rPr>
      </w:pPr>
      <w:r>
        <w:rPr>
          <w:lang w:val="en-US"/>
        </w:rPr>
        <w:t>a.消防冷却水用量</w:t>
      </w:r>
    </w:p>
    <w:p>
      <w:pPr>
        <w:pStyle w:val="6"/>
        <w:ind w:firstLine="560"/>
        <w:rPr>
          <w:lang w:val="en-US"/>
        </w:rPr>
      </w:pPr>
      <w:r>
        <w:rPr>
          <w:lang w:val="en-US"/>
        </w:rPr>
        <w:t>根据《石油化工企业设计防火标准（2018年版）》（GB50160-2008）8.4.4条规定：着火罐消防冷却水供给强度取2.0L/min•m</w:t>
      </w:r>
      <w:r>
        <w:rPr>
          <w:vertAlign w:val="superscript"/>
          <w:lang w:val="en-US"/>
        </w:rPr>
        <w:t>2</w:t>
      </w:r>
      <w:r>
        <w:rPr>
          <w:lang w:val="en-US"/>
        </w:rPr>
        <w:t>，供水范围为罐壁外表面积；当着火罐为内浮顶罐（浮盘用易熔材料制作的储罐除外）时，其邻近罐可不考虑冷却。</w:t>
      </w:r>
    </w:p>
    <w:p>
      <w:pPr>
        <w:pStyle w:val="6"/>
        <w:ind w:firstLine="560"/>
        <w:rPr>
          <w:lang w:val="en-US"/>
        </w:rPr>
      </w:pPr>
      <w:r>
        <w:rPr>
          <w:lang w:val="en-US"/>
        </w:rPr>
        <w:t>着火罐冷却用水强度：A</w:t>
      </w:r>
      <w:r>
        <w:rPr>
          <w:vertAlign w:val="subscript"/>
          <w:lang w:val="en-US"/>
        </w:rPr>
        <w:t>1</w:t>
      </w:r>
      <w:r>
        <w:rPr>
          <w:lang w:val="en-US"/>
        </w:rPr>
        <w:t>=3.14×46×20.014×2.0=5781.64432（L/min）</w:t>
      </w:r>
    </w:p>
    <w:p>
      <w:pPr>
        <w:pStyle w:val="6"/>
        <w:ind w:firstLine="560"/>
        <w:rPr>
          <w:lang w:val="en-US"/>
        </w:rPr>
      </w:pPr>
      <w:r>
        <w:rPr>
          <w:lang w:val="en-US"/>
        </w:rPr>
        <w:t>该项目油罐直径为46m，浮盘为不锈钢焊接装配式全接液高效浮盘（蜂巢式），根据《石油化工企业设计防火标准（2018年版）》（GB50160-2008）8.4.7条规定，火灾持续时间按4h时计算。</w:t>
      </w:r>
    </w:p>
    <w:p>
      <w:pPr>
        <w:pStyle w:val="6"/>
        <w:ind w:firstLine="560"/>
        <w:rPr>
          <w:lang w:val="en-US"/>
        </w:rPr>
      </w:pPr>
      <w:r>
        <w:rPr>
          <w:lang w:val="en-US"/>
        </w:rPr>
        <w:t>消防冷却水用量：Q1=A</w:t>
      </w:r>
      <w:r>
        <w:rPr>
          <w:vertAlign w:val="subscript"/>
          <w:lang w:val="en-US"/>
        </w:rPr>
        <w:t>1</w:t>
      </w:r>
      <w:r>
        <w:rPr>
          <w:lang w:val="en-US"/>
        </w:rPr>
        <w:t>×60×4×0.001≈1387.6（m³）</w:t>
      </w:r>
    </w:p>
    <w:p>
      <w:pPr>
        <w:pStyle w:val="6"/>
        <w:ind w:firstLine="560"/>
        <w:rPr>
          <w:lang w:val="en-US"/>
        </w:rPr>
      </w:pPr>
      <w:r>
        <w:rPr>
          <w:lang w:val="en-US"/>
        </w:rPr>
        <w:t>b.泡沫混合液用水量</w:t>
      </w:r>
    </w:p>
    <w:p>
      <w:pPr>
        <w:snapToGrid w:val="0"/>
        <w:spacing w:line="360" w:lineRule="auto"/>
        <w:ind w:firstLine="560"/>
        <w:rPr>
          <w:rFonts w:ascii="Times New Roman" w:hAnsi="Times New Roman" w:cs="Times New Roman"/>
        </w:rPr>
      </w:pPr>
      <w:r>
        <w:rPr>
          <w:rFonts w:ascii="Times New Roman" w:hAnsi="Times New Roman" w:cs="Times New Roman"/>
        </w:rPr>
        <w:t>储罐拟设固定式泡沫灭火系统，</w:t>
      </w:r>
      <w:r>
        <w:rPr>
          <w:rFonts w:hint="eastAsia" w:ascii="Times New Roman" w:hAnsi="Times New Roman" w:cs="Times New Roman"/>
        </w:rPr>
        <w:t>由于本项目拟建储罐G-106不锈钢焊接装配式全接液双盘内浮顶（蜂巢式），未设置泡沫堰板，为保证灭火的可靠性，本项目泡沫混合液用水量按固定顶罐考虑。</w:t>
      </w:r>
      <w:r>
        <w:rPr>
          <w:rFonts w:ascii="Times New Roman" w:hAnsi="Times New Roman" w:cs="Times New Roman"/>
        </w:rPr>
        <w:t>根据《泡沫灭火系统技术标准》（GB50151-2021）第4.</w:t>
      </w:r>
      <w:r>
        <w:rPr>
          <w:rFonts w:hint="eastAsia" w:ascii="Times New Roman" w:hAnsi="Times New Roman" w:cs="Times New Roman"/>
        </w:rPr>
        <w:t>2.1</w:t>
      </w:r>
      <w:r>
        <w:rPr>
          <w:rFonts w:ascii="Times New Roman" w:hAnsi="Times New Roman" w:cs="Times New Roman"/>
        </w:rPr>
        <w:t>条，其保护面积按</w:t>
      </w:r>
      <w:r>
        <w:rPr>
          <w:rFonts w:hint="eastAsia" w:ascii="Times New Roman" w:hAnsi="Times New Roman" w:cs="Times New Roman"/>
        </w:rPr>
        <w:t>其横截面积</w:t>
      </w:r>
      <w:r>
        <w:rPr>
          <w:rFonts w:ascii="Times New Roman" w:hAnsi="Times New Roman" w:cs="Times New Roman"/>
        </w:rPr>
        <w:t>确定。</w:t>
      </w:r>
    </w:p>
    <w:p>
      <w:pPr>
        <w:snapToGrid w:val="0"/>
        <w:spacing w:line="360" w:lineRule="auto"/>
        <w:ind w:firstLine="560"/>
        <w:rPr>
          <w:rFonts w:ascii="Times New Roman" w:hAnsi="Times New Roman" w:cs="Times New Roman"/>
        </w:rPr>
      </w:pPr>
      <w:r>
        <w:rPr>
          <w:rFonts w:hint="eastAsia" w:ascii="Times New Roman" w:hAnsi="Times New Roman" w:cs="Times New Roman"/>
        </w:rPr>
        <w:t>新建G-106储罐的横截面积为：</w:t>
      </w:r>
      <w:r>
        <w:rPr>
          <w:rFonts w:ascii="Times New Roman" w:hAnsi="Times New Roman" w:cs="Times New Roman"/>
        </w:rPr>
        <w:t>S</w:t>
      </w:r>
      <w:r>
        <w:rPr>
          <w:rFonts w:hint="eastAsia" w:ascii="Times New Roman" w:hAnsi="Times New Roman" w:cs="Times New Roman"/>
          <w:vertAlign w:val="subscript"/>
        </w:rPr>
        <w:t>横</w:t>
      </w:r>
      <w:r>
        <w:rPr>
          <w:rFonts w:ascii="Times New Roman" w:hAnsi="Times New Roman" w:cs="Times New Roman"/>
        </w:rPr>
        <w:t>=πr</w:t>
      </w:r>
      <w:r>
        <w:rPr>
          <w:rFonts w:ascii="Times New Roman" w:hAnsi="Times New Roman" w:cs="Times New Roman"/>
          <w:vertAlign w:val="superscript"/>
        </w:rPr>
        <w:t>2</w:t>
      </w:r>
      <w:r>
        <w:rPr>
          <w:rFonts w:ascii="Times New Roman" w:hAnsi="Times New Roman" w:cs="Times New Roman"/>
        </w:rPr>
        <w:t>=</w:t>
      </w:r>
      <w:r>
        <w:rPr>
          <w:rFonts w:hint="eastAsia" w:ascii="Times New Roman" w:hAnsi="Times New Roman" w:cs="Times New Roman"/>
        </w:rPr>
        <w:t>3.14</w:t>
      </w:r>
      <w:r>
        <w:rPr>
          <w:rFonts w:ascii="Times New Roman" w:hAnsi="Times New Roman" w:cs="Times New Roman"/>
        </w:rPr>
        <w:t>×</w:t>
      </w:r>
      <w:r>
        <w:rPr>
          <w:rFonts w:hint="eastAsia" w:ascii="Times New Roman" w:hAnsi="Times New Roman" w:cs="Times New Roman"/>
        </w:rPr>
        <w:t>23</w:t>
      </w:r>
      <w:r>
        <w:rPr>
          <w:rFonts w:hint="eastAsia" w:ascii="Times New Roman" w:hAnsi="Times New Roman" w:cs="Times New Roman"/>
          <w:vertAlign w:val="superscript"/>
        </w:rPr>
        <w:t>2</w:t>
      </w:r>
      <w:r>
        <w:rPr>
          <w:rFonts w:ascii="Times New Roman" w:hAnsi="Times New Roman" w:cs="Times New Roman"/>
        </w:rPr>
        <w:t>=</w:t>
      </w:r>
      <w:r>
        <w:rPr>
          <w:rFonts w:hint="eastAsia" w:ascii="Times New Roman" w:hAnsi="Times New Roman" w:cs="Times New Roman"/>
        </w:rPr>
        <w:t>1661.06</w:t>
      </w:r>
      <w:r>
        <w:rPr>
          <w:rFonts w:ascii="Times New Roman" w:hAnsi="Times New Roman" w:cs="Times New Roman"/>
        </w:rPr>
        <w:t>（m²）</w:t>
      </w:r>
    </w:p>
    <w:p>
      <w:pPr>
        <w:snapToGrid w:val="0"/>
        <w:spacing w:line="360" w:lineRule="auto"/>
        <w:ind w:firstLine="560"/>
        <w:rPr>
          <w:rFonts w:ascii="Times New Roman" w:hAnsi="Times New Roman" w:cs="Times New Roman"/>
        </w:rPr>
      </w:pPr>
      <w:r>
        <w:rPr>
          <w:rFonts w:ascii="Times New Roman" w:hAnsi="Times New Roman" w:cs="Times New Roman"/>
        </w:rPr>
        <w:t>根据《泡沫灭火系统技术标准》（GB50151-2021）第4.</w:t>
      </w:r>
      <w:r>
        <w:rPr>
          <w:rFonts w:hint="eastAsia" w:ascii="Times New Roman" w:hAnsi="Times New Roman" w:cs="Times New Roman"/>
        </w:rPr>
        <w:t>2</w:t>
      </w:r>
      <w:r>
        <w:rPr>
          <w:rFonts w:ascii="Times New Roman" w:hAnsi="Times New Roman" w:cs="Times New Roman"/>
        </w:rPr>
        <w:t>.2条，泡沫混合液供给强度取</w:t>
      </w:r>
      <w:r>
        <w:rPr>
          <w:rFonts w:hint="eastAsia" w:ascii="Times New Roman" w:hAnsi="Times New Roman" w:cs="Times New Roman"/>
        </w:rPr>
        <w:t>6.0</w:t>
      </w:r>
      <w:r>
        <w:rPr>
          <w:rFonts w:ascii="Times New Roman" w:hAnsi="Times New Roman" w:cs="Times New Roman"/>
        </w:rPr>
        <w:t>L/min·m²，泡沫混合液供给时间按60min计。</w:t>
      </w:r>
    </w:p>
    <w:p>
      <w:pPr>
        <w:snapToGrid w:val="0"/>
        <w:spacing w:line="360" w:lineRule="auto"/>
        <w:ind w:firstLine="560"/>
        <w:rPr>
          <w:rFonts w:ascii="Times New Roman" w:hAnsi="Times New Roman" w:cs="Times New Roman"/>
        </w:rPr>
      </w:pPr>
      <w:r>
        <w:rPr>
          <w:rFonts w:ascii="Times New Roman" w:hAnsi="Times New Roman" w:cs="Times New Roman"/>
        </w:rPr>
        <w:t>60min泡沫混合液量：V</w:t>
      </w:r>
      <w:r>
        <w:rPr>
          <w:rFonts w:ascii="Times New Roman" w:hAnsi="Times New Roman" w:cs="Times New Roman"/>
          <w:vertAlign w:val="subscript"/>
        </w:rPr>
        <w:t>1</w:t>
      </w:r>
      <w:r>
        <w:rPr>
          <w:rFonts w:ascii="Times New Roman" w:hAnsi="Times New Roman" w:cs="Times New Roman"/>
        </w:rPr>
        <w:t>=</w:t>
      </w:r>
      <w:r>
        <w:rPr>
          <w:rFonts w:hint="eastAsia" w:ascii="Times New Roman" w:hAnsi="Times New Roman" w:cs="Times New Roman"/>
        </w:rPr>
        <w:t>1661.06</w:t>
      </w:r>
      <w:r>
        <w:rPr>
          <w:rFonts w:ascii="Times New Roman" w:hAnsi="Times New Roman" w:cs="Times New Roman"/>
        </w:rPr>
        <w:t>×</w:t>
      </w:r>
      <w:r>
        <w:rPr>
          <w:rFonts w:hint="eastAsia" w:ascii="Times New Roman" w:hAnsi="Times New Roman" w:cs="Times New Roman"/>
        </w:rPr>
        <w:t>6.0</w:t>
      </w:r>
      <w:r>
        <w:rPr>
          <w:rFonts w:ascii="Times New Roman" w:hAnsi="Times New Roman" w:cs="Times New Roman"/>
        </w:rPr>
        <w:t>×60=</w:t>
      </w:r>
      <w:r>
        <w:rPr>
          <w:rFonts w:hint="eastAsia" w:ascii="Times New Roman" w:hAnsi="Times New Roman" w:cs="Times New Roman"/>
        </w:rPr>
        <w:t>597981.6</w:t>
      </w:r>
      <w:r>
        <w:rPr>
          <w:rFonts w:ascii="Times New Roman" w:hAnsi="Times New Roman" w:cs="Times New Roman"/>
        </w:rPr>
        <w:t>（L）</w:t>
      </w:r>
    </w:p>
    <w:p>
      <w:pPr>
        <w:snapToGrid w:val="0"/>
        <w:spacing w:line="360" w:lineRule="auto"/>
        <w:ind w:firstLine="560"/>
        <w:rPr>
          <w:rFonts w:ascii="Times New Roman" w:hAnsi="Times New Roman" w:cs="Times New Roman"/>
        </w:rPr>
      </w:pPr>
      <w:r>
        <w:rPr>
          <w:rFonts w:ascii="Times New Roman" w:hAnsi="Times New Roman" w:cs="Times New Roman"/>
        </w:rPr>
        <w:t>根据《泡沫灭火系统技术标准》（GB50151-2021）4.1.5规定，储罐直径46m，应配备3支泡沫枪，因可研阶段未明确泡沫枪的数量及型号，假设石油化工总厂配备3支泡沫枪，每支泡沫枪的流量为240L/min，连续供给时间为30min。</w:t>
      </w:r>
    </w:p>
    <w:p>
      <w:pPr>
        <w:snapToGrid w:val="0"/>
        <w:spacing w:line="360" w:lineRule="auto"/>
        <w:ind w:firstLine="560"/>
        <w:rPr>
          <w:rFonts w:ascii="Times New Roman" w:hAnsi="Times New Roman" w:cs="Times New Roman"/>
        </w:rPr>
      </w:pPr>
      <w:r>
        <w:rPr>
          <w:rFonts w:ascii="Times New Roman" w:hAnsi="Times New Roman" w:cs="Times New Roman"/>
        </w:rPr>
        <w:t>20min泡沫混合液量为：V</w:t>
      </w:r>
      <w:r>
        <w:rPr>
          <w:rFonts w:ascii="Times New Roman" w:hAnsi="Times New Roman" w:cs="Times New Roman"/>
          <w:vertAlign w:val="subscript"/>
        </w:rPr>
        <w:t>2</w:t>
      </w:r>
      <w:r>
        <w:rPr>
          <w:rFonts w:ascii="Times New Roman" w:hAnsi="Times New Roman" w:cs="Times New Roman"/>
        </w:rPr>
        <w:t>=240×3×30=21600（L）</w:t>
      </w:r>
    </w:p>
    <w:p>
      <w:pPr>
        <w:snapToGrid w:val="0"/>
        <w:spacing w:line="360" w:lineRule="auto"/>
        <w:ind w:firstLine="560"/>
        <w:rPr>
          <w:rFonts w:ascii="Times New Roman" w:hAnsi="Times New Roman" w:cs="Times New Roman"/>
        </w:rPr>
      </w:pPr>
      <w:r>
        <w:rPr>
          <w:rFonts w:ascii="Times New Roman" w:hAnsi="Times New Roman" w:cs="Times New Roman"/>
        </w:rPr>
        <w:t>泡沫液总量：V</w:t>
      </w:r>
      <w:r>
        <w:rPr>
          <w:rFonts w:ascii="Times New Roman" w:hAnsi="Times New Roman" w:cs="Times New Roman"/>
          <w:vertAlign w:val="subscript"/>
        </w:rPr>
        <w:t>3</w:t>
      </w:r>
      <w:r>
        <w:rPr>
          <w:rFonts w:ascii="Times New Roman" w:hAnsi="Times New Roman" w:cs="Times New Roman"/>
        </w:rPr>
        <w:t>=</w:t>
      </w:r>
      <w:r>
        <w:rPr>
          <w:rFonts w:hint="eastAsia" w:ascii="Times New Roman" w:hAnsi="Times New Roman" w:cs="Times New Roman"/>
        </w:rPr>
        <w:t>597981.6</w:t>
      </w:r>
      <w:r>
        <w:rPr>
          <w:rFonts w:ascii="Times New Roman" w:hAnsi="Times New Roman" w:cs="Times New Roman"/>
        </w:rPr>
        <w:t>+21600=</w:t>
      </w:r>
      <w:r>
        <w:rPr>
          <w:rFonts w:hint="eastAsia" w:ascii="Times New Roman" w:hAnsi="Times New Roman" w:cs="Times New Roman"/>
        </w:rPr>
        <w:t>619581.6</w:t>
      </w:r>
      <w:r>
        <w:rPr>
          <w:rFonts w:ascii="Times New Roman" w:hAnsi="Times New Roman" w:cs="Times New Roman"/>
        </w:rPr>
        <w:t>（L）</w:t>
      </w:r>
    </w:p>
    <w:p>
      <w:pPr>
        <w:snapToGrid w:val="0"/>
        <w:spacing w:line="360" w:lineRule="auto"/>
        <w:ind w:firstLine="560"/>
        <w:rPr>
          <w:rFonts w:ascii="Times New Roman" w:hAnsi="Times New Roman" w:cs="Times New Roman"/>
        </w:rPr>
      </w:pPr>
      <w:r>
        <w:rPr>
          <w:rFonts w:ascii="Times New Roman" w:hAnsi="Times New Roman" w:cs="Times New Roman"/>
        </w:rPr>
        <w:t>取水溶性3%的水成膜泡沫原液，配置泡沫液用水量为：</w:t>
      </w:r>
    </w:p>
    <w:p>
      <w:pPr>
        <w:snapToGrid w:val="0"/>
        <w:spacing w:line="360" w:lineRule="auto"/>
        <w:ind w:firstLine="560"/>
        <w:rPr>
          <w:rFonts w:ascii="Times New Roman" w:hAnsi="Times New Roman" w:cs="Times New Roman"/>
        </w:rPr>
      </w:pPr>
      <w:r>
        <w:rPr>
          <w:rFonts w:ascii="Times New Roman" w:hAnsi="Times New Roman" w:cs="Times New Roman"/>
        </w:rPr>
        <w:t>Q</w:t>
      </w:r>
      <w:r>
        <w:rPr>
          <w:rFonts w:ascii="Times New Roman" w:hAnsi="Times New Roman" w:cs="Times New Roman"/>
          <w:vertAlign w:val="subscript"/>
        </w:rPr>
        <w:t>2</w:t>
      </w:r>
      <w:r>
        <w:rPr>
          <w:rFonts w:ascii="Times New Roman" w:hAnsi="Times New Roman" w:cs="Times New Roman"/>
        </w:rPr>
        <w:t>=</w:t>
      </w:r>
      <w:r>
        <w:rPr>
          <w:rFonts w:hint="eastAsia" w:ascii="Times New Roman" w:hAnsi="Times New Roman" w:cs="Times New Roman"/>
        </w:rPr>
        <w:t>619581.6</w:t>
      </w:r>
      <w:r>
        <w:rPr>
          <w:rFonts w:ascii="Times New Roman" w:hAnsi="Times New Roman" w:cs="Times New Roman"/>
        </w:rPr>
        <w:t>×97%×0.001≈</w:t>
      </w:r>
      <w:r>
        <w:rPr>
          <w:rFonts w:hint="eastAsia" w:ascii="Times New Roman" w:hAnsi="Times New Roman" w:cs="Times New Roman"/>
        </w:rPr>
        <w:t>601</w:t>
      </w:r>
      <w:r>
        <w:rPr>
          <w:rFonts w:ascii="Times New Roman" w:hAnsi="Times New Roman" w:cs="Times New Roman"/>
        </w:rPr>
        <w:t>（m³）</w:t>
      </w:r>
    </w:p>
    <w:p>
      <w:pPr>
        <w:snapToGrid w:val="0"/>
        <w:spacing w:line="360" w:lineRule="auto"/>
        <w:ind w:firstLine="560"/>
        <w:rPr>
          <w:rFonts w:ascii="Times New Roman" w:hAnsi="Times New Roman" w:cs="Times New Roman"/>
        </w:rPr>
      </w:pPr>
      <w:r>
        <w:rPr>
          <w:rFonts w:ascii="Times New Roman" w:hAnsi="Times New Roman" w:cs="Times New Roman"/>
        </w:rPr>
        <w:t>罐组所需最大消防水量：Q</w:t>
      </w:r>
      <w:r>
        <w:rPr>
          <w:rFonts w:ascii="Times New Roman" w:hAnsi="Times New Roman" w:cs="Times New Roman"/>
          <w:vertAlign w:val="subscript"/>
        </w:rPr>
        <w:t>总</w:t>
      </w:r>
      <w:r>
        <w:rPr>
          <w:rFonts w:ascii="Times New Roman" w:hAnsi="Times New Roman" w:cs="Times New Roman"/>
        </w:rPr>
        <w:t>=Q</w:t>
      </w:r>
      <w:r>
        <w:rPr>
          <w:rFonts w:ascii="Times New Roman" w:hAnsi="Times New Roman" w:cs="Times New Roman"/>
          <w:vertAlign w:val="subscript"/>
        </w:rPr>
        <w:t>1</w:t>
      </w:r>
      <w:r>
        <w:rPr>
          <w:rFonts w:ascii="Times New Roman" w:hAnsi="Times New Roman" w:cs="Times New Roman"/>
        </w:rPr>
        <w:t>+Q</w:t>
      </w:r>
      <w:r>
        <w:rPr>
          <w:rFonts w:ascii="Times New Roman" w:hAnsi="Times New Roman" w:cs="Times New Roman"/>
          <w:vertAlign w:val="subscript"/>
        </w:rPr>
        <w:t>2</w:t>
      </w:r>
      <w:r>
        <w:rPr>
          <w:rFonts w:ascii="Times New Roman" w:hAnsi="Times New Roman" w:cs="Times New Roman"/>
        </w:rPr>
        <w:t>=1387.6+</w:t>
      </w:r>
      <w:r>
        <w:rPr>
          <w:rFonts w:hint="eastAsia" w:ascii="Times New Roman" w:hAnsi="Times New Roman" w:cs="Times New Roman"/>
        </w:rPr>
        <w:t>601</w:t>
      </w:r>
      <w:r>
        <w:rPr>
          <w:rFonts w:ascii="Times New Roman" w:hAnsi="Times New Roman" w:cs="Times New Roman"/>
        </w:rPr>
        <w:t>=</w:t>
      </w:r>
      <w:r>
        <w:rPr>
          <w:rFonts w:hint="eastAsia" w:ascii="Times New Roman" w:hAnsi="Times New Roman" w:cs="Times New Roman"/>
        </w:rPr>
        <w:t>1988.6</w:t>
      </w:r>
      <w:r>
        <w:rPr>
          <w:rFonts w:ascii="Times New Roman" w:hAnsi="Times New Roman" w:cs="Times New Roman"/>
        </w:rPr>
        <w:t>（m³）</w:t>
      </w:r>
    </w:p>
    <w:p>
      <w:pPr>
        <w:snapToGrid w:val="0"/>
        <w:spacing w:line="360" w:lineRule="auto"/>
        <w:ind w:firstLine="560"/>
        <w:rPr>
          <w:rFonts w:ascii="Times New Roman" w:hAnsi="Times New Roman" w:cs="Times New Roman"/>
          <w:color w:val="000000"/>
          <w:kern w:val="0"/>
          <w:szCs w:val="28"/>
          <w:lang w:bidi="ar"/>
        </w:rPr>
      </w:pPr>
      <w:r>
        <w:rPr>
          <w:rFonts w:ascii="Times New Roman" w:hAnsi="Times New Roman" w:cs="Times New Roman"/>
          <w:color w:val="000000"/>
          <w:kern w:val="0"/>
          <w:szCs w:val="28"/>
          <w:lang w:bidi="ar"/>
        </w:rPr>
        <w:t>综上所述，该项目最大消防用水量为</w:t>
      </w:r>
      <w:r>
        <w:rPr>
          <w:rFonts w:hint="eastAsia" w:ascii="Times New Roman" w:hAnsi="Times New Roman" w:cs="Times New Roman"/>
        </w:rPr>
        <w:t>1988.6</w:t>
      </w:r>
      <w:r>
        <w:rPr>
          <w:rFonts w:ascii="Times New Roman" w:hAnsi="Times New Roman" w:eastAsia="Times-Roman" w:cs="Times New Roman"/>
          <w:color w:val="000000"/>
          <w:kern w:val="0"/>
          <w:szCs w:val="28"/>
          <w:lang w:bidi="ar"/>
        </w:rPr>
        <w:t>m³</w:t>
      </w:r>
      <w:r>
        <w:rPr>
          <w:rFonts w:ascii="Times New Roman" w:hAnsi="Times New Roman" w:cs="Times New Roman"/>
          <w:color w:val="000000"/>
          <w:kern w:val="0"/>
          <w:szCs w:val="28"/>
          <w:lang w:bidi="ar"/>
        </w:rPr>
        <w:t>。</w:t>
      </w:r>
    </w:p>
    <w:p>
      <w:pPr>
        <w:pStyle w:val="6"/>
        <w:ind w:firstLine="560"/>
        <w:rPr>
          <w:lang w:val="en-US"/>
        </w:rPr>
      </w:pPr>
      <w:r>
        <w:rPr>
          <w:lang w:val="en-US"/>
        </w:rPr>
        <w:t>本项目消防储水罐及消防泵等消防系统依托</w:t>
      </w:r>
      <w:r>
        <w:rPr>
          <w:rFonts w:hint="eastAsia"/>
          <w:lang w:val="en-US"/>
        </w:rPr>
        <w:t>石油化工总厂</w:t>
      </w:r>
      <w:r>
        <w:rPr>
          <w:lang w:val="en-US"/>
        </w:rPr>
        <w:t>原有消防水系统，105#罐区扩建前、后最大消防用水量不变，现有消防水系统能够满足本项目消防水用量。</w:t>
      </w:r>
    </w:p>
    <w:p>
      <w:pPr>
        <w:pStyle w:val="6"/>
        <w:ind w:firstLine="560"/>
      </w:pPr>
      <w:r>
        <w:t>②消防冷却水系统</w:t>
      </w:r>
    </w:p>
    <w:p>
      <w:pPr>
        <w:pStyle w:val="6"/>
        <w:ind w:firstLine="560"/>
      </w:pPr>
      <w:r>
        <w:t>储罐拟设固定式水喷淋冷却系统，喷淋系统的控制阀采用雨淋阀，控制阀就近布置在罐区防火堤外且距离被保护储罐不小于15m。</w:t>
      </w:r>
    </w:p>
    <w:p>
      <w:pPr>
        <w:pStyle w:val="6"/>
        <w:ind w:firstLine="560"/>
      </w:pPr>
      <w:r>
        <w:t>105#罐</w:t>
      </w:r>
      <w:r>
        <w:rPr>
          <w:lang w:val="en-US"/>
        </w:rPr>
        <w:t>区</w:t>
      </w:r>
      <w:r>
        <w:t>周围沿道路设</w:t>
      </w:r>
      <w:r>
        <w:rPr>
          <w:lang w:val="en-US"/>
        </w:rPr>
        <w:t>有</w:t>
      </w:r>
      <w:r>
        <w:t>室外消火栓。室外消火栓选用SS100</w:t>
      </w:r>
      <w:r>
        <w:rPr>
          <w:lang w:val="en-US"/>
        </w:rPr>
        <w:t>/</w:t>
      </w:r>
      <w:r>
        <w:t>65</w:t>
      </w:r>
      <w:r>
        <w:rPr>
          <w:lang w:val="en-US"/>
        </w:rPr>
        <w:t xml:space="preserve"> </w:t>
      </w:r>
      <w:r>
        <w:t>-1.6型，每个消火栓有一个DN100的栓口和两个DN65的栓口，DN100栓口面向道路。消火栓距离路边不大于5m。室外消火栓的最大间距不大于60m，保护半径不大于120m。</w:t>
      </w:r>
    </w:p>
    <w:p>
      <w:pPr>
        <w:pStyle w:val="6"/>
        <w:ind w:firstLine="560"/>
      </w:pPr>
      <w:r>
        <w:t>③固定式泡沫灭火系统</w:t>
      </w:r>
    </w:p>
    <w:p>
      <w:pPr>
        <w:pStyle w:val="6"/>
        <w:ind w:firstLine="560"/>
      </w:pPr>
      <w:r>
        <w:t>由消防水系统计算可知，本项目泡沫混合液总量最大为</w:t>
      </w:r>
      <w:r>
        <w:rPr>
          <w:rFonts w:hint="eastAsia"/>
          <w:lang w:val="en-US"/>
        </w:rPr>
        <w:t>619581.6L</w:t>
      </w:r>
      <w:r>
        <w:t>，泡沫液采用</w:t>
      </w:r>
      <w:r>
        <w:rPr>
          <w:lang w:val="en-US"/>
        </w:rPr>
        <w:t>水溶性3%的水成膜泡沫原液</w:t>
      </w:r>
      <w:r>
        <w:t>，</w:t>
      </w:r>
      <w:r>
        <w:rPr>
          <w:rFonts w:hint="eastAsia"/>
          <w:lang w:val="en-US"/>
        </w:rPr>
        <w:t>根据</w:t>
      </w:r>
      <w:r>
        <w:rPr>
          <w:lang w:val="en-US"/>
        </w:rPr>
        <w:t>《泡沫灭火系统技术标准》（GB50151-2021）</w:t>
      </w:r>
      <w:r>
        <w:rPr>
          <w:rFonts w:hint="eastAsia"/>
          <w:lang w:val="en-US"/>
        </w:rPr>
        <w:t>4.1.4规定，当未知泡沫比例混合装置的混合比时，3%型泡沫液应按混合比3.9%计算泡沫液用量，</w:t>
      </w:r>
      <w:r>
        <w:t>则泡沫液用量为</w:t>
      </w:r>
      <w:r>
        <w:rPr>
          <w:rFonts w:hint="eastAsia"/>
          <w:lang w:val="en-US"/>
        </w:rPr>
        <w:t>24.16</w:t>
      </w:r>
      <w:r>
        <w:t>m³。</w:t>
      </w:r>
    </w:p>
    <w:p>
      <w:pPr>
        <w:pStyle w:val="6"/>
        <w:ind w:firstLine="560"/>
      </w:pPr>
      <w:r>
        <w:t>本工程新建1座泡沫站，为新建储罐提供泡沫灭火服务。泡沫站内设置1套平衡压力式泡沫比例混合装置（主泡沫液泵采用电机驱动，备用泡沫液泵采用水轮机驱动），Q=80L/s，</w:t>
      </w:r>
      <w:r>
        <w:rPr>
          <w:rFonts w:hint="eastAsia"/>
          <w:lang w:val="en-US"/>
        </w:rPr>
        <w:t>2</w:t>
      </w:r>
      <w:r>
        <w:t>台泡沫液储罐（V=</w:t>
      </w:r>
      <w:r>
        <w:rPr>
          <w:rFonts w:hint="eastAsia"/>
          <w:lang w:val="en-US"/>
        </w:rPr>
        <w:t>25</w:t>
      </w:r>
      <w:r>
        <w:t>m</w:t>
      </w:r>
      <w:r>
        <w:rPr>
          <w:vertAlign w:val="superscript"/>
        </w:rPr>
        <w:t>3</w:t>
      </w:r>
      <w:r>
        <w:t>），</w:t>
      </w:r>
      <w:r>
        <w:rPr>
          <w:lang w:val="en-US"/>
        </w:rPr>
        <w:t>同时储罐</w:t>
      </w:r>
      <w:r>
        <w:t>设置PC24泡沫产生器8台。</w:t>
      </w:r>
    </w:p>
    <w:p>
      <w:pPr>
        <w:pStyle w:val="6"/>
        <w:ind w:firstLine="560"/>
      </w:pPr>
      <w:r>
        <w:t>储罐设固定式泡沫灭火系统。泡沫灭火系统的控制阀采用电动阀，就近布置在罐区防火堤外且距离被保护储罐不小于15m。</w:t>
      </w:r>
    </w:p>
    <w:p>
      <w:pPr>
        <w:pStyle w:val="6"/>
        <w:ind w:firstLine="560"/>
      </w:pPr>
      <w:r>
        <w:rPr>
          <w:lang w:val="en-US"/>
        </w:rPr>
        <w:t>可行性研究阶段未对泡沫喷射系统、泡沫管道等泡沫灭火系统的设备、设施进行</w:t>
      </w:r>
      <w:r>
        <w:rPr>
          <w:rFonts w:hint="eastAsia"/>
          <w:lang w:val="en-US"/>
        </w:rPr>
        <w:t>详细</w:t>
      </w:r>
      <w:r>
        <w:rPr>
          <w:lang w:val="en-US"/>
        </w:rPr>
        <w:t>说明，在下一步进行安全设施设计阶段，应严格按照《泡沫灭火系统技术标准》（GB50151-2021）对本项目固定式泡沫灭火系统进行详细设计</w:t>
      </w:r>
      <w:r>
        <w:t>。</w:t>
      </w:r>
    </w:p>
    <w:p>
      <w:pPr>
        <w:pStyle w:val="6"/>
        <w:ind w:firstLine="560"/>
        <w:rPr>
          <w:lang w:val="en-US"/>
        </w:rPr>
      </w:pPr>
      <w:r>
        <w:t>（</w:t>
      </w:r>
      <w:r>
        <w:rPr>
          <w:lang w:val="en-US"/>
        </w:rPr>
        <w:t>3</w:t>
      </w:r>
      <w:r>
        <w:t>）</w:t>
      </w:r>
      <w:r>
        <w:rPr>
          <w:lang w:val="en-US"/>
        </w:rPr>
        <w:t>移动式灭火器</w:t>
      </w:r>
    </w:p>
    <w:p>
      <w:pPr>
        <w:pStyle w:val="6"/>
        <w:ind w:firstLine="560"/>
      </w:pPr>
      <w:r>
        <w:t>灭火器数量及配置拟按《建筑灭火器配置设计规范》（GB50140-2005）设置。罐组设置MF/ABC8干粉灭火器、MFT/ABC35型推车式干粉灭火器。小型灭火器配备灭火器箱，2具/箱；MFT/ABC35型推车式干粉灭火器配防护罩；控制室、机柜间、泡沫站等设有手提式CO</w:t>
      </w:r>
      <w:r>
        <w:rPr>
          <w:vertAlign w:val="subscript"/>
        </w:rPr>
        <w:t>2</w:t>
      </w:r>
      <w:r>
        <w:t>灭火器。</w:t>
      </w:r>
    </w:p>
    <w:p>
      <w:pPr>
        <w:pStyle w:val="6"/>
        <w:ind w:firstLine="560"/>
      </w:pPr>
      <w:r>
        <w:t>可研阶段未</w:t>
      </w:r>
      <w:r>
        <w:rPr>
          <w:lang w:val="en-US"/>
        </w:rPr>
        <w:t>详细说明灭火器、</w:t>
      </w:r>
      <w:r>
        <w:t>消防砂配备情况，本次评价在第7.</w:t>
      </w:r>
      <w:r>
        <w:rPr>
          <w:lang w:val="en-US"/>
        </w:rPr>
        <w:t>1.2</w:t>
      </w:r>
      <w:r>
        <w:t>节补充的安全对策措施中提出了相关要求。</w:t>
      </w:r>
    </w:p>
    <w:p>
      <w:pPr>
        <w:pStyle w:val="6"/>
        <w:ind w:firstLine="560"/>
        <w:rPr>
          <w:lang w:val="en-US"/>
        </w:rPr>
      </w:pPr>
      <w:r>
        <w:t>（</w:t>
      </w:r>
      <w:r>
        <w:rPr>
          <w:lang w:val="en-US"/>
        </w:rPr>
        <w:t>4</w:t>
      </w:r>
      <w:r>
        <w:t>）</w:t>
      </w:r>
      <w:r>
        <w:rPr>
          <w:lang w:val="en-US"/>
        </w:rPr>
        <w:t>消防道路</w:t>
      </w:r>
    </w:p>
    <w:p>
      <w:pPr>
        <w:pStyle w:val="6"/>
        <w:ind w:firstLine="560"/>
        <w:rPr>
          <w:lang w:val="en-US"/>
        </w:rPr>
      </w:pPr>
      <w:r>
        <w:rPr>
          <w:lang w:val="en-US"/>
        </w:rPr>
        <w:t>105#罐</w:t>
      </w:r>
      <w:r>
        <w:rPr>
          <w:rFonts w:hint="eastAsia"/>
          <w:lang w:val="en-US"/>
        </w:rPr>
        <w:t>区</w:t>
      </w:r>
      <w:r>
        <w:rPr>
          <w:lang w:val="en-US"/>
        </w:rPr>
        <w:t>周围设置环形消防道路，消防通道宽度为6m，道路转弯半径12m。道路路面采用水泥混凝土路面，跨越道路管廊净空高度不小于5m。</w:t>
      </w:r>
    </w:p>
    <w:p>
      <w:pPr>
        <w:pStyle w:val="4"/>
        <w:spacing w:before="62" w:after="62"/>
      </w:pPr>
      <w:r>
        <w:t>2.6.7 供热</w:t>
      </w:r>
    </w:p>
    <w:p>
      <w:pPr>
        <w:pStyle w:val="6"/>
        <w:ind w:firstLine="560"/>
      </w:pPr>
      <w:r>
        <w:rPr>
          <w:rFonts w:hint="eastAsia"/>
          <w:b/>
          <w:bCs/>
        </w:rPr>
        <w:t>涉及企业机密，不予公开。</w:t>
      </w:r>
    </w:p>
    <w:p>
      <w:pPr>
        <w:pStyle w:val="4"/>
        <w:spacing w:before="62" w:after="62"/>
      </w:pPr>
      <w:r>
        <w:t>2.6.8 自动控制</w:t>
      </w:r>
    </w:p>
    <w:p>
      <w:pPr>
        <w:pStyle w:val="6"/>
        <w:ind w:firstLine="560"/>
        <w:rPr>
          <w:rFonts w:hint="eastAsia"/>
          <w:b/>
          <w:bCs/>
        </w:rPr>
      </w:pPr>
      <w:r>
        <w:rPr>
          <w:rFonts w:hint="eastAsia"/>
          <w:b/>
          <w:bCs/>
        </w:rPr>
        <w:t>涉及企业机密，不予公开。</w:t>
      </w:r>
    </w:p>
    <w:p>
      <w:pPr>
        <w:pStyle w:val="4"/>
        <w:spacing w:before="62" w:after="62"/>
      </w:pPr>
      <w:r>
        <w:t>2.6.</w:t>
      </w:r>
      <w:r>
        <w:rPr>
          <w:rFonts w:hint="eastAsia"/>
          <w:lang w:val="en-US" w:eastAsia="zh-CN"/>
        </w:rPr>
        <w:t>9</w:t>
      </w:r>
      <w:r>
        <w:t>电信工程</w:t>
      </w:r>
    </w:p>
    <w:p>
      <w:pPr>
        <w:pStyle w:val="6"/>
        <w:ind w:firstLine="560"/>
      </w:pPr>
      <w:r>
        <w:t>本工程电信部分包括新建</w:t>
      </w:r>
      <w:r>
        <w:rPr>
          <w:lang w:val="en-US"/>
        </w:rPr>
        <w:t>G-106</w:t>
      </w:r>
      <w:r>
        <w:t>储罐及泡沫站的无线通信系统、广播系统、电视监视系统、火灾自动报警系统、可燃及有毒气体报警系统（GDS）、消防控制系统及电信线路。</w:t>
      </w:r>
    </w:p>
    <w:p>
      <w:pPr>
        <w:pStyle w:val="6"/>
        <w:ind w:firstLine="560"/>
        <w:rPr>
          <w:lang w:val="en-US"/>
        </w:rPr>
      </w:pPr>
      <w:r>
        <w:t>（</w:t>
      </w:r>
      <w:r>
        <w:rPr>
          <w:lang w:val="en-US"/>
        </w:rPr>
        <w:t>1</w:t>
      </w:r>
      <w:r>
        <w:t>）</w:t>
      </w:r>
      <w:r>
        <w:rPr>
          <w:lang w:val="en-US"/>
        </w:rPr>
        <w:t>无线通讯系统</w:t>
      </w:r>
    </w:p>
    <w:p>
      <w:pPr>
        <w:pStyle w:val="6"/>
        <w:ind w:firstLine="560"/>
      </w:pPr>
      <w:r>
        <w:t>为满足生产调度指挥和生产操作、维修、抢修、巡回检查、消防、急救等通信联络，设置无线通信系统。本项目配备无线对讲机，接入厂区无线通信网。无线对讲机的防爆等级满足进入整个库区任何场所的要求。</w:t>
      </w:r>
    </w:p>
    <w:p>
      <w:pPr>
        <w:pStyle w:val="6"/>
        <w:ind w:firstLine="560"/>
        <w:rPr>
          <w:lang w:val="en-US"/>
        </w:rPr>
      </w:pPr>
      <w:r>
        <w:t>（</w:t>
      </w:r>
      <w:r>
        <w:rPr>
          <w:lang w:val="en-US"/>
        </w:rPr>
        <w:t>2</w:t>
      </w:r>
      <w:r>
        <w:t>）</w:t>
      </w:r>
      <w:r>
        <w:rPr>
          <w:lang w:val="en-US"/>
        </w:rPr>
        <w:t>广播系统</w:t>
      </w:r>
    </w:p>
    <w:p>
      <w:pPr>
        <w:pStyle w:val="6"/>
        <w:ind w:firstLine="560"/>
        <w:rPr>
          <w:lang w:val="en-US"/>
        </w:rPr>
      </w:pPr>
      <w:r>
        <w:t>原油罐区为重要火灾场所，</w:t>
      </w:r>
      <w:r>
        <w:rPr>
          <w:lang w:val="en-US"/>
        </w:rPr>
        <w:t>应</w:t>
      </w:r>
      <w:r>
        <w:t>设置消防应急广播。</w:t>
      </w:r>
      <w:r>
        <w:rPr>
          <w:lang w:val="en-US"/>
        </w:rPr>
        <w:t>本项目利旧105#罐区防火堤外东南侧和东北侧的应急广播扬声器，不新增消防应急广播设备。</w:t>
      </w:r>
    </w:p>
    <w:p>
      <w:pPr>
        <w:pStyle w:val="6"/>
        <w:ind w:firstLine="560"/>
        <w:rPr>
          <w:lang w:val="en-US"/>
        </w:rPr>
      </w:pPr>
      <w:r>
        <w:rPr>
          <w:lang w:val="en-US"/>
        </w:rPr>
        <w:t>在泡沫站内设置扬声器，信号引自油品储运控制室原有扩音对讲机柜。扩音对讲系统兼做消防应急广播，与火灾报警系统人工联动。</w:t>
      </w:r>
    </w:p>
    <w:p>
      <w:pPr>
        <w:pStyle w:val="6"/>
        <w:ind w:firstLine="560"/>
        <w:rPr>
          <w:lang w:val="en-US"/>
        </w:rPr>
      </w:pPr>
      <w:r>
        <w:t>（</w:t>
      </w:r>
      <w:r>
        <w:rPr>
          <w:lang w:val="en-US"/>
        </w:rPr>
        <w:t>3</w:t>
      </w:r>
      <w:r>
        <w:t>）</w:t>
      </w:r>
      <w:r>
        <w:rPr>
          <w:lang w:val="en-US"/>
        </w:rPr>
        <w:t>电视监视系统</w:t>
      </w:r>
    </w:p>
    <w:p>
      <w:pPr>
        <w:pStyle w:val="6"/>
        <w:ind w:firstLine="560"/>
      </w:pPr>
      <w:r>
        <w:t>在原油罐区南侧消防道路边</w:t>
      </w:r>
      <w:r>
        <w:rPr>
          <w:lang w:val="en-US"/>
        </w:rPr>
        <w:t>拟</w:t>
      </w:r>
      <w:r>
        <w:t>设置一座25米高监控塔，塔上安装一台</w:t>
      </w:r>
      <w:r>
        <w:rPr>
          <w:lang w:val="en-US"/>
        </w:rPr>
        <w:t>全天候高清旋转球形摄像机，监控罐区及罐顶</w:t>
      </w:r>
      <w:r>
        <w:t>。</w:t>
      </w:r>
      <w:r>
        <w:rPr>
          <w:lang w:val="en-US"/>
        </w:rPr>
        <w:t>摄像机信号通过光缆连接至油品车间办公室电视监控机柜，摄像机电源由电视监视机柜供电</w:t>
      </w:r>
      <w:r>
        <w:t>。</w:t>
      </w:r>
    </w:p>
    <w:p>
      <w:pPr>
        <w:pStyle w:val="6"/>
        <w:ind w:firstLine="560"/>
      </w:pPr>
      <w:r>
        <w:t>在泡沫站内</w:t>
      </w:r>
      <w:r>
        <w:rPr>
          <w:lang w:val="en-US"/>
        </w:rPr>
        <w:t>拟</w:t>
      </w:r>
      <w:r>
        <w:t>设置一台室内高清旋转球机，摄像机信号通过光缆连接至油品车间办公室电视监视机柜，摄像机电源由电视监视机柜供电。</w:t>
      </w:r>
    </w:p>
    <w:p>
      <w:pPr>
        <w:pStyle w:val="6"/>
        <w:ind w:firstLine="560"/>
      </w:pPr>
      <w:r>
        <w:t>电视监视系统与火灾自动报警系统联动。</w:t>
      </w:r>
    </w:p>
    <w:p>
      <w:pPr>
        <w:pStyle w:val="6"/>
        <w:ind w:firstLine="560"/>
        <w:rPr>
          <w:lang w:val="en-US"/>
        </w:rPr>
      </w:pPr>
      <w:r>
        <w:rPr>
          <w:lang w:val="en-US"/>
        </w:rPr>
        <w:t>（4）火灾自动报警系统</w:t>
      </w:r>
    </w:p>
    <w:p>
      <w:pPr>
        <w:pStyle w:val="6"/>
        <w:ind w:firstLine="560"/>
        <w:rPr>
          <w:lang w:val="en-US"/>
        </w:rPr>
      </w:pPr>
      <w:r>
        <w:rPr>
          <w:rFonts w:hint="eastAsia"/>
          <w:b/>
          <w:bCs/>
          <w:lang w:val="en-US"/>
        </w:rPr>
        <w:t>涉及企业机密，不予公开。</w:t>
      </w:r>
    </w:p>
    <w:p>
      <w:pPr>
        <w:pStyle w:val="6"/>
        <w:ind w:firstLine="560"/>
        <w:rPr>
          <w:lang w:val="en-US"/>
        </w:rPr>
      </w:pPr>
      <w:r>
        <w:t>（</w:t>
      </w:r>
      <w:r>
        <w:rPr>
          <w:lang w:val="en-US"/>
        </w:rPr>
        <w:t>6</w:t>
      </w:r>
      <w:r>
        <w:t>）</w:t>
      </w:r>
      <w:r>
        <w:rPr>
          <w:lang w:val="en-US"/>
        </w:rPr>
        <w:t>电信线路</w:t>
      </w:r>
    </w:p>
    <w:p>
      <w:pPr>
        <w:pStyle w:val="6"/>
        <w:ind w:firstLine="560"/>
      </w:pPr>
      <w:r>
        <w:t>电信线路主要火灾自动报警线路、消防电话线路、扩音对讲线路、电视监视线路等，各系统的线路各自独立组成网络。</w:t>
      </w:r>
    </w:p>
    <w:p>
      <w:pPr>
        <w:pStyle w:val="6"/>
        <w:ind w:firstLine="560"/>
      </w:pPr>
      <w:r>
        <w:t>室内线路穿钢管保护沿楼板、墙壁等处暗埋或埋地敷设。室外线路沿新建电信电缆沟敷设。电信线路</w:t>
      </w:r>
      <w:r>
        <w:rPr>
          <w:lang w:val="en-US"/>
        </w:rPr>
        <w:t>拟</w:t>
      </w:r>
      <w:r>
        <w:t>沿仪表电缆沟或直埋敷设。</w:t>
      </w:r>
    </w:p>
    <w:p>
      <w:pPr>
        <w:pStyle w:val="4"/>
        <w:spacing w:before="62" w:after="62"/>
      </w:pPr>
      <w:r>
        <w:t>2.6.</w:t>
      </w:r>
      <w:r>
        <w:rPr>
          <w:rFonts w:hint="eastAsia"/>
          <w:lang w:val="en-US" w:eastAsia="zh-CN"/>
        </w:rPr>
        <w:t>10</w:t>
      </w:r>
      <w:r>
        <w:t xml:space="preserve"> 分析化验</w:t>
      </w:r>
    </w:p>
    <w:p>
      <w:pPr>
        <w:pStyle w:val="6"/>
        <w:ind w:firstLine="560"/>
      </w:pPr>
      <w:r>
        <w:t>该项目不设置分析化验室，分析化验设施均依托石油化工总厂现有设施。</w:t>
      </w:r>
    </w:p>
    <w:p>
      <w:pPr>
        <w:pStyle w:val="4"/>
        <w:spacing w:before="0" w:beforeLines="0" w:after="0" w:afterLines="0"/>
      </w:pPr>
      <w:r>
        <w:t>2.6.1</w:t>
      </w:r>
      <w:r>
        <w:rPr>
          <w:rFonts w:hint="eastAsia"/>
          <w:lang w:val="en-US" w:eastAsia="zh-CN"/>
        </w:rPr>
        <w:t>1</w:t>
      </w:r>
      <w:r>
        <w:t xml:space="preserve"> 建构筑物</w:t>
      </w:r>
    </w:p>
    <w:p>
      <w:pPr>
        <w:pStyle w:val="6"/>
        <w:ind w:firstLine="560"/>
        <w:rPr>
          <w:rFonts w:hint="eastAsia"/>
          <w:b/>
          <w:bCs/>
          <w:lang w:val="en-US" w:eastAsia="zh-CN"/>
        </w:rPr>
      </w:pPr>
      <w:r>
        <w:rPr>
          <w:rFonts w:hint="eastAsia"/>
          <w:b/>
          <w:bCs/>
          <w:lang w:val="en-US" w:eastAsia="zh-CN"/>
        </w:rPr>
        <w:t>涉及企业机密，不予公开。</w:t>
      </w:r>
    </w:p>
    <w:p>
      <w:pPr>
        <w:pStyle w:val="3"/>
        <w:spacing w:before="156" w:after="156"/>
      </w:pPr>
      <w:bookmarkStart w:id="26" w:name="_Toc509842597"/>
      <w:bookmarkStart w:id="27" w:name="_Toc30806"/>
      <w:bookmarkStart w:id="28" w:name="_Toc246385250"/>
      <w:bookmarkStart w:id="29" w:name="_Toc224606034"/>
      <w:bookmarkStart w:id="30" w:name="_Toc228243677"/>
      <w:r>
        <w:t>危险化学品包装、储存、运输的技术要求</w:t>
      </w:r>
      <w:bookmarkEnd w:id="26"/>
      <w:bookmarkEnd w:id="27"/>
    </w:p>
    <w:p>
      <w:pPr>
        <w:pStyle w:val="6"/>
        <w:ind w:firstLine="560"/>
      </w:pPr>
      <w:r>
        <w:t>物料的包装、储存、运输技术要求见表</w:t>
      </w:r>
      <w:r>
        <w:rPr>
          <w:lang w:val="en-US"/>
        </w:rPr>
        <w:t>2.7</w:t>
      </w:r>
      <w:r>
        <w:t>-</w:t>
      </w:r>
      <w:r>
        <w:rPr>
          <w:lang w:val="en-US"/>
        </w:rPr>
        <w:t>1</w:t>
      </w:r>
      <w:r>
        <w:t>。</w:t>
      </w:r>
    </w:p>
    <w:p>
      <w:pPr>
        <w:pStyle w:val="23"/>
      </w:pPr>
      <w:r>
        <w:t>表2.7-1  物料的包装、储存、运输技术要求</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96"/>
        <w:gridCol w:w="1330"/>
        <w:gridCol w:w="3020"/>
        <w:gridCol w:w="34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408" w:type="pct"/>
            <w:tcBorders>
              <w:top w:val="single" w:color="auto" w:sz="12" w:space="0"/>
              <w:left w:val="single" w:color="auto" w:sz="12" w:space="0"/>
              <w:bottom w:val="single" w:color="auto" w:sz="6" w:space="0"/>
              <w:right w:val="single" w:color="auto" w:sz="6" w:space="0"/>
              <w:tl2br w:val="nil"/>
              <w:tr2bl w:val="nil"/>
            </w:tcBorders>
            <w:vAlign w:val="center"/>
          </w:tcPr>
          <w:p>
            <w:pPr>
              <w:pStyle w:val="24"/>
              <w:rPr>
                <w:b/>
                <w:bCs/>
              </w:rPr>
            </w:pPr>
            <w:r>
              <w:rPr>
                <w:b/>
                <w:bCs/>
              </w:rPr>
              <w:t>物料名称</w:t>
            </w:r>
          </w:p>
        </w:tc>
        <w:tc>
          <w:tcPr>
            <w:tcW w:w="780" w:type="pct"/>
            <w:tcBorders>
              <w:top w:val="single" w:color="auto" w:sz="12" w:space="0"/>
              <w:left w:val="single" w:color="auto" w:sz="6" w:space="0"/>
              <w:bottom w:val="single" w:color="auto" w:sz="6" w:space="0"/>
              <w:right w:val="single" w:color="auto" w:sz="6" w:space="0"/>
              <w:tl2br w:val="nil"/>
              <w:tr2bl w:val="nil"/>
            </w:tcBorders>
            <w:vAlign w:val="center"/>
          </w:tcPr>
          <w:p>
            <w:pPr>
              <w:pStyle w:val="24"/>
              <w:rPr>
                <w:b/>
                <w:bCs/>
              </w:rPr>
            </w:pPr>
            <w:r>
              <w:rPr>
                <w:b/>
                <w:bCs/>
              </w:rPr>
              <w:t>包装方法</w:t>
            </w:r>
          </w:p>
        </w:tc>
        <w:tc>
          <w:tcPr>
            <w:tcW w:w="1771" w:type="pct"/>
            <w:tcBorders>
              <w:top w:val="single" w:color="auto" w:sz="12" w:space="0"/>
              <w:left w:val="single" w:color="auto" w:sz="6" w:space="0"/>
              <w:bottom w:val="single" w:color="auto" w:sz="6" w:space="0"/>
              <w:right w:val="single" w:color="auto" w:sz="6" w:space="0"/>
              <w:tl2br w:val="nil"/>
              <w:tr2bl w:val="nil"/>
            </w:tcBorders>
            <w:vAlign w:val="center"/>
          </w:tcPr>
          <w:p>
            <w:pPr>
              <w:pStyle w:val="24"/>
              <w:rPr>
                <w:b/>
                <w:bCs/>
              </w:rPr>
            </w:pPr>
            <w:r>
              <w:rPr>
                <w:b/>
                <w:bCs/>
              </w:rPr>
              <w:t>储存要求</w:t>
            </w:r>
          </w:p>
        </w:tc>
        <w:tc>
          <w:tcPr>
            <w:tcW w:w="2039" w:type="pct"/>
            <w:tcBorders>
              <w:top w:val="single" w:color="auto" w:sz="12" w:space="0"/>
              <w:left w:val="single" w:color="auto" w:sz="6" w:space="0"/>
              <w:bottom w:val="single" w:color="auto" w:sz="6" w:space="0"/>
              <w:right w:val="single" w:color="auto" w:sz="12" w:space="0"/>
              <w:tl2br w:val="nil"/>
              <w:tr2bl w:val="nil"/>
            </w:tcBorders>
            <w:vAlign w:val="center"/>
          </w:tcPr>
          <w:p>
            <w:pPr>
              <w:pStyle w:val="24"/>
              <w:rPr>
                <w:b/>
                <w:bCs/>
              </w:rPr>
            </w:pPr>
            <w:r>
              <w:rPr>
                <w:b/>
                <w:bCs/>
              </w:rPr>
              <w:t>运输要求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08" w:type="pct"/>
            <w:tcBorders>
              <w:top w:val="single" w:color="auto" w:sz="6" w:space="0"/>
              <w:left w:val="single" w:color="auto" w:sz="12" w:space="0"/>
              <w:bottom w:val="single" w:color="auto" w:sz="6" w:space="0"/>
              <w:right w:val="single" w:color="auto" w:sz="6" w:space="0"/>
              <w:tl2br w:val="nil"/>
              <w:tr2bl w:val="nil"/>
            </w:tcBorders>
            <w:vAlign w:val="center"/>
          </w:tcPr>
          <w:p>
            <w:pPr>
              <w:pStyle w:val="24"/>
              <w:rPr>
                <w:b/>
                <w:bCs/>
              </w:rPr>
            </w:pPr>
            <w:r>
              <w:t>原油</w:t>
            </w:r>
          </w:p>
        </w:tc>
        <w:tc>
          <w:tcPr>
            <w:tcW w:w="780" w:type="pct"/>
            <w:tcBorders>
              <w:top w:val="single" w:color="auto" w:sz="6" w:space="0"/>
              <w:left w:val="single" w:color="auto" w:sz="6" w:space="0"/>
              <w:bottom w:val="single" w:color="auto" w:sz="6" w:space="0"/>
              <w:right w:val="single" w:color="auto" w:sz="6" w:space="0"/>
              <w:tl2br w:val="nil"/>
              <w:tr2bl w:val="nil"/>
            </w:tcBorders>
            <w:vAlign w:val="center"/>
          </w:tcPr>
          <w:p>
            <w:pPr>
              <w:pStyle w:val="24"/>
            </w:pPr>
            <w:r>
              <w:t>钢制内浮顶储罐</w:t>
            </w:r>
          </w:p>
        </w:tc>
        <w:tc>
          <w:tcPr>
            <w:tcW w:w="1771" w:type="pct"/>
            <w:tcBorders>
              <w:top w:val="single" w:color="auto" w:sz="6" w:space="0"/>
              <w:left w:val="single" w:color="auto" w:sz="6" w:space="0"/>
              <w:bottom w:val="single" w:color="auto" w:sz="6" w:space="0"/>
              <w:right w:val="single" w:color="auto" w:sz="6" w:space="0"/>
              <w:tl2br w:val="nil"/>
              <w:tr2bl w:val="nil"/>
            </w:tcBorders>
            <w:vAlign w:val="center"/>
          </w:tcPr>
          <w:p>
            <w:pPr>
              <w:pStyle w:val="24"/>
              <w:jc w:val="left"/>
            </w:pPr>
            <w:r>
              <w:t>储存于阴凉、通风的</w:t>
            </w:r>
            <w:r>
              <w:rPr>
                <w:rFonts w:hint="eastAsia"/>
              </w:rPr>
              <w:t>场所</w:t>
            </w:r>
            <w:r>
              <w:t>内。远离火种、热源。</w:t>
            </w:r>
            <w:r>
              <w:rPr>
                <w:rFonts w:hint="eastAsia"/>
              </w:rPr>
              <w:t>场所</w:t>
            </w:r>
            <w:r>
              <w:t>内温度不宜超过30℃。保持容器密闭。应与氧化剂、酸类物质分开存放。</w:t>
            </w:r>
            <w:r>
              <w:rPr>
                <w:rFonts w:hint="eastAsia"/>
              </w:rPr>
              <w:t>罐区</w:t>
            </w:r>
            <w:r>
              <w:t>采用防爆型照明、通风等设施。禁止使用产生火花的机械设备和工具。储存区应备有泄漏应急处理设备。灌装时，注意流速不超过3m/s，且有接地装置，防止静电积聚。注意防雷、防静电，厂内的储罐应按《建筑物防雷设计规范》（GB50057）的规定设置防雷、防静电设施。</w:t>
            </w:r>
          </w:p>
        </w:tc>
        <w:tc>
          <w:tcPr>
            <w:tcW w:w="2039" w:type="pct"/>
            <w:tcBorders>
              <w:top w:val="single" w:color="auto" w:sz="6" w:space="0"/>
              <w:left w:val="single" w:color="auto" w:sz="6" w:space="0"/>
              <w:bottom w:val="single" w:color="auto" w:sz="6" w:space="0"/>
              <w:right w:val="single" w:color="auto" w:sz="12" w:space="0"/>
              <w:tl2br w:val="nil"/>
              <w:tr2bl w:val="nil"/>
            </w:tcBorders>
            <w:vAlign w:val="center"/>
          </w:tcPr>
          <w:p>
            <w:pPr>
              <w:pStyle w:val="24"/>
              <w:jc w:val="left"/>
            </w:pPr>
            <w:r>
              <w:t>运输车辆应有危险货物运输标志、安装具有行驶记录功能的卫星定位装置。未经公安机关批准，运输车辆不得进入危险化学品运输车辆限制通行的区域。严禁与氧化剂、食用化学品等混装混运。运输时所用的槽（罐）车应有导静电拖线，槽内可设孔隔板以减少震荡产生静电。装运该物品的车辆排气管必须配备阻火装置，禁止使用易产生火花的机械设备和工具装卸。运输时运输车辆应配备相应品种和数量的消防器材。运输途中应防曝晒、防雨淋、防高温。中途停留时应远离火种、热源、高温区，勿在居民区和人口稠密区停留。输油管道地下铺设时，沿线应设置里程桩、转角桩、标志桩和测试桩，并设警示标志。运行应符合有关法律法规规定。</w:t>
            </w:r>
          </w:p>
        </w:tc>
      </w:tr>
    </w:tbl>
    <w:p>
      <w:pPr>
        <w:pStyle w:val="3"/>
        <w:spacing w:before="156" w:after="156"/>
      </w:pPr>
      <w:bookmarkStart w:id="31" w:name="_Toc509842598"/>
      <w:bookmarkStart w:id="32" w:name="_Toc1549"/>
      <w:r>
        <w:t>安全投入</w:t>
      </w:r>
      <w:bookmarkEnd w:id="31"/>
      <w:bookmarkEnd w:id="32"/>
    </w:p>
    <w:p>
      <w:pPr>
        <w:pStyle w:val="6"/>
        <w:ind w:firstLine="560"/>
        <w:rPr>
          <w:b/>
          <w:bCs/>
        </w:rPr>
      </w:pPr>
      <w:r>
        <w:rPr>
          <w:rFonts w:hint="eastAsia"/>
          <w:b/>
          <w:bCs/>
        </w:rPr>
        <w:t>涉及企业机密，不予公开。</w:t>
      </w:r>
      <w:bookmarkStart w:id="33" w:name="_Toc509842599"/>
    </w:p>
    <w:p>
      <w:pPr>
        <w:pStyle w:val="3"/>
        <w:spacing w:before="156" w:after="156"/>
      </w:pPr>
      <w:bookmarkStart w:id="34" w:name="_Toc22519"/>
      <w:r>
        <w:t>该项目劳动定员及安全管理</w:t>
      </w:r>
      <w:bookmarkEnd w:id="33"/>
      <w:bookmarkEnd w:id="34"/>
    </w:p>
    <w:p>
      <w:pPr>
        <w:pStyle w:val="4"/>
        <w:spacing w:before="62" w:after="62"/>
      </w:pPr>
      <w:r>
        <w:t>2.9.1 项目定员情况</w:t>
      </w:r>
    </w:p>
    <w:p>
      <w:pPr>
        <w:pStyle w:val="6"/>
        <w:ind w:firstLine="560"/>
      </w:pPr>
      <w:r>
        <w:t>本工程为在105#罐区预留位置新建1座30000m³原油储罐，不需要新增定员。</w:t>
      </w:r>
    </w:p>
    <w:p>
      <w:pPr>
        <w:pStyle w:val="4"/>
        <w:spacing w:before="62" w:after="62"/>
      </w:pPr>
      <w:r>
        <w:t>2.9.2 项目安全生产管理情况</w:t>
      </w:r>
    </w:p>
    <w:p>
      <w:pPr>
        <w:pStyle w:val="6"/>
        <w:ind w:firstLine="560"/>
      </w:pPr>
      <w:r>
        <w:rPr>
          <w:rFonts w:hint="eastAsia"/>
          <w:b/>
          <w:bCs/>
        </w:rPr>
        <w:t>涉及企业机密，不予公开。</w:t>
      </w:r>
    </w:p>
    <w:bookmarkEnd w:id="28"/>
    <w:bookmarkEnd w:id="29"/>
    <w:bookmarkEnd w:id="30"/>
    <w:p>
      <w:pPr>
        <w:pStyle w:val="6"/>
        <w:ind w:firstLine="560"/>
        <w:sectPr>
          <w:pgSz w:w="11906" w:h="16838"/>
          <w:pgMar w:top="1440" w:right="1800" w:bottom="1440" w:left="1800" w:header="720" w:footer="720" w:gutter="0"/>
          <w:pgBorders>
            <w:top w:val="none" w:sz="0" w:space="0"/>
            <w:left w:val="none" w:sz="0" w:space="0"/>
            <w:bottom w:val="none" w:sz="0" w:space="0"/>
            <w:right w:val="none" w:sz="0" w:space="0"/>
          </w:pgBorders>
          <w:cols w:space="720" w:num="1"/>
          <w:docGrid w:type="lines" w:linePitch="312" w:charSpace="0"/>
        </w:sectPr>
      </w:pPr>
    </w:p>
    <w:p>
      <w:pPr>
        <w:pStyle w:val="16"/>
        <w:rPr>
          <w:rFonts w:ascii="Times New Roman" w:hAnsi="Times New Roman" w:cs="Times New Roman"/>
        </w:rPr>
      </w:pPr>
      <w:bookmarkStart w:id="35" w:name="_Toc31288"/>
      <w:r>
        <w:rPr>
          <w:rFonts w:ascii="Times New Roman" w:hAnsi="Times New Roman" w:cs="Times New Roman"/>
        </w:rPr>
        <w:t>危险、有害因素辨识结果</w:t>
      </w:r>
      <w:bookmarkEnd w:id="35"/>
    </w:p>
    <w:p>
      <w:pPr>
        <w:pStyle w:val="3"/>
        <w:spacing w:before="156" w:after="156"/>
        <w:rPr>
          <w:sz w:val="32"/>
        </w:rPr>
      </w:pPr>
      <w:bookmarkStart w:id="36" w:name="_Toc312475616"/>
      <w:bookmarkStart w:id="37" w:name="_Toc343587697"/>
      <w:bookmarkStart w:id="38" w:name="_Toc334711524"/>
      <w:bookmarkStart w:id="39" w:name="_Toc365004219"/>
      <w:bookmarkStart w:id="40" w:name="_Toc306626342"/>
      <w:bookmarkStart w:id="41" w:name="_Toc306627538"/>
      <w:bookmarkStart w:id="42" w:name="_Toc336610748"/>
      <w:bookmarkStart w:id="43" w:name="_Toc28650"/>
      <w:r>
        <w:rPr>
          <w:sz w:val="32"/>
        </w:rPr>
        <w:t>物质的</w:t>
      </w:r>
      <w:bookmarkEnd w:id="36"/>
      <w:bookmarkEnd w:id="37"/>
      <w:bookmarkEnd w:id="38"/>
      <w:bookmarkEnd w:id="39"/>
      <w:bookmarkEnd w:id="40"/>
      <w:bookmarkEnd w:id="41"/>
      <w:bookmarkEnd w:id="42"/>
      <w:r>
        <w:rPr>
          <w:sz w:val="32"/>
        </w:rPr>
        <w:t>危险、有害特性</w:t>
      </w:r>
      <w:bookmarkEnd w:id="43"/>
      <w:r>
        <w:rPr>
          <w:sz w:val="32"/>
        </w:rPr>
        <w:t xml:space="preserve"> </w:t>
      </w:r>
    </w:p>
    <w:p>
      <w:pPr>
        <w:pStyle w:val="4"/>
        <w:spacing w:before="62" w:after="62"/>
      </w:pPr>
      <w:r>
        <w:t>3.1.1项目存在的危险有害物质分类及主要危险、有害特性</w:t>
      </w:r>
    </w:p>
    <w:p>
      <w:pPr>
        <w:pStyle w:val="6"/>
        <w:ind w:firstLine="560"/>
      </w:pPr>
      <w:r>
        <w:t>该项目涉及原油的储存，另外公辅工程还涉及空气（压缩）、氮气（压缩）、</w:t>
      </w:r>
      <w:r>
        <w:rPr>
          <w:lang w:val="en-US"/>
        </w:rPr>
        <w:t>加热蒸汽及热水</w:t>
      </w:r>
      <w:r>
        <w:t>。</w:t>
      </w:r>
    </w:p>
    <w:p>
      <w:pPr>
        <w:pStyle w:val="6"/>
        <w:ind w:firstLine="560"/>
      </w:pPr>
      <w:r>
        <w:t>根据《危险化学品目录》（2015版），该项目涉及危险化学品为原油、氮气（压缩）。</w:t>
      </w:r>
    </w:p>
    <w:p>
      <w:pPr>
        <w:pStyle w:val="6"/>
        <w:ind w:firstLine="560"/>
      </w:pPr>
      <w:r>
        <w:t>根据《危险化学品目录》（2015版）和《国家安全监管总局办公厅关于印发危险化学品目录（2015版）实施指南（试行）的通知》（安监总厅管三[2015]80号）的规定，该项目不涉及剧毒化学品。</w:t>
      </w:r>
    </w:p>
    <w:p>
      <w:pPr>
        <w:pStyle w:val="6"/>
        <w:ind w:firstLine="560"/>
      </w:pPr>
      <w:r>
        <w:t>根据《高毒物品目录》（2013年版），该项目不涉及高毒物品。</w:t>
      </w:r>
    </w:p>
    <w:p>
      <w:pPr>
        <w:pStyle w:val="6"/>
        <w:ind w:firstLine="560"/>
      </w:pPr>
      <w:r>
        <w:t>根据《各类监控化学品名录》（工信部令[2020]52号），该项目不涉及监控化学品。</w:t>
      </w:r>
    </w:p>
    <w:p>
      <w:pPr>
        <w:pStyle w:val="6"/>
        <w:ind w:firstLine="560"/>
      </w:pPr>
      <w:r>
        <w:t>根据《易制毒化学品管理条例》（国务院令[2005]第445号，国务院令第703号修订，国办函[2021]58号补充）的规定，该项目不涉及易制毒化学品。</w:t>
      </w:r>
    </w:p>
    <w:p>
      <w:pPr>
        <w:pStyle w:val="6"/>
        <w:ind w:firstLine="560"/>
      </w:pPr>
      <w:r>
        <w:t>根据《易制爆危险化学品名录》（2017年版，公安部），该项目不涉及易制爆化学品。</w:t>
      </w:r>
    </w:p>
    <w:p>
      <w:pPr>
        <w:pStyle w:val="6"/>
        <w:ind w:firstLine="560"/>
      </w:pPr>
      <w:r>
        <w:t>根据《重点监管的危险化学品名录》（2013年完整版），该项目涉及重点监管的危险化学品为原油。</w:t>
      </w:r>
    </w:p>
    <w:p>
      <w:pPr>
        <w:pStyle w:val="6"/>
        <w:ind w:firstLine="560"/>
      </w:pPr>
      <w:r>
        <w:t>根据《特别管控危险化学品目录（第一版）》（应急管理部、工业和信息化部、公安部、交通运输部公告2020年第3号）辨识，该项目不涉及特别管控危险化学品。</w:t>
      </w:r>
    </w:p>
    <w:p>
      <w:pPr>
        <w:pStyle w:val="6"/>
        <w:ind w:firstLine="560"/>
      </w:pPr>
      <w:r>
        <w:t>根据《山东省禁止危险化学品目录（第</w:t>
      </w:r>
      <w:r>
        <w:rPr>
          <w:rFonts w:hint="eastAsia"/>
          <w:lang w:val="en-US"/>
        </w:rPr>
        <w:t>二</w:t>
      </w:r>
      <w:r>
        <w:t>批）》（鲁应急发[2019]37号）辨识，该项目不涉及禁止危险化学品。</w:t>
      </w:r>
    </w:p>
    <w:p>
      <w:pPr>
        <w:pStyle w:val="6"/>
        <w:ind w:firstLine="560"/>
      </w:pPr>
      <w:r>
        <w:t>根据《中国严格限制的有毒化学品名录（2020）》（生态环境部发2019年60号公告）辨识，该项目不涉及严格限制的有毒化学品。</w:t>
      </w:r>
    </w:p>
    <w:p>
      <w:pPr>
        <w:pStyle w:val="6"/>
        <w:ind w:firstLine="560"/>
      </w:pPr>
      <w:r>
        <w:t>根据《关于加强易爆炸重点危险化学品安全生产管理工作的通知》（鲁安监发[2010]62号），该项目不涉及易爆炸重点危险化学品。</w:t>
      </w:r>
    </w:p>
    <w:p>
      <w:pPr>
        <w:pStyle w:val="6"/>
        <w:ind w:firstLine="560"/>
        <w:rPr>
          <w:rFonts w:hint="default" w:eastAsia="宋体"/>
          <w:color w:val="auto"/>
          <w:lang w:val="en-US" w:eastAsia="zh-CN"/>
        </w:rPr>
      </w:pPr>
      <w:r>
        <w:rPr>
          <w:rFonts w:hint="eastAsia"/>
          <w:color w:val="auto"/>
          <w:lang w:val="en-US" w:eastAsia="zh-CN"/>
        </w:rPr>
        <w:t>根据《忌水危险化学品名单（试行）》（鲁应急字[2020]46号），该项目不涉及忌水危险化学品。</w:t>
      </w:r>
    </w:p>
    <w:p>
      <w:pPr>
        <w:pStyle w:val="6"/>
        <w:ind w:firstLine="560"/>
      </w:pPr>
      <w:r>
        <w:t>该项目物料为原油，闪点</w:t>
      </w:r>
      <w:r>
        <w:rPr>
          <w:rFonts w:hint="eastAsia"/>
          <w:lang w:val="en-US"/>
        </w:rPr>
        <w:t>25</w:t>
      </w:r>
      <w:r>
        <w:t>℃，火灾危险性分类为甲</w:t>
      </w:r>
      <w:r>
        <w:rPr>
          <w:vertAlign w:val="subscript"/>
        </w:rPr>
        <w:t>B</w:t>
      </w:r>
      <w:r>
        <w:t>。该项目主要危险物质的特性及火灾危险类别如下表所示。</w:t>
      </w:r>
    </w:p>
    <w:p>
      <w:pPr>
        <w:pStyle w:val="6"/>
        <w:ind w:firstLine="560"/>
        <w:rPr>
          <w:b/>
          <w:bCs/>
        </w:rPr>
      </w:pPr>
      <w:r>
        <w:rPr>
          <w:rFonts w:hint="eastAsia"/>
          <w:b/>
          <w:bCs/>
        </w:rPr>
        <w:t>涉及企业机密，不予公开。</w:t>
      </w:r>
    </w:p>
    <w:p>
      <w:pPr>
        <w:pStyle w:val="4"/>
        <w:spacing w:before="62" w:after="62"/>
      </w:pPr>
      <w:r>
        <w:t>3.1.2重点监管危险化工工艺辨识</w:t>
      </w:r>
    </w:p>
    <w:p>
      <w:pPr>
        <w:pStyle w:val="6"/>
        <w:ind w:firstLine="560"/>
      </w:pPr>
      <w:r>
        <w:t>根据《关于公布首批重点监管的危险化工工艺目录的通知》（安监总管三〔2009〕116号）和国家安全监管总局《关于公布第二批重点监管危险化工工艺目录和调整首批重点监管危险化工工艺中部分典型工艺的通知》（安监总管三[2013]3号）规定，该项目不涉及重点监管的危险化工工艺。</w:t>
      </w:r>
    </w:p>
    <w:p>
      <w:pPr>
        <w:pStyle w:val="3"/>
        <w:spacing w:before="156" w:after="156"/>
      </w:pPr>
      <w:bookmarkStart w:id="44" w:name="_Toc312475617"/>
      <w:bookmarkStart w:id="45" w:name="_Toc334711525"/>
      <w:bookmarkStart w:id="46" w:name="_Toc365004220"/>
      <w:bookmarkStart w:id="47" w:name="_Toc343587698"/>
      <w:bookmarkStart w:id="48" w:name="_Toc336610749"/>
      <w:bookmarkStart w:id="49" w:name="_Toc19492"/>
      <w:r>
        <w:t>项目存</w:t>
      </w:r>
      <w:bookmarkEnd w:id="44"/>
      <w:bookmarkEnd w:id="45"/>
      <w:bookmarkEnd w:id="46"/>
      <w:bookmarkEnd w:id="47"/>
      <w:bookmarkEnd w:id="48"/>
      <w:r>
        <w:t>在的危险、有害因素及其分布范围</w:t>
      </w:r>
      <w:bookmarkEnd w:id="49"/>
    </w:p>
    <w:p>
      <w:pPr>
        <w:pStyle w:val="6"/>
        <w:ind w:firstLine="560"/>
      </w:pPr>
      <w:bookmarkStart w:id="50" w:name="_Toc336610751"/>
      <w:bookmarkStart w:id="51" w:name="_Toc365004222"/>
      <w:bookmarkStart w:id="52" w:name="_Toc343587700"/>
      <w:bookmarkStart w:id="53" w:name="_Toc334711527"/>
      <w:r>
        <w:t>根据《企业职工伤亡事故分类》（GB 6441-1986），结合《生产过程危险和有害因素分类与代码》（GB/T 13861-2022），综合考虑起因物、引起事故的诱导性原因、致害物、伤害方式等，对该项目可能存在的主要危险、有害因素进行辨识与分析。</w:t>
      </w:r>
    </w:p>
    <w:p>
      <w:pPr>
        <w:pStyle w:val="6"/>
        <w:ind w:firstLine="560"/>
      </w:pPr>
      <w:r>
        <w:t>该项目生产过程中主要的危险有害因素为火灾爆炸、中毒和窒息，其他的危险有害因素有：触电、灼烫、高处坠落、物体打击、机械伤害、</w:t>
      </w:r>
      <w:r>
        <w:rPr>
          <w:rFonts w:hint="eastAsia"/>
          <w:lang w:val="en-US"/>
        </w:rPr>
        <w:t>物理爆炸、</w:t>
      </w:r>
      <w:r>
        <w:t>噪声。</w:t>
      </w:r>
    </w:p>
    <w:p>
      <w:pPr>
        <w:pStyle w:val="6"/>
        <w:ind w:firstLine="560"/>
        <w:rPr>
          <w:szCs w:val="28"/>
        </w:rPr>
      </w:pPr>
      <w:r>
        <w:t>主要危险有害因素分布情况见下表：</w:t>
      </w:r>
    </w:p>
    <w:p>
      <w:pPr>
        <w:pStyle w:val="23"/>
      </w:pPr>
      <w:r>
        <w:t>表3.2-1  主要危险有害因素分布表</w:t>
      </w:r>
    </w:p>
    <w:tbl>
      <w:tblPr>
        <w:tblStyle w:val="19"/>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339"/>
        <w:gridCol w:w="2162"/>
        <w:gridCol w:w="2007"/>
        <w:gridCol w:w="20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rPr>
                <w:b/>
                <w:bCs/>
              </w:rPr>
            </w:pPr>
            <w:r>
              <w:rPr>
                <w:b/>
                <w:bCs/>
              </w:rPr>
              <w:t>主要危险因素</w:t>
            </w:r>
          </w:p>
        </w:tc>
        <w:tc>
          <w:tcPr>
            <w:tcW w:w="1269" w:type="pct"/>
            <w:tcBorders>
              <w:tl2br w:val="nil"/>
              <w:tr2bl w:val="nil"/>
            </w:tcBorders>
            <w:vAlign w:val="center"/>
          </w:tcPr>
          <w:p>
            <w:pPr>
              <w:pStyle w:val="24"/>
              <w:rPr>
                <w:b/>
                <w:bCs/>
              </w:rPr>
            </w:pPr>
            <w:r>
              <w:rPr>
                <w:b/>
                <w:bCs/>
              </w:rPr>
              <w:t>储存设施</w:t>
            </w:r>
          </w:p>
        </w:tc>
        <w:tc>
          <w:tcPr>
            <w:tcW w:w="1178" w:type="pct"/>
            <w:tcBorders>
              <w:tl2br w:val="nil"/>
              <w:tr2bl w:val="nil"/>
            </w:tcBorders>
            <w:vAlign w:val="center"/>
          </w:tcPr>
          <w:p>
            <w:pPr>
              <w:pStyle w:val="24"/>
              <w:rPr>
                <w:b/>
                <w:bCs/>
              </w:rPr>
            </w:pPr>
            <w:r>
              <w:rPr>
                <w:b/>
                <w:bCs/>
              </w:rPr>
              <w:t>界区内公用工程及辅助设施</w:t>
            </w:r>
          </w:p>
        </w:tc>
        <w:tc>
          <w:tcPr>
            <w:tcW w:w="1178" w:type="pct"/>
            <w:tcBorders>
              <w:tl2br w:val="nil"/>
              <w:tr2bl w:val="nil"/>
            </w:tcBorders>
            <w:vAlign w:val="center"/>
          </w:tcPr>
          <w:p>
            <w:pPr>
              <w:pStyle w:val="24"/>
              <w:rPr>
                <w:b/>
                <w:bCs/>
              </w:rPr>
            </w:pPr>
            <w:r>
              <w:rPr>
                <w:b/>
                <w:bCs/>
              </w:rPr>
              <w:t>项目检修过程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t>火灾爆炸</w:t>
            </w:r>
          </w:p>
        </w:tc>
        <w:tc>
          <w:tcPr>
            <w:tcW w:w="1269"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pPr>
            <w:r>
              <w:rPr>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t>中毒和窒息</w:t>
            </w:r>
          </w:p>
        </w:tc>
        <w:tc>
          <w:tcPr>
            <w:tcW w:w="1269"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t>触电</w:t>
            </w:r>
          </w:p>
        </w:tc>
        <w:tc>
          <w:tcPr>
            <w:tcW w:w="1269"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t>机械伤害</w:t>
            </w:r>
          </w:p>
        </w:tc>
        <w:tc>
          <w:tcPr>
            <w:tcW w:w="1269" w:type="pct"/>
            <w:tcBorders>
              <w:tl2br w:val="nil"/>
              <w:tr2bl w:val="nil"/>
            </w:tcBorders>
            <w:vAlign w:val="center"/>
          </w:tcPr>
          <w:p>
            <w:pPr>
              <w:pStyle w:val="24"/>
              <w:rPr>
                <w:lang w:val="zh-CN"/>
              </w:rPr>
            </w:pP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t>物理打击</w:t>
            </w:r>
          </w:p>
        </w:tc>
        <w:tc>
          <w:tcPr>
            <w:tcW w:w="1269"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t>高处坠落</w:t>
            </w:r>
          </w:p>
        </w:tc>
        <w:tc>
          <w:tcPr>
            <w:tcW w:w="1269"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t>噪声</w:t>
            </w:r>
          </w:p>
        </w:tc>
        <w:tc>
          <w:tcPr>
            <w:tcW w:w="1269" w:type="pct"/>
            <w:tcBorders>
              <w:tl2br w:val="nil"/>
              <w:tr2bl w:val="nil"/>
            </w:tcBorders>
            <w:vAlign w:val="center"/>
          </w:tcPr>
          <w:p>
            <w:pPr>
              <w:pStyle w:val="24"/>
              <w:rPr>
                <w:lang w:val="zh-CN"/>
              </w:rPr>
            </w:pP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t>灼烫</w:t>
            </w:r>
          </w:p>
        </w:tc>
        <w:tc>
          <w:tcPr>
            <w:tcW w:w="1269" w:type="pct"/>
            <w:tcBorders>
              <w:tl2br w:val="nil"/>
              <w:tr2bl w:val="nil"/>
            </w:tcBorders>
            <w:vAlign w:val="center"/>
          </w:tcPr>
          <w:p>
            <w:pPr>
              <w:pStyle w:val="24"/>
              <w:rPr>
                <w:lang w:val="zh-CN"/>
              </w:rPr>
            </w:pP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3" w:type="pct"/>
            <w:tcBorders>
              <w:tl2br w:val="nil"/>
              <w:tr2bl w:val="nil"/>
            </w:tcBorders>
            <w:vAlign w:val="center"/>
          </w:tcPr>
          <w:p>
            <w:pPr>
              <w:pStyle w:val="24"/>
            </w:pPr>
            <w:r>
              <w:rPr>
                <w:rFonts w:hint="eastAsia"/>
              </w:rPr>
              <w:t>物理爆炸</w:t>
            </w:r>
          </w:p>
        </w:tc>
        <w:tc>
          <w:tcPr>
            <w:tcW w:w="1269"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c>
          <w:tcPr>
            <w:tcW w:w="1178" w:type="pct"/>
            <w:tcBorders>
              <w:tl2br w:val="nil"/>
              <w:tr2bl w:val="nil"/>
            </w:tcBorders>
            <w:vAlign w:val="center"/>
          </w:tcPr>
          <w:p>
            <w:pPr>
              <w:pStyle w:val="24"/>
              <w:rPr>
                <w:lang w:val="zh-CN"/>
              </w:rPr>
            </w:pPr>
            <w:r>
              <w:rPr>
                <w:lang w:val="zh-CN"/>
              </w:rPr>
              <w:t>√</w:t>
            </w:r>
          </w:p>
        </w:tc>
      </w:tr>
      <w:bookmarkEnd w:id="50"/>
      <w:bookmarkEnd w:id="51"/>
      <w:bookmarkEnd w:id="52"/>
      <w:bookmarkEnd w:id="53"/>
    </w:tbl>
    <w:p>
      <w:pPr>
        <w:pStyle w:val="3"/>
        <w:spacing w:before="156" w:after="156"/>
        <w:rPr>
          <w:sz w:val="32"/>
        </w:rPr>
      </w:pPr>
      <w:bookmarkStart w:id="54" w:name="_Toc18290"/>
      <w:r>
        <w:rPr>
          <w:sz w:val="32"/>
        </w:rPr>
        <w:t>重大危险源辨识结果</w:t>
      </w:r>
      <w:bookmarkEnd w:id="54"/>
    </w:p>
    <w:p>
      <w:pPr>
        <w:pStyle w:val="6"/>
        <w:ind w:firstLine="560"/>
      </w:pPr>
      <w:r>
        <w:t>原油闪点</w:t>
      </w:r>
      <w:r>
        <w:rPr>
          <w:rFonts w:hint="eastAsia"/>
          <w:lang w:val="en-US"/>
        </w:rPr>
        <w:t>为</w:t>
      </w:r>
      <w:r>
        <w:rPr>
          <w:lang w:val="en-US"/>
        </w:rPr>
        <w:t>25℃</w:t>
      </w:r>
      <w:r>
        <w:t>，根据《化学品分类和标签规范第7部分：易燃液体》（GB30000.7-2013），</w:t>
      </w:r>
      <w:r>
        <w:rPr>
          <w:lang w:val="en-US"/>
        </w:rPr>
        <w:t>原油属于</w:t>
      </w:r>
      <w:r>
        <w:t>易燃液体,类别3。根据《危险化学品重大危险源辨识》（GB18218-2018），本次评估分将105#罐区作为1个储存单元进行辨识，构成</w:t>
      </w:r>
      <w:r>
        <w:rPr>
          <w:lang w:val="en-US"/>
        </w:rPr>
        <w:t>三</w:t>
      </w:r>
      <w:r>
        <w:t>级危险化学品重大危险源。</w:t>
      </w:r>
    </w:p>
    <w:p>
      <w:pPr>
        <w:pStyle w:val="6"/>
        <w:ind w:firstLine="560"/>
        <w:sectPr>
          <w:pgSz w:w="11906" w:h="16838"/>
          <w:pgMar w:top="1440" w:right="1800" w:bottom="1440" w:left="1800" w:header="720" w:footer="720" w:gutter="0"/>
          <w:pgBorders>
            <w:top w:val="none" w:sz="0" w:space="0"/>
            <w:left w:val="none" w:sz="0" w:space="0"/>
            <w:bottom w:val="none" w:sz="0" w:space="0"/>
            <w:right w:val="none" w:sz="0" w:space="0"/>
          </w:pgBorders>
          <w:cols w:space="720" w:num="1"/>
          <w:docGrid w:type="lines" w:linePitch="312" w:charSpace="0"/>
        </w:sectPr>
      </w:pPr>
    </w:p>
    <w:p>
      <w:pPr>
        <w:pStyle w:val="16"/>
        <w:rPr>
          <w:rFonts w:ascii="Times New Roman" w:hAnsi="Times New Roman" w:cs="Times New Roman"/>
        </w:rPr>
      </w:pPr>
      <w:bookmarkStart w:id="55" w:name="_Toc3525"/>
      <w:r>
        <w:rPr>
          <w:rFonts w:ascii="Times New Roman" w:hAnsi="Times New Roman" w:cs="Times New Roman"/>
        </w:rPr>
        <w:t>评价单元划分、安全评价方法选择</w:t>
      </w:r>
      <w:bookmarkEnd w:id="55"/>
    </w:p>
    <w:p>
      <w:pPr>
        <w:pStyle w:val="3"/>
        <w:spacing w:before="156" w:after="156"/>
        <w:rPr>
          <w:sz w:val="32"/>
        </w:rPr>
      </w:pPr>
      <w:bookmarkStart w:id="56" w:name="_Toc6538"/>
      <w:bookmarkStart w:id="57" w:name="_Toc405363202"/>
      <w:bookmarkStart w:id="58" w:name="_Toc148775026"/>
      <w:r>
        <w:rPr>
          <w:sz w:val="32"/>
        </w:rPr>
        <w:t>评价单元的确定</w:t>
      </w:r>
      <w:bookmarkEnd w:id="56"/>
    </w:p>
    <w:p>
      <w:pPr>
        <w:pStyle w:val="4"/>
        <w:spacing w:before="62" w:after="62"/>
      </w:pPr>
      <w:r>
        <w:t>4.</w:t>
      </w:r>
      <w:bookmarkEnd w:id="57"/>
      <w:bookmarkEnd w:id="58"/>
      <w:r>
        <w:t>1.1评价单元划分原则</w:t>
      </w:r>
    </w:p>
    <w:p>
      <w:pPr>
        <w:pStyle w:val="6"/>
        <w:ind w:firstLine="560"/>
      </w:pPr>
      <w:r>
        <w:t>一个作为评价对象的项目，一般是由相对独立、相互联系的若干部分组成，各部分的功能、含有的物质、存在的危险因素和有害因素、危险性和有害性、以及安全指标不尽相同。</w:t>
      </w:r>
    </w:p>
    <w:p>
      <w:pPr>
        <w:pStyle w:val="6"/>
        <w:ind w:firstLine="560"/>
      </w:pPr>
      <w:r>
        <w:t>评价单元就是在危险有害因素分析的基础上，根据评价目标和评价方法的需要，将系统划分成有限数目的、有确定范围的若干部分，分别进行评价。其目的就是简化评价工作、减少评价工作量、避免遗漏、避免重复，同时能够客观公正的反应整个系统的危险性，避免以最危险单元的危险性来表征整个系统的危险性从而夸大整个系统的危险性的可能性，提高整个系统评价结果的准确性，从而降低了采取对策措施的安全投资费用。</w:t>
      </w:r>
    </w:p>
    <w:p>
      <w:pPr>
        <w:pStyle w:val="6"/>
        <w:ind w:firstLine="560"/>
      </w:pPr>
      <w:r>
        <w:t>为便于评价，按生产工艺功能、生产设备设施相对空间位置、危险有害因素类别及事故范围将评价对象划分成评价单元，使各评价单元相对独立，具有明显的特征界限。</w:t>
      </w:r>
    </w:p>
    <w:p>
      <w:pPr>
        <w:pStyle w:val="4"/>
        <w:spacing w:before="62" w:after="62"/>
      </w:pPr>
      <w:r>
        <w:t>4.1.2评价单元的划分</w:t>
      </w:r>
    </w:p>
    <w:p>
      <w:pPr>
        <w:pStyle w:val="6"/>
        <w:ind w:firstLine="560"/>
      </w:pPr>
      <w:r>
        <w:t>通过对</w:t>
      </w:r>
      <w:r>
        <w:rPr>
          <w:rFonts w:hint="eastAsia"/>
        </w:rPr>
        <w:t>石油化工总厂</w:t>
      </w:r>
      <w:r>
        <w:t>原油</w:t>
      </w:r>
      <w:r>
        <w:rPr>
          <w:rFonts w:hint="eastAsia"/>
          <w:lang w:val="en-US" w:eastAsia="zh-CN"/>
        </w:rPr>
        <w:t>罐区</w:t>
      </w:r>
      <w:r>
        <w:t>分输分储改造工程项目工艺过程中的危险、有害因素分析，结合该项目的特点和具体情况，本次评价按</w:t>
      </w:r>
      <w:r>
        <w:rPr>
          <w:rFonts w:hint="eastAsia"/>
          <w:lang w:val="en-US"/>
        </w:rPr>
        <w:t>平面布局、</w:t>
      </w:r>
      <w:r>
        <w:t>工艺流程、装置特性及辅助设施中的危险、有害因素的相似特性等划分为</w:t>
      </w:r>
      <w:r>
        <w:rPr>
          <w:lang w:val="en-US"/>
        </w:rPr>
        <w:t>3</w:t>
      </w:r>
      <w:r>
        <w:t>个评价单元：</w:t>
      </w:r>
    </w:p>
    <w:p>
      <w:pPr>
        <w:pStyle w:val="6"/>
        <w:ind w:firstLine="560"/>
      </w:pPr>
      <w:r>
        <w:t>（1）外部安全条件及总平面布置单元；</w:t>
      </w:r>
    </w:p>
    <w:p>
      <w:pPr>
        <w:pStyle w:val="6"/>
        <w:ind w:firstLine="560"/>
      </w:pPr>
      <w:r>
        <w:t>（2）储运单元；</w:t>
      </w:r>
    </w:p>
    <w:p>
      <w:pPr>
        <w:pStyle w:val="6"/>
        <w:ind w:firstLine="560"/>
      </w:pPr>
      <w:r>
        <w:t>（3）公用工程及辅助设施单元；</w:t>
      </w:r>
    </w:p>
    <w:p>
      <w:pPr>
        <w:pStyle w:val="3"/>
        <w:spacing w:before="156" w:after="156"/>
        <w:rPr>
          <w:sz w:val="32"/>
        </w:rPr>
      </w:pPr>
      <w:bookmarkStart w:id="59" w:name="_Toc944"/>
      <w:bookmarkStart w:id="60" w:name="_Toc405363203"/>
      <w:bookmarkStart w:id="61" w:name="_Toc148775027"/>
      <w:r>
        <w:rPr>
          <w:sz w:val="32"/>
        </w:rPr>
        <w:t>评价方法的选择</w:t>
      </w:r>
      <w:bookmarkEnd w:id="59"/>
    </w:p>
    <w:p>
      <w:pPr>
        <w:pStyle w:val="6"/>
        <w:ind w:firstLine="560"/>
      </w:pPr>
      <w:r>
        <w:t>安全</w:t>
      </w:r>
      <w:bookmarkEnd w:id="60"/>
      <w:bookmarkEnd w:id="61"/>
      <w:r>
        <w:t>评价方法是进行定性、定量安全评价的工具，在进行安全评价时，应根据安全评价对象和要实现的安全评价目标，遵循充分性、适应性、系统性、针对性、合理性选择适用的安全评价方法。</w:t>
      </w:r>
    </w:p>
    <w:p>
      <w:pPr>
        <w:pStyle w:val="6"/>
        <w:ind w:firstLine="560"/>
      </w:pPr>
      <w:r>
        <w:t>在具体评价中，针对各单元的不同特点，可有选择地应用上述评价方法。</w:t>
      </w:r>
    </w:p>
    <w:p>
      <w:pPr>
        <w:pStyle w:val="23"/>
      </w:pPr>
      <w:r>
        <w:t>表4.2-1  各评价单元采用的安全评价方法</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4160"/>
        <w:gridCol w:w="35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53" w:type="pct"/>
            <w:tcBorders>
              <w:tl2br w:val="nil"/>
              <w:tr2bl w:val="nil"/>
            </w:tcBorders>
            <w:vAlign w:val="center"/>
          </w:tcPr>
          <w:p>
            <w:pPr>
              <w:pStyle w:val="24"/>
              <w:rPr>
                <w:b/>
                <w:bCs/>
              </w:rPr>
            </w:pPr>
            <w:r>
              <w:rPr>
                <w:b/>
                <w:bCs/>
              </w:rPr>
              <w:t>序号</w:t>
            </w:r>
          </w:p>
        </w:tc>
        <w:tc>
          <w:tcPr>
            <w:tcW w:w="2440" w:type="pct"/>
            <w:tcBorders>
              <w:tl2br w:val="nil"/>
              <w:tr2bl w:val="nil"/>
            </w:tcBorders>
            <w:vAlign w:val="center"/>
          </w:tcPr>
          <w:p>
            <w:pPr>
              <w:pStyle w:val="24"/>
              <w:rPr>
                <w:b/>
                <w:bCs/>
              </w:rPr>
            </w:pPr>
            <w:r>
              <w:rPr>
                <w:b/>
                <w:bCs/>
              </w:rPr>
              <w:t>单元</w:t>
            </w:r>
          </w:p>
        </w:tc>
        <w:tc>
          <w:tcPr>
            <w:tcW w:w="2105" w:type="pct"/>
            <w:tcBorders>
              <w:tl2br w:val="nil"/>
              <w:tr2bl w:val="nil"/>
            </w:tcBorders>
            <w:vAlign w:val="center"/>
          </w:tcPr>
          <w:p>
            <w:pPr>
              <w:pStyle w:val="24"/>
              <w:rPr>
                <w:b/>
                <w:bCs/>
              </w:rPr>
            </w:pPr>
            <w:r>
              <w:rPr>
                <w:b/>
                <w:bCs/>
              </w:rPr>
              <w:t>评价方法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53" w:type="pct"/>
            <w:tcBorders>
              <w:tl2br w:val="nil"/>
              <w:tr2bl w:val="nil"/>
            </w:tcBorders>
            <w:vAlign w:val="center"/>
          </w:tcPr>
          <w:p>
            <w:pPr>
              <w:pStyle w:val="24"/>
            </w:pPr>
            <w:r>
              <w:t>1</w:t>
            </w:r>
          </w:p>
        </w:tc>
        <w:tc>
          <w:tcPr>
            <w:tcW w:w="2440" w:type="pct"/>
            <w:tcBorders>
              <w:tl2br w:val="nil"/>
              <w:tr2bl w:val="nil"/>
            </w:tcBorders>
          </w:tcPr>
          <w:p>
            <w:pPr>
              <w:pStyle w:val="24"/>
            </w:pPr>
            <w:r>
              <w:t>外部安全条件及总平面布置单元</w:t>
            </w:r>
          </w:p>
        </w:tc>
        <w:tc>
          <w:tcPr>
            <w:tcW w:w="2105" w:type="pct"/>
            <w:tcBorders>
              <w:tl2br w:val="nil"/>
              <w:tr2bl w:val="nil"/>
            </w:tcBorders>
            <w:vAlign w:val="center"/>
          </w:tcPr>
          <w:p>
            <w:pPr>
              <w:pStyle w:val="24"/>
            </w:pPr>
            <w:r>
              <w:t>安全检查表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53" w:type="pct"/>
            <w:tcBorders>
              <w:tl2br w:val="nil"/>
              <w:tr2bl w:val="nil"/>
            </w:tcBorders>
            <w:vAlign w:val="center"/>
          </w:tcPr>
          <w:p>
            <w:pPr>
              <w:pStyle w:val="24"/>
            </w:pPr>
            <w:r>
              <w:t>2</w:t>
            </w:r>
          </w:p>
        </w:tc>
        <w:tc>
          <w:tcPr>
            <w:tcW w:w="2440" w:type="pct"/>
            <w:tcBorders>
              <w:tl2br w:val="nil"/>
              <w:tr2bl w:val="nil"/>
            </w:tcBorders>
            <w:vAlign w:val="center"/>
          </w:tcPr>
          <w:p>
            <w:pPr>
              <w:pStyle w:val="24"/>
            </w:pPr>
            <w:r>
              <w:t>储运单元</w:t>
            </w:r>
          </w:p>
        </w:tc>
        <w:tc>
          <w:tcPr>
            <w:tcW w:w="2105" w:type="pct"/>
            <w:tcBorders>
              <w:tl2br w:val="nil"/>
              <w:tr2bl w:val="nil"/>
            </w:tcBorders>
            <w:vAlign w:val="center"/>
          </w:tcPr>
          <w:p>
            <w:pPr>
              <w:pStyle w:val="24"/>
            </w:pPr>
            <w:r>
              <w:t>安全检查表法、危险度法、事故后果模拟法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53" w:type="pct"/>
            <w:tcBorders>
              <w:tl2br w:val="nil"/>
              <w:tr2bl w:val="nil"/>
            </w:tcBorders>
            <w:vAlign w:val="center"/>
          </w:tcPr>
          <w:p>
            <w:pPr>
              <w:pStyle w:val="24"/>
            </w:pPr>
            <w:r>
              <w:t>3</w:t>
            </w:r>
          </w:p>
        </w:tc>
        <w:tc>
          <w:tcPr>
            <w:tcW w:w="2440" w:type="pct"/>
            <w:tcBorders>
              <w:tl2br w:val="nil"/>
              <w:tr2bl w:val="nil"/>
            </w:tcBorders>
          </w:tcPr>
          <w:p>
            <w:pPr>
              <w:pStyle w:val="24"/>
            </w:pPr>
            <w:r>
              <w:t>公用工程及辅助设施单元</w:t>
            </w:r>
          </w:p>
        </w:tc>
        <w:tc>
          <w:tcPr>
            <w:tcW w:w="2105" w:type="pct"/>
            <w:tcBorders>
              <w:tl2br w:val="nil"/>
              <w:tr2bl w:val="nil"/>
            </w:tcBorders>
            <w:vAlign w:val="center"/>
          </w:tcPr>
          <w:p>
            <w:pPr>
              <w:pStyle w:val="24"/>
            </w:pPr>
            <w:r>
              <w:t>安全检查表</w:t>
            </w:r>
          </w:p>
        </w:tc>
      </w:tr>
    </w:tbl>
    <w:p>
      <w:pPr>
        <w:ind w:firstLine="560"/>
        <w:rPr>
          <w:rFonts w:ascii="Times New Roman" w:hAnsi="Times New Roman" w:cs="Times New Roman"/>
          <w:szCs w:val="28"/>
          <w:shd w:val="clear" w:color="FFFFFF" w:fill="D9D9D9"/>
        </w:rPr>
      </w:pPr>
    </w:p>
    <w:p>
      <w:pPr>
        <w:rPr>
          <w:rFonts w:ascii="Times New Roman" w:hAnsi="Times New Roman" w:cs="Times New Roman"/>
          <w:sz w:val="21"/>
          <w:shd w:val="clear" w:color="FFFFFF" w:fill="D9D9D9"/>
        </w:rPr>
        <w:sectPr>
          <w:pgSz w:w="11906" w:h="16838"/>
          <w:pgMar w:top="1440" w:right="1800" w:bottom="1440" w:left="1800" w:header="720" w:footer="720" w:gutter="0"/>
          <w:pgBorders>
            <w:top w:val="none" w:sz="0" w:space="0"/>
            <w:left w:val="none" w:sz="0" w:space="0"/>
            <w:bottom w:val="none" w:sz="0" w:space="0"/>
            <w:right w:val="none" w:sz="0" w:space="0"/>
          </w:pgBorders>
          <w:cols w:space="720" w:num="1"/>
          <w:docGrid w:type="lines" w:linePitch="312" w:charSpace="0"/>
        </w:sectPr>
      </w:pPr>
    </w:p>
    <w:p>
      <w:pPr>
        <w:pStyle w:val="16"/>
        <w:rPr>
          <w:rFonts w:ascii="Times New Roman" w:hAnsi="Times New Roman" w:cs="Times New Roman"/>
        </w:rPr>
      </w:pPr>
      <w:bookmarkStart w:id="62" w:name="_Toc24528"/>
      <w:r>
        <w:rPr>
          <w:rFonts w:ascii="Times New Roman" w:hAnsi="Times New Roman" w:cs="Times New Roman"/>
        </w:rPr>
        <w:t>定性、定量分析评价</w:t>
      </w:r>
      <w:bookmarkEnd w:id="62"/>
    </w:p>
    <w:p>
      <w:pPr>
        <w:pStyle w:val="3"/>
        <w:spacing w:before="159" w:after="159"/>
      </w:pPr>
      <w:bookmarkStart w:id="63" w:name="_Toc29412"/>
      <w:bookmarkStart w:id="64" w:name="_Toc509842608"/>
      <w:r>
        <w:t>固有危险程度分析</w:t>
      </w:r>
      <w:bookmarkEnd w:id="63"/>
      <w:bookmarkEnd w:id="64"/>
    </w:p>
    <w:p>
      <w:pPr>
        <w:pStyle w:val="4"/>
        <w:spacing w:before="63" w:after="63"/>
      </w:pPr>
      <w:bookmarkStart w:id="65" w:name="_Toc278574063"/>
      <w:bookmarkStart w:id="66" w:name="_Toc278574311"/>
      <w:bookmarkStart w:id="67" w:name="_Toc278921038"/>
      <w:bookmarkStart w:id="68" w:name="_Toc278920568"/>
      <w:bookmarkStart w:id="69" w:name="_Toc220400484"/>
      <w:r>
        <w:t>5.1.1 具有爆炸性、可燃性、毒性、腐蚀性的化学品数量、浓度（含量）、状态和所在的作业场所（部位）及其状况（温度、压力）</w:t>
      </w:r>
      <w:bookmarkEnd w:id="65"/>
      <w:bookmarkEnd w:id="66"/>
      <w:bookmarkEnd w:id="67"/>
      <w:bookmarkEnd w:id="68"/>
    </w:p>
    <w:p>
      <w:pPr>
        <w:pStyle w:val="6"/>
        <w:ind w:firstLine="560"/>
      </w:pPr>
      <w:bookmarkStart w:id="70" w:name="_Toc278574064"/>
      <w:bookmarkStart w:id="71" w:name="_Toc278920569"/>
      <w:bookmarkStart w:id="72" w:name="_Toc278574312"/>
      <w:bookmarkStart w:id="73" w:name="_Toc277688377"/>
      <w:bookmarkStart w:id="74" w:name="_Toc278921039"/>
      <w:r>
        <w:t>该项目具有爆炸性、可燃性、毒性化学品数量、浓度（含量）、状态和所在作业场所（部位）及状况情况见表5.1-1。</w:t>
      </w:r>
    </w:p>
    <w:p>
      <w:pPr>
        <w:pStyle w:val="23"/>
      </w:pPr>
      <w:r>
        <w:t>表5.1-1  危险物品数量、浓度、状态和所在场所及状况</w:t>
      </w:r>
    </w:p>
    <w:tbl>
      <w:tblPr>
        <w:tblStyle w:val="19"/>
        <w:tblW w:w="5000" w:type="pct"/>
        <w:tblInd w:w="0" w:type="dxa"/>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Layout w:type="autofit"/>
        <w:tblCellMar>
          <w:top w:w="0" w:type="dxa"/>
          <w:left w:w="108" w:type="dxa"/>
          <w:bottom w:w="0" w:type="dxa"/>
          <w:right w:w="108" w:type="dxa"/>
        </w:tblCellMar>
      </w:tblPr>
      <w:tblGrid>
        <w:gridCol w:w="453"/>
        <w:gridCol w:w="1028"/>
        <w:gridCol w:w="1179"/>
        <w:gridCol w:w="1735"/>
        <w:gridCol w:w="959"/>
        <w:gridCol w:w="1026"/>
        <w:gridCol w:w="1065"/>
        <w:gridCol w:w="1071"/>
      </w:tblGrid>
      <w:tr>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tblHeader/>
        </w:trPr>
        <w:tc>
          <w:tcPr>
            <w:tcW w:w="266" w:type="pct"/>
            <w:vMerge w:val="restart"/>
            <w:tcBorders>
              <w:top w:val="single" w:color="000000" w:sz="12" w:space="0"/>
              <w:left w:val="single" w:color="000000" w:sz="12" w:space="0"/>
              <w:bottom w:val="single" w:color="auto" w:sz="6" w:space="0"/>
              <w:right w:val="single" w:color="auto" w:sz="6" w:space="0"/>
              <w:tl2br w:val="nil"/>
              <w:tr2bl w:val="nil"/>
            </w:tcBorders>
            <w:vAlign w:val="center"/>
          </w:tcPr>
          <w:p>
            <w:pPr>
              <w:pStyle w:val="24"/>
              <w:rPr>
                <w:b/>
                <w:bCs/>
              </w:rPr>
            </w:pPr>
            <w:r>
              <w:rPr>
                <w:b/>
                <w:bCs/>
              </w:rPr>
              <w:t>序号</w:t>
            </w:r>
          </w:p>
        </w:tc>
        <w:tc>
          <w:tcPr>
            <w:tcW w:w="603" w:type="pct"/>
            <w:vMerge w:val="restart"/>
            <w:tcBorders>
              <w:top w:val="single" w:color="000000" w:sz="12" w:space="0"/>
              <w:left w:val="single" w:color="auto" w:sz="6" w:space="0"/>
              <w:bottom w:val="single" w:color="auto" w:sz="6" w:space="0"/>
              <w:right w:val="single" w:color="auto" w:sz="6" w:space="0"/>
              <w:tl2br w:val="nil"/>
              <w:tr2bl w:val="nil"/>
            </w:tcBorders>
            <w:vAlign w:val="center"/>
          </w:tcPr>
          <w:p>
            <w:pPr>
              <w:pStyle w:val="24"/>
              <w:rPr>
                <w:b/>
                <w:bCs/>
              </w:rPr>
            </w:pPr>
            <w:r>
              <w:rPr>
                <w:b/>
                <w:bCs/>
              </w:rPr>
              <w:t>危险物质名称</w:t>
            </w:r>
          </w:p>
        </w:tc>
        <w:tc>
          <w:tcPr>
            <w:tcW w:w="692" w:type="pct"/>
            <w:vMerge w:val="restart"/>
            <w:tcBorders>
              <w:top w:val="single" w:color="000000" w:sz="12" w:space="0"/>
              <w:left w:val="single" w:color="auto" w:sz="6" w:space="0"/>
              <w:bottom w:val="single" w:color="auto" w:sz="6" w:space="0"/>
              <w:right w:val="single" w:color="auto" w:sz="6" w:space="0"/>
              <w:tl2br w:val="nil"/>
              <w:tr2bl w:val="nil"/>
            </w:tcBorders>
            <w:vAlign w:val="center"/>
          </w:tcPr>
          <w:p>
            <w:pPr>
              <w:pStyle w:val="24"/>
              <w:rPr>
                <w:b/>
                <w:bCs/>
              </w:rPr>
            </w:pPr>
            <w:r>
              <w:rPr>
                <w:b/>
                <w:bCs/>
              </w:rPr>
              <w:t>危险性</w:t>
            </w:r>
          </w:p>
        </w:tc>
        <w:tc>
          <w:tcPr>
            <w:tcW w:w="1018" w:type="pct"/>
            <w:vMerge w:val="restart"/>
            <w:tcBorders>
              <w:top w:val="single" w:color="000000" w:sz="12" w:space="0"/>
              <w:left w:val="single" w:color="auto" w:sz="6" w:space="0"/>
              <w:bottom w:val="single" w:color="auto" w:sz="6" w:space="0"/>
              <w:right w:val="single" w:color="auto" w:sz="6" w:space="0"/>
              <w:tl2br w:val="nil"/>
              <w:tr2bl w:val="nil"/>
            </w:tcBorders>
            <w:vAlign w:val="center"/>
          </w:tcPr>
          <w:p>
            <w:pPr>
              <w:pStyle w:val="24"/>
              <w:rPr>
                <w:b/>
                <w:bCs/>
              </w:rPr>
            </w:pPr>
            <w:r>
              <w:rPr>
                <w:b/>
                <w:bCs/>
              </w:rPr>
              <w:t>所在主要作业场所/部位</w:t>
            </w:r>
          </w:p>
        </w:tc>
        <w:tc>
          <w:tcPr>
            <w:tcW w:w="563" w:type="pct"/>
            <w:vMerge w:val="restart"/>
            <w:tcBorders>
              <w:top w:val="single" w:color="000000" w:sz="12" w:space="0"/>
              <w:left w:val="single" w:color="auto" w:sz="6" w:space="0"/>
              <w:bottom w:val="single" w:color="auto" w:sz="6" w:space="0"/>
              <w:right w:val="single" w:color="auto" w:sz="6" w:space="0"/>
              <w:tl2br w:val="nil"/>
              <w:tr2bl w:val="nil"/>
            </w:tcBorders>
            <w:vAlign w:val="center"/>
          </w:tcPr>
          <w:p>
            <w:pPr>
              <w:pStyle w:val="24"/>
              <w:rPr>
                <w:b/>
                <w:bCs/>
              </w:rPr>
            </w:pPr>
            <w:r>
              <w:rPr>
                <w:b/>
                <w:bCs/>
              </w:rPr>
              <w:t>状态</w:t>
            </w:r>
          </w:p>
        </w:tc>
        <w:tc>
          <w:tcPr>
            <w:tcW w:w="602" w:type="pct"/>
            <w:vMerge w:val="restart"/>
            <w:tcBorders>
              <w:top w:val="single" w:color="000000" w:sz="12" w:space="0"/>
              <w:left w:val="single" w:color="auto" w:sz="6" w:space="0"/>
              <w:bottom w:val="single" w:color="auto" w:sz="6" w:space="0"/>
              <w:right w:val="single" w:color="auto" w:sz="6" w:space="0"/>
              <w:tl2br w:val="nil"/>
              <w:tr2bl w:val="nil"/>
            </w:tcBorders>
            <w:vAlign w:val="center"/>
          </w:tcPr>
          <w:p>
            <w:pPr>
              <w:pStyle w:val="24"/>
              <w:rPr>
                <w:b/>
                <w:bCs/>
              </w:rPr>
            </w:pPr>
            <w:r>
              <w:rPr>
                <w:b/>
                <w:bCs/>
              </w:rPr>
              <w:t>数量（t）</w:t>
            </w:r>
          </w:p>
        </w:tc>
        <w:tc>
          <w:tcPr>
            <w:tcW w:w="1253" w:type="pct"/>
            <w:gridSpan w:val="2"/>
            <w:tcBorders>
              <w:top w:val="single" w:color="000000" w:sz="12" w:space="0"/>
              <w:left w:val="single" w:color="auto" w:sz="6" w:space="0"/>
              <w:bottom w:val="single" w:color="auto" w:sz="6" w:space="0"/>
              <w:right w:val="single" w:color="000000" w:sz="12" w:space="0"/>
              <w:tl2br w:val="nil"/>
              <w:tr2bl w:val="nil"/>
            </w:tcBorders>
            <w:vAlign w:val="center"/>
          </w:tcPr>
          <w:p>
            <w:pPr>
              <w:pStyle w:val="24"/>
              <w:rPr>
                <w:b/>
                <w:bCs/>
              </w:rPr>
            </w:pPr>
            <w:r>
              <w:rPr>
                <w:b/>
                <w:bCs/>
              </w:rPr>
              <w:t>操作条件</w:t>
            </w:r>
          </w:p>
        </w:tc>
      </w:tr>
      <w:tr>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tblHeader/>
        </w:trPr>
        <w:tc>
          <w:tcPr>
            <w:tcW w:w="266" w:type="pct"/>
            <w:vMerge w:val="continue"/>
            <w:tcBorders>
              <w:top w:val="single" w:color="auto" w:sz="6" w:space="0"/>
              <w:left w:val="single" w:color="000000" w:sz="12" w:space="0"/>
              <w:bottom w:val="single" w:color="auto" w:sz="6" w:space="0"/>
              <w:right w:val="single" w:color="auto" w:sz="6" w:space="0"/>
              <w:tl2br w:val="nil"/>
              <w:tr2bl w:val="nil"/>
            </w:tcBorders>
            <w:vAlign w:val="center"/>
          </w:tcPr>
          <w:p>
            <w:pPr>
              <w:pStyle w:val="24"/>
              <w:rPr>
                <w:b/>
                <w:bCs/>
              </w:rPr>
            </w:pPr>
          </w:p>
        </w:tc>
        <w:tc>
          <w:tcPr>
            <w:tcW w:w="603" w:type="pct"/>
            <w:vMerge w:val="continue"/>
            <w:tcBorders>
              <w:top w:val="single" w:color="auto" w:sz="6" w:space="0"/>
              <w:left w:val="single" w:color="auto" w:sz="6" w:space="0"/>
              <w:bottom w:val="single" w:color="auto" w:sz="6" w:space="0"/>
              <w:right w:val="single" w:color="auto" w:sz="6" w:space="0"/>
              <w:tl2br w:val="nil"/>
              <w:tr2bl w:val="nil"/>
            </w:tcBorders>
            <w:vAlign w:val="center"/>
          </w:tcPr>
          <w:p>
            <w:pPr>
              <w:pStyle w:val="24"/>
              <w:rPr>
                <w:b/>
                <w:bCs/>
              </w:rPr>
            </w:pPr>
          </w:p>
        </w:tc>
        <w:tc>
          <w:tcPr>
            <w:tcW w:w="692" w:type="pct"/>
            <w:vMerge w:val="continue"/>
            <w:tcBorders>
              <w:top w:val="single" w:color="auto" w:sz="6" w:space="0"/>
              <w:left w:val="single" w:color="auto" w:sz="6" w:space="0"/>
              <w:bottom w:val="single" w:color="auto" w:sz="6" w:space="0"/>
              <w:right w:val="single" w:color="auto" w:sz="6" w:space="0"/>
              <w:tl2br w:val="nil"/>
              <w:tr2bl w:val="nil"/>
            </w:tcBorders>
            <w:vAlign w:val="center"/>
          </w:tcPr>
          <w:p>
            <w:pPr>
              <w:pStyle w:val="24"/>
              <w:rPr>
                <w:b/>
                <w:bCs/>
              </w:rPr>
            </w:pPr>
          </w:p>
        </w:tc>
        <w:tc>
          <w:tcPr>
            <w:tcW w:w="1018" w:type="pct"/>
            <w:vMerge w:val="continue"/>
            <w:tcBorders>
              <w:top w:val="single" w:color="auto" w:sz="6" w:space="0"/>
              <w:left w:val="single" w:color="auto" w:sz="6" w:space="0"/>
              <w:bottom w:val="single" w:color="auto" w:sz="6" w:space="0"/>
              <w:right w:val="single" w:color="auto" w:sz="6" w:space="0"/>
              <w:tl2br w:val="nil"/>
              <w:tr2bl w:val="nil"/>
            </w:tcBorders>
            <w:vAlign w:val="center"/>
          </w:tcPr>
          <w:p>
            <w:pPr>
              <w:pStyle w:val="24"/>
              <w:rPr>
                <w:b/>
                <w:bCs/>
              </w:rPr>
            </w:pPr>
          </w:p>
        </w:tc>
        <w:tc>
          <w:tcPr>
            <w:tcW w:w="563" w:type="pct"/>
            <w:vMerge w:val="continue"/>
            <w:tcBorders>
              <w:top w:val="single" w:color="auto" w:sz="6" w:space="0"/>
              <w:left w:val="single" w:color="auto" w:sz="6" w:space="0"/>
              <w:bottom w:val="single" w:color="auto" w:sz="6" w:space="0"/>
              <w:right w:val="single" w:color="auto" w:sz="6" w:space="0"/>
              <w:tl2br w:val="nil"/>
              <w:tr2bl w:val="nil"/>
            </w:tcBorders>
            <w:vAlign w:val="center"/>
          </w:tcPr>
          <w:p>
            <w:pPr>
              <w:pStyle w:val="24"/>
              <w:rPr>
                <w:b/>
                <w:bCs/>
              </w:rPr>
            </w:pPr>
          </w:p>
        </w:tc>
        <w:tc>
          <w:tcPr>
            <w:tcW w:w="602" w:type="pct"/>
            <w:vMerge w:val="continue"/>
            <w:tcBorders>
              <w:top w:val="single" w:color="auto" w:sz="6" w:space="0"/>
              <w:left w:val="single" w:color="auto" w:sz="6" w:space="0"/>
              <w:bottom w:val="single" w:color="auto" w:sz="6" w:space="0"/>
              <w:right w:val="single" w:color="auto" w:sz="6" w:space="0"/>
              <w:tl2br w:val="nil"/>
              <w:tr2bl w:val="nil"/>
            </w:tcBorders>
            <w:vAlign w:val="center"/>
          </w:tcPr>
          <w:p>
            <w:pPr>
              <w:pStyle w:val="24"/>
              <w:rPr>
                <w:b/>
                <w:bCs/>
              </w:rPr>
            </w:pPr>
          </w:p>
        </w:tc>
        <w:tc>
          <w:tcPr>
            <w:tcW w:w="625" w:type="pct"/>
            <w:tcBorders>
              <w:top w:val="single" w:color="auto" w:sz="6" w:space="0"/>
              <w:left w:val="single" w:color="auto" w:sz="6" w:space="0"/>
              <w:bottom w:val="single" w:color="auto" w:sz="6" w:space="0"/>
              <w:right w:val="single" w:color="auto" w:sz="6" w:space="0"/>
              <w:tl2br w:val="nil"/>
              <w:tr2bl w:val="nil"/>
            </w:tcBorders>
            <w:vAlign w:val="center"/>
          </w:tcPr>
          <w:p>
            <w:pPr>
              <w:pStyle w:val="24"/>
              <w:rPr>
                <w:b/>
                <w:bCs/>
              </w:rPr>
            </w:pPr>
            <w:r>
              <w:rPr>
                <w:b/>
                <w:bCs/>
              </w:rPr>
              <w:t>温度（℃）</w:t>
            </w:r>
          </w:p>
        </w:tc>
        <w:tc>
          <w:tcPr>
            <w:tcW w:w="628" w:type="pct"/>
            <w:tcBorders>
              <w:top w:val="single" w:color="auto" w:sz="6" w:space="0"/>
              <w:left w:val="single" w:color="auto" w:sz="6" w:space="0"/>
              <w:bottom w:val="single" w:color="auto" w:sz="6" w:space="0"/>
              <w:right w:val="single" w:color="000000" w:sz="12" w:space="0"/>
              <w:tl2br w:val="nil"/>
              <w:tr2bl w:val="nil"/>
            </w:tcBorders>
            <w:vAlign w:val="center"/>
          </w:tcPr>
          <w:p>
            <w:pPr>
              <w:pStyle w:val="24"/>
              <w:rPr>
                <w:b/>
                <w:bCs/>
              </w:rPr>
            </w:pPr>
            <w:r>
              <w:rPr>
                <w:b/>
                <w:bCs/>
              </w:rPr>
              <w:t>压力（Pa）</w:t>
            </w:r>
          </w:p>
        </w:tc>
      </w:tr>
      <w:tr>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trPr>
        <w:tc>
          <w:tcPr>
            <w:tcW w:w="266" w:type="pct"/>
            <w:tcBorders>
              <w:top w:val="single" w:color="auto" w:sz="6" w:space="0"/>
              <w:left w:val="single" w:color="000000" w:sz="12" w:space="0"/>
              <w:bottom w:val="single" w:color="000000" w:sz="12" w:space="0"/>
              <w:right w:val="single" w:color="auto" w:sz="6" w:space="0"/>
              <w:tl2br w:val="nil"/>
              <w:tr2bl w:val="nil"/>
            </w:tcBorders>
            <w:vAlign w:val="center"/>
          </w:tcPr>
          <w:p>
            <w:pPr>
              <w:pStyle w:val="24"/>
            </w:pPr>
            <w:r>
              <w:t>1</w:t>
            </w:r>
          </w:p>
        </w:tc>
        <w:tc>
          <w:tcPr>
            <w:tcW w:w="603" w:type="pct"/>
            <w:tcBorders>
              <w:top w:val="single" w:color="auto" w:sz="6" w:space="0"/>
              <w:left w:val="single" w:color="auto" w:sz="6" w:space="0"/>
              <w:bottom w:val="single" w:color="000000" w:sz="12" w:space="0"/>
              <w:right w:val="single" w:color="auto" w:sz="6" w:space="0"/>
              <w:tl2br w:val="nil"/>
              <w:tr2bl w:val="nil"/>
            </w:tcBorders>
            <w:vAlign w:val="center"/>
          </w:tcPr>
          <w:p>
            <w:pPr>
              <w:pStyle w:val="24"/>
            </w:pPr>
            <w:r>
              <w:t>原油</w:t>
            </w:r>
          </w:p>
        </w:tc>
        <w:tc>
          <w:tcPr>
            <w:tcW w:w="692" w:type="pct"/>
            <w:tcBorders>
              <w:top w:val="single" w:color="auto" w:sz="6" w:space="0"/>
              <w:left w:val="single" w:color="auto" w:sz="6" w:space="0"/>
              <w:bottom w:val="single" w:color="000000" w:sz="12" w:space="0"/>
              <w:right w:val="single" w:color="auto" w:sz="6" w:space="0"/>
              <w:tl2br w:val="nil"/>
              <w:tr2bl w:val="nil"/>
            </w:tcBorders>
            <w:vAlign w:val="center"/>
          </w:tcPr>
          <w:p>
            <w:pPr>
              <w:pStyle w:val="24"/>
            </w:pPr>
            <w:r>
              <w:t>甲</w:t>
            </w:r>
            <w:r>
              <w:rPr>
                <w:vertAlign w:val="subscript"/>
              </w:rPr>
              <w:t>B</w:t>
            </w:r>
          </w:p>
        </w:tc>
        <w:tc>
          <w:tcPr>
            <w:tcW w:w="1018" w:type="pct"/>
            <w:tcBorders>
              <w:top w:val="single" w:color="auto" w:sz="6" w:space="0"/>
              <w:left w:val="single" w:color="auto" w:sz="6" w:space="0"/>
              <w:bottom w:val="single" w:color="000000" w:sz="12" w:space="0"/>
              <w:right w:val="single" w:color="auto" w:sz="6" w:space="0"/>
              <w:tl2br w:val="nil"/>
              <w:tr2bl w:val="nil"/>
            </w:tcBorders>
            <w:vAlign w:val="center"/>
          </w:tcPr>
          <w:p>
            <w:pPr>
              <w:pStyle w:val="24"/>
            </w:pPr>
            <w:r>
              <w:t>G-106储罐、泵、输油管道</w:t>
            </w:r>
          </w:p>
        </w:tc>
        <w:tc>
          <w:tcPr>
            <w:tcW w:w="563" w:type="pct"/>
            <w:tcBorders>
              <w:top w:val="single" w:color="auto" w:sz="6" w:space="0"/>
              <w:left w:val="single" w:color="auto" w:sz="6" w:space="0"/>
              <w:bottom w:val="single" w:color="000000" w:sz="12" w:space="0"/>
              <w:right w:val="single" w:color="auto" w:sz="6" w:space="0"/>
              <w:tl2br w:val="nil"/>
              <w:tr2bl w:val="nil"/>
            </w:tcBorders>
            <w:vAlign w:val="center"/>
          </w:tcPr>
          <w:p>
            <w:pPr>
              <w:pStyle w:val="24"/>
            </w:pPr>
            <w:r>
              <w:t>液态</w:t>
            </w:r>
          </w:p>
        </w:tc>
        <w:tc>
          <w:tcPr>
            <w:tcW w:w="602" w:type="pct"/>
            <w:tcBorders>
              <w:top w:val="single" w:color="auto" w:sz="6" w:space="0"/>
              <w:left w:val="single" w:color="auto" w:sz="6" w:space="0"/>
              <w:bottom w:val="single" w:color="000000" w:sz="12" w:space="0"/>
              <w:right w:val="single" w:color="auto" w:sz="6" w:space="0"/>
              <w:tl2br w:val="nil"/>
              <w:tr2bl w:val="nil"/>
            </w:tcBorders>
            <w:vAlign w:val="center"/>
          </w:tcPr>
          <w:p>
            <w:pPr>
              <w:pStyle w:val="24"/>
            </w:pPr>
            <w:r>
              <w:rPr>
                <w:rFonts w:hint="eastAsia"/>
              </w:rPr>
              <w:t>24548.4</w:t>
            </w:r>
          </w:p>
        </w:tc>
        <w:tc>
          <w:tcPr>
            <w:tcW w:w="625" w:type="pct"/>
            <w:tcBorders>
              <w:top w:val="single" w:color="auto" w:sz="6" w:space="0"/>
              <w:left w:val="single" w:color="auto" w:sz="6" w:space="0"/>
              <w:bottom w:val="single" w:color="000000" w:sz="12" w:space="0"/>
              <w:right w:val="single" w:color="auto" w:sz="6" w:space="0"/>
              <w:tl2br w:val="nil"/>
              <w:tr2bl w:val="nil"/>
            </w:tcBorders>
            <w:vAlign w:val="center"/>
          </w:tcPr>
          <w:p>
            <w:pPr>
              <w:pStyle w:val="24"/>
            </w:pPr>
            <w:r>
              <w:t>35-55</w:t>
            </w:r>
          </w:p>
        </w:tc>
        <w:tc>
          <w:tcPr>
            <w:tcW w:w="628" w:type="pct"/>
            <w:tcBorders>
              <w:top w:val="single" w:color="auto" w:sz="6" w:space="0"/>
              <w:left w:val="single" w:color="auto" w:sz="6" w:space="0"/>
              <w:bottom w:val="single" w:color="000000" w:sz="12" w:space="0"/>
              <w:right w:val="single" w:color="000000" w:sz="12" w:space="0"/>
              <w:tl2br w:val="nil"/>
              <w:tr2bl w:val="nil"/>
            </w:tcBorders>
            <w:vAlign w:val="center"/>
          </w:tcPr>
          <w:p>
            <w:pPr>
              <w:pStyle w:val="24"/>
            </w:pPr>
            <w:r>
              <w:t>1350</w:t>
            </w:r>
          </w:p>
        </w:tc>
      </w:tr>
      <w:bookmarkEnd w:id="69"/>
      <w:bookmarkEnd w:id="70"/>
      <w:bookmarkEnd w:id="71"/>
      <w:bookmarkEnd w:id="72"/>
      <w:bookmarkEnd w:id="73"/>
      <w:bookmarkEnd w:id="74"/>
    </w:tbl>
    <w:p>
      <w:pPr>
        <w:pStyle w:val="26"/>
      </w:pPr>
      <w:bookmarkStart w:id="75" w:name="_Toc220400485"/>
      <w:r>
        <w:t>注：原油密度取0.9</w:t>
      </w:r>
      <w:r>
        <w:rPr>
          <w:rFonts w:hint="eastAsia"/>
        </w:rPr>
        <w:t>092</w:t>
      </w:r>
      <w:r>
        <w:t>t/m³，储罐充装系数取0.9。</w:t>
      </w:r>
    </w:p>
    <w:p>
      <w:pPr>
        <w:pStyle w:val="4"/>
        <w:spacing w:before="223" w:beforeLines="70" w:after="63"/>
      </w:pPr>
      <w:r>
        <w:t>5.1.2 定量分析该项目涉及具有爆炸性、可燃性、毒性、腐蚀性的化学品的固有危险程度</w:t>
      </w:r>
      <w:bookmarkEnd w:id="75"/>
      <w:r>
        <w:t xml:space="preserve"> </w:t>
      </w:r>
    </w:p>
    <w:p>
      <w:pPr>
        <w:pStyle w:val="6"/>
        <w:ind w:firstLine="560"/>
        <w:rPr>
          <w:rFonts w:eastAsia="Times New Roman"/>
          <w:szCs w:val="22"/>
        </w:rPr>
      </w:pPr>
      <w:r>
        <w:t>具有爆炸性的化学品的质量及相当于梯恩梯的质量：</w:t>
      </w:r>
    </w:p>
    <w:p>
      <w:pPr>
        <w:pStyle w:val="6"/>
        <w:ind w:firstLine="560"/>
        <w:jc w:val="center"/>
        <w:rPr>
          <w:vertAlign w:val="subscript"/>
        </w:rPr>
      </w:pPr>
      <w:r>
        <w:t>W</w:t>
      </w:r>
      <w:r>
        <w:rPr>
          <w:vertAlign w:val="subscript"/>
        </w:rPr>
        <w:t>TNT</w:t>
      </w:r>
      <w:r>
        <w:t>=aWQ/Q</w:t>
      </w:r>
      <w:r>
        <w:rPr>
          <w:vertAlign w:val="subscript"/>
        </w:rPr>
        <w:t>TNT</w:t>
      </w:r>
    </w:p>
    <w:p>
      <w:pPr>
        <w:pStyle w:val="6"/>
        <w:ind w:firstLine="560"/>
      </w:pPr>
      <w:r>
        <w:t>其中：W</w:t>
      </w:r>
      <w:r>
        <w:rPr>
          <w:vertAlign w:val="subscript"/>
        </w:rPr>
        <w:t>TNT</w:t>
      </w:r>
      <w:r>
        <w:t>，具有爆炸性的化学品的质量及相当于梯恩梯的质量，kg；</w:t>
      </w:r>
    </w:p>
    <w:p>
      <w:pPr>
        <w:pStyle w:val="6"/>
        <w:ind w:firstLine="560"/>
      </w:pPr>
      <w:r>
        <w:t>a为蒸气云当量系数（统计平均值为0.04，取值0.04）；</w:t>
      </w:r>
    </w:p>
    <w:p>
      <w:pPr>
        <w:pStyle w:val="6"/>
        <w:ind w:firstLine="560"/>
      </w:pPr>
      <w:r>
        <w:t>W为蒸气云中可燃气体质量，kg；</w:t>
      </w:r>
    </w:p>
    <w:p>
      <w:pPr>
        <w:pStyle w:val="6"/>
        <w:ind w:firstLine="560"/>
      </w:pPr>
      <w:r>
        <w:t>Q为可燃气体的燃烧热，J/kg；（</w:t>
      </w:r>
      <w:r>
        <w:rPr>
          <w:lang w:val="en-US"/>
        </w:rPr>
        <w:t>原油的燃烧热通常在41～45MJ/kg范围内浮动，本次取值45MJ/kg</w:t>
      </w:r>
      <w:r>
        <w:t>）</w:t>
      </w:r>
    </w:p>
    <w:p>
      <w:pPr>
        <w:pStyle w:val="6"/>
        <w:ind w:firstLine="560"/>
      </w:pPr>
      <w:r>
        <w:t>Q</w:t>
      </w:r>
      <w:r>
        <w:rPr>
          <w:vertAlign w:val="subscript"/>
        </w:rPr>
        <w:t>TNT</w:t>
      </w:r>
      <w:r>
        <w:t>为TNT的爆炸热，J/kg（4230--4836kJ/kg，一般取平均4500kJ/kg）</w:t>
      </w:r>
    </w:p>
    <w:p>
      <w:pPr>
        <w:ind w:firstLine="560"/>
        <w:rPr>
          <w:rFonts w:ascii="Times New Roman" w:hAnsi="Times New Roman" w:cs="Times New Roman"/>
        </w:rPr>
      </w:pPr>
      <w:r>
        <w:rPr>
          <w:rFonts w:ascii="Times New Roman" w:hAnsi="Times New Roman" w:cs="Times New Roman"/>
        </w:rPr>
        <w:br w:type="page"/>
      </w:r>
    </w:p>
    <w:p>
      <w:pPr>
        <w:pStyle w:val="23"/>
      </w:pPr>
      <w:r>
        <w:t xml:space="preserve">5.1-2 </w:t>
      </w:r>
      <w:r>
        <w:rPr>
          <w:rFonts w:hint="eastAsia"/>
          <w:lang w:val="en-US"/>
        </w:rPr>
        <w:t xml:space="preserve"> </w:t>
      </w:r>
      <w:r>
        <w:t>爆炸与可燃物质的燃烧发出热量和TNT当量</w:t>
      </w: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1770"/>
        <w:gridCol w:w="2796"/>
        <w:gridCol w:w="1671"/>
        <w:gridCol w:w="15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47" w:type="pct"/>
            <w:tcBorders>
              <w:top w:val="single" w:color="auto" w:sz="12" w:space="0"/>
              <w:left w:val="single" w:color="auto" w:sz="12" w:space="0"/>
              <w:bottom w:val="single" w:color="auto" w:sz="4" w:space="0"/>
              <w:right w:val="single" w:color="auto" w:sz="4" w:space="0"/>
              <w:tl2br w:val="nil"/>
              <w:tr2bl w:val="nil"/>
            </w:tcBorders>
            <w:vAlign w:val="center"/>
          </w:tcPr>
          <w:p>
            <w:pPr>
              <w:pStyle w:val="24"/>
              <w:rPr>
                <w:b/>
                <w:bCs/>
              </w:rPr>
            </w:pPr>
            <w:bookmarkStart w:id="76" w:name="_Hlk504413422"/>
            <w:r>
              <w:rPr>
                <w:b/>
                <w:bCs/>
              </w:rPr>
              <w:t>序号</w:t>
            </w:r>
          </w:p>
        </w:tc>
        <w:tc>
          <w:tcPr>
            <w:tcW w:w="1039"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危险物质名称</w:t>
            </w:r>
          </w:p>
        </w:tc>
        <w:tc>
          <w:tcPr>
            <w:tcW w:w="1641"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燃烧热（MJ/kg）</w:t>
            </w:r>
          </w:p>
        </w:tc>
        <w:tc>
          <w:tcPr>
            <w:tcW w:w="981"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质量（t）</w:t>
            </w:r>
          </w:p>
        </w:tc>
        <w:tc>
          <w:tcPr>
            <w:tcW w:w="891" w:type="pct"/>
            <w:tcBorders>
              <w:top w:val="single" w:color="auto" w:sz="12" w:space="0"/>
              <w:left w:val="single" w:color="auto" w:sz="4" w:space="0"/>
              <w:bottom w:val="single" w:color="auto" w:sz="4" w:space="0"/>
              <w:right w:val="single" w:color="auto" w:sz="12" w:space="0"/>
              <w:tl2br w:val="nil"/>
              <w:tr2bl w:val="nil"/>
            </w:tcBorders>
            <w:vAlign w:val="center"/>
          </w:tcPr>
          <w:p>
            <w:pPr>
              <w:pStyle w:val="24"/>
              <w:rPr>
                <w:b/>
                <w:bCs/>
              </w:rPr>
            </w:pPr>
            <w:r>
              <w:rPr>
                <w:b/>
                <w:bCs/>
              </w:rPr>
              <w:t>TNT当量（t）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47" w:type="pct"/>
            <w:tcBorders>
              <w:top w:val="single" w:color="auto" w:sz="4" w:space="0"/>
              <w:left w:val="single" w:color="auto" w:sz="12" w:space="0"/>
              <w:bottom w:val="single" w:color="auto" w:sz="12" w:space="0"/>
              <w:right w:val="single" w:color="auto" w:sz="4" w:space="0"/>
              <w:tl2br w:val="nil"/>
              <w:tr2bl w:val="nil"/>
            </w:tcBorders>
            <w:vAlign w:val="center"/>
          </w:tcPr>
          <w:p>
            <w:pPr>
              <w:pStyle w:val="24"/>
            </w:pPr>
            <w:r>
              <w:t>1</w:t>
            </w:r>
          </w:p>
        </w:tc>
        <w:tc>
          <w:tcPr>
            <w:tcW w:w="1039" w:type="pct"/>
            <w:tcBorders>
              <w:top w:val="single" w:color="auto" w:sz="4" w:space="0"/>
              <w:left w:val="single" w:color="auto" w:sz="4" w:space="0"/>
              <w:bottom w:val="single" w:color="auto" w:sz="12" w:space="0"/>
              <w:right w:val="single" w:color="auto" w:sz="4" w:space="0"/>
              <w:tl2br w:val="nil"/>
              <w:tr2bl w:val="nil"/>
            </w:tcBorders>
            <w:vAlign w:val="center"/>
          </w:tcPr>
          <w:p>
            <w:pPr>
              <w:pStyle w:val="24"/>
            </w:pPr>
            <w:r>
              <w:t>原油</w:t>
            </w:r>
          </w:p>
        </w:tc>
        <w:tc>
          <w:tcPr>
            <w:tcW w:w="1641" w:type="pct"/>
            <w:tcBorders>
              <w:top w:val="single" w:color="auto" w:sz="4" w:space="0"/>
              <w:left w:val="single" w:color="auto" w:sz="4" w:space="0"/>
              <w:bottom w:val="single" w:color="auto" w:sz="12" w:space="0"/>
              <w:right w:val="single" w:color="auto" w:sz="4" w:space="0"/>
              <w:tl2br w:val="nil"/>
              <w:tr2bl w:val="nil"/>
            </w:tcBorders>
            <w:vAlign w:val="center"/>
          </w:tcPr>
          <w:p>
            <w:pPr>
              <w:pStyle w:val="24"/>
            </w:pPr>
            <w:r>
              <w:t>45</w:t>
            </w:r>
          </w:p>
        </w:tc>
        <w:tc>
          <w:tcPr>
            <w:tcW w:w="981" w:type="pct"/>
            <w:tcBorders>
              <w:top w:val="single" w:color="auto" w:sz="4" w:space="0"/>
              <w:left w:val="single" w:color="auto" w:sz="4" w:space="0"/>
              <w:bottom w:val="single" w:color="auto" w:sz="12" w:space="0"/>
              <w:right w:val="single" w:color="auto" w:sz="4" w:space="0"/>
              <w:tl2br w:val="nil"/>
              <w:tr2bl w:val="nil"/>
            </w:tcBorders>
            <w:vAlign w:val="bottom"/>
          </w:tcPr>
          <w:p>
            <w:pPr>
              <w:pStyle w:val="24"/>
            </w:pPr>
            <w:r>
              <w:rPr>
                <w:rFonts w:hint="eastAsia"/>
              </w:rPr>
              <w:t>24548.4</w:t>
            </w:r>
          </w:p>
        </w:tc>
        <w:tc>
          <w:tcPr>
            <w:tcW w:w="891" w:type="pct"/>
            <w:tcBorders>
              <w:top w:val="single" w:color="auto" w:sz="4" w:space="0"/>
              <w:left w:val="single" w:color="auto" w:sz="4" w:space="0"/>
              <w:bottom w:val="single" w:color="auto" w:sz="12" w:space="0"/>
              <w:right w:val="single" w:color="auto" w:sz="12" w:space="0"/>
              <w:tl2br w:val="nil"/>
              <w:tr2bl w:val="nil"/>
            </w:tcBorders>
            <w:vAlign w:val="center"/>
          </w:tcPr>
          <w:p>
            <w:pPr>
              <w:pStyle w:val="24"/>
            </w:pPr>
            <w:r>
              <w:rPr>
                <w:rFonts w:hint="eastAsia"/>
              </w:rPr>
              <w:t>982</w:t>
            </w:r>
          </w:p>
        </w:tc>
      </w:tr>
      <w:bookmarkEnd w:id="76"/>
    </w:tbl>
    <w:p>
      <w:pPr>
        <w:pStyle w:val="4"/>
        <w:spacing w:before="223" w:beforeLines="70" w:after="63"/>
      </w:pPr>
      <w:r>
        <w:t>5.1.3具有可燃性的化学品质量及燃烧后放出的热量</w:t>
      </w:r>
    </w:p>
    <w:p>
      <w:pPr>
        <w:pStyle w:val="6"/>
        <w:ind w:firstLine="560"/>
      </w:pPr>
      <w:r>
        <w:t>具有可燃性的化学品燃烧后放出的热量，详见下表：</w:t>
      </w:r>
    </w:p>
    <w:p>
      <w:pPr>
        <w:pStyle w:val="23"/>
      </w:pPr>
      <w:r>
        <w:t>表5.1-3  可燃性化学品质量及燃烧后放出的热量一览表</w:t>
      </w: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2902"/>
        <w:gridCol w:w="2206"/>
        <w:gridCol w:w="1128"/>
        <w:gridCol w:w="15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47" w:type="pct"/>
            <w:tcBorders>
              <w:top w:val="single" w:color="auto" w:sz="12" w:space="0"/>
              <w:left w:val="single" w:color="auto" w:sz="12" w:space="0"/>
              <w:bottom w:val="single" w:color="auto" w:sz="4" w:space="0"/>
              <w:right w:val="single" w:color="auto" w:sz="4" w:space="0"/>
              <w:tl2br w:val="nil"/>
              <w:tr2bl w:val="nil"/>
            </w:tcBorders>
            <w:vAlign w:val="center"/>
          </w:tcPr>
          <w:p>
            <w:pPr>
              <w:pStyle w:val="24"/>
              <w:rPr>
                <w:b/>
                <w:bCs/>
              </w:rPr>
            </w:pPr>
            <w:r>
              <w:rPr>
                <w:b/>
                <w:bCs/>
              </w:rPr>
              <w:t>序号</w:t>
            </w:r>
          </w:p>
        </w:tc>
        <w:tc>
          <w:tcPr>
            <w:tcW w:w="1703"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危险物质名称</w:t>
            </w:r>
          </w:p>
        </w:tc>
        <w:tc>
          <w:tcPr>
            <w:tcW w:w="1295"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燃烧热（MJ/kg）</w:t>
            </w:r>
          </w:p>
        </w:tc>
        <w:tc>
          <w:tcPr>
            <w:tcW w:w="662"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质量（t）</w:t>
            </w:r>
          </w:p>
        </w:tc>
        <w:tc>
          <w:tcPr>
            <w:tcW w:w="891" w:type="pct"/>
            <w:tcBorders>
              <w:top w:val="single" w:color="auto" w:sz="12" w:space="0"/>
              <w:left w:val="single" w:color="auto" w:sz="4" w:space="0"/>
              <w:bottom w:val="single" w:color="auto" w:sz="4" w:space="0"/>
              <w:right w:val="single" w:color="auto" w:sz="12" w:space="0"/>
              <w:tl2br w:val="nil"/>
              <w:tr2bl w:val="nil"/>
            </w:tcBorders>
            <w:vAlign w:val="center"/>
          </w:tcPr>
          <w:p>
            <w:pPr>
              <w:pStyle w:val="24"/>
              <w:rPr>
                <w:b/>
                <w:bCs/>
              </w:rPr>
            </w:pPr>
            <w:r>
              <w:rPr>
                <w:b/>
                <w:bCs/>
              </w:rPr>
              <w:t>燃烧热（MJ）</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47" w:type="pct"/>
            <w:tcBorders>
              <w:top w:val="single" w:color="auto" w:sz="4" w:space="0"/>
              <w:left w:val="single" w:color="auto" w:sz="12" w:space="0"/>
              <w:bottom w:val="single" w:color="auto" w:sz="12" w:space="0"/>
              <w:right w:val="single" w:color="auto" w:sz="4" w:space="0"/>
              <w:tl2br w:val="nil"/>
              <w:tr2bl w:val="nil"/>
            </w:tcBorders>
            <w:vAlign w:val="center"/>
          </w:tcPr>
          <w:p>
            <w:pPr>
              <w:pStyle w:val="24"/>
            </w:pPr>
            <w:r>
              <w:t>1</w:t>
            </w:r>
          </w:p>
        </w:tc>
        <w:tc>
          <w:tcPr>
            <w:tcW w:w="1703" w:type="pct"/>
            <w:tcBorders>
              <w:top w:val="single" w:color="auto" w:sz="4" w:space="0"/>
              <w:left w:val="single" w:color="auto" w:sz="4" w:space="0"/>
              <w:bottom w:val="single" w:color="auto" w:sz="12" w:space="0"/>
              <w:right w:val="single" w:color="auto" w:sz="4" w:space="0"/>
              <w:tl2br w:val="nil"/>
              <w:tr2bl w:val="nil"/>
            </w:tcBorders>
            <w:vAlign w:val="center"/>
          </w:tcPr>
          <w:p>
            <w:pPr>
              <w:pStyle w:val="24"/>
            </w:pPr>
            <w:r>
              <w:t>原油</w:t>
            </w:r>
          </w:p>
        </w:tc>
        <w:tc>
          <w:tcPr>
            <w:tcW w:w="1295" w:type="pct"/>
            <w:tcBorders>
              <w:top w:val="single" w:color="auto" w:sz="4" w:space="0"/>
              <w:left w:val="single" w:color="auto" w:sz="4" w:space="0"/>
              <w:bottom w:val="single" w:color="auto" w:sz="12" w:space="0"/>
              <w:right w:val="single" w:color="auto" w:sz="4" w:space="0"/>
              <w:tl2br w:val="nil"/>
              <w:tr2bl w:val="nil"/>
            </w:tcBorders>
            <w:vAlign w:val="center"/>
          </w:tcPr>
          <w:p>
            <w:pPr>
              <w:pStyle w:val="24"/>
            </w:pPr>
            <w:r>
              <w:t>45</w:t>
            </w:r>
          </w:p>
        </w:tc>
        <w:tc>
          <w:tcPr>
            <w:tcW w:w="662" w:type="pct"/>
            <w:tcBorders>
              <w:top w:val="single" w:color="auto" w:sz="4" w:space="0"/>
              <w:left w:val="single" w:color="auto" w:sz="4" w:space="0"/>
              <w:bottom w:val="single" w:color="auto" w:sz="12" w:space="0"/>
              <w:right w:val="single" w:color="auto" w:sz="4" w:space="0"/>
              <w:tl2br w:val="nil"/>
              <w:tr2bl w:val="nil"/>
            </w:tcBorders>
            <w:vAlign w:val="bottom"/>
          </w:tcPr>
          <w:p>
            <w:pPr>
              <w:pStyle w:val="24"/>
            </w:pPr>
            <w:r>
              <w:rPr>
                <w:rFonts w:hint="eastAsia"/>
              </w:rPr>
              <w:t>24548.4</w:t>
            </w:r>
          </w:p>
        </w:tc>
        <w:tc>
          <w:tcPr>
            <w:tcW w:w="891" w:type="pct"/>
            <w:tcBorders>
              <w:top w:val="single" w:color="auto" w:sz="4" w:space="0"/>
              <w:left w:val="single" w:color="auto" w:sz="4" w:space="0"/>
              <w:bottom w:val="single" w:color="auto" w:sz="12" w:space="0"/>
              <w:right w:val="single" w:color="auto" w:sz="12" w:space="0"/>
              <w:tl2br w:val="nil"/>
              <w:tr2bl w:val="nil"/>
            </w:tcBorders>
            <w:vAlign w:val="bottom"/>
          </w:tcPr>
          <w:p>
            <w:pPr>
              <w:pStyle w:val="24"/>
            </w:pPr>
            <w:r>
              <w:t>1.1×10</w:t>
            </w:r>
            <w:r>
              <w:rPr>
                <w:rFonts w:hint="eastAsia"/>
                <w:vertAlign w:val="superscript"/>
              </w:rPr>
              <w:t>9</w:t>
            </w:r>
          </w:p>
        </w:tc>
      </w:tr>
    </w:tbl>
    <w:p>
      <w:pPr>
        <w:pStyle w:val="4"/>
        <w:spacing w:before="223" w:beforeLines="70" w:after="63"/>
      </w:pPr>
      <w:r>
        <w:t>5.1.4具有毒性化学品的浓度及质量</w:t>
      </w:r>
    </w:p>
    <w:p>
      <w:pPr>
        <w:pStyle w:val="6"/>
        <w:ind w:firstLine="560"/>
      </w:pPr>
      <w:r>
        <w:t>本项目涉及的物料具有一定的毒性，但是相对于其易燃易爆性而言，其毒性较小，本报告不进行论述。</w:t>
      </w:r>
    </w:p>
    <w:p>
      <w:pPr>
        <w:pStyle w:val="4"/>
        <w:spacing w:before="63" w:after="63"/>
      </w:pPr>
      <w:r>
        <w:t>5.1.5具有腐蚀性化学品的浓度及质量</w:t>
      </w:r>
    </w:p>
    <w:p>
      <w:pPr>
        <w:pStyle w:val="6"/>
        <w:ind w:firstLine="560"/>
      </w:pPr>
      <w:r>
        <w:t>该项目不涉及有腐蚀性化学品。</w:t>
      </w:r>
    </w:p>
    <w:p>
      <w:pPr>
        <w:pStyle w:val="3"/>
        <w:spacing w:before="159" w:after="159"/>
      </w:pPr>
      <w:bookmarkStart w:id="77" w:name="_Toc509842609"/>
      <w:bookmarkStart w:id="78" w:name="_Toc292364628"/>
      <w:bookmarkStart w:id="79" w:name="_Toc7614"/>
      <w:r>
        <w:t>风险程度分析</w:t>
      </w:r>
      <w:bookmarkEnd w:id="77"/>
      <w:bookmarkEnd w:id="78"/>
      <w:bookmarkEnd w:id="79"/>
    </w:p>
    <w:p>
      <w:pPr>
        <w:pStyle w:val="4"/>
        <w:spacing w:before="63" w:after="63"/>
      </w:pPr>
      <w:r>
        <w:t>5.2.1 出现具有爆炸性、可燃性、毒性化学品泄漏的可能性</w:t>
      </w:r>
    </w:p>
    <w:p>
      <w:pPr>
        <w:pStyle w:val="6"/>
        <w:ind w:firstLine="560"/>
      </w:pPr>
      <w:r>
        <w:t>该项目涉及的原油具有可燃性、爆炸性。</w:t>
      </w:r>
    </w:p>
    <w:p>
      <w:pPr>
        <w:pStyle w:val="6"/>
        <w:ind w:firstLine="560"/>
      </w:pPr>
      <w:r>
        <w:t>（1）储罐火灾、爆炸</w:t>
      </w:r>
    </w:p>
    <w:p>
      <w:pPr>
        <w:pStyle w:val="6"/>
        <w:ind w:firstLine="560"/>
      </w:pPr>
      <w:r>
        <w:t>该项目储罐为内浮顶储罐。储罐发生事故的主要原因为浮顶储罐环向密封不严，随浮顶上下活动而在罐顶周边泡沫挡板以内泄漏存油，储罐顶板、浮顶因年久失修、腐蚀穿孔造成漏油，油气挥发，致使浮顶上方形成爆炸混合气空间，遇明火或雷击、静电火花等酿成密封圈部位火灾。</w:t>
      </w:r>
    </w:p>
    <w:p>
      <w:pPr>
        <w:pStyle w:val="6"/>
        <w:ind w:firstLine="560"/>
      </w:pPr>
      <w:r>
        <w:t>储罐的浮盘紧贴油面，罐内不易积聚油气，故火灾往往首先发生在环形密封圈的不严密处。由于密封圈的另一边紧靠罐壁影响空气的流动，所以着火初期的燃烧速度缓慢，火势不大，热辐射小，较容易扑救，且损失不大。</w:t>
      </w:r>
    </w:p>
    <w:p>
      <w:pPr>
        <w:pStyle w:val="6"/>
        <w:ind w:firstLine="560"/>
      </w:pPr>
      <w:r>
        <w:t>罐区发生物料泄漏的可能性主要有以下几点：</w:t>
      </w:r>
    </w:p>
    <w:p>
      <w:pPr>
        <w:pStyle w:val="6"/>
        <w:ind w:firstLine="560"/>
      </w:pPr>
      <w:r>
        <w:t>①储罐罐壁破裂，底板、圈板腐蚀穿孔泄漏；</w:t>
      </w:r>
    </w:p>
    <w:p>
      <w:pPr>
        <w:pStyle w:val="6"/>
        <w:ind w:firstLine="560"/>
      </w:pPr>
      <w:r>
        <w:t>②液位计失灵或操作人员失误导致储罐溢出；</w:t>
      </w:r>
    </w:p>
    <w:p>
      <w:pPr>
        <w:pStyle w:val="6"/>
        <w:ind w:firstLine="560"/>
      </w:pPr>
      <w:r>
        <w:t>③工艺管线破裂；</w:t>
      </w:r>
    </w:p>
    <w:p>
      <w:pPr>
        <w:pStyle w:val="6"/>
        <w:ind w:firstLine="560"/>
      </w:pPr>
      <w:r>
        <w:t>④储罐进出管线上的阀门、法兰泄漏；</w:t>
      </w:r>
    </w:p>
    <w:p>
      <w:pPr>
        <w:pStyle w:val="6"/>
        <w:ind w:firstLine="560"/>
      </w:pPr>
      <w:r>
        <w:t>⑤泵体破裂或密封处泄漏；</w:t>
      </w:r>
    </w:p>
    <w:p>
      <w:pPr>
        <w:pStyle w:val="6"/>
        <w:ind w:firstLine="560"/>
      </w:pPr>
      <w:r>
        <w:t>⑥储罐、泵、管道、阀门等设备仪表连接处泄漏；</w:t>
      </w:r>
    </w:p>
    <w:p>
      <w:pPr>
        <w:pStyle w:val="6"/>
        <w:ind w:firstLine="560"/>
      </w:pPr>
      <w:r>
        <w:t>⑦罐、泵、阀门、管道等因质量不好（如制造质量、材质、焊接等）或安装不当泄漏；</w:t>
      </w:r>
    </w:p>
    <w:p>
      <w:pPr>
        <w:pStyle w:val="6"/>
        <w:ind w:firstLine="560"/>
      </w:pPr>
      <w:r>
        <w:t>⑧自然灾害造成的破裂泄漏，如雷击、地震等；罐基础不牢、下沉造成罐倾斜或者扭断进出口管线造成的泄漏；</w:t>
      </w:r>
    </w:p>
    <w:p>
      <w:pPr>
        <w:pStyle w:val="6"/>
        <w:ind w:firstLine="560"/>
      </w:pPr>
      <w:r>
        <w:t>⑨储罐检修清罐时油气未置换干净；</w:t>
      </w:r>
    </w:p>
    <w:p>
      <w:pPr>
        <w:pStyle w:val="6"/>
        <w:ind w:firstLine="560"/>
      </w:pPr>
      <w:r>
        <w:t>⑩储罐清洗时排放的污水中含油。</w:t>
      </w:r>
    </w:p>
    <w:p>
      <w:pPr>
        <w:pStyle w:val="6"/>
        <w:ind w:firstLine="560"/>
      </w:pPr>
      <w:r>
        <w:t>该项目输油管道发生物料泄漏的可能性主要有以下几点：</w:t>
      </w:r>
    </w:p>
    <w:p>
      <w:pPr>
        <w:pStyle w:val="6"/>
        <w:ind w:firstLine="560"/>
      </w:pPr>
      <w:r>
        <w:t>①管道因质量差或因腐蚀等破裂；</w:t>
      </w:r>
    </w:p>
    <w:p>
      <w:pPr>
        <w:pStyle w:val="6"/>
        <w:ind w:firstLine="560"/>
      </w:pPr>
      <w:r>
        <w:t>②输油管线老化；</w:t>
      </w:r>
    </w:p>
    <w:p>
      <w:pPr>
        <w:pStyle w:val="6"/>
        <w:ind w:firstLine="560"/>
      </w:pPr>
      <w:r>
        <w:t>③自然灾害或人为破坏使管道破损；</w:t>
      </w:r>
    </w:p>
    <w:p>
      <w:pPr>
        <w:pStyle w:val="6"/>
        <w:ind w:firstLine="560"/>
      </w:pPr>
      <w:r>
        <w:t>④施工质量差，焊缝开裂。</w:t>
      </w:r>
    </w:p>
    <w:p>
      <w:pPr>
        <w:pStyle w:val="4"/>
        <w:spacing w:before="63" w:after="63"/>
      </w:pPr>
      <w:r>
        <w:t>5.2.2 出现具有爆炸性、可燃性的化学品泄漏后具备造成爆炸、火灾事故的条件</w:t>
      </w:r>
    </w:p>
    <w:p>
      <w:pPr>
        <w:pStyle w:val="6"/>
        <w:numPr>
          <w:ilvl w:val="0"/>
          <w:numId w:val="6"/>
        </w:numPr>
        <w:ind w:firstLine="560"/>
      </w:pPr>
      <w:r>
        <w:t>火灾、爆炸事故发生的条件</w:t>
      </w:r>
    </w:p>
    <w:p>
      <w:pPr>
        <w:pStyle w:val="6"/>
        <w:ind w:firstLine="560"/>
      </w:pPr>
      <w:r>
        <w:t>火灾、爆炸事故发生的条件包括存在可燃物质、点火源及助燃物质，其中爆炸事故形成的原因还包括易燃物质与助燃物质形成了爆炸环境。出现具有可燃性、爆炸性的化学品泄漏后具备造成火灾、爆炸事故的条件具体见表5.2-1。</w:t>
      </w:r>
    </w:p>
    <w:p>
      <w:pPr>
        <w:pStyle w:val="23"/>
      </w:pPr>
      <w:r>
        <w:t>表5.2-1</w:t>
      </w:r>
      <w:r>
        <w:rPr>
          <w:rFonts w:hint="eastAsia"/>
          <w:lang w:val="en-US"/>
        </w:rPr>
        <w:t xml:space="preserve">  </w:t>
      </w:r>
      <w:r>
        <w:t>火灾、爆炸事故发生的条件</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939"/>
        <w:gridCol w:w="2536"/>
        <w:gridCol w:w="30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1726" w:type="pct"/>
            <w:tcBorders>
              <w:top w:val="single" w:color="auto" w:sz="12" w:space="0"/>
              <w:left w:val="single" w:color="auto" w:sz="12" w:space="0"/>
              <w:bottom w:val="single" w:color="auto" w:sz="6" w:space="0"/>
              <w:right w:val="single" w:color="auto" w:sz="6" w:space="0"/>
              <w:tl2br w:val="nil"/>
              <w:tr2bl w:val="nil"/>
            </w:tcBorders>
            <w:vAlign w:val="center"/>
          </w:tcPr>
          <w:p>
            <w:pPr>
              <w:adjustRightInd w:val="0"/>
              <w:snapToGrid w:val="0"/>
              <w:spacing w:before="63" w:beforeLines="20" w:after="63" w:afterLines="20"/>
              <w:ind w:firstLine="0" w:firstLineChars="0"/>
              <w:jc w:val="center"/>
              <w:rPr>
                <w:rFonts w:ascii="Times New Roman" w:hAnsi="Times New Roman" w:eastAsia="Times New Roman" w:cs="Times New Roman"/>
                <w:b/>
                <w:sz w:val="21"/>
              </w:rPr>
            </w:pPr>
            <w:r>
              <w:rPr>
                <w:rFonts w:ascii="Times New Roman" w:hAnsi="Times New Roman" w:cs="Times New Roman"/>
                <w:b/>
                <w:sz w:val="21"/>
              </w:rPr>
              <w:t>可燃物质泄漏</w:t>
            </w:r>
          </w:p>
        </w:tc>
        <w:tc>
          <w:tcPr>
            <w:tcW w:w="1489" w:type="pct"/>
            <w:tcBorders>
              <w:top w:val="single" w:color="auto" w:sz="12" w:space="0"/>
              <w:left w:val="single" w:color="auto" w:sz="6" w:space="0"/>
              <w:bottom w:val="single" w:color="auto" w:sz="6" w:space="0"/>
              <w:right w:val="single" w:color="auto" w:sz="6" w:space="0"/>
              <w:tl2br w:val="nil"/>
              <w:tr2bl w:val="nil"/>
            </w:tcBorders>
            <w:vAlign w:val="center"/>
          </w:tcPr>
          <w:p>
            <w:pPr>
              <w:adjustRightInd w:val="0"/>
              <w:snapToGrid w:val="0"/>
              <w:spacing w:before="63" w:beforeLines="20" w:after="63" w:afterLines="20"/>
              <w:ind w:firstLine="0" w:firstLineChars="0"/>
              <w:jc w:val="center"/>
              <w:rPr>
                <w:rFonts w:ascii="Times New Roman" w:hAnsi="Times New Roman" w:eastAsia="Times New Roman" w:cs="Times New Roman"/>
                <w:b/>
                <w:sz w:val="21"/>
              </w:rPr>
            </w:pPr>
            <w:r>
              <w:rPr>
                <w:rFonts w:ascii="Times New Roman" w:hAnsi="Times New Roman" w:cs="Times New Roman"/>
                <w:b/>
                <w:sz w:val="21"/>
              </w:rPr>
              <w:t>存在助燃物质</w:t>
            </w:r>
          </w:p>
        </w:tc>
        <w:tc>
          <w:tcPr>
            <w:tcW w:w="1784" w:type="pct"/>
            <w:tcBorders>
              <w:top w:val="single" w:color="auto" w:sz="12" w:space="0"/>
              <w:left w:val="single" w:color="auto" w:sz="6" w:space="0"/>
              <w:bottom w:val="single" w:color="auto" w:sz="6" w:space="0"/>
              <w:right w:val="single" w:color="auto" w:sz="12" w:space="0"/>
              <w:tl2br w:val="nil"/>
              <w:tr2bl w:val="nil"/>
            </w:tcBorders>
            <w:vAlign w:val="center"/>
          </w:tcPr>
          <w:p>
            <w:pPr>
              <w:adjustRightInd w:val="0"/>
              <w:snapToGrid w:val="0"/>
              <w:spacing w:before="63" w:beforeLines="20" w:after="63" w:afterLines="20"/>
              <w:ind w:firstLine="0" w:firstLineChars="0"/>
              <w:jc w:val="center"/>
              <w:rPr>
                <w:rFonts w:ascii="Times New Roman" w:hAnsi="Times New Roman" w:eastAsia="Times New Roman" w:cs="Times New Roman"/>
                <w:b/>
                <w:sz w:val="21"/>
              </w:rPr>
            </w:pPr>
            <w:r>
              <w:rPr>
                <w:rFonts w:ascii="Times New Roman" w:hAnsi="Times New Roman" w:cs="Times New Roman"/>
                <w:b/>
                <w:sz w:val="21"/>
              </w:rPr>
              <w:t>存在点火源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1726" w:type="pct"/>
            <w:tcBorders>
              <w:top w:val="single" w:color="auto" w:sz="6" w:space="0"/>
              <w:left w:val="single" w:color="auto" w:sz="12" w:space="0"/>
              <w:bottom w:val="single" w:color="auto" w:sz="12" w:space="0"/>
              <w:right w:val="single" w:color="auto" w:sz="6" w:space="0"/>
              <w:tl2br w:val="nil"/>
              <w:tr2bl w:val="nil"/>
            </w:tcBorders>
            <w:vAlign w:val="center"/>
          </w:tcPr>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1</w:t>
            </w:r>
            <w:r>
              <w:rPr>
                <w:rFonts w:ascii="Times New Roman" w:hAnsi="Times New Roman" w:cs="Times New Roman"/>
                <w:sz w:val="21"/>
              </w:rPr>
              <w:t>、设备与管线泄漏</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①</w:t>
            </w:r>
            <w:r>
              <w:rPr>
                <w:rFonts w:ascii="Times New Roman" w:hAnsi="Times New Roman" w:cs="Times New Roman"/>
                <w:sz w:val="21"/>
              </w:rPr>
              <w:t>由于热力作用、材料腐蚀造成穿孔；</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②</w:t>
            </w:r>
            <w:r>
              <w:rPr>
                <w:rFonts w:ascii="Times New Roman" w:hAnsi="Times New Roman" w:cs="Times New Roman"/>
                <w:sz w:val="21"/>
              </w:rPr>
              <w:t>焊缝开裂出现裂纹；</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③</w:t>
            </w:r>
            <w:r>
              <w:rPr>
                <w:rFonts w:ascii="Times New Roman" w:hAnsi="Times New Roman" w:cs="Times New Roman"/>
                <w:sz w:val="21"/>
              </w:rPr>
              <w:t>外力破坏引起的泄漏事故；</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④</w:t>
            </w:r>
            <w:r>
              <w:rPr>
                <w:rFonts w:ascii="Times New Roman" w:hAnsi="Times New Roman" w:cs="Times New Roman"/>
                <w:sz w:val="21"/>
              </w:rPr>
              <w:t>施工质量差，罐体泄漏；</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⑤</w:t>
            </w:r>
            <w:r>
              <w:rPr>
                <w:rFonts w:ascii="Times New Roman" w:hAnsi="Times New Roman" w:cs="Times New Roman"/>
                <w:sz w:val="21"/>
              </w:rPr>
              <w:t>管材质量差；</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2</w:t>
            </w:r>
            <w:r>
              <w:rPr>
                <w:rFonts w:ascii="Times New Roman" w:hAnsi="Times New Roman" w:cs="Times New Roman"/>
                <w:sz w:val="21"/>
              </w:rPr>
              <w:t>、阀门、法兰泄漏</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①</w:t>
            </w:r>
            <w:r>
              <w:rPr>
                <w:rFonts w:ascii="Times New Roman" w:hAnsi="Times New Roman" w:cs="Times New Roman"/>
                <w:sz w:val="21"/>
              </w:rPr>
              <w:t>机泵长期运转造成密封泄漏；</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②</w:t>
            </w:r>
            <w:r>
              <w:rPr>
                <w:rFonts w:ascii="Times New Roman" w:hAnsi="Times New Roman" w:cs="Times New Roman"/>
                <w:sz w:val="21"/>
              </w:rPr>
              <w:t>法兰垫片破损或选材不当；</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③</w:t>
            </w:r>
            <w:r>
              <w:rPr>
                <w:rFonts w:ascii="Times New Roman" w:hAnsi="Times New Roman" w:cs="Times New Roman"/>
                <w:sz w:val="21"/>
              </w:rPr>
              <w:t>安装不当。</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cs="Times New Roman"/>
                <w:sz w:val="21"/>
              </w:rPr>
              <w:t>易发部位：机泵各设备进出口阀门。</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3</w:t>
            </w:r>
            <w:r>
              <w:rPr>
                <w:rFonts w:ascii="Times New Roman" w:hAnsi="Times New Roman" w:cs="Times New Roman"/>
                <w:sz w:val="21"/>
              </w:rPr>
              <w:t>、储罐装卸油时满罐外溢</w:t>
            </w:r>
          </w:p>
        </w:tc>
        <w:tc>
          <w:tcPr>
            <w:tcW w:w="1489" w:type="pct"/>
            <w:tcBorders>
              <w:top w:val="single" w:color="auto" w:sz="6" w:space="0"/>
              <w:left w:val="single" w:color="auto" w:sz="6" w:space="0"/>
              <w:bottom w:val="single" w:color="auto" w:sz="12" w:space="0"/>
              <w:right w:val="single" w:color="auto" w:sz="6" w:space="0"/>
              <w:tl2br w:val="nil"/>
              <w:tr2bl w:val="nil"/>
            </w:tcBorders>
            <w:vAlign w:val="center"/>
          </w:tcPr>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cs="Times New Roman"/>
                <w:sz w:val="21"/>
              </w:rPr>
              <w:t>原油泄漏到空气中，与氧气等助燃物质接触。</w:t>
            </w:r>
          </w:p>
        </w:tc>
        <w:tc>
          <w:tcPr>
            <w:tcW w:w="1784" w:type="pct"/>
            <w:tcBorders>
              <w:top w:val="single" w:color="auto" w:sz="6" w:space="0"/>
              <w:left w:val="single" w:color="auto" w:sz="6" w:space="0"/>
              <w:bottom w:val="single" w:color="auto" w:sz="12" w:space="0"/>
              <w:right w:val="single" w:color="auto" w:sz="12" w:space="0"/>
              <w:tl2br w:val="nil"/>
              <w:tr2bl w:val="nil"/>
            </w:tcBorders>
            <w:vAlign w:val="center"/>
          </w:tcPr>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cs="Times New Roman"/>
                <w:sz w:val="21"/>
              </w:rPr>
              <w:t>点火源：</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1</w:t>
            </w:r>
            <w:r>
              <w:rPr>
                <w:rFonts w:ascii="Times New Roman" w:hAnsi="Times New Roman" w:cs="Times New Roman"/>
                <w:sz w:val="21"/>
              </w:rPr>
              <w:t>、明火源</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①</w:t>
            </w:r>
            <w:r>
              <w:rPr>
                <w:rFonts w:ascii="Times New Roman" w:hAnsi="Times New Roman" w:cs="Times New Roman"/>
                <w:sz w:val="21"/>
              </w:rPr>
              <w:t>点火吸烟；</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②</w:t>
            </w:r>
            <w:r>
              <w:rPr>
                <w:rFonts w:ascii="Times New Roman" w:hAnsi="Times New Roman" w:cs="Times New Roman"/>
                <w:sz w:val="21"/>
              </w:rPr>
              <w:t>焊接或维修设备时违章动火；</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③</w:t>
            </w:r>
            <w:r>
              <w:rPr>
                <w:rFonts w:ascii="Times New Roman" w:hAnsi="Times New Roman" w:cs="Times New Roman"/>
                <w:sz w:val="21"/>
              </w:rPr>
              <w:t>外来人员带入火种；</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④</w:t>
            </w:r>
            <w:r>
              <w:rPr>
                <w:rFonts w:ascii="Times New Roman" w:hAnsi="Times New Roman" w:cs="Times New Roman"/>
                <w:sz w:val="21"/>
              </w:rPr>
              <w:t>其他火源；</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2</w:t>
            </w:r>
            <w:r>
              <w:rPr>
                <w:rFonts w:ascii="Times New Roman" w:hAnsi="Times New Roman" w:cs="Times New Roman"/>
                <w:sz w:val="21"/>
              </w:rPr>
              <w:t>、火花</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①</w:t>
            </w:r>
            <w:r>
              <w:rPr>
                <w:rFonts w:ascii="Times New Roman" w:hAnsi="Times New Roman" w:cs="Times New Roman"/>
                <w:sz w:val="21"/>
              </w:rPr>
              <w:t>使用钢制工具作业产生撞击火花；</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②</w:t>
            </w:r>
            <w:r>
              <w:rPr>
                <w:rFonts w:ascii="Times New Roman" w:hAnsi="Times New Roman" w:cs="Times New Roman"/>
                <w:sz w:val="21"/>
              </w:rPr>
              <w:t>电器火花，防爆电器质量不好，电缆接头不良；</w:t>
            </w:r>
          </w:p>
          <w:p>
            <w:pPr>
              <w:adjustRightInd w:val="0"/>
              <w:snapToGrid w:val="0"/>
              <w:spacing w:before="63" w:beforeLines="20" w:after="63" w:afterLines="20"/>
              <w:ind w:firstLine="0" w:firstLineChars="0"/>
              <w:rPr>
                <w:rFonts w:ascii="Times New Roman" w:hAnsi="Times New Roman" w:eastAsia="Times New Roman" w:cs="Times New Roman"/>
                <w:sz w:val="21"/>
              </w:rPr>
            </w:pPr>
            <w:r>
              <w:rPr>
                <w:rFonts w:ascii="Times New Roman" w:hAnsi="Times New Roman" w:eastAsia="Times New Roman" w:cs="Times New Roman"/>
                <w:sz w:val="21"/>
              </w:rPr>
              <w:t>③</w:t>
            </w:r>
            <w:r>
              <w:rPr>
                <w:rFonts w:ascii="Times New Roman" w:hAnsi="Times New Roman" w:cs="Times New Roman"/>
                <w:sz w:val="21"/>
              </w:rPr>
              <w:t>静电火花，管道跨接不良。</w:t>
            </w:r>
          </w:p>
        </w:tc>
      </w:tr>
    </w:tbl>
    <w:p>
      <w:pPr>
        <w:pStyle w:val="4"/>
        <w:spacing w:before="63" w:after="63"/>
      </w:pPr>
      <w:r>
        <w:t>5.2.3 出现爆炸、火灾事故造成人员伤亡的范围</w:t>
      </w:r>
    </w:p>
    <w:p>
      <w:pPr>
        <w:pStyle w:val="6"/>
        <w:ind w:firstLine="560"/>
        <w:rPr>
          <w:rFonts w:hint="eastAsia"/>
          <w:b/>
          <w:bCs/>
          <w:lang w:val="en-US"/>
        </w:rPr>
      </w:pPr>
      <w:r>
        <w:rPr>
          <w:lang w:val="en-US"/>
        </w:rPr>
        <w:t>本报告采用QRA重大危险源区域定量风险评价与管理软件对该项目新建G-106原油储罐阀门、管道等设备设施泄漏事故后果进行了模拟计算，各种事故后果具体影响范围详见</w:t>
      </w:r>
      <w:r>
        <w:rPr>
          <w:rFonts w:hint="eastAsia"/>
          <w:lang w:val="en-US"/>
        </w:rPr>
        <w:t>下表</w:t>
      </w:r>
      <w:r>
        <w:rPr>
          <w:lang w:val="en-US"/>
        </w:rPr>
        <w:t>。</w:t>
      </w:r>
      <w:r>
        <w:rPr>
          <w:rFonts w:hint="eastAsia"/>
          <w:b/>
          <w:bCs/>
          <w:lang w:val="en-US"/>
        </w:rPr>
        <w:t>涉及企业机密，不予公开。</w:t>
      </w:r>
    </w:p>
    <w:p>
      <w:pPr>
        <w:pStyle w:val="6"/>
        <w:ind w:firstLine="560"/>
        <w:rPr>
          <w:lang w:val="en-US"/>
        </w:rPr>
      </w:pPr>
      <w:r>
        <w:rPr>
          <w:lang w:val="en-US"/>
        </w:rPr>
        <w:t>从发生事故的概率来看，在实际运行过程中，由于装置设置有自控系统、安全联锁保护系统等，从工艺参数、自动控制、设备选材选型、可燃有毒气体检测报警、火灾报警、消防、安全管理等各方面均采取了一系列安全措施，虽然发生该类事故的后果严重，但项目发生该类的恶性事故的可能性（概率）非常小，计算模拟事故结果只能作为建设单位对生产项目进行风险管理和事故应急抢险的参考意见。</w:t>
      </w:r>
    </w:p>
    <w:p>
      <w:pPr>
        <w:pStyle w:val="3"/>
        <w:spacing w:before="159" w:after="159"/>
      </w:pPr>
      <w:bookmarkStart w:id="80" w:name="_Toc509842610"/>
      <w:bookmarkStart w:id="81" w:name="_Toc225904267"/>
      <w:bookmarkStart w:id="82" w:name="_Toc8609"/>
      <w:bookmarkStart w:id="83" w:name="_Toc186690696"/>
      <w:r>
        <w:t>定性、定量评价结果</w:t>
      </w:r>
      <w:bookmarkEnd w:id="80"/>
      <w:bookmarkEnd w:id="81"/>
      <w:bookmarkEnd w:id="82"/>
    </w:p>
    <w:bookmarkEnd w:id="83"/>
    <w:p>
      <w:pPr>
        <w:pStyle w:val="4"/>
        <w:spacing w:before="63" w:after="63"/>
      </w:pPr>
      <w:r>
        <w:t>5.3.1安全检查表评价结果</w:t>
      </w:r>
    </w:p>
    <w:p>
      <w:pPr>
        <w:pStyle w:val="6"/>
        <w:ind w:firstLine="560"/>
      </w:pPr>
      <w:r>
        <w:t>采用安全检查表法对</w:t>
      </w:r>
      <w:r>
        <w:rPr>
          <w:lang w:val="en-US"/>
        </w:rPr>
        <w:t>石油化工总</w:t>
      </w:r>
      <w:r>
        <w:t>厂原油</w:t>
      </w:r>
      <w:r>
        <w:rPr>
          <w:rFonts w:hint="eastAsia"/>
          <w:lang w:val="en-US" w:eastAsia="zh-CN"/>
        </w:rPr>
        <w:t>罐区</w:t>
      </w:r>
      <w:r>
        <w:t>分输分储改造工程项目的</w:t>
      </w:r>
      <w:r>
        <w:rPr>
          <w:lang w:val="en-US"/>
        </w:rPr>
        <w:t>3</w:t>
      </w:r>
      <w:r>
        <w:t>个单元中采取的措施情况进行检查、分析、评价。评价结果汇总如下：</w:t>
      </w:r>
    </w:p>
    <w:p>
      <w:pPr>
        <w:pStyle w:val="23"/>
      </w:pPr>
      <w:r>
        <w:t>表5.3-1  安全检查表评价结果汇总表</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90"/>
        <w:gridCol w:w="1868"/>
        <w:gridCol w:w="1673"/>
        <w:gridCol w:w="1787"/>
        <w:gridCol w:w="14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tblHeader/>
          <w:jc w:val="center"/>
        </w:trPr>
        <w:tc>
          <w:tcPr>
            <w:tcW w:w="992" w:type="pct"/>
            <w:tcBorders>
              <w:top w:val="single" w:color="auto" w:sz="12" w:space="0"/>
              <w:left w:val="single" w:color="auto" w:sz="12" w:space="0"/>
              <w:bottom w:val="single" w:color="auto" w:sz="4" w:space="0"/>
              <w:right w:val="single" w:color="auto" w:sz="4" w:space="0"/>
              <w:tl2br w:val="nil"/>
              <w:tr2bl w:val="nil"/>
            </w:tcBorders>
            <w:vAlign w:val="center"/>
          </w:tcPr>
          <w:p>
            <w:pPr>
              <w:pStyle w:val="24"/>
              <w:rPr>
                <w:b/>
                <w:bCs/>
              </w:rPr>
            </w:pPr>
            <w:r>
              <w:rPr>
                <w:b/>
                <w:bCs/>
              </w:rPr>
              <w:t>单元</w:t>
            </w:r>
          </w:p>
        </w:tc>
        <w:tc>
          <w:tcPr>
            <w:tcW w:w="1097"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项目选址及总平面布置单元</w:t>
            </w:r>
          </w:p>
        </w:tc>
        <w:tc>
          <w:tcPr>
            <w:tcW w:w="982"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储运单元</w:t>
            </w:r>
          </w:p>
        </w:tc>
        <w:tc>
          <w:tcPr>
            <w:tcW w:w="1049" w:type="pct"/>
            <w:tcBorders>
              <w:top w:val="single" w:color="auto" w:sz="12" w:space="0"/>
              <w:left w:val="single" w:color="auto" w:sz="4" w:space="0"/>
              <w:bottom w:val="single" w:color="auto" w:sz="4" w:space="0"/>
              <w:right w:val="single" w:color="auto" w:sz="4" w:space="0"/>
              <w:tl2br w:val="nil"/>
              <w:tr2bl w:val="nil"/>
            </w:tcBorders>
            <w:vAlign w:val="center"/>
          </w:tcPr>
          <w:p>
            <w:pPr>
              <w:pStyle w:val="24"/>
              <w:rPr>
                <w:b/>
                <w:bCs/>
              </w:rPr>
            </w:pPr>
            <w:r>
              <w:rPr>
                <w:b/>
                <w:bCs/>
              </w:rPr>
              <w:t>公用工程及辅助设施单元</w:t>
            </w:r>
          </w:p>
        </w:tc>
        <w:tc>
          <w:tcPr>
            <w:tcW w:w="878" w:type="pct"/>
            <w:tcBorders>
              <w:top w:val="single" w:color="auto" w:sz="12" w:space="0"/>
              <w:left w:val="single" w:color="auto" w:sz="4" w:space="0"/>
              <w:bottom w:val="single" w:color="auto" w:sz="4" w:space="0"/>
              <w:right w:val="single" w:color="auto" w:sz="12" w:space="0"/>
              <w:tl2br w:val="nil"/>
              <w:tr2bl w:val="nil"/>
            </w:tcBorders>
            <w:vAlign w:val="center"/>
          </w:tcPr>
          <w:p>
            <w:pPr>
              <w:pStyle w:val="24"/>
              <w:rPr>
                <w:b/>
                <w:bCs/>
              </w:rPr>
            </w:pPr>
            <w:r>
              <w:rPr>
                <w:b/>
                <w:bCs/>
              </w:rPr>
              <w:t>合计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92" w:type="pct"/>
            <w:tcBorders>
              <w:top w:val="single" w:color="auto" w:sz="4" w:space="0"/>
              <w:left w:val="single" w:color="auto" w:sz="12" w:space="0"/>
              <w:bottom w:val="single" w:color="auto" w:sz="4" w:space="0"/>
              <w:right w:val="single" w:color="auto" w:sz="4" w:space="0"/>
              <w:tl2br w:val="nil"/>
              <w:tr2bl w:val="nil"/>
            </w:tcBorders>
            <w:vAlign w:val="center"/>
          </w:tcPr>
          <w:p>
            <w:pPr>
              <w:pStyle w:val="24"/>
            </w:pPr>
            <w:r>
              <w:t>总检查项数</w:t>
            </w:r>
          </w:p>
        </w:tc>
        <w:tc>
          <w:tcPr>
            <w:tcW w:w="1097" w:type="pct"/>
            <w:tcBorders>
              <w:top w:val="single" w:color="auto" w:sz="4" w:space="0"/>
              <w:left w:val="single" w:color="auto" w:sz="4" w:space="0"/>
              <w:bottom w:val="single" w:color="auto" w:sz="4" w:space="0"/>
              <w:right w:val="single" w:color="auto" w:sz="4" w:space="0"/>
              <w:tl2br w:val="nil"/>
              <w:tr2bl w:val="nil"/>
            </w:tcBorders>
            <w:vAlign w:val="center"/>
          </w:tcPr>
          <w:p>
            <w:pPr>
              <w:pStyle w:val="24"/>
            </w:pPr>
            <w:r>
              <w:t>35</w:t>
            </w:r>
          </w:p>
        </w:tc>
        <w:tc>
          <w:tcPr>
            <w:tcW w:w="982" w:type="pct"/>
            <w:tcBorders>
              <w:top w:val="single" w:color="auto" w:sz="4" w:space="0"/>
              <w:left w:val="single" w:color="auto" w:sz="4" w:space="0"/>
              <w:bottom w:val="single" w:color="auto" w:sz="4" w:space="0"/>
              <w:right w:val="single" w:color="auto" w:sz="4" w:space="0"/>
              <w:tl2br w:val="nil"/>
              <w:tr2bl w:val="nil"/>
            </w:tcBorders>
            <w:vAlign w:val="center"/>
          </w:tcPr>
          <w:p>
            <w:pPr>
              <w:pStyle w:val="24"/>
              <w:rPr>
                <w:rFonts w:hint="eastAsia" w:eastAsia="宋体"/>
                <w:lang w:eastAsia="zh-CN"/>
              </w:rPr>
            </w:pPr>
            <w:r>
              <w:t>3</w:t>
            </w:r>
            <w:r>
              <w:rPr>
                <w:rFonts w:hint="eastAsia"/>
                <w:lang w:val="en-US" w:eastAsia="zh-CN"/>
              </w:rPr>
              <w:t>8</w:t>
            </w:r>
          </w:p>
        </w:tc>
        <w:tc>
          <w:tcPr>
            <w:tcW w:w="1049" w:type="pct"/>
            <w:tcBorders>
              <w:top w:val="single" w:color="auto" w:sz="4" w:space="0"/>
              <w:left w:val="single" w:color="auto" w:sz="4" w:space="0"/>
              <w:bottom w:val="single" w:color="auto" w:sz="4" w:space="0"/>
              <w:right w:val="single" w:color="auto" w:sz="4" w:space="0"/>
              <w:tl2br w:val="nil"/>
              <w:tr2bl w:val="nil"/>
            </w:tcBorders>
            <w:vAlign w:val="center"/>
          </w:tcPr>
          <w:p>
            <w:pPr>
              <w:pStyle w:val="24"/>
              <w:rPr>
                <w:rFonts w:hint="default" w:eastAsia="宋体"/>
                <w:lang w:val="en-US" w:eastAsia="zh-CN"/>
              </w:rPr>
            </w:pPr>
            <w:r>
              <w:rPr>
                <w:rFonts w:hint="eastAsia"/>
                <w:lang w:val="en-US" w:eastAsia="zh-CN"/>
              </w:rPr>
              <w:t>78</w:t>
            </w:r>
          </w:p>
        </w:tc>
        <w:tc>
          <w:tcPr>
            <w:tcW w:w="878" w:type="pct"/>
            <w:tcBorders>
              <w:top w:val="single" w:color="auto" w:sz="4" w:space="0"/>
              <w:left w:val="single" w:color="auto" w:sz="4" w:space="0"/>
              <w:bottom w:val="single" w:color="auto" w:sz="4" w:space="0"/>
              <w:right w:val="single" w:color="auto" w:sz="12" w:space="0"/>
              <w:tl2br w:val="nil"/>
              <w:tr2bl w:val="nil"/>
            </w:tcBorders>
            <w:vAlign w:val="center"/>
          </w:tcPr>
          <w:p>
            <w:pPr>
              <w:pStyle w:val="24"/>
              <w:rPr>
                <w:rFonts w:hint="default" w:eastAsia="宋体"/>
                <w:lang w:val="en-US" w:eastAsia="zh-CN"/>
              </w:rPr>
            </w:pPr>
            <w:r>
              <w:t>1</w:t>
            </w:r>
            <w:r>
              <w:rPr>
                <w:rFonts w:hint="eastAsia"/>
                <w:lang w:val="en-US" w:eastAsia="zh-CN"/>
              </w:rPr>
              <w:t>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92" w:type="pct"/>
            <w:tcBorders>
              <w:top w:val="single" w:color="auto" w:sz="4" w:space="0"/>
              <w:left w:val="single" w:color="auto" w:sz="12" w:space="0"/>
              <w:bottom w:val="single" w:color="auto" w:sz="4" w:space="0"/>
              <w:right w:val="single" w:color="auto" w:sz="4" w:space="0"/>
              <w:tl2br w:val="nil"/>
              <w:tr2bl w:val="nil"/>
            </w:tcBorders>
            <w:vAlign w:val="center"/>
          </w:tcPr>
          <w:p>
            <w:pPr>
              <w:pStyle w:val="24"/>
            </w:pPr>
            <w:r>
              <w:t>符合项</w:t>
            </w:r>
          </w:p>
        </w:tc>
        <w:tc>
          <w:tcPr>
            <w:tcW w:w="1097" w:type="pct"/>
            <w:tcBorders>
              <w:top w:val="single" w:color="auto" w:sz="4" w:space="0"/>
              <w:left w:val="single" w:color="auto" w:sz="4" w:space="0"/>
              <w:bottom w:val="single" w:color="auto" w:sz="4" w:space="0"/>
              <w:right w:val="single" w:color="auto" w:sz="4" w:space="0"/>
              <w:tl2br w:val="nil"/>
              <w:tr2bl w:val="nil"/>
            </w:tcBorders>
            <w:vAlign w:val="center"/>
          </w:tcPr>
          <w:p>
            <w:pPr>
              <w:pStyle w:val="24"/>
            </w:pPr>
            <w:r>
              <w:t>34</w:t>
            </w:r>
          </w:p>
        </w:tc>
        <w:tc>
          <w:tcPr>
            <w:tcW w:w="982" w:type="pct"/>
            <w:tcBorders>
              <w:top w:val="single" w:color="auto" w:sz="4" w:space="0"/>
              <w:left w:val="single" w:color="auto" w:sz="4" w:space="0"/>
              <w:bottom w:val="single" w:color="auto" w:sz="4" w:space="0"/>
              <w:right w:val="single" w:color="auto" w:sz="4" w:space="0"/>
              <w:tl2br w:val="nil"/>
              <w:tr2bl w:val="nil"/>
            </w:tcBorders>
            <w:vAlign w:val="center"/>
          </w:tcPr>
          <w:p>
            <w:pPr>
              <w:pStyle w:val="24"/>
              <w:rPr>
                <w:rFonts w:hint="default" w:eastAsia="宋体"/>
                <w:lang w:val="en-US" w:eastAsia="zh-CN"/>
              </w:rPr>
            </w:pPr>
            <w:r>
              <w:rPr>
                <w:rFonts w:hint="eastAsia"/>
                <w:lang w:val="en-US" w:eastAsia="zh-CN"/>
              </w:rPr>
              <w:t>21</w:t>
            </w:r>
          </w:p>
        </w:tc>
        <w:tc>
          <w:tcPr>
            <w:tcW w:w="1049" w:type="pct"/>
            <w:tcBorders>
              <w:top w:val="single" w:color="auto" w:sz="4" w:space="0"/>
              <w:left w:val="single" w:color="auto" w:sz="4" w:space="0"/>
              <w:bottom w:val="single" w:color="auto" w:sz="4" w:space="0"/>
              <w:right w:val="single" w:color="auto" w:sz="4" w:space="0"/>
              <w:tl2br w:val="nil"/>
              <w:tr2bl w:val="nil"/>
            </w:tcBorders>
            <w:vAlign w:val="center"/>
          </w:tcPr>
          <w:p>
            <w:pPr>
              <w:pStyle w:val="24"/>
              <w:rPr>
                <w:rFonts w:hint="eastAsia" w:eastAsia="宋体"/>
                <w:lang w:eastAsia="zh-CN"/>
              </w:rPr>
            </w:pPr>
            <w:r>
              <w:rPr>
                <w:rFonts w:hint="eastAsia"/>
              </w:rPr>
              <w:t>4</w:t>
            </w:r>
            <w:r>
              <w:rPr>
                <w:rFonts w:hint="eastAsia"/>
                <w:lang w:val="en-US" w:eastAsia="zh-CN"/>
              </w:rPr>
              <w:t>9</w:t>
            </w:r>
          </w:p>
        </w:tc>
        <w:tc>
          <w:tcPr>
            <w:tcW w:w="878" w:type="pct"/>
            <w:tcBorders>
              <w:top w:val="single" w:color="auto" w:sz="4" w:space="0"/>
              <w:left w:val="single" w:color="auto" w:sz="4" w:space="0"/>
              <w:bottom w:val="single" w:color="auto" w:sz="4" w:space="0"/>
              <w:right w:val="single" w:color="auto" w:sz="12" w:space="0"/>
              <w:tl2br w:val="nil"/>
              <w:tr2bl w:val="nil"/>
            </w:tcBorders>
            <w:vAlign w:val="center"/>
          </w:tcPr>
          <w:p>
            <w:pPr>
              <w:pStyle w:val="24"/>
              <w:rPr>
                <w:rFonts w:hint="default" w:eastAsia="宋体"/>
                <w:lang w:val="en-US" w:eastAsia="zh-CN"/>
              </w:rPr>
            </w:pPr>
            <w:r>
              <w:rPr>
                <w:rFonts w:hint="eastAsia"/>
                <w:lang w:val="en-US" w:eastAsia="zh-CN"/>
              </w:rPr>
              <w:t>104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92" w:type="pct"/>
            <w:tcBorders>
              <w:top w:val="single" w:color="auto" w:sz="4" w:space="0"/>
              <w:left w:val="single" w:color="auto" w:sz="12" w:space="0"/>
              <w:bottom w:val="single" w:color="auto" w:sz="4" w:space="0"/>
              <w:right w:val="single" w:color="auto" w:sz="4" w:space="0"/>
              <w:tl2br w:val="nil"/>
              <w:tr2bl w:val="nil"/>
            </w:tcBorders>
            <w:vAlign w:val="center"/>
          </w:tcPr>
          <w:p>
            <w:pPr>
              <w:pStyle w:val="24"/>
            </w:pPr>
            <w:r>
              <w:t>不符合项</w:t>
            </w:r>
          </w:p>
        </w:tc>
        <w:tc>
          <w:tcPr>
            <w:tcW w:w="1097" w:type="pct"/>
            <w:tcBorders>
              <w:top w:val="single" w:color="auto" w:sz="4" w:space="0"/>
              <w:left w:val="single" w:color="auto" w:sz="4" w:space="0"/>
              <w:bottom w:val="single" w:color="auto" w:sz="4" w:space="0"/>
              <w:right w:val="single" w:color="auto" w:sz="4" w:space="0"/>
              <w:tl2br w:val="nil"/>
              <w:tr2bl w:val="nil"/>
            </w:tcBorders>
            <w:vAlign w:val="center"/>
          </w:tcPr>
          <w:p>
            <w:pPr>
              <w:pStyle w:val="24"/>
            </w:pPr>
            <w:r>
              <w:t>0</w:t>
            </w:r>
          </w:p>
        </w:tc>
        <w:tc>
          <w:tcPr>
            <w:tcW w:w="982" w:type="pct"/>
            <w:tcBorders>
              <w:top w:val="single" w:color="auto" w:sz="4" w:space="0"/>
              <w:left w:val="single" w:color="auto" w:sz="4" w:space="0"/>
              <w:bottom w:val="single" w:color="auto" w:sz="4" w:space="0"/>
              <w:right w:val="single" w:color="auto" w:sz="4" w:space="0"/>
              <w:tl2br w:val="nil"/>
              <w:tr2bl w:val="nil"/>
            </w:tcBorders>
            <w:vAlign w:val="center"/>
          </w:tcPr>
          <w:p>
            <w:pPr>
              <w:pStyle w:val="24"/>
            </w:pPr>
            <w:r>
              <w:t>0</w:t>
            </w:r>
          </w:p>
        </w:tc>
        <w:tc>
          <w:tcPr>
            <w:tcW w:w="1049" w:type="pct"/>
            <w:tcBorders>
              <w:top w:val="single" w:color="auto" w:sz="4" w:space="0"/>
              <w:left w:val="single" w:color="auto" w:sz="4" w:space="0"/>
              <w:bottom w:val="single" w:color="auto" w:sz="4" w:space="0"/>
              <w:right w:val="single" w:color="auto" w:sz="4" w:space="0"/>
              <w:tl2br w:val="nil"/>
              <w:tr2bl w:val="nil"/>
            </w:tcBorders>
            <w:vAlign w:val="center"/>
          </w:tcPr>
          <w:p>
            <w:pPr>
              <w:pStyle w:val="24"/>
            </w:pPr>
            <w:r>
              <w:t>0</w:t>
            </w:r>
          </w:p>
        </w:tc>
        <w:tc>
          <w:tcPr>
            <w:tcW w:w="878" w:type="pct"/>
            <w:tcBorders>
              <w:top w:val="single" w:color="auto" w:sz="4" w:space="0"/>
              <w:left w:val="single" w:color="auto" w:sz="4" w:space="0"/>
              <w:bottom w:val="single" w:color="auto" w:sz="4" w:space="0"/>
              <w:right w:val="single" w:color="auto" w:sz="12" w:space="0"/>
              <w:tl2br w:val="nil"/>
              <w:tr2bl w:val="nil"/>
            </w:tcBorders>
            <w:vAlign w:val="center"/>
          </w:tcPr>
          <w:p>
            <w:pPr>
              <w:pStyle w:val="24"/>
            </w:pPr>
            <w: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92" w:type="pct"/>
            <w:tcBorders>
              <w:top w:val="single" w:color="auto" w:sz="4" w:space="0"/>
              <w:left w:val="single" w:color="auto" w:sz="12" w:space="0"/>
              <w:bottom w:val="single" w:color="auto" w:sz="12" w:space="0"/>
              <w:right w:val="single" w:color="auto" w:sz="4" w:space="0"/>
              <w:tl2br w:val="nil"/>
              <w:tr2bl w:val="nil"/>
            </w:tcBorders>
            <w:vAlign w:val="center"/>
          </w:tcPr>
          <w:p>
            <w:pPr>
              <w:pStyle w:val="24"/>
            </w:pPr>
            <w:r>
              <w:t>未说明项</w:t>
            </w:r>
          </w:p>
        </w:tc>
        <w:tc>
          <w:tcPr>
            <w:tcW w:w="1097" w:type="pct"/>
            <w:tcBorders>
              <w:top w:val="single" w:color="auto" w:sz="4" w:space="0"/>
              <w:left w:val="single" w:color="auto" w:sz="4" w:space="0"/>
              <w:bottom w:val="single" w:color="auto" w:sz="12" w:space="0"/>
              <w:right w:val="single" w:color="auto" w:sz="4" w:space="0"/>
              <w:tl2br w:val="nil"/>
              <w:tr2bl w:val="nil"/>
            </w:tcBorders>
            <w:vAlign w:val="center"/>
          </w:tcPr>
          <w:p>
            <w:pPr>
              <w:pStyle w:val="24"/>
            </w:pPr>
            <w:r>
              <w:t>1</w:t>
            </w:r>
          </w:p>
        </w:tc>
        <w:tc>
          <w:tcPr>
            <w:tcW w:w="982" w:type="pct"/>
            <w:tcBorders>
              <w:top w:val="single" w:color="auto" w:sz="4" w:space="0"/>
              <w:left w:val="single" w:color="auto" w:sz="4" w:space="0"/>
              <w:bottom w:val="single" w:color="auto" w:sz="12" w:space="0"/>
              <w:right w:val="single" w:color="auto" w:sz="4" w:space="0"/>
              <w:tl2br w:val="nil"/>
              <w:tr2bl w:val="nil"/>
            </w:tcBorders>
            <w:vAlign w:val="center"/>
          </w:tcPr>
          <w:p>
            <w:pPr>
              <w:pStyle w:val="24"/>
              <w:rPr>
                <w:rFonts w:hint="eastAsia" w:eastAsia="宋体"/>
                <w:lang w:eastAsia="zh-CN"/>
              </w:rPr>
            </w:pPr>
            <w:r>
              <w:t>1</w:t>
            </w:r>
            <w:r>
              <w:rPr>
                <w:rFonts w:hint="eastAsia"/>
                <w:lang w:val="en-US" w:eastAsia="zh-CN"/>
              </w:rPr>
              <w:t>7</w:t>
            </w:r>
          </w:p>
        </w:tc>
        <w:tc>
          <w:tcPr>
            <w:tcW w:w="1049" w:type="pct"/>
            <w:tcBorders>
              <w:top w:val="single" w:color="auto" w:sz="4" w:space="0"/>
              <w:left w:val="single" w:color="auto" w:sz="4" w:space="0"/>
              <w:bottom w:val="single" w:color="auto" w:sz="12" w:space="0"/>
              <w:right w:val="single" w:color="auto" w:sz="4" w:space="0"/>
              <w:tl2br w:val="nil"/>
              <w:tr2bl w:val="nil"/>
            </w:tcBorders>
            <w:vAlign w:val="center"/>
          </w:tcPr>
          <w:p>
            <w:pPr>
              <w:pStyle w:val="24"/>
            </w:pPr>
            <w:r>
              <w:rPr>
                <w:rFonts w:hint="eastAsia"/>
              </w:rPr>
              <w:t>29</w:t>
            </w:r>
          </w:p>
        </w:tc>
        <w:tc>
          <w:tcPr>
            <w:tcW w:w="878" w:type="pct"/>
            <w:tcBorders>
              <w:top w:val="single" w:color="auto" w:sz="4" w:space="0"/>
              <w:left w:val="single" w:color="auto" w:sz="4" w:space="0"/>
              <w:bottom w:val="single" w:color="auto" w:sz="12" w:space="0"/>
              <w:right w:val="single" w:color="auto" w:sz="12" w:space="0"/>
              <w:tl2br w:val="nil"/>
              <w:tr2bl w:val="nil"/>
            </w:tcBorders>
            <w:vAlign w:val="center"/>
          </w:tcPr>
          <w:p>
            <w:pPr>
              <w:pStyle w:val="24"/>
              <w:rPr>
                <w:rFonts w:hint="eastAsia" w:eastAsia="宋体"/>
                <w:lang w:eastAsia="zh-CN"/>
              </w:rPr>
            </w:pPr>
            <w:r>
              <w:rPr>
                <w:rFonts w:hint="eastAsia"/>
              </w:rPr>
              <w:t>4</w:t>
            </w:r>
            <w:r>
              <w:rPr>
                <w:rFonts w:hint="eastAsia"/>
                <w:lang w:val="en-US" w:eastAsia="zh-CN"/>
              </w:rPr>
              <w:t>7</w:t>
            </w:r>
          </w:p>
        </w:tc>
      </w:tr>
    </w:tbl>
    <w:p>
      <w:pPr>
        <w:pStyle w:val="4"/>
        <w:spacing w:before="63" w:after="63"/>
      </w:pPr>
      <w:r>
        <w:t>5.3.2 危险度分析评价结果</w:t>
      </w:r>
    </w:p>
    <w:p>
      <w:pPr>
        <w:pStyle w:val="6"/>
        <w:ind w:firstLine="560"/>
      </w:pPr>
      <w:bookmarkStart w:id="84" w:name="_Hlk505351096"/>
      <w:r>
        <w:t>根据危险度评价法，原油</w:t>
      </w:r>
      <w:r>
        <w:rPr>
          <w:rFonts w:hint="eastAsia"/>
          <w:lang w:val="en-US" w:eastAsia="zh-CN"/>
        </w:rPr>
        <w:t>罐区</w:t>
      </w:r>
      <w:r>
        <w:t>分输分储改造工程项目危险度评价分级如下：30000m³原油储罐单元危险度为</w:t>
      </w:r>
      <w:r>
        <w:rPr>
          <w:rFonts w:hint="eastAsia" w:ascii="宋体" w:hAnsi="宋体" w:cs="宋体"/>
        </w:rPr>
        <w:t>Ⅰ</w:t>
      </w:r>
      <w:r>
        <w:t>级，属高度危险。</w:t>
      </w:r>
    </w:p>
    <w:bookmarkEnd w:id="84"/>
    <w:p>
      <w:pPr>
        <w:pStyle w:val="4"/>
        <w:spacing w:before="63" w:after="63"/>
      </w:pPr>
      <w:r>
        <w:t>5.3.3 事故后果评价结果</w:t>
      </w:r>
    </w:p>
    <w:p>
      <w:pPr>
        <w:pStyle w:val="6"/>
        <w:ind w:firstLine="560"/>
        <w:rPr>
          <w:rFonts w:hint="eastAsia"/>
          <w:b/>
          <w:bCs/>
          <w:lang w:val="en-US"/>
        </w:rPr>
      </w:pPr>
      <w:bookmarkStart w:id="85" w:name="_Hlk505351143"/>
      <w:r>
        <w:t>本报告采用QRA重大危险源区域定量风险评价与管理软件对该项目新建G-106原油储罐阀门、管道等设施泄漏事故后果进行了模拟计算，各种事故后果具体影响范围详见表</w:t>
      </w:r>
      <w:r>
        <w:rPr>
          <w:rFonts w:hint="eastAsia"/>
          <w:lang w:val="en-US"/>
        </w:rPr>
        <w:t>5.2</w:t>
      </w:r>
      <w:r>
        <w:t>-2。</w:t>
      </w:r>
      <w:bookmarkEnd w:id="85"/>
      <w:r>
        <w:rPr>
          <w:rFonts w:hint="eastAsia"/>
          <w:b/>
          <w:bCs/>
          <w:lang w:val="en-US"/>
        </w:rPr>
        <w:t>涉及企业机密，不予公开。</w:t>
      </w:r>
    </w:p>
    <w:p>
      <w:pPr>
        <w:pStyle w:val="6"/>
        <w:ind w:firstLine="560"/>
      </w:pPr>
      <w:r>
        <w:t>在生产过程中，必须加强安全管理，采取严格的安全防护措施，并确保各项安全措施有效实施，才能保证生产的安全运行。</w:t>
      </w:r>
    </w:p>
    <w:p>
      <w:pPr>
        <w:widowControl w:val="0"/>
        <w:adjustRightInd w:val="0"/>
        <w:snapToGrid w:val="0"/>
        <w:spacing w:before="63" w:beforeLines="20" w:after="63" w:afterLines="20" w:line="360" w:lineRule="auto"/>
        <w:ind w:left="140" w:leftChars="50" w:firstLine="0" w:firstLineChars="0"/>
        <w:outlineLvl w:val="2"/>
        <w:rPr>
          <w:rFonts w:ascii="Times New Roman" w:hAnsi="Times New Roman" w:eastAsia="黑体" w:cs="Times New Roman"/>
          <w:color w:val="auto"/>
          <w:kern w:val="2"/>
          <w:sz w:val="28"/>
          <w:szCs w:val="28"/>
          <w:lang w:val="en-US" w:eastAsia="zh-CN" w:bidi="ar-SA"/>
        </w:rPr>
      </w:pPr>
      <w:r>
        <w:rPr>
          <w:rFonts w:ascii="Times New Roman" w:hAnsi="Times New Roman" w:eastAsia="黑体" w:cs="Times New Roman"/>
          <w:color w:val="auto"/>
          <w:kern w:val="2"/>
          <w:sz w:val="28"/>
          <w:szCs w:val="28"/>
          <w:lang w:val="en-US" w:eastAsia="zh-CN" w:bidi="ar-SA"/>
        </w:rPr>
        <w:t>5.3.</w:t>
      </w:r>
      <w:r>
        <w:rPr>
          <w:rFonts w:hint="eastAsia" w:ascii="Times New Roman" w:hAnsi="Times New Roman" w:eastAsia="黑体" w:cs="Times New Roman"/>
          <w:color w:val="auto"/>
          <w:kern w:val="2"/>
          <w:sz w:val="28"/>
          <w:szCs w:val="28"/>
          <w:lang w:val="en-US" w:eastAsia="zh-CN" w:bidi="ar-SA"/>
        </w:rPr>
        <w:t>4</w:t>
      </w:r>
      <w:r>
        <w:rPr>
          <w:rFonts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个人风险值和社会风险值</w:t>
      </w:r>
      <w:r>
        <w:rPr>
          <w:rFonts w:ascii="Times New Roman" w:hAnsi="Times New Roman" w:eastAsia="黑体" w:cs="Times New Roman"/>
          <w:color w:val="auto"/>
          <w:kern w:val="2"/>
          <w:sz w:val="28"/>
          <w:szCs w:val="28"/>
          <w:lang w:val="en-US" w:eastAsia="zh-CN" w:bidi="ar-SA"/>
        </w:rPr>
        <w:t>评价结果</w:t>
      </w:r>
    </w:p>
    <w:p>
      <w:pPr>
        <w:pStyle w:val="6"/>
        <w:ind w:firstLine="560"/>
        <w:rPr>
          <w:rFonts w:hint="eastAsia"/>
          <w:color w:val="auto"/>
        </w:rPr>
      </w:pPr>
      <w:r>
        <w:rPr>
          <w:rFonts w:hint="eastAsia"/>
          <w:color w:val="auto"/>
        </w:rPr>
        <w:t>G-106原油储罐个人风险满足《危险化学品生产装置和储存设施风险基准》（GB36894-2018）要求。</w:t>
      </w:r>
    </w:p>
    <w:p>
      <w:pPr>
        <w:widowControl w:val="0"/>
        <w:adjustRightInd w:val="0"/>
        <w:snapToGrid w:val="0"/>
        <w:spacing w:before="63" w:beforeLines="20" w:after="63" w:afterLines="20" w:line="360" w:lineRule="auto"/>
        <w:ind w:left="140" w:leftChars="50" w:firstLine="0" w:firstLineChars="0"/>
        <w:outlineLvl w:val="2"/>
        <w:rPr>
          <w:rFonts w:hint="default" w:eastAsia="宋体"/>
          <w:color w:val="auto"/>
          <w:lang w:val="en-US" w:eastAsia="zh-CN"/>
        </w:rPr>
      </w:pPr>
      <w:r>
        <w:rPr>
          <w:rFonts w:ascii="Times New Roman" w:hAnsi="Times New Roman" w:eastAsia="黑体" w:cs="Times New Roman"/>
          <w:color w:val="auto"/>
          <w:kern w:val="2"/>
          <w:sz w:val="28"/>
          <w:szCs w:val="28"/>
          <w:lang w:val="en-US" w:eastAsia="zh-CN" w:bidi="ar-SA"/>
        </w:rPr>
        <w:t>5.3.</w:t>
      </w:r>
      <w:r>
        <w:rPr>
          <w:rFonts w:hint="eastAsia" w:ascii="Times New Roman" w:hAnsi="Times New Roman" w:eastAsia="黑体" w:cs="Times New Roman"/>
          <w:color w:val="auto"/>
          <w:kern w:val="2"/>
          <w:sz w:val="28"/>
          <w:szCs w:val="28"/>
          <w:lang w:val="en-US" w:eastAsia="zh-CN" w:bidi="ar-SA"/>
        </w:rPr>
        <w:t>5</w:t>
      </w:r>
      <w:r>
        <w:rPr>
          <w:rFonts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个外部安全防护距离评价结果</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eastAsia="zh-CN"/>
        </w:rPr>
      </w:pPr>
      <w:r>
        <w:rPr>
          <w:rFonts w:hint="eastAsia"/>
          <w:color w:val="auto"/>
          <w:lang w:val="en-US"/>
        </w:rPr>
        <w:t>企业外部安全防护距离3×10</w:t>
      </w:r>
      <w:r>
        <w:rPr>
          <w:rFonts w:hint="eastAsia"/>
          <w:color w:val="auto"/>
          <w:vertAlign w:val="superscript"/>
          <w:lang w:val="en-US"/>
        </w:rPr>
        <w:t>-7</w:t>
      </w:r>
      <w:r>
        <w:rPr>
          <w:rFonts w:hint="eastAsia"/>
          <w:color w:val="auto"/>
          <w:lang w:val="en-US"/>
        </w:rPr>
        <w:t>个人风险等值线范围内不存在高敏感防护目标、重要防护目标、一般防护目标中的一类防护目标；3×10</w:t>
      </w:r>
      <w:r>
        <w:rPr>
          <w:rFonts w:hint="eastAsia"/>
          <w:color w:val="auto"/>
          <w:vertAlign w:val="superscript"/>
          <w:lang w:val="en-US"/>
        </w:rPr>
        <w:t>-6</w:t>
      </w:r>
      <w:r>
        <w:rPr>
          <w:rFonts w:hint="eastAsia"/>
          <w:color w:val="auto"/>
          <w:lang w:val="en-US"/>
        </w:rPr>
        <w:t>个人风险等值线范围内不存在一般防护目标中的二类防护目标；1×10</w:t>
      </w:r>
      <w:r>
        <w:rPr>
          <w:rFonts w:hint="eastAsia"/>
          <w:color w:val="auto"/>
          <w:vertAlign w:val="superscript"/>
          <w:lang w:val="en-US"/>
        </w:rPr>
        <w:t>-5</w:t>
      </w:r>
      <w:r>
        <w:rPr>
          <w:rFonts w:hint="eastAsia"/>
          <w:color w:val="auto"/>
          <w:lang w:val="en-US"/>
        </w:rPr>
        <w:t>等值线区域不存在一般防护目标中的三类防护目标。目前原油罐区分输分储改造工程项目</w:t>
      </w:r>
      <w:r>
        <w:rPr>
          <w:rFonts w:hint="eastAsia"/>
          <w:color w:val="auto"/>
          <w:lang w:val="en-US" w:eastAsia="zh-CN"/>
        </w:rPr>
        <w:t>新建G-106原油储罐</w:t>
      </w:r>
      <w:r>
        <w:rPr>
          <w:rFonts w:hint="eastAsia"/>
          <w:color w:val="auto"/>
          <w:lang w:val="en-US"/>
        </w:rPr>
        <w:t>外部安全防护距离满足《危险化学品生产装置和储存设施风险基准》（GB36894-2018）相关要求。</w:t>
      </w:r>
    </w:p>
    <w:p>
      <w:pPr>
        <w:pStyle w:val="3"/>
        <w:spacing w:before="159" w:after="159"/>
      </w:pPr>
      <w:bookmarkStart w:id="86" w:name="_Toc13968"/>
      <w:r>
        <w:t>事故案例分析</w:t>
      </w:r>
      <w:bookmarkEnd w:id="86"/>
    </w:p>
    <w:p>
      <w:pPr>
        <w:pStyle w:val="4"/>
        <w:spacing w:before="63" w:after="63"/>
      </w:pPr>
      <w:r>
        <w:t>5.4.1深圳市空港油料公司储油罐泄漏事故</w:t>
      </w:r>
    </w:p>
    <w:p>
      <w:pPr>
        <w:pStyle w:val="6"/>
        <w:ind w:firstLine="560"/>
      </w:pPr>
      <w:r>
        <w:t>1.事故经过</w:t>
      </w:r>
    </w:p>
    <w:p>
      <w:pPr>
        <w:pStyle w:val="6"/>
        <w:ind w:firstLine="560"/>
      </w:pPr>
      <w:r>
        <w:t>2012年5月11日上午9时许，位于深圳市宝安国际机场南侧3公里外的深圳市空港油料公司发生储油罐泄漏事故。深圳市空港油料公司是中航油集团石油公司与深圳机场合资成立的公司（股比各为50%），专为社会提供成品油的批发经营企业。现有7个5000m³的油罐，其中5个油罐储存汽油，2个油罐储存柴油，此外还有1个回收罐和1个污油罐。发生泄漏的是油库内5#油罐，储存93#汽油近2000m³。事故虽未引发火灾、爆炸和对航班运行造成影响，但造成1人伤亡，约1200吨汽油泄漏。</w:t>
      </w:r>
    </w:p>
    <w:p>
      <w:pPr>
        <w:pStyle w:val="6"/>
        <w:ind w:firstLine="560"/>
      </w:pPr>
      <w:r>
        <w:t>（1）事故原因</w:t>
      </w:r>
    </w:p>
    <w:p>
      <w:pPr>
        <w:pStyle w:val="6"/>
        <w:ind w:firstLine="560"/>
      </w:pPr>
      <w:r>
        <w:t>经初步了解，事故原因是由于5#油罐进油阀门出现故障，阀门闸板与连杆脱离，2名油库维修工违章违规对该阀门进行维修时，出现阀门失控，造成约1200多吨汽油从阀门泄漏，其中1名维修工在事故处置过程中由于油气窒息导致死亡。</w:t>
      </w:r>
    </w:p>
    <w:p>
      <w:pPr>
        <w:pStyle w:val="6"/>
        <w:ind w:firstLine="560"/>
      </w:pPr>
      <w:r>
        <w:t>（2）事故教训</w:t>
      </w:r>
    </w:p>
    <w:p>
      <w:pPr>
        <w:pStyle w:val="6"/>
        <w:ind w:firstLine="560"/>
      </w:pPr>
      <w:r>
        <w:t>通过了解分析，事故暴露出如下主要问题：</w:t>
      </w:r>
    </w:p>
    <w:p>
      <w:pPr>
        <w:pStyle w:val="6"/>
        <w:ind w:firstLine="560"/>
      </w:pPr>
      <w:r>
        <w:t>1）企业安全生产主体责任不落实。安全生产管理制度不落实、执行不到位。公司层面没有严格执行和落实维修作业审核审批制度；员工层面存在侥幸心理，在5#油罐仍存有油料且不采取任何倒罐清空措施的情况下，冒险强行进行阀门维修作业，</w:t>
      </w:r>
      <w:r>
        <w:rPr>
          <w:rFonts w:hint="eastAsia"/>
        </w:rPr>
        <w:t>“</w:t>
      </w:r>
      <w:r>
        <w:t>三违</w:t>
      </w:r>
      <w:r>
        <w:rPr>
          <w:rFonts w:hint="eastAsia"/>
        </w:rPr>
        <w:t>”</w:t>
      </w:r>
      <w:r>
        <w:t>现象突出。</w:t>
      </w:r>
    </w:p>
    <w:p>
      <w:pPr>
        <w:pStyle w:val="6"/>
        <w:ind w:firstLine="560"/>
      </w:pPr>
      <w:r>
        <w:t>2）企业设备设施维护保养制度执行不力。油罐区防火堤多处位置存在缝隙，不密封，导致事故时泄漏的汽油和含油污水穿越防火堤外渗，加大了事故的应急处置难度和损失。</w:t>
      </w:r>
    </w:p>
    <w:p>
      <w:pPr>
        <w:pStyle w:val="6"/>
        <w:ind w:firstLine="560"/>
      </w:pPr>
      <w:r>
        <w:t>3）隐患排查治理组织领导不力、整改不落实。企业对安全生产工作思想麻痹松懈，对隐患排查治理不认真、不负责，工作浮于表面，对油库罐区防火堤存在缺陷和</w:t>
      </w:r>
      <w:r>
        <w:rPr>
          <w:rFonts w:hint="eastAsia"/>
        </w:rPr>
        <w:t>“</w:t>
      </w:r>
      <w:r>
        <w:t>清净下水</w:t>
      </w:r>
      <w:r>
        <w:rPr>
          <w:rFonts w:hint="eastAsia"/>
        </w:rPr>
        <w:t>”</w:t>
      </w:r>
      <w:r>
        <w:t>措施不完善等问题长期视而不见，未能及时整改。</w:t>
      </w:r>
    </w:p>
    <w:p>
      <w:pPr>
        <w:pStyle w:val="6"/>
        <w:ind w:firstLine="560"/>
      </w:pPr>
      <w:r>
        <w:t>（3）防范措施</w:t>
      </w:r>
    </w:p>
    <w:p>
      <w:pPr>
        <w:pStyle w:val="6"/>
        <w:ind w:firstLine="560"/>
      </w:pPr>
      <w:r>
        <w:t>1）坚持科学发展安全发展，牢牢坚守安全生产红线。</w:t>
      </w:r>
    </w:p>
    <w:p>
      <w:pPr>
        <w:pStyle w:val="6"/>
        <w:ind w:firstLine="560"/>
      </w:pPr>
      <w:r>
        <w:t>2）切实落实企业主体责任，深入开展隐患排查治理。</w:t>
      </w:r>
    </w:p>
    <w:p>
      <w:pPr>
        <w:pStyle w:val="6"/>
        <w:ind w:firstLine="560"/>
      </w:pPr>
      <w:r>
        <w:t>3）加大政府监督管理力度，保障油气管道安全运行。</w:t>
      </w:r>
    </w:p>
    <w:p>
      <w:pPr>
        <w:pStyle w:val="6"/>
        <w:ind w:firstLine="560"/>
      </w:pPr>
      <w:r>
        <w:t>4）科学规划合理调整布局，提升城市安全保障能力。</w:t>
      </w:r>
    </w:p>
    <w:p>
      <w:pPr>
        <w:pStyle w:val="6"/>
        <w:ind w:firstLine="560"/>
      </w:pPr>
      <w:r>
        <w:t>5）完善油气管道应急管理，全面提高应急处置水平。</w:t>
      </w:r>
    </w:p>
    <w:p>
      <w:pPr>
        <w:pStyle w:val="6"/>
        <w:ind w:firstLine="560"/>
      </w:pPr>
      <w:r>
        <w:t>6）加快安全保障技术研究，健全完善安全标准规范。</w:t>
      </w:r>
    </w:p>
    <w:p>
      <w:pPr>
        <w:pStyle w:val="4"/>
        <w:spacing w:before="63" w:after="63"/>
      </w:pPr>
      <w:r>
        <w:t>5.4.2新疆独山子在建原油储罐</w:t>
      </w:r>
      <w:r>
        <w:rPr>
          <w:rFonts w:hint="eastAsia"/>
        </w:rPr>
        <w:t>“</w:t>
      </w:r>
      <w:r>
        <w:t>10.28</w:t>
      </w:r>
      <w:r>
        <w:rPr>
          <w:rFonts w:hint="eastAsia"/>
        </w:rPr>
        <w:t>”</w:t>
      </w:r>
      <w:r>
        <w:t>特大爆炸事故</w:t>
      </w:r>
    </w:p>
    <w:p>
      <w:pPr>
        <w:pStyle w:val="6"/>
        <w:ind w:firstLine="560"/>
      </w:pPr>
      <w:r>
        <w:t>2006年10月28日，中国石油天然气股份有限公司新疆独山子石化分公司在建的10万立方米原油储罐内浮顶隔舱在刷漆防腐作业时发生爆炸。事故造成13人死亡，6人受轻伤。</w:t>
      </w:r>
    </w:p>
    <w:p>
      <w:pPr>
        <w:pStyle w:val="6"/>
        <w:ind w:firstLine="560"/>
        <w:rPr>
          <w:lang w:val="en-US"/>
        </w:rPr>
      </w:pPr>
      <w:r>
        <w:t>（</w:t>
      </w:r>
      <w:r>
        <w:rPr>
          <w:lang w:val="en-US"/>
        </w:rPr>
        <w:t>1</w:t>
      </w:r>
      <w:r>
        <w:t>）</w:t>
      </w:r>
      <w:r>
        <w:rPr>
          <w:lang w:val="en-US"/>
        </w:rPr>
        <w:t>事故经过</w:t>
      </w:r>
    </w:p>
    <w:p>
      <w:pPr>
        <w:pStyle w:val="6"/>
        <w:ind w:firstLine="560"/>
      </w:pPr>
      <w:r>
        <w:t>2006年10月28日，安徽省防腐工程总公司27名施工人员在中国石油天然气股份有限公司新疆独山子石化分公司原油储罐浮顶隔舱内进行刷漆作业，其中施工队长、小队长及配料工各1人，其他24人被平均分为4个作业组。防腐所使用的防锈漆为环氧云铁中间漆，稀料主要成分为苯、甲苯。当日19</w:t>
      </w:r>
      <w:r>
        <w:rPr>
          <w:lang w:val="en-US"/>
        </w:rPr>
        <w:t>时</w:t>
      </w:r>
      <w:r>
        <w:t>16分，在作业接近结束时，隔舱突然发生爆炸，造成13人死亡、6人轻伤，损毁储罐浮顶面积达850平方米。</w:t>
      </w:r>
    </w:p>
    <w:p>
      <w:pPr>
        <w:pStyle w:val="6"/>
        <w:ind w:firstLine="560"/>
        <w:rPr>
          <w:lang w:val="en-US"/>
        </w:rPr>
      </w:pPr>
      <w:r>
        <w:t>（</w:t>
      </w:r>
      <w:r>
        <w:rPr>
          <w:lang w:val="en-US"/>
        </w:rPr>
        <w:t>2</w:t>
      </w:r>
      <w:r>
        <w:t>）</w:t>
      </w:r>
      <w:r>
        <w:rPr>
          <w:lang w:val="en-US"/>
        </w:rPr>
        <w:t>事故原因</w:t>
      </w:r>
    </w:p>
    <w:p>
      <w:pPr>
        <w:pStyle w:val="6"/>
        <w:ind w:firstLine="560"/>
        <w:rPr>
          <w:lang w:val="en-US"/>
        </w:rPr>
      </w:pPr>
      <w:r>
        <w:rPr>
          <w:lang w:val="en-US"/>
        </w:rPr>
        <w:t>1）直接原因</w:t>
      </w:r>
    </w:p>
    <w:p>
      <w:pPr>
        <w:pStyle w:val="6"/>
        <w:ind w:firstLine="560"/>
        <w:rPr>
          <w:lang w:val="en-US"/>
        </w:rPr>
      </w:pPr>
      <w:r>
        <w:rPr>
          <w:lang w:val="en-US"/>
        </w:rPr>
        <w:t>在施工过程中，安徽省防腐工程总公司违规私自更换防锈漆稀料，用含苯及甲苯等挥发性更大的有机溶剂替代原施工方案确定的主要成分为二甲苯、丁醇和乙二醇乙醚醋酸酯，在没有采取任何强制通风措施的情况下组织施工，使储罐隔舱内防锈漆和稀料中的有机溶剂挥发、积累达到爆炸极限；施工现场电气线路不符合安全规范要求，使用的行灯和手持照明灯具都没有防爆功能。电气火花引爆了达到爆炸极限的可燃气体，导致这起特大爆炸事故的发生。</w:t>
      </w:r>
    </w:p>
    <w:p>
      <w:pPr>
        <w:pStyle w:val="6"/>
        <w:ind w:firstLine="560"/>
        <w:rPr>
          <w:lang w:val="en-US"/>
        </w:rPr>
      </w:pPr>
      <w:r>
        <w:rPr>
          <w:lang w:val="en-US"/>
        </w:rPr>
        <w:t>2）间接原因</w:t>
      </w:r>
    </w:p>
    <w:p>
      <w:pPr>
        <w:pStyle w:val="6"/>
        <w:ind w:firstLine="560"/>
      </w:pPr>
      <w:r>
        <w:t>负责建设工程施工单位安全管理存在严重问题。安全管理制度不健全，没有制定受限空间安全作业规程，没有按规定配备专职安全员，没有对施工人员进行安全培训；作业现场管理混乱，在可能形成爆炸性气体的作业场所火种管理不严，使用非防爆照明灯具等电器设备，施工现场还发现有手机、香烟和打火机等物品；且施工组织极不合理，多人同时在一个狭小空间内作业。负责建设工程监理的克拉玛依市独山子众恒建设项目管理有限公司监理责任落实不到位。该公司内部管理混乱，监理人员数量、素质与承揽项目不相适应，监理水平低；对施工作业现场缺乏有效的监督和检查措施，安全监理不规范，不能及时纠正施工现场长期存在的违章现象。</w:t>
      </w:r>
    </w:p>
    <w:p>
      <w:pPr>
        <w:pStyle w:val="6"/>
        <w:ind w:firstLine="560"/>
        <w:rPr>
          <w:lang w:val="en-US"/>
        </w:rPr>
      </w:pPr>
      <w:r>
        <w:t>（</w:t>
      </w:r>
      <w:r>
        <w:rPr>
          <w:lang w:val="en-US"/>
        </w:rPr>
        <w:t>3</w:t>
      </w:r>
      <w:r>
        <w:t>）</w:t>
      </w:r>
      <w:r>
        <w:rPr>
          <w:lang w:val="en-US"/>
        </w:rPr>
        <w:t>事故教训与预防对策措施</w:t>
      </w:r>
    </w:p>
    <w:p>
      <w:pPr>
        <w:pStyle w:val="6"/>
        <w:ind w:firstLine="560"/>
      </w:pPr>
      <w:r>
        <w:rPr>
          <w:lang w:val="en-US"/>
        </w:rPr>
        <w:t>1）</w:t>
      </w:r>
      <w:r>
        <w:t>危险化学品建设项目在项目建设过程中施工单位应完善安全管理制度，强化施工现场的安全监管。要加大安全教育培训力度，增强从业人员安全意识，提高业务能力。此次事故中，施工单位没有制定受限空间安全作业规程，私自违规更换挥发性更强的有机溶剂，导致施工现场可燃性气体积聚，达到爆炸极限范围；从业人员在高浓度苯、甲苯的环境中使用没有防爆功能的行灯和手持照明灯具等，施工现场还发现有手机、香烟和打火机等物品，最终导致了事故的发生。</w:t>
      </w:r>
    </w:p>
    <w:p>
      <w:pPr>
        <w:pStyle w:val="6"/>
        <w:ind w:firstLine="560"/>
        <w:rPr>
          <w:lang w:val="en-US"/>
        </w:rPr>
      </w:pPr>
      <w:r>
        <w:rPr>
          <w:lang w:val="en-US"/>
        </w:rPr>
        <w:t>2）危险化学品项目建设单位要加强对建设工程全过程的安全监督管理。通过招投标选择有资质的施工队伍和工程监理，所选单位安全管理制度要健全，具有较丰富的工程经验，人员安全素质较高。要加强施工过程中对施工单位、监理单位安全生产的协调与管理，持续对施工单位和监理单位的安全管理和施工作业现场安全状况进行监督检查。发现施工现场安全管理混乱的要立即停工整顿，对不符合施工安全要求和严重违反施工安全管理规定的，要坚决依法处理。负责该项目建设工程监理的单位内部管理混乱，监理人员数量、素质与承揽项目不相适应，监理水平低，监理责任落实不到位，为事故的发生埋下了隐患。</w:t>
      </w:r>
    </w:p>
    <w:p>
      <w:pPr>
        <w:pStyle w:val="6"/>
        <w:ind w:firstLine="560"/>
        <w:rPr>
          <w:lang w:val="en-US"/>
        </w:rPr>
      </w:pPr>
      <w:r>
        <w:rPr>
          <w:lang w:val="en-US"/>
        </w:rPr>
        <w:t>3）危险化学品项目建设工程监理单位要严格执行有关要求，认真落实建设工程安全生产监理责任。加强施工现场安全生产巡视检查，规范监理程序和标准，对发现的各类安全事故隐患，及时通知施工单位，并监督其立即整改；情况严重的，要求施工单位立即停工整改，并同时将有关情况报告建设单位。负责该项目建设工程监理的单位对施工作业现场缺乏有效的监督和检查措施，安全监理不规范，不能及时纠正施工现场长期存在的违章现象，直至事故发生。</w:t>
      </w:r>
    </w:p>
    <w:p>
      <w:pPr>
        <w:widowControl w:val="0"/>
        <w:adjustRightInd w:val="0"/>
        <w:snapToGrid w:val="0"/>
        <w:spacing w:before="63" w:beforeLines="20" w:after="63" w:afterLines="20" w:line="360" w:lineRule="auto"/>
        <w:ind w:left="140" w:leftChars="50" w:firstLine="0" w:firstLineChars="0"/>
        <w:outlineLvl w:val="2"/>
        <w:rPr>
          <w:rFonts w:ascii="Times New Roman" w:hAnsi="Times New Roman" w:eastAsia="黑体" w:cs="Times New Roman"/>
          <w:color w:val="auto"/>
          <w:kern w:val="2"/>
          <w:sz w:val="28"/>
          <w:szCs w:val="28"/>
          <w:lang w:val="en-US" w:eastAsia="zh-CN" w:bidi="ar-SA"/>
        </w:rPr>
      </w:pPr>
      <w:r>
        <w:rPr>
          <w:rFonts w:ascii="Times New Roman" w:hAnsi="Times New Roman" w:eastAsia="黑体" w:cs="Times New Roman"/>
          <w:color w:val="auto"/>
          <w:kern w:val="2"/>
          <w:sz w:val="28"/>
          <w:szCs w:val="28"/>
          <w:lang w:val="en-US" w:eastAsia="zh-CN" w:bidi="ar-SA"/>
        </w:rPr>
        <w:t>5.4.</w:t>
      </w:r>
      <w:r>
        <w:rPr>
          <w:rFonts w:hint="eastAsia" w:ascii="Times New Roman" w:hAnsi="Times New Roman" w:eastAsia="黑体" w:cs="Times New Roman"/>
          <w:color w:val="auto"/>
          <w:kern w:val="2"/>
          <w:sz w:val="28"/>
          <w:szCs w:val="28"/>
          <w:lang w:val="en-US" w:eastAsia="zh-CN" w:bidi="ar-SA"/>
        </w:rPr>
        <w:t>3大连石化公司</w:t>
      </w:r>
      <w:r>
        <w:rPr>
          <w:rFonts w:hint="default" w:ascii="Times New Roman" w:hAnsi="Times New Roman" w:eastAsia="黑体" w:cs="Times New Roman"/>
          <w:color w:val="auto"/>
          <w:kern w:val="2"/>
          <w:sz w:val="28"/>
          <w:szCs w:val="28"/>
          <w:lang w:val="en-US" w:eastAsia="zh-CN" w:bidi="ar-SA"/>
        </w:rPr>
        <w:t>“2011.8.29”</w:t>
      </w:r>
      <w:r>
        <w:rPr>
          <w:rFonts w:hint="eastAsia" w:ascii="Times New Roman" w:hAnsi="Times New Roman" w:eastAsia="黑体" w:cs="Times New Roman"/>
          <w:color w:val="auto"/>
          <w:kern w:val="2"/>
          <w:sz w:val="28"/>
          <w:szCs w:val="28"/>
          <w:lang w:val="en-US" w:eastAsia="zh-CN" w:bidi="ar-SA"/>
        </w:rPr>
        <w:t>火灾事故</w:t>
      </w:r>
    </w:p>
    <w:p>
      <w:pPr>
        <w:pStyle w:val="6"/>
        <w:ind w:firstLine="560"/>
        <w:rPr>
          <w:rFonts w:hint="eastAsia"/>
          <w:color w:val="auto"/>
          <w:lang w:val="en-US"/>
        </w:rPr>
      </w:pPr>
      <w:r>
        <w:rPr>
          <w:rFonts w:hint="eastAsia"/>
          <w:color w:val="auto"/>
          <w:lang w:val="en-US"/>
        </w:rPr>
        <w:t>2011年8月29日9寸56分44秒，大连石化公司储运车间八七罐区875#罐发生爆炸火灾事故。事故没有造成人员伤亡。</w:t>
      </w:r>
    </w:p>
    <w:p>
      <w:pPr>
        <w:pStyle w:val="6"/>
        <w:ind w:firstLine="560"/>
        <w:rPr>
          <w:rFonts w:hint="eastAsia"/>
          <w:color w:val="auto"/>
          <w:lang w:val="en-US" w:eastAsia="zh-CN"/>
        </w:rPr>
      </w:pPr>
      <w:r>
        <w:rPr>
          <w:rFonts w:hint="eastAsia"/>
          <w:color w:val="auto"/>
          <w:lang w:val="en-US" w:eastAsia="zh-CN"/>
        </w:rPr>
        <w:t>（1）事故经过</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2011年8月29日8时10分左右，大连石化公司储运车间大班长吴某接到公司生产运行处徐某的调度指令，要求将柴油调合一线从877罐改至875#罐。在与车间工艺员尤某核实确认后，8时30分左右，吴某通知一班班长周某准备做此项工作，周某通知内操员多某让她联系上游装置操作员等相关人员；9时30分左右，多某通知周某切换的准备工作已经做好，于是，周某赶到875#罐组立确认收油流程，并在现场用对讲机通知多某可以切换，多某随后开始切换作业；9时52分40秒，875罐入口电动阀开启，液面从静置状态的0.969m逐渐上升；9时56分44秒，875#罐突然发生爆燃，罐底撕裂，并引起火灾。</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w:t>
      </w:r>
      <w:r>
        <w:rPr>
          <w:rFonts w:hint="eastAsia"/>
          <w:color w:val="auto"/>
          <w:lang w:val="en-US" w:eastAsia="zh-CN"/>
        </w:rPr>
        <w:t>2</w:t>
      </w:r>
      <w:r>
        <w:rPr>
          <w:rFonts w:hint="default"/>
          <w:color w:val="auto"/>
          <w:lang w:val="en-US" w:eastAsia="zh-CN"/>
        </w:rPr>
        <w:t>）事故经过</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1.直接原因</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875罐在浮盘未浮起的情况下，收油管出口流速达4.34m/s，超过1m/s的安全界限，产生大量静电并发生放电，在浮盘下引燃油雾、可燃性气体与空气形成的混合气体（80万柴油加氢装置波动，造成较多轻组分进入875#罐），发生爆炸。由此确认，这起事故的直接原因是静电放电引起的可燃性混合气体爆炸。</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2.间接原因</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1）在最低液面的管理上，大连石化公司未落实相关规程的规定。</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大连石化公司采用《石油化工设备维护检修规程》（第一册）（中国石油化工有限公司和中国石油化工股份有限公司联合修订）《通用设备》中《常压立式圆筒形钢制焊接储罐检维修规程》</w:t>
      </w:r>
      <w:r>
        <w:rPr>
          <w:rFonts w:hint="eastAsia"/>
          <w:color w:val="auto"/>
          <w:lang w:val="en-US" w:eastAsia="zh-CN"/>
        </w:rPr>
        <w:t>（</w:t>
      </w:r>
      <w:r>
        <w:rPr>
          <w:rFonts w:hint="default"/>
          <w:color w:val="auto"/>
          <w:lang w:val="en-US" w:eastAsia="zh-CN"/>
        </w:rPr>
        <w:t>SHS01012-2004</w:t>
      </w:r>
      <w:r>
        <w:rPr>
          <w:rFonts w:hint="eastAsia"/>
          <w:color w:val="auto"/>
          <w:lang w:val="en-US" w:eastAsia="zh-CN"/>
        </w:rPr>
        <w:t>，</w:t>
      </w:r>
      <w:r>
        <w:rPr>
          <w:rFonts w:hint="default"/>
          <w:color w:val="auto"/>
          <w:lang w:val="en-US" w:eastAsia="zh-CN"/>
        </w:rPr>
        <w:t>以下简称：常压储罐检维修规程</w:t>
      </w:r>
      <w:r>
        <w:rPr>
          <w:rFonts w:hint="eastAsia"/>
          <w:color w:val="auto"/>
          <w:lang w:val="en-US" w:eastAsia="zh-CN"/>
        </w:rPr>
        <w:t>）</w:t>
      </w:r>
      <w:r>
        <w:rPr>
          <w:rFonts w:hint="default"/>
          <w:color w:val="auto"/>
          <w:lang w:val="en-US" w:eastAsia="zh-CN"/>
        </w:rPr>
        <w:t>，对875#储罐进行生产运行管理。《常压储罐检维修规程》第5.1.4条中规定：“储罐在操作过程中应注意：浮顶罐和内浮顶罐正常操作时，其最低液面不应低于浮顶、内浮顶（或内浮盘）的支撑高度。”</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事故发生时，大连石化公司在875#储罐最低液面的管理上，未落实上述规程的规定。</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2）在收油作业中，大连石化公司未重视油品流速可能带来的安全风险，未对油品流速进行有效的风险辨识。</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大连石化公司《储运车间操作规程》（QJ/DSH 88-2007）4.4.5.1、4.4.5.2规定：</w:t>
      </w:r>
      <w:r>
        <w:rPr>
          <w:rFonts w:hint="eastAsia"/>
          <w:color w:val="auto"/>
          <w:lang w:val="en-US" w:eastAsia="zh-CN"/>
        </w:rPr>
        <w:t>“</w:t>
      </w:r>
      <w:r>
        <w:rPr>
          <w:rFonts w:hint="default"/>
          <w:color w:val="auto"/>
          <w:lang w:val="en-US" w:eastAsia="zh-CN"/>
        </w:rPr>
        <w:t>内浮顶油罐开始投用应控制好收油速度，空罐收油初始速度不应大于1m/s；当油品没过收油线后，收油速度不应大于4.5m/s。</w:t>
      </w:r>
      <w:r>
        <w:rPr>
          <w:rFonts w:hint="eastAsia"/>
          <w:color w:val="auto"/>
          <w:lang w:val="en-US" w:eastAsia="zh-CN"/>
        </w:rPr>
        <w:t>”</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本次事故发生前，875#成品柴油内浮顶储罐内柴油液面高度为0.969m，已浸没注入口241mm，其注入流速为4.34m/s，虽符合《液体石油产品静电安全规程》（GB13348-2009）和《储运车间操作规程》（QJ/DSH88-2007）规定，但油品的高速流动产生的静电，其放电能量接近或大于4mJ，远远大于浮盘下部空间内的油雾、可燃性气体与空气混合形成爆炸性混合气体的最小点火能。</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default"/>
          <w:color w:val="auto"/>
          <w:lang w:val="en-US" w:eastAsia="zh-CN"/>
        </w:rPr>
        <w:t>大连石化公司对上述风险未高度重视，未进行有效的风险辨识。</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eastAsia"/>
          <w:color w:val="auto"/>
          <w:lang w:val="en-US" w:eastAsia="zh-CN"/>
        </w:rPr>
      </w:pPr>
      <w:r>
        <w:rPr>
          <w:rFonts w:hint="eastAsia"/>
          <w:color w:val="auto"/>
          <w:lang w:val="en-US" w:eastAsia="zh-CN"/>
        </w:rPr>
        <w:t>3）大连石化公司对储油罐维护保养不到位。</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eastAsia"/>
          <w:color w:val="auto"/>
          <w:lang w:val="en-US" w:eastAsia="zh-CN"/>
        </w:rPr>
      </w:pPr>
      <w:r>
        <w:rPr>
          <w:rFonts w:hint="eastAsia"/>
          <w:color w:val="auto"/>
          <w:lang w:val="en-US" w:eastAsia="zh-CN"/>
        </w:rPr>
        <w:t>储运车间设备员对储罐每月进行一次检查。检查时，打开罐顶固定透光孔盖，使用手电进行观察，受光线、观察位置影响，对浮盘状况、腐蚀状况、密封状况等检查不全面。</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eastAsia"/>
          <w:color w:val="auto"/>
          <w:lang w:val="en-US" w:eastAsia="zh-CN"/>
        </w:rPr>
      </w:pPr>
      <w:r>
        <w:rPr>
          <w:rFonts w:hint="eastAsia"/>
          <w:color w:val="auto"/>
          <w:lang w:val="en-US" w:eastAsia="zh-CN"/>
        </w:rPr>
        <w:t>由于875#罐被烧整体坍塌，无法确定当时浮盘的情况。据对同期使用的874#、876#、877#罐内部进行检查，发现罐内存在浮筒抱箍松落，浮顶压条、浮筒一端下垂的现象。大连石化公司储运车间未针对储罐的实际情况，对储罐进行有效的维护保养。</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eastAsia"/>
          <w:color w:val="auto"/>
          <w:lang w:val="en-US" w:eastAsia="zh-CN"/>
        </w:rPr>
      </w:pPr>
      <w:r>
        <w:rPr>
          <w:rFonts w:hint="eastAsia"/>
          <w:color w:val="auto"/>
          <w:lang w:val="en-US" w:eastAsia="zh-CN"/>
        </w:rPr>
        <w:t>4）大连石化公司对80万t/a柴油加氢装置气提塔温度变化和氢气气提方式存在的安全风险未能有效辨识，未采取有效措施。</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eastAsia"/>
          <w:color w:val="auto"/>
          <w:lang w:val="en-US" w:eastAsia="zh-CN"/>
        </w:rPr>
        <w:t>气提塔塔底、塔顶温度同步降低，造成塔底轻组分增加；气提氢气增加，塔顶压力升高，带来溶解氢增加。大连石化公司未能对上述风险进行有效辨识；针对气提塔的异常变化，大连石化公司未采取有效的措施防止轻组分进入柴油罐。</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eastAsia"/>
          <w:color w:val="auto"/>
          <w:lang w:val="en-US" w:eastAsia="zh-CN"/>
        </w:rPr>
      </w:pPr>
      <w:r>
        <w:rPr>
          <w:rFonts w:hint="default"/>
          <w:color w:val="auto"/>
          <w:lang w:val="en-US" w:eastAsia="zh-CN"/>
        </w:rPr>
        <w:t>（</w:t>
      </w:r>
      <w:r>
        <w:rPr>
          <w:rFonts w:hint="eastAsia"/>
          <w:color w:val="auto"/>
          <w:lang w:val="en-US" w:eastAsia="zh-CN"/>
        </w:rPr>
        <w:t>3</w:t>
      </w:r>
      <w:r>
        <w:rPr>
          <w:rFonts w:hint="default"/>
          <w:color w:val="auto"/>
          <w:lang w:val="en-US" w:eastAsia="zh-CN"/>
        </w:rPr>
        <w:t>）</w:t>
      </w:r>
      <w:r>
        <w:rPr>
          <w:rFonts w:hint="eastAsia"/>
          <w:color w:val="auto"/>
          <w:lang w:val="en-US" w:eastAsia="zh-CN"/>
        </w:rPr>
        <w:t>防范措施</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eastAsia"/>
          <w:color w:val="auto"/>
          <w:lang w:val="en-US" w:eastAsia="zh-CN"/>
        </w:rPr>
        <w:t>1）</w:t>
      </w:r>
      <w:r>
        <w:rPr>
          <w:rFonts w:hint="default"/>
          <w:color w:val="auto"/>
          <w:lang w:val="en-US" w:eastAsia="zh-CN"/>
        </w:rPr>
        <w:t>加强设备、工艺管理，完善设备检维修制度，严格工艺纪律。</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eastAsia"/>
          <w:color w:val="auto"/>
          <w:lang w:val="en-US" w:eastAsia="zh-CN"/>
        </w:rPr>
        <w:t>2）</w:t>
      </w:r>
      <w:r>
        <w:rPr>
          <w:rFonts w:hint="default"/>
          <w:color w:val="auto"/>
          <w:lang w:val="en-US" w:eastAsia="zh-CN"/>
        </w:rPr>
        <w:t>立即对全公司的各类油品储罐，特别是内浮顶储罐进行全面的安全检查。重点对储罐的基础、壁厚、静电连接导线、浮盘、密封胶圈、导静电涂层、油罐附件、加热、自动脱水器等进行安全隐患排查。</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eastAsia"/>
          <w:color w:val="auto"/>
          <w:lang w:val="en-US" w:eastAsia="zh-CN"/>
        </w:rPr>
        <w:t>3）</w:t>
      </w:r>
      <w:r>
        <w:rPr>
          <w:rFonts w:hint="default"/>
          <w:color w:val="auto"/>
          <w:lang w:val="en-US" w:eastAsia="zh-CN"/>
        </w:rPr>
        <w:t>全面强化设备管理，针对储存（使用）介质的不同，制定针对性强的检维修周期和内容，特别是对内部易腐蚀或损坏的储油装置（设施），应缩短检维修周期。确定合理的浮盘检查高度，并采取可靠的检查手段，确保安全运行。</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auto"/>
          <w:lang w:val="en-US" w:eastAsia="zh-CN"/>
        </w:rPr>
      </w:pPr>
      <w:r>
        <w:rPr>
          <w:rFonts w:hint="eastAsia"/>
          <w:color w:val="auto"/>
          <w:lang w:val="en-US" w:eastAsia="zh-CN"/>
        </w:rPr>
        <w:t>4）</w:t>
      </w:r>
      <w:r>
        <w:rPr>
          <w:rFonts w:hint="default"/>
          <w:color w:val="auto"/>
          <w:lang w:val="en-US" w:eastAsia="zh-CN"/>
        </w:rPr>
        <w:t>要依据国家或行业最新标准、规范，组织合规性评价，及时修订企业各类操作规程。</w:t>
      </w:r>
    </w:p>
    <w:p>
      <w:pPr>
        <w:pStyle w:val="6"/>
        <w:keepNext w:val="0"/>
        <w:keepLines w:val="0"/>
        <w:pageBreakBefore w:val="0"/>
        <w:widowControl/>
        <w:kinsoku/>
        <w:wordWrap/>
        <w:overflowPunct/>
        <w:topLinePunct w:val="0"/>
        <w:autoSpaceDE/>
        <w:autoSpaceDN/>
        <w:bidi w:val="0"/>
        <w:adjustRightInd w:val="0"/>
        <w:snapToGrid w:val="0"/>
        <w:ind w:firstLine="560"/>
        <w:textAlignment w:val="auto"/>
        <w:rPr>
          <w:rFonts w:hint="default"/>
          <w:color w:val="0000FF"/>
          <w:lang w:val="en-US" w:eastAsia="zh-CN"/>
        </w:rPr>
      </w:pPr>
      <w:r>
        <w:rPr>
          <w:rFonts w:hint="eastAsia"/>
          <w:color w:val="auto"/>
          <w:lang w:val="en-US" w:eastAsia="zh-CN"/>
        </w:rPr>
        <w:t>5）</w:t>
      </w:r>
      <w:r>
        <w:rPr>
          <w:rFonts w:hint="default"/>
          <w:color w:val="auto"/>
          <w:lang w:val="en-US" w:eastAsia="zh-CN"/>
        </w:rPr>
        <w:t>建议研究在调合头后、入罐口前加装流速自动在线检测装置的可行性，制定相应的操作规程，确保安全流速。</w:t>
      </w:r>
    </w:p>
    <w:p>
      <w:pPr>
        <w:pStyle w:val="16"/>
        <w:rPr>
          <w:rFonts w:ascii="Times New Roman" w:hAnsi="Times New Roman" w:cs="Times New Roman"/>
        </w:rPr>
      </w:pPr>
      <w:r>
        <w:rPr>
          <w:rFonts w:ascii="Times New Roman" w:hAnsi="Times New Roman" w:cs="Times New Roman"/>
        </w:rPr>
        <w:br w:type="page"/>
      </w:r>
      <w:bookmarkStart w:id="87" w:name="_Toc19499"/>
      <w:r>
        <w:rPr>
          <w:rFonts w:ascii="Times New Roman" w:hAnsi="Times New Roman" w:cs="Times New Roman"/>
        </w:rPr>
        <w:t>安全条件分析</w:t>
      </w:r>
      <w:bookmarkEnd w:id="87"/>
    </w:p>
    <w:p>
      <w:pPr>
        <w:pStyle w:val="3"/>
        <w:spacing w:before="159" w:after="159"/>
      </w:pPr>
      <w:bookmarkStart w:id="88" w:name="_Toc11154"/>
      <w:r>
        <w:t>建设项目外部安全条件分析</w:t>
      </w:r>
      <w:bookmarkEnd w:id="88"/>
    </w:p>
    <w:p>
      <w:pPr>
        <w:pStyle w:val="4"/>
        <w:spacing w:before="63" w:after="63"/>
      </w:pPr>
      <w:r>
        <w:t>6.1.1 建设项目周边24小时内储存经营活动和居民生活的情况</w:t>
      </w:r>
    </w:p>
    <w:p>
      <w:pPr>
        <w:pStyle w:val="6"/>
        <w:ind w:firstLine="560"/>
      </w:pPr>
      <w:r>
        <w:t>石油化工总厂厂区北面有大赵村、小赵村等村庄以及山东海科化工有限公司、东营市鑫博化工有限责任公司、</w:t>
      </w:r>
      <w:r>
        <w:rPr>
          <w:lang w:val="en-US"/>
        </w:rPr>
        <w:t>山东</w:t>
      </w:r>
      <w:r>
        <w:t>万金石化</w:t>
      </w:r>
      <w:r>
        <w:rPr>
          <w:lang w:val="en-US"/>
        </w:rPr>
        <w:t>有限公司</w:t>
      </w:r>
      <w:r>
        <w:t>、山东万通石油化工集团有限公司，北面700m处有一条由东西向的排水渠－五干排；东临郝纯路（228省道）；南侧为东营市益盛石油产品销售有限责任公司、东营立洋化工有限公司、山东神驰化工集团有限公司；西侧为东营胜利中亚化工有限公司、东营宝莫环境工程有限公司以及东营德佑环保科技有限公司。该项目</w:t>
      </w:r>
      <w:r>
        <w:rPr>
          <w:lang w:val="en-US"/>
        </w:rPr>
        <w:t>在石油化工总厂厂区内建设，与</w:t>
      </w:r>
      <w:r>
        <w:t>周边的防火间距详见表2.3-1。项目周边人员分布情况见下表。</w:t>
      </w:r>
    </w:p>
    <w:p>
      <w:pPr>
        <w:pStyle w:val="23"/>
      </w:pPr>
      <w:r>
        <w:t>表6.1-1项目</w:t>
      </w:r>
      <w:r>
        <w:rPr>
          <w:lang w:val="en-US"/>
        </w:rPr>
        <w:t>储罐区</w:t>
      </w:r>
      <w:r>
        <w:t>周边人员主要分布情况表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3211"/>
        <w:gridCol w:w="1109"/>
        <w:gridCol w:w="1057"/>
        <w:gridCol w:w="21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rPr>
                <w:b/>
                <w:bCs/>
              </w:rPr>
            </w:pPr>
            <w:r>
              <w:rPr>
                <w:b/>
                <w:bCs/>
              </w:rPr>
              <w:t>序号</w:t>
            </w:r>
          </w:p>
        </w:tc>
        <w:tc>
          <w:tcPr>
            <w:tcW w:w="3211" w:type="dxa"/>
            <w:tcBorders>
              <w:tl2br w:val="nil"/>
              <w:tr2bl w:val="nil"/>
            </w:tcBorders>
            <w:vAlign w:val="center"/>
          </w:tcPr>
          <w:p>
            <w:pPr>
              <w:pStyle w:val="24"/>
              <w:rPr>
                <w:b/>
                <w:bCs/>
              </w:rPr>
            </w:pPr>
            <w:r>
              <w:rPr>
                <w:b/>
                <w:bCs/>
              </w:rPr>
              <w:t>受体名称</w:t>
            </w:r>
          </w:p>
        </w:tc>
        <w:tc>
          <w:tcPr>
            <w:tcW w:w="1109" w:type="dxa"/>
            <w:tcBorders>
              <w:tl2br w:val="nil"/>
              <w:tr2bl w:val="nil"/>
            </w:tcBorders>
            <w:vAlign w:val="center"/>
          </w:tcPr>
          <w:p>
            <w:pPr>
              <w:pStyle w:val="24"/>
              <w:rPr>
                <w:b/>
                <w:bCs/>
              </w:rPr>
            </w:pPr>
            <w:r>
              <w:rPr>
                <w:b/>
                <w:bCs/>
              </w:rPr>
              <w:t>方位</w:t>
            </w:r>
          </w:p>
        </w:tc>
        <w:tc>
          <w:tcPr>
            <w:tcW w:w="1057" w:type="dxa"/>
            <w:tcBorders>
              <w:tl2br w:val="nil"/>
              <w:tr2bl w:val="nil"/>
            </w:tcBorders>
            <w:vAlign w:val="center"/>
          </w:tcPr>
          <w:p>
            <w:pPr>
              <w:pStyle w:val="24"/>
              <w:rPr>
                <w:b/>
                <w:bCs/>
              </w:rPr>
            </w:pPr>
            <w:r>
              <w:rPr>
                <w:b/>
                <w:bCs/>
              </w:rPr>
              <w:t>距离</w:t>
            </w:r>
          </w:p>
        </w:tc>
        <w:tc>
          <w:tcPr>
            <w:tcW w:w="2126" w:type="dxa"/>
            <w:tcBorders>
              <w:tl2br w:val="nil"/>
              <w:tr2bl w:val="nil"/>
            </w:tcBorders>
            <w:vAlign w:val="center"/>
          </w:tcPr>
          <w:p>
            <w:pPr>
              <w:pStyle w:val="24"/>
              <w:rPr>
                <w:b/>
                <w:bCs/>
              </w:rPr>
            </w:pPr>
            <w:r>
              <w:rPr>
                <w:b/>
                <w:bCs/>
              </w:rPr>
              <w:t>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1</w:t>
            </w:r>
          </w:p>
        </w:tc>
        <w:tc>
          <w:tcPr>
            <w:tcW w:w="3211" w:type="dxa"/>
            <w:tcBorders>
              <w:tl2br w:val="nil"/>
              <w:tr2bl w:val="nil"/>
            </w:tcBorders>
            <w:vAlign w:val="center"/>
          </w:tcPr>
          <w:p>
            <w:pPr>
              <w:pStyle w:val="24"/>
            </w:pPr>
            <w:r>
              <w:t>小赵村</w:t>
            </w:r>
          </w:p>
        </w:tc>
        <w:tc>
          <w:tcPr>
            <w:tcW w:w="1109" w:type="dxa"/>
            <w:tcBorders>
              <w:tl2br w:val="nil"/>
              <w:tr2bl w:val="nil"/>
            </w:tcBorders>
            <w:vAlign w:val="center"/>
          </w:tcPr>
          <w:p>
            <w:pPr>
              <w:pStyle w:val="24"/>
            </w:pPr>
            <w:r>
              <w:t>北侧</w:t>
            </w:r>
          </w:p>
        </w:tc>
        <w:tc>
          <w:tcPr>
            <w:tcW w:w="1057" w:type="dxa"/>
            <w:tcBorders>
              <w:tl2br w:val="nil"/>
              <w:tr2bl w:val="nil"/>
            </w:tcBorders>
            <w:vAlign w:val="center"/>
          </w:tcPr>
          <w:p>
            <w:pPr>
              <w:pStyle w:val="24"/>
            </w:pPr>
            <w:r>
              <w:t>约500m</w:t>
            </w:r>
          </w:p>
        </w:tc>
        <w:tc>
          <w:tcPr>
            <w:tcW w:w="2126" w:type="dxa"/>
            <w:tcBorders>
              <w:tl2br w:val="nil"/>
              <w:tr2bl w:val="nil"/>
            </w:tcBorders>
            <w:vAlign w:val="center"/>
          </w:tcPr>
          <w:p>
            <w:pPr>
              <w:pStyle w:val="24"/>
            </w:pPr>
            <w:r>
              <w:t>约230以上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2</w:t>
            </w:r>
          </w:p>
        </w:tc>
        <w:tc>
          <w:tcPr>
            <w:tcW w:w="3211" w:type="dxa"/>
            <w:tcBorders>
              <w:tl2br w:val="nil"/>
              <w:tr2bl w:val="nil"/>
            </w:tcBorders>
            <w:vAlign w:val="center"/>
          </w:tcPr>
          <w:p>
            <w:pPr>
              <w:pStyle w:val="24"/>
            </w:pPr>
            <w:r>
              <w:t>大赵村</w:t>
            </w:r>
          </w:p>
        </w:tc>
        <w:tc>
          <w:tcPr>
            <w:tcW w:w="1109" w:type="dxa"/>
            <w:tcBorders>
              <w:tl2br w:val="nil"/>
              <w:tr2bl w:val="nil"/>
            </w:tcBorders>
            <w:vAlign w:val="center"/>
          </w:tcPr>
          <w:p>
            <w:pPr>
              <w:pStyle w:val="24"/>
            </w:pPr>
            <w:r>
              <w:t>西北侧</w:t>
            </w:r>
          </w:p>
        </w:tc>
        <w:tc>
          <w:tcPr>
            <w:tcW w:w="1057" w:type="dxa"/>
            <w:tcBorders>
              <w:tl2br w:val="nil"/>
              <w:tr2bl w:val="nil"/>
            </w:tcBorders>
            <w:vAlign w:val="center"/>
          </w:tcPr>
          <w:p>
            <w:pPr>
              <w:pStyle w:val="24"/>
            </w:pPr>
            <w:r>
              <w:t>约1.1km</w:t>
            </w:r>
          </w:p>
        </w:tc>
        <w:tc>
          <w:tcPr>
            <w:tcW w:w="2126" w:type="dxa"/>
            <w:tcBorders>
              <w:tl2br w:val="nil"/>
              <w:tr2bl w:val="nil"/>
            </w:tcBorders>
            <w:vAlign w:val="center"/>
          </w:tcPr>
          <w:p>
            <w:pPr>
              <w:pStyle w:val="24"/>
            </w:pPr>
            <w:r>
              <w:t>约277以上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3</w:t>
            </w:r>
          </w:p>
        </w:tc>
        <w:tc>
          <w:tcPr>
            <w:tcW w:w="3211" w:type="dxa"/>
            <w:tcBorders>
              <w:tl2br w:val="nil"/>
              <w:tr2bl w:val="nil"/>
            </w:tcBorders>
            <w:vAlign w:val="center"/>
          </w:tcPr>
          <w:p>
            <w:pPr>
              <w:pStyle w:val="24"/>
            </w:pPr>
            <w:r>
              <w:t>十一图村</w:t>
            </w:r>
          </w:p>
        </w:tc>
        <w:tc>
          <w:tcPr>
            <w:tcW w:w="1109" w:type="dxa"/>
            <w:tcBorders>
              <w:tl2br w:val="nil"/>
              <w:tr2bl w:val="nil"/>
            </w:tcBorders>
            <w:vAlign w:val="center"/>
          </w:tcPr>
          <w:p>
            <w:pPr>
              <w:pStyle w:val="24"/>
            </w:pPr>
            <w:r>
              <w:t>南侧</w:t>
            </w:r>
          </w:p>
        </w:tc>
        <w:tc>
          <w:tcPr>
            <w:tcW w:w="1057" w:type="dxa"/>
            <w:tcBorders>
              <w:tl2br w:val="nil"/>
              <w:tr2bl w:val="nil"/>
            </w:tcBorders>
            <w:vAlign w:val="center"/>
          </w:tcPr>
          <w:p>
            <w:pPr>
              <w:pStyle w:val="24"/>
            </w:pPr>
            <w:r>
              <w:t>670m</w:t>
            </w:r>
          </w:p>
        </w:tc>
        <w:tc>
          <w:tcPr>
            <w:tcW w:w="2126" w:type="dxa"/>
            <w:tcBorders>
              <w:tl2br w:val="nil"/>
              <w:tr2bl w:val="nil"/>
            </w:tcBorders>
            <w:vAlign w:val="center"/>
          </w:tcPr>
          <w:p>
            <w:pPr>
              <w:pStyle w:val="24"/>
            </w:pPr>
            <w:r>
              <w:t>约960以上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4</w:t>
            </w:r>
          </w:p>
        </w:tc>
        <w:tc>
          <w:tcPr>
            <w:tcW w:w="3211" w:type="dxa"/>
            <w:tcBorders>
              <w:tl2br w:val="nil"/>
              <w:tr2bl w:val="nil"/>
            </w:tcBorders>
            <w:vAlign w:val="center"/>
          </w:tcPr>
          <w:p>
            <w:pPr>
              <w:pStyle w:val="24"/>
            </w:pPr>
            <w:r>
              <w:t>山东海科化工有限公司</w:t>
            </w:r>
          </w:p>
        </w:tc>
        <w:tc>
          <w:tcPr>
            <w:tcW w:w="1109" w:type="dxa"/>
            <w:tcBorders>
              <w:tl2br w:val="nil"/>
              <w:tr2bl w:val="nil"/>
            </w:tcBorders>
            <w:vAlign w:val="center"/>
          </w:tcPr>
          <w:p>
            <w:pPr>
              <w:pStyle w:val="24"/>
            </w:pPr>
            <w:r>
              <w:t>东北侧</w:t>
            </w:r>
          </w:p>
        </w:tc>
        <w:tc>
          <w:tcPr>
            <w:tcW w:w="1057" w:type="dxa"/>
            <w:tcBorders>
              <w:tl2br w:val="nil"/>
              <w:tr2bl w:val="nil"/>
            </w:tcBorders>
            <w:vAlign w:val="center"/>
          </w:tcPr>
          <w:p>
            <w:pPr>
              <w:pStyle w:val="24"/>
            </w:pPr>
            <w:r>
              <w:t>800m</w:t>
            </w:r>
          </w:p>
        </w:tc>
        <w:tc>
          <w:tcPr>
            <w:tcW w:w="2126" w:type="dxa"/>
            <w:tcBorders>
              <w:tl2br w:val="nil"/>
              <w:tr2bl w:val="nil"/>
            </w:tcBorders>
            <w:vAlign w:val="center"/>
          </w:tcPr>
          <w:p>
            <w:pPr>
              <w:pStyle w:val="24"/>
            </w:pPr>
            <w:r>
              <w:t>约100以上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5</w:t>
            </w:r>
          </w:p>
        </w:tc>
        <w:tc>
          <w:tcPr>
            <w:tcW w:w="3211" w:type="dxa"/>
            <w:tcBorders>
              <w:tl2br w:val="nil"/>
              <w:tr2bl w:val="nil"/>
            </w:tcBorders>
            <w:vAlign w:val="center"/>
          </w:tcPr>
          <w:p>
            <w:pPr>
              <w:pStyle w:val="24"/>
            </w:pPr>
            <w:r>
              <w:t>山东万金石化有限公司</w:t>
            </w:r>
          </w:p>
        </w:tc>
        <w:tc>
          <w:tcPr>
            <w:tcW w:w="1109" w:type="dxa"/>
            <w:tcBorders>
              <w:tl2br w:val="nil"/>
              <w:tr2bl w:val="nil"/>
            </w:tcBorders>
            <w:vAlign w:val="center"/>
          </w:tcPr>
          <w:p>
            <w:pPr>
              <w:pStyle w:val="24"/>
            </w:pPr>
            <w:r>
              <w:t>东北侧</w:t>
            </w:r>
          </w:p>
        </w:tc>
        <w:tc>
          <w:tcPr>
            <w:tcW w:w="1057" w:type="dxa"/>
            <w:tcBorders>
              <w:tl2br w:val="nil"/>
              <w:tr2bl w:val="nil"/>
            </w:tcBorders>
            <w:vAlign w:val="center"/>
          </w:tcPr>
          <w:p>
            <w:pPr>
              <w:pStyle w:val="24"/>
            </w:pPr>
            <w:r>
              <w:t>约1.1km</w:t>
            </w:r>
          </w:p>
        </w:tc>
        <w:tc>
          <w:tcPr>
            <w:tcW w:w="2126" w:type="dxa"/>
            <w:tcBorders>
              <w:tl2br w:val="nil"/>
              <w:tr2bl w:val="nil"/>
            </w:tcBorders>
            <w:vAlign w:val="center"/>
          </w:tcPr>
          <w:p>
            <w:pPr>
              <w:pStyle w:val="24"/>
            </w:pPr>
            <w:r>
              <w:t>约100以上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6</w:t>
            </w:r>
          </w:p>
        </w:tc>
        <w:tc>
          <w:tcPr>
            <w:tcW w:w="3211" w:type="dxa"/>
            <w:tcBorders>
              <w:tl2br w:val="nil"/>
              <w:tr2bl w:val="nil"/>
            </w:tcBorders>
            <w:vAlign w:val="center"/>
          </w:tcPr>
          <w:p>
            <w:pPr>
              <w:pStyle w:val="24"/>
            </w:pPr>
            <w:r>
              <w:t>东营市鑫博化工有限责任公司</w:t>
            </w:r>
          </w:p>
        </w:tc>
        <w:tc>
          <w:tcPr>
            <w:tcW w:w="1109" w:type="dxa"/>
            <w:tcBorders>
              <w:tl2br w:val="nil"/>
              <w:tr2bl w:val="nil"/>
            </w:tcBorders>
            <w:vAlign w:val="center"/>
          </w:tcPr>
          <w:p>
            <w:pPr>
              <w:pStyle w:val="24"/>
            </w:pPr>
            <w:r>
              <w:t>东北侧</w:t>
            </w:r>
          </w:p>
        </w:tc>
        <w:tc>
          <w:tcPr>
            <w:tcW w:w="1057" w:type="dxa"/>
            <w:tcBorders>
              <w:tl2br w:val="nil"/>
              <w:tr2bl w:val="nil"/>
            </w:tcBorders>
            <w:vAlign w:val="center"/>
          </w:tcPr>
          <w:p>
            <w:pPr>
              <w:pStyle w:val="24"/>
            </w:pPr>
            <w:r>
              <w:t>约1km</w:t>
            </w:r>
          </w:p>
        </w:tc>
        <w:tc>
          <w:tcPr>
            <w:tcW w:w="2126" w:type="dxa"/>
            <w:tcBorders>
              <w:tl2br w:val="nil"/>
              <w:tr2bl w:val="nil"/>
            </w:tcBorders>
            <w:vAlign w:val="center"/>
          </w:tcPr>
          <w:p>
            <w:pPr>
              <w:pStyle w:val="24"/>
              <w:rPr>
                <w:highlight w:val="yellow"/>
              </w:rPr>
            </w:pPr>
            <w:r>
              <w:t>约10人以上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7</w:t>
            </w:r>
          </w:p>
        </w:tc>
        <w:tc>
          <w:tcPr>
            <w:tcW w:w="3211" w:type="dxa"/>
            <w:tcBorders>
              <w:tl2br w:val="nil"/>
              <w:tr2bl w:val="nil"/>
            </w:tcBorders>
            <w:vAlign w:val="center"/>
          </w:tcPr>
          <w:p>
            <w:pPr>
              <w:pStyle w:val="24"/>
            </w:pPr>
            <w:r>
              <w:t>山东万通石油化工集团有限公司</w:t>
            </w:r>
          </w:p>
        </w:tc>
        <w:tc>
          <w:tcPr>
            <w:tcW w:w="1109" w:type="dxa"/>
            <w:tcBorders>
              <w:tl2br w:val="nil"/>
              <w:tr2bl w:val="nil"/>
            </w:tcBorders>
            <w:vAlign w:val="center"/>
          </w:tcPr>
          <w:p>
            <w:pPr>
              <w:pStyle w:val="24"/>
            </w:pPr>
            <w:r>
              <w:t>东北侧</w:t>
            </w:r>
          </w:p>
        </w:tc>
        <w:tc>
          <w:tcPr>
            <w:tcW w:w="1057" w:type="dxa"/>
            <w:tcBorders>
              <w:tl2br w:val="nil"/>
              <w:tr2bl w:val="nil"/>
            </w:tcBorders>
            <w:vAlign w:val="center"/>
          </w:tcPr>
          <w:p>
            <w:pPr>
              <w:pStyle w:val="24"/>
            </w:pPr>
            <w:r>
              <w:t>约1km</w:t>
            </w:r>
          </w:p>
        </w:tc>
        <w:tc>
          <w:tcPr>
            <w:tcW w:w="2126" w:type="dxa"/>
            <w:tcBorders>
              <w:tl2br w:val="nil"/>
              <w:tr2bl w:val="nil"/>
            </w:tcBorders>
            <w:vAlign w:val="center"/>
          </w:tcPr>
          <w:p>
            <w:pPr>
              <w:pStyle w:val="24"/>
            </w:pPr>
            <w:r>
              <w:t>约500以上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8</w:t>
            </w:r>
          </w:p>
        </w:tc>
        <w:tc>
          <w:tcPr>
            <w:tcW w:w="3211" w:type="dxa"/>
            <w:tcBorders>
              <w:tl2br w:val="nil"/>
              <w:tr2bl w:val="nil"/>
            </w:tcBorders>
            <w:vAlign w:val="center"/>
          </w:tcPr>
          <w:p>
            <w:pPr>
              <w:pStyle w:val="24"/>
            </w:pPr>
            <w:r>
              <w:t>东营市益盛石油产品销售有限责任公司</w:t>
            </w:r>
          </w:p>
        </w:tc>
        <w:tc>
          <w:tcPr>
            <w:tcW w:w="1109" w:type="dxa"/>
            <w:tcBorders>
              <w:tl2br w:val="nil"/>
              <w:tr2bl w:val="nil"/>
            </w:tcBorders>
            <w:vAlign w:val="center"/>
          </w:tcPr>
          <w:p>
            <w:pPr>
              <w:pStyle w:val="24"/>
            </w:pPr>
            <w:r>
              <w:t>南侧</w:t>
            </w:r>
          </w:p>
        </w:tc>
        <w:tc>
          <w:tcPr>
            <w:tcW w:w="1057" w:type="dxa"/>
            <w:tcBorders>
              <w:tl2br w:val="nil"/>
              <w:tr2bl w:val="nil"/>
            </w:tcBorders>
            <w:vAlign w:val="center"/>
          </w:tcPr>
          <w:p>
            <w:pPr>
              <w:pStyle w:val="24"/>
            </w:pPr>
            <w:r>
              <w:t>450m</w:t>
            </w:r>
          </w:p>
        </w:tc>
        <w:tc>
          <w:tcPr>
            <w:tcW w:w="2126" w:type="dxa"/>
            <w:tcBorders>
              <w:tl2br w:val="nil"/>
              <w:tr2bl w:val="nil"/>
            </w:tcBorders>
            <w:vAlign w:val="center"/>
          </w:tcPr>
          <w:p>
            <w:pPr>
              <w:pStyle w:val="24"/>
            </w:pPr>
            <w:r>
              <w:t>约100以上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9</w:t>
            </w:r>
          </w:p>
        </w:tc>
        <w:tc>
          <w:tcPr>
            <w:tcW w:w="3211" w:type="dxa"/>
            <w:tcBorders>
              <w:tl2br w:val="nil"/>
              <w:tr2bl w:val="nil"/>
            </w:tcBorders>
            <w:vAlign w:val="center"/>
          </w:tcPr>
          <w:p>
            <w:pPr>
              <w:pStyle w:val="24"/>
            </w:pPr>
            <w:r>
              <w:t>东营立洋化工有限公司</w:t>
            </w:r>
          </w:p>
        </w:tc>
        <w:tc>
          <w:tcPr>
            <w:tcW w:w="1109" w:type="dxa"/>
            <w:tcBorders>
              <w:tl2br w:val="nil"/>
              <w:tr2bl w:val="nil"/>
            </w:tcBorders>
            <w:vAlign w:val="center"/>
          </w:tcPr>
          <w:p>
            <w:pPr>
              <w:pStyle w:val="24"/>
            </w:pPr>
            <w:r>
              <w:t>南侧</w:t>
            </w:r>
          </w:p>
        </w:tc>
        <w:tc>
          <w:tcPr>
            <w:tcW w:w="1057" w:type="dxa"/>
            <w:tcBorders>
              <w:tl2br w:val="nil"/>
              <w:tr2bl w:val="nil"/>
            </w:tcBorders>
            <w:vAlign w:val="center"/>
          </w:tcPr>
          <w:p>
            <w:pPr>
              <w:pStyle w:val="24"/>
            </w:pPr>
            <w:r>
              <w:t>360m</w:t>
            </w:r>
          </w:p>
        </w:tc>
        <w:tc>
          <w:tcPr>
            <w:tcW w:w="2126" w:type="dxa"/>
            <w:tcBorders>
              <w:tl2br w:val="nil"/>
              <w:tr2bl w:val="nil"/>
            </w:tcBorders>
            <w:vAlign w:val="center"/>
          </w:tcPr>
          <w:p>
            <w:pPr>
              <w:pStyle w:val="24"/>
            </w:pPr>
            <w:r>
              <w:t>约20以上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10</w:t>
            </w:r>
          </w:p>
        </w:tc>
        <w:tc>
          <w:tcPr>
            <w:tcW w:w="3211" w:type="dxa"/>
            <w:tcBorders>
              <w:tl2br w:val="nil"/>
              <w:tr2bl w:val="nil"/>
            </w:tcBorders>
            <w:vAlign w:val="center"/>
          </w:tcPr>
          <w:p>
            <w:pPr>
              <w:pStyle w:val="24"/>
            </w:pPr>
            <w:r>
              <w:t>山东神驰化工集团有限公司</w:t>
            </w:r>
          </w:p>
        </w:tc>
        <w:tc>
          <w:tcPr>
            <w:tcW w:w="1109" w:type="dxa"/>
            <w:tcBorders>
              <w:tl2br w:val="nil"/>
              <w:tr2bl w:val="nil"/>
            </w:tcBorders>
            <w:vAlign w:val="center"/>
          </w:tcPr>
          <w:p>
            <w:pPr>
              <w:pStyle w:val="24"/>
            </w:pPr>
            <w:r>
              <w:t>南侧</w:t>
            </w:r>
          </w:p>
        </w:tc>
        <w:tc>
          <w:tcPr>
            <w:tcW w:w="1057" w:type="dxa"/>
            <w:tcBorders>
              <w:tl2br w:val="nil"/>
              <w:tr2bl w:val="nil"/>
            </w:tcBorders>
            <w:vAlign w:val="center"/>
          </w:tcPr>
          <w:p>
            <w:pPr>
              <w:pStyle w:val="24"/>
            </w:pPr>
            <w:r>
              <w:t>770m</w:t>
            </w:r>
          </w:p>
        </w:tc>
        <w:tc>
          <w:tcPr>
            <w:tcW w:w="2126" w:type="dxa"/>
            <w:tcBorders>
              <w:tl2br w:val="nil"/>
              <w:tr2bl w:val="nil"/>
            </w:tcBorders>
            <w:vAlign w:val="center"/>
          </w:tcPr>
          <w:p>
            <w:pPr>
              <w:pStyle w:val="24"/>
            </w:pPr>
            <w:r>
              <w:t>约500以上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11</w:t>
            </w:r>
          </w:p>
        </w:tc>
        <w:tc>
          <w:tcPr>
            <w:tcW w:w="3211" w:type="dxa"/>
            <w:tcBorders>
              <w:tl2br w:val="nil"/>
              <w:tr2bl w:val="nil"/>
            </w:tcBorders>
            <w:vAlign w:val="center"/>
          </w:tcPr>
          <w:p>
            <w:pPr>
              <w:pStyle w:val="24"/>
            </w:pPr>
            <w:r>
              <w:t>东营胜利中亚化工有限公司</w:t>
            </w:r>
          </w:p>
        </w:tc>
        <w:tc>
          <w:tcPr>
            <w:tcW w:w="1109" w:type="dxa"/>
            <w:tcBorders>
              <w:tl2br w:val="nil"/>
              <w:tr2bl w:val="nil"/>
            </w:tcBorders>
            <w:vAlign w:val="center"/>
          </w:tcPr>
          <w:p>
            <w:pPr>
              <w:pStyle w:val="24"/>
            </w:pPr>
            <w:r>
              <w:t>西侧</w:t>
            </w:r>
          </w:p>
        </w:tc>
        <w:tc>
          <w:tcPr>
            <w:tcW w:w="1057" w:type="dxa"/>
            <w:tcBorders>
              <w:tl2br w:val="nil"/>
              <w:tr2bl w:val="nil"/>
            </w:tcBorders>
            <w:vAlign w:val="center"/>
          </w:tcPr>
          <w:p>
            <w:pPr>
              <w:pStyle w:val="24"/>
            </w:pPr>
            <w:r>
              <w:t>700m</w:t>
            </w:r>
          </w:p>
        </w:tc>
        <w:tc>
          <w:tcPr>
            <w:tcW w:w="2126" w:type="dxa"/>
            <w:tcBorders>
              <w:tl2br w:val="nil"/>
              <w:tr2bl w:val="nil"/>
            </w:tcBorders>
            <w:vAlign w:val="center"/>
          </w:tcPr>
          <w:p>
            <w:pPr>
              <w:pStyle w:val="24"/>
            </w:pPr>
            <w:r>
              <w:t>约50以上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12</w:t>
            </w:r>
          </w:p>
        </w:tc>
        <w:tc>
          <w:tcPr>
            <w:tcW w:w="3211" w:type="dxa"/>
            <w:tcBorders>
              <w:tl2br w:val="nil"/>
              <w:tr2bl w:val="nil"/>
            </w:tcBorders>
            <w:vAlign w:val="center"/>
          </w:tcPr>
          <w:p>
            <w:pPr>
              <w:pStyle w:val="24"/>
            </w:pPr>
            <w:r>
              <w:t>东营宝莫环境工程有限公司</w:t>
            </w:r>
          </w:p>
        </w:tc>
        <w:tc>
          <w:tcPr>
            <w:tcW w:w="1109" w:type="dxa"/>
            <w:tcBorders>
              <w:tl2br w:val="nil"/>
              <w:tr2bl w:val="nil"/>
            </w:tcBorders>
            <w:vAlign w:val="center"/>
          </w:tcPr>
          <w:p>
            <w:pPr>
              <w:pStyle w:val="24"/>
            </w:pPr>
            <w:r>
              <w:t>西侧</w:t>
            </w:r>
          </w:p>
        </w:tc>
        <w:tc>
          <w:tcPr>
            <w:tcW w:w="1057" w:type="dxa"/>
            <w:tcBorders>
              <w:tl2br w:val="nil"/>
              <w:tr2bl w:val="nil"/>
            </w:tcBorders>
            <w:vAlign w:val="center"/>
          </w:tcPr>
          <w:p>
            <w:pPr>
              <w:pStyle w:val="24"/>
            </w:pPr>
            <w:r>
              <w:t>690m</w:t>
            </w:r>
          </w:p>
        </w:tc>
        <w:tc>
          <w:tcPr>
            <w:tcW w:w="2126" w:type="dxa"/>
            <w:tcBorders>
              <w:tl2br w:val="nil"/>
              <w:tr2bl w:val="nil"/>
            </w:tcBorders>
            <w:vAlign w:val="center"/>
          </w:tcPr>
          <w:p>
            <w:pPr>
              <w:pStyle w:val="24"/>
            </w:pPr>
            <w:r>
              <w:t>约100以上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13" w:type="dxa"/>
            <w:tcBorders>
              <w:tl2br w:val="nil"/>
              <w:tr2bl w:val="nil"/>
            </w:tcBorders>
            <w:vAlign w:val="center"/>
          </w:tcPr>
          <w:p>
            <w:pPr>
              <w:pStyle w:val="24"/>
            </w:pPr>
            <w:r>
              <w:t>13</w:t>
            </w:r>
          </w:p>
        </w:tc>
        <w:tc>
          <w:tcPr>
            <w:tcW w:w="3211" w:type="dxa"/>
            <w:tcBorders>
              <w:tl2br w:val="nil"/>
              <w:tr2bl w:val="nil"/>
            </w:tcBorders>
            <w:vAlign w:val="center"/>
          </w:tcPr>
          <w:p>
            <w:pPr>
              <w:pStyle w:val="24"/>
            </w:pPr>
            <w:r>
              <w:t>东营德佑环保科技有限公司</w:t>
            </w:r>
          </w:p>
        </w:tc>
        <w:tc>
          <w:tcPr>
            <w:tcW w:w="1109" w:type="dxa"/>
            <w:tcBorders>
              <w:tl2br w:val="nil"/>
              <w:tr2bl w:val="nil"/>
            </w:tcBorders>
            <w:vAlign w:val="center"/>
          </w:tcPr>
          <w:p>
            <w:pPr>
              <w:pStyle w:val="24"/>
            </w:pPr>
            <w:r>
              <w:t>西侧</w:t>
            </w:r>
          </w:p>
        </w:tc>
        <w:tc>
          <w:tcPr>
            <w:tcW w:w="1057" w:type="dxa"/>
            <w:tcBorders>
              <w:tl2br w:val="nil"/>
              <w:tr2bl w:val="nil"/>
            </w:tcBorders>
            <w:vAlign w:val="center"/>
          </w:tcPr>
          <w:p>
            <w:pPr>
              <w:pStyle w:val="24"/>
            </w:pPr>
            <w:r>
              <w:t>约1km</w:t>
            </w:r>
          </w:p>
        </w:tc>
        <w:tc>
          <w:tcPr>
            <w:tcW w:w="2126" w:type="dxa"/>
            <w:tcBorders>
              <w:tl2br w:val="nil"/>
              <w:tr2bl w:val="nil"/>
            </w:tcBorders>
            <w:vAlign w:val="center"/>
          </w:tcPr>
          <w:p>
            <w:pPr>
              <w:pStyle w:val="24"/>
            </w:pPr>
            <w:r>
              <w:t>约20人以上</w:t>
            </w:r>
          </w:p>
        </w:tc>
      </w:tr>
    </w:tbl>
    <w:p>
      <w:pPr>
        <w:pStyle w:val="6"/>
        <w:ind w:firstLine="560"/>
      </w:pPr>
      <w:r>
        <w:t>项目厂区附近无风景区和文物古迹，对环境和生态无危害，周边环境符合项目建设条件。项目区内无架空电力、通讯线穿过，地下无输油、输气管线穿过。</w:t>
      </w:r>
    </w:p>
    <w:p>
      <w:pPr>
        <w:pStyle w:val="4"/>
        <w:spacing w:before="63" w:after="63"/>
      </w:pPr>
      <w:r>
        <w:t>6.1.2 建设项目储存设施与法律法规予以保护区域的安全距离</w:t>
      </w:r>
    </w:p>
    <w:p>
      <w:pPr>
        <w:pStyle w:val="6"/>
        <w:ind w:firstLine="560"/>
        <w:rPr>
          <w:lang w:val="en-US"/>
        </w:rPr>
      </w:pPr>
      <w:r>
        <w:rPr>
          <w:lang w:val="en-US"/>
        </w:rPr>
        <w:t>该项目区与《危险化学品安全管理条例》第十九条规定的场所、区域、设施距离符合相关法律、法规、标准、规范的要求，详见表2.3-3。</w:t>
      </w:r>
    </w:p>
    <w:p>
      <w:pPr>
        <w:pStyle w:val="4"/>
        <w:spacing w:before="63" w:after="63"/>
      </w:pPr>
      <w:r>
        <w:t>6.1.3 建设项目内在危险有害因素对周边单位或居民生活的影响</w:t>
      </w:r>
    </w:p>
    <w:p>
      <w:pPr>
        <w:pStyle w:val="6"/>
        <w:ind w:firstLine="560"/>
        <w:rPr>
          <w:lang w:val="en-US"/>
        </w:rPr>
      </w:pPr>
      <w:r>
        <w:rPr>
          <w:lang w:val="en-US"/>
        </w:rPr>
        <w:t>1）政府要求规划的符合性</w:t>
      </w:r>
    </w:p>
    <w:p>
      <w:pPr>
        <w:pStyle w:val="6"/>
        <w:ind w:firstLine="560"/>
        <w:rPr>
          <w:lang w:val="en-US"/>
        </w:rPr>
      </w:pPr>
      <w:r>
        <w:rPr>
          <w:rFonts w:hint="eastAsia"/>
          <w:b/>
          <w:bCs/>
          <w:lang w:val="en-US"/>
        </w:rPr>
        <w:t>涉及企业机密，不予公开。</w:t>
      </w:r>
    </w:p>
    <w:p>
      <w:pPr>
        <w:pStyle w:val="6"/>
        <w:ind w:firstLine="560"/>
        <w:rPr>
          <w:lang w:val="en-US"/>
        </w:rPr>
      </w:pPr>
      <w:r>
        <w:rPr>
          <w:lang w:val="en-US"/>
        </w:rPr>
        <w:t>综上所述，该项目符合当地政府区域规划。</w:t>
      </w:r>
    </w:p>
    <w:p>
      <w:pPr>
        <w:pStyle w:val="6"/>
        <w:numPr>
          <w:ilvl w:val="0"/>
          <w:numId w:val="7"/>
        </w:numPr>
        <w:ind w:firstLine="560"/>
      </w:pPr>
      <w:r>
        <w:t>周边的安全防火距离评价</w:t>
      </w:r>
    </w:p>
    <w:p>
      <w:pPr>
        <w:pStyle w:val="6"/>
        <w:ind w:firstLine="560"/>
      </w:pPr>
      <w:r>
        <w:t>该项目与周边设施的防火间距符合《石油化工企业设计防火标准（</w:t>
      </w:r>
      <w:r>
        <w:rPr>
          <w:rFonts w:hint="eastAsia"/>
        </w:rPr>
        <w:t>2018年版</w:t>
      </w:r>
      <w:r>
        <w:t>）》（GB 50160-2008）的相关要求。</w:t>
      </w:r>
    </w:p>
    <w:p>
      <w:pPr>
        <w:pStyle w:val="6"/>
        <w:numPr>
          <w:ilvl w:val="0"/>
          <w:numId w:val="7"/>
        </w:numPr>
        <w:ind w:firstLine="560"/>
      </w:pPr>
      <w:r>
        <w:t>建设项目对周边单位生产、经营活动或者居民生活的影响</w:t>
      </w:r>
    </w:p>
    <w:p>
      <w:pPr>
        <w:pStyle w:val="6"/>
        <w:ind w:firstLine="560"/>
        <w:rPr>
          <w:rFonts w:hint="eastAsia"/>
          <w:b/>
          <w:bCs/>
          <w:lang w:val="en-US"/>
        </w:rPr>
      </w:pPr>
      <w:r>
        <w:t>本报告采用QRA重大危险源区域定量风险评价与管理软件对该项目新建G-106原油储罐阀门、管道等设备设施泄漏事故后果进行了模拟计算，各种事故后果具体影响范围详见表</w:t>
      </w:r>
      <w:r>
        <w:rPr>
          <w:rFonts w:hint="eastAsia"/>
          <w:lang w:val="en-US"/>
        </w:rPr>
        <w:t>5.2</w:t>
      </w:r>
      <w:r>
        <w:t>-2。</w:t>
      </w:r>
      <w:r>
        <w:rPr>
          <w:rFonts w:hint="eastAsia"/>
          <w:b/>
          <w:bCs/>
          <w:lang w:val="en-US"/>
        </w:rPr>
        <w:t>涉及企业机密，不予公开。</w:t>
      </w:r>
    </w:p>
    <w:p>
      <w:pPr>
        <w:pStyle w:val="6"/>
        <w:ind w:firstLine="560"/>
      </w:pPr>
      <w:r>
        <w:t>通过分析在此范围内有可能对</w:t>
      </w:r>
      <w:r>
        <w:rPr>
          <w:rFonts w:hint="eastAsia"/>
          <w:lang w:val="en-US"/>
        </w:rPr>
        <w:t>油品储运控制室</w:t>
      </w:r>
      <w:r>
        <w:t>、</w:t>
      </w:r>
      <w:r>
        <w:rPr>
          <w:rFonts w:hint="eastAsia"/>
          <w:lang w:val="en-US"/>
        </w:rPr>
        <w:t>新建泡沫站、</w:t>
      </w:r>
      <w:r>
        <w:rPr>
          <w:rFonts w:hint="eastAsia"/>
          <w:lang w:val="en-US" w:eastAsia="zh-CN"/>
        </w:rPr>
        <w:t>40</w:t>
      </w:r>
      <w:r>
        <w:rPr>
          <w:rFonts w:hint="eastAsia"/>
          <w:lang w:val="en-US"/>
        </w:rPr>
        <w:t>万吨/年延迟焦化装置的部分设备</w:t>
      </w:r>
      <w:r>
        <w:t>设施造成影响，但该项目工艺拟选用DCS</w:t>
      </w:r>
      <w:r>
        <w:rPr>
          <w:rFonts w:hint="eastAsia"/>
        </w:rPr>
        <w:t>、</w:t>
      </w:r>
      <w:r>
        <w:t>SIS</w:t>
      </w:r>
      <w:r>
        <w:rPr>
          <w:rFonts w:hint="eastAsia"/>
          <w:lang w:val="en-US"/>
        </w:rPr>
        <w:t>及GDS</w:t>
      </w:r>
      <w:r>
        <w:t>控制系统，并在</w:t>
      </w:r>
      <w:r>
        <w:rPr>
          <w:rFonts w:hint="eastAsia"/>
          <w:lang w:val="en-US"/>
        </w:rPr>
        <w:t>105#罐区</w:t>
      </w:r>
      <w:r>
        <w:t>可能发生可燃气体泄漏的场所设置可燃气体检测报警探头，采取一系列安全防范措施，降低了事故发生的几率；同时，企业制定切实可行的操作规程、安全技术规程，加强职工安全教育培训，提高职工的整体素质，并加强巡回检查，制定事故应急救援预案，提高突发事件的应对能力，从根本上实现系统的本质安全。建设项目对周边单位生产、经营活动或居民区不会造成较大影响，其风险程度可以接受。</w:t>
      </w:r>
    </w:p>
    <w:p>
      <w:pPr>
        <w:pStyle w:val="4"/>
        <w:spacing w:before="63" w:after="63"/>
      </w:pPr>
      <w:r>
        <w:t>6.1.4 建设项目周边单位或者居民生活对建设项目的影响</w:t>
      </w:r>
    </w:p>
    <w:p>
      <w:pPr>
        <w:pStyle w:val="6"/>
        <w:ind w:firstLine="560"/>
      </w:pPr>
      <w:r>
        <w:t>胜利</w:t>
      </w:r>
      <w:r>
        <w:rPr>
          <w:rFonts w:hint="eastAsia"/>
        </w:rPr>
        <w:t>石油化工总厂</w:t>
      </w:r>
      <w:r>
        <w:t>周边企业、村庄距离该项目的装置设施都较远，防火间距符合《石油化工企业设计防火标准（</w:t>
      </w:r>
      <w:r>
        <w:rPr>
          <w:rFonts w:hint="eastAsia"/>
          <w:lang w:val="en-US"/>
        </w:rPr>
        <w:t>2018年版</w:t>
      </w:r>
      <w:r>
        <w:t>）》（GB</w:t>
      </w:r>
      <w:r>
        <w:rPr>
          <w:lang w:val="en-US"/>
        </w:rPr>
        <w:t xml:space="preserve"> </w:t>
      </w:r>
      <w:r>
        <w:t>50160-2008）的规定和要求，居民的日常生活活动不会对该项目造成太大影响。厂区周围设有围墙，厂区出入口设有门卫，严格限制人员进入，除恶意破坏外，周边居民的日常生产、生活不会对</w:t>
      </w:r>
      <w:r>
        <w:rPr>
          <w:lang w:val="en-US"/>
        </w:rPr>
        <w:t>储存</w:t>
      </w:r>
      <w:r>
        <w:t>装置、设施造成不良影响。</w:t>
      </w:r>
    </w:p>
    <w:p>
      <w:pPr>
        <w:pStyle w:val="6"/>
        <w:ind w:firstLine="560"/>
        <w:rPr>
          <w:rFonts w:hint="eastAsia"/>
        </w:rPr>
      </w:pPr>
      <w:r>
        <w:rPr>
          <w:lang w:val="en-US"/>
        </w:rPr>
        <w:t>进入厂区的</w:t>
      </w:r>
      <w:r>
        <w:t>人员携带的火源或区域外存在的点火源，有可能引燃泄漏至储存易燃液体蒸汽，并引起回燃，进而引起区域内易燃物质燃烧，从而导致该区域内设备着火，若扑救不及时，易引起火灾爆炸事故，会造成人员伤亡或财产损失。但企业在建立相关的安全管理制度，并加强安全管理，建立相关的事故应急救援预案并定期进行演练的情况下，其发生的几率较小，对该项目的风险影响程度较低，风险可以接受</w:t>
      </w:r>
      <w:r>
        <w:rPr>
          <w:rFonts w:hint="eastAsia"/>
        </w:rPr>
        <w:t>。</w:t>
      </w:r>
    </w:p>
    <w:p>
      <w:pPr>
        <w:widowControl w:val="0"/>
        <w:adjustRightInd w:val="0"/>
        <w:snapToGrid w:val="0"/>
        <w:spacing w:before="63" w:beforeLines="20" w:after="63" w:afterLines="20" w:line="360" w:lineRule="auto"/>
        <w:ind w:left="140" w:leftChars="50" w:firstLine="0" w:firstLineChars="0"/>
        <w:outlineLvl w:val="2"/>
        <w:rPr>
          <w:rFonts w:hint="default" w:ascii="Times New Roman" w:hAnsi="Times New Roman" w:eastAsia="黑体" w:cs="Times New Roman"/>
          <w:color w:val="auto"/>
          <w:kern w:val="2"/>
          <w:sz w:val="28"/>
          <w:szCs w:val="28"/>
          <w:lang w:val="en-US" w:eastAsia="zh-CN" w:bidi="ar-SA"/>
        </w:rPr>
      </w:pPr>
      <w:r>
        <w:rPr>
          <w:rFonts w:ascii="Times New Roman" w:hAnsi="Times New Roman" w:eastAsia="黑体" w:cs="Times New Roman"/>
          <w:color w:val="auto"/>
          <w:kern w:val="2"/>
          <w:sz w:val="28"/>
          <w:szCs w:val="28"/>
          <w:lang w:val="en-US" w:eastAsia="zh-CN" w:bidi="ar-SA"/>
        </w:rPr>
        <w:t>6.1.5 建设项目</w:t>
      </w:r>
      <w:r>
        <w:rPr>
          <w:rFonts w:hint="eastAsia" w:ascii="Times New Roman" w:hAnsi="Times New Roman" w:eastAsia="黑体" w:cs="Times New Roman"/>
          <w:color w:val="auto"/>
          <w:kern w:val="2"/>
          <w:sz w:val="28"/>
          <w:szCs w:val="28"/>
          <w:lang w:val="en-US" w:eastAsia="zh-CN" w:bidi="ar-SA"/>
        </w:rPr>
        <w:t>所在地高毒气体源及VCE爆炸源</w:t>
      </w:r>
    </w:p>
    <w:p>
      <w:pPr>
        <w:pStyle w:val="6"/>
        <w:ind w:firstLine="560"/>
        <w:rPr>
          <w:rFonts w:hint="default" w:eastAsia="宋体"/>
          <w:color w:val="auto"/>
          <w:lang w:val="en-US" w:eastAsia="zh-CN"/>
        </w:rPr>
      </w:pPr>
      <w:r>
        <w:rPr>
          <w:rFonts w:hint="eastAsia"/>
          <w:b/>
          <w:bCs/>
          <w:color w:val="auto"/>
          <w:lang w:val="en-US" w:eastAsia="zh-CN"/>
        </w:rPr>
        <w:t>涉及企业机密，不予公开。</w:t>
      </w:r>
    </w:p>
    <w:p>
      <w:pPr>
        <w:pStyle w:val="4"/>
        <w:spacing w:before="63" w:after="63"/>
      </w:pPr>
      <w:r>
        <w:t>6.1.5 建设项目所在地自然条件的影响</w:t>
      </w:r>
    </w:p>
    <w:p>
      <w:pPr>
        <w:pStyle w:val="6"/>
        <w:ind w:firstLine="560"/>
      </w:pPr>
      <w:r>
        <w:t>建设项目受自然条件影响的危险、有害因素主要包括地震、雷击、暴雨、大风、高</w:t>
      </w:r>
      <w:r>
        <w:rPr>
          <w:lang w:val="en-US"/>
        </w:rPr>
        <w:t>温</w:t>
      </w:r>
      <w:r>
        <w:t>、</w:t>
      </w:r>
      <w:r>
        <w:rPr>
          <w:lang w:val="en-US"/>
        </w:rPr>
        <w:t>低温、静电、潮湿、腐蚀</w:t>
      </w:r>
      <w:r>
        <w:t>等不良气象条件和地质灾害。</w:t>
      </w:r>
    </w:p>
    <w:p>
      <w:pPr>
        <w:pStyle w:val="6"/>
        <w:numPr>
          <w:ilvl w:val="0"/>
          <w:numId w:val="8"/>
        </w:numPr>
        <w:ind w:firstLineChars="0"/>
        <w:rPr>
          <w:lang w:val="en-US"/>
        </w:rPr>
      </w:pPr>
      <w:r>
        <w:rPr>
          <w:lang w:val="en-US"/>
        </w:rPr>
        <w:t>地震</w:t>
      </w:r>
    </w:p>
    <w:p>
      <w:pPr>
        <w:pStyle w:val="6"/>
        <w:ind w:firstLine="560"/>
        <w:rPr>
          <w:lang w:val="en-US"/>
        </w:rPr>
      </w:pPr>
      <w:r>
        <w:rPr>
          <w:lang w:val="en-US"/>
        </w:rPr>
        <w:t>根据《建筑抗震设计规范（2016年版）》（GB 50011-2010）的规定，项目所在地区地震烈度为7度，加速度为0.10g。</w:t>
      </w:r>
    </w:p>
    <w:p>
      <w:pPr>
        <w:pStyle w:val="6"/>
        <w:ind w:firstLine="560"/>
        <w:rPr>
          <w:lang w:val="en-US"/>
        </w:rPr>
      </w:pPr>
      <w:r>
        <w:rPr>
          <w:lang w:val="en-US"/>
        </w:rPr>
        <w:t>该项目建构筑物抗震设防拟按照《石油化工建（构）筑物抗震设防分类标准》（GB 50453-2008）和《建筑抗震设计规范（2016年版）》（GB50011-2010）的要求设计抗震设防设施，在采取相关抗震设计后，安全风险是可以接受的。</w:t>
      </w:r>
    </w:p>
    <w:p>
      <w:pPr>
        <w:pStyle w:val="6"/>
        <w:ind w:left="840" w:firstLine="0" w:firstLineChars="0"/>
        <w:rPr>
          <w:lang w:val="en-US"/>
        </w:rPr>
      </w:pPr>
      <w:r>
        <w:rPr>
          <w:lang w:val="en-US"/>
        </w:rPr>
        <w:t>（2）雷击</w:t>
      </w:r>
    </w:p>
    <w:p>
      <w:pPr>
        <w:pStyle w:val="6"/>
        <w:ind w:firstLine="560"/>
        <w:rPr>
          <w:lang w:val="en-US"/>
        </w:rPr>
      </w:pPr>
      <w:r>
        <w:rPr>
          <w:lang w:val="en-US"/>
        </w:rPr>
        <w:t>雷击具有很大的破坏力，不仅能够击毙人畜、劈断树木、破坏建筑物及各种工业设施，还是引起罐区火灾、爆炸的重要原因之一。雷击放电后具有电流大、时间长、频率高、电压高的特点。以电效应、热效应、机械效应、静电效应、电磁效应以及雷电侵入波对建筑物的反击作用等形式产生破坏作用的。因此在罐区内相关建构筑物及设备设施上按规范规定设置可靠的防雷设施十分必要。</w:t>
      </w:r>
    </w:p>
    <w:p>
      <w:pPr>
        <w:pStyle w:val="6"/>
        <w:ind w:firstLine="560"/>
        <w:rPr>
          <w:lang w:val="en-US"/>
        </w:rPr>
      </w:pPr>
      <w:r>
        <w:rPr>
          <w:lang w:val="en-US"/>
        </w:rPr>
        <w:t>该项目所在地累年平均雷暴日数为27.4天，不属频率较高地区，但存在以下雷电危害：</w:t>
      </w:r>
    </w:p>
    <w:p>
      <w:pPr>
        <w:pStyle w:val="6"/>
        <w:ind w:firstLine="560"/>
        <w:rPr>
          <w:lang w:val="en-US"/>
        </w:rPr>
      </w:pPr>
      <w:r>
        <w:rPr>
          <w:lang w:val="en-US"/>
        </w:rPr>
        <w:t>①高大建筑物没有设置有效的外部防雷设施或者不在避雷针保护范围之内，以及内部防雷措施缺陷（导电物体应保持安全隔离距离、钢筋混凝土结构及钢结构应作等电位连接），则会因为雷击过电压带来的强烈机械效应和热效应造成建筑物及其内部设备的破坏，使人员受到伤害。</w:t>
      </w:r>
    </w:p>
    <w:p>
      <w:pPr>
        <w:pStyle w:val="6"/>
        <w:ind w:firstLine="560"/>
        <w:rPr>
          <w:lang w:val="en-US"/>
        </w:rPr>
      </w:pPr>
      <w:r>
        <w:rPr>
          <w:lang w:val="en-US"/>
        </w:rPr>
        <w:t>②雷击时引起的过电压（数十万乃数百万伏）会造成设备的损坏，导致断路器、绝缘子等电气设备的绝缘损害，烧断电线，造成大规模停电，引发大火或爆炸事故；并可能毁坏电力变压系统，引发变压器、配电间的火灾事故。</w:t>
      </w:r>
    </w:p>
    <w:p>
      <w:pPr>
        <w:pStyle w:val="6"/>
        <w:ind w:firstLine="560"/>
        <w:rPr>
          <w:lang w:val="en-US"/>
        </w:rPr>
      </w:pPr>
      <w:r>
        <w:rPr>
          <w:lang w:val="en-US"/>
        </w:rPr>
        <w:t>③</w:t>
      </w:r>
      <w:r>
        <w:rPr>
          <w:rFonts w:hint="eastAsia"/>
          <w:lang w:val="en-US"/>
        </w:rPr>
        <w:t>油品储运控制室</w:t>
      </w:r>
      <w:r>
        <w:rPr>
          <w:lang w:val="en-US"/>
        </w:rPr>
        <w:t>等弱电设备场所，如果一次设备遭受雷击时造成的浪涌超过了弱点设备的承载能力，会造成自动控制系统、通讯系统的瘫痪，造成难以挽回的经济损失。</w:t>
      </w:r>
    </w:p>
    <w:p>
      <w:pPr>
        <w:pStyle w:val="6"/>
        <w:ind w:firstLine="560"/>
        <w:rPr>
          <w:lang w:val="en-US"/>
        </w:rPr>
      </w:pPr>
      <w:r>
        <w:rPr>
          <w:lang w:val="en-US"/>
        </w:rPr>
        <w:t>针对雷电造成的危害，该项目拟按照《建筑物防雷设计规范》（GB50057-2010）的要求，对储罐、建筑物等拟采取相应的防雷措施，对所有电器设备正常不带电的金属外壳、工艺储运设备、管线均作防雷设计。</w:t>
      </w:r>
    </w:p>
    <w:p>
      <w:pPr>
        <w:pStyle w:val="6"/>
        <w:ind w:firstLine="560"/>
        <w:rPr>
          <w:szCs w:val="24"/>
        </w:rPr>
      </w:pPr>
      <w:r>
        <w:rPr>
          <w:szCs w:val="24"/>
        </w:rPr>
        <w:t>为防止大型储罐出现雷击等不安全事故，该项目</w:t>
      </w:r>
      <w:r>
        <w:rPr>
          <w:szCs w:val="24"/>
          <w:lang w:val="en-US"/>
        </w:rPr>
        <w:t>拟</w:t>
      </w:r>
      <w:r>
        <w:rPr>
          <w:szCs w:val="24"/>
        </w:rPr>
        <w:t>采取的主要措施如下：</w:t>
      </w:r>
    </w:p>
    <w:p>
      <w:pPr>
        <w:pStyle w:val="6"/>
        <w:ind w:firstLine="560"/>
      </w:pPr>
      <w:r>
        <w:rPr>
          <w:lang w:val="en-US"/>
        </w:rPr>
        <w:t>a</w:t>
      </w:r>
      <w:r>
        <w:t>）防雷接地引下线沿罐周向均匀布置，引下线间距不大于18m（弧长）。</w:t>
      </w:r>
    </w:p>
    <w:p>
      <w:pPr>
        <w:pStyle w:val="6"/>
        <w:ind w:firstLine="560"/>
      </w:pPr>
      <w:r>
        <w:rPr>
          <w:lang w:val="en-US"/>
        </w:rPr>
        <w:t>b</w:t>
      </w:r>
      <w:r>
        <w:t>）内浮顶与罐顶连接导线不少于4根，电气连接导线的横截面积不小于25</w:t>
      </w:r>
      <w:r>
        <w:rPr>
          <w:lang w:val="en-US"/>
        </w:rPr>
        <w:t>mm</w:t>
      </w:r>
      <w:r>
        <w:rPr>
          <w:vertAlign w:val="superscript"/>
          <w:lang w:val="en-US"/>
        </w:rPr>
        <w:t>2</w:t>
      </w:r>
      <w:r>
        <w:t>。</w:t>
      </w:r>
    </w:p>
    <w:p>
      <w:pPr>
        <w:pStyle w:val="6"/>
        <w:ind w:firstLine="560"/>
      </w:pPr>
      <w:r>
        <w:rPr>
          <w:lang w:val="en-US"/>
        </w:rPr>
        <w:t>c</w:t>
      </w:r>
      <w:r>
        <w:t>）储罐的量油孔、自动通气阀与固定顶或内浮顶作电气连接。</w:t>
      </w:r>
    </w:p>
    <w:p>
      <w:pPr>
        <w:pStyle w:val="6"/>
        <w:ind w:firstLine="560"/>
        <w:rPr>
          <w:szCs w:val="24"/>
        </w:rPr>
      </w:pPr>
      <w:r>
        <w:rPr>
          <w:lang w:val="en-US"/>
        </w:rPr>
        <w:t>d</w:t>
      </w:r>
      <w:r>
        <w:t>）罐顶中央通气孔加装阻爆轰型阻火器。</w:t>
      </w:r>
    </w:p>
    <w:p>
      <w:pPr>
        <w:pStyle w:val="6"/>
        <w:ind w:firstLine="560"/>
      </w:pPr>
      <w:r>
        <w:rPr>
          <w:lang w:val="en-US"/>
        </w:rPr>
        <w:t>e</w:t>
      </w:r>
      <w:r>
        <w:t>）电气连接导线的横截面积不小于</w:t>
      </w:r>
      <w:r>
        <w:rPr>
          <w:lang w:val="en-US"/>
        </w:rPr>
        <w:t>10mm</w:t>
      </w:r>
      <w:r>
        <w:rPr>
          <w:vertAlign w:val="superscript"/>
          <w:lang w:val="en-US"/>
        </w:rPr>
        <w:t>2</w:t>
      </w:r>
      <w:r>
        <w:t>。</w:t>
      </w:r>
    </w:p>
    <w:p>
      <w:pPr>
        <w:pStyle w:val="6"/>
        <w:ind w:firstLine="560"/>
        <w:rPr>
          <w:lang w:val="en-US"/>
        </w:rPr>
      </w:pPr>
      <w:r>
        <w:t>（</w:t>
      </w:r>
      <w:r>
        <w:rPr>
          <w:lang w:val="en-US"/>
        </w:rPr>
        <w:t>3</w:t>
      </w:r>
      <w:r>
        <w:t>）</w:t>
      </w:r>
      <w:r>
        <w:rPr>
          <w:lang w:val="en-US"/>
        </w:rPr>
        <w:t>暴雨</w:t>
      </w:r>
    </w:p>
    <w:p>
      <w:pPr>
        <w:pStyle w:val="6"/>
        <w:ind w:firstLine="560"/>
        <w:rPr>
          <w:lang w:val="en-US"/>
        </w:rPr>
      </w:pPr>
      <w:r>
        <w:rPr>
          <w:lang w:val="en-US"/>
        </w:rPr>
        <w:t>暴雨引发的洪水可能造成洪涝灾害，致使储罐及其地基等的损坏、管道破裂及倒塌事故，导致物料等泄漏从而引发火灾爆炸、环境污染事故。</w:t>
      </w:r>
    </w:p>
    <w:p>
      <w:pPr>
        <w:pStyle w:val="6"/>
        <w:ind w:firstLine="560"/>
        <w:rPr>
          <w:lang w:val="en-US"/>
        </w:rPr>
      </w:pPr>
      <w:r>
        <w:rPr>
          <w:lang w:val="en-US"/>
        </w:rPr>
        <w:t>该项目场地附近没有山脉，历史上也没有出现山洪爆发现象。但暴雨会造成罐区短时间的内涝，若排水不畅或排水能力不够，会导致水灾并影响正常运行。</w:t>
      </w:r>
    </w:p>
    <w:p>
      <w:pPr>
        <w:pStyle w:val="6"/>
        <w:ind w:firstLine="560"/>
        <w:rPr>
          <w:lang w:val="en-US"/>
        </w:rPr>
      </w:pPr>
      <w:r>
        <w:rPr>
          <w:lang w:val="en-US"/>
        </w:rPr>
        <w:t>该项目排水系统依托石油化工总厂排水设施，石油化工总厂排水设施完善，竖向设计较为合理，一般情况场地内的雨水可及时排出，不会发生内涝灾害。</w:t>
      </w:r>
    </w:p>
    <w:p>
      <w:pPr>
        <w:pStyle w:val="6"/>
        <w:ind w:left="840" w:firstLine="0" w:firstLineChars="0"/>
        <w:rPr>
          <w:lang w:val="en-US"/>
        </w:rPr>
      </w:pPr>
      <w:r>
        <w:rPr>
          <w:lang w:val="en-US"/>
        </w:rPr>
        <w:t>（4）大风</w:t>
      </w:r>
    </w:p>
    <w:p>
      <w:pPr>
        <w:pStyle w:val="6"/>
        <w:ind w:firstLine="560"/>
        <w:rPr>
          <w:lang w:val="en-US"/>
        </w:rPr>
      </w:pPr>
      <w:r>
        <w:rPr>
          <w:lang w:val="en-US"/>
        </w:rPr>
        <w:t>风速、风压对静设备基础和强度有影响，设备的风载荷考虑不周，会引起设备基础不稳甚至倒塌等危害。该项目所在地风力较大。高大储罐在运行过程中，因其高度承受风压，因此，该类设施因材质选材不当，或因设备基础设计不恰当等因素，引发储罐倾斜、倒塌事件，酿成重大事故。同时大风时还可能对该工程的供电、交通、通讯等造成危害。</w:t>
      </w:r>
    </w:p>
    <w:p>
      <w:pPr>
        <w:pStyle w:val="6"/>
        <w:ind w:firstLine="560"/>
        <w:rPr>
          <w:lang w:val="en-US"/>
        </w:rPr>
      </w:pPr>
      <w:r>
        <w:rPr>
          <w:lang w:val="en-US"/>
        </w:rPr>
        <w:t>该项目的施工设计应满足当地风载荷的要求，可有效避免因风力、风速过大对室外设备造成影响。</w:t>
      </w:r>
    </w:p>
    <w:p>
      <w:pPr>
        <w:pStyle w:val="6"/>
        <w:numPr>
          <w:ilvl w:val="0"/>
          <w:numId w:val="4"/>
        </w:numPr>
        <w:ind w:firstLine="560"/>
        <w:rPr>
          <w:lang w:val="en-US"/>
        </w:rPr>
      </w:pPr>
      <w:r>
        <w:rPr>
          <w:lang w:val="en-US"/>
        </w:rPr>
        <w:t>高温</w:t>
      </w:r>
    </w:p>
    <w:p>
      <w:pPr>
        <w:pStyle w:val="6"/>
        <w:ind w:firstLine="560"/>
        <w:rPr>
          <w:lang w:val="en-US"/>
        </w:rPr>
      </w:pPr>
      <w:r>
        <w:rPr>
          <w:lang w:val="en-US"/>
        </w:rPr>
        <w:t>本罐区日常巡检和设备检修时，不可避免地存在露天作业问题，夏季气温较高，存在高温危害，从事高温作业的人员身体会受到一定损害。在高温环境下作业，由于受到温度、湿度、热辐射的综合影响，使人体产生一系列生理机能改变，如体温调节、水盐代谢、循环系统、消化系统、神经系统和泌尿系统等方面的适应性变化，当超过一定限度，则导致热量在体内蓄积，表现为大脑皮层兴奋过程减弱，条件反射的潜伏期限长，注意力不集中。严重时，会出现头晕、头痛，恶心、疲劳乃至虚脱等症状。</w:t>
      </w:r>
    </w:p>
    <w:p>
      <w:pPr>
        <w:pStyle w:val="6"/>
        <w:ind w:firstLine="560"/>
        <w:rPr>
          <w:lang w:val="en-US"/>
        </w:rPr>
      </w:pPr>
      <w:r>
        <w:rPr>
          <w:lang w:val="en-US"/>
        </w:rPr>
        <w:t>为应对夏季高温天气，石油化工总厂为职工发放防暑降温用品，并在高温环境设置风扇、空调等降温设备，有效保证作业环境的舒适性。</w:t>
      </w:r>
    </w:p>
    <w:p>
      <w:pPr>
        <w:pStyle w:val="6"/>
        <w:numPr>
          <w:ilvl w:val="0"/>
          <w:numId w:val="4"/>
        </w:numPr>
        <w:ind w:firstLine="560"/>
        <w:rPr>
          <w:lang w:val="en-US"/>
        </w:rPr>
      </w:pPr>
      <w:r>
        <w:rPr>
          <w:lang w:val="en-US"/>
        </w:rPr>
        <w:t>低温</w:t>
      </w:r>
    </w:p>
    <w:p>
      <w:pPr>
        <w:pStyle w:val="6"/>
        <w:ind w:firstLine="560"/>
        <w:rPr>
          <w:lang w:val="en-US"/>
        </w:rPr>
      </w:pPr>
      <w:r>
        <w:rPr>
          <w:lang w:val="en-US"/>
        </w:rPr>
        <w:t>该项目所在地极端最低气温为-23.3℃，低气温易致使消防水管线冻裂情况的发生，罐区内消防水管线敷设在冻土层以下，可有效防止低温造成消防管网冻裂破损，影响事故状态下火灾的扑救。</w:t>
      </w:r>
    </w:p>
    <w:p>
      <w:pPr>
        <w:pStyle w:val="6"/>
        <w:numPr>
          <w:ilvl w:val="0"/>
          <w:numId w:val="4"/>
        </w:numPr>
        <w:ind w:firstLine="560"/>
        <w:rPr>
          <w:lang w:val="en-US"/>
        </w:rPr>
      </w:pPr>
      <w:r>
        <w:rPr>
          <w:lang w:val="en-US"/>
        </w:rPr>
        <w:t>工程地质</w:t>
      </w:r>
    </w:p>
    <w:p>
      <w:pPr>
        <w:pStyle w:val="6"/>
        <w:ind w:firstLine="560"/>
        <w:rPr>
          <w:lang w:val="en-US"/>
        </w:rPr>
      </w:pPr>
      <w:r>
        <w:rPr>
          <w:lang w:val="en-US"/>
        </w:rPr>
        <w:t>储罐是该工程重要设备，是保障罐区正常生产的基础。如果储罐基础地基处理不当，可能造成发生有害的沉降、倾斜。如果防火堤的堤基处理不当，可能造成防火堤堤基沉降，防火堤出现裂缝，达不到密实、闭合的要求。</w:t>
      </w:r>
    </w:p>
    <w:p>
      <w:pPr>
        <w:pStyle w:val="6"/>
        <w:ind w:firstLine="560"/>
        <w:rPr>
          <w:lang w:val="en-US"/>
        </w:rPr>
      </w:pPr>
      <w:r>
        <w:rPr>
          <w:lang w:val="en-US"/>
        </w:rPr>
        <w:t>该项目储罐严格按照相关法律法规、规定的要求进行地基、基础的设计、施工，有效防止沉降现象的发生。</w:t>
      </w:r>
    </w:p>
    <w:p>
      <w:pPr>
        <w:pStyle w:val="6"/>
        <w:numPr>
          <w:ilvl w:val="0"/>
          <w:numId w:val="4"/>
        </w:numPr>
        <w:ind w:firstLine="560"/>
        <w:rPr>
          <w:lang w:val="en-US"/>
        </w:rPr>
      </w:pPr>
      <w:r>
        <w:rPr>
          <w:lang w:val="en-US"/>
        </w:rPr>
        <w:t>静电</w:t>
      </w:r>
    </w:p>
    <w:p>
      <w:pPr>
        <w:pStyle w:val="6"/>
        <w:ind w:firstLine="560"/>
        <w:rPr>
          <w:lang w:val="en-US"/>
        </w:rPr>
      </w:pPr>
      <w:r>
        <w:rPr>
          <w:lang w:val="en-US"/>
        </w:rPr>
        <w:t>该项目储运的物料为</w:t>
      </w:r>
      <w:r>
        <w:rPr>
          <w:rFonts w:hint="eastAsia"/>
          <w:lang w:val="en-US"/>
        </w:rPr>
        <w:t>易燃</w:t>
      </w:r>
      <w:r>
        <w:rPr>
          <w:lang w:val="en-US"/>
        </w:rPr>
        <w:t>液体，液体的输送、排出都会产生静电，对静电的防护稍有不慎，就可能导致火灾、爆炸，静电放电时瞬时产生的冲击性电流也会对作业人员造成伤害。</w:t>
      </w:r>
    </w:p>
    <w:p>
      <w:pPr>
        <w:pStyle w:val="6"/>
        <w:ind w:firstLine="560"/>
        <w:rPr>
          <w:lang w:val="en-US"/>
        </w:rPr>
      </w:pPr>
      <w:r>
        <w:rPr>
          <w:lang w:val="en-US"/>
        </w:rPr>
        <w:t>为防止静电危害，该项目在储罐的上罐扶梯入口处设置消除人体静电的装置</w:t>
      </w:r>
      <w:r>
        <w:rPr>
          <w:rFonts w:hint="eastAsia"/>
          <w:lang w:val="en-US"/>
        </w:rPr>
        <w:t>，</w:t>
      </w:r>
      <w:r>
        <w:rPr>
          <w:lang w:val="en-US"/>
        </w:rPr>
        <w:t>并于罐顶平台取样口的两侧1.5m之外各设一组消除人体静电设施。该项目采取的防静电设施可有效降低静电危害，保证安全经营。</w:t>
      </w:r>
    </w:p>
    <w:p>
      <w:pPr>
        <w:pStyle w:val="6"/>
        <w:numPr>
          <w:ilvl w:val="0"/>
          <w:numId w:val="4"/>
        </w:numPr>
        <w:ind w:firstLine="560"/>
        <w:rPr>
          <w:lang w:val="en-US"/>
        </w:rPr>
      </w:pPr>
      <w:r>
        <w:rPr>
          <w:lang w:val="en-US"/>
        </w:rPr>
        <w:t>潮湿、腐蚀</w:t>
      </w:r>
    </w:p>
    <w:p>
      <w:pPr>
        <w:pStyle w:val="6"/>
        <w:ind w:firstLine="560"/>
        <w:rPr>
          <w:lang w:val="en-US"/>
        </w:rPr>
      </w:pPr>
      <w:r>
        <w:rPr>
          <w:lang w:val="en-US"/>
        </w:rPr>
        <w:t>空气的高温、潮湿使电气设备材料的绝缘性能下降，使金属产生锈蚀和腐蚀。如果设备、设施外防腐层损坏，潮湿会加剧设备、设施外表的腐蚀，水分子渗入绝缘材料的裂缝和毛细孔中，使漏电流增大，导致绝缘电阻下降。许多电气设备的损坏是由于绝缘材料的热击穿而造成的，高温的环境，加速绝缘材料的老化，失去绝缘性能。</w:t>
      </w:r>
    </w:p>
    <w:p>
      <w:pPr>
        <w:pStyle w:val="6"/>
        <w:ind w:firstLine="560"/>
        <w:rPr>
          <w:lang w:val="en-US"/>
        </w:rPr>
      </w:pPr>
      <w:r>
        <w:rPr>
          <w:lang w:val="en-US"/>
        </w:rPr>
        <w:t>该项目用地含盐量较高，会对地基的钢筋混凝土结构产生较大的腐蚀破坏作用，造成设备、储罐等建、构筑物基础不牢，严重的可发生倒塌事故。</w:t>
      </w:r>
    </w:p>
    <w:p>
      <w:pPr>
        <w:pStyle w:val="6"/>
        <w:ind w:firstLine="560"/>
        <w:rPr>
          <w:lang w:val="en-US"/>
        </w:rPr>
      </w:pPr>
      <w:r>
        <w:rPr>
          <w:lang w:val="en-US"/>
        </w:rPr>
        <w:t>该项目储罐设内、外防腐，其中储罐内部碳钢部件表面：罐底板及罐壁下部2m范围内防腐涂料采用绝缘型，其余部位防腐涂料采用导静电型。储罐设内、外防腐，罐底板与储罐基础之间设边缘防水设施。</w:t>
      </w:r>
    </w:p>
    <w:p>
      <w:pPr>
        <w:pStyle w:val="6"/>
        <w:ind w:firstLine="560"/>
        <w:rPr>
          <w:lang w:val="en-US"/>
        </w:rPr>
      </w:pPr>
      <w:r>
        <w:rPr>
          <w:lang w:val="en-US"/>
        </w:rPr>
        <w:t>综上，经采取相关的措施后</w:t>
      </w:r>
      <w:r>
        <w:rPr>
          <w:rFonts w:hint="eastAsia"/>
        </w:rPr>
        <w:t>，</w:t>
      </w:r>
      <w:r>
        <w:rPr>
          <w:lang w:val="en-US"/>
        </w:rPr>
        <w:t>上述自然条件不会对该项目的正常运行造成较大影响，对本罐区造成影响的风险程度是可以接受的。</w:t>
      </w:r>
    </w:p>
    <w:p>
      <w:pPr>
        <w:pStyle w:val="3"/>
        <w:spacing w:before="159" w:after="159"/>
      </w:pPr>
      <w:bookmarkStart w:id="89" w:name="_Toc5226"/>
      <w:r>
        <w:t>安全可靠性分析</w:t>
      </w:r>
      <w:bookmarkEnd w:id="89"/>
    </w:p>
    <w:p>
      <w:pPr>
        <w:pStyle w:val="4"/>
        <w:spacing w:before="63" w:after="63"/>
      </w:pPr>
      <w:r>
        <w:t>6.2.1 主要技术、工艺和装置、设备、设施的安全可靠性</w:t>
      </w:r>
    </w:p>
    <w:p>
      <w:pPr>
        <w:pStyle w:val="6"/>
        <w:ind w:firstLine="560"/>
        <w:rPr>
          <w:lang w:val="en-US"/>
        </w:rPr>
      </w:pPr>
      <w:r>
        <w:rPr>
          <w:lang w:val="en-US"/>
        </w:rPr>
        <w:t>（1）主要技术、工艺的可靠性分析</w:t>
      </w:r>
    </w:p>
    <w:p>
      <w:pPr>
        <w:pStyle w:val="6"/>
        <w:ind w:firstLine="560"/>
        <w:rPr>
          <w:lang w:val="en-US"/>
        </w:rPr>
      </w:pPr>
      <w:r>
        <w:rPr>
          <w:lang w:val="en-US"/>
        </w:rPr>
        <w:t>该项目为</w:t>
      </w:r>
      <w:r>
        <w:rPr>
          <w:rFonts w:hint="eastAsia"/>
          <w:lang w:val="en-US"/>
        </w:rPr>
        <w:t>新建危险化学品储存项目</w:t>
      </w:r>
      <w:r>
        <w:rPr>
          <w:lang w:val="en-US"/>
        </w:rPr>
        <w:t>，主要工艺过程</w:t>
      </w:r>
      <w:r>
        <w:rPr>
          <w:rFonts w:hint="eastAsia"/>
          <w:lang w:val="en-US"/>
        </w:rPr>
        <w:t>为原油的储运</w:t>
      </w:r>
      <w:r>
        <w:rPr>
          <w:lang w:val="en-US"/>
        </w:rPr>
        <w:t>，工艺简单，无化学反应。</w:t>
      </w:r>
    </w:p>
    <w:p>
      <w:pPr>
        <w:pStyle w:val="6"/>
        <w:ind w:firstLine="560"/>
        <w:rPr>
          <w:lang w:val="en-US"/>
        </w:rPr>
      </w:pPr>
      <w:r>
        <w:rPr>
          <w:rFonts w:hint="eastAsia"/>
          <w:b/>
          <w:bCs/>
          <w:lang w:val="en-US"/>
        </w:rPr>
        <w:t>涉及企业机密，不予公开。</w:t>
      </w:r>
    </w:p>
    <w:p>
      <w:pPr>
        <w:pStyle w:val="6"/>
        <w:ind w:firstLine="560"/>
        <w:rPr>
          <w:lang w:val="en-US"/>
        </w:rPr>
      </w:pPr>
      <w:r>
        <w:rPr>
          <w:lang w:val="en-US"/>
        </w:rPr>
        <w:t>（2）主要设备、设施的安全可靠性分析</w:t>
      </w:r>
    </w:p>
    <w:p>
      <w:pPr>
        <w:pStyle w:val="6"/>
        <w:ind w:firstLine="560"/>
        <w:rPr>
          <w:lang w:val="en-US"/>
        </w:rPr>
      </w:pPr>
      <w:r>
        <w:rPr>
          <w:rFonts w:hint="eastAsia"/>
          <w:b/>
          <w:bCs/>
          <w:lang w:val="en-US"/>
        </w:rPr>
        <w:t>涉及企业机密，不予公开。</w:t>
      </w:r>
      <w:r>
        <w:rPr>
          <w:lang w:val="en-US"/>
        </w:rPr>
        <w:t>。</w:t>
      </w:r>
    </w:p>
    <w:p>
      <w:pPr>
        <w:pStyle w:val="6"/>
        <w:ind w:firstLine="560"/>
        <w:rPr>
          <w:lang w:val="en-US"/>
        </w:rPr>
      </w:pPr>
      <w:r>
        <w:rPr>
          <w:lang w:val="en-US"/>
        </w:rPr>
        <w:t>该项目涉及的设备设施未被列入《淘汰落后危险化学品安全生产工艺技术设备目录（第一批）》（应急厅[2020]38号）中。</w:t>
      </w:r>
    </w:p>
    <w:p>
      <w:pPr>
        <w:pStyle w:val="6"/>
        <w:ind w:firstLine="560"/>
        <w:rPr>
          <w:lang w:val="en-US"/>
        </w:rPr>
      </w:pPr>
      <w:r>
        <w:rPr>
          <w:lang w:val="en-US"/>
        </w:rPr>
        <w:t>该项目如能在后续的设计、施工过程中，严格按照规范、标准的要求进行设计、施工并验收，在</w:t>
      </w:r>
      <w:r>
        <w:rPr>
          <w:rFonts w:hint="eastAsia"/>
          <w:lang w:val="en-US"/>
        </w:rPr>
        <w:t>运行过程</w:t>
      </w:r>
      <w:r>
        <w:rPr>
          <w:lang w:val="en-US"/>
        </w:rPr>
        <w:t>中，制定《安全操作规程》，并严格按照操作规程的要求进行操作，其工艺和设备将可以满足项目的正常运行。</w:t>
      </w:r>
    </w:p>
    <w:p>
      <w:pPr>
        <w:pStyle w:val="4"/>
        <w:spacing w:before="63" w:after="63"/>
      </w:pPr>
      <w:r>
        <w:t>6.2.2 拟为危险化学品储存过程配套和辅助的工程是否满足安全经营需要</w:t>
      </w:r>
    </w:p>
    <w:p>
      <w:pPr>
        <w:pStyle w:val="6"/>
        <w:ind w:firstLine="560"/>
        <w:rPr>
          <w:lang w:val="en-US"/>
        </w:rPr>
      </w:pPr>
      <w:r>
        <w:rPr>
          <w:lang w:val="en-US"/>
        </w:rPr>
        <w:t>由第二章第2.6节分析可知，该项目所需的水、电、气、供热、消防、</w:t>
      </w:r>
      <w:r>
        <w:rPr>
          <w:rFonts w:hint="eastAsia"/>
          <w:lang w:val="en-US"/>
        </w:rPr>
        <w:t>自动控制、</w:t>
      </w:r>
      <w:r>
        <w:rPr>
          <w:lang w:val="en-US"/>
        </w:rPr>
        <w:t>分析化验等均具有较好的匹配性。</w:t>
      </w:r>
    </w:p>
    <w:p>
      <w:pPr>
        <w:pStyle w:val="3"/>
        <w:spacing w:before="159" w:after="159"/>
      </w:pPr>
      <w:bookmarkStart w:id="90" w:name="_Toc19881"/>
      <w:r>
        <w:t>生产工艺装置自动化控制分析评价</w:t>
      </w:r>
      <w:bookmarkEnd w:id="90"/>
    </w:p>
    <w:p>
      <w:pPr>
        <w:pStyle w:val="4"/>
        <w:spacing w:before="63" w:after="63"/>
      </w:pPr>
      <w:r>
        <w:t>6.3.1 危险工艺自动化控制</w:t>
      </w:r>
    </w:p>
    <w:p>
      <w:pPr>
        <w:pStyle w:val="6"/>
        <w:ind w:firstLine="560"/>
        <w:rPr>
          <w:lang w:val="en-US"/>
        </w:rPr>
      </w:pPr>
      <w:r>
        <w:rPr>
          <w:lang w:val="en-US"/>
        </w:rPr>
        <w:t>由危险度评价法可知：30000m³原油储罐的危险度等级为</w:t>
      </w:r>
      <w:r>
        <w:rPr>
          <w:rFonts w:hint="eastAsia" w:ascii="宋体" w:hAnsi="宋体" w:cs="宋体"/>
          <w:lang w:val="en-US"/>
        </w:rPr>
        <w:t>Ⅰ</w:t>
      </w:r>
      <w:r>
        <w:rPr>
          <w:lang w:val="en-US"/>
        </w:rPr>
        <w:t>级（高度危险）。</w:t>
      </w:r>
      <w:r>
        <w:rPr>
          <w:rFonts w:hint="eastAsia"/>
          <w:lang w:val="en-US"/>
        </w:rPr>
        <w:t>涉及企业机密，不予公开。</w:t>
      </w:r>
    </w:p>
    <w:p>
      <w:pPr>
        <w:pStyle w:val="6"/>
        <w:ind w:firstLine="560"/>
        <w:rPr>
          <w:lang w:val="en-US"/>
        </w:rPr>
      </w:pPr>
      <w:r>
        <w:rPr>
          <w:lang w:val="en-US"/>
        </w:rPr>
        <w:t>企业应在下一步设计中进一步按照《危险化学品重大危险源监督管理暂行规定》（安监总局令第40号，79号令修</w:t>
      </w:r>
      <w:r>
        <w:rPr>
          <w:rFonts w:hint="eastAsia"/>
          <w:lang w:val="en-US" w:eastAsia="zh-CN"/>
        </w:rPr>
        <w:t>正</w:t>
      </w:r>
      <w:r>
        <w:rPr>
          <w:lang w:val="en-US"/>
        </w:rPr>
        <w:t>）、《危险化学品重大危险源罐区现场安全监控装备设置规范》（AQ3036-2010）、《危险化学品重大危险源安全监控通用技术规范》（AQ3035-2010）及《危险化学品企业重大危险源安全包保责任制办法》（应急厅[2021]12号）的要求落实各项安全控制设计指导方案。</w:t>
      </w:r>
    </w:p>
    <w:p>
      <w:pPr>
        <w:pStyle w:val="4"/>
        <w:spacing w:before="63" w:after="63"/>
      </w:pPr>
      <w:r>
        <w:t>6.3.2 重点监管的危险化学品安全控制</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pPr>
      <w:r>
        <w:rPr>
          <w:rFonts w:hint="eastAsia" w:ascii="Times New Roman" w:hAnsi="Times New Roman" w:eastAsia="宋体" w:cs="Times New Roman"/>
          <w:kern w:val="0"/>
          <w:sz w:val="28"/>
          <w:szCs w:val="20"/>
          <w:lang w:val="en-US" w:eastAsia="zh-CN" w:bidi="ar-SA"/>
        </w:rPr>
        <w:t>根据《首批重点监管的危险化学品安全措施和应急处置原则》（安监总厅管三[2011]142号），该项目涉及的危险化学品为原油，原油的安全控制及处置措施见下表。</w:t>
      </w:r>
    </w:p>
    <w:p>
      <w:pPr>
        <w:pStyle w:val="23"/>
      </w:pPr>
      <w:r>
        <w:rPr>
          <w:rFonts w:hint="eastAsia"/>
        </w:rPr>
        <w:t xml:space="preserve">表6.3-1 </w:t>
      </w:r>
      <w:r>
        <w:rPr>
          <w:rFonts w:hint="eastAsia"/>
          <w:lang w:val="en-US" w:eastAsia="zh-CN"/>
        </w:rPr>
        <w:t xml:space="preserve"> </w:t>
      </w:r>
      <w:r>
        <w:rPr>
          <w:rFonts w:hint="eastAsia"/>
          <w:lang w:val="en-US"/>
        </w:rPr>
        <w:t>原油</w:t>
      </w:r>
      <w:r>
        <w:rPr>
          <w:rFonts w:hint="eastAsia"/>
        </w:rPr>
        <w:t>安全控制及应急处置措施</w:t>
      </w: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4745"/>
        <w:gridCol w:w="2662"/>
        <w:gridCol w:w="6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trPr>
        <w:tc>
          <w:tcPr>
            <w:tcW w:w="250" w:type="pct"/>
            <w:vAlign w:val="center"/>
          </w:tcPr>
          <w:p>
            <w:pPr>
              <w:pStyle w:val="24"/>
              <w:rPr>
                <w:b/>
                <w:bCs/>
              </w:rPr>
            </w:pPr>
            <w:r>
              <w:rPr>
                <w:rFonts w:hint="eastAsia"/>
                <w:b/>
                <w:bCs/>
              </w:rPr>
              <w:t>类别</w:t>
            </w:r>
          </w:p>
        </w:tc>
        <w:tc>
          <w:tcPr>
            <w:tcW w:w="2785" w:type="pct"/>
            <w:vAlign w:val="center"/>
          </w:tcPr>
          <w:p>
            <w:pPr>
              <w:pStyle w:val="24"/>
              <w:rPr>
                <w:b/>
                <w:bCs/>
              </w:rPr>
            </w:pPr>
            <w:r>
              <w:rPr>
                <w:rFonts w:hint="eastAsia"/>
                <w:b/>
                <w:bCs/>
              </w:rPr>
              <w:t>《安监总厅管三[2011]142号》安全措施的要求</w:t>
            </w:r>
          </w:p>
        </w:tc>
        <w:tc>
          <w:tcPr>
            <w:tcW w:w="1562" w:type="pct"/>
            <w:vAlign w:val="center"/>
          </w:tcPr>
          <w:p>
            <w:pPr>
              <w:pStyle w:val="24"/>
              <w:rPr>
                <w:b/>
                <w:bCs/>
              </w:rPr>
            </w:pPr>
            <w:r>
              <w:rPr>
                <w:rFonts w:hint="eastAsia"/>
                <w:b/>
                <w:bCs/>
              </w:rPr>
              <w:t>本项目情况</w:t>
            </w:r>
          </w:p>
        </w:tc>
        <w:tc>
          <w:tcPr>
            <w:tcW w:w="400" w:type="pct"/>
            <w:vAlign w:val="center"/>
          </w:tcPr>
          <w:p>
            <w:pPr>
              <w:pStyle w:val="24"/>
              <w:rPr>
                <w:b/>
                <w:bCs/>
              </w:rPr>
            </w:pPr>
            <w:r>
              <w:rPr>
                <w:rFonts w:hint="eastAsia"/>
                <w:b/>
                <w:bCs/>
              </w:rPr>
              <w:t>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restart"/>
            <w:vAlign w:val="center"/>
          </w:tcPr>
          <w:p>
            <w:pPr>
              <w:pStyle w:val="24"/>
              <w:jc w:val="left"/>
            </w:pPr>
            <w:r>
              <w:rPr>
                <w:rFonts w:hint="eastAsia"/>
              </w:rPr>
              <w:t>一般要求</w:t>
            </w:r>
          </w:p>
        </w:tc>
        <w:tc>
          <w:tcPr>
            <w:tcW w:w="2785" w:type="pct"/>
            <w:vAlign w:val="center"/>
          </w:tcPr>
          <w:p>
            <w:pPr>
              <w:pStyle w:val="24"/>
              <w:jc w:val="left"/>
            </w:pPr>
            <w:r>
              <w:rPr>
                <w:rFonts w:hint="eastAsia"/>
              </w:rPr>
              <w:t>（1）操作人员必须经过专门培训，严格遵守操作规程，熟练掌握操作技能，具备应急处置知识。</w:t>
            </w:r>
          </w:p>
        </w:tc>
        <w:tc>
          <w:tcPr>
            <w:tcW w:w="1562" w:type="pct"/>
            <w:vAlign w:val="center"/>
          </w:tcPr>
          <w:p>
            <w:pPr>
              <w:pStyle w:val="24"/>
              <w:jc w:val="left"/>
            </w:pPr>
            <w:r>
              <w:rPr>
                <w:rFonts w:hint="eastAsia"/>
              </w:rPr>
              <w:t>项目作业人员均经专门培训后上岗，按照操作规程进行操作。</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pPr>
            <w:r>
              <w:rPr>
                <w:rFonts w:hint="eastAsia"/>
              </w:rPr>
              <w:t>（2）严加密闭，防止泄漏，工作场所提供充分的局部排风和全面通风，远离火种、热源，工作现场严禁吸烟。</w:t>
            </w:r>
          </w:p>
        </w:tc>
        <w:tc>
          <w:tcPr>
            <w:tcW w:w="1562" w:type="pct"/>
            <w:vAlign w:val="center"/>
          </w:tcPr>
          <w:p>
            <w:pPr>
              <w:pStyle w:val="24"/>
              <w:jc w:val="left"/>
            </w:pPr>
            <w:r>
              <w:rPr>
                <w:rFonts w:hint="eastAsia"/>
              </w:rPr>
              <w:t>使用过程密闭操作，严防泄露；作业区域自然通风良好，禁止吸烟，禁止火种或火源。</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3）在可能泄漏原油的场所内，应该设置可燃气体报警仪，使用防爆型的通风系统和设备，配备两套以上重型防护服。戴安全防护眼镜。穿相应的防护服。戴防护手套。高浓度环境中，应该佩戴防毒口罩。必要时应佩戴自给式呼吸器。储罐等压力设备应设置液位计、温度计，并应带有远传记录和报警功能的安全装置。</w:t>
            </w:r>
          </w:p>
        </w:tc>
        <w:tc>
          <w:tcPr>
            <w:tcW w:w="1562" w:type="pct"/>
            <w:vAlign w:val="center"/>
          </w:tcPr>
          <w:p>
            <w:pPr>
              <w:pStyle w:val="24"/>
              <w:jc w:val="left"/>
              <w:rPr>
                <w:rFonts w:hint="eastAsia" w:eastAsia="宋体"/>
                <w:color w:val="auto"/>
                <w:lang w:eastAsia="zh-CN"/>
              </w:rPr>
            </w:pPr>
            <w:r>
              <w:rPr>
                <w:rFonts w:hint="eastAsia"/>
                <w:color w:val="auto"/>
              </w:rPr>
              <w:t>本项目设置可燃气体报警器，并使用防爆型设备。储罐</w:t>
            </w:r>
            <w:r>
              <w:rPr>
                <w:rFonts w:hint="eastAsia"/>
                <w:color w:val="auto"/>
                <w:lang w:val="en-US" w:eastAsia="zh-CN"/>
              </w:rPr>
              <w:t>拟</w:t>
            </w:r>
            <w:r>
              <w:rPr>
                <w:rFonts w:hint="eastAsia"/>
                <w:color w:val="auto"/>
              </w:rPr>
              <w:t>设置液位计、温度计，</w:t>
            </w:r>
            <w:r>
              <w:rPr>
                <w:rFonts w:hint="eastAsia"/>
                <w:color w:val="auto"/>
                <w:lang w:val="en-US" w:eastAsia="zh-CN"/>
              </w:rPr>
              <w:t>设置</w:t>
            </w:r>
            <w:r>
              <w:rPr>
                <w:rFonts w:hint="eastAsia"/>
                <w:color w:val="auto"/>
              </w:rPr>
              <w:t>高低液位报警器、高高、低低液位报警及高高、低低液位联锁</w:t>
            </w:r>
            <w:r>
              <w:rPr>
                <w:rFonts w:hint="eastAsia"/>
                <w:color w:val="auto"/>
                <w:lang w:eastAsia="zh-CN"/>
              </w:rPr>
              <w:t>。</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（4）避免与强氧化剂接触。</w:t>
            </w:r>
          </w:p>
        </w:tc>
        <w:tc>
          <w:tcPr>
            <w:tcW w:w="1562" w:type="pct"/>
            <w:vAlign w:val="center"/>
          </w:tcPr>
          <w:p>
            <w:pPr>
              <w:pStyle w:val="24"/>
              <w:jc w:val="left"/>
              <w:rPr>
                <w:rFonts w:hint="eastAsia" w:eastAsia="宋体"/>
                <w:color w:val="auto"/>
                <w:lang w:eastAsia="zh-CN"/>
              </w:rPr>
            </w:pPr>
            <w:r>
              <w:rPr>
                <w:rFonts w:hint="eastAsia"/>
                <w:color w:val="auto"/>
              </w:rPr>
              <w:t>未与强氧化剂接触</w:t>
            </w:r>
            <w:r>
              <w:rPr>
                <w:rFonts w:hint="eastAsia"/>
                <w:color w:val="auto"/>
                <w:lang w:eastAsia="zh-CN"/>
              </w:rPr>
              <w:t>。</w:t>
            </w:r>
          </w:p>
        </w:tc>
        <w:tc>
          <w:tcPr>
            <w:tcW w:w="400" w:type="pct"/>
            <w:vAlign w:val="center"/>
          </w:tcPr>
          <w:p>
            <w:pPr>
              <w:pStyle w:val="24"/>
            </w:pP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（5）生产、储存区域应设置安全警示标志。搬运时要轻装轻卸，防止包装及容器损坏。配备相应品种和数量的消防器材及泄漏应急处理设备。倒空的容器可能存在残留有害物时应及时处理。</w:t>
            </w:r>
          </w:p>
        </w:tc>
        <w:tc>
          <w:tcPr>
            <w:tcW w:w="1562" w:type="pct"/>
            <w:vAlign w:val="center"/>
          </w:tcPr>
          <w:p>
            <w:pPr>
              <w:pStyle w:val="24"/>
              <w:jc w:val="left"/>
              <w:rPr>
                <w:rFonts w:hint="eastAsia" w:eastAsia="宋体"/>
                <w:color w:val="auto"/>
                <w:lang w:eastAsia="zh-CN"/>
              </w:rPr>
            </w:pPr>
            <w:r>
              <w:rPr>
                <w:rFonts w:hint="eastAsia"/>
                <w:color w:val="auto"/>
              </w:rPr>
              <w:t>该项目拟设置安全警示标志。配备相应品种和数量的消防器材及泄漏应急处理设备</w:t>
            </w:r>
            <w:r>
              <w:rPr>
                <w:rFonts w:hint="eastAsia"/>
                <w:color w:val="auto"/>
                <w:lang w:eastAsia="zh-CN"/>
              </w:rPr>
              <w:t>。</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restart"/>
            <w:vAlign w:val="center"/>
          </w:tcPr>
          <w:p>
            <w:pPr>
              <w:pStyle w:val="24"/>
              <w:jc w:val="left"/>
            </w:pPr>
            <w:r>
              <w:rPr>
                <w:rFonts w:hint="eastAsia"/>
              </w:rPr>
              <w:t>操作安全</w:t>
            </w:r>
          </w:p>
        </w:tc>
        <w:tc>
          <w:tcPr>
            <w:tcW w:w="2785" w:type="pct"/>
            <w:vAlign w:val="center"/>
          </w:tcPr>
          <w:p>
            <w:pPr>
              <w:pStyle w:val="24"/>
              <w:jc w:val="left"/>
              <w:rPr>
                <w:color w:val="auto"/>
              </w:rPr>
            </w:pPr>
            <w:r>
              <w:rPr>
                <w:rFonts w:hint="eastAsia"/>
                <w:color w:val="auto"/>
              </w:rPr>
              <w:t>（1）往油罐或油罐汽车装油时，输油管要插入油面以下或接近罐的底部，以减少油料的冲击和与空气的摩擦。</w:t>
            </w:r>
          </w:p>
        </w:tc>
        <w:tc>
          <w:tcPr>
            <w:tcW w:w="1562" w:type="pct"/>
            <w:vAlign w:val="center"/>
          </w:tcPr>
          <w:p>
            <w:pPr>
              <w:pStyle w:val="24"/>
              <w:jc w:val="left"/>
              <w:rPr>
                <w:color w:val="auto"/>
              </w:rPr>
            </w:pPr>
            <w:r>
              <w:rPr>
                <w:rFonts w:hint="eastAsia"/>
                <w:color w:val="auto"/>
              </w:rPr>
              <w:t>拟按照操作规程进行操作。</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（2）当进行灌装原油时，邻近的汽车、拖拉机的排气管要戴上防火帽后才能发动，存原油地点附近严禁检修车辆。</w:t>
            </w:r>
          </w:p>
        </w:tc>
        <w:tc>
          <w:tcPr>
            <w:tcW w:w="1562" w:type="pct"/>
            <w:vAlign w:val="center"/>
          </w:tcPr>
          <w:p>
            <w:pPr>
              <w:pStyle w:val="24"/>
              <w:jc w:val="left"/>
              <w:rPr>
                <w:color w:val="auto"/>
              </w:rPr>
            </w:pPr>
            <w:r>
              <w:rPr>
                <w:rFonts w:hint="eastAsia"/>
                <w:color w:val="auto"/>
              </w:rPr>
              <w:t>拟按照操作规程进行操作。</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（3）注意仓库及操作场所的通风，使油蒸气容易逸散。</w:t>
            </w:r>
          </w:p>
        </w:tc>
        <w:tc>
          <w:tcPr>
            <w:tcW w:w="1562" w:type="pct"/>
            <w:vAlign w:val="center"/>
          </w:tcPr>
          <w:p>
            <w:pPr>
              <w:pStyle w:val="24"/>
              <w:jc w:val="left"/>
              <w:rPr>
                <w:color w:val="auto"/>
              </w:rPr>
            </w:pPr>
            <w:r>
              <w:rPr>
                <w:rFonts w:hint="eastAsia"/>
                <w:color w:val="auto"/>
              </w:rPr>
              <w:t>拟按照操作规程进行操作。</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restart"/>
            <w:vAlign w:val="center"/>
          </w:tcPr>
          <w:p>
            <w:pPr>
              <w:pStyle w:val="24"/>
              <w:jc w:val="left"/>
            </w:pPr>
            <w:r>
              <w:rPr>
                <w:rFonts w:hint="eastAsia"/>
              </w:rPr>
              <w:t>储存安全</w:t>
            </w:r>
          </w:p>
        </w:tc>
        <w:tc>
          <w:tcPr>
            <w:tcW w:w="2785" w:type="pct"/>
            <w:vAlign w:val="center"/>
          </w:tcPr>
          <w:p>
            <w:pPr>
              <w:pStyle w:val="24"/>
              <w:jc w:val="left"/>
              <w:rPr>
                <w:color w:val="auto"/>
              </w:rPr>
            </w:pPr>
            <w:r>
              <w:rPr>
                <w:rFonts w:hint="eastAsia"/>
                <w:color w:val="auto"/>
              </w:rPr>
              <w:t>（1）储存于阴凉、通风的仓库内。远离火种、热源。库房内温度不宜超过30℃。</w:t>
            </w:r>
          </w:p>
        </w:tc>
        <w:tc>
          <w:tcPr>
            <w:tcW w:w="1562" w:type="pct"/>
            <w:vAlign w:val="center"/>
          </w:tcPr>
          <w:p>
            <w:pPr>
              <w:pStyle w:val="24"/>
              <w:jc w:val="left"/>
              <w:rPr>
                <w:color w:val="auto"/>
              </w:rPr>
            </w:pPr>
            <w:r>
              <w:rPr>
                <w:rFonts w:hint="eastAsia"/>
                <w:color w:val="auto"/>
              </w:rPr>
              <w:t>该项目原油储存于G-106储罐，储罐露天布置。</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2）保持容器密闭。应与氧化剂、酸类物质分开存放。储存间采用防爆型照明、通风等设施。禁止使用产生火花的机械设备和工具。储存区应备有泄漏应急处理设备。灌装时，注意流速不超过3m/s，且有接地装置，防止静电积聚。</w:t>
            </w:r>
          </w:p>
        </w:tc>
        <w:tc>
          <w:tcPr>
            <w:tcW w:w="1562" w:type="pct"/>
            <w:vAlign w:val="center"/>
          </w:tcPr>
          <w:p>
            <w:pPr>
              <w:pStyle w:val="24"/>
              <w:jc w:val="left"/>
              <w:rPr>
                <w:rFonts w:hint="eastAsia" w:eastAsia="宋体"/>
                <w:color w:val="auto"/>
                <w:lang w:eastAsia="zh-CN"/>
              </w:rPr>
            </w:pPr>
            <w:r>
              <w:rPr>
                <w:rFonts w:hint="eastAsia"/>
                <w:color w:val="auto"/>
              </w:rPr>
              <w:t>G-106储罐密闭储存。与氧化剂、酸类物质分开存放。储存间采用防爆型照明、通风等设施。禁止使用产生火花的机械设备和工具。储存区备有泄漏应急处理设备。灌装时，注意流速不超过3m/s，且有接地装置，防止静电积聚</w:t>
            </w:r>
            <w:r>
              <w:rPr>
                <w:rFonts w:hint="eastAsia"/>
                <w:color w:val="auto"/>
                <w:lang w:eastAsia="zh-CN"/>
              </w:rPr>
              <w:t>。</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（3）注意防雷、防静电，厂(车间)内的储罐应按《建筑物防雷设计规范》（GB 50057）的规定设置防雷、防静电设施。</w:t>
            </w:r>
          </w:p>
        </w:tc>
        <w:tc>
          <w:tcPr>
            <w:tcW w:w="1562" w:type="pct"/>
            <w:vAlign w:val="center"/>
          </w:tcPr>
          <w:p>
            <w:pPr>
              <w:pStyle w:val="24"/>
              <w:jc w:val="left"/>
              <w:rPr>
                <w:color w:val="auto"/>
              </w:rPr>
            </w:pPr>
            <w:r>
              <w:rPr>
                <w:rFonts w:hint="eastAsia"/>
                <w:color w:val="auto"/>
              </w:rPr>
              <w:t>G-106储罐防雷、防静电设施拟按要求设置。</w:t>
            </w:r>
          </w:p>
        </w:tc>
        <w:tc>
          <w:tcPr>
            <w:tcW w:w="400" w:type="pct"/>
            <w:vAlign w:val="center"/>
          </w:tcPr>
          <w:p>
            <w:pPr>
              <w:pStyle w:val="24"/>
            </w:pPr>
            <w:r>
              <w:rPr>
                <w:rFonts w:hint="eastAsia"/>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restart"/>
            <w:vAlign w:val="center"/>
          </w:tcPr>
          <w:p>
            <w:pPr>
              <w:pStyle w:val="24"/>
              <w:jc w:val="left"/>
            </w:pPr>
            <w:r>
              <w:rPr>
                <w:rFonts w:hint="eastAsia"/>
              </w:rPr>
              <w:t>运输安全</w:t>
            </w:r>
          </w:p>
        </w:tc>
        <w:tc>
          <w:tcPr>
            <w:tcW w:w="2785" w:type="pct"/>
            <w:vAlign w:val="center"/>
          </w:tcPr>
          <w:p>
            <w:pPr>
              <w:pStyle w:val="24"/>
              <w:jc w:val="left"/>
              <w:rPr>
                <w:color w:val="auto"/>
              </w:rPr>
            </w:pPr>
            <w:r>
              <w:rPr>
                <w:rFonts w:hint="eastAsia"/>
                <w:color w:val="auto"/>
              </w:rPr>
              <w:t>（1）运输车辆应有危险货物运输标志、安装具有行驶记录功能的卫星定位装置。未经公安机关批准，运输车辆不得进入危险化学品运输车辆限制通行的区域。</w:t>
            </w:r>
          </w:p>
        </w:tc>
        <w:tc>
          <w:tcPr>
            <w:tcW w:w="1562" w:type="pct"/>
            <w:vMerge w:val="restart"/>
            <w:vAlign w:val="center"/>
          </w:tcPr>
          <w:p>
            <w:pPr>
              <w:pStyle w:val="24"/>
              <w:jc w:val="left"/>
              <w:rPr>
                <w:color w:val="auto"/>
              </w:rPr>
            </w:pPr>
            <w:r>
              <w:rPr>
                <w:rFonts w:hint="eastAsia"/>
                <w:color w:val="auto"/>
              </w:rPr>
              <w:t>该项目不涉及。</w:t>
            </w:r>
          </w:p>
        </w:tc>
        <w:tc>
          <w:tcPr>
            <w:tcW w:w="400" w:type="pct"/>
            <w:vMerge w:val="restart"/>
            <w:vAlign w:val="center"/>
          </w:tcPr>
          <w:p>
            <w:pPr>
              <w:pStyle w:val="24"/>
            </w:pP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2）严禁与氧化剂、食用化学品等混装混运。运输时所用的槽（罐）车应有导静电拖线，槽内可设孔隔板以减少震荡产生静电。装运该物品的车辆排气管必须配备阻火装置，禁止使用易产生火花的机械设备和工具装卸。运输时运输车辆应配备相应品种和数量的消防器材。运输途中应防曝晒、防雨淋、防高温。中途停留时应远离火种、热源、高温区，勿在居民区和人口稠密区停留。</w:t>
            </w:r>
          </w:p>
        </w:tc>
        <w:tc>
          <w:tcPr>
            <w:tcW w:w="1562" w:type="pct"/>
            <w:vMerge w:val="continue"/>
            <w:vAlign w:val="center"/>
          </w:tcPr>
          <w:p>
            <w:pPr>
              <w:pStyle w:val="24"/>
              <w:rPr>
                <w:color w:val="auto"/>
              </w:rPr>
            </w:pPr>
          </w:p>
        </w:tc>
        <w:tc>
          <w:tcPr>
            <w:tcW w:w="400" w:type="pct"/>
            <w:vMerge w:val="continue"/>
            <w:vAlign w:val="center"/>
          </w:tcPr>
          <w:p>
            <w:pPr>
              <w:pStyle w:val="24"/>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250" w:type="pct"/>
            <w:vMerge w:val="continue"/>
            <w:vAlign w:val="center"/>
          </w:tcPr>
          <w:p>
            <w:pPr>
              <w:pStyle w:val="24"/>
              <w:jc w:val="left"/>
            </w:pPr>
          </w:p>
        </w:tc>
        <w:tc>
          <w:tcPr>
            <w:tcW w:w="2785" w:type="pct"/>
            <w:vAlign w:val="center"/>
          </w:tcPr>
          <w:p>
            <w:pPr>
              <w:pStyle w:val="24"/>
              <w:jc w:val="left"/>
              <w:rPr>
                <w:color w:val="auto"/>
              </w:rPr>
            </w:pPr>
            <w:r>
              <w:rPr>
                <w:rFonts w:hint="eastAsia"/>
                <w:color w:val="auto"/>
              </w:rPr>
              <w:t>（3）输油管道地下铺设时，沿线应设置里程桩、转角桩、标志桩和测试桩，并设警示标志。运行应符合有关法律法规规定。</w:t>
            </w:r>
          </w:p>
        </w:tc>
        <w:tc>
          <w:tcPr>
            <w:tcW w:w="1562" w:type="pct"/>
            <w:vMerge w:val="continue"/>
            <w:vAlign w:val="center"/>
          </w:tcPr>
          <w:p>
            <w:pPr>
              <w:pStyle w:val="24"/>
              <w:rPr>
                <w:color w:val="auto"/>
              </w:rPr>
            </w:pPr>
          </w:p>
        </w:tc>
        <w:tc>
          <w:tcPr>
            <w:tcW w:w="400" w:type="pct"/>
            <w:vMerge w:val="continue"/>
            <w:vAlign w:val="center"/>
          </w:tcPr>
          <w:p>
            <w:pPr>
              <w:pStyle w:val="24"/>
            </w:pPr>
          </w:p>
        </w:tc>
      </w:tr>
    </w:tbl>
    <w:p>
      <w:pPr>
        <w:pStyle w:val="6"/>
        <w:spacing w:before="159" w:beforeLines="50"/>
        <w:ind w:firstLine="560"/>
        <w:rPr>
          <w:lang w:val="en-US"/>
        </w:rPr>
      </w:pPr>
      <w:r>
        <w:rPr>
          <w:lang w:val="en-US"/>
        </w:rPr>
        <w:t>该项目针对重点监管化学品原油采取的监控对策措施基本符合《首批重点监管的危险化学品安全措施和应急处置原则》（安监总厅管三[2011]142号）的要求</w:t>
      </w:r>
      <w:r>
        <w:rPr>
          <w:rFonts w:hint="eastAsia"/>
          <w:lang w:val="en-US"/>
        </w:rPr>
        <w:t>。</w:t>
      </w:r>
    </w:p>
    <w:p>
      <w:pPr>
        <w:pStyle w:val="4"/>
        <w:spacing w:before="63" w:after="63"/>
      </w:pPr>
      <w:r>
        <w:t>6.3.3重大危险源安全监控系统</w:t>
      </w:r>
    </w:p>
    <w:p>
      <w:pPr>
        <w:pStyle w:val="6"/>
        <w:ind w:firstLine="560"/>
        <w:rPr>
          <w:lang w:val="en-US"/>
        </w:rPr>
      </w:pPr>
      <w:r>
        <w:rPr>
          <w:lang w:val="en-US"/>
        </w:rPr>
        <w:t>根据《危险化学品重大危险源辨识》（GB18218-2018）及《危险化学品重大危险源监督管理暂行规定》（安监总局令第40号，79号令修</w:t>
      </w:r>
      <w:r>
        <w:rPr>
          <w:rFonts w:hint="eastAsia"/>
          <w:lang w:val="en-US" w:eastAsia="zh-CN"/>
        </w:rPr>
        <w:t>正</w:t>
      </w:r>
      <w:r>
        <w:rPr>
          <w:lang w:val="en-US"/>
        </w:rPr>
        <w:t>）进行辨识，该项目涉及的105#罐区构成三级危险化学品重大危险源。</w:t>
      </w:r>
    </w:p>
    <w:p>
      <w:pPr>
        <w:pStyle w:val="6"/>
        <w:ind w:firstLine="560"/>
        <w:rPr>
          <w:lang w:val="en-US"/>
        </w:rPr>
      </w:pPr>
      <w:r>
        <w:rPr>
          <w:lang w:val="en-US"/>
        </w:rPr>
        <w:t>（1）该项目危险化学品重大危险源分布于罐区。企业拟采取的重大危险源监控措施如下：</w:t>
      </w:r>
    </w:p>
    <w:p>
      <w:pPr>
        <w:pStyle w:val="6"/>
        <w:ind w:firstLine="560"/>
        <w:rPr>
          <w:lang w:val="en-US"/>
        </w:rPr>
      </w:pPr>
      <w:r>
        <w:rPr>
          <w:rFonts w:hint="eastAsia"/>
          <w:b/>
          <w:bCs/>
          <w:lang w:val="en-US"/>
        </w:rPr>
        <w:t>涉及企业机密，不予公开。</w:t>
      </w:r>
    </w:p>
    <w:p>
      <w:pPr>
        <w:pStyle w:val="3"/>
        <w:spacing w:before="159" w:after="159"/>
      </w:pPr>
      <w:bookmarkStart w:id="91" w:name="_Toc27590"/>
      <w:r>
        <w:t>安全管理可靠性分析评价</w:t>
      </w:r>
      <w:bookmarkEnd w:id="91"/>
    </w:p>
    <w:p>
      <w:pPr>
        <w:pStyle w:val="4"/>
        <w:spacing w:before="63" w:after="63"/>
      </w:pPr>
      <w:r>
        <w:t>6.4.1安全管理机构及人员配备</w:t>
      </w:r>
    </w:p>
    <w:p>
      <w:pPr>
        <w:pStyle w:val="6"/>
        <w:ind w:firstLine="560"/>
        <w:rPr>
          <w:lang w:val="en-US"/>
        </w:rPr>
      </w:pPr>
      <w:r>
        <w:rPr>
          <w:lang w:val="en-US"/>
        </w:rPr>
        <w:t>根据《</w:t>
      </w:r>
      <w:r>
        <w:rPr>
          <w:rFonts w:hint="eastAsia"/>
          <w:lang w:val="en-US"/>
        </w:rPr>
        <w:t>中华人民共和国</w:t>
      </w:r>
      <w:r>
        <w:rPr>
          <w:lang w:val="en-US"/>
        </w:rPr>
        <w:t>安全生产法》第二十</w:t>
      </w:r>
      <w:r>
        <w:rPr>
          <w:rFonts w:hint="eastAsia"/>
          <w:lang w:val="en-US"/>
        </w:rPr>
        <w:t>四</w:t>
      </w:r>
      <w:r>
        <w:rPr>
          <w:lang w:val="en-US"/>
        </w:rPr>
        <w:t>条的要求：矿山、金属冶炼、建筑施工、运输单位和危险物品的生产、经营、储存、装卸单位，应当设置安全生产管理机构或者配备专职安全生产管理人员；根据《山东省生产经营单位安全生产主体责任规定》（</w:t>
      </w:r>
      <w:r>
        <w:rPr>
          <w:rFonts w:hint="eastAsia"/>
          <w:lang w:val="en-US"/>
        </w:rPr>
        <w:t>山东省政府令第260号，第303号修订，第311号修订</w:t>
      </w:r>
      <w:r>
        <w:rPr>
          <w:lang w:val="en-US"/>
        </w:rPr>
        <w:t>）第九条要求：从业人员在1000人以上的，应当设置专门的安全生产管理机构，并按不低于从业人员5‰的比例配备专职安全生产管理人员，其中至少应当有3名注册安全工程师。</w:t>
      </w:r>
    </w:p>
    <w:p>
      <w:pPr>
        <w:pStyle w:val="6"/>
        <w:ind w:firstLine="560"/>
        <w:rPr>
          <w:lang w:val="en-US"/>
        </w:rPr>
      </w:pPr>
      <w:r>
        <w:rPr>
          <w:rFonts w:hint="eastAsia"/>
          <w:b/>
          <w:bCs/>
          <w:lang w:val="en-US"/>
        </w:rPr>
        <w:t>涉及企业机密，不予公开。</w:t>
      </w:r>
    </w:p>
    <w:p>
      <w:pPr>
        <w:pStyle w:val="4"/>
        <w:spacing w:before="63" w:after="63"/>
      </w:pPr>
      <w:r>
        <w:t>6.4.2安全生产责任制的建立和执行情况</w:t>
      </w:r>
    </w:p>
    <w:p>
      <w:pPr>
        <w:pStyle w:val="6"/>
        <w:ind w:firstLine="560"/>
        <w:rPr>
          <w:lang w:val="en-US"/>
        </w:rPr>
      </w:pPr>
      <w:r>
        <w:rPr>
          <w:lang w:val="en-US"/>
        </w:rPr>
        <w:t>企业制定了各部门、各岗位安全生产责任制，安全生产责任制涵盖了各部门、各岗位。</w:t>
      </w:r>
    </w:p>
    <w:p>
      <w:pPr>
        <w:pStyle w:val="6"/>
        <w:ind w:firstLine="560"/>
        <w:rPr>
          <w:lang w:val="en-US"/>
        </w:rPr>
      </w:pPr>
      <w:r>
        <w:rPr>
          <w:lang w:val="en-US"/>
        </w:rPr>
        <w:t>该公司的安全生产责任制明确了人员及部门的安全职责。企业签订了各级组织的安全目标责任书，确定了年度安全工作目标，并予以考核。各级组织制定了安全工作规划或计划，以保证安全生产方针和目标的有效完成。</w:t>
      </w:r>
    </w:p>
    <w:p>
      <w:pPr>
        <w:pStyle w:val="4"/>
        <w:spacing w:before="63" w:after="63"/>
      </w:pPr>
      <w:r>
        <w:t>6.4.3安全管理制度</w:t>
      </w:r>
    </w:p>
    <w:p>
      <w:pPr>
        <w:pStyle w:val="6"/>
        <w:ind w:firstLine="560"/>
      </w:pPr>
      <w:r>
        <w:t>企业依据《危险化学品从业单位安全标准化通用规范</w:t>
      </w:r>
      <w:r>
        <w:rPr>
          <w:rFonts w:hint="eastAsia"/>
        </w:rPr>
        <w:t>》</w:t>
      </w:r>
      <w:r>
        <w:t>（AQ3013-2008）等法规、标准，建立、健全了一整套较为完整的安全生产管理制度，并发放到有关的工作岗位。企业在不断建立和完善安全管理各项规章制度的同时，加强安全生产的监督和检查，强化安全生产管理考核，并制定了相应的考核管理办法。</w:t>
      </w:r>
    </w:p>
    <w:p>
      <w:pPr>
        <w:pStyle w:val="23"/>
      </w:pPr>
      <w:r>
        <w:t>表6.4-1安全生产管理制度一览表</w:t>
      </w:r>
    </w:p>
    <w:tbl>
      <w:tblPr>
        <w:tblStyle w:val="1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3401"/>
        <w:gridCol w:w="532"/>
        <w:gridCol w:w="40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blHeader/>
        </w:trPr>
        <w:tc>
          <w:tcPr>
            <w:tcW w:w="0" w:type="auto"/>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序号</w:t>
            </w:r>
          </w:p>
        </w:tc>
        <w:tc>
          <w:tcPr>
            <w:tcW w:w="0" w:type="auto"/>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名称</w:t>
            </w:r>
          </w:p>
        </w:tc>
        <w:tc>
          <w:tcPr>
            <w:tcW w:w="0" w:type="auto"/>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序号</w:t>
            </w:r>
          </w:p>
        </w:tc>
        <w:tc>
          <w:tcPr>
            <w:tcW w:w="0" w:type="auto"/>
            <w:vAlign w:val="center"/>
          </w:tcPr>
          <w:p>
            <w:pPr>
              <w:ind w:firstLine="0" w:firstLineChars="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"file:///C:\\Users\\林\\AppData\\Roaming\\Microsoft\\Word\\厂发\\41石油化工总厂防雷防静电安全管理规定.doc" </w:instrText>
            </w:r>
            <w:r>
              <w:fldChar w:fldCharType="separate"/>
            </w:r>
            <w:r>
              <w:rPr>
                <w:rFonts w:ascii="Times New Roman" w:hAnsi="Times New Roman" w:cs="Times New Roman"/>
                <w:sz w:val="21"/>
                <w:szCs w:val="21"/>
              </w:rPr>
              <w:t>石油化工总厂防雷防静电安全管理规定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"file:///C:\\Users\\林\\AppData\\Roaming\\Microsoft\\Word\\厂发\\150石油化工总厂废水污染防治管理规定.doc" </w:instrText>
            </w:r>
            <w:r>
              <w:fldChar w:fldCharType="separate"/>
            </w:r>
            <w:r>
              <w:rPr>
                <w:rFonts w:ascii="Times New Roman" w:hAnsi="Times New Roman" w:cs="Times New Roman"/>
                <w:sz w:val="21"/>
                <w:szCs w:val="21"/>
              </w:rPr>
              <w:t>石油化工总厂废水污染防治管理规定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"file:///C:\\Users\\林\\AppData\\Roaming\\Microsoft\\Word\\厂发\\43石油化工总厂建设项目HSSE" </w:instrText>
            </w:r>
            <w:r>
              <w:fldChar w:fldCharType="separate"/>
            </w:r>
            <w:r>
              <w:rPr>
                <w:rFonts w:ascii="Times New Roman" w:hAnsi="Times New Roman" w:cs="Times New Roman"/>
                <w:sz w:val="21"/>
                <w:szCs w:val="21"/>
              </w:rPr>
              <w:t>石油化工总厂建设项目HSSE</w:t>
            </w:r>
            <w:r>
              <w:rPr>
                <w:rFonts w:hint="eastAsia" w:ascii="Times New Roman" w:hAnsi="Times New Roman" w:cs="Times New Roman"/>
                <w:sz w:val="21"/>
                <w:szCs w:val="21"/>
              </w:rPr>
              <w:t>“</w:t>
            </w:r>
            <w:r>
              <w:rPr>
                <w:rFonts w:ascii="Times New Roman" w:hAnsi="Times New Roman" w:cs="Times New Roman"/>
                <w:sz w:val="21"/>
                <w:szCs w:val="21"/>
              </w:rPr>
              <w:t>三同时</w:t>
            </w:r>
            <w:r>
              <w:rPr>
                <w:rFonts w:hint="eastAsia" w:ascii="Times New Roman" w:hAnsi="Times New Roman" w:cs="Times New Roman"/>
                <w:sz w:val="21"/>
                <w:szCs w:val="21"/>
              </w:rPr>
              <w:t>”</w:t>
            </w:r>
            <w:r>
              <w:rPr>
                <w:rFonts w:ascii="Times New Roman" w:hAnsi="Times New Roman" w:cs="Times New Roman"/>
                <w:sz w:val="21"/>
                <w:szCs w:val="21"/>
              </w:rPr>
              <w:t>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"file:///C:\\Users\\林\\AppData\\Roaming\\Microsoft\\Word\\厂发\\151石油化工总厂异常排污申报管理规定.doc" </w:instrText>
            </w:r>
            <w:r>
              <w:fldChar w:fldCharType="separate"/>
            </w:r>
            <w:r>
              <w:rPr>
                <w:rFonts w:ascii="Times New Roman" w:hAnsi="Times New Roman" w:cs="Times New Roman"/>
                <w:sz w:val="21"/>
                <w:szCs w:val="21"/>
              </w:rPr>
              <w:t>石油化工总厂异常排污申报管理规定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"file:///C:\\Users\\林\\AppData\\Roaming\\Microsoft\\Word\\厂发\\44石油化工总厂进入受限空间作业安全管理规定.doc" </w:instrText>
            </w:r>
            <w:r>
              <w:fldChar w:fldCharType="separate"/>
            </w:r>
            <w:r>
              <w:rPr>
                <w:rFonts w:ascii="Times New Roman" w:hAnsi="Times New Roman" w:cs="Times New Roman"/>
                <w:sz w:val="21"/>
                <w:szCs w:val="21"/>
              </w:rPr>
              <w:t>石油化工总厂进入受限空间作业安全管理规定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"file:///C:\\Users\\林\\AppData\\Roaming\\Microsoft\\Word\\厂发\\152石油化工总厂废气污染防治管理规定.doc" </w:instrText>
            </w:r>
            <w:r>
              <w:fldChar w:fldCharType="separate"/>
            </w:r>
            <w:r>
              <w:rPr>
                <w:rFonts w:ascii="Times New Roman" w:hAnsi="Times New Roman" w:cs="Times New Roman"/>
                <w:sz w:val="21"/>
                <w:szCs w:val="21"/>
              </w:rPr>
              <w:t>石油化工总厂废气污染防治管理规定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"file:///C:\\Users\\林\\AppData\\Roaming\\Microsoft\\Word\\厂发\\45石油化工总厂起重作业安全管理规定.doc" </w:instrText>
            </w:r>
            <w:r>
              <w:fldChar w:fldCharType="separate"/>
            </w:r>
            <w:r>
              <w:rPr>
                <w:rFonts w:ascii="Times New Roman" w:hAnsi="Times New Roman" w:cs="Times New Roman"/>
                <w:sz w:val="21"/>
                <w:szCs w:val="21"/>
              </w:rPr>
              <w:t>石油化工总厂起重作业安全管理规定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"file:///C:\\Users\\林\\AppData\\Roaming\\Microsoft\\Word\\厂发\\158石油化工总厂危险化学品泄漏安全管理实施细则.doc" </w:instrText>
            </w:r>
            <w:r>
              <w:fldChar w:fldCharType="separate"/>
            </w:r>
            <w:r>
              <w:rPr>
                <w:rFonts w:ascii="Times New Roman" w:hAnsi="Times New Roman" w:cs="Times New Roman"/>
                <w:sz w:val="21"/>
                <w:szCs w:val="21"/>
              </w:rPr>
              <w:t>石油化工总厂危险化学品泄漏安全管理实施细则</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"file:///C:\\Users\\林\\AppData\\Roaming\\Microsoft\\Word\\厂发\\46石油化工总厂高处作业安全管理规定.doc" </w:instrText>
            </w:r>
            <w:r>
              <w:fldChar w:fldCharType="separate"/>
            </w:r>
            <w:r>
              <w:rPr>
                <w:rFonts w:ascii="Times New Roman" w:hAnsi="Times New Roman" w:cs="Times New Roman"/>
                <w:sz w:val="21"/>
                <w:szCs w:val="21"/>
              </w:rPr>
              <w:t>石油化工总厂高处作业安全管理规定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"file:///C:\\Users\\林\\AppData\\Roaming\\Microsoft\\Word\\厂发\\169石油化工总厂应急管理规定.doc" </w:instrText>
            </w:r>
            <w:r>
              <w:fldChar w:fldCharType="separate"/>
            </w:r>
            <w:r>
              <w:rPr>
                <w:rFonts w:ascii="Times New Roman" w:hAnsi="Times New Roman" w:cs="Times New Roman"/>
                <w:sz w:val="21"/>
                <w:szCs w:val="21"/>
              </w:rPr>
              <w:t>石油化工总厂应急管理规定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"file:///C:\\Users\\林\\AppData\\Roaming\\Microsoft\\Word\\厂发\\47石油化工总厂放射防护管理规定.doc" </w:instrText>
            </w:r>
            <w:r>
              <w:fldChar w:fldCharType="separate"/>
            </w:r>
            <w:r>
              <w:rPr>
                <w:rFonts w:ascii="Times New Roman" w:hAnsi="Times New Roman" w:cs="Times New Roman"/>
                <w:sz w:val="21"/>
                <w:szCs w:val="21"/>
              </w:rPr>
              <w:t>石油化工总厂放射防护管理规定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"file:///C:\\Users\\林\\AppData\\Roaming\\Microsoft\\Word\\厂发\\170石油化工总厂应急队伍管理办法.doc" </w:instrText>
            </w:r>
            <w:r>
              <w:fldChar w:fldCharType="separate"/>
            </w:r>
            <w:r>
              <w:rPr>
                <w:rFonts w:ascii="Times New Roman" w:hAnsi="Times New Roman" w:cs="Times New Roman"/>
                <w:sz w:val="21"/>
                <w:szCs w:val="21"/>
              </w:rPr>
              <w:t>石油化工总厂应急队伍管理办法</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"file:///C:\\Users\\林\\AppData\\Roaming\\Microsoft\\Word\\厂发\\48石油化工总厂断路作业安全管理规定.doc" </w:instrText>
            </w:r>
            <w:r>
              <w:fldChar w:fldCharType="separate"/>
            </w:r>
            <w:r>
              <w:rPr>
                <w:rFonts w:ascii="Times New Roman" w:hAnsi="Times New Roman" w:cs="Times New Roman"/>
                <w:sz w:val="21"/>
                <w:szCs w:val="21"/>
              </w:rPr>
              <w:t>石油化工总厂断路作业安全管理规定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"file:///C:\\Users\\林\\AppData\\Roaming\\Microsoft\\Word\\厂发\\181.石油化工总厂消防安全管理规定.doc" </w:instrText>
            </w:r>
            <w:r>
              <w:fldChar w:fldCharType="separate"/>
            </w:r>
            <w:r>
              <w:rPr>
                <w:rFonts w:ascii="Times New Roman" w:hAnsi="Times New Roman" w:cs="Times New Roman"/>
                <w:sz w:val="21"/>
                <w:szCs w:val="21"/>
              </w:rPr>
              <w:t>石油化工总厂消防安全管理规定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"file:///C:\\Users\\林\\AppData\\Roaming\\Microsoft\\Word\\厂发\\49石油化工总厂作业许可管理规定.doc" </w:instrText>
            </w:r>
            <w:r>
              <w:fldChar w:fldCharType="separate"/>
            </w:r>
            <w:r>
              <w:rPr>
                <w:rFonts w:ascii="Times New Roman" w:hAnsi="Times New Roman" w:cs="Times New Roman"/>
                <w:sz w:val="21"/>
                <w:szCs w:val="21"/>
              </w:rPr>
              <w:t>石油化工总厂作业许可管理规定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石油化工总厂危险化工工艺安全管理规定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"file:///C:\\Users\\林\\AppData\\Roaming\\Microsoft\\Word\\厂发\\50石油化工总厂罐区安全管理规定.doc" </w:instrText>
            </w:r>
            <w:r>
              <w:fldChar w:fldCharType="separate"/>
            </w:r>
            <w:r>
              <w:rPr>
                <w:rFonts w:ascii="Times New Roman" w:hAnsi="Times New Roman" w:cs="Times New Roman"/>
                <w:sz w:val="21"/>
                <w:szCs w:val="21"/>
              </w:rPr>
              <w:t>石油化工总厂罐区安全管理规定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"file:///C:\\Users\\林\\AppData\\Roaming\\Microsoft\\Word\\厂发\\183石油化工总厂非生产用燃气使用安全管理办法.doc" </w:instrText>
            </w:r>
            <w:r>
              <w:fldChar w:fldCharType="separate"/>
            </w:r>
            <w:r>
              <w:rPr>
                <w:rFonts w:ascii="Times New Roman" w:hAnsi="Times New Roman" w:cs="Times New Roman"/>
                <w:sz w:val="21"/>
                <w:szCs w:val="21"/>
              </w:rPr>
              <w:t>石油化工总厂非生产用燃气使用安全管理办法</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"file:///C:\\Users\\林\\AppData\\Roaming\\Microsoft\\Word\\厂发\\51石油化工总厂动土作业安全管理规定.doc" </w:instrText>
            </w:r>
            <w:r>
              <w:fldChar w:fldCharType="separate"/>
            </w:r>
            <w:r>
              <w:rPr>
                <w:rFonts w:ascii="Times New Roman" w:hAnsi="Times New Roman" w:cs="Times New Roman"/>
                <w:sz w:val="21"/>
                <w:szCs w:val="21"/>
              </w:rPr>
              <w:t>石油化工总厂动土作业安全管理规定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"file:///C:\\Users\\林\\AppData\\Roaming\\Microsoft\\Word\\厂发\\188.石油化工总厂装置开停工及检维修环境保护管理实施细则.doc" </w:instrText>
            </w:r>
            <w:r>
              <w:fldChar w:fldCharType="separate"/>
            </w:r>
            <w:r>
              <w:rPr>
                <w:rFonts w:ascii="Times New Roman" w:hAnsi="Times New Roman" w:cs="Times New Roman"/>
                <w:sz w:val="21"/>
                <w:szCs w:val="21"/>
              </w:rPr>
              <w:t>石油化工总厂装置开停工及检维修环境保护管理实施细则</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"file:///C:\\Users\\林\\AppData\\Roaming\\Microsoft\\Word\\厂发\\52石油化工总厂HSSE检查规定.doc" </w:instrText>
            </w:r>
            <w:r>
              <w:fldChar w:fldCharType="separate"/>
            </w:r>
            <w:r>
              <w:rPr>
                <w:rFonts w:ascii="Times New Roman" w:hAnsi="Times New Roman" w:cs="Times New Roman"/>
                <w:sz w:val="21"/>
                <w:szCs w:val="21"/>
              </w:rPr>
              <w:t>石油化工总厂HSSE检查规定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"file:///C:\\Users\\林\\AppData\\Roaming\\Microsoft\\Word\\厂发\\189.石油化工总厂生产安全风险分级管控和隐患排查治理双重预防机制管理规定.doc" </w:instrText>
            </w:r>
            <w:r>
              <w:fldChar w:fldCharType="separate"/>
            </w:r>
            <w:r>
              <w:rPr>
                <w:rFonts w:ascii="Times New Roman" w:hAnsi="Times New Roman" w:cs="Times New Roman"/>
                <w:sz w:val="21"/>
                <w:szCs w:val="21"/>
              </w:rPr>
              <w:t>石油化工总厂生产安全风险分级管控和隐患排查治理双重预防机制管理规定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"file:///C:\\Users\\林\\AppData\\Roaming\\Microsoft\\Word\\厂发\\54石油化工总厂盲板作业安全管理规定.doc" </w:instrText>
            </w:r>
            <w:r>
              <w:fldChar w:fldCharType="separate"/>
            </w:r>
            <w:r>
              <w:rPr>
                <w:rFonts w:ascii="Times New Roman" w:hAnsi="Times New Roman" w:cs="Times New Roman"/>
                <w:sz w:val="21"/>
                <w:szCs w:val="21"/>
              </w:rPr>
              <w:t>石油化工总厂临时用电安全管理规定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"file:///C:\\Users\\林\\AppData\\Roaming\\Microsoft\\Word\\厂发\\191.石油化工总厂硫化氢防护安全管理规定.doc" </w:instrText>
            </w:r>
            <w:r>
              <w:fldChar w:fldCharType="separate"/>
            </w:r>
            <w:r>
              <w:rPr>
                <w:rFonts w:ascii="Times New Roman" w:hAnsi="Times New Roman" w:cs="Times New Roman"/>
                <w:sz w:val="21"/>
                <w:szCs w:val="21"/>
              </w:rPr>
              <w:t>石油化工总厂硫化氢防护安全管理规定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"file:///C:\\Users\\林\\AppData\\Roaming\\Microsoft\\Word\\厂发\\54石油化工总厂盲板作业安全管理规定.doc" </w:instrText>
            </w:r>
            <w:r>
              <w:fldChar w:fldCharType="separate"/>
            </w:r>
            <w:r>
              <w:rPr>
                <w:rFonts w:ascii="Times New Roman" w:hAnsi="Times New Roman" w:cs="Times New Roman"/>
                <w:sz w:val="21"/>
                <w:szCs w:val="21"/>
              </w:rPr>
              <w:t>石油化工总厂盲板作业安全管理规定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"file:///C:\\Users\\林\\AppData\\Roaming\\Microsoft\\Word\\厂发\\195石油化工总厂安全记录管理规定（试行）.doc" </w:instrText>
            </w:r>
            <w:r>
              <w:fldChar w:fldCharType="separate"/>
            </w:r>
            <w:r>
              <w:rPr>
                <w:rFonts w:ascii="Times New Roman" w:hAnsi="Times New Roman" w:cs="Times New Roman"/>
                <w:sz w:val="21"/>
                <w:szCs w:val="21"/>
              </w:rPr>
              <w:t>石油化工总厂安全记录管理规定（试行）</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"file:///C:\\Users\\林\\AppData\\Roaming\\Microsoft\\Word\\厂发\\57石油化工总厂特种（设备）作业人员安全管理规定.doc" </w:instrText>
            </w:r>
            <w:r>
              <w:fldChar w:fldCharType="separate"/>
            </w:r>
            <w:r>
              <w:rPr>
                <w:rFonts w:ascii="Times New Roman" w:hAnsi="Times New Roman" w:cs="Times New Roman"/>
                <w:sz w:val="21"/>
                <w:szCs w:val="21"/>
              </w:rPr>
              <w:t>石油化工总厂特种（设备）作业人员安全管理规定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"file:///C:\\Users\\林\\AppData\\Roaming\\Microsoft\\Word\\厂发\\196石油化工总厂承包商安全环保监督管理办法.doc" </w:instrText>
            </w:r>
            <w:r>
              <w:fldChar w:fldCharType="separate"/>
            </w:r>
            <w:r>
              <w:rPr>
                <w:rFonts w:ascii="Times New Roman" w:hAnsi="Times New Roman" w:cs="Times New Roman"/>
                <w:sz w:val="21"/>
                <w:szCs w:val="21"/>
              </w:rPr>
              <w:t>石油化工总厂承包商安全环保监督管理办法</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"file:///C:\\Users\\林\\AppData\\Roaming\\Microsoft\\Word\\厂发\\59石油化工总厂HSSE教育管理规定.doc" </w:instrText>
            </w:r>
            <w:r>
              <w:fldChar w:fldCharType="separate"/>
            </w:r>
            <w:r>
              <w:rPr>
                <w:rFonts w:ascii="Times New Roman" w:hAnsi="Times New Roman" w:cs="Times New Roman"/>
                <w:sz w:val="21"/>
                <w:szCs w:val="21"/>
              </w:rPr>
              <w:t>石油化工总厂HSSE教育管理规定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"file:///C:\\Users\\林\\AppData\\Roaming\\Microsoft\\Word\\厂发\\200石油化工总厂环境保护管理规定.doc" </w:instrText>
            </w:r>
            <w:r>
              <w:fldChar w:fldCharType="separate"/>
            </w:r>
            <w:r>
              <w:rPr>
                <w:rFonts w:ascii="Times New Roman" w:hAnsi="Times New Roman" w:cs="Times New Roman"/>
                <w:sz w:val="21"/>
                <w:szCs w:val="21"/>
              </w:rPr>
              <w:t>石油化工总厂环境保护管理规定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"file:///C:\\Users\\林\\AppData\\Roaming\\Microsoft\\Word\\厂发\\60石油化工总厂领导干部" </w:instrText>
            </w:r>
            <w:r>
              <w:fldChar w:fldCharType="separate"/>
            </w:r>
            <w:r>
              <w:rPr>
                <w:rFonts w:ascii="Times New Roman" w:hAnsi="Times New Roman" w:cs="Times New Roman"/>
                <w:sz w:val="21"/>
                <w:szCs w:val="21"/>
              </w:rPr>
              <w:t>石油化工总厂领导干部“两特”现场带班管理制度</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"file:///C:\\Users\\林\\AppData\\Roaming\\Microsoft\\Word\\厂发\\202石油化工总厂建设项目设计安全管理办法.doc" </w:instrText>
            </w:r>
            <w:r>
              <w:fldChar w:fldCharType="separate"/>
            </w:r>
            <w:r>
              <w:rPr>
                <w:rFonts w:ascii="Times New Roman" w:hAnsi="Times New Roman" w:cs="Times New Roman"/>
                <w:sz w:val="21"/>
                <w:szCs w:val="21"/>
              </w:rPr>
              <w:t>石油化工总厂建设项目设计安全管理办法</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"file:///C:\\Users\\林\\AppData\\Roaming\\Microsoft\\Word\\厂发\\61石油化工总厂装置开停工及检修HSSE管理规定.doc" </w:instrText>
            </w:r>
            <w:r>
              <w:fldChar w:fldCharType="separate"/>
            </w:r>
            <w:r>
              <w:rPr>
                <w:rFonts w:ascii="Times New Roman" w:hAnsi="Times New Roman" w:cs="Times New Roman"/>
                <w:sz w:val="21"/>
                <w:szCs w:val="21"/>
              </w:rPr>
              <w:t>石油化工总厂装置开停工及检修HSSE管理规定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"file:///C:\\Users\\林\\AppData\\Roaming\\Microsoft\\Word\\厂发\\203石油化工总厂未遂HSSE事件管理规定.doc" </w:instrText>
            </w:r>
            <w:r>
              <w:fldChar w:fldCharType="separate"/>
            </w:r>
            <w:r>
              <w:rPr>
                <w:rFonts w:ascii="Times New Roman" w:hAnsi="Times New Roman" w:cs="Times New Roman"/>
                <w:sz w:val="21"/>
                <w:szCs w:val="21"/>
              </w:rPr>
              <w:t>石油化工总厂未遂HSSE事件管理规定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"file:///C:\\Users\\林\\AppData\\Roaming\\Microsoft\\Word\\厂发\\62石油化工总厂固体废物和危险废物管理规定.doc" </w:instrText>
            </w:r>
            <w:r>
              <w:fldChar w:fldCharType="separate"/>
            </w:r>
            <w:r>
              <w:rPr>
                <w:rFonts w:ascii="Times New Roman" w:hAnsi="Times New Roman" w:cs="Times New Roman"/>
                <w:sz w:val="21"/>
                <w:szCs w:val="21"/>
              </w:rPr>
              <w:t>石油化工总厂固体废物和危险废物管理规定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"file:///C:\\Users\\林\\AppData\\Roaming\\Microsoft\\Word\\厂发\\204石油化工总厂安全仪表系统安全完整性等级评估管理办法（试行）.doc" </w:instrText>
            </w:r>
            <w:r>
              <w:fldChar w:fldCharType="separate"/>
            </w:r>
            <w:r>
              <w:rPr>
                <w:rFonts w:ascii="Times New Roman" w:hAnsi="Times New Roman" w:cs="Times New Roman"/>
                <w:sz w:val="21"/>
                <w:szCs w:val="21"/>
              </w:rPr>
              <w:t>石油化工总厂安全仪表系统安全完整性等级评估管理办法（试行）</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"file:///C:\\Users\\林\\AppData\\Roaming\\Microsoft\\Word\\厂发\\63石油化工总厂HSSE管理奖惩规定.doc" </w:instrText>
            </w:r>
            <w:r>
              <w:fldChar w:fldCharType="separate"/>
            </w:r>
            <w:r>
              <w:rPr>
                <w:rFonts w:ascii="Times New Roman" w:hAnsi="Times New Roman" w:cs="Times New Roman"/>
                <w:sz w:val="21"/>
                <w:szCs w:val="21"/>
              </w:rPr>
              <w:t>石油化工总厂HSSE管理奖惩规定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"file:///C:\\Users\\林\\AppData\\Roaming\\Microsoft\\Word\\厂发\\205石油化工总厂突发环境事件应急管理办法.doc" </w:instrText>
            </w:r>
            <w:r>
              <w:fldChar w:fldCharType="separate"/>
            </w:r>
            <w:r>
              <w:rPr>
                <w:rFonts w:ascii="Times New Roman" w:hAnsi="Times New Roman" w:cs="Times New Roman"/>
                <w:sz w:val="21"/>
                <w:szCs w:val="21"/>
              </w:rPr>
              <w:t>石油化工总厂突发环境事件应急管理办法</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"file:///C:\\Users\\林\\AppData\\Roaming\\Microsoft\\Word\\厂发\\64石油化工总厂一般作业安全管理规定.doc" </w:instrText>
            </w:r>
            <w:r>
              <w:fldChar w:fldCharType="separate"/>
            </w:r>
            <w:r>
              <w:rPr>
                <w:rFonts w:ascii="Times New Roman" w:hAnsi="Times New Roman" w:cs="Times New Roman"/>
                <w:sz w:val="21"/>
                <w:szCs w:val="21"/>
              </w:rPr>
              <w:t>石油化工总厂一般作业安全管理规定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"file:///C:\\Users\\林\\AppData\\Roaming\\Microsoft\\Word\\厂发\\206石油化工总厂建设项目环境保护管理规定.doc" </w:instrText>
            </w:r>
            <w:r>
              <w:fldChar w:fldCharType="separate"/>
            </w:r>
            <w:r>
              <w:rPr>
                <w:rFonts w:ascii="Times New Roman" w:hAnsi="Times New Roman" w:cs="Times New Roman"/>
                <w:sz w:val="21"/>
                <w:szCs w:val="21"/>
              </w:rPr>
              <w:t>石油化工总厂建设项目环境保护管理规定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"file:///C:\\Users\\林\\AppData\\Roaming\\Microsoft\\Word\\厂发\\65石油化工总厂安全设施管理规定.doc" </w:instrText>
            </w:r>
            <w:r>
              <w:fldChar w:fldCharType="separate"/>
            </w:r>
            <w:r>
              <w:rPr>
                <w:rFonts w:ascii="Times New Roman" w:hAnsi="Times New Roman" w:cs="Times New Roman"/>
                <w:sz w:val="21"/>
                <w:szCs w:val="21"/>
              </w:rPr>
              <w:t>石油化工总厂安全设施管理规定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石油化工总厂装置设施拆除安全管理办法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"file:///C:\\Users\\林\\AppData\\Roaming\\Microsoft\\Word\\厂发\\66石油化工总厂职业健康管理规定.doc" </w:instrText>
            </w:r>
            <w:r>
              <w:fldChar w:fldCharType="separate"/>
            </w:r>
            <w:r>
              <w:rPr>
                <w:rFonts w:ascii="Times New Roman" w:hAnsi="Times New Roman" w:cs="Times New Roman"/>
                <w:sz w:val="21"/>
                <w:szCs w:val="21"/>
              </w:rPr>
              <w:t>石油化工总厂职业健康管理规定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"file:///C:\\Users\\林\\AppData\\Roaming\\Microsoft\\Word\\厂发\\208石油化工总厂环境事件领导干部责任追究管理规定.doc" </w:instrText>
            </w:r>
            <w:r>
              <w:fldChar w:fldCharType="separate"/>
            </w:r>
            <w:r>
              <w:rPr>
                <w:rFonts w:ascii="Times New Roman" w:hAnsi="Times New Roman" w:cs="Times New Roman"/>
                <w:sz w:val="21"/>
                <w:szCs w:val="21"/>
              </w:rPr>
              <w:t>石油化工总厂环境事件领导干部责任追究管理规定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"file:///C:\\Users\\林\\AppData\\Roaming\\Microsoft\\Word\\厂发\\69石油化工总厂重大危险源管理规定.doc" </w:instrText>
            </w:r>
            <w:r>
              <w:fldChar w:fldCharType="separate"/>
            </w:r>
            <w:r>
              <w:rPr>
                <w:rFonts w:ascii="Times New Roman" w:hAnsi="Times New Roman" w:cs="Times New Roman"/>
                <w:sz w:val="21"/>
                <w:szCs w:val="21"/>
              </w:rPr>
              <w:t>石油化工总厂重大危险源管理规定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"file:///C:\\Users\\林\\AppData\\Roaming\\Microsoft\\Word\\厂发\\209石油化工总厂作业安全分析（JSA）管理办法.doc" </w:instrText>
            </w:r>
            <w:r>
              <w:fldChar w:fldCharType="separate"/>
            </w:r>
            <w:r>
              <w:rPr>
                <w:rFonts w:ascii="Times New Roman" w:hAnsi="Times New Roman" w:cs="Times New Roman"/>
                <w:sz w:val="21"/>
                <w:szCs w:val="21"/>
              </w:rPr>
              <w:t>石油化工总厂作业安全分析（JSA）管理办法</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"file:///C:\\Users\\林\\AppData\\Roaming\\Microsoft\\Word\\厂发\\70石油化工总厂关键装置要害（重点）部位安全管理实施细则.doc" </w:instrText>
            </w:r>
            <w:r>
              <w:fldChar w:fldCharType="separate"/>
            </w:r>
            <w:r>
              <w:rPr>
                <w:rFonts w:ascii="Times New Roman" w:hAnsi="Times New Roman" w:cs="Times New Roman"/>
                <w:sz w:val="21"/>
                <w:szCs w:val="21"/>
              </w:rPr>
              <w:t>石油化工总厂关键装置要害（重点）部位安全管理实施细则</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"file:///C:\\Users\\林\\AppData\\Roaming\\Microsoft\\Word\\厂发\\216石油化工总厂生产安全事故隐患排查治理管理规定.doc" </w:instrText>
            </w:r>
            <w:r>
              <w:fldChar w:fldCharType="separate"/>
            </w:r>
            <w:r>
              <w:rPr>
                <w:rFonts w:ascii="Times New Roman" w:hAnsi="Times New Roman" w:cs="Times New Roman"/>
                <w:sz w:val="21"/>
                <w:szCs w:val="21"/>
              </w:rPr>
              <w:t>石油化工总厂生产安全事故隐患排查治理管理规定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"file:///C:\\Users\\林\\AppData\\Roaming\\Microsoft\\Word\\厂发\\71石油化工总厂用火作业实施细则.doc" </w:instrText>
            </w:r>
            <w:r>
              <w:fldChar w:fldCharType="separate"/>
            </w:r>
            <w:r>
              <w:rPr>
                <w:rFonts w:ascii="Times New Roman" w:hAnsi="Times New Roman" w:cs="Times New Roman"/>
                <w:sz w:val="21"/>
                <w:szCs w:val="21"/>
              </w:rPr>
              <w:t>石油化工总厂用火作业实施细则</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"file:///C:\\Users\\林\\AppData\\Roaming\\Microsoft\\Word\\厂发\\218石油化工总厂生产安全风险管控规定.doc" </w:instrText>
            </w:r>
            <w:r>
              <w:fldChar w:fldCharType="separate"/>
            </w:r>
            <w:r>
              <w:rPr>
                <w:rFonts w:ascii="Times New Roman" w:hAnsi="Times New Roman" w:cs="Times New Roman"/>
                <w:sz w:val="21"/>
                <w:szCs w:val="21"/>
              </w:rPr>
              <w:t>石油化工总厂生产安全风险管控规定</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"file:///C:\\Users\\林\\AppData\\Roaming\\Microsoft\\Word\\厂发\\73石油化工总厂高温作业管理规定.doc" </w:instrText>
            </w:r>
            <w:r>
              <w:fldChar w:fldCharType="separate"/>
            </w:r>
            <w:r>
              <w:rPr>
                <w:rFonts w:ascii="Times New Roman" w:hAnsi="Times New Roman" w:cs="Times New Roman"/>
                <w:sz w:val="21"/>
                <w:szCs w:val="21"/>
              </w:rPr>
              <w:t>石油化工总厂高温作业管理规定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"file:///C:\\Users\\林\\AppData\\Roaming\\Microsoft\\Word\\厂发\\220石油化工总厂安全环保责任制管理办法.doc" </w:instrText>
            </w:r>
            <w:r>
              <w:fldChar w:fldCharType="separate"/>
            </w:r>
            <w:r>
              <w:rPr>
                <w:rFonts w:ascii="Times New Roman" w:hAnsi="Times New Roman" w:cs="Times New Roman"/>
                <w:sz w:val="21"/>
                <w:szCs w:val="21"/>
              </w:rPr>
              <w:t>石油化工总厂安全环保责任制管理办法</w:t>
            </w:r>
            <w:r>
              <w:rPr>
                <w:rFonts w:ascii="Times New Roman" w:hAnsi="Times New Roman" w:cs="Times New Roman"/>
                <w:sz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"file:///C:\\Users\\林\\AppData\\Roaming\\Microsoft\\Word\\厂发\\74石油化工总厂劳动防护用品管理规定.doc" </w:instrText>
            </w:r>
            <w:r>
              <w:fldChar w:fldCharType="separate"/>
            </w:r>
            <w:r>
              <w:rPr>
                <w:rFonts w:ascii="Times New Roman" w:hAnsi="Times New Roman" w:cs="Times New Roman"/>
                <w:sz w:val="21"/>
                <w:szCs w:val="21"/>
              </w:rPr>
              <w:t>石油化工总厂劳动防护用品管理规定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石油化工总厂安全公示管理办法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"file:///C:\\Users\\林\\AppData\\Roaming\\Microsoft\\Word\\厂发\\75石油化工总厂清洁生产管理规定.doc" </w:instrText>
            </w:r>
            <w:r>
              <w:fldChar w:fldCharType="separate"/>
            </w:r>
            <w:r>
              <w:rPr>
                <w:rFonts w:ascii="Times New Roman" w:hAnsi="Times New Roman" w:cs="Times New Roman"/>
                <w:sz w:val="21"/>
                <w:szCs w:val="21"/>
              </w:rPr>
              <w:t>石油化工总厂清洁生产管理规定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石油化工总厂QHSSE检查监督管理办法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"file:///C:\\Users\\林\\AppData\\Roaming\\Microsoft\\Word\\厂发\\76石油化工总厂生产安全事故管理规定.doc" </w:instrText>
            </w:r>
            <w:r>
              <w:fldChar w:fldCharType="separate"/>
            </w:r>
            <w:r>
              <w:rPr>
                <w:rFonts w:ascii="Times New Roman" w:hAnsi="Times New Roman" w:cs="Times New Roman"/>
                <w:sz w:val="21"/>
                <w:szCs w:val="21"/>
              </w:rPr>
              <w:t>石油化工总厂生产安全事故管理规定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石油化工总厂质量工作党政同责管理规定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"file:///C:\\Users\\林\\AppData\\Roaming\\Microsoft\\Word\\厂发\\141石油化工总厂生产变更安全管理规定.doc" </w:instrText>
            </w:r>
            <w:r>
              <w:fldChar w:fldCharType="separate"/>
            </w:r>
            <w:r>
              <w:rPr>
                <w:rFonts w:ascii="Times New Roman" w:hAnsi="Times New Roman" w:cs="Times New Roman"/>
                <w:sz w:val="21"/>
                <w:szCs w:val="21"/>
              </w:rPr>
              <w:t>石油化工总厂生产变更安全管理规定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石油化工总厂质量管理办法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石油化工总厂安全行为规范（试行）</w:t>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石油化工总厂计量管理办法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"file:///C:\\Users\\林\\AppData\\Roaming\\Microsoft\\Word\\厂发\\143石油化工总厂液化烃汽车罐车装卸作业安全管理办法.doc" </w:instrText>
            </w:r>
            <w:r>
              <w:fldChar w:fldCharType="separate"/>
            </w:r>
            <w:r>
              <w:rPr>
                <w:rFonts w:ascii="Times New Roman" w:hAnsi="Times New Roman" w:cs="Times New Roman"/>
                <w:sz w:val="21"/>
                <w:szCs w:val="21"/>
              </w:rPr>
              <w:t>石油化工总厂液化烃汽车罐车装卸作业安全管理办法</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石油化工总厂质量检验机构管理办法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"file:///C:\\Users\\林\\AppData\\Roaming\\Microsoft\\Word\\厂发\\144石油化工总厂劳动保护费用管理规定.doc" </w:instrText>
            </w:r>
            <w:r>
              <w:fldChar w:fldCharType="separate"/>
            </w:r>
            <w:r>
              <w:rPr>
                <w:rFonts w:ascii="Times New Roman" w:hAnsi="Times New Roman" w:cs="Times New Roman"/>
                <w:sz w:val="21"/>
                <w:szCs w:val="21"/>
              </w:rPr>
              <w:t>石油化工总厂劳动保护费用管理规定</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石油化工总厂标准化管理办法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"file:///C:\\Users\\林\\AppData\\Roaming\\Microsoft\\Word\\厂发\\145石油化工总厂安全公示管理办法.doc" </w:instrText>
            </w:r>
            <w:r>
              <w:fldChar w:fldCharType="separate"/>
            </w:r>
            <w:r>
              <w:rPr>
                <w:rFonts w:ascii="Times New Roman" w:hAnsi="Times New Roman" w:cs="Times New Roman"/>
                <w:sz w:val="21"/>
                <w:szCs w:val="21"/>
              </w:rPr>
              <w:t>石油化工总厂安全公示管理办法</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石油化工总厂计量管理与考核规范实施细则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"file:///C:\\Users\\林\\AppData\\Roaming\\Microsoft\\Word\\厂发\\146石油化工总厂环境监测管理办法.doc" </w:instrText>
            </w:r>
            <w:r>
              <w:fldChar w:fldCharType="separate"/>
            </w:r>
            <w:r>
              <w:rPr>
                <w:rFonts w:ascii="Times New Roman" w:hAnsi="Times New Roman" w:cs="Times New Roman"/>
                <w:sz w:val="21"/>
                <w:szCs w:val="21"/>
              </w:rPr>
              <w:t>石油化工总厂环境监测管理办法</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石油化工总厂物资质量监督管理办法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"file:///C:\\Users\\林\\AppData\\Roaming\\Microsoft\\Word\\厂发\\148石油化工总厂生产异常情况安全管理实施细则.doc" </w:instrText>
            </w:r>
            <w:r>
              <w:fldChar w:fldCharType="separate"/>
            </w:r>
            <w:r>
              <w:rPr>
                <w:rFonts w:ascii="Times New Roman" w:hAnsi="Times New Roman" w:cs="Times New Roman"/>
                <w:sz w:val="21"/>
                <w:szCs w:val="21"/>
              </w:rPr>
              <w:t>石油化工总厂生产异常情况安全管理实施细则</w:t>
            </w:r>
            <w:r>
              <w:rPr>
                <w:rFonts w:ascii="Times New Roman" w:hAnsi="Times New Roman" w:cs="Times New Roman"/>
                <w:sz w:val="21"/>
                <w:szCs w:val="21"/>
              </w:rPr>
              <w:fldChar w:fldCharType="end"/>
            </w:r>
          </w:p>
        </w:tc>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rPr>
                <w:rFonts w:ascii="Times New Roman" w:hAnsi="Times New Roman" w:cs="Times New Roman"/>
                <w:color w:val="000000"/>
                <w:sz w:val="21"/>
                <w:szCs w:val="21"/>
              </w:rPr>
              <w:t>石油化工厂施工作业管理规定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0" w:type="auto"/>
            <w:vAlign w:val="center"/>
          </w:tcPr>
          <w:p>
            <w:pPr>
              <w:numPr>
                <w:ilvl w:val="0"/>
                <w:numId w:val="9"/>
              </w:numPr>
              <w:ind w:left="0" w:leftChars="0"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r>
              <w:fldChar w:fldCharType="begin"/>
            </w:r>
            <w:r>
              <w:instrText xml:space="preserve"> HYPERLINK "file:///C:\\Users\\林\\AppData\\Roaming\\Microsoft\\Word\\厂发\\149石油化工总厂突发环境事件隐患排查治理管理规定.doc" </w:instrText>
            </w:r>
            <w:r>
              <w:fldChar w:fldCharType="separate"/>
            </w:r>
            <w:r>
              <w:rPr>
                <w:rFonts w:ascii="Times New Roman" w:hAnsi="Times New Roman" w:cs="Times New Roman"/>
                <w:sz w:val="21"/>
                <w:szCs w:val="21"/>
              </w:rPr>
              <w:t>石油化工总厂突发环境事件隐患排查治理管理规定</w:t>
            </w:r>
            <w:r>
              <w:rPr>
                <w:rFonts w:ascii="Times New Roman" w:hAnsi="Times New Roman" w:cs="Times New Roman"/>
                <w:sz w:val="21"/>
                <w:szCs w:val="21"/>
              </w:rPr>
              <w:fldChar w:fldCharType="end"/>
            </w:r>
          </w:p>
        </w:tc>
        <w:tc>
          <w:tcPr>
            <w:tcW w:w="0" w:type="auto"/>
            <w:vAlign w:val="center"/>
          </w:tcPr>
          <w:p>
            <w:pPr>
              <w:ind w:firstLine="0" w:firstLineChars="0"/>
              <w:jc w:val="center"/>
              <w:rPr>
                <w:rFonts w:ascii="Times New Roman" w:hAnsi="Times New Roman" w:cs="Times New Roman"/>
                <w:color w:val="000000"/>
                <w:sz w:val="21"/>
                <w:szCs w:val="21"/>
              </w:rPr>
            </w:pPr>
          </w:p>
        </w:tc>
        <w:tc>
          <w:tcPr>
            <w:tcW w:w="0" w:type="auto"/>
            <w:vAlign w:val="center"/>
          </w:tcPr>
          <w:p>
            <w:pPr>
              <w:ind w:firstLine="0" w:firstLineChars="0"/>
              <w:jc w:val="center"/>
              <w:rPr>
                <w:rFonts w:ascii="Times New Roman" w:hAnsi="Times New Roman" w:cs="Times New Roman"/>
                <w:color w:val="000000"/>
                <w:sz w:val="21"/>
                <w:szCs w:val="21"/>
              </w:rPr>
            </w:pPr>
          </w:p>
        </w:tc>
      </w:tr>
    </w:tbl>
    <w:p>
      <w:pPr>
        <w:pStyle w:val="4"/>
        <w:spacing w:before="63" w:after="63"/>
      </w:pPr>
      <w:r>
        <w:t>6.4.4安全培训</w:t>
      </w:r>
    </w:p>
    <w:p>
      <w:pPr>
        <w:pStyle w:val="6"/>
        <w:ind w:firstLine="560"/>
      </w:pPr>
      <w:r>
        <w:t>安全培训是提高员工安全意识、安全技术素质、防止产生人的不安全行为、减少人的操作失误的重要方法，从而达到保护自己和他人的安全和健康的目的。安全培训包括单位主要负责人的安全培训教育和考核、安全管理人员的安全培训教育和考核、从业人员的安全培训教育和考核、特种作业人员的安全培训教育和考核四个层面。</w:t>
      </w:r>
    </w:p>
    <w:p>
      <w:pPr>
        <w:pStyle w:val="6"/>
        <w:ind w:firstLine="560"/>
      </w:pPr>
      <w:r>
        <w:t>企业主要负责人和专职安全生产管理人员均已取得了安全培训合格证书。</w:t>
      </w:r>
    </w:p>
    <w:p>
      <w:pPr>
        <w:pStyle w:val="6"/>
        <w:ind w:firstLine="560"/>
      </w:pPr>
      <w:r>
        <w:t>企业严格按《生产经营单位安全培训规定》的要求，对该项目的安全管理人员、特种作业人员进行安全培训、教育，并考核合格，取得相应的证书后持证上岗，对其他从业人员进行安全培训、教育，并考核合格。防止因安全培训、教育、考核等落实不到位，导致企业各级负责人、管理人员违章指挥、操作人员安全知识缺乏、技术水平低、违章操作、操作失误等引发生产安全事故。</w:t>
      </w:r>
    </w:p>
    <w:p>
      <w:pPr>
        <w:pStyle w:val="4"/>
        <w:spacing w:before="63" w:after="63"/>
      </w:pPr>
      <w:r>
        <w:t>6.4.5安全投入</w:t>
      </w:r>
    </w:p>
    <w:p>
      <w:pPr>
        <w:pStyle w:val="6"/>
        <w:ind w:firstLine="560"/>
        <w:rPr>
          <w:color w:val="auto"/>
        </w:rPr>
      </w:pPr>
      <w:r>
        <w:rPr>
          <w:color w:val="auto"/>
        </w:rPr>
        <w:t>该项目建成后，企业安全投入应按照《</w:t>
      </w:r>
      <w:r>
        <w:rPr>
          <w:rFonts w:hint="eastAsia"/>
          <w:color w:val="auto"/>
        </w:rPr>
        <w:t>关于印发</w:t>
      </w:r>
      <w:r>
        <w:rPr>
          <w:rFonts w:hint="eastAsia"/>
          <w:color w:val="auto"/>
          <w:lang w:val="en-US" w:eastAsia="zh-CN"/>
        </w:rPr>
        <w:t>&lt;</w:t>
      </w:r>
      <w:r>
        <w:rPr>
          <w:rFonts w:hint="eastAsia"/>
          <w:color w:val="auto"/>
        </w:rPr>
        <w:t>企业安全生产费用提取和使用管理办法</w:t>
      </w:r>
      <w:r>
        <w:rPr>
          <w:rFonts w:hint="eastAsia"/>
          <w:color w:val="auto"/>
          <w:lang w:val="en-US" w:eastAsia="zh-CN"/>
        </w:rPr>
        <w:t>&gt;</w:t>
      </w:r>
      <w:r>
        <w:rPr>
          <w:rFonts w:hint="eastAsia"/>
          <w:color w:val="auto"/>
        </w:rPr>
        <w:t>的通知</w:t>
      </w:r>
      <w:r>
        <w:rPr>
          <w:color w:val="auto"/>
        </w:rPr>
        <w:t>》（</w:t>
      </w:r>
      <w:r>
        <w:rPr>
          <w:rFonts w:hint="eastAsia"/>
          <w:color w:val="auto"/>
        </w:rPr>
        <w:t>财资</w:t>
      </w:r>
      <w:r>
        <w:rPr>
          <w:color w:val="auto"/>
        </w:rPr>
        <w:t>［20</w:t>
      </w:r>
      <w:r>
        <w:rPr>
          <w:rFonts w:hint="eastAsia"/>
          <w:color w:val="auto"/>
          <w:lang w:val="en-US" w:eastAsia="zh-CN"/>
        </w:rPr>
        <w:t>22</w:t>
      </w:r>
      <w:r>
        <w:rPr>
          <w:color w:val="auto"/>
        </w:rPr>
        <w:t>］1</w:t>
      </w:r>
      <w:r>
        <w:rPr>
          <w:rFonts w:hint="eastAsia"/>
          <w:color w:val="auto"/>
          <w:lang w:val="en-US" w:eastAsia="zh-CN"/>
        </w:rPr>
        <w:t>3</w:t>
      </w:r>
      <w:r>
        <w:rPr>
          <w:color w:val="auto"/>
        </w:rPr>
        <w:t>6号）的要求进行提取。防止企业因安全设施投资无保障、安全投入不足造成安全生产事故或造成事故后不能及时救治，致使事故损失扩大或伤害加重。根据</w:t>
      </w:r>
      <w:r>
        <w:rPr>
          <w:rFonts w:hint="eastAsia"/>
          <w:color w:val="auto"/>
        </w:rPr>
        <w:t>《关于印发&lt;企业安全生产费用提取和使用管理办法&gt;的通知》（财资［2022］136号）</w:t>
      </w:r>
      <w:r>
        <w:rPr>
          <w:color w:val="auto"/>
        </w:rPr>
        <w:t>第</w:t>
      </w:r>
      <w:r>
        <w:rPr>
          <w:rFonts w:hint="eastAsia"/>
          <w:color w:val="auto"/>
          <w:lang w:val="en-US" w:eastAsia="zh-CN"/>
        </w:rPr>
        <w:t>二十一</w:t>
      </w:r>
      <w:r>
        <w:rPr>
          <w:color w:val="auto"/>
        </w:rPr>
        <w:t>条的规定，要求如下：</w:t>
      </w:r>
      <w:r>
        <w:rPr>
          <w:rFonts w:hint="eastAsia"/>
          <w:color w:val="auto"/>
        </w:rPr>
        <w:t>危险品生产与储存企业以上一年度营业收入为依据，采取超额累退方式确定本年度应计提金额，并逐月平均提取。具体如下：</w:t>
      </w:r>
    </w:p>
    <w:p>
      <w:pPr>
        <w:pStyle w:val="6"/>
        <w:ind w:firstLine="560"/>
        <w:rPr>
          <w:color w:val="auto"/>
        </w:rPr>
      </w:pPr>
      <w:r>
        <w:rPr>
          <w:color w:val="auto"/>
        </w:rPr>
        <w:t>（一）</w:t>
      </w:r>
      <w:r>
        <w:rPr>
          <w:rFonts w:hint="eastAsia"/>
          <w:color w:val="auto"/>
        </w:rPr>
        <w:t>上一年度营业收入不超过1000万元的，按照4.5%提取</w:t>
      </w:r>
      <w:r>
        <w:rPr>
          <w:color w:val="auto"/>
        </w:rPr>
        <w:t>；</w:t>
      </w:r>
    </w:p>
    <w:p>
      <w:pPr>
        <w:pStyle w:val="6"/>
        <w:ind w:firstLine="560"/>
        <w:rPr>
          <w:color w:val="auto"/>
        </w:rPr>
      </w:pPr>
      <w:r>
        <w:rPr>
          <w:color w:val="auto"/>
        </w:rPr>
        <w:t>（二）</w:t>
      </w:r>
      <w:r>
        <w:rPr>
          <w:rFonts w:hint="eastAsia"/>
          <w:color w:val="auto"/>
        </w:rPr>
        <w:t>上一年度营业收入超过1000万元至1亿元的部分，按照2.25%提取</w:t>
      </w:r>
      <w:r>
        <w:rPr>
          <w:color w:val="auto"/>
        </w:rPr>
        <w:t>；</w:t>
      </w:r>
    </w:p>
    <w:p>
      <w:pPr>
        <w:pStyle w:val="6"/>
        <w:ind w:firstLine="560"/>
        <w:rPr>
          <w:color w:val="auto"/>
        </w:rPr>
      </w:pPr>
      <w:r>
        <w:rPr>
          <w:color w:val="auto"/>
        </w:rPr>
        <w:t>（三）</w:t>
      </w:r>
      <w:r>
        <w:rPr>
          <w:rFonts w:hint="eastAsia"/>
          <w:color w:val="auto"/>
        </w:rPr>
        <w:t>上一年度营业收入超过1亿元至10亿元的部分，按照0.55%提取</w:t>
      </w:r>
      <w:r>
        <w:rPr>
          <w:color w:val="auto"/>
        </w:rPr>
        <w:t>；</w:t>
      </w:r>
    </w:p>
    <w:p>
      <w:pPr>
        <w:pStyle w:val="6"/>
        <w:ind w:firstLine="560"/>
        <w:rPr>
          <w:color w:val="auto"/>
        </w:rPr>
      </w:pPr>
      <w:r>
        <w:rPr>
          <w:color w:val="auto"/>
        </w:rPr>
        <w:t>（四）</w:t>
      </w:r>
      <w:r>
        <w:rPr>
          <w:rFonts w:hint="eastAsia"/>
          <w:color w:val="auto"/>
        </w:rPr>
        <w:t>上一年度营业收入超过10亿元的部分，按照0.2%提取</w:t>
      </w:r>
      <w:r>
        <w:rPr>
          <w:color w:val="auto"/>
        </w:rPr>
        <w:t>。</w:t>
      </w:r>
    </w:p>
    <w:p>
      <w:pPr>
        <w:pStyle w:val="6"/>
        <w:ind w:firstLine="560"/>
        <w:rPr>
          <w:color w:val="auto"/>
        </w:rPr>
      </w:pPr>
      <w:r>
        <w:rPr>
          <w:rFonts w:hint="eastAsia"/>
          <w:color w:val="auto"/>
        </w:rPr>
        <w:t>涉及企业机密，不予公开。</w:t>
      </w:r>
    </w:p>
    <w:p>
      <w:pPr>
        <w:pStyle w:val="4"/>
        <w:spacing w:before="63" w:after="63"/>
      </w:pPr>
      <w:r>
        <w:t>6.4.6安全管理可靠性分析结论</w:t>
      </w:r>
    </w:p>
    <w:p>
      <w:pPr>
        <w:pStyle w:val="6"/>
        <w:ind w:firstLine="560"/>
      </w:pPr>
      <w:r>
        <w:t>该项目改造完成后安全管理依托现有</w:t>
      </w:r>
      <w:r>
        <w:rPr>
          <w:lang w:val="en-US"/>
        </w:rPr>
        <w:t>储运一部</w:t>
      </w:r>
      <w:r>
        <w:t>。企业现有安全管理机构的设置和安全管理人员的配备、安全生产责任制、安全管理制度的制定及实施、安全培训、安全投入方面均符合国家法律、法规、规定。</w:t>
      </w:r>
    </w:p>
    <w:p>
      <w:pPr>
        <w:pStyle w:val="6"/>
        <w:ind w:firstLine="560"/>
        <w:sectPr>
          <w:pgSz w:w="11906" w:h="16838"/>
          <w:pgMar w:top="1440" w:right="1803" w:bottom="1440" w:left="1803" w:header="851" w:footer="992" w:gutter="0"/>
          <w:pgBorders>
            <w:top w:val="none" w:sz="0" w:space="0"/>
            <w:left w:val="none" w:sz="0" w:space="0"/>
            <w:bottom w:val="none" w:sz="0" w:space="0"/>
            <w:right w:val="none" w:sz="0" w:space="0"/>
          </w:pgBorders>
          <w:cols w:space="720" w:num="1"/>
          <w:docGrid w:type="lines" w:linePitch="319" w:charSpace="0"/>
        </w:sectPr>
      </w:pPr>
    </w:p>
    <w:p>
      <w:pPr>
        <w:pStyle w:val="16"/>
        <w:rPr>
          <w:rFonts w:ascii="Times New Roman" w:hAnsi="Times New Roman" w:cs="Times New Roman"/>
        </w:rPr>
      </w:pPr>
      <w:bookmarkStart w:id="92" w:name="_Toc1105"/>
      <w:r>
        <w:rPr>
          <w:rFonts w:ascii="Times New Roman" w:hAnsi="Times New Roman" w:cs="Times New Roman"/>
        </w:rPr>
        <w:t>安全对策措施、建议和结论</w:t>
      </w:r>
      <w:bookmarkEnd w:id="92"/>
    </w:p>
    <w:p>
      <w:pPr>
        <w:pStyle w:val="3"/>
        <w:spacing w:before="159" w:after="159"/>
      </w:pPr>
      <w:bookmarkStart w:id="93" w:name="_Toc12469"/>
      <w:r>
        <w:t>对策措施与建议</w:t>
      </w:r>
      <w:bookmarkEnd w:id="93"/>
    </w:p>
    <w:p>
      <w:pPr>
        <w:pStyle w:val="4"/>
        <w:spacing w:before="63" w:after="63"/>
      </w:pPr>
      <w:r>
        <w:t>7.1.1 可研提出的对策措施</w:t>
      </w:r>
    </w:p>
    <w:p>
      <w:pPr>
        <w:pStyle w:val="6"/>
        <w:ind w:firstLine="560"/>
        <w:rPr>
          <w:lang w:val="en-US"/>
        </w:rPr>
      </w:pPr>
      <w:r>
        <w:t>（</w:t>
      </w:r>
      <w:r>
        <w:rPr>
          <w:lang w:val="en-US"/>
        </w:rPr>
        <w:t>1</w:t>
      </w:r>
      <w:r>
        <w:t>）</w:t>
      </w:r>
      <w:r>
        <w:rPr>
          <w:lang w:val="en-US"/>
        </w:rPr>
        <w:t>总平面布置</w:t>
      </w:r>
    </w:p>
    <w:p>
      <w:pPr>
        <w:pStyle w:val="6"/>
        <w:ind w:firstLine="560"/>
        <w:rPr>
          <w:lang w:val="en-US"/>
        </w:rPr>
      </w:pPr>
      <w:r>
        <w:rPr>
          <w:lang w:val="en-US"/>
        </w:rPr>
        <w:t>该项目布置在现有厂区内，平面布置执行《石油化工企业设计防火标准（2018年版）》（GB50160-2008）。罐组与周围装置与设施按规范要求设置防火间距。罐组四周设置有环形道路，方便消防及紧急情况下的人员疏散。</w:t>
      </w:r>
    </w:p>
    <w:p>
      <w:pPr>
        <w:pStyle w:val="6"/>
        <w:ind w:firstLine="560"/>
        <w:rPr>
          <w:lang w:val="en-US"/>
        </w:rPr>
      </w:pPr>
      <w:r>
        <w:rPr>
          <w:lang w:val="en-US"/>
        </w:rPr>
        <w:t>（2）平面布置</w:t>
      </w:r>
    </w:p>
    <w:p>
      <w:pPr>
        <w:pStyle w:val="6"/>
        <w:ind w:firstLine="560"/>
        <w:rPr>
          <w:lang w:val="en-US"/>
        </w:rPr>
      </w:pPr>
      <w:r>
        <w:rPr>
          <w:lang w:val="en-US"/>
        </w:rPr>
        <w:t>该项目布置在罐组防火堤内，与罐组其他储罐设置符合规范要求的防火间距。</w:t>
      </w:r>
    </w:p>
    <w:p>
      <w:pPr>
        <w:pStyle w:val="6"/>
        <w:ind w:firstLine="560"/>
        <w:rPr>
          <w:lang w:val="en-US"/>
        </w:rPr>
      </w:pPr>
      <w:r>
        <w:rPr>
          <w:lang w:val="en-US"/>
        </w:rPr>
        <w:t>新建30000m</w:t>
      </w:r>
      <w:r>
        <w:rPr>
          <w:vertAlign w:val="superscript"/>
          <w:lang w:val="en-US"/>
        </w:rPr>
        <w:t>3</w:t>
      </w:r>
      <w:r>
        <w:rPr>
          <w:lang w:val="en-US"/>
        </w:rPr>
        <w:t>原油罐增加接地设施。接地线采用复合防腐镀锌扁钢，接地极采用复合防腐镀锌角钢。新增原油罐接地设施接地电阻检测合格后，接入罐区原有接地系统中。</w:t>
      </w:r>
    </w:p>
    <w:p>
      <w:pPr>
        <w:pStyle w:val="6"/>
        <w:ind w:firstLine="560"/>
        <w:rPr>
          <w:lang w:val="en-US"/>
        </w:rPr>
      </w:pPr>
      <w:r>
        <w:rPr>
          <w:lang w:val="en-US"/>
        </w:rPr>
        <w:t>（3）防火、防爆</w:t>
      </w:r>
    </w:p>
    <w:p>
      <w:pPr>
        <w:pStyle w:val="6"/>
        <w:ind w:firstLine="560"/>
        <w:rPr>
          <w:lang w:val="en-US"/>
        </w:rPr>
      </w:pPr>
      <w:r>
        <w:rPr>
          <w:lang w:val="en-US"/>
        </w:rPr>
        <w:t>对危险物料的安全控制是防火防爆最有效的措施之一。设计严格执行相关国家以及行业规范，设计可靠的密封措施和安全排放系统，从本质上防止发生泄漏、超压等安全隐患，避免事故发生。</w:t>
      </w:r>
    </w:p>
    <w:p>
      <w:pPr>
        <w:pStyle w:val="6"/>
        <w:ind w:firstLine="560"/>
        <w:rPr>
          <w:lang w:val="en-US"/>
        </w:rPr>
      </w:pPr>
      <w:r>
        <w:rPr>
          <w:lang w:val="en-US"/>
        </w:rPr>
        <w:t>生产中操作参数变化可能导致的不安全因素如温度、压力、液面等，设计中设置了高、低限报警。</w:t>
      </w:r>
    </w:p>
    <w:p>
      <w:pPr>
        <w:pStyle w:val="6"/>
        <w:ind w:firstLine="560"/>
        <w:rPr>
          <w:lang w:val="en-US"/>
        </w:rPr>
      </w:pPr>
      <w:r>
        <w:rPr>
          <w:lang w:val="en-US"/>
        </w:rPr>
        <w:t>为确保安全生产和人身安全，在存在易燃、易爆或有毒气体的危险场所，设置可燃气体检测仪表，并将其接至独立设置的气体检测报警系统（GDS）。</w:t>
      </w:r>
    </w:p>
    <w:p>
      <w:pPr>
        <w:pStyle w:val="6"/>
        <w:ind w:firstLine="560"/>
        <w:rPr>
          <w:lang w:val="en-US"/>
        </w:rPr>
      </w:pPr>
      <w:r>
        <w:rPr>
          <w:lang w:val="en-US"/>
        </w:rPr>
        <w:t>生产区主要为爆炸危险区域2区，在爆炸危险区域2区内低于地坪的沟坑为爆炸危险1区，爆炸危险区域内电气设备按危险区域划分和防爆规范要求选用相应的电气设备。</w:t>
      </w:r>
    </w:p>
    <w:p>
      <w:pPr>
        <w:pStyle w:val="6"/>
        <w:ind w:firstLine="560"/>
        <w:rPr>
          <w:lang w:val="en-US"/>
        </w:rPr>
      </w:pPr>
      <w:r>
        <w:rPr>
          <w:lang w:val="en-US"/>
        </w:rPr>
        <w:t>（4）自动控制</w:t>
      </w:r>
    </w:p>
    <w:p>
      <w:pPr>
        <w:pStyle w:val="6"/>
        <w:ind w:firstLine="560"/>
        <w:rPr>
          <w:lang w:val="en-US"/>
        </w:rPr>
      </w:pPr>
      <w:r>
        <w:rPr>
          <w:lang w:val="en-US"/>
        </w:rPr>
        <w:t>该项目新建储罐自动控制水平与原罐区保持一致，控制系统由分散控制系统（DCS）、安全仪表系统（SIS）、可燃气体和有毒气体检测报警系统（GDS）等系统构成，控制系统均按利旧考虑，根据需要对各控制系统进行扩容改造。</w:t>
      </w:r>
    </w:p>
    <w:p>
      <w:pPr>
        <w:pStyle w:val="6"/>
        <w:ind w:firstLine="560"/>
        <w:rPr>
          <w:lang w:val="en-US"/>
        </w:rPr>
      </w:pPr>
      <w:r>
        <w:rPr>
          <w:lang w:val="en-US"/>
        </w:rPr>
        <w:t>储罐设高高、低低报警液位开关，实现液位高高、低低报警，同时液位高高报警时联锁切断油罐进口阀门，液位低低限人工停泵，避免油罐跑、冒油及油罐被抽瘪事故的发生。</w:t>
      </w:r>
    </w:p>
    <w:p>
      <w:pPr>
        <w:pStyle w:val="6"/>
        <w:ind w:firstLine="560"/>
        <w:rPr>
          <w:lang w:val="en-US"/>
        </w:rPr>
      </w:pPr>
      <w:r>
        <w:rPr>
          <w:lang w:val="en-US"/>
        </w:rPr>
        <w:t>（5）防毒</w:t>
      </w:r>
    </w:p>
    <w:p>
      <w:pPr>
        <w:pStyle w:val="6"/>
        <w:ind w:firstLine="560"/>
        <w:rPr>
          <w:lang w:val="en-US"/>
        </w:rPr>
      </w:pPr>
      <w:r>
        <w:rPr>
          <w:lang w:val="en-US"/>
        </w:rPr>
        <w:t>生产过程采用密闭化、机械化和自动化控制系统（DCS），操作人员大多数时间在控制室用仪表实现远距离控制，减少操作人员接触毒物的时间。设备采用露天布置，有利于自然通风和有毒物质的扩散、稀释。</w:t>
      </w:r>
    </w:p>
    <w:p>
      <w:pPr>
        <w:pStyle w:val="6"/>
        <w:ind w:firstLine="560"/>
        <w:rPr>
          <w:lang w:val="en-US"/>
        </w:rPr>
      </w:pPr>
      <w:r>
        <w:rPr>
          <w:lang w:val="en-US"/>
        </w:rPr>
        <w:t>（6）防腐蚀</w:t>
      </w:r>
    </w:p>
    <w:p>
      <w:pPr>
        <w:pStyle w:val="6"/>
        <w:ind w:firstLine="560"/>
        <w:rPr>
          <w:lang w:val="en-US"/>
        </w:rPr>
      </w:pPr>
      <w:r>
        <w:rPr>
          <w:lang w:val="en-US"/>
        </w:rPr>
        <w:t>储罐设内、外防腐，罐底板与储罐基础之间设边缘防水设施。储罐罐壁外表面设保温，储罐设有锚栓装置。</w:t>
      </w:r>
    </w:p>
    <w:p>
      <w:pPr>
        <w:pStyle w:val="6"/>
        <w:ind w:firstLine="560"/>
        <w:rPr>
          <w:lang w:val="en-US"/>
        </w:rPr>
      </w:pPr>
      <w:r>
        <w:rPr>
          <w:lang w:val="en-US"/>
        </w:rPr>
        <w:t>（7）防雷、防静电接地措施</w:t>
      </w:r>
    </w:p>
    <w:p>
      <w:pPr>
        <w:pStyle w:val="6"/>
        <w:ind w:firstLine="560"/>
        <w:rPr>
          <w:lang w:val="en-US"/>
        </w:rPr>
      </w:pPr>
      <w:r>
        <w:rPr>
          <w:lang w:val="en-US"/>
        </w:rPr>
        <w:t>新建原油罐增加接地设施。接地线采用复合防腐镀锌扁钢，接地极采用复合防腐镀锌角钢。新增原油罐接地设施接地电阻检测合格后，接入罐区原有接地系统中。</w:t>
      </w:r>
    </w:p>
    <w:p>
      <w:pPr>
        <w:pStyle w:val="6"/>
        <w:ind w:firstLine="560"/>
        <w:rPr>
          <w:lang w:val="en-US"/>
        </w:rPr>
      </w:pPr>
      <w:r>
        <w:rPr>
          <w:lang w:val="en-US"/>
        </w:rPr>
        <w:t>所有用电设备正常不带电的金属外壳、电缆桥架及爆炸危险区域内的工艺金属设备均做可靠接地。对爆炸、火灾危险场所内可能产生静电 危险的设备和管道，设置静电接地设施。</w:t>
      </w:r>
    </w:p>
    <w:p>
      <w:pPr>
        <w:pStyle w:val="6"/>
        <w:ind w:firstLine="560"/>
        <w:rPr>
          <w:lang w:val="en-US"/>
        </w:rPr>
      </w:pPr>
      <w:r>
        <w:rPr>
          <w:lang w:val="en-US"/>
        </w:rPr>
        <w:t>电气设备、电信设备、仪表系统接地采用联合接地，公用一个接地系统。工作接地、保护接地、防雷、防静电接地共用一套接地系统，接地装置构成一个封闭的接地网，接地网的接地电阻不大于4Ω。</w:t>
      </w:r>
    </w:p>
    <w:p>
      <w:pPr>
        <w:pStyle w:val="6"/>
        <w:ind w:firstLine="560"/>
        <w:rPr>
          <w:lang w:val="en-US"/>
        </w:rPr>
      </w:pPr>
      <w:r>
        <w:rPr>
          <w:lang w:val="en-US"/>
        </w:rPr>
        <w:t>（8）防高处坠落</w:t>
      </w:r>
    </w:p>
    <w:p>
      <w:pPr>
        <w:pStyle w:val="6"/>
        <w:ind w:firstLine="560"/>
        <w:rPr>
          <w:lang w:val="en-US"/>
        </w:rPr>
      </w:pPr>
      <w:r>
        <w:rPr>
          <w:lang w:val="en-US"/>
        </w:rPr>
        <w:t>在操作人员进行操作、检查及维护的工作场所，距基准面≥2m且有坠落危险时，配置有梯子、平台及扶手、防护栏杆，平台及踏板考虑防滑。</w:t>
      </w:r>
    </w:p>
    <w:p>
      <w:pPr>
        <w:pStyle w:val="6"/>
        <w:ind w:firstLine="560"/>
        <w:rPr>
          <w:lang w:val="en-US"/>
        </w:rPr>
      </w:pPr>
      <w:r>
        <w:rPr>
          <w:lang w:val="en-US"/>
        </w:rPr>
        <w:t>（9）抗震措施</w:t>
      </w:r>
    </w:p>
    <w:p>
      <w:pPr>
        <w:pStyle w:val="6"/>
        <w:ind w:firstLine="560"/>
        <w:rPr>
          <w:lang w:val="en-US"/>
        </w:rPr>
      </w:pPr>
      <w:r>
        <w:rPr>
          <w:lang w:val="en-US"/>
        </w:rPr>
        <w:t>建构筑物根据《石油化工建（构）筑物抗震设防分类标准》GB 50453确定抗震设防分类，按照《建筑抗震设计规范》GB 50011进行抗震设计。</w:t>
      </w:r>
    </w:p>
    <w:p>
      <w:pPr>
        <w:pStyle w:val="6"/>
        <w:ind w:firstLine="560"/>
        <w:rPr>
          <w:lang w:val="en-US"/>
        </w:rPr>
      </w:pPr>
      <w:r>
        <w:rPr>
          <w:lang w:val="en-US"/>
        </w:rPr>
        <w:t>（10）安全疏散</w:t>
      </w:r>
    </w:p>
    <w:p>
      <w:pPr>
        <w:pStyle w:val="6"/>
        <w:ind w:firstLine="560"/>
        <w:rPr>
          <w:lang w:val="en-US"/>
        </w:rPr>
      </w:pPr>
      <w:r>
        <w:rPr>
          <w:lang w:val="en-US"/>
        </w:rPr>
        <w:t>罐组四周设有环形消防通道。罐组防火堤的四周设踏步，便于操作人员平时巡检以及发生事故时逃生。</w:t>
      </w:r>
    </w:p>
    <w:p>
      <w:pPr>
        <w:pStyle w:val="6"/>
        <w:ind w:firstLine="560"/>
        <w:rPr>
          <w:lang w:val="en-US"/>
        </w:rPr>
      </w:pPr>
      <w:r>
        <w:rPr>
          <w:lang w:val="en-US"/>
        </w:rPr>
        <w:t>（11）安全标志、警示标志</w:t>
      </w:r>
    </w:p>
    <w:p>
      <w:pPr>
        <w:pStyle w:val="6"/>
        <w:ind w:firstLine="560"/>
        <w:rPr>
          <w:lang w:val="en-US"/>
        </w:rPr>
      </w:pPr>
      <w:r>
        <w:rPr>
          <w:lang w:val="en-US"/>
        </w:rPr>
        <w:t>结合设备的布置情况，在易引起误操作、有毒的岗位、危险部位设置安全警示牌，并在生产场所、工作场所的紧急通道和紧急出入口，设置醒目标志和指示箭头</w:t>
      </w:r>
    </w:p>
    <w:p>
      <w:pPr>
        <w:pStyle w:val="4"/>
        <w:spacing w:before="63" w:after="63"/>
      </w:pPr>
      <w:r>
        <w:t>7.1.2 补充的对策措施与建议</w:t>
      </w:r>
    </w:p>
    <w:p>
      <w:pPr>
        <w:pStyle w:val="6"/>
        <w:ind w:firstLine="560"/>
        <w:rPr>
          <w:lang w:val="en-US"/>
        </w:rPr>
      </w:pPr>
      <w:r>
        <w:t>（</w:t>
      </w:r>
      <w:r>
        <w:rPr>
          <w:lang w:val="en-US"/>
        </w:rPr>
        <w:t>1</w:t>
      </w:r>
      <w:r>
        <w:t>）</w:t>
      </w:r>
      <w:r>
        <w:rPr>
          <w:lang w:val="en-US"/>
        </w:rPr>
        <w:t>建设项目的总平面布置及布局</w:t>
      </w:r>
    </w:p>
    <w:p>
      <w:pPr>
        <w:pStyle w:val="6"/>
        <w:ind w:firstLine="560"/>
        <w:rPr>
          <w:lang w:val="en-US"/>
        </w:rPr>
      </w:pPr>
      <w:r>
        <w:rPr>
          <w:lang w:val="en-US"/>
        </w:rPr>
        <w:t>1）进出G-106储罐的各类管线、电缆应从防火堤、防护墙顶部跨越或从地面以下穿过。当必须穿过防火堤、防护墙时，应设置套管并应采用不燃烧材料严密封闭，或采用固定短管且两端采用软管密封连接的形式。</w:t>
      </w:r>
    </w:p>
    <w:p>
      <w:pPr>
        <w:pStyle w:val="6"/>
        <w:ind w:firstLine="560"/>
        <w:rPr>
          <w:lang w:val="en-US"/>
        </w:rPr>
      </w:pPr>
      <w:r>
        <w:rPr>
          <w:lang w:val="en-US"/>
        </w:rPr>
        <w:t>2）</w:t>
      </w:r>
      <w:r>
        <w:rPr>
          <w:rFonts w:hint="eastAsia"/>
          <w:lang w:val="en-US"/>
        </w:rPr>
        <w:t>本项目新建G-106储罐西侧预留位置新建储罐时，与G-106储罐的防火间距应满足《石油化工企业设计防火标准（2018年版））》（GB50160-2008）6.2.8要求。</w:t>
      </w:r>
    </w:p>
    <w:p>
      <w:pPr>
        <w:pStyle w:val="6"/>
        <w:ind w:firstLine="560"/>
        <w:rPr>
          <w:lang w:val="en-US"/>
        </w:rPr>
      </w:pPr>
      <w:r>
        <w:rPr>
          <w:lang w:val="en-US"/>
        </w:rPr>
        <w:t>3）管架支柱（边缘）、照明电杆、标志杆等距道路路面边缘不应小于0.5m。</w:t>
      </w:r>
    </w:p>
    <w:p>
      <w:pPr>
        <w:pStyle w:val="6"/>
        <w:ind w:firstLine="560"/>
        <w:rPr>
          <w:lang w:val="en-US"/>
        </w:rPr>
      </w:pPr>
      <w:r>
        <w:rPr>
          <w:lang w:val="en-US"/>
        </w:rPr>
        <w:t>4）防火堤内的场地不得种植树木。</w:t>
      </w:r>
    </w:p>
    <w:p>
      <w:pPr>
        <w:pStyle w:val="6"/>
        <w:ind w:firstLine="560"/>
        <w:rPr>
          <w:rFonts w:hint="eastAsia" w:eastAsia="宋体"/>
          <w:color w:val="auto"/>
          <w:lang w:val="en-US" w:eastAsia="zh-CN"/>
        </w:rPr>
      </w:pPr>
      <w:r>
        <w:rPr>
          <w:rFonts w:hint="eastAsia"/>
          <w:lang w:val="en-US"/>
        </w:rPr>
        <w:t>5）</w:t>
      </w:r>
      <w:r>
        <w:rPr>
          <w:rFonts w:hint="eastAsia"/>
          <w:color w:val="auto"/>
          <w:lang w:val="en-US" w:eastAsia="zh-CN"/>
        </w:rPr>
        <w:t>目前，全厂集中控制室正在建设，</w:t>
      </w:r>
      <w:r>
        <w:rPr>
          <w:rFonts w:hint="eastAsia"/>
          <w:color w:val="auto"/>
          <w:lang w:val="en-US"/>
        </w:rPr>
        <w:t>计划</w:t>
      </w:r>
      <w:r>
        <w:rPr>
          <w:rFonts w:hint="eastAsia"/>
          <w:color w:val="auto"/>
          <w:lang w:val="en-US" w:eastAsia="zh-CN"/>
        </w:rPr>
        <w:t>2023年</w:t>
      </w:r>
      <w:r>
        <w:rPr>
          <w:rFonts w:hint="eastAsia"/>
          <w:color w:val="auto"/>
          <w:lang w:val="en-US"/>
        </w:rPr>
        <w:t>6月30日前</w:t>
      </w:r>
      <w:r>
        <w:rPr>
          <w:rFonts w:hint="eastAsia"/>
          <w:color w:val="auto"/>
          <w:lang w:val="en-US" w:eastAsia="zh-CN"/>
        </w:rPr>
        <w:t>建成并投用。建设单位应在本项目建成投用前，</w:t>
      </w:r>
      <w:r>
        <w:rPr>
          <w:rFonts w:hint="eastAsia"/>
          <w:color w:val="auto"/>
          <w:lang w:val="en-US"/>
        </w:rPr>
        <w:t>将油品储运控制室调整为无人值守的现场机柜室</w:t>
      </w:r>
      <w:r>
        <w:rPr>
          <w:rFonts w:hint="eastAsia"/>
          <w:color w:val="auto"/>
          <w:lang w:val="en-US" w:eastAsia="zh-CN"/>
        </w:rPr>
        <w:t>，</w:t>
      </w:r>
      <w:r>
        <w:rPr>
          <w:rFonts w:hint="eastAsia"/>
          <w:color w:val="auto"/>
          <w:lang w:val="en-US"/>
        </w:rPr>
        <w:t>相关控制功能移至全厂</w:t>
      </w:r>
      <w:r>
        <w:rPr>
          <w:rFonts w:hint="eastAsia"/>
          <w:color w:val="auto"/>
          <w:lang w:val="en-US" w:eastAsia="zh-CN"/>
        </w:rPr>
        <w:t>集中</w:t>
      </w:r>
      <w:r>
        <w:rPr>
          <w:rFonts w:hint="eastAsia"/>
          <w:color w:val="auto"/>
          <w:lang w:val="en-US"/>
        </w:rPr>
        <w:t>控制室内。</w:t>
      </w:r>
      <w:r>
        <w:rPr>
          <w:color w:val="auto"/>
          <w:lang w:val="en-US"/>
        </w:rPr>
        <w:t>油品储运控制室面向罐区的一侧的外墙，建议改造成无门窗洞口、耐火极限不低于3h的不燃烧材料实体墙。</w:t>
      </w:r>
    </w:p>
    <w:p>
      <w:pPr>
        <w:pStyle w:val="6"/>
        <w:ind w:firstLine="560"/>
        <w:rPr>
          <w:lang w:val="en-US"/>
        </w:rPr>
      </w:pPr>
      <w:r>
        <w:rPr>
          <w:lang w:val="en-US"/>
        </w:rPr>
        <w:t>（2）储运设施</w:t>
      </w:r>
    </w:p>
    <w:p>
      <w:pPr>
        <w:pStyle w:val="6"/>
        <w:ind w:firstLine="560"/>
        <w:rPr>
          <w:lang w:val="en-US"/>
        </w:rPr>
      </w:pPr>
      <w:r>
        <w:rPr>
          <w:lang w:val="en-US"/>
        </w:rPr>
        <w:t>1）储罐区</w:t>
      </w:r>
    </w:p>
    <w:p>
      <w:pPr>
        <w:pStyle w:val="6"/>
        <w:ind w:firstLine="560"/>
        <w:rPr>
          <w:lang w:val="en-US"/>
        </w:rPr>
      </w:pPr>
      <w:r>
        <w:rPr>
          <w:lang w:val="en-US"/>
        </w:rPr>
        <w:t>①新建G-106储罐基础、防火堤、隔堤及管架（墩）等，均应采用不燃烧材料，防火堤的耐火极限不得小于3h。</w:t>
      </w:r>
    </w:p>
    <w:p>
      <w:pPr>
        <w:pStyle w:val="6"/>
        <w:ind w:firstLine="560"/>
        <w:rPr>
          <w:lang w:val="en-US"/>
        </w:rPr>
      </w:pPr>
      <w:r>
        <w:rPr>
          <w:lang w:val="en-US"/>
        </w:rPr>
        <w:t>②新建G-106储罐的保温层应采用不燃烧材料。</w:t>
      </w:r>
    </w:p>
    <w:p>
      <w:pPr>
        <w:pStyle w:val="6"/>
        <w:ind w:firstLine="560"/>
        <w:rPr>
          <w:lang w:val="en-US"/>
        </w:rPr>
      </w:pPr>
      <w:r>
        <w:rPr>
          <w:lang w:val="en-US"/>
        </w:rPr>
        <w:t>③新建G-106储罐蒸汽/热水加热器应采取防止液体超温的措施。</w:t>
      </w:r>
    </w:p>
    <w:p>
      <w:pPr>
        <w:pStyle w:val="6"/>
        <w:ind w:firstLine="560"/>
        <w:rPr>
          <w:lang w:val="en-US"/>
        </w:rPr>
      </w:pPr>
      <w:r>
        <w:rPr>
          <w:lang w:val="en-US"/>
        </w:rPr>
        <w:t>④新建G-106储罐的设计储存低液位应符合下列规定：</w:t>
      </w:r>
    </w:p>
    <w:p>
      <w:pPr>
        <w:pStyle w:val="6"/>
        <w:ind w:firstLine="560"/>
        <w:rPr>
          <w:lang w:val="en-US"/>
        </w:rPr>
      </w:pPr>
      <w:r>
        <w:rPr>
          <w:lang w:val="en-US"/>
        </w:rPr>
        <w:t>a.应满足从低液位报警开始10min~15min内泵不会发生汽蚀的要求；</w:t>
      </w:r>
    </w:p>
    <w:p>
      <w:pPr>
        <w:pStyle w:val="6"/>
        <w:ind w:firstLine="560"/>
        <w:rPr>
          <w:lang w:val="en-US"/>
        </w:rPr>
      </w:pPr>
      <w:r>
        <w:rPr>
          <w:lang w:val="en-US"/>
        </w:rPr>
        <w:t>b.设计储存低液位宜高出浮顶落底高度0.2m；</w:t>
      </w:r>
    </w:p>
    <w:p>
      <w:pPr>
        <w:pStyle w:val="6"/>
        <w:ind w:firstLine="560"/>
        <w:rPr>
          <w:lang w:val="en-US"/>
        </w:rPr>
      </w:pPr>
      <w:r>
        <w:rPr>
          <w:lang w:val="en-US"/>
        </w:rPr>
        <w:t>c.不应低于罐内加热器的最高点。</w:t>
      </w:r>
    </w:p>
    <w:p>
      <w:pPr>
        <w:pStyle w:val="6"/>
        <w:ind w:firstLine="560"/>
        <w:rPr>
          <w:lang w:val="en-US"/>
        </w:rPr>
      </w:pPr>
      <w:r>
        <w:rPr>
          <w:lang w:val="en-US"/>
        </w:rPr>
        <w:t>⑤新建G-106储罐根据《石油化工储运系统罐区设计规范》</w:t>
      </w:r>
      <w:r>
        <w:rPr>
          <w:rFonts w:hint="eastAsia"/>
          <w:lang w:val="en-US"/>
        </w:rPr>
        <w:t>（</w:t>
      </w:r>
      <w:r>
        <w:rPr>
          <w:lang w:val="en-US"/>
        </w:rPr>
        <w:t>SH/T 3007-2014）第5.1.1的要求应设置1个量油孔、3个透光孔、2个人孔、3个排污孔（或清扫孔）、2个DN100排水管。</w:t>
      </w:r>
    </w:p>
    <w:p>
      <w:pPr>
        <w:pStyle w:val="6"/>
        <w:ind w:firstLine="560"/>
        <w:rPr>
          <w:rFonts w:hint="eastAsia"/>
          <w:color w:val="auto"/>
          <w:lang w:val="en-US" w:eastAsia="zh-CN"/>
        </w:rPr>
      </w:pPr>
      <w:r>
        <w:rPr>
          <w:rFonts w:hint="eastAsia"/>
          <w:color w:val="auto"/>
          <w:lang w:val="en-US" w:eastAsia="zh-CN"/>
        </w:rPr>
        <w:t>⑥罐壁钢板的使用厚度应符合《立式圆筒形钢制焊接油罐设计规范》（GB50341-2014）的规定，且钢板名义厚度不得大于45mm。</w:t>
      </w:r>
    </w:p>
    <w:p>
      <w:pPr>
        <w:pStyle w:val="6"/>
        <w:ind w:firstLine="560"/>
        <w:rPr>
          <w:rFonts w:hint="eastAsia" w:eastAsia="宋体"/>
          <w:lang w:val="en-US" w:eastAsia="zh-CN"/>
        </w:rPr>
      </w:pPr>
      <w:r>
        <w:rPr>
          <w:rFonts w:hint="eastAsia"/>
          <w:color w:val="auto"/>
          <w:lang w:val="en-US" w:eastAsia="zh-CN"/>
        </w:rPr>
        <w:t>⑦人孔的安装高度不宜小于300mm，人孔内应设置直梯，直梯下端距罐底板之间应留有足够的距离</w:t>
      </w:r>
      <w:r>
        <w:rPr>
          <w:rFonts w:hint="eastAsia"/>
          <w:color w:val="0000FF"/>
          <w:lang w:val="en-US" w:eastAsia="zh-CN"/>
        </w:rPr>
        <w:t>。</w:t>
      </w:r>
    </w:p>
    <w:p>
      <w:pPr>
        <w:pStyle w:val="6"/>
        <w:ind w:firstLine="560"/>
        <w:rPr>
          <w:lang w:val="en-US"/>
        </w:rPr>
      </w:pPr>
      <w:r>
        <w:rPr>
          <w:lang w:val="en-US"/>
        </w:rPr>
        <w:t>2）工艺管道</w:t>
      </w:r>
    </w:p>
    <w:p>
      <w:pPr>
        <w:pStyle w:val="6"/>
        <w:ind w:firstLine="560"/>
        <w:rPr>
          <w:lang w:val="en-US"/>
        </w:rPr>
      </w:pPr>
      <w:r>
        <w:rPr>
          <w:lang w:val="en-US"/>
        </w:rPr>
        <w:t>①拟新建和改造的可燃液体的金属管道除需要采用法兰连接外，均应采用焊接连接。公称直径等于或小于25mm的可燃气体、液化烃和可燃液体的金属管道和阀门采用锥管螺纹连接时，除能产生缝隙腐蚀的介质管道外，应在螺纹处采用密封焊。</w:t>
      </w:r>
    </w:p>
    <w:p>
      <w:pPr>
        <w:pStyle w:val="6"/>
        <w:ind w:firstLine="560"/>
        <w:rPr>
          <w:lang w:val="en-US"/>
        </w:rPr>
      </w:pPr>
      <w:r>
        <w:rPr>
          <w:lang w:val="en-US"/>
        </w:rPr>
        <w:t>②本项目新建G-106储罐和管道应有惰性气体置换设施。</w:t>
      </w:r>
    </w:p>
    <w:p>
      <w:pPr>
        <w:pStyle w:val="6"/>
        <w:ind w:firstLine="560"/>
        <w:rPr>
          <w:lang w:val="en-US"/>
        </w:rPr>
      </w:pPr>
      <w:r>
        <w:rPr>
          <w:lang w:val="en-US"/>
        </w:rPr>
        <w:t>3）防火堤</w:t>
      </w:r>
    </w:p>
    <w:p>
      <w:pPr>
        <w:pStyle w:val="6"/>
        <w:ind w:firstLine="560"/>
        <w:rPr>
          <w:lang w:val="en-US"/>
        </w:rPr>
      </w:pPr>
      <w:r>
        <w:rPr>
          <w:lang w:val="en-US"/>
        </w:rPr>
        <w:t>①防火堤、防护墙应采用不燃烧材料建造，且必须密实、闭合、不泄漏。</w:t>
      </w:r>
    </w:p>
    <w:p>
      <w:pPr>
        <w:pStyle w:val="6"/>
        <w:ind w:firstLine="560"/>
        <w:rPr>
          <w:lang w:val="en-US"/>
        </w:rPr>
      </w:pPr>
      <w:r>
        <w:rPr>
          <w:lang w:val="en-US"/>
        </w:rPr>
        <w:t>②高度大于或等于1.2m的踏步或坡道应设护栏。</w:t>
      </w:r>
    </w:p>
    <w:p>
      <w:pPr>
        <w:pStyle w:val="6"/>
        <w:ind w:firstLine="560"/>
        <w:rPr>
          <w:color w:val="auto"/>
          <w:lang w:val="en-US"/>
        </w:rPr>
      </w:pPr>
      <w:r>
        <w:rPr>
          <w:color w:val="auto"/>
          <w:lang w:val="en-US"/>
        </w:rPr>
        <w:t>③防火堤内的地面设计应符合下列规定：</w:t>
      </w:r>
    </w:p>
    <w:p>
      <w:pPr>
        <w:pStyle w:val="6"/>
        <w:ind w:firstLine="560"/>
        <w:rPr>
          <w:color w:val="auto"/>
          <w:lang w:val="en-US"/>
        </w:rPr>
      </w:pPr>
      <w:r>
        <w:rPr>
          <w:color w:val="auto"/>
          <w:lang w:val="en-US"/>
        </w:rPr>
        <w:t>a.防火堤内地面应坡向排水沟和排水出口，坡度宜为0.5%；</w:t>
      </w:r>
    </w:p>
    <w:p>
      <w:pPr>
        <w:pStyle w:val="6"/>
        <w:ind w:firstLine="560"/>
        <w:rPr>
          <w:color w:val="auto"/>
          <w:lang w:val="en-US"/>
        </w:rPr>
      </w:pPr>
      <w:r>
        <w:rPr>
          <w:color w:val="auto"/>
          <w:lang w:val="en-US"/>
        </w:rPr>
        <w:t>b.防火堤内地面宜铺设碎石或种植高度不超过150mm的常绿草皮；</w:t>
      </w:r>
    </w:p>
    <w:p>
      <w:pPr>
        <w:pStyle w:val="6"/>
        <w:ind w:firstLine="560"/>
        <w:rPr>
          <w:color w:val="auto"/>
          <w:lang w:val="en-US"/>
        </w:rPr>
      </w:pPr>
      <w:r>
        <w:rPr>
          <w:color w:val="auto"/>
          <w:lang w:val="en-US"/>
        </w:rPr>
        <w:t>c.防火堤内地面应设置巡检道；</w:t>
      </w:r>
    </w:p>
    <w:p>
      <w:pPr>
        <w:pStyle w:val="6"/>
        <w:ind w:firstLine="560"/>
        <w:rPr>
          <w:lang w:val="en-US"/>
        </w:rPr>
      </w:pPr>
      <w:r>
        <w:rPr>
          <w:lang w:val="en-US"/>
        </w:rPr>
        <w:t>④防火堤及隔堤应符合下列规定：</w:t>
      </w:r>
    </w:p>
    <w:p>
      <w:pPr>
        <w:pStyle w:val="6"/>
        <w:ind w:firstLine="560"/>
        <w:rPr>
          <w:lang w:val="en-US"/>
        </w:rPr>
      </w:pPr>
      <w:r>
        <w:rPr>
          <w:lang w:val="en-US"/>
        </w:rPr>
        <w:t>a.防火堤及隔堤应能承受所容纳液体的静压，且不应渗漏；</w:t>
      </w:r>
    </w:p>
    <w:p>
      <w:pPr>
        <w:pStyle w:val="6"/>
        <w:ind w:firstLine="560"/>
        <w:rPr>
          <w:lang w:val="en-US"/>
        </w:rPr>
      </w:pPr>
      <w:r>
        <w:rPr>
          <w:lang w:val="en-US"/>
        </w:rPr>
        <w:t>b.新建防火堤的高度不宜高于2.2m（以堤外3m范围内设计地坪标高为准）；</w:t>
      </w:r>
    </w:p>
    <w:p>
      <w:pPr>
        <w:pStyle w:val="6"/>
        <w:ind w:firstLine="560"/>
        <w:rPr>
          <w:lang w:val="en-US"/>
        </w:rPr>
      </w:pPr>
      <w:r>
        <w:rPr>
          <w:rFonts w:hint="eastAsia"/>
          <w:lang w:val="en-US"/>
        </w:rPr>
        <w:t>c</w:t>
      </w:r>
      <w:r>
        <w:rPr>
          <w:lang w:val="en-US"/>
        </w:rPr>
        <w:t>.在防火堤同一方位上两相邻人行台阶或坡道之间距离不宜大于60m；隔堤应设置人行台阶。</w:t>
      </w:r>
    </w:p>
    <w:p>
      <w:pPr>
        <w:pStyle w:val="6"/>
        <w:ind w:firstLine="560"/>
        <w:rPr>
          <w:lang w:val="en-US"/>
        </w:rPr>
      </w:pPr>
      <w:r>
        <w:rPr>
          <w:rFonts w:hint="eastAsia"/>
          <w:lang w:val="en-US"/>
        </w:rPr>
        <w:t>⑤防火堤内设计地面宜低于堤外消防道路路面或地面。</w:t>
      </w:r>
    </w:p>
    <w:p>
      <w:pPr>
        <w:pStyle w:val="6"/>
        <w:ind w:firstLine="560"/>
        <w:rPr>
          <w:lang w:val="en-US"/>
        </w:rPr>
      </w:pPr>
      <w:r>
        <w:rPr>
          <w:lang w:val="en-US"/>
        </w:rPr>
        <w:t>（3）公用工程及辅助工程</w:t>
      </w:r>
    </w:p>
    <w:p>
      <w:pPr>
        <w:pStyle w:val="6"/>
        <w:ind w:firstLine="560"/>
        <w:rPr>
          <w:lang w:val="en-US"/>
        </w:rPr>
      </w:pPr>
      <w:r>
        <w:rPr>
          <w:lang w:val="en-US"/>
        </w:rPr>
        <w:t>1）供配电系统</w:t>
      </w:r>
    </w:p>
    <w:p>
      <w:pPr>
        <w:pStyle w:val="6"/>
        <w:ind w:firstLine="560"/>
        <w:rPr>
          <w:lang w:val="en-US"/>
        </w:rPr>
      </w:pPr>
      <w:r>
        <w:rPr>
          <w:lang w:val="en-US"/>
        </w:rPr>
        <w:t>①</w:t>
      </w:r>
      <w:r>
        <w:rPr>
          <w:rFonts w:hint="eastAsia"/>
          <w:lang w:val="en-US"/>
        </w:rPr>
        <w:t>105#罐区</w:t>
      </w:r>
      <w:r>
        <w:rPr>
          <w:lang w:val="en-US"/>
        </w:rPr>
        <w:t>的电缆沟应有防止可燃气体积聚或含有可燃液体的污水进入沟内的措施。电缆沟通入变配电所、控制室的墙洞处，应填实、密封。</w:t>
      </w:r>
    </w:p>
    <w:p>
      <w:pPr>
        <w:pStyle w:val="6"/>
        <w:ind w:firstLine="560"/>
        <w:rPr>
          <w:lang w:val="en-US"/>
        </w:rPr>
      </w:pPr>
      <w:r>
        <w:rPr>
          <w:lang w:val="en-US"/>
        </w:rPr>
        <w:t>②距散发比空气重的可燃气体设备30m以内的电缆沟、电缆隧道应采取防止可燃气体窜入和积聚的措施。</w:t>
      </w:r>
    </w:p>
    <w:p>
      <w:pPr>
        <w:pStyle w:val="6"/>
        <w:ind w:firstLine="560"/>
        <w:rPr>
          <w:lang w:val="en-US"/>
        </w:rPr>
      </w:pPr>
      <w:r>
        <w:rPr>
          <w:lang w:val="en-US"/>
        </w:rPr>
        <w:t>③储罐区的电缆应采用阻燃型</w:t>
      </w:r>
      <w:r>
        <w:rPr>
          <w:rFonts w:hint="eastAsia"/>
          <w:lang w:val="en-US"/>
        </w:rPr>
        <w:t>。</w:t>
      </w:r>
    </w:p>
    <w:p>
      <w:pPr>
        <w:pStyle w:val="6"/>
        <w:ind w:firstLine="560"/>
        <w:rPr>
          <w:lang w:val="en-US"/>
        </w:rPr>
      </w:pPr>
      <w:r>
        <w:rPr>
          <w:lang w:val="en-US"/>
        </w:rPr>
        <w:t>④</w:t>
      </w:r>
      <w:r>
        <w:rPr>
          <w:rFonts w:hint="eastAsia"/>
          <w:lang w:val="en-US"/>
        </w:rPr>
        <w:t>新增的</w:t>
      </w:r>
      <w:r>
        <w:rPr>
          <w:lang w:val="en-US"/>
        </w:rPr>
        <w:t>火灾自动报警系统的220VAC主电源应优先选择不间断电源（UPS）供电。直流备用电源应采用火灾报警控制器的专用蓄电池，应保证在主电源事故时持续供电时间不少于8h。</w:t>
      </w:r>
    </w:p>
    <w:p>
      <w:pPr>
        <w:pStyle w:val="6"/>
        <w:ind w:firstLine="560"/>
        <w:rPr>
          <w:lang w:val="en-US"/>
        </w:rPr>
      </w:pPr>
      <w:r>
        <w:rPr>
          <w:rFonts w:hint="eastAsia"/>
          <w:lang w:val="en-US"/>
        </w:rPr>
        <w:t>⑤</w:t>
      </w:r>
      <w:r>
        <w:rPr>
          <w:lang w:val="en-US"/>
        </w:rPr>
        <w:t>可行性研究阶段未明确新建G-106储罐供电线路的敷设方式，在下一步进行安全设施设计阶段，应严格按照《电气装置安装工程 爆炸和火灾危险环境电气装置施工及验收规范》（GB 50257-2014）对电气线路进行详细的设计。</w:t>
      </w:r>
    </w:p>
    <w:p>
      <w:pPr>
        <w:pStyle w:val="6"/>
        <w:ind w:firstLine="560"/>
        <w:rPr>
          <w:lang w:val="en-US"/>
        </w:rPr>
      </w:pPr>
      <w:r>
        <w:rPr>
          <w:lang w:val="en-US"/>
        </w:rPr>
        <w:t>2）消防</w:t>
      </w:r>
    </w:p>
    <w:p>
      <w:pPr>
        <w:pStyle w:val="6"/>
        <w:ind w:firstLine="560"/>
        <w:rPr>
          <w:lang w:val="en-US"/>
        </w:rPr>
      </w:pPr>
      <w:r>
        <w:rPr>
          <w:lang w:val="en-US"/>
        </w:rPr>
        <w:t>①105#罐区宜按防火堤内面积每400m</w:t>
      </w:r>
      <w:r>
        <w:rPr>
          <w:vertAlign w:val="superscript"/>
          <w:lang w:val="en-US"/>
        </w:rPr>
        <w:t>2</w:t>
      </w:r>
      <w:r>
        <w:rPr>
          <w:lang w:val="en-US"/>
        </w:rPr>
        <w:t>配置1个手提式灭火器，但每个储罐配置的数量不宜超过3个。</w:t>
      </w:r>
    </w:p>
    <w:p>
      <w:pPr>
        <w:pStyle w:val="6"/>
        <w:ind w:firstLine="560"/>
        <w:rPr>
          <w:lang w:val="en-US"/>
        </w:rPr>
      </w:pPr>
      <w:r>
        <w:rPr>
          <w:lang w:val="en-US"/>
        </w:rPr>
        <w:t>②泡沫液泵的选择与设置应符合下列规定：</w:t>
      </w:r>
    </w:p>
    <w:p>
      <w:pPr>
        <w:pStyle w:val="6"/>
        <w:ind w:firstLine="560"/>
        <w:rPr>
          <w:lang w:val="en-US"/>
        </w:rPr>
      </w:pPr>
      <w:r>
        <w:rPr>
          <w:lang w:val="en-US"/>
        </w:rPr>
        <w:t>a.泡沫液泵的工作压力和流量应满足系统设计要求，同时应保证在设计流量范围内泡沫液供给压力大于供水压力；</w:t>
      </w:r>
    </w:p>
    <w:p>
      <w:pPr>
        <w:pStyle w:val="6"/>
        <w:ind w:firstLine="560"/>
        <w:rPr>
          <w:lang w:val="en-US"/>
        </w:rPr>
      </w:pPr>
      <w:r>
        <w:rPr>
          <w:lang w:val="en-US"/>
        </w:rPr>
        <w:t>b.泡沫液泵的结构形式、密封或填料类型应适宜输送所选的泡沫液，其材料应耐泡沫液腐蚀且不影响泡沫液的性能；</w:t>
      </w:r>
    </w:p>
    <w:p>
      <w:pPr>
        <w:pStyle w:val="6"/>
        <w:ind w:firstLine="560"/>
        <w:rPr>
          <w:lang w:val="en-US"/>
        </w:rPr>
      </w:pPr>
      <w:r>
        <w:rPr>
          <w:lang w:val="en-US"/>
        </w:rPr>
        <w:t>c.当用于普通泡沫液时，泡沫液泵的允许吸上真空高度不得小于4m；当用于抗溶泡沫液时，泡沫液泵的允许吸上真空高度不得小于6m，且泡沫液储罐至泡沫液泵之间的管道长度不宜超过5m，泡沫液泵出口管道长度不宜超过10m，泡沫液泵及管道平时不得充入泡沫液；</w:t>
      </w:r>
    </w:p>
    <w:p>
      <w:pPr>
        <w:pStyle w:val="6"/>
        <w:ind w:firstLine="560"/>
        <w:rPr>
          <w:lang w:val="en-US"/>
        </w:rPr>
      </w:pPr>
      <w:r>
        <w:rPr>
          <w:lang w:val="en-US"/>
        </w:rPr>
        <w:t>d.本项目泡沫系统</w:t>
      </w:r>
      <w:r>
        <w:rPr>
          <w:rFonts w:hint="eastAsia"/>
          <w:lang w:val="en-US"/>
        </w:rPr>
        <w:t>当</w:t>
      </w:r>
      <w:r>
        <w:rPr>
          <w:lang w:val="en-US"/>
        </w:rPr>
        <w:t>工作泵故障时应能自动与手动切换到备用泵；</w:t>
      </w:r>
    </w:p>
    <w:p>
      <w:pPr>
        <w:pStyle w:val="6"/>
        <w:ind w:firstLine="560"/>
        <w:rPr>
          <w:lang w:val="en-US"/>
        </w:rPr>
      </w:pPr>
      <w:r>
        <w:rPr>
          <w:lang w:val="en-US"/>
        </w:rPr>
        <w:t>e.泡沫液泵应能耐受不低于10min的空载运转。</w:t>
      </w:r>
    </w:p>
    <w:p>
      <w:pPr>
        <w:pStyle w:val="6"/>
        <w:ind w:firstLine="560"/>
        <w:rPr>
          <w:lang w:val="en-US"/>
        </w:rPr>
      </w:pPr>
      <w:r>
        <w:rPr>
          <w:lang w:val="en-US"/>
        </w:rPr>
        <w:t>③平衡式比例混合装置，应符合下列规定：</w:t>
      </w:r>
    </w:p>
    <w:p>
      <w:pPr>
        <w:pStyle w:val="6"/>
        <w:ind w:firstLine="560"/>
        <w:rPr>
          <w:lang w:val="en-US"/>
        </w:rPr>
      </w:pPr>
      <w:r>
        <w:rPr>
          <w:lang w:val="en-US"/>
        </w:rPr>
        <w:t>a.平衡阀的泡沫液进口压力应大于水进口压力，且其压差应满足产品的使用要求；</w:t>
      </w:r>
    </w:p>
    <w:p>
      <w:pPr>
        <w:pStyle w:val="6"/>
        <w:ind w:firstLine="560"/>
        <w:rPr>
          <w:lang w:val="en-US"/>
        </w:rPr>
      </w:pPr>
      <w:r>
        <w:rPr>
          <w:lang w:val="en-US"/>
        </w:rPr>
        <w:t>b.比例混合器的泡沫液进口管道上应设单向阀；</w:t>
      </w:r>
    </w:p>
    <w:p>
      <w:pPr>
        <w:pStyle w:val="6"/>
        <w:ind w:firstLine="560"/>
        <w:rPr>
          <w:lang w:val="en-US"/>
        </w:rPr>
      </w:pPr>
      <w:r>
        <w:rPr>
          <w:lang w:val="en-US"/>
        </w:rPr>
        <w:t>c.泡沫液管道上应设冲洗及放空设施。</w:t>
      </w:r>
    </w:p>
    <w:p>
      <w:pPr>
        <w:pStyle w:val="6"/>
        <w:ind w:firstLine="560"/>
        <w:rPr>
          <w:lang w:val="en-US"/>
        </w:rPr>
      </w:pPr>
      <w:r>
        <w:rPr>
          <w:lang w:val="en-US"/>
        </w:rPr>
        <w:t>④泡沫液管道应采用奥氏体不锈钢管。</w:t>
      </w:r>
    </w:p>
    <w:p>
      <w:pPr>
        <w:pStyle w:val="6"/>
        <w:ind w:firstLine="560"/>
        <w:rPr>
          <w:lang w:val="en-US"/>
        </w:rPr>
      </w:pPr>
      <w:r>
        <w:rPr>
          <w:lang w:val="en-US"/>
        </w:rPr>
        <w:t>⑤</w:t>
      </w:r>
      <w:r>
        <w:rPr>
          <w:rFonts w:hint="eastAsia"/>
          <w:lang w:val="en-US"/>
        </w:rPr>
        <w:t>泡沫液</w:t>
      </w:r>
      <w:r>
        <w:rPr>
          <w:lang w:val="en-US"/>
        </w:rPr>
        <w:t>储罐应采用耐腐蚀材料制作，且与泡沫液直接接触的内壁或衬里不应对泡沫液的性能产生不利影响。</w:t>
      </w:r>
    </w:p>
    <w:p>
      <w:pPr>
        <w:pStyle w:val="6"/>
        <w:ind w:firstLine="560"/>
        <w:rPr>
          <w:lang w:val="en-US"/>
        </w:rPr>
      </w:pPr>
      <w:r>
        <w:rPr>
          <w:rFonts w:hint="eastAsia"/>
          <w:lang w:val="en-US"/>
        </w:rPr>
        <w:t>⑥</w:t>
      </w:r>
      <w:r>
        <w:rPr>
          <w:lang w:val="en-US"/>
        </w:rPr>
        <w:t>常压泡沫液储罐应符合下列规定：</w:t>
      </w:r>
    </w:p>
    <w:p>
      <w:pPr>
        <w:pStyle w:val="6"/>
        <w:ind w:firstLine="560"/>
        <w:rPr>
          <w:lang w:val="en-US"/>
        </w:rPr>
      </w:pPr>
      <w:r>
        <w:rPr>
          <w:lang w:val="en-US"/>
        </w:rPr>
        <w:t>a.储罐内应留有泡沫液热膨胀空间和泡沫液沉降损失部分所占空间；</w:t>
      </w:r>
    </w:p>
    <w:p>
      <w:pPr>
        <w:pStyle w:val="6"/>
        <w:ind w:firstLine="560"/>
        <w:rPr>
          <w:lang w:val="en-US"/>
        </w:rPr>
      </w:pPr>
      <w:r>
        <w:rPr>
          <w:lang w:val="en-US"/>
        </w:rPr>
        <w:t>b.储罐出液口的设置应保障泡沫液泵进口为正压，且出液口不应高于泡沫液储罐最低液面0.5m；</w:t>
      </w:r>
    </w:p>
    <w:p>
      <w:pPr>
        <w:pStyle w:val="6"/>
        <w:ind w:firstLine="560"/>
        <w:rPr>
          <w:lang w:val="en-US"/>
        </w:rPr>
      </w:pPr>
      <w:r>
        <w:rPr>
          <w:lang w:val="en-US"/>
        </w:rPr>
        <w:t>c.储罐泡沫液管道吸液口应朝下，并应设置在沉降层之上，且当采用蛋白类泡沫液时，吸液口距泡沫液储罐底面不应小于0.15m；</w:t>
      </w:r>
    </w:p>
    <w:p>
      <w:pPr>
        <w:pStyle w:val="6"/>
        <w:ind w:firstLine="560"/>
        <w:rPr>
          <w:lang w:val="en-US"/>
        </w:rPr>
      </w:pPr>
      <w:r>
        <w:rPr>
          <w:lang w:val="en-US"/>
        </w:rPr>
        <w:t>d.储罐宜设计成锥形或拱形顶，且上部应设呼吸阀或用弯管通向大气</w:t>
      </w:r>
      <w:r>
        <w:rPr>
          <w:rFonts w:hint="eastAsia"/>
          <w:lang w:val="en-US"/>
        </w:rPr>
        <w:t>；</w:t>
      </w:r>
    </w:p>
    <w:p>
      <w:pPr>
        <w:pStyle w:val="6"/>
        <w:ind w:firstLine="560"/>
        <w:rPr>
          <w:lang w:val="en-US"/>
        </w:rPr>
      </w:pPr>
      <w:r>
        <w:rPr>
          <w:lang w:val="en-US"/>
        </w:rPr>
        <w:t>e.储罐上应设出液口、液位计、进料孔、排渣孔、人孔、取样口。</w:t>
      </w:r>
    </w:p>
    <w:p>
      <w:pPr>
        <w:pStyle w:val="6"/>
        <w:ind w:firstLine="560"/>
        <w:rPr>
          <w:lang w:val="en-US"/>
        </w:rPr>
      </w:pPr>
      <w:r>
        <w:rPr>
          <w:lang w:val="en-US"/>
        </w:rPr>
        <w:t>⑦可行性研究阶段未对泡沫喷射系统、泡沫管道等泡沫灭火系统的设备、设施进行说明，在下一步进行安全设施设计阶段，应严格按照《泡沫灭火系统技术标准》（GB50151-2021）对本项目固定式泡沫灭火系统进行详细设计。</w:t>
      </w:r>
    </w:p>
    <w:p>
      <w:pPr>
        <w:pStyle w:val="6"/>
        <w:ind w:firstLine="560"/>
        <w:rPr>
          <w:lang w:val="en-US"/>
        </w:rPr>
      </w:pPr>
      <w:r>
        <w:rPr>
          <w:lang w:val="en-US"/>
        </w:rPr>
        <w:t>⑧新建G-106储罐的低倍数泡沫灭火系统，应采用钢制立式泡沫产生器，且其耐压等级应不低于1.6MPa；泡沫释放装置宜设置在罐壁顶部。</w:t>
      </w:r>
    </w:p>
    <w:p>
      <w:pPr>
        <w:pStyle w:val="6"/>
        <w:ind w:firstLine="560"/>
        <w:rPr>
          <w:lang w:val="en-US"/>
        </w:rPr>
      </w:pPr>
      <w:r>
        <w:rPr>
          <w:lang w:val="en-US"/>
        </w:rPr>
        <w:t>3）给排水</w:t>
      </w:r>
    </w:p>
    <w:p>
      <w:pPr>
        <w:pStyle w:val="6"/>
        <w:ind w:firstLine="560"/>
        <w:rPr>
          <w:color w:val="00B0F0"/>
          <w:lang w:val="en-US"/>
        </w:rPr>
      </w:pPr>
      <w:r>
        <w:rPr>
          <w:color w:val="auto"/>
          <w:lang w:val="en-US"/>
        </w:rPr>
        <w:t>①105#罐区的排水出口水封高度不得小于250mm</w:t>
      </w:r>
      <w:r>
        <w:rPr>
          <w:rFonts w:hint="eastAsia"/>
          <w:color w:val="auto"/>
          <w:lang w:val="en-US" w:eastAsia="zh-CN"/>
        </w:rPr>
        <w:t>。</w:t>
      </w:r>
    </w:p>
    <w:p>
      <w:pPr>
        <w:pStyle w:val="6"/>
        <w:ind w:firstLine="560"/>
        <w:rPr>
          <w:lang w:val="en-US"/>
        </w:rPr>
      </w:pPr>
      <w:r>
        <w:rPr>
          <w:lang w:val="en-US"/>
        </w:rPr>
        <w:t>②防火堤内排水设施的设置应符合下列规定：</w:t>
      </w:r>
    </w:p>
    <w:p>
      <w:pPr>
        <w:pStyle w:val="6"/>
        <w:ind w:firstLine="560"/>
        <w:rPr>
          <w:lang w:val="en-US"/>
        </w:rPr>
      </w:pPr>
      <w:r>
        <w:rPr>
          <w:lang w:val="en-US"/>
        </w:rPr>
        <w:t>防火堤内应设置集水设施，连接集水设施的雨水排放管道应从防火堤内设计地面以下通出堤外，并应采取安全可靠的截油排水措施；</w:t>
      </w:r>
    </w:p>
    <w:p>
      <w:pPr>
        <w:pStyle w:val="6"/>
        <w:ind w:firstLine="560"/>
        <w:rPr>
          <w:lang w:val="en-US"/>
        </w:rPr>
      </w:pPr>
      <w:r>
        <w:rPr>
          <w:lang w:val="en-US"/>
        </w:rPr>
        <w:t>4）防腐</w:t>
      </w:r>
    </w:p>
    <w:p>
      <w:pPr>
        <w:pStyle w:val="6"/>
        <w:ind w:firstLine="560"/>
        <w:rPr>
          <w:lang w:val="en-US"/>
        </w:rPr>
      </w:pPr>
      <w:r>
        <w:rPr>
          <w:lang w:val="en-US"/>
        </w:rPr>
        <w:t>①新建G-106储罐保护部位的防腐蚀涂料表面电阻率不应低于1×10</w:t>
      </w:r>
      <w:r>
        <w:rPr>
          <w:vertAlign w:val="superscript"/>
          <w:lang w:val="en-US"/>
        </w:rPr>
        <w:t>13</w:t>
      </w:r>
      <w:r>
        <w:rPr>
          <w:lang w:val="en-US"/>
        </w:rPr>
        <w:t>Ω。</w:t>
      </w:r>
    </w:p>
    <w:p>
      <w:pPr>
        <w:pStyle w:val="6"/>
        <w:ind w:firstLine="560"/>
        <w:rPr>
          <w:lang w:val="en-US"/>
        </w:rPr>
      </w:pPr>
      <w:r>
        <w:rPr>
          <w:lang w:val="en-US"/>
        </w:rPr>
        <w:t>②新建G-106储罐底板外表面防腐蚀方案应符合《钢质石油储罐防腐蚀工程技术标准》（GB/T 50393-2017）4.2.8规定。</w:t>
      </w:r>
    </w:p>
    <w:p>
      <w:pPr>
        <w:pStyle w:val="6"/>
        <w:ind w:firstLine="560"/>
        <w:rPr>
          <w:lang w:val="en-US"/>
        </w:rPr>
      </w:pPr>
      <w:r>
        <w:rPr>
          <w:lang w:val="en-US"/>
        </w:rPr>
        <w:t>③新建G-106储罐罐底板边缘宜进行防护，防护区域应包括以下部位：壁板底部向上150mm、边缘板罐外伸出部分、储罐基础上表面外露部分200mm或储罐基础上表面全部外露部分和储罐基础侧壁顶部100mm。</w:t>
      </w:r>
    </w:p>
    <w:p>
      <w:pPr>
        <w:pStyle w:val="6"/>
        <w:ind w:firstLine="560"/>
        <w:rPr>
          <w:lang w:val="en-US"/>
        </w:rPr>
      </w:pPr>
      <w:r>
        <w:rPr>
          <w:lang w:val="en-US"/>
        </w:rPr>
        <w:t>④新建G-106储罐内部牺牲阳极的设置应符合下列规定：</w:t>
      </w:r>
    </w:p>
    <w:p>
      <w:pPr>
        <w:pStyle w:val="6"/>
        <w:ind w:firstLine="560"/>
        <w:rPr>
          <w:lang w:val="en-US"/>
        </w:rPr>
      </w:pPr>
      <w:r>
        <w:rPr>
          <w:lang w:val="en-US"/>
        </w:rPr>
        <w:t>a.阳极应均匀设置；</w:t>
      </w:r>
    </w:p>
    <w:p>
      <w:pPr>
        <w:pStyle w:val="6"/>
        <w:ind w:firstLine="560"/>
        <w:rPr>
          <w:lang w:val="en-US"/>
        </w:rPr>
      </w:pPr>
      <w:r>
        <w:rPr>
          <w:lang w:val="en-US"/>
        </w:rPr>
        <w:t>b.阳极下表面与罐底板上表面的距离宜为50mm~100mm；</w:t>
      </w:r>
    </w:p>
    <w:p>
      <w:pPr>
        <w:pStyle w:val="6"/>
        <w:ind w:firstLine="560"/>
        <w:rPr>
          <w:lang w:val="en-US"/>
        </w:rPr>
      </w:pPr>
      <w:r>
        <w:rPr>
          <w:lang w:val="en-US"/>
        </w:rPr>
        <w:t>c.阳极与罐底板可采用焊接连接或螺栓连接，采用焊接连接时应避开罐底板焊缝区，焊接部位应在焊后采取防腐蚀措施；</w:t>
      </w:r>
    </w:p>
    <w:p>
      <w:pPr>
        <w:pStyle w:val="6"/>
        <w:ind w:firstLine="560"/>
        <w:rPr>
          <w:lang w:val="en-US"/>
        </w:rPr>
      </w:pPr>
      <w:r>
        <w:rPr>
          <w:lang w:val="en-US"/>
        </w:rPr>
        <w:t>d.在储罐周边及罐底排水口等腐蚀严重部位宜增加牺牲阳极数量。</w:t>
      </w:r>
    </w:p>
    <w:p>
      <w:pPr>
        <w:pStyle w:val="6"/>
        <w:ind w:firstLine="560"/>
        <w:rPr>
          <w:lang w:val="en-US"/>
        </w:rPr>
      </w:pPr>
      <w:r>
        <w:rPr>
          <w:rFonts w:hint="eastAsia"/>
          <w:lang w:val="en-US"/>
        </w:rPr>
        <w:t>⑤本项目涉及改造的工艺管道的防腐应满足</w:t>
      </w:r>
      <w:r>
        <w:rPr>
          <w:lang w:val="en-US"/>
        </w:rPr>
        <w:t>《石油化工设备和管道涂料防腐蚀技术</w:t>
      </w:r>
      <w:r>
        <w:rPr>
          <w:rFonts w:hint="eastAsia"/>
          <w:lang w:val="en-US"/>
        </w:rPr>
        <w:t>标准</w:t>
      </w:r>
      <w:r>
        <w:rPr>
          <w:lang w:val="en-US"/>
        </w:rPr>
        <w:t>》</w:t>
      </w:r>
      <w:r>
        <w:rPr>
          <w:rFonts w:hint="eastAsia"/>
          <w:lang w:val="en-US"/>
        </w:rPr>
        <w:t>（SH/T 3022-2019）的要求。</w:t>
      </w:r>
    </w:p>
    <w:p>
      <w:pPr>
        <w:pStyle w:val="6"/>
        <w:ind w:firstLine="560"/>
        <w:rPr>
          <w:lang w:val="en-US"/>
        </w:rPr>
      </w:pPr>
      <w:r>
        <w:rPr>
          <w:lang w:val="en-US"/>
        </w:rPr>
        <w:t>4）防雷、防静电</w:t>
      </w:r>
    </w:p>
    <w:p>
      <w:pPr>
        <w:pStyle w:val="6"/>
        <w:ind w:firstLine="560"/>
        <w:rPr>
          <w:lang w:val="en-US"/>
        </w:rPr>
      </w:pPr>
      <w:r>
        <w:rPr>
          <w:lang w:val="en-US"/>
        </w:rPr>
        <w:t>①新建G-106储罐温度、液位等测量装置应采用铠装电缆或钢管配线，电缆外皮或配线钢管与罐体应做电气连接。</w:t>
      </w:r>
    </w:p>
    <w:p>
      <w:pPr>
        <w:pStyle w:val="6"/>
        <w:ind w:firstLine="560"/>
        <w:rPr>
          <w:color w:val="auto"/>
          <w:lang w:val="en-US"/>
        </w:rPr>
      </w:pPr>
      <w:r>
        <w:rPr>
          <w:color w:val="auto"/>
          <w:lang w:val="en-US"/>
        </w:rPr>
        <w:t>②可行性研究阶段未对涉及改造的工艺管道的防雷、防静电措施进行详细介绍。在下一步进行安全设施设计阶段，应严格按照</w:t>
      </w:r>
      <w:r>
        <w:rPr>
          <w:color w:val="auto"/>
        </w:rPr>
        <w:t>《建筑物防雷设计规范》（GB50057-2010）</w:t>
      </w:r>
      <w:r>
        <w:rPr>
          <w:rFonts w:hint="eastAsia"/>
          <w:color w:val="auto"/>
        </w:rPr>
        <w:t>、</w:t>
      </w:r>
      <w:r>
        <w:rPr>
          <w:color w:val="auto"/>
        </w:rPr>
        <w:t>《石油化工静电接地设计规范》（SH/T3097-2017）</w:t>
      </w:r>
      <w:r>
        <w:rPr>
          <w:color w:val="auto"/>
          <w:lang w:val="en-US"/>
        </w:rPr>
        <w:t>对防雷防静电系统进行详细的设计。</w:t>
      </w:r>
    </w:p>
    <w:p>
      <w:pPr>
        <w:pStyle w:val="6"/>
        <w:ind w:firstLine="560"/>
        <w:rPr>
          <w:lang w:val="en-US"/>
        </w:rPr>
      </w:pPr>
      <w:r>
        <w:rPr>
          <w:lang w:val="en-US"/>
        </w:rPr>
        <w:t>5）自动控制和电信</w:t>
      </w:r>
    </w:p>
    <w:p>
      <w:pPr>
        <w:pStyle w:val="6"/>
        <w:ind w:firstLine="560"/>
        <w:rPr>
          <w:lang w:val="en-US"/>
        </w:rPr>
      </w:pPr>
      <w:r>
        <w:rPr>
          <w:lang w:val="en-US"/>
        </w:rPr>
        <w:t>①新建G-106储罐高液位报警的设定高度，不应高于储罐的设计储存高液位，低液位报警的设定高度，不应低于储罐的设计储存低液位。</w:t>
      </w:r>
    </w:p>
    <w:p>
      <w:pPr>
        <w:pStyle w:val="6"/>
        <w:ind w:firstLine="560"/>
        <w:rPr>
          <w:lang w:val="en-US"/>
        </w:rPr>
      </w:pPr>
      <w:r>
        <w:rPr>
          <w:lang w:val="en-US"/>
        </w:rPr>
        <w:t>②新建G-106储罐高高液位报警应联锁关闭储罐进口管道控制阀，高高液位报警的设定高度应满足《石油化工储运系统罐区设计规范》（SH/T3007-2014）5.4.3规定。</w:t>
      </w:r>
    </w:p>
    <w:p>
      <w:pPr>
        <w:pStyle w:val="6"/>
        <w:ind w:firstLine="560"/>
        <w:rPr>
          <w:lang w:val="en-US"/>
        </w:rPr>
      </w:pPr>
      <w:r>
        <w:rPr>
          <w:lang w:val="en-US"/>
        </w:rPr>
        <w:t>③新建G-106储罐高高、低低液位报警信号的液位测量仪表应采用单独的液位连续测量仪表或液位开关，报警信号应传送至自动控制系统。</w:t>
      </w:r>
    </w:p>
    <w:p>
      <w:pPr>
        <w:pStyle w:val="6"/>
        <w:ind w:firstLine="560"/>
        <w:rPr>
          <w:lang w:val="en-US"/>
        </w:rPr>
      </w:pPr>
      <w:r>
        <w:rPr>
          <w:lang w:val="en-US"/>
        </w:rPr>
        <w:t>④新建G-106储罐仪表的安装位置与罐的进出口接合管和罐内附件的水平距离不应少于1000mm。</w:t>
      </w:r>
    </w:p>
    <w:p>
      <w:pPr>
        <w:pStyle w:val="6"/>
        <w:ind w:firstLine="560"/>
        <w:rPr>
          <w:lang w:val="en-US"/>
        </w:rPr>
      </w:pPr>
      <w:r>
        <w:rPr>
          <w:lang w:val="en-US"/>
        </w:rPr>
        <w:t>⑤新建G-106储罐应设温度测量仪表。温度计宜安装在罐底以上700mm~1000mm处，罐内有加热器时，宜取上限。</w:t>
      </w:r>
    </w:p>
    <w:p>
      <w:pPr>
        <w:pStyle w:val="6"/>
        <w:ind w:firstLine="560"/>
        <w:rPr>
          <w:lang w:val="en-US"/>
        </w:rPr>
      </w:pPr>
      <w:r>
        <w:rPr>
          <w:lang w:val="en-US"/>
        </w:rPr>
        <w:t>⑥新建G-106储罐计量系统应能与DCS、PLC、SCADA及罐区生产管理系统TMES连网集成，共享数据。</w:t>
      </w:r>
    </w:p>
    <w:p>
      <w:pPr>
        <w:pStyle w:val="6"/>
        <w:ind w:firstLine="560"/>
        <w:rPr>
          <w:lang w:val="en-US"/>
        </w:rPr>
      </w:pPr>
      <w:r>
        <w:rPr>
          <w:lang w:val="en-US"/>
        </w:rPr>
        <w:t>6）</w:t>
      </w:r>
      <w:r>
        <w:rPr>
          <w:rFonts w:hint="eastAsia"/>
          <w:lang w:val="en-US"/>
        </w:rPr>
        <w:t>报警系统</w:t>
      </w:r>
    </w:p>
    <w:p>
      <w:pPr>
        <w:pStyle w:val="6"/>
        <w:ind w:firstLine="560"/>
        <w:rPr>
          <w:lang w:val="en-US"/>
        </w:rPr>
      </w:pPr>
      <w:r>
        <w:rPr>
          <w:lang w:val="en-US"/>
        </w:rPr>
        <w:t>①可燃气体探测器的安装高度宜距地坪0.3m~0.6m。</w:t>
      </w:r>
    </w:p>
    <w:p>
      <w:pPr>
        <w:pStyle w:val="6"/>
        <w:ind w:firstLine="560"/>
        <w:rPr>
          <w:lang w:val="en-US"/>
        </w:rPr>
      </w:pPr>
      <w:r>
        <w:rPr>
          <w:lang w:val="en-US"/>
        </w:rPr>
        <w:t>②可燃气体检测报警应采用两级报警，一级报警设定值应小于或等于25%LEL，二级报警设定值应小于或等于50%LEL。</w:t>
      </w:r>
    </w:p>
    <w:p>
      <w:pPr>
        <w:pStyle w:val="6"/>
        <w:ind w:firstLine="560"/>
        <w:rPr>
          <w:color w:val="auto"/>
          <w:lang w:val="en-US"/>
        </w:rPr>
      </w:pPr>
      <w:r>
        <w:rPr>
          <w:rFonts w:hint="eastAsia"/>
          <w:color w:val="auto"/>
          <w:lang w:val="en-US"/>
        </w:rPr>
        <w:t>③可燃气体二级报警信号、可燃气体检测报警系统报警控制单元的故障信号应送至消防控制室。</w:t>
      </w:r>
    </w:p>
    <w:p>
      <w:pPr>
        <w:pStyle w:val="6"/>
        <w:ind w:firstLine="560"/>
        <w:rPr>
          <w:lang w:val="en-US"/>
        </w:rPr>
      </w:pPr>
      <w:r>
        <w:rPr>
          <w:lang w:val="en-US"/>
        </w:rPr>
        <w:t>7）安全标志</w:t>
      </w:r>
    </w:p>
    <w:p>
      <w:pPr>
        <w:pStyle w:val="6"/>
        <w:ind w:firstLine="560"/>
        <w:rPr>
          <w:rFonts w:hint="eastAsia" w:eastAsia="宋体"/>
          <w:lang w:val="en-US" w:eastAsia="zh-CN"/>
        </w:rPr>
      </w:pPr>
      <w:r>
        <w:rPr>
          <w:lang w:val="en-US"/>
        </w:rPr>
        <w:t>①105#罐区应设置永久性</w:t>
      </w:r>
      <w:r>
        <w:rPr>
          <w:rFonts w:hint="eastAsia"/>
          <w:lang w:val="en-US"/>
        </w:rPr>
        <w:t>“</w:t>
      </w:r>
      <w:r>
        <w:rPr>
          <w:lang w:val="en-US"/>
        </w:rPr>
        <w:t>严禁烟火</w:t>
      </w:r>
      <w:r>
        <w:rPr>
          <w:rFonts w:hint="eastAsia"/>
          <w:lang w:val="en-US"/>
        </w:rPr>
        <w:t>”</w:t>
      </w:r>
      <w:r>
        <w:rPr>
          <w:lang w:val="en-US"/>
        </w:rPr>
        <w:t>标志</w:t>
      </w:r>
      <w:r>
        <w:rPr>
          <w:rFonts w:hint="eastAsia"/>
          <w:lang w:val="en-US" w:eastAsia="zh-CN"/>
        </w:rPr>
        <w:t>。</w:t>
      </w:r>
    </w:p>
    <w:p>
      <w:pPr>
        <w:pStyle w:val="6"/>
        <w:ind w:firstLine="560"/>
        <w:rPr>
          <w:lang w:val="en-US"/>
        </w:rPr>
      </w:pPr>
      <w:r>
        <w:rPr>
          <w:lang w:val="en-US"/>
        </w:rPr>
        <w:t>②新建G-106储罐应设置危险化学品安全周知卡，并实行塑封上墙（罐）管理。</w:t>
      </w:r>
    </w:p>
    <w:p>
      <w:pPr>
        <w:pStyle w:val="6"/>
        <w:ind w:firstLine="560"/>
        <w:rPr>
          <w:lang w:val="en-US"/>
        </w:rPr>
      </w:pPr>
      <w:r>
        <w:rPr>
          <w:lang w:val="en-US"/>
        </w:rPr>
        <w:t>（4）其他对策措施</w:t>
      </w:r>
    </w:p>
    <w:p>
      <w:pPr>
        <w:pStyle w:val="6"/>
        <w:ind w:firstLine="560"/>
        <w:rPr>
          <w:lang w:val="en-US"/>
        </w:rPr>
      </w:pPr>
      <w:r>
        <w:rPr>
          <w:lang w:val="en-US"/>
        </w:rPr>
        <w:t>1）应严格落实《国家安全监管总局关于进一步加强化学品罐区安全管理的通知》(安监总管三[2014]68号)中要求的各项措施。</w:t>
      </w:r>
    </w:p>
    <w:p>
      <w:pPr>
        <w:pStyle w:val="6"/>
        <w:ind w:firstLine="560"/>
        <w:rPr>
          <w:lang w:val="en-US"/>
        </w:rPr>
      </w:pPr>
      <w:r>
        <w:rPr>
          <w:rFonts w:hint="eastAsia"/>
          <w:lang w:val="en-US"/>
        </w:rPr>
        <w:t>2</w:t>
      </w:r>
      <w:r>
        <w:rPr>
          <w:lang w:val="en-US"/>
        </w:rPr>
        <w:t>）建设项目的安全设施必须与主体工程同时设计、同时施工、同时投入生产和使用；已核准（备案）的项目，必须在通过安全审批后方可开工建设，未经验收合格不得投入生产和使用。</w:t>
      </w:r>
    </w:p>
    <w:p>
      <w:pPr>
        <w:pStyle w:val="6"/>
        <w:ind w:firstLine="560"/>
        <w:rPr>
          <w:lang w:val="en-US"/>
        </w:rPr>
      </w:pPr>
      <w:r>
        <w:rPr>
          <w:rFonts w:hint="eastAsia"/>
          <w:lang w:val="en-US"/>
        </w:rPr>
        <w:t>3</w:t>
      </w:r>
      <w:r>
        <w:rPr>
          <w:lang w:val="en-US"/>
        </w:rPr>
        <w:t>）选择具备相应资质的设计、施工、监理单位。由于该项目涉及重点监管危险化学品，应当由具有石油化工医药行业甲级资质的设计单位设计。建设项目安全设施设计专篇必须由该项目的施工图设计单位或施工图总体设计单位编制。</w:t>
      </w:r>
    </w:p>
    <w:p>
      <w:pPr>
        <w:pStyle w:val="6"/>
        <w:ind w:firstLine="560"/>
        <w:rPr>
          <w:lang w:val="en-US"/>
        </w:rPr>
      </w:pPr>
      <w:r>
        <w:rPr>
          <w:rFonts w:hint="eastAsia"/>
          <w:lang w:val="en-US"/>
        </w:rPr>
        <w:t>4</w:t>
      </w:r>
      <w:r>
        <w:rPr>
          <w:lang w:val="en-US"/>
        </w:rPr>
        <w:t>）企业及设计单位在安全设施设计阶段及施工、运行阶段应按照《国家安全监管总局 住房城乡建设部关于进一步加强危险化学品建设项目安全设计管理的通知》</w:t>
      </w:r>
      <w:r>
        <w:rPr>
          <w:rFonts w:hint="eastAsia"/>
          <w:lang w:val="en-US"/>
        </w:rPr>
        <w:t>（</w:t>
      </w:r>
      <w:r>
        <w:rPr>
          <w:lang w:val="en-US"/>
        </w:rPr>
        <w:t>安监总管三[2013]76号</w:t>
      </w:r>
      <w:r>
        <w:rPr>
          <w:rFonts w:hint="eastAsia"/>
          <w:lang w:val="en-US"/>
        </w:rPr>
        <w:t>）</w:t>
      </w:r>
      <w:r>
        <w:rPr>
          <w:lang w:val="en-US"/>
        </w:rPr>
        <w:t>、《国家安全监管总局关于加强化工过程安全管理的指导意见》（安监总管三[2013]88号）的要求完善相关措施，加强管理。</w:t>
      </w:r>
    </w:p>
    <w:p>
      <w:pPr>
        <w:pStyle w:val="6"/>
        <w:ind w:firstLine="560"/>
        <w:rPr>
          <w:lang w:val="en-US"/>
        </w:rPr>
      </w:pPr>
      <w:r>
        <w:rPr>
          <w:rFonts w:hint="eastAsia"/>
          <w:lang w:val="en-US"/>
        </w:rPr>
        <w:t>5</w:t>
      </w:r>
      <w:r>
        <w:rPr>
          <w:lang w:val="en-US"/>
        </w:rPr>
        <w:t>）本</w:t>
      </w:r>
      <w:r>
        <w:rPr>
          <w:rFonts w:hint="eastAsia"/>
          <w:lang w:val="en-US"/>
        </w:rPr>
        <w:t>项目</w:t>
      </w:r>
      <w:r>
        <w:rPr>
          <w:lang w:val="en-US"/>
        </w:rPr>
        <w:t>不新增劳动定员，均由原有的</w:t>
      </w:r>
      <w:r>
        <w:rPr>
          <w:rFonts w:hint="eastAsia"/>
          <w:lang w:val="en-US"/>
        </w:rPr>
        <w:t>储运一部</w:t>
      </w:r>
      <w:r>
        <w:rPr>
          <w:lang w:val="en-US"/>
        </w:rPr>
        <w:t>的定员进行调配。项目实施后应对原有操作人员进行新控制系统等设施的专项安全培训教育，并经</w:t>
      </w:r>
      <w:r>
        <w:rPr>
          <w:rFonts w:hint="eastAsia"/>
          <w:lang w:val="en-US"/>
        </w:rPr>
        <w:t>考核</w:t>
      </w:r>
      <w:r>
        <w:rPr>
          <w:lang w:val="en-US"/>
        </w:rPr>
        <w:t>合格上岗。</w:t>
      </w:r>
    </w:p>
    <w:p>
      <w:pPr>
        <w:pStyle w:val="6"/>
        <w:ind w:firstLine="560"/>
        <w:rPr>
          <w:lang w:val="en-US"/>
        </w:rPr>
      </w:pPr>
      <w:r>
        <w:rPr>
          <w:rFonts w:hint="eastAsia"/>
          <w:lang w:val="en-US"/>
        </w:rPr>
        <w:t>6</w:t>
      </w:r>
      <w:r>
        <w:rPr>
          <w:lang w:val="en-US"/>
        </w:rPr>
        <w:t>）改造涉及的压力管道在投入使用前或者投入使用后30日内，特种设备使用单位应当向特种设备安全监督管理部门登记。登记标志应当置于或者附着于该特种设备的显著位置。</w:t>
      </w:r>
    </w:p>
    <w:p>
      <w:pPr>
        <w:pStyle w:val="6"/>
        <w:tabs>
          <w:tab w:val="left" w:pos="210"/>
        </w:tabs>
        <w:ind w:firstLine="560"/>
        <w:rPr>
          <w:lang w:val="en-US"/>
        </w:rPr>
      </w:pPr>
      <w:r>
        <w:rPr>
          <w:rFonts w:hint="eastAsia"/>
          <w:lang w:val="en-US"/>
        </w:rPr>
        <w:t>7</w:t>
      </w:r>
      <w:r>
        <w:rPr>
          <w:lang w:val="en-US"/>
        </w:rPr>
        <w:t>）企业应按照《个体防护装备配备规范 第2部分：石油、化工、天然气》（GB 39800.2-2020）、《山东省劳动防护用品配备标准》(DB37/1922-2011)等法律、法规、标准规范的要求，为从业人员配备劳动防护用品，并监督职工的穿戴、使用。</w:t>
      </w:r>
    </w:p>
    <w:p>
      <w:pPr>
        <w:pStyle w:val="6"/>
        <w:ind w:firstLine="560"/>
        <w:rPr>
          <w:lang w:val="en-US"/>
        </w:rPr>
      </w:pPr>
      <w:r>
        <w:rPr>
          <w:rFonts w:hint="eastAsia"/>
          <w:lang w:val="en-US"/>
        </w:rPr>
        <w:t>8</w:t>
      </w:r>
      <w:r>
        <w:rPr>
          <w:lang w:val="en-US"/>
        </w:rPr>
        <w:t>）本项目实施后，应根据本项目的实际情况对原有操作规程、应急预案进行评审</w:t>
      </w:r>
      <w:r>
        <w:rPr>
          <w:rFonts w:hint="eastAsia"/>
          <w:lang w:val="en-US"/>
        </w:rPr>
        <w:t>、评估</w:t>
      </w:r>
      <w:r>
        <w:rPr>
          <w:lang w:val="en-US"/>
        </w:rPr>
        <w:t>，并根据评审</w:t>
      </w:r>
      <w:r>
        <w:rPr>
          <w:rFonts w:hint="eastAsia"/>
        </w:rPr>
        <w:t>、</w:t>
      </w:r>
      <w:r>
        <w:rPr>
          <w:rFonts w:hint="eastAsia"/>
          <w:lang w:val="en-US"/>
        </w:rPr>
        <w:t>评估</w:t>
      </w:r>
      <w:r>
        <w:rPr>
          <w:lang w:val="en-US"/>
        </w:rPr>
        <w:t>结果决定是否需要修订。</w:t>
      </w:r>
    </w:p>
    <w:p>
      <w:pPr>
        <w:pStyle w:val="6"/>
        <w:ind w:firstLine="560"/>
        <w:rPr>
          <w:lang w:val="en-US"/>
        </w:rPr>
      </w:pPr>
      <w:r>
        <w:rPr>
          <w:rFonts w:hint="eastAsia"/>
          <w:lang w:val="en-US"/>
        </w:rPr>
        <w:t>9</w:t>
      </w:r>
      <w:r>
        <w:rPr>
          <w:lang w:val="en-US"/>
        </w:rPr>
        <w:t>）要将事故应急救援预案中防范事故污染环境的措施、事故发生后防止污染事件的围堰及防火堤等设施、事故状态下</w:t>
      </w:r>
      <w:r>
        <w:rPr>
          <w:rFonts w:hint="eastAsia"/>
          <w:lang w:val="en-US"/>
        </w:rPr>
        <w:t>“</w:t>
      </w:r>
      <w:r>
        <w:rPr>
          <w:lang w:val="en-US"/>
        </w:rPr>
        <w:t>清净下水</w:t>
      </w:r>
      <w:r>
        <w:rPr>
          <w:rFonts w:hint="eastAsia"/>
          <w:lang w:val="en-US"/>
        </w:rPr>
        <w:t>”</w:t>
      </w:r>
      <w:r>
        <w:rPr>
          <w:lang w:val="en-US"/>
        </w:rPr>
        <w:t>收集及处置措施和设施的安全性能等事项列为重要内容。</w:t>
      </w:r>
    </w:p>
    <w:p>
      <w:pPr>
        <w:pStyle w:val="6"/>
        <w:ind w:firstLine="560"/>
        <w:rPr>
          <w:lang w:val="en-US"/>
        </w:rPr>
      </w:pPr>
      <w:r>
        <w:rPr>
          <w:lang w:val="en-US"/>
        </w:rPr>
        <w:t>1</w:t>
      </w:r>
      <w:r>
        <w:rPr>
          <w:rFonts w:hint="eastAsia"/>
          <w:lang w:val="en-US"/>
        </w:rPr>
        <w:t>0</w:t>
      </w:r>
      <w:r>
        <w:rPr>
          <w:lang w:val="en-US"/>
        </w:rPr>
        <w:t>）防雷、防静电设施在投产前应经有关部门检测验收。</w:t>
      </w:r>
    </w:p>
    <w:p>
      <w:pPr>
        <w:pStyle w:val="6"/>
        <w:ind w:firstLine="560"/>
        <w:rPr>
          <w:lang w:val="en-US"/>
        </w:rPr>
      </w:pPr>
      <w:r>
        <w:rPr>
          <w:rFonts w:hint="eastAsia"/>
          <w:lang w:val="en-US"/>
        </w:rPr>
        <w:t>11）石油化工总厂应制定该项目施工期间的生产调度计划，做好协调、调度工作，确保本项目改造过程中，与改造相关的原油储运设施的正常运行。</w:t>
      </w:r>
    </w:p>
    <w:p>
      <w:pPr>
        <w:pStyle w:val="6"/>
        <w:ind w:firstLine="560"/>
        <w:rPr>
          <w:lang w:val="en-US"/>
        </w:rPr>
      </w:pPr>
      <w:r>
        <w:rPr>
          <w:rFonts w:hint="eastAsia"/>
          <w:lang w:val="en-US"/>
        </w:rPr>
        <w:t>12）该项目实施过程中，应按《建设工程消防设计审查验收管理暂行规定》（中华人民共和国住房和城乡建设部令第51号）要求进行消防设计、消防验收备案。</w:t>
      </w:r>
    </w:p>
    <w:p>
      <w:pPr>
        <w:pStyle w:val="6"/>
        <w:ind w:firstLine="560"/>
        <w:rPr>
          <w:lang w:val="en-US"/>
        </w:rPr>
      </w:pPr>
      <w:r>
        <w:rPr>
          <w:rFonts w:hint="eastAsia"/>
          <w:lang w:val="en-US"/>
        </w:rPr>
        <w:t>13）该项目设置的固定式消防设施要设专人管理，并制定操作规程和管理制度，经常检查、定期校验消防器材和设施，使之处于完好状态。</w:t>
      </w:r>
    </w:p>
    <w:p>
      <w:pPr>
        <w:pStyle w:val="6"/>
        <w:ind w:firstLine="560"/>
        <w:rPr>
          <w:lang w:val="en-US"/>
        </w:rPr>
      </w:pPr>
      <w:r>
        <w:rPr>
          <w:lang w:val="en-US"/>
        </w:rPr>
        <w:t>1</w:t>
      </w:r>
      <w:r>
        <w:rPr>
          <w:rFonts w:hint="eastAsia"/>
          <w:lang w:val="en-US"/>
        </w:rPr>
        <w:t>4</w:t>
      </w:r>
      <w:r>
        <w:rPr>
          <w:lang w:val="en-US"/>
        </w:rPr>
        <w:t>）重大危险源监控及管理建议</w:t>
      </w:r>
    </w:p>
    <w:p>
      <w:pPr>
        <w:pStyle w:val="6"/>
        <w:ind w:firstLine="560"/>
        <w:rPr>
          <w:lang w:val="en-US"/>
        </w:rPr>
      </w:pPr>
      <w:r>
        <w:rPr>
          <w:lang w:val="en-US"/>
        </w:rPr>
        <w:t>本项目应根据《危险化学品重大危险源监督管理暂行规定》(安监总局令第40号，79号令修</w:t>
      </w:r>
      <w:r>
        <w:rPr>
          <w:rFonts w:hint="eastAsia"/>
          <w:lang w:val="en-US" w:eastAsia="zh-CN"/>
        </w:rPr>
        <w:t>正</w:t>
      </w:r>
      <w:r>
        <w:rPr>
          <w:lang w:val="en-US"/>
        </w:rPr>
        <w:t>)、《危险化学品重大危险源罐区现场安全监控装备设置规范》(AQ3036-2010)、《危险化学品重大危险源安全监控通用技术规范》(AQ3035-2010)及《危险化学品企业重大危险源安全包保责任制办法》的要求落实各项安全技术措施和安全管理措施。</w:t>
      </w:r>
    </w:p>
    <w:p>
      <w:pPr>
        <w:pStyle w:val="3"/>
        <w:spacing w:before="159" w:after="159"/>
      </w:pPr>
      <w:bookmarkStart w:id="94" w:name="_Toc7533"/>
      <w:r>
        <w:t>结论</w:t>
      </w:r>
      <w:bookmarkEnd w:id="94"/>
    </w:p>
    <w:p>
      <w:pPr>
        <w:pStyle w:val="4"/>
        <w:spacing w:before="63" w:after="63"/>
      </w:pPr>
      <w:r>
        <w:t>7.</w:t>
      </w:r>
      <w:r>
        <w:rPr>
          <w:rFonts w:hint="eastAsia"/>
        </w:rPr>
        <w:t>2</w:t>
      </w:r>
      <w:r>
        <w:t xml:space="preserve">.1 </w:t>
      </w:r>
      <w:r>
        <w:rPr>
          <w:rFonts w:hint="eastAsia"/>
        </w:rPr>
        <w:t>评价结果</w:t>
      </w:r>
    </w:p>
    <w:p>
      <w:pPr>
        <w:pStyle w:val="6"/>
        <w:ind w:firstLine="560"/>
        <w:rPr>
          <w:lang w:val="en-US"/>
        </w:rPr>
      </w:pPr>
      <w:r>
        <w:rPr>
          <w:rFonts w:hint="eastAsia"/>
          <w:lang w:val="en-US"/>
        </w:rPr>
        <w:t>（1）本项目生产过程中涉及的主要危险有害物质为原油、氮气（压缩）。</w:t>
      </w:r>
    </w:p>
    <w:p>
      <w:pPr>
        <w:pStyle w:val="6"/>
        <w:ind w:firstLine="560"/>
        <w:rPr>
          <w:lang w:val="en-US"/>
        </w:rPr>
      </w:pPr>
      <w:r>
        <w:rPr>
          <w:rFonts w:hint="eastAsia"/>
          <w:lang w:val="en-US"/>
        </w:rPr>
        <w:t>（2）本项目生产过程中主要的危险有害因素为火灾、爆炸、中毒和窒息，其他的危险有害因素有：触电、灼烫、高处坠落、物体打击、机械伤害、物理爆炸、噪声。</w:t>
      </w:r>
    </w:p>
    <w:p>
      <w:pPr>
        <w:pStyle w:val="6"/>
        <w:ind w:firstLine="560"/>
        <w:rPr>
          <w:lang w:val="en-US"/>
        </w:rPr>
      </w:pPr>
      <w:r>
        <w:rPr>
          <w:rFonts w:hint="eastAsia"/>
          <w:lang w:val="en-US"/>
        </w:rPr>
        <w:t>（3）本项目存在的主要环境危险因素有</w:t>
      </w:r>
      <w:r>
        <w:t>地震、雷击、暴雨、大风、高</w:t>
      </w:r>
      <w:r>
        <w:rPr>
          <w:lang w:val="en-US"/>
        </w:rPr>
        <w:t>温</w:t>
      </w:r>
      <w:r>
        <w:t>、</w:t>
      </w:r>
      <w:r>
        <w:rPr>
          <w:lang w:val="en-US"/>
        </w:rPr>
        <w:t>低温、静电、潮湿、腐蚀</w:t>
      </w:r>
      <w:r>
        <w:t>等不良气象条件和地质灾害</w:t>
      </w:r>
      <w:r>
        <w:rPr>
          <w:rFonts w:hint="eastAsia"/>
          <w:lang w:val="en-US"/>
        </w:rPr>
        <w:t>，均可通过一定的技术、管理措施得到有效控制；与周边环境设施之间的影响较小，但不排除特殊情况下，可能发生的第三方破坏。</w:t>
      </w:r>
    </w:p>
    <w:p>
      <w:pPr>
        <w:pStyle w:val="6"/>
        <w:ind w:firstLine="560"/>
        <w:rPr>
          <w:lang w:val="en-US"/>
        </w:rPr>
      </w:pPr>
      <w:r>
        <w:rPr>
          <w:rFonts w:hint="eastAsia"/>
          <w:lang w:val="en-US"/>
        </w:rPr>
        <w:t>（4）根据《危险化学品重大危险源辨识》（GB18218-2018），本次评估将105#罐区作为1个储存单元进行辨识，构成三级危险化学品重大危险源。</w:t>
      </w:r>
    </w:p>
    <w:p>
      <w:pPr>
        <w:pStyle w:val="6"/>
        <w:ind w:firstLine="560"/>
        <w:rPr>
          <w:lang w:val="en-US"/>
        </w:rPr>
      </w:pPr>
      <w:r>
        <w:rPr>
          <w:rFonts w:hint="eastAsia"/>
          <w:lang w:val="en-US"/>
        </w:rPr>
        <w:t>（5）根据危险度评价法，</w:t>
      </w:r>
      <w:r>
        <w:t>原油</w:t>
      </w:r>
      <w:r>
        <w:rPr>
          <w:rFonts w:hint="eastAsia"/>
          <w:lang w:val="en-US" w:eastAsia="zh-CN"/>
        </w:rPr>
        <w:t>罐区</w:t>
      </w:r>
      <w:r>
        <w:t>分输分储改造工程项目危险度评价分级如下：30000m³原油储罐单元危险度为</w:t>
      </w:r>
      <w:r>
        <w:rPr>
          <w:rFonts w:hint="eastAsia" w:ascii="宋体" w:hAnsi="宋体" w:cs="宋体"/>
        </w:rPr>
        <w:t>Ⅰ</w:t>
      </w:r>
      <w:r>
        <w:t>级，属高度危险</w:t>
      </w:r>
      <w:r>
        <w:rPr>
          <w:rFonts w:hint="eastAsia"/>
          <w:lang w:val="en-US"/>
        </w:rPr>
        <w:t>。</w:t>
      </w:r>
    </w:p>
    <w:p>
      <w:pPr>
        <w:pStyle w:val="6"/>
        <w:ind w:firstLine="560"/>
        <w:rPr>
          <w:rFonts w:hint="eastAsia"/>
          <w:color w:val="0000FF"/>
          <w:lang w:val="en-US"/>
        </w:rPr>
      </w:pPr>
      <w:r>
        <w:rPr>
          <w:rFonts w:hint="eastAsia"/>
          <w:lang w:val="en-US"/>
        </w:rPr>
        <w:t>（6）采用QRA重大危险源区域定量风险评价与管理软件对该项目新建G-106原油储罐阀门、管道等设备设施泄漏事故后果进行了模拟计算，各种事故后果具体影响范围详见</w:t>
      </w:r>
      <w:r>
        <w:t>表</w:t>
      </w:r>
      <w:r>
        <w:rPr>
          <w:rFonts w:hint="eastAsia"/>
          <w:lang w:val="en-US"/>
        </w:rPr>
        <w:t>5.2</w:t>
      </w:r>
      <w:r>
        <w:t>-2。</w:t>
      </w:r>
      <w:r>
        <w:rPr>
          <w:rFonts w:hint="eastAsia"/>
          <w:lang w:val="en-US"/>
        </w:rPr>
        <w:t>当容器整体破裂、管道大孔泄、管道完全破裂，发生池火灾时，死亡半径为68m，重伤半径为77m，轻伤半径为100m。</w:t>
      </w:r>
      <w:r>
        <w:rPr>
          <w:rFonts w:hint="eastAsia"/>
          <w:color w:val="auto"/>
          <w:lang w:val="en-US"/>
        </w:rPr>
        <w:t>不涉及多米诺效应。</w:t>
      </w:r>
    </w:p>
    <w:p>
      <w:pPr>
        <w:pStyle w:val="6"/>
        <w:ind w:firstLine="560"/>
        <w:rPr>
          <w:rFonts w:hint="eastAsia"/>
          <w:color w:val="auto"/>
        </w:rPr>
      </w:pPr>
      <w:r>
        <w:rPr>
          <w:rFonts w:hint="eastAsia"/>
          <w:color w:val="auto"/>
          <w:lang w:val="en-US" w:eastAsia="zh-CN"/>
        </w:rPr>
        <w:t>（7）该项目新建</w:t>
      </w:r>
      <w:r>
        <w:rPr>
          <w:rFonts w:hint="eastAsia"/>
          <w:color w:val="auto"/>
        </w:rPr>
        <w:t>G-106原油储罐个人风险满足《危险化学品生产装置和储存设施风险基准》（GB36894-2018）要求。</w:t>
      </w:r>
    </w:p>
    <w:p>
      <w:pPr>
        <w:pStyle w:val="6"/>
        <w:ind w:firstLine="560"/>
        <w:rPr>
          <w:rFonts w:hint="eastAsia" w:eastAsia="宋体"/>
          <w:color w:val="auto"/>
          <w:lang w:val="en-US" w:eastAsia="zh-CN"/>
        </w:rPr>
      </w:pPr>
      <w:r>
        <w:rPr>
          <w:rFonts w:hint="eastAsia"/>
          <w:color w:val="auto"/>
          <w:lang w:eastAsia="zh-CN"/>
        </w:rPr>
        <w:t>（</w:t>
      </w:r>
      <w:r>
        <w:rPr>
          <w:rFonts w:hint="eastAsia"/>
          <w:color w:val="auto"/>
          <w:lang w:val="en-US" w:eastAsia="zh-CN"/>
        </w:rPr>
        <w:t>8</w:t>
      </w:r>
      <w:r>
        <w:rPr>
          <w:rFonts w:hint="eastAsia"/>
          <w:color w:val="auto"/>
          <w:lang w:eastAsia="zh-CN"/>
        </w:rPr>
        <w:t>）企业外部安全防护距离3×10</w:t>
      </w:r>
      <w:r>
        <w:rPr>
          <w:rFonts w:hint="eastAsia"/>
          <w:color w:val="auto"/>
          <w:vertAlign w:val="superscript"/>
          <w:lang w:eastAsia="zh-CN"/>
        </w:rPr>
        <w:t>-7</w:t>
      </w:r>
      <w:r>
        <w:rPr>
          <w:rFonts w:hint="eastAsia"/>
          <w:color w:val="auto"/>
          <w:lang w:eastAsia="zh-CN"/>
        </w:rPr>
        <w:t>个人风险等值线范围内不存在高敏感防护目标、重要防护目标、一般防护目标中的一类防护目标；3×10</w:t>
      </w:r>
      <w:r>
        <w:rPr>
          <w:rFonts w:hint="eastAsia"/>
          <w:color w:val="auto"/>
          <w:vertAlign w:val="superscript"/>
          <w:lang w:eastAsia="zh-CN"/>
        </w:rPr>
        <w:t>-6</w:t>
      </w:r>
      <w:r>
        <w:rPr>
          <w:rFonts w:hint="eastAsia"/>
          <w:color w:val="auto"/>
          <w:lang w:eastAsia="zh-CN"/>
        </w:rPr>
        <w:t>个人风险等值线范围内不存在一般防护目标中的二类防护目标；1×10</w:t>
      </w:r>
      <w:r>
        <w:rPr>
          <w:rFonts w:hint="eastAsia"/>
          <w:color w:val="auto"/>
          <w:vertAlign w:val="superscript"/>
          <w:lang w:eastAsia="zh-CN"/>
        </w:rPr>
        <w:t>-5</w:t>
      </w:r>
      <w:r>
        <w:rPr>
          <w:rFonts w:hint="eastAsia"/>
          <w:color w:val="auto"/>
          <w:lang w:eastAsia="zh-CN"/>
        </w:rPr>
        <w:t>等值线区域不存在一般防护目标中的三类防护目标。目前原油罐区分输分储改造工程项目新建G-106原油储罐外部安全防护距离满足《危险化学品生产装置和储存设施风险基准》（GB36894-2018）相关要求。</w:t>
      </w:r>
    </w:p>
    <w:p>
      <w:pPr>
        <w:pStyle w:val="4"/>
        <w:spacing w:before="63" w:after="63"/>
      </w:pPr>
      <w:r>
        <w:t>7.</w:t>
      </w:r>
      <w:r>
        <w:rPr>
          <w:rFonts w:hint="eastAsia"/>
        </w:rPr>
        <w:t>2</w:t>
      </w:r>
      <w:r>
        <w:t>.</w:t>
      </w:r>
      <w:r>
        <w:rPr>
          <w:rFonts w:hint="eastAsia"/>
        </w:rPr>
        <w:t>2</w:t>
      </w:r>
      <w:r>
        <w:t xml:space="preserve"> </w:t>
      </w:r>
      <w:r>
        <w:rPr>
          <w:rFonts w:hint="eastAsia"/>
        </w:rPr>
        <w:t>评价结论</w:t>
      </w:r>
    </w:p>
    <w:p>
      <w:pPr>
        <w:pStyle w:val="6"/>
        <w:ind w:firstLine="560"/>
        <w:rPr>
          <w:lang w:val="en-US"/>
        </w:rPr>
      </w:pPr>
      <w:r>
        <w:rPr>
          <w:lang w:val="en-US"/>
        </w:rPr>
        <w:t>（1）中国石化股份有限公司胜利油田分公司石油化工总厂原油</w:t>
      </w:r>
      <w:r>
        <w:rPr>
          <w:rFonts w:hint="eastAsia"/>
          <w:lang w:val="en-US" w:eastAsia="zh-CN"/>
        </w:rPr>
        <w:t>罐区</w:t>
      </w:r>
      <w:r>
        <w:rPr>
          <w:lang w:val="en-US"/>
        </w:rPr>
        <w:t>分输分储改造工程项目拟在105#罐区预留位置进行建设，项目厂区位于东营市东营区郝纯路，</w:t>
      </w:r>
      <w:r>
        <w:rPr>
          <w:rFonts w:hint="eastAsia"/>
          <w:lang w:val="en-US"/>
        </w:rPr>
        <w:t>属于</w:t>
      </w:r>
      <w:r>
        <w:t>东营区化工产业园区内</w:t>
      </w:r>
      <w:r>
        <w:rPr>
          <w:rFonts w:hint="eastAsia"/>
        </w:rPr>
        <w:t>，</w:t>
      </w:r>
      <w:r>
        <w:rPr>
          <w:lang w:val="en-US"/>
        </w:rPr>
        <w:t>周边与《危险化学品安全管理条例》第十九条规定的八类场所、设施、区域的防火间距符合有关规范、规定要求，气象条件、地质条件满足该项目的要求。该项目所在厂区已取得《土地他项权利证明书》，选址符合政府规划要求。</w:t>
      </w:r>
    </w:p>
    <w:p>
      <w:pPr>
        <w:pStyle w:val="6"/>
        <w:ind w:firstLine="560"/>
        <w:rPr>
          <w:lang w:val="en-US"/>
        </w:rPr>
      </w:pPr>
      <w:r>
        <w:rPr>
          <w:lang w:val="en-US"/>
        </w:rPr>
        <w:t>（2）该项目</w:t>
      </w:r>
      <w:r>
        <w:rPr>
          <w:rFonts w:hint="eastAsia"/>
          <w:lang w:val="en-US"/>
        </w:rPr>
        <w:t>建构筑物</w:t>
      </w:r>
      <w:r>
        <w:rPr>
          <w:lang w:val="en-US"/>
        </w:rPr>
        <w:t>与周围</w:t>
      </w:r>
      <w:r>
        <w:rPr>
          <w:rFonts w:hint="eastAsia"/>
          <w:lang w:val="en-US"/>
        </w:rPr>
        <w:t>环境</w:t>
      </w:r>
      <w:r>
        <w:rPr>
          <w:lang w:val="en-US"/>
        </w:rPr>
        <w:t>，</w:t>
      </w:r>
      <w:r>
        <w:rPr>
          <w:rFonts w:hint="eastAsia"/>
          <w:lang w:val="en-US"/>
        </w:rPr>
        <w:t>平面</w:t>
      </w:r>
      <w:r>
        <w:rPr>
          <w:lang w:val="en-US"/>
        </w:rPr>
        <w:t>布置符合《石油化工企业设计防火标准</w:t>
      </w:r>
      <w:r>
        <w:rPr>
          <w:rFonts w:hint="eastAsia"/>
          <w:lang w:val="en-US"/>
        </w:rPr>
        <w:t>（2018年版）</w:t>
      </w:r>
      <w:r>
        <w:rPr>
          <w:lang w:val="en-US"/>
        </w:rPr>
        <w:t>》（GB50160-2008）等法律法规的要求。</w:t>
      </w:r>
    </w:p>
    <w:p>
      <w:pPr>
        <w:pStyle w:val="6"/>
        <w:ind w:firstLine="560"/>
        <w:rPr>
          <w:lang w:val="en-US"/>
        </w:rPr>
      </w:pPr>
      <w:r>
        <w:rPr>
          <w:lang w:val="en-US"/>
        </w:rPr>
        <w:t>（3）该项目采用成熟工艺，设备选型符合国家有关规定要求。</w:t>
      </w:r>
    </w:p>
    <w:p>
      <w:pPr>
        <w:pStyle w:val="6"/>
        <w:ind w:firstLine="560"/>
        <w:rPr>
          <w:lang w:val="en-US"/>
        </w:rPr>
      </w:pPr>
      <w:r>
        <w:rPr>
          <w:lang w:val="en-US"/>
        </w:rPr>
        <w:t>（4）该项目可行性研究报告，针对本项目的危险有害因素及其分布规律，采取了一定的安全措施。评价进一步提出了安全对策措施与建议，为该项目下一步的设计、施工提供依据。</w:t>
      </w:r>
    </w:p>
    <w:p>
      <w:pPr>
        <w:pStyle w:val="6"/>
        <w:ind w:firstLine="560"/>
        <w:rPr>
          <w:lang w:val="en-US"/>
        </w:rPr>
      </w:pPr>
      <w:r>
        <w:rPr>
          <w:lang w:val="en-US"/>
        </w:rPr>
        <w:t>（5）在该项目的设计、施工及生产试运行过程中，企业在落实可行性研究报告所提出的安全措施的基础上，应切实落实本安全条件评价报告中提出的安全对策和措施，严格按照</w:t>
      </w:r>
      <w:r>
        <w:rPr>
          <w:rFonts w:hint="eastAsia"/>
          <w:lang w:val="en-US"/>
        </w:rPr>
        <w:t>“</w:t>
      </w:r>
      <w:r>
        <w:rPr>
          <w:lang w:val="en-US"/>
        </w:rPr>
        <w:t>三同时</w:t>
      </w:r>
      <w:r>
        <w:rPr>
          <w:rFonts w:hint="eastAsia"/>
          <w:lang w:val="en-US"/>
        </w:rPr>
        <w:t>”</w:t>
      </w:r>
      <w:r>
        <w:rPr>
          <w:lang w:val="en-US"/>
        </w:rPr>
        <w:t>要求进行建设；加强安全管理，确保安全生产。</w:t>
      </w:r>
    </w:p>
    <w:p>
      <w:pPr>
        <w:pStyle w:val="6"/>
        <w:ind w:firstLine="562"/>
        <w:rPr>
          <w:b/>
          <w:bCs/>
          <w:lang w:val="en-US"/>
        </w:rPr>
      </w:pPr>
      <w:r>
        <w:rPr>
          <w:b/>
          <w:bCs/>
          <w:lang w:val="en-US"/>
        </w:rPr>
        <w:t>综合上述，中国石化股份有限公司胜利油田分公司石油化工总厂原油</w:t>
      </w:r>
      <w:r>
        <w:rPr>
          <w:rFonts w:hint="eastAsia"/>
          <w:b/>
          <w:bCs/>
          <w:lang w:val="en-US" w:eastAsia="zh-CN"/>
        </w:rPr>
        <w:t>罐区</w:t>
      </w:r>
      <w:r>
        <w:rPr>
          <w:b/>
          <w:bCs/>
          <w:lang w:val="en-US"/>
        </w:rPr>
        <w:t>分输分储改造工程项目选址得当、工艺技术路线成熟、设备选型可靠、周边防火间距及平面布局符合国家有关法律、法规、标准、规范的要求，项目设立符合国家有关安全要求。</w:t>
      </w:r>
    </w:p>
    <w:p>
      <w:pPr>
        <w:ind w:firstLine="560"/>
        <w:rPr>
          <w:rFonts w:ascii="Times New Roman" w:hAnsi="Times New Roman" w:cs="Times New Roman"/>
        </w:rPr>
      </w:pPr>
      <w:r>
        <w:rPr>
          <w:rFonts w:ascii="Times New Roman" w:hAnsi="Times New Roman" w:cs="Times New Roman"/>
        </w:rPr>
        <w:br w:type="page"/>
      </w:r>
    </w:p>
    <w:p>
      <w:pPr>
        <w:pStyle w:val="16"/>
        <w:rPr>
          <w:rFonts w:ascii="Times New Roman" w:hAnsi="Times New Roman" w:eastAsia="黑体" w:cs="Times New Roman"/>
          <w:szCs w:val="32"/>
        </w:rPr>
      </w:pPr>
      <w:bookmarkStart w:id="95" w:name="_Toc509842620"/>
      <w:bookmarkStart w:id="96" w:name="_Toc17866"/>
      <w:r>
        <w:rPr>
          <w:rFonts w:ascii="Times New Roman" w:hAnsi="Times New Roman" w:cs="Times New Roman"/>
        </w:rPr>
        <w:t>评价单位与建设单位交换意见</w:t>
      </w:r>
      <w:bookmarkEnd w:id="95"/>
      <w:bookmarkEnd w:id="96"/>
    </w:p>
    <w:p>
      <w:pPr>
        <w:pStyle w:val="23"/>
      </w:pPr>
      <w:r>
        <w:t>表8-1 评价单位与建设单位交换意见表</w:t>
      </w:r>
    </w:p>
    <w:tbl>
      <w:tblPr>
        <w:tblStyle w:val="19"/>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674"/>
        <w:gridCol w:w="2034"/>
        <w:gridCol w:w="3262"/>
        <w:gridCol w:w="1642"/>
        <w:gridCol w:w="90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clear" w:pos="315"/>
              </w:tabs>
              <w:ind w:firstLine="0" w:firstLineChars="0"/>
              <w:jc w:val="center"/>
              <w:rPr>
                <w:rFonts w:ascii="Times New Roman" w:hAnsi="Times New Roman" w:cs="Times New Roman"/>
                <w:b/>
                <w:color w:val="000000"/>
                <w:sz w:val="21"/>
                <w:szCs w:val="20"/>
              </w:rPr>
            </w:pPr>
            <w:r>
              <w:rPr>
                <w:rFonts w:ascii="Times New Roman" w:hAnsi="Times New Roman" w:cs="Times New Roman"/>
                <w:b/>
                <w:color w:val="000000"/>
                <w:sz w:val="21"/>
                <w:szCs w:val="20"/>
              </w:rPr>
              <w:t>序号</w:t>
            </w:r>
          </w:p>
        </w:tc>
        <w:tc>
          <w:tcPr>
            <w:tcW w:w="5296" w:type="dxa"/>
            <w:gridSpan w:val="2"/>
            <w:vAlign w:val="center"/>
          </w:tcPr>
          <w:p>
            <w:pPr>
              <w:widowControl/>
              <w:tabs>
                <w:tab w:val="left" w:pos="735"/>
                <w:tab w:val="clear" w:pos="315"/>
              </w:tabs>
              <w:ind w:firstLine="0" w:firstLineChars="0"/>
              <w:jc w:val="center"/>
              <w:rPr>
                <w:rFonts w:ascii="Times New Roman" w:hAnsi="Times New Roman" w:cs="Times New Roman"/>
                <w:b/>
                <w:color w:val="000000"/>
                <w:sz w:val="21"/>
                <w:szCs w:val="20"/>
              </w:rPr>
            </w:pPr>
            <w:r>
              <w:rPr>
                <w:rFonts w:ascii="Times New Roman" w:hAnsi="Times New Roman" w:cs="Times New Roman"/>
                <w:b/>
                <w:color w:val="000000"/>
                <w:sz w:val="21"/>
                <w:szCs w:val="20"/>
              </w:rPr>
              <w:t>交换意见的项目</w:t>
            </w:r>
          </w:p>
        </w:tc>
        <w:tc>
          <w:tcPr>
            <w:tcW w:w="1642" w:type="dxa"/>
            <w:vAlign w:val="center"/>
          </w:tcPr>
          <w:p>
            <w:pPr>
              <w:widowControl/>
              <w:tabs>
                <w:tab w:val="left" w:pos="735"/>
                <w:tab w:val="clear" w:pos="315"/>
              </w:tabs>
              <w:ind w:firstLine="0" w:firstLineChars="0"/>
              <w:jc w:val="center"/>
              <w:rPr>
                <w:rFonts w:ascii="Times New Roman" w:hAnsi="Times New Roman" w:cs="Times New Roman"/>
                <w:b/>
                <w:color w:val="000000"/>
                <w:sz w:val="21"/>
                <w:szCs w:val="20"/>
              </w:rPr>
            </w:pPr>
            <w:r>
              <w:rPr>
                <w:rFonts w:ascii="Times New Roman" w:hAnsi="Times New Roman" w:cs="Times New Roman"/>
                <w:b/>
                <w:color w:val="000000"/>
                <w:sz w:val="21"/>
                <w:szCs w:val="20"/>
              </w:rPr>
              <w:t>建设单位意见</w:t>
            </w:r>
          </w:p>
        </w:tc>
        <w:tc>
          <w:tcPr>
            <w:tcW w:w="904" w:type="dxa"/>
            <w:vAlign w:val="center"/>
          </w:tcPr>
          <w:p>
            <w:pPr>
              <w:widowControl/>
              <w:tabs>
                <w:tab w:val="left" w:pos="735"/>
                <w:tab w:val="clear" w:pos="315"/>
              </w:tabs>
              <w:ind w:firstLine="0" w:firstLineChars="0"/>
              <w:jc w:val="center"/>
              <w:rPr>
                <w:rFonts w:ascii="Times New Roman" w:hAnsi="Times New Roman" w:cs="Times New Roman"/>
                <w:b/>
                <w:color w:val="000000"/>
                <w:sz w:val="21"/>
                <w:szCs w:val="20"/>
              </w:rPr>
            </w:pPr>
            <w:r>
              <w:rPr>
                <w:rFonts w:ascii="Times New Roman" w:hAnsi="Times New Roman" w:cs="Times New Roman"/>
                <w:b/>
                <w:color w:val="000000"/>
                <w:sz w:val="21"/>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1</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评价对象和范围</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是否符合合同的约定</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2</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建设项目的资料</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是否真实可靠</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3</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建设项目的描述</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是否符合企业的实际</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4</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危险有害因素的分析</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是否符合项目的实际</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5</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危险有害程度的分析</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是否符合项目的实际</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6</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建设项目的</w:t>
            </w:r>
          </w:p>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安全条件分析</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是否符合实际和客观公正</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7</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安全可靠性</w:t>
            </w:r>
          </w:p>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分析</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是否符合建设项目的实际和客观公正</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8</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安全对策措施</w:t>
            </w:r>
          </w:p>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建议</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是否符合建设项目实际、遵循针对性、技术可行性和经济合理性</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9</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评价结论</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是否客观、公正、真实，是否符合企业的实际</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674" w:type="dxa"/>
            <w:vAlign w:val="center"/>
          </w:tcPr>
          <w:p>
            <w:pPr>
              <w:widowControl/>
              <w:tabs>
                <w:tab w:val="left" w:pos="735"/>
                <w:tab w:val="left" w:pos="2100"/>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10</w:t>
            </w:r>
          </w:p>
        </w:tc>
        <w:tc>
          <w:tcPr>
            <w:tcW w:w="203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安全评价过程</w:t>
            </w:r>
          </w:p>
        </w:tc>
        <w:tc>
          <w:tcPr>
            <w:tcW w:w="3262"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是否公正、客观和独立。</w:t>
            </w:r>
          </w:p>
        </w:tc>
        <w:tc>
          <w:tcPr>
            <w:tcW w:w="1642" w:type="dxa"/>
            <w:vAlign w:val="center"/>
          </w:tcPr>
          <w:p>
            <w:pPr>
              <w:widowControl/>
              <w:tabs>
                <w:tab w:val="left" w:pos="735"/>
                <w:tab w:val="clear" w:pos="315"/>
              </w:tabs>
              <w:ind w:firstLine="0" w:firstLineChars="0"/>
              <w:jc w:val="center"/>
              <w:rPr>
                <w:rFonts w:ascii="宋体" w:hAnsi="宋体" w:cs="宋体"/>
                <w:color w:val="000000"/>
                <w:sz w:val="21"/>
                <w:szCs w:val="20"/>
              </w:rPr>
            </w:pPr>
            <w:r>
              <w:rPr>
                <w:rFonts w:hint="eastAsia" w:ascii="宋体" w:hAnsi="宋体" w:cs="宋体"/>
                <w:sz w:val="21"/>
                <w:szCs w:val="20"/>
              </w:rPr>
              <w:t>□是   □否</w:t>
            </w:r>
          </w:p>
        </w:tc>
        <w:tc>
          <w:tcPr>
            <w:tcW w:w="904" w:type="dxa"/>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8516" w:type="dxa"/>
            <w:gridSpan w:val="5"/>
            <w:vAlign w:val="center"/>
          </w:tcPr>
          <w:p>
            <w:pPr>
              <w:widowControl/>
              <w:tabs>
                <w:tab w:val="left" w:pos="735"/>
                <w:tab w:val="clear" w:pos="315"/>
              </w:tabs>
              <w:ind w:firstLine="0" w:firstLineChars="0"/>
              <w:jc w:val="center"/>
              <w:rPr>
                <w:rFonts w:ascii="Times New Roman" w:hAnsi="Times New Roman" w:cs="Times New Roman"/>
                <w:b/>
                <w:color w:val="000000"/>
                <w:sz w:val="21"/>
                <w:szCs w:val="20"/>
              </w:rPr>
            </w:pPr>
            <w:r>
              <w:rPr>
                <w:rFonts w:ascii="Times New Roman" w:hAnsi="Times New Roman" w:cs="Times New Roman"/>
                <w:b/>
                <w:color w:val="000000"/>
                <w:sz w:val="21"/>
                <w:szCs w:val="20"/>
              </w:rPr>
              <w:t>评价机构与建设单位不一致的意见及理由说明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8516" w:type="dxa"/>
            <w:gridSpan w:val="5"/>
            <w:vAlign w:val="center"/>
          </w:tcPr>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p>
            <w:pPr>
              <w:widowControl/>
              <w:tabs>
                <w:tab w:val="left" w:pos="735"/>
                <w:tab w:val="clear" w:pos="315"/>
              </w:tabs>
              <w:ind w:firstLine="0" w:firstLineChars="0"/>
              <w:jc w:val="center"/>
              <w:rPr>
                <w:rFonts w:ascii="Times New Roman" w:hAnsi="Times New Roman" w:cs="Times New Roman"/>
                <w:b/>
                <w:color w:val="000000"/>
                <w:sz w:val="21"/>
                <w:szCs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Pr>
        <w:tc>
          <w:tcPr>
            <w:tcW w:w="8516" w:type="dxa"/>
            <w:gridSpan w:val="5"/>
            <w:vAlign w:val="center"/>
          </w:tcPr>
          <w:p>
            <w:pPr>
              <w:widowControl/>
              <w:tabs>
                <w:tab w:val="left" w:pos="735"/>
                <w:tab w:val="clear" w:pos="315"/>
              </w:tabs>
              <w:ind w:firstLine="0" w:firstLineChars="0"/>
              <w:jc w:val="center"/>
              <w:rPr>
                <w:rFonts w:ascii="Times New Roman" w:hAnsi="Times New Roman" w:cs="Times New Roman"/>
                <w:color w:val="000000"/>
                <w:sz w:val="21"/>
                <w:szCs w:val="20"/>
              </w:rPr>
            </w:pPr>
          </w:p>
          <w:p>
            <w:pPr>
              <w:widowControl/>
              <w:tabs>
                <w:tab w:val="left" w:pos="735"/>
                <w:tab w:val="clear" w:pos="315"/>
              </w:tabs>
              <w:ind w:firstLine="0" w:firstLineChars="0"/>
              <w:jc w:val="center"/>
              <w:rPr>
                <w:rFonts w:ascii="Times New Roman" w:hAnsi="Times New Roman" w:cs="Times New Roman"/>
                <w:color w:val="000000"/>
                <w:sz w:val="21"/>
                <w:szCs w:val="20"/>
              </w:rPr>
            </w:pPr>
          </w:p>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企业确认：</w:t>
            </w:r>
          </w:p>
          <w:p>
            <w:pPr>
              <w:widowControl/>
              <w:tabs>
                <w:tab w:val="left" w:pos="735"/>
                <w:tab w:val="clear" w:pos="315"/>
              </w:tabs>
              <w:ind w:firstLine="0" w:firstLineChars="0"/>
              <w:jc w:val="center"/>
              <w:rPr>
                <w:rFonts w:ascii="Times New Roman" w:hAnsi="Times New Roman" w:cs="Times New Roman"/>
                <w:color w:val="000000"/>
                <w:sz w:val="21"/>
                <w:szCs w:val="20"/>
              </w:rPr>
            </w:pPr>
          </w:p>
          <w:p>
            <w:pPr>
              <w:widowControl/>
              <w:tabs>
                <w:tab w:val="left" w:pos="735"/>
                <w:tab w:val="clear" w:pos="315"/>
              </w:tabs>
              <w:ind w:firstLine="0" w:firstLineChars="0"/>
              <w:jc w:val="center"/>
              <w:rPr>
                <w:rFonts w:ascii="Times New Roman" w:hAnsi="Times New Roman" w:cs="Times New Roman"/>
                <w:color w:val="000000"/>
                <w:sz w:val="21"/>
                <w:szCs w:val="20"/>
              </w:rPr>
            </w:pPr>
          </w:p>
          <w:p>
            <w:pPr>
              <w:widowControl/>
              <w:tabs>
                <w:tab w:val="left" w:pos="735"/>
                <w:tab w:val="clear" w:pos="315"/>
              </w:tabs>
              <w:ind w:firstLine="0" w:firstLineChars="0"/>
              <w:jc w:val="center"/>
              <w:rPr>
                <w:rFonts w:ascii="Times New Roman" w:hAnsi="Times New Roman" w:cs="Times New Roman"/>
                <w:color w:val="000000"/>
                <w:sz w:val="21"/>
                <w:szCs w:val="20"/>
              </w:rPr>
            </w:pPr>
          </w:p>
          <w:p>
            <w:pPr>
              <w:widowControl/>
              <w:tabs>
                <w:tab w:val="left" w:pos="735"/>
                <w:tab w:val="clear" w:pos="315"/>
              </w:tabs>
              <w:ind w:firstLine="0" w:firstLineChars="0"/>
              <w:jc w:val="center"/>
              <w:rPr>
                <w:rFonts w:ascii="Times New Roman" w:hAnsi="Times New Roman" w:cs="Times New Roman"/>
                <w:color w:val="000000"/>
                <w:sz w:val="21"/>
                <w:szCs w:val="20"/>
              </w:rPr>
            </w:pPr>
            <w:r>
              <w:rPr>
                <w:rFonts w:ascii="Times New Roman" w:hAnsi="Times New Roman" w:cs="Times New Roman"/>
                <w:color w:val="000000"/>
                <w:sz w:val="21"/>
                <w:szCs w:val="20"/>
              </w:rPr>
              <w:t xml:space="preserve">                                     （盖章）</w:t>
            </w:r>
          </w:p>
          <w:p>
            <w:pPr>
              <w:widowControl/>
              <w:tabs>
                <w:tab w:val="left" w:pos="735"/>
                <w:tab w:val="clear" w:pos="315"/>
              </w:tabs>
              <w:ind w:firstLine="0" w:firstLineChars="0"/>
              <w:jc w:val="center"/>
              <w:rPr>
                <w:rFonts w:ascii="Times New Roman" w:hAnsi="Times New Roman" w:cs="Times New Roman"/>
                <w:b/>
                <w:color w:val="000000"/>
                <w:sz w:val="21"/>
                <w:szCs w:val="20"/>
              </w:rPr>
            </w:pPr>
            <w:r>
              <w:rPr>
                <w:rFonts w:ascii="Times New Roman" w:hAnsi="Times New Roman" w:cs="Times New Roman"/>
                <w:color w:val="000000"/>
                <w:sz w:val="21"/>
                <w:szCs w:val="20"/>
              </w:rPr>
              <w:t xml:space="preserve">                                      年      月     日</w:t>
            </w:r>
          </w:p>
        </w:tc>
      </w:tr>
    </w:tbl>
    <w:p>
      <w:pPr>
        <w:ind w:firstLine="0" w:firstLineChars="0"/>
        <w:jc w:val="center"/>
        <w:rPr>
          <w:rFonts w:ascii="Times New Roman" w:hAnsi="Times New Roman" w:cs="Times New Roman"/>
          <w:b/>
          <w:bCs/>
          <w:sz w:val="44"/>
          <w:szCs w:val="44"/>
        </w:rPr>
      </w:pPr>
    </w:p>
    <w:p>
      <w:pPr>
        <w:rPr>
          <w:rFonts w:ascii="Times New Roman" w:hAnsi="Times New Roman" w:eastAsia="仿宋" w:cs="Times New Roman"/>
          <w:b/>
          <w:sz w:val="44"/>
          <w:szCs w:val="44"/>
        </w:rPr>
      </w:pPr>
      <w:r>
        <w:rPr>
          <w:rFonts w:ascii="Times New Roman" w:hAnsi="Times New Roman" w:eastAsia="仿宋" w:cs="Times New Roman"/>
          <w:b/>
          <w:sz w:val="44"/>
          <w:szCs w:val="44"/>
        </w:rPr>
        <w:br w:type="page"/>
      </w:r>
    </w:p>
    <w:p>
      <w:pPr>
        <w:rPr>
          <w:rFonts w:ascii="Times New Roman" w:hAnsi="Times New Roman" w:eastAsia="仿宋" w:cs="Times New Roman"/>
          <w:b/>
          <w:sz w:val="44"/>
          <w:szCs w:val="44"/>
        </w:rPr>
      </w:pPr>
      <w:r>
        <w:rPr>
          <w:rFonts w:ascii="Times New Roman" w:hAnsi="Times New Roman" w:eastAsia="仿宋" w:cs="Times New Roman"/>
          <w:b/>
          <w:sz w:val="44"/>
          <w:szCs w:val="44"/>
        </w:rPr>
        <w:br w:type="page"/>
      </w:r>
    </w:p>
    <w:p>
      <w:pPr>
        <w:keepNext w:val="0"/>
        <w:keepLines w:val="0"/>
        <w:pageBreakBefore w:val="0"/>
        <w:widowControl w:val="0"/>
        <w:kinsoku/>
        <w:wordWrap/>
        <w:overflowPunct/>
        <w:topLinePunct w:val="0"/>
        <w:autoSpaceDE/>
        <w:autoSpaceDN/>
        <w:bidi w:val="0"/>
        <w:snapToGrid w:val="0"/>
        <w:ind w:firstLine="0" w:firstLineChars="0"/>
        <w:jc w:val="center"/>
        <w:textAlignment w:val="auto"/>
        <w:rPr>
          <w:rFonts w:ascii="Times New Roman" w:hAnsi="Times New Roman" w:eastAsia="仿宋" w:cs="Times New Roman"/>
          <w:b/>
          <w:sz w:val="44"/>
          <w:szCs w:val="44"/>
        </w:rPr>
      </w:pPr>
      <w:r>
        <w:rPr>
          <w:rFonts w:ascii="Times New Roman" w:hAnsi="Times New Roman" w:eastAsia="仿宋" w:cs="Times New Roman"/>
          <w:b/>
          <w:sz w:val="44"/>
          <w:szCs w:val="44"/>
        </w:rPr>
        <w:t>中国石化股份有限公司</w:t>
      </w:r>
    </w:p>
    <w:p>
      <w:pPr>
        <w:keepNext w:val="0"/>
        <w:keepLines w:val="0"/>
        <w:pageBreakBefore w:val="0"/>
        <w:widowControl w:val="0"/>
        <w:kinsoku/>
        <w:wordWrap/>
        <w:overflowPunct/>
        <w:topLinePunct w:val="0"/>
        <w:autoSpaceDE/>
        <w:autoSpaceDN/>
        <w:bidi w:val="0"/>
        <w:snapToGrid w:val="0"/>
        <w:ind w:firstLine="0" w:firstLineChars="0"/>
        <w:jc w:val="center"/>
        <w:textAlignment w:val="auto"/>
        <w:rPr>
          <w:rFonts w:ascii="Times New Roman" w:hAnsi="Times New Roman" w:eastAsia="仿宋" w:cs="Times New Roman"/>
          <w:b/>
          <w:sz w:val="44"/>
          <w:szCs w:val="44"/>
        </w:rPr>
      </w:pPr>
      <w:r>
        <w:rPr>
          <w:rFonts w:ascii="Times New Roman" w:hAnsi="Times New Roman" w:eastAsia="仿宋" w:cs="Times New Roman"/>
          <w:b/>
          <w:sz w:val="44"/>
          <w:szCs w:val="44"/>
        </w:rPr>
        <w:t>胜利油田分公司石油化工总厂</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ascii="Times New Roman" w:hAnsi="Times New Roman" w:eastAsia="仿宋" w:cs="Times New Roman"/>
          <w:b/>
          <w:sz w:val="52"/>
          <w:szCs w:val="52"/>
        </w:rPr>
      </w:pPr>
      <w:r>
        <w:rPr>
          <w:rFonts w:ascii="Times New Roman" w:hAnsi="Times New Roman" w:eastAsia="仿宋" w:cs="Times New Roman"/>
          <w:b/>
          <w:sz w:val="52"/>
          <w:szCs w:val="52"/>
        </w:rPr>
        <w:t>原油</w:t>
      </w:r>
      <w:r>
        <w:rPr>
          <w:rFonts w:hint="eastAsia" w:ascii="Times New Roman" w:hAnsi="Times New Roman" w:eastAsia="仿宋" w:cs="Times New Roman"/>
          <w:b/>
          <w:sz w:val="52"/>
          <w:szCs w:val="52"/>
          <w:lang w:val="en-US" w:eastAsia="zh-CN"/>
        </w:rPr>
        <w:t>罐区</w:t>
      </w:r>
      <w:r>
        <w:rPr>
          <w:rFonts w:ascii="Times New Roman" w:hAnsi="Times New Roman" w:eastAsia="仿宋" w:cs="Times New Roman"/>
          <w:b/>
          <w:sz w:val="52"/>
          <w:szCs w:val="52"/>
        </w:rPr>
        <w:t>分输分储改造工程项目</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ascii="Times New Roman" w:hAnsi="Times New Roman" w:eastAsia="仿宋" w:cs="Times New Roman"/>
          <w:b/>
          <w:bCs/>
          <w:sz w:val="52"/>
          <w:szCs w:val="52"/>
        </w:rPr>
      </w:pPr>
      <w:r>
        <w:rPr>
          <w:rFonts w:ascii="Times New Roman" w:hAnsi="Times New Roman" w:eastAsia="仿宋" w:cs="Times New Roman"/>
          <w:b/>
          <w:bCs/>
          <w:sz w:val="52"/>
          <w:szCs w:val="52"/>
        </w:rPr>
        <w:t>安全条件评价报告</w:t>
      </w:r>
    </w:p>
    <w:p>
      <w:pPr>
        <w:ind w:firstLine="1044"/>
        <w:jc w:val="center"/>
        <w:rPr>
          <w:rFonts w:ascii="Times New Roman" w:hAnsi="Times New Roman" w:cs="Times New Roman"/>
          <w:b/>
          <w:sz w:val="52"/>
          <w:szCs w:val="52"/>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cs="Times New Roman"/>
          <w:b/>
          <w:sz w:val="72"/>
          <w:szCs w:val="52"/>
        </w:rPr>
      </w:pPr>
      <w:r>
        <w:rPr>
          <w:rFonts w:ascii="Times New Roman" w:hAnsi="Times New Roman" w:cs="Times New Roman"/>
          <w:b/>
          <w:sz w:val="72"/>
          <w:szCs w:val="52"/>
        </w:rPr>
        <w:t>附    件</w:t>
      </w:r>
    </w:p>
    <w:p>
      <w:pPr>
        <w:ind w:firstLine="1044"/>
        <w:jc w:val="center"/>
        <w:rPr>
          <w:rFonts w:ascii="Times New Roman" w:hAnsi="Times New Roman" w:cs="Times New Roman"/>
          <w:b/>
          <w:sz w:val="52"/>
          <w:szCs w:val="52"/>
        </w:rPr>
      </w:pPr>
    </w:p>
    <w:p>
      <w:pPr>
        <w:ind w:firstLine="1044"/>
        <w:jc w:val="center"/>
        <w:rPr>
          <w:rFonts w:ascii="Times New Roman" w:hAnsi="Times New Roman" w:cs="Times New Roman"/>
          <w:b/>
          <w:sz w:val="52"/>
          <w:szCs w:val="52"/>
        </w:rPr>
      </w:pPr>
    </w:p>
    <w:p>
      <w:pPr>
        <w:ind w:firstLine="1044"/>
        <w:jc w:val="center"/>
        <w:rPr>
          <w:rFonts w:ascii="Times New Roman" w:hAnsi="Times New Roman" w:cs="Times New Roman"/>
          <w:b/>
          <w:sz w:val="52"/>
          <w:szCs w:val="52"/>
        </w:rPr>
      </w:pPr>
    </w:p>
    <w:p>
      <w:pPr>
        <w:ind w:firstLine="1044"/>
        <w:jc w:val="center"/>
        <w:rPr>
          <w:rFonts w:ascii="Times New Roman" w:hAnsi="Times New Roman" w:cs="Times New Roman"/>
          <w:b/>
          <w:sz w:val="52"/>
          <w:szCs w:val="52"/>
        </w:rPr>
      </w:pPr>
    </w:p>
    <w:p>
      <w:pPr>
        <w:ind w:firstLine="1044"/>
        <w:jc w:val="center"/>
        <w:rPr>
          <w:rFonts w:ascii="Times New Roman" w:hAnsi="Times New Roman" w:cs="Times New Roman"/>
          <w:b/>
          <w:sz w:val="52"/>
          <w:szCs w:val="52"/>
        </w:rPr>
      </w:pPr>
    </w:p>
    <w:p>
      <w:pPr>
        <w:ind w:firstLine="1044"/>
        <w:jc w:val="center"/>
        <w:rPr>
          <w:rFonts w:ascii="Times New Roman" w:hAnsi="Times New Roman" w:cs="Times New Roman"/>
          <w:b/>
          <w:sz w:val="52"/>
          <w:szCs w:val="52"/>
        </w:rPr>
      </w:pPr>
    </w:p>
    <w:p>
      <w:pPr>
        <w:ind w:firstLine="1044"/>
        <w:jc w:val="center"/>
        <w:rPr>
          <w:rFonts w:ascii="Times New Roman" w:hAnsi="Times New Roman" w:cs="Times New Roman"/>
          <w:b/>
          <w:sz w:val="52"/>
          <w:szCs w:val="52"/>
        </w:rPr>
      </w:pPr>
    </w:p>
    <w:p>
      <w:pPr>
        <w:ind w:firstLine="1044"/>
        <w:jc w:val="center"/>
        <w:rPr>
          <w:rFonts w:ascii="Times New Roman" w:hAnsi="Times New Roman" w:cs="Times New Roman"/>
          <w:b/>
          <w:sz w:val="52"/>
          <w:szCs w:val="52"/>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cs="Times New Roman"/>
          <w:b/>
          <w:sz w:val="36"/>
          <w:szCs w:val="36"/>
        </w:rPr>
      </w:pPr>
      <w:r>
        <w:rPr>
          <w:rFonts w:ascii="Times New Roman" w:hAnsi="Times New Roman" w:cs="Times New Roman"/>
          <w:b/>
          <w:sz w:val="36"/>
          <w:szCs w:val="36"/>
        </w:rPr>
        <w:t>山东实华安全技术有限公司</w:t>
      </w:r>
    </w:p>
    <w:p>
      <w:pPr>
        <w:spacing w:line="360" w:lineRule="auto"/>
        <w:ind w:firstLine="482"/>
        <w:jc w:val="center"/>
        <w:rPr>
          <w:rFonts w:ascii="Times New Roman" w:hAnsi="Times New Roman" w:cs="Times New Roman"/>
          <w:b/>
          <w:kern w:val="0"/>
          <w:sz w:val="24"/>
        </w:rPr>
      </w:pPr>
    </w:p>
    <w:p>
      <w:pPr>
        <w:tabs>
          <w:tab w:val="left" w:pos="-34"/>
          <w:tab w:val="left" w:pos="140"/>
          <w:tab w:val="clear" w:pos="315"/>
        </w:tabs>
        <w:adjustRightInd w:val="0"/>
        <w:snapToGrid w:val="0"/>
        <w:spacing w:before="159" w:beforeLines="50" w:line="360" w:lineRule="auto"/>
        <w:ind w:firstLine="584"/>
        <w:rPr>
          <w:rFonts w:ascii="Times New Roman" w:hAnsi="Times New Roman" w:cs="Times New Roman"/>
          <w:spacing w:val="6"/>
          <w:szCs w:val="28"/>
        </w:rPr>
      </w:pPr>
    </w:p>
    <w:p>
      <w:pPr>
        <w:adjustRightInd w:val="0"/>
        <w:snapToGrid w:val="0"/>
        <w:spacing w:line="360" w:lineRule="auto"/>
        <w:ind w:left="160" w:leftChars="57" w:firstLine="560"/>
        <w:rPr>
          <w:rFonts w:ascii="Times New Roman" w:hAnsi="Times New Roman" w:cs="Times New Roman"/>
          <w:szCs w:val="28"/>
        </w:rPr>
      </w:pPr>
    </w:p>
    <w:p>
      <w:pPr>
        <w:adjustRightInd w:val="0"/>
        <w:snapToGrid w:val="0"/>
        <w:spacing w:line="360" w:lineRule="auto"/>
        <w:ind w:left="160" w:leftChars="57" w:firstLine="560"/>
        <w:rPr>
          <w:rFonts w:ascii="Times New Roman" w:hAnsi="Times New Roman" w:cs="Times New Roman"/>
          <w:szCs w:val="28"/>
        </w:rPr>
      </w:pPr>
    </w:p>
    <w:p>
      <w:pPr>
        <w:adjustRightInd w:val="0"/>
        <w:snapToGrid w:val="0"/>
        <w:spacing w:line="360" w:lineRule="auto"/>
        <w:ind w:left="160" w:leftChars="57" w:firstLine="560"/>
        <w:rPr>
          <w:rFonts w:ascii="Times New Roman" w:hAnsi="Times New Roman" w:cs="Times New Roman"/>
          <w:szCs w:val="28"/>
        </w:rPr>
        <w:sectPr>
          <w:pgSz w:w="11906" w:h="16838"/>
          <w:pgMar w:top="1440" w:right="1803" w:bottom="1440" w:left="1803" w:header="851" w:footer="992" w:gutter="0"/>
          <w:pgBorders>
            <w:top w:val="none" w:sz="0" w:space="0"/>
            <w:left w:val="none" w:sz="0" w:space="0"/>
            <w:bottom w:val="none" w:sz="0" w:space="0"/>
            <w:right w:val="none" w:sz="0" w:space="0"/>
          </w:pgBorders>
          <w:cols w:space="720" w:num="1"/>
          <w:docGrid w:type="lines" w:linePitch="319" w:charSpace="0"/>
        </w:sectPr>
      </w:pPr>
    </w:p>
    <w:p>
      <w:pPr>
        <w:rPr>
          <w:rFonts w:ascii="Times New Roman" w:hAnsi="Times New Roman" w:cs="Times New Roman"/>
        </w:rPr>
      </w:pPr>
      <w:bookmarkStart w:id="97" w:name="_Toc29841"/>
      <w:r>
        <w:rPr>
          <w:rFonts w:ascii="Times New Roman" w:hAnsi="Times New Roman" w:cs="Times New Roman"/>
        </w:rPr>
        <w:br w:type="page"/>
      </w:r>
    </w:p>
    <w:p>
      <w:pPr>
        <w:pStyle w:val="16"/>
        <w:numPr>
          <w:ilvl w:val="0"/>
          <w:numId w:val="0"/>
        </w:numPr>
        <w:rPr>
          <w:rFonts w:ascii="Times New Roman" w:hAnsi="Times New Roman" w:cs="Times New Roman"/>
        </w:rPr>
      </w:pPr>
      <w:r>
        <w:rPr>
          <w:rFonts w:ascii="Times New Roman" w:hAnsi="Times New Roman" w:cs="Times New Roman"/>
        </w:rPr>
        <w:t>附件1 危险有害因素分析过程</w:t>
      </w:r>
      <w:bookmarkEnd w:id="97"/>
    </w:p>
    <w:p>
      <w:pPr>
        <w:pStyle w:val="3"/>
        <w:numPr>
          <w:ilvl w:val="1"/>
          <w:numId w:val="0"/>
        </w:numPr>
        <w:spacing w:before="156" w:after="156"/>
        <w:ind w:left="130"/>
      </w:pPr>
      <w:bookmarkStart w:id="98" w:name="_Toc22101"/>
      <w:r>
        <w:t>F1.1 主要危险、有害物质及其危险、危害特性</w:t>
      </w:r>
      <w:bookmarkEnd w:id="98"/>
    </w:p>
    <w:p>
      <w:pPr>
        <w:pStyle w:val="6"/>
        <w:ind w:firstLine="560"/>
        <w:rPr>
          <w:lang w:val="en-US"/>
        </w:rPr>
      </w:pPr>
      <w:r>
        <w:rPr>
          <w:lang w:val="en-US"/>
        </w:rPr>
        <w:t>该项目生产过程中涉及的主要危险有害物质有原油</w:t>
      </w:r>
      <w:r>
        <w:rPr>
          <w:rFonts w:hint="eastAsia"/>
          <w:lang w:val="en-US"/>
        </w:rPr>
        <w:t>、氮气（压缩）</w:t>
      </w:r>
      <w:r>
        <w:rPr>
          <w:lang w:val="en-US"/>
        </w:rPr>
        <w:t>。</w:t>
      </w:r>
    </w:p>
    <w:p>
      <w:pPr>
        <w:pStyle w:val="6"/>
        <w:ind w:firstLine="560"/>
        <w:rPr>
          <w:lang w:val="en-US"/>
        </w:rPr>
      </w:pPr>
      <w:r>
        <w:rPr>
          <w:lang w:val="en-US"/>
        </w:rPr>
        <w:t>主要危险、有害物质的危险、有害特性、理化性能参数、防护措施等如下：</w:t>
      </w:r>
    </w:p>
    <w:p>
      <w:pPr>
        <w:pStyle w:val="4"/>
        <w:spacing w:before="62" w:after="62"/>
      </w:pPr>
      <w:r>
        <w:rPr>
          <w:rFonts w:hint="eastAsia"/>
        </w:rPr>
        <w:t>F1.1.1 原油</w:t>
      </w:r>
    </w:p>
    <w:p>
      <w:pPr>
        <w:pStyle w:val="6"/>
        <w:ind w:firstLine="560"/>
        <w:rPr>
          <w:lang w:val="en-US"/>
        </w:rPr>
      </w:pPr>
      <w:r>
        <w:rPr>
          <w:lang w:val="en-US"/>
        </w:rPr>
        <w:t>1）危险性概述</w:t>
      </w:r>
    </w:p>
    <w:p>
      <w:pPr>
        <w:pStyle w:val="6"/>
        <w:ind w:firstLine="560"/>
        <w:rPr>
          <w:lang w:val="en-US"/>
        </w:rPr>
      </w:pPr>
      <w:r>
        <w:rPr>
          <w:lang w:val="en-US"/>
        </w:rPr>
        <w:t>危险性类别：易燃液体，类别3；对水环境的危害-急性、长期，类别3。</w:t>
      </w:r>
    </w:p>
    <w:p>
      <w:pPr>
        <w:pStyle w:val="6"/>
        <w:ind w:firstLine="560"/>
        <w:rPr>
          <w:lang w:val="en-US"/>
        </w:rPr>
      </w:pPr>
      <w:r>
        <w:rPr>
          <w:lang w:val="en-US"/>
        </w:rPr>
        <w:t>健康危害：液体有强烈刺激性。食入可引起恶心、疼痛和呕吐，引起黏膜水肿和溃疡症状，包括口腔和咽喉灼烧感；较大的剂量可引起恶心、呕吐、麻醉、无力、头晕、呼吸表浅、腹痛、抽搐和意识丧失；可引起心律失常、室颤和心电图改变；可发生中枢神经系统抑制。眼睛接触本品可引起刺激，长期接触引起炎症。皮肤长期或持续接触液体可引起脱脂，伴随干燥、破裂、刺激和皮炎。蒸气对上呼吸道有刺激性。高温时吸入伤害加重。吸入高浓度蒸气的急性影响是肺部刺激症状，包括咳嗽伴有恶心；中枢神经抑制表现为头痛、头晕、兴奋、视力模糊、反应迟钝、疲乏和共济失调。长时间暴露于高浓度蒸气中可导致麻醉、神志不清，甚至昏迷和死亡。吸入高浓度的油雾可引起油性肺炎。慢性影响：长时间接触可引起支气管炎和肺水肿。长期皮肤接触可造成皮肤干燥、皲裂和发红。影响神经系统、骨髓机能等。</w:t>
      </w:r>
    </w:p>
    <w:p>
      <w:pPr>
        <w:pStyle w:val="6"/>
        <w:ind w:firstLine="560"/>
        <w:rPr>
          <w:lang w:val="en-US"/>
        </w:rPr>
      </w:pPr>
      <w:r>
        <w:rPr>
          <w:rFonts w:hint="eastAsia"/>
          <w:lang w:val="en-US"/>
        </w:rPr>
        <w:t>物理化学</w:t>
      </w:r>
      <w:r>
        <w:rPr>
          <w:lang w:val="en-US"/>
        </w:rPr>
        <w:t>危险：易燃，其蒸气与空气可形成爆炸性混合物，遇明火、高热极易燃烧爆炸。与氧化剂能发生强烈反应。流速过快，容易产生和积聚静电。其蒸气比空气重，沿地面扩散并易积存于低洼处，遇火源会着火回燃。</w:t>
      </w:r>
    </w:p>
    <w:p>
      <w:pPr>
        <w:pStyle w:val="6"/>
        <w:ind w:firstLine="560"/>
        <w:rPr>
          <w:lang w:val="en-US"/>
        </w:rPr>
      </w:pPr>
      <w:r>
        <w:rPr>
          <w:lang w:val="en-US"/>
        </w:rPr>
        <w:t>2）急救措施</w:t>
      </w:r>
    </w:p>
    <w:p>
      <w:pPr>
        <w:pStyle w:val="6"/>
        <w:ind w:firstLine="560"/>
        <w:rPr>
          <w:lang w:val="en-US"/>
        </w:rPr>
      </w:pPr>
      <w:r>
        <w:rPr>
          <w:lang w:val="en-US"/>
        </w:rPr>
        <w:t>皮肤接触：立即脱掉所有沾染的衣服。用水清洗皮肤/淋浴。如接触到或有疑虑：求医/就诊。</w:t>
      </w:r>
    </w:p>
    <w:p>
      <w:pPr>
        <w:pStyle w:val="6"/>
        <w:ind w:firstLine="560"/>
        <w:rPr>
          <w:lang w:val="en-US"/>
        </w:rPr>
      </w:pPr>
      <w:r>
        <w:rPr>
          <w:lang w:val="en-US"/>
        </w:rPr>
        <w:t>眼睛接触：立即提起眼睑，用大量流动清水或生理盐水冲洗。如有不适感，就医。眼睛受伤后，应由专业人员取出隐形眼镜。</w:t>
      </w:r>
    </w:p>
    <w:p>
      <w:pPr>
        <w:pStyle w:val="6"/>
        <w:ind w:firstLine="560"/>
        <w:rPr>
          <w:lang w:val="en-US"/>
        </w:rPr>
      </w:pPr>
      <w:r>
        <w:rPr>
          <w:lang w:val="en-US"/>
        </w:rPr>
        <w:t>吸入：迅速脱离现场至空气新鲜处。保持呼吸道通畅。如呼吸困难，给输氧。呼吸、心跳停止，立即进行心肺复苏术。就医。</w:t>
      </w:r>
    </w:p>
    <w:p>
      <w:pPr>
        <w:pStyle w:val="6"/>
        <w:ind w:firstLine="560"/>
        <w:rPr>
          <w:lang w:val="en-US"/>
        </w:rPr>
      </w:pPr>
      <w:r>
        <w:rPr>
          <w:lang w:val="en-US"/>
        </w:rPr>
        <w:t>食入：饮水，禁止催吐。保持呼吸道通畅，防止吸入呕吐物。禁止给嗜睡症状或知觉降低即正在失去知觉的病人服用液体。如有不适感，就医。</w:t>
      </w:r>
    </w:p>
    <w:p>
      <w:pPr>
        <w:pStyle w:val="6"/>
        <w:ind w:firstLine="560"/>
        <w:rPr>
          <w:lang w:val="en-US"/>
        </w:rPr>
      </w:pPr>
      <w:r>
        <w:rPr>
          <w:rFonts w:hint="eastAsia"/>
          <w:lang w:val="en-US"/>
        </w:rPr>
        <w:t>3）消防措施</w:t>
      </w:r>
    </w:p>
    <w:p>
      <w:pPr>
        <w:pStyle w:val="6"/>
        <w:ind w:firstLine="560"/>
        <w:rPr>
          <w:lang w:val="en-US"/>
        </w:rPr>
      </w:pPr>
      <w:r>
        <w:rPr>
          <w:lang w:val="en-US"/>
        </w:rPr>
        <w:t>特别危险性：本品易燃。其蒸气与空气可形成爆炸性混合物，遇明火、高热极易燃烧爆炸。与氧化剂能发生强烈反应。流速过快，容易产生和积聚静电。其蒸气比空气重，沿地面扩散并易积存于低洼处，遇火源会着火回燃。</w:t>
      </w:r>
    </w:p>
    <w:p>
      <w:pPr>
        <w:pStyle w:val="6"/>
        <w:ind w:firstLine="560"/>
        <w:rPr>
          <w:lang w:val="en-US"/>
        </w:rPr>
      </w:pPr>
      <w:r>
        <w:rPr>
          <w:lang w:val="en-US"/>
        </w:rPr>
        <w:t>灭火方法和灭火剂：从上风向进入火场,喷水冷却容器，可能的话将容器从火场移至空旷处。如有液体流淌时，应筑堤拦截漂散流淌的易燃液体或挖沟导流。采用泡沫、干粉、二氧化碳、砂土灭火。</w:t>
      </w:r>
    </w:p>
    <w:p>
      <w:pPr>
        <w:pStyle w:val="6"/>
        <w:ind w:firstLine="560"/>
        <w:rPr>
          <w:lang w:val="en-US"/>
        </w:rPr>
      </w:pPr>
      <w:r>
        <w:rPr>
          <w:lang w:val="en-US"/>
        </w:rPr>
        <w:t>特殊灭火方法及保护消防人员特殊的防护装备：消防人员必须佩戴空气呼吸器、穿全身防火防毒服，在上风向灭火。尽可能将容器从火场移至空旷处。喷水保持火场容器冷却，直至灭火结束。</w:t>
      </w:r>
    </w:p>
    <w:p>
      <w:pPr>
        <w:pStyle w:val="6"/>
        <w:ind w:firstLine="560"/>
        <w:rPr>
          <w:lang w:val="en-US"/>
        </w:rPr>
      </w:pPr>
      <w:r>
        <w:rPr>
          <w:rFonts w:hint="eastAsia"/>
          <w:lang w:val="en-US"/>
        </w:rPr>
        <w:t>4）泄漏应急处理</w:t>
      </w:r>
    </w:p>
    <w:p>
      <w:pPr>
        <w:pStyle w:val="6"/>
        <w:ind w:firstLine="560"/>
        <w:rPr>
          <w:lang w:val="en-US"/>
        </w:rPr>
      </w:pPr>
      <w:r>
        <w:rPr>
          <w:lang w:val="en-US"/>
        </w:rPr>
        <w:t>作业人员防护措施、防护装备和应急处置程序：消除所有点火源。根据液体流动和蒸气扩散的影响区域划定警戒区，无关人员从侧风、上风向撤离至安全区。建议应急处理人员佩戴正压自给式呼吸器，穿防静电服。作业时使用的所有物设备应接地。禁止接触或跨越泄漏。尽可能切断泄漏源。</w:t>
      </w:r>
    </w:p>
    <w:p>
      <w:pPr>
        <w:pStyle w:val="6"/>
        <w:ind w:firstLine="560"/>
        <w:rPr>
          <w:lang w:val="en-US"/>
        </w:rPr>
      </w:pPr>
      <w:r>
        <w:rPr>
          <w:lang w:val="en-US"/>
        </w:rPr>
        <w:t>泄漏化学品的收容、清除方法及所使用的处置材料：小量泄露：用砂土或其他不燃材料吸收。使用洁净的无火花工具收集吸收材料。</w:t>
      </w:r>
    </w:p>
    <w:p>
      <w:pPr>
        <w:pStyle w:val="6"/>
        <w:ind w:firstLine="560"/>
        <w:rPr>
          <w:lang w:val="en-US"/>
        </w:rPr>
      </w:pPr>
      <w:r>
        <w:rPr>
          <w:lang w:val="en-US"/>
        </w:rPr>
        <w:t>大量泄漏：构筑围堤或挖坑收容。用泡沫覆盖，减少蒸发。喷水雾能减少蒸发，但不能降低泄漏物在限制性空间内的易燃性。用防爆泵转移至槽车或专用收集器内。</w:t>
      </w:r>
    </w:p>
    <w:p>
      <w:pPr>
        <w:pStyle w:val="6"/>
        <w:ind w:firstLine="560"/>
        <w:rPr>
          <w:lang w:val="en-US"/>
        </w:rPr>
      </w:pPr>
      <w:r>
        <w:rPr>
          <w:rFonts w:hint="eastAsia"/>
          <w:lang w:val="en-US"/>
        </w:rPr>
        <w:t>5）操作处置与储存</w:t>
      </w:r>
    </w:p>
    <w:p>
      <w:pPr>
        <w:pStyle w:val="6"/>
        <w:ind w:firstLine="560"/>
        <w:rPr>
          <w:lang w:val="en-US"/>
        </w:rPr>
      </w:pPr>
      <w:r>
        <w:rPr>
          <w:lang w:val="en-US"/>
        </w:rPr>
        <w:t>操作处置：密闭操作，注意通风。操作人员必须经过专门培训，严格遵守操作规程。建议操作人员佩戴过滤式防毒面具，穿防静电工作服。远离火种、热源。工作场所严禁吸烟。使用防爆型的通风系统和设备。防止蒸气泄漏到工作场所空气中。避免与氧化剂接触。灌装时应控制流速，且有接地装置，防止静电积聚。在清除液体和蒸气前不能进行焊接、切割等作业。搬运时要轻装轻卸，防止包装及容器损坏。配备相应品种和数量的消防器材和泄漏应急处理设备。倒空的容器可能残留有害物。</w:t>
      </w:r>
    </w:p>
    <w:p>
      <w:pPr>
        <w:pStyle w:val="6"/>
        <w:ind w:firstLine="560"/>
        <w:rPr>
          <w:lang w:val="en-US"/>
        </w:rPr>
      </w:pPr>
      <w:r>
        <w:rPr>
          <w:lang w:val="en-US"/>
        </w:rPr>
        <w:t>储存：储存于阴凉、通风的库房。远离火种、热源。库温不宜超过30℃，保持容器密封。应与氧化剂、食品及食品添加剂等分开存放，切忌混储。采用防爆型照明、通风设备。禁止使用易产生火花的机械设备和工具。储区应备有泄漏应急处理设备和合适的收容材料。</w:t>
      </w:r>
    </w:p>
    <w:p>
      <w:pPr>
        <w:pStyle w:val="6"/>
        <w:ind w:firstLine="560"/>
        <w:rPr>
          <w:lang w:val="en-US"/>
        </w:rPr>
      </w:pPr>
      <w:r>
        <w:rPr>
          <w:rFonts w:hint="eastAsia"/>
          <w:lang w:val="en-US"/>
        </w:rPr>
        <w:t>6）个体防护</w:t>
      </w:r>
    </w:p>
    <w:p>
      <w:pPr>
        <w:pStyle w:val="6"/>
        <w:ind w:firstLine="560"/>
        <w:rPr>
          <w:lang w:val="en-US"/>
        </w:rPr>
      </w:pPr>
      <w:r>
        <w:rPr>
          <w:lang w:val="en-US"/>
        </w:rPr>
        <w:t>呼吸系统防护：可能接触其蒸气时，必须佩戴过滤式防毒面具（半面罩）。紧急事态抢救或撤离时，佩戴空气呼吸器。</w:t>
      </w:r>
    </w:p>
    <w:p>
      <w:pPr>
        <w:pStyle w:val="6"/>
        <w:ind w:firstLine="560"/>
        <w:rPr>
          <w:lang w:val="en-US"/>
        </w:rPr>
      </w:pPr>
      <w:r>
        <w:rPr>
          <w:lang w:val="en-US"/>
        </w:rPr>
        <w:t>眼睛防护：戴化学安全防护眼镜。</w:t>
      </w:r>
    </w:p>
    <w:p>
      <w:pPr>
        <w:pStyle w:val="6"/>
        <w:ind w:firstLine="560"/>
        <w:rPr>
          <w:lang w:val="en-US"/>
        </w:rPr>
      </w:pPr>
      <w:r>
        <w:rPr>
          <w:lang w:val="en-US"/>
        </w:rPr>
        <w:t>皮肤和身体防护：穿防静电工作服。</w:t>
      </w:r>
    </w:p>
    <w:p>
      <w:pPr>
        <w:pStyle w:val="6"/>
        <w:ind w:firstLine="560"/>
        <w:rPr>
          <w:lang w:val="en-US"/>
        </w:rPr>
      </w:pPr>
      <w:r>
        <w:rPr>
          <w:lang w:val="en-US"/>
        </w:rPr>
        <w:t>手防护：戴一般作业防护手套。</w:t>
      </w:r>
    </w:p>
    <w:p>
      <w:pPr>
        <w:pStyle w:val="6"/>
        <w:ind w:firstLine="560"/>
        <w:rPr>
          <w:lang w:val="en-US"/>
        </w:rPr>
      </w:pPr>
      <w:r>
        <w:rPr>
          <w:lang w:val="en-US"/>
        </w:rPr>
        <w:t>其他防护：工作现场禁止吸烟、进食和饮水。工作完毕，彻底清洗。</w:t>
      </w:r>
    </w:p>
    <w:p>
      <w:pPr>
        <w:pStyle w:val="6"/>
        <w:ind w:firstLine="560"/>
        <w:rPr>
          <w:lang w:val="en-US"/>
        </w:rPr>
      </w:pPr>
      <w:r>
        <w:rPr>
          <w:rFonts w:hint="eastAsia"/>
          <w:lang w:val="en-US"/>
        </w:rPr>
        <w:t>7）理化特性</w:t>
      </w:r>
    </w:p>
    <w:p>
      <w:pPr>
        <w:pStyle w:val="23"/>
      </w:pPr>
      <w:r>
        <w:rPr>
          <w:lang w:val="en-US"/>
        </w:rPr>
        <w:t>附</w:t>
      </w:r>
      <w:r>
        <w:t>表</w:t>
      </w:r>
      <w:r>
        <w:rPr>
          <w:lang w:val="en-US"/>
        </w:rPr>
        <w:t>1</w:t>
      </w:r>
      <w:r>
        <w:t>.1-1  原油的理化性质表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1587"/>
        <w:gridCol w:w="267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外观与形状</w:t>
            </w:r>
          </w:p>
        </w:tc>
        <w:tc>
          <w:tcPr>
            <w:tcW w:w="3333" w:type="pct"/>
            <w:gridSpan w:val="3"/>
            <w:vAlign w:val="center"/>
          </w:tcPr>
          <w:p>
            <w:pPr>
              <w:pStyle w:val="24"/>
            </w:pPr>
            <w:r>
              <w:t>红棕色或黑色有绿色荧光的稠厚性油状液体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pH值（指明浓度）</w:t>
            </w:r>
          </w:p>
        </w:tc>
        <w:tc>
          <w:tcPr>
            <w:tcW w:w="931" w:type="pct"/>
            <w:vAlign w:val="center"/>
          </w:tcPr>
          <w:p>
            <w:pPr>
              <w:pStyle w:val="24"/>
            </w:pPr>
            <w:r>
              <w:t>无资料</w:t>
            </w:r>
          </w:p>
        </w:tc>
        <w:tc>
          <w:tcPr>
            <w:tcW w:w="1570" w:type="pct"/>
            <w:vAlign w:val="center"/>
          </w:tcPr>
          <w:p>
            <w:pPr>
              <w:pStyle w:val="24"/>
              <w:rPr>
                <w:b/>
                <w:bCs/>
              </w:rPr>
            </w:pPr>
            <w:r>
              <w:rPr>
                <w:b/>
                <w:bCs/>
              </w:rPr>
              <w:t>熔点/凝固点（℃）</w:t>
            </w:r>
          </w:p>
        </w:tc>
        <w:tc>
          <w:tcPr>
            <w:tcW w:w="832" w:type="pct"/>
            <w:vAlign w:val="center"/>
          </w:tcPr>
          <w:p>
            <w:pPr>
              <w:pStyle w:val="24"/>
            </w:pPr>
            <w: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沸点、初沸点和沸程（℃）</w:t>
            </w:r>
          </w:p>
        </w:tc>
        <w:tc>
          <w:tcPr>
            <w:tcW w:w="931" w:type="pct"/>
            <w:vAlign w:val="center"/>
          </w:tcPr>
          <w:p>
            <w:pPr>
              <w:pStyle w:val="24"/>
            </w:pPr>
            <w:r>
              <w:t>30-230</w:t>
            </w:r>
          </w:p>
        </w:tc>
        <w:tc>
          <w:tcPr>
            <w:tcW w:w="1570" w:type="pct"/>
            <w:vAlign w:val="center"/>
          </w:tcPr>
          <w:p>
            <w:pPr>
              <w:pStyle w:val="24"/>
              <w:rPr>
                <w:b/>
                <w:bCs/>
              </w:rPr>
            </w:pPr>
            <w:r>
              <w:rPr>
                <w:b/>
                <w:bCs/>
              </w:rPr>
              <w:t>密度（g/L）</w:t>
            </w:r>
          </w:p>
        </w:tc>
        <w:tc>
          <w:tcPr>
            <w:tcW w:w="832" w:type="pct"/>
            <w:vAlign w:val="center"/>
          </w:tcPr>
          <w:p>
            <w:pPr>
              <w:pStyle w:val="24"/>
            </w:pPr>
            <w:r>
              <w:t>850-966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相对蒸气密度（空气=1）</w:t>
            </w:r>
          </w:p>
        </w:tc>
        <w:tc>
          <w:tcPr>
            <w:tcW w:w="931" w:type="pct"/>
            <w:vAlign w:val="center"/>
          </w:tcPr>
          <w:p>
            <w:pPr>
              <w:pStyle w:val="24"/>
            </w:pPr>
            <w:r>
              <w:t>无资料</w:t>
            </w:r>
          </w:p>
        </w:tc>
        <w:tc>
          <w:tcPr>
            <w:tcW w:w="1570" w:type="pct"/>
            <w:vAlign w:val="center"/>
          </w:tcPr>
          <w:p>
            <w:pPr>
              <w:pStyle w:val="24"/>
              <w:rPr>
                <w:b/>
                <w:bCs/>
              </w:rPr>
            </w:pPr>
            <w:r>
              <w:rPr>
                <w:b/>
                <w:bCs/>
              </w:rPr>
              <w:t>相对密度（水=1）</w:t>
            </w:r>
          </w:p>
        </w:tc>
        <w:tc>
          <w:tcPr>
            <w:tcW w:w="832" w:type="pct"/>
            <w:vAlign w:val="center"/>
          </w:tcPr>
          <w:p>
            <w:pPr>
              <w:pStyle w:val="24"/>
            </w:pPr>
            <w:r>
              <w:t>0.85～0.966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燃烧热（kJ/mol）</w:t>
            </w:r>
          </w:p>
        </w:tc>
        <w:tc>
          <w:tcPr>
            <w:tcW w:w="931" w:type="pct"/>
            <w:vAlign w:val="center"/>
          </w:tcPr>
          <w:p>
            <w:pPr>
              <w:pStyle w:val="24"/>
            </w:pPr>
            <w:r>
              <w:t>无资料</w:t>
            </w:r>
          </w:p>
        </w:tc>
        <w:tc>
          <w:tcPr>
            <w:tcW w:w="1570" w:type="pct"/>
            <w:vAlign w:val="center"/>
          </w:tcPr>
          <w:p>
            <w:pPr>
              <w:pStyle w:val="24"/>
              <w:rPr>
                <w:b/>
                <w:bCs/>
              </w:rPr>
            </w:pPr>
            <w:r>
              <w:rPr>
                <w:b/>
                <w:bCs/>
              </w:rPr>
              <w:t>饱和蒸气压（kPa）</w:t>
            </w:r>
          </w:p>
        </w:tc>
        <w:tc>
          <w:tcPr>
            <w:tcW w:w="832" w:type="pct"/>
            <w:vAlign w:val="center"/>
          </w:tcPr>
          <w:p>
            <w:pPr>
              <w:pStyle w:val="24"/>
            </w:pPr>
            <w: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临界压力（MPa）</w:t>
            </w:r>
          </w:p>
        </w:tc>
        <w:tc>
          <w:tcPr>
            <w:tcW w:w="931" w:type="pct"/>
            <w:vAlign w:val="center"/>
          </w:tcPr>
          <w:p>
            <w:pPr>
              <w:pStyle w:val="24"/>
            </w:pPr>
            <w:r>
              <w:t>无资料</w:t>
            </w:r>
          </w:p>
        </w:tc>
        <w:tc>
          <w:tcPr>
            <w:tcW w:w="1570" w:type="pct"/>
            <w:vAlign w:val="center"/>
          </w:tcPr>
          <w:p>
            <w:pPr>
              <w:pStyle w:val="24"/>
              <w:rPr>
                <w:b/>
                <w:bCs/>
              </w:rPr>
            </w:pPr>
            <w:r>
              <w:rPr>
                <w:b/>
                <w:bCs/>
              </w:rPr>
              <w:t>临界温度（℃）</w:t>
            </w:r>
          </w:p>
        </w:tc>
        <w:tc>
          <w:tcPr>
            <w:tcW w:w="832" w:type="pct"/>
            <w:vAlign w:val="center"/>
          </w:tcPr>
          <w:p>
            <w:pPr>
              <w:pStyle w:val="24"/>
            </w:pPr>
            <w: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闪点（℃）</w:t>
            </w:r>
          </w:p>
        </w:tc>
        <w:tc>
          <w:tcPr>
            <w:tcW w:w="931" w:type="pct"/>
            <w:vAlign w:val="center"/>
          </w:tcPr>
          <w:p>
            <w:pPr>
              <w:pStyle w:val="24"/>
            </w:pPr>
            <w:r>
              <w:rPr>
                <w:rFonts w:hint="eastAsia"/>
              </w:rPr>
              <w:t>25</w:t>
            </w:r>
          </w:p>
        </w:tc>
        <w:tc>
          <w:tcPr>
            <w:tcW w:w="1570" w:type="pct"/>
            <w:vAlign w:val="center"/>
          </w:tcPr>
          <w:p>
            <w:pPr>
              <w:pStyle w:val="24"/>
              <w:rPr>
                <w:b/>
                <w:bCs/>
              </w:rPr>
            </w:pPr>
            <w:r>
              <w:rPr>
                <w:b/>
                <w:bCs/>
              </w:rPr>
              <w:t>n-辛醇/水分配系数</w:t>
            </w:r>
          </w:p>
        </w:tc>
        <w:tc>
          <w:tcPr>
            <w:tcW w:w="832" w:type="pct"/>
            <w:vAlign w:val="center"/>
          </w:tcPr>
          <w:p>
            <w:pPr>
              <w:pStyle w:val="24"/>
            </w:pPr>
            <w: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分解温度（℃）</w:t>
            </w:r>
          </w:p>
        </w:tc>
        <w:tc>
          <w:tcPr>
            <w:tcW w:w="931" w:type="pct"/>
            <w:vAlign w:val="center"/>
          </w:tcPr>
          <w:p>
            <w:pPr>
              <w:pStyle w:val="24"/>
            </w:pPr>
            <w:r>
              <w:t>无资料</w:t>
            </w:r>
          </w:p>
        </w:tc>
        <w:tc>
          <w:tcPr>
            <w:tcW w:w="1570" w:type="pct"/>
            <w:vAlign w:val="center"/>
          </w:tcPr>
          <w:p>
            <w:pPr>
              <w:pStyle w:val="24"/>
              <w:rPr>
                <w:b/>
                <w:bCs/>
              </w:rPr>
            </w:pPr>
            <w:r>
              <w:rPr>
                <w:b/>
                <w:bCs/>
              </w:rPr>
              <w:t>引燃温度（℃）</w:t>
            </w:r>
          </w:p>
        </w:tc>
        <w:tc>
          <w:tcPr>
            <w:tcW w:w="832" w:type="pct"/>
            <w:vAlign w:val="center"/>
          </w:tcPr>
          <w:p>
            <w:pPr>
              <w:pStyle w:val="24"/>
            </w:pPr>
            <w: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1666" w:type="pct"/>
            <w:vAlign w:val="center"/>
          </w:tcPr>
          <w:p>
            <w:pPr>
              <w:pStyle w:val="24"/>
              <w:rPr>
                <w:b/>
                <w:bCs/>
              </w:rPr>
            </w:pPr>
            <w:r>
              <w:rPr>
                <w:b/>
                <w:bCs/>
              </w:rPr>
              <w:t>易燃性</w:t>
            </w:r>
          </w:p>
        </w:tc>
        <w:tc>
          <w:tcPr>
            <w:tcW w:w="3333" w:type="pct"/>
            <w:gridSpan w:val="3"/>
            <w:vAlign w:val="center"/>
          </w:tcPr>
          <w:p>
            <w:pPr>
              <w:pStyle w:val="24"/>
            </w:pPr>
            <w:r>
              <w:t>本品易燃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6" w:type="pct"/>
            <w:vAlign w:val="center"/>
          </w:tcPr>
          <w:p>
            <w:pPr>
              <w:pStyle w:val="24"/>
              <w:rPr>
                <w:b/>
                <w:bCs/>
              </w:rPr>
            </w:pPr>
            <w:r>
              <w:rPr>
                <w:b/>
                <w:bCs/>
              </w:rPr>
              <w:t>溶解性</w:t>
            </w:r>
          </w:p>
        </w:tc>
        <w:tc>
          <w:tcPr>
            <w:tcW w:w="3333" w:type="pct"/>
            <w:gridSpan w:val="3"/>
            <w:vAlign w:val="center"/>
          </w:tcPr>
          <w:p>
            <w:pPr>
              <w:pStyle w:val="24"/>
            </w:pPr>
            <w:r>
              <w:t>不溶于水，易溶于多种有机溶剂</w:t>
            </w:r>
          </w:p>
        </w:tc>
      </w:tr>
    </w:tbl>
    <w:p>
      <w:pPr>
        <w:pStyle w:val="26"/>
      </w:pPr>
      <w:r>
        <w:t>注：原油理化性质的数据来源于</w:t>
      </w:r>
      <w:r>
        <w:rPr>
          <w:rFonts w:hint="eastAsia"/>
        </w:rPr>
        <w:t>石油化工总厂</w:t>
      </w:r>
      <w:r>
        <w:t>石油原油SDS报告。</w:t>
      </w:r>
    </w:p>
    <w:p>
      <w:pPr>
        <w:pStyle w:val="4"/>
        <w:spacing w:before="62" w:after="62"/>
      </w:pPr>
      <w:r>
        <w:rPr>
          <w:rFonts w:hint="eastAsia"/>
        </w:rPr>
        <w:t>F1.1.2 氮气</w:t>
      </w:r>
    </w:p>
    <w:p>
      <w:pPr>
        <w:pStyle w:val="6"/>
        <w:ind w:firstLine="560"/>
        <w:rPr>
          <w:lang w:val="en-US"/>
        </w:rPr>
      </w:pPr>
      <w:r>
        <w:rPr>
          <w:rFonts w:hint="eastAsia"/>
          <w:lang w:val="en-US"/>
        </w:rPr>
        <w:t>1）危险性概述</w:t>
      </w:r>
    </w:p>
    <w:p>
      <w:pPr>
        <w:pStyle w:val="6"/>
        <w:ind w:firstLine="560"/>
        <w:rPr>
          <w:lang w:val="en-US"/>
        </w:rPr>
      </w:pPr>
      <w:r>
        <w:rPr>
          <w:rFonts w:hint="eastAsia"/>
          <w:lang w:val="en-US"/>
        </w:rPr>
        <w:t>危险化学品目录序号：172</w:t>
      </w:r>
    </w:p>
    <w:p>
      <w:pPr>
        <w:pStyle w:val="6"/>
        <w:ind w:firstLine="560"/>
        <w:rPr>
          <w:lang w:val="en-US"/>
        </w:rPr>
      </w:pPr>
      <w:r>
        <w:rPr>
          <w:rFonts w:hint="eastAsia"/>
          <w:lang w:val="en-US"/>
        </w:rPr>
        <w:t>危险性类别：加压气体</w:t>
      </w:r>
    </w:p>
    <w:p>
      <w:pPr>
        <w:pStyle w:val="6"/>
        <w:ind w:firstLine="560"/>
        <w:rPr>
          <w:lang w:val="en-US"/>
        </w:rPr>
      </w:pPr>
      <w:r>
        <w:rPr>
          <w:rFonts w:hint="eastAsia"/>
          <w:lang w:val="en-US"/>
        </w:rPr>
        <w:t>侵入途径：吸入</w:t>
      </w:r>
    </w:p>
    <w:p>
      <w:pPr>
        <w:pStyle w:val="6"/>
        <w:ind w:firstLine="560"/>
        <w:rPr>
          <w:lang w:val="en-US"/>
        </w:rPr>
      </w:pPr>
      <w:r>
        <w:rPr>
          <w:rFonts w:hint="eastAsia"/>
          <w:lang w:val="en-US"/>
        </w:rPr>
        <w:t>健康危害：空气中氮气含量过高，使吸入气氧分压下降，引起缺氧窒息。吸入氮气浓度不太高时，患者最初感胸闷、气短、疲软无力；继而有烦躁不安、极度兴奋、乱跑、叫喊、神情恍惚、步态不稳，称之为“氮酩酊”，可进入昏睡或昏迷状态。吸入高浓度，患者可迅速昏迷、因呼吸和心跳停止而死亡。</w:t>
      </w:r>
    </w:p>
    <w:p>
      <w:pPr>
        <w:pStyle w:val="6"/>
        <w:ind w:firstLine="560"/>
        <w:rPr>
          <w:lang w:val="en-US"/>
        </w:rPr>
      </w:pPr>
      <w:r>
        <w:rPr>
          <w:rFonts w:hint="eastAsia"/>
          <w:lang w:val="en-US"/>
        </w:rPr>
        <w:t>潜水员深潜时，可发生氮的麻醉作用；若从高压环境下过快转入常压环境，体内会形成氮气气泡，压迫神经、血管或造成徽血管阻塞，发生“减压病”。</w:t>
      </w:r>
    </w:p>
    <w:p>
      <w:pPr>
        <w:pStyle w:val="6"/>
        <w:ind w:firstLine="560"/>
        <w:rPr>
          <w:lang w:val="en-US"/>
        </w:rPr>
      </w:pPr>
      <w:r>
        <w:rPr>
          <w:rFonts w:hint="eastAsia"/>
          <w:lang w:val="en-US"/>
        </w:rPr>
        <w:t>燃爆危险：本品不燃。</w:t>
      </w:r>
    </w:p>
    <w:p>
      <w:pPr>
        <w:pStyle w:val="6"/>
        <w:ind w:firstLine="560"/>
        <w:rPr>
          <w:lang w:val="en-US"/>
        </w:rPr>
      </w:pPr>
      <w:r>
        <w:rPr>
          <w:rFonts w:hint="eastAsia"/>
          <w:lang w:val="en-US"/>
        </w:rPr>
        <w:t>2）急救措施</w:t>
      </w:r>
    </w:p>
    <w:p>
      <w:pPr>
        <w:pStyle w:val="6"/>
        <w:ind w:firstLine="560"/>
        <w:rPr>
          <w:lang w:val="en-US"/>
        </w:rPr>
      </w:pPr>
      <w:r>
        <w:rPr>
          <w:rFonts w:hint="eastAsia"/>
          <w:lang w:val="en-US"/>
        </w:rPr>
        <w:t>吸入：迅速脱离现场至空气新鲜处。保持呼吸道通畅。如呼吸困难，给输氧。呼吸心跳停止时，立即进行人工呼吸和胸外心脏按压术。就医。</w:t>
      </w:r>
    </w:p>
    <w:p>
      <w:pPr>
        <w:pStyle w:val="6"/>
        <w:ind w:firstLine="560"/>
        <w:rPr>
          <w:lang w:val="en-US"/>
        </w:rPr>
      </w:pPr>
      <w:r>
        <w:rPr>
          <w:rFonts w:hint="eastAsia"/>
          <w:lang w:val="en-US"/>
        </w:rPr>
        <w:t>3）消防措施</w:t>
      </w:r>
    </w:p>
    <w:p>
      <w:pPr>
        <w:pStyle w:val="6"/>
        <w:ind w:firstLine="560"/>
        <w:rPr>
          <w:lang w:val="en-US"/>
        </w:rPr>
      </w:pPr>
      <w:r>
        <w:rPr>
          <w:rFonts w:hint="eastAsia"/>
          <w:lang w:val="en-US"/>
        </w:rPr>
        <w:t>危险特性：若遇高热，容器内压增大，有开裂和爆炸的危险。</w:t>
      </w:r>
    </w:p>
    <w:p>
      <w:pPr>
        <w:pStyle w:val="6"/>
        <w:ind w:firstLine="560"/>
        <w:rPr>
          <w:lang w:val="en-US"/>
        </w:rPr>
      </w:pPr>
      <w:r>
        <w:rPr>
          <w:rFonts w:hint="eastAsia"/>
          <w:lang w:val="en-US"/>
        </w:rPr>
        <w:t>有害燃烧产物：氮气。</w:t>
      </w:r>
    </w:p>
    <w:p>
      <w:pPr>
        <w:pStyle w:val="6"/>
        <w:ind w:firstLine="560"/>
        <w:rPr>
          <w:lang w:val="en-US"/>
        </w:rPr>
      </w:pPr>
      <w:r>
        <w:rPr>
          <w:rFonts w:hint="eastAsia"/>
          <w:lang w:val="en-US"/>
        </w:rPr>
        <w:t>灭火方法：本品不燃。尽可能将容器从火场移至空旷处。喷水保持火场容器冷却，直至灭火结束。</w:t>
      </w:r>
    </w:p>
    <w:p>
      <w:pPr>
        <w:pStyle w:val="6"/>
        <w:ind w:firstLine="560"/>
        <w:rPr>
          <w:lang w:val="en-US"/>
        </w:rPr>
      </w:pPr>
      <w:r>
        <w:rPr>
          <w:rFonts w:hint="eastAsia"/>
          <w:lang w:val="en-US"/>
        </w:rPr>
        <w:t>4）泄漏应急处理</w:t>
      </w:r>
    </w:p>
    <w:p>
      <w:pPr>
        <w:pStyle w:val="6"/>
        <w:ind w:firstLine="560"/>
        <w:rPr>
          <w:lang w:val="en-US"/>
        </w:rPr>
      </w:pPr>
      <w:r>
        <w:rPr>
          <w:rFonts w:hint="eastAsia"/>
          <w:lang w:val="en-US"/>
        </w:rPr>
        <w:t>应急处理：迅速撤离泄漏污染区人员至上风处，并进行隔离，严格限制出入。建议应急处理人员戴自给正压式呼吸器，穿一般作业工作服。尽可能切断泄漏源。合理通风，加速扩散。漏气容器要妥善处理，修复、检验后再用。</w:t>
      </w:r>
    </w:p>
    <w:p>
      <w:pPr>
        <w:pStyle w:val="6"/>
        <w:ind w:firstLine="560"/>
        <w:rPr>
          <w:lang w:val="en-US"/>
        </w:rPr>
      </w:pPr>
      <w:r>
        <w:rPr>
          <w:rFonts w:hint="eastAsia"/>
          <w:lang w:val="en-US"/>
        </w:rPr>
        <w:t>5）操作处置与储存</w:t>
      </w:r>
    </w:p>
    <w:p>
      <w:pPr>
        <w:pStyle w:val="6"/>
        <w:ind w:firstLine="560"/>
        <w:rPr>
          <w:lang w:val="en-US"/>
        </w:rPr>
      </w:pPr>
      <w:r>
        <w:rPr>
          <w:rFonts w:hint="eastAsia"/>
          <w:lang w:val="en-US"/>
        </w:rPr>
        <w:t>操作注意事项：密闭操作。密闭操作，提供良好的自然通风条件。操作人员必须经过专门培训，严格遵守操作规程。防止气体泄漏到工作场所空气中。搬运时轻装轻卸，防止钢瓶及附件破损。配备泄漏应急处理设备。</w:t>
      </w:r>
    </w:p>
    <w:p>
      <w:pPr>
        <w:pStyle w:val="6"/>
        <w:ind w:firstLine="560"/>
        <w:rPr>
          <w:lang w:val="en-US"/>
        </w:rPr>
      </w:pPr>
      <w:r>
        <w:rPr>
          <w:rFonts w:hint="eastAsia"/>
          <w:lang w:val="en-US"/>
        </w:rPr>
        <w:t>储存注意事项：储存于阴凉、通风的库房。远离火种、热源。库温不宜超过30℃。储区应备有泄漏应急处理设备。</w:t>
      </w:r>
    </w:p>
    <w:p>
      <w:pPr>
        <w:pStyle w:val="6"/>
        <w:ind w:firstLine="560"/>
        <w:rPr>
          <w:lang w:val="en-US"/>
        </w:rPr>
      </w:pPr>
      <w:r>
        <w:rPr>
          <w:rFonts w:hint="eastAsia"/>
          <w:lang w:val="en-US"/>
        </w:rPr>
        <w:t>6）接触控制/个体防护</w:t>
      </w:r>
    </w:p>
    <w:p>
      <w:pPr>
        <w:pStyle w:val="6"/>
        <w:ind w:firstLine="560"/>
        <w:rPr>
          <w:lang w:val="en-US"/>
        </w:rPr>
      </w:pPr>
      <w:r>
        <w:rPr>
          <w:rFonts w:hint="eastAsia"/>
          <w:lang w:val="en-US"/>
        </w:rPr>
        <w:t>工程控制：密闭操作。提供良好的自然通风条件。</w:t>
      </w:r>
    </w:p>
    <w:p>
      <w:pPr>
        <w:pStyle w:val="6"/>
        <w:ind w:firstLine="560"/>
        <w:rPr>
          <w:lang w:val="en-US"/>
        </w:rPr>
      </w:pPr>
      <w:r>
        <w:rPr>
          <w:rFonts w:hint="eastAsia"/>
          <w:lang w:val="en-US"/>
        </w:rPr>
        <w:t>呼吸系统防护：一般不需特殊防护。当作业场所空气中氧气浓度低于18％时，必须佩戴空气呼吸器、氧气呼吸器或长管面具。</w:t>
      </w:r>
    </w:p>
    <w:p>
      <w:pPr>
        <w:pStyle w:val="6"/>
        <w:ind w:firstLine="560"/>
        <w:rPr>
          <w:lang w:val="en-US"/>
        </w:rPr>
      </w:pPr>
      <w:r>
        <w:rPr>
          <w:rFonts w:hint="eastAsia"/>
          <w:lang w:val="en-US"/>
        </w:rPr>
        <w:t>眼睛防护：一般不需特殊防护。</w:t>
      </w:r>
    </w:p>
    <w:p>
      <w:pPr>
        <w:pStyle w:val="6"/>
        <w:ind w:firstLine="560"/>
        <w:rPr>
          <w:lang w:val="en-US"/>
        </w:rPr>
      </w:pPr>
      <w:r>
        <w:rPr>
          <w:rFonts w:hint="eastAsia"/>
          <w:lang w:val="en-US"/>
        </w:rPr>
        <w:t>身体防护：穿一般作业工作服。</w:t>
      </w:r>
    </w:p>
    <w:p>
      <w:pPr>
        <w:pStyle w:val="6"/>
        <w:ind w:firstLine="560"/>
        <w:rPr>
          <w:lang w:val="en-US"/>
        </w:rPr>
      </w:pPr>
      <w:r>
        <w:rPr>
          <w:rFonts w:hint="eastAsia"/>
          <w:lang w:val="en-US"/>
        </w:rPr>
        <w:t>手防护：戴一般作业防护手套。</w:t>
      </w:r>
    </w:p>
    <w:p>
      <w:pPr>
        <w:pStyle w:val="6"/>
        <w:ind w:firstLine="560"/>
        <w:rPr>
          <w:lang w:val="en-US"/>
        </w:rPr>
      </w:pPr>
      <w:r>
        <w:rPr>
          <w:rFonts w:hint="eastAsia"/>
          <w:lang w:val="en-US"/>
        </w:rPr>
        <w:t>其它防护：避免高浓度吸入。进入罐、限制性空间或其它高浓度区作业，须有人监护。</w:t>
      </w:r>
    </w:p>
    <w:p>
      <w:pPr>
        <w:pStyle w:val="6"/>
        <w:ind w:firstLine="560"/>
        <w:rPr>
          <w:lang w:val="en-US"/>
        </w:rPr>
      </w:pPr>
      <w:r>
        <w:rPr>
          <w:rFonts w:hint="eastAsia"/>
          <w:lang w:val="en-US"/>
        </w:rPr>
        <w:t>7）理化特性</w:t>
      </w:r>
    </w:p>
    <w:p>
      <w:pPr>
        <w:pStyle w:val="6"/>
        <w:ind w:firstLine="560"/>
        <w:rPr>
          <w:lang w:val="en-US"/>
        </w:rPr>
      </w:pPr>
      <w:r>
        <w:rPr>
          <w:rFonts w:hint="eastAsia"/>
          <w:lang w:val="en-US"/>
        </w:rPr>
        <w:t>外观与性状：无色无臭气体。</w:t>
      </w:r>
    </w:p>
    <w:p>
      <w:pPr>
        <w:pStyle w:val="6"/>
        <w:ind w:firstLine="560"/>
        <w:rPr>
          <w:lang w:val="en-US"/>
        </w:rPr>
      </w:pPr>
      <w:r>
        <w:rPr>
          <w:rFonts w:hint="eastAsia"/>
          <w:lang w:val="en-US"/>
        </w:rPr>
        <w:t>分子式：N</w:t>
      </w:r>
      <w:r>
        <w:rPr>
          <w:rFonts w:hint="eastAsia"/>
          <w:vertAlign w:val="subscript"/>
          <w:lang w:val="en-US"/>
        </w:rPr>
        <w:t xml:space="preserve">2                                     </w:t>
      </w:r>
      <w:r>
        <w:rPr>
          <w:rFonts w:hint="eastAsia"/>
          <w:lang w:val="en-US"/>
        </w:rPr>
        <w:t>分子量：28.01</w:t>
      </w:r>
    </w:p>
    <w:p>
      <w:pPr>
        <w:pStyle w:val="6"/>
        <w:ind w:firstLine="560"/>
        <w:rPr>
          <w:lang w:val="en-US"/>
        </w:rPr>
      </w:pPr>
      <w:r>
        <w:rPr>
          <w:rFonts w:hint="eastAsia"/>
          <w:lang w:val="en-US"/>
        </w:rPr>
        <w:t>相对密度（水）：0.81（-196℃）     熔点（℃）：-209.8</w:t>
      </w:r>
    </w:p>
    <w:p>
      <w:pPr>
        <w:pStyle w:val="6"/>
        <w:ind w:firstLine="560"/>
        <w:rPr>
          <w:lang w:val="en-US"/>
        </w:rPr>
      </w:pPr>
      <w:r>
        <w:rPr>
          <w:rFonts w:hint="eastAsia"/>
          <w:lang w:val="en-US"/>
        </w:rPr>
        <w:t>相对蒸气密度（空气）：0.97         沸点（℃）：-195.6</w:t>
      </w:r>
    </w:p>
    <w:p>
      <w:pPr>
        <w:pStyle w:val="6"/>
        <w:ind w:firstLine="560"/>
        <w:rPr>
          <w:lang w:val="en-US"/>
        </w:rPr>
      </w:pPr>
      <w:r>
        <w:rPr>
          <w:rFonts w:hint="eastAsia"/>
          <w:lang w:val="en-US"/>
        </w:rPr>
        <w:t>临界压力（MPa）：3.40             临界温度（℃）：-147</w:t>
      </w:r>
    </w:p>
    <w:p>
      <w:pPr>
        <w:pStyle w:val="6"/>
        <w:ind w:firstLine="560"/>
        <w:rPr>
          <w:lang w:val="en-US"/>
        </w:rPr>
      </w:pPr>
      <w:r>
        <w:rPr>
          <w:rFonts w:hint="eastAsia"/>
          <w:lang w:val="en-US"/>
        </w:rPr>
        <w:t>溶解性：微溶于水、乙醇。</w:t>
      </w:r>
    </w:p>
    <w:p>
      <w:pPr>
        <w:pStyle w:val="6"/>
        <w:ind w:firstLine="560"/>
        <w:rPr>
          <w:lang w:val="en-US"/>
        </w:rPr>
      </w:pPr>
      <w:r>
        <w:rPr>
          <w:rFonts w:hint="eastAsia"/>
          <w:lang w:val="en-US"/>
        </w:rPr>
        <w:t>主要用途：用于合成氨，制硝酸，用作物质保护剂，冷冻剂。</w:t>
      </w:r>
    </w:p>
    <w:p>
      <w:pPr>
        <w:pStyle w:val="6"/>
        <w:ind w:firstLine="560"/>
        <w:rPr>
          <w:lang w:val="en-US"/>
        </w:rPr>
      </w:pPr>
      <w:r>
        <w:rPr>
          <w:rFonts w:hint="eastAsia"/>
          <w:lang w:val="en-US"/>
        </w:rPr>
        <w:t>稳定性和反应活性</w:t>
      </w:r>
    </w:p>
    <w:p>
      <w:pPr>
        <w:pStyle w:val="6"/>
        <w:ind w:firstLine="560"/>
        <w:rPr>
          <w:lang w:val="en-US"/>
        </w:rPr>
      </w:pPr>
      <w:r>
        <w:rPr>
          <w:rFonts w:hint="eastAsia"/>
          <w:lang w:val="en-US"/>
        </w:rPr>
        <w:t>稳定性：稳定</w:t>
      </w:r>
    </w:p>
    <w:p>
      <w:pPr>
        <w:pStyle w:val="6"/>
        <w:ind w:firstLine="560"/>
        <w:rPr>
          <w:lang w:val="en-US"/>
        </w:rPr>
      </w:pPr>
      <w:r>
        <w:rPr>
          <w:rFonts w:hint="eastAsia"/>
          <w:lang w:val="en-US"/>
        </w:rPr>
        <w:t>聚合危害：不聚合。</w:t>
      </w:r>
    </w:p>
    <w:p>
      <w:pPr>
        <w:pStyle w:val="6"/>
        <w:ind w:firstLine="560"/>
        <w:rPr>
          <w:lang w:val="en-US"/>
        </w:rPr>
      </w:pPr>
      <w:r>
        <w:rPr>
          <w:rFonts w:hint="eastAsia"/>
          <w:lang w:val="en-US"/>
        </w:rPr>
        <w:t>废弃处置方法：处置前应参阅国家和地方有关法规。废气直接排入大气。</w:t>
      </w:r>
    </w:p>
    <w:p>
      <w:pPr>
        <w:pStyle w:val="6"/>
        <w:ind w:firstLine="560"/>
        <w:rPr>
          <w:lang w:val="en-US"/>
        </w:rPr>
      </w:pPr>
      <w:r>
        <w:rPr>
          <w:rFonts w:hint="eastAsia"/>
          <w:lang w:val="en-US"/>
        </w:rPr>
        <w:t>8）运输信息</w:t>
      </w:r>
    </w:p>
    <w:p>
      <w:pPr>
        <w:pStyle w:val="6"/>
        <w:ind w:firstLine="560"/>
        <w:rPr>
          <w:lang w:val="en-US"/>
        </w:rPr>
      </w:pPr>
      <w:r>
        <w:rPr>
          <w:rFonts w:hint="eastAsia"/>
          <w:lang w:val="en-US"/>
        </w:rPr>
        <w:t>包装方法：钢质气瓶；安瓿瓶外普通木箱。</w:t>
      </w:r>
    </w:p>
    <w:p>
      <w:pPr>
        <w:pStyle w:val="6"/>
        <w:ind w:firstLine="560"/>
        <w:rPr>
          <w:lang w:val="en-US"/>
        </w:rPr>
      </w:pPr>
      <w:r>
        <w:rPr>
          <w:rFonts w:hint="eastAsia"/>
          <w:lang w:val="en-US"/>
        </w:rPr>
        <w:t>运输注意事项：采用钢瓶运输时必须戴好钢瓶上的安全帽。钢瓶一般平放，并应将瓶口朝同一方向，不可交叉；高度不得超过车辆的防护栏板，并用三角木垫卡牢，防止滚动。严禁与易燃物或可燃物等混装混运。夏季应早晚运输，防止日光曝晒。铁路运输时要禁止溜放。</w:t>
      </w:r>
    </w:p>
    <w:p>
      <w:pPr>
        <w:pStyle w:val="3"/>
        <w:numPr>
          <w:ilvl w:val="1"/>
          <w:numId w:val="0"/>
        </w:numPr>
        <w:spacing w:before="156" w:after="156"/>
        <w:ind w:left="130"/>
      </w:pPr>
      <w:bookmarkStart w:id="99" w:name="_Toc30131"/>
      <w:r>
        <w:t>F1.2 建设项目危险有害因素分析</w:t>
      </w:r>
      <w:bookmarkEnd w:id="99"/>
    </w:p>
    <w:p>
      <w:pPr>
        <w:pStyle w:val="4"/>
        <w:spacing w:before="62" w:after="62"/>
      </w:pPr>
      <w:r>
        <w:t>F1.2.</w:t>
      </w:r>
      <w:r>
        <w:rPr>
          <w:rFonts w:hint="eastAsia"/>
        </w:rPr>
        <w:t>1</w:t>
      </w:r>
      <w:r>
        <w:t xml:space="preserve"> 项目</w:t>
      </w:r>
      <w:r>
        <w:rPr>
          <w:rFonts w:hint="eastAsia"/>
        </w:rPr>
        <w:t>运行</w:t>
      </w:r>
      <w:r>
        <w:t>过程的危险、有害因素辨识与分析</w:t>
      </w:r>
    </w:p>
    <w:p>
      <w:pPr>
        <w:pStyle w:val="6"/>
        <w:ind w:firstLine="560"/>
        <w:rPr>
          <w:lang w:val="en-US"/>
        </w:rPr>
      </w:pPr>
      <w:r>
        <w:rPr>
          <w:lang w:val="en-US"/>
        </w:rPr>
        <w:t>参照《企业职工伤亡事故分类》（GB6441-1986），并结合《生产过程危险和有害因素分类与代码》（GB/T13861-20</w:t>
      </w:r>
      <w:r>
        <w:t>22</w:t>
      </w:r>
      <w:r>
        <w:rPr>
          <w:lang w:val="en-US"/>
        </w:rPr>
        <w:t>），综合考虑起因物、引起事故的诱导性原因、致害物、伤害方式等，对</w:t>
      </w:r>
      <w:r>
        <w:rPr>
          <w:rFonts w:hint="eastAsia"/>
          <w:lang w:val="en-US"/>
        </w:rPr>
        <w:t>运行</w:t>
      </w:r>
      <w:r>
        <w:rPr>
          <w:lang w:val="en-US"/>
        </w:rPr>
        <w:t>储存过程可能存在的主要危险、有害因素及进行辨识与分析。</w:t>
      </w:r>
    </w:p>
    <w:p>
      <w:pPr>
        <w:pStyle w:val="6"/>
        <w:ind w:firstLine="560"/>
        <w:rPr>
          <w:lang w:val="en-US"/>
        </w:rPr>
      </w:pPr>
      <w:r>
        <w:rPr>
          <w:lang w:val="en-US"/>
        </w:rPr>
        <w:t>该项目</w:t>
      </w:r>
      <w:r>
        <w:rPr>
          <w:rFonts w:hint="eastAsia"/>
          <w:lang w:val="en-US"/>
        </w:rPr>
        <w:t>运行</w:t>
      </w:r>
      <w:r>
        <w:rPr>
          <w:lang w:val="en-US"/>
        </w:rPr>
        <w:t>过程中主要的危险有害因素为火灾爆炸、中毒和窒息，其他的危险有害因素有：触电、灼烫、高处坠落、物体打击、机械伤害、</w:t>
      </w:r>
      <w:r>
        <w:rPr>
          <w:rFonts w:hint="eastAsia"/>
          <w:lang w:val="en-US"/>
        </w:rPr>
        <w:t>物理爆炸、</w:t>
      </w:r>
      <w:r>
        <w:rPr>
          <w:lang w:val="en-US"/>
        </w:rPr>
        <w:t>噪声。</w:t>
      </w:r>
    </w:p>
    <w:p>
      <w:pPr>
        <w:pStyle w:val="6"/>
        <w:ind w:firstLine="560"/>
        <w:rPr>
          <w:lang w:val="en-US"/>
        </w:rPr>
      </w:pPr>
      <w:r>
        <w:rPr>
          <w:lang w:val="en-US"/>
        </w:rPr>
        <w:t>该项目涉及到的原油为易燃或可燃液体</w:t>
      </w:r>
      <w:r>
        <w:rPr>
          <w:rFonts w:hint="eastAsia"/>
          <w:lang w:val="en-US"/>
        </w:rPr>
        <w:t>，同时原油属于沸溢性液体</w:t>
      </w:r>
      <w:r>
        <w:rPr>
          <w:lang w:val="en-US"/>
        </w:rPr>
        <w:t>。根据火灾危险性分类，原油属于甲</w:t>
      </w:r>
      <w:r>
        <w:rPr>
          <w:vertAlign w:val="subscript"/>
          <w:lang w:val="en-US"/>
        </w:rPr>
        <w:t>B</w:t>
      </w:r>
      <w:r>
        <w:rPr>
          <w:lang w:val="en-US"/>
        </w:rPr>
        <w:t>类，项目罐区总储存量较大，一旦发生火灾难以扑救。</w:t>
      </w:r>
    </w:p>
    <w:p>
      <w:pPr>
        <w:pStyle w:val="6"/>
        <w:ind w:firstLine="560"/>
      </w:pPr>
      <w:r>
        <w:t>（1）火灾爆炸</w:t>
      </w:r>
    </w:p>
    <w:p>
      <w:pPr>
        <w:pStyle w:val="6"/>
        <w:ind w:firstLine="560"/>
        <w:rPr>
          <w:lang w:val="en-US"/>
        </w:rPr>
      </w:pPr>
      <w:r>
        <w:t>该项目涉及的原油易燃，具有一定的爆炸危险性，在储运过程中如果储油罐、管线、设备发生泄漏事故或设备密封损坏，扩散的油气与空气混合，形成爆炸性气体，遇点火源可能发生火灾和爆炸事故。罐区设备和管道还存在着因过压、疲劳、腐蚀误操作而引发的设备泄漏事故以及管道破裂、泄漏事故的危险。</w:t>
      </w:r>
      <w:r>
        <w:rPr>
          <w:rFonts w:hint="eastAsia"/>
          <w:lang w:val="en-US"/>
        </w:rPr>
        <w:t>由于原油具有沸溢性，</w:t>
      </w:r>
      <w:r>
        <w:t>储罐着火情况下，由于热波作用，油层中的水分</w:t>
      </w:r>
      <w:r>
        <w:rPr>
          <w:rFonts w:hint="eastAsia"/>
          <w:lang w:val="en-US"/>
        </w:rPr>
        <w:t>会</w:t>
      </w:r>
      <w:r>
        <w:t>发生汽化而产生沸溢现象</w:t>
      </w:r>
      <w:r>
        <w:rPr>
          <w:rFonts w:hint="eastAsia"/>
        </w:rPr>
        <w:t>，</w:t>
      </w:r>
      <w:r>
        <w:rPr>
          <w:rFonts w:hint="eastAsia"/>
          <w:lang w:val="en-US"/>
        </w:rPr>
        <w:t>一旦发生沸溢与喷溅，会造成大量油品的流淌火灾。</w:t>
      </w:r>
    </w:p>
    <w:p>
      <w:pPr>
        <w:pStyle w:val="6"/>
        <w:ind w:firstLine="560"/>
      </w:pPr>
      <w:r>
        <w:t>泄漏是该罐区生产运行中主要的不安全因素。轻度泄漏造成油品损耗，危害操作人员健康；严重泄漏事故可造成油品大量流失，造成直接或间接的重大经济损失，甚至造成大面积环境污染事故。由于泄漏引发的火灾爆炸造成人员伤亡和巨大经济损失的事故案例，在国内外屡见报道。因此，杜绝各种原因造成泄漏是输油安全的重要工作。</w:t>
      </w:r>
    </w:p>
    <w:p>
      <w:pPr>
        <w:pStyle w:val="6"/>
        <w:ind w:firstLine="560"/>
      </w:pPr>
      <w:r>
        <w:t>点火源形成的原因包括：防静电、防雷击的防护措施设置不好或设施损坏，防爆电气损坏或不防爆，电气电路的开启或切断、短路、过载、接触电阻过大等引起的电火花、电弧、过热等。</w:t>
      </w:r>
    </w:p>
    <w:p>
      <w:pPr>
        <w:pStyle w:val="6"/>
        <w:ind w:firstLine="560"/>
      </w:pPr>
      <w:r>
        <w:t>如果在危险区域内用火没有可靠安全措施的情况下焊接或切割，或用喷灯、电钻、砂轮等可能产生火焰、火花和赤热表面的临时性作业，都可能产生严重的后果。</w:t>
      </w:r>
    </w:p>
    <w:p>
      <w:pPr>
        <w:pStyle w:val="6"/>
        <w:ind w:firstLine="560"/>
      </w:pPr>
      <w:r>
        <w:t>1）储罐区</w:t>
      </w:r>
    </w:p>
    <w:p>
      <w:pPr>
        <w:pStyle w:val="6"/>
        <w:ind w:firstLine="560"/>
      </w:pPr>
      <w:r>
        <w:t>储罐是储运系统中发生恶性事故最多的关键部位之一。储罐泄漏发生火灾、爆炸是储罐区的主要危险，由于储存的介质数量大，一旦发生火灾爆炸则危害巨大。</w:t>
      </w:r>
    </w:p>
    <w:p>
      <w:pPr>
        <w:pStyle w:val="6"/>
        <w:ind w:firstLine="560"/>
      </w:pPr>
      <w:r>
        <w:t>浮顶储罐发生事故的主要原因是浮顶油罐环向密封不严，随浮顶上下活动而在罐顶周边泡沫挡板以内泄漏存油，油罐顶板、浮顶因年久失修、腐蚀穿孔造成漏油，油气挥发，致使浮顶上方形成爆炸混合气空间，遇明火或雷击、静电火花等酿成密封圈部位火灾。由于浮舱焊接质量差造成浮舱内进油；法兰、阀门的质量、安装缺陷、罐体的腐蚀穿孔、操作不当而造成的跑油、中央排水管密封损坏造成跑油，以及罐顶积水、积油、沉船等事故。储罐冒顶也是酿成恶性事故的直接原因之一。</w:t>
      </w:r>
    </w:p>
    <w:p>
      <w:pPr>
        <w:pStyle w:val="6"/>
        <w:ind w:firstLine="560"/>
      </w:pPr>
      <w:r>
        <w:t>油罐基础下沉，尤其是不均匀下沉，会危及罐体的稳定、撕裂底板及罐壁，造成油品外泄。罐内罐底积水部分和罐底板外壁因腐蚀也可能造成罐体泄漏。</w:t>
      </w:r>
    </w:p>
    <w:p>
      <w:pPr>
        <w:pStyle w:val="6"/>
        <w:numPr>
          <w:ilvl w:val="0"/>
          <w:numId w:val="10"/>
        </w:numPr>
        <w:ind w:firstLine="560"/>
      </w:pPr>
      <w:r>
        <w:t>油泵</w:t>
      </w:r>
    </w:p>
    <w:p>
      <w:pPr>
        <w:pStyle w:val="6"/>
        <w:ind w:firstLine="560"/>
        <w:rPr>
          <w:lang w:val="en-US"/>
        </w:rPr>
      </w:pPr>
      <w:r>
        <w:t>该项目</w:t>
      </w:r>
      <w:r>
        <w:rPr>
          <w:lang w:val="en-US"/>
        </w:rPr>
        <w:t>原油</w:t>
      </w:r>
      <w:r>
        <w:t>储罐</w:t>
      </w:r>
      <w:r>
        <w:rPr>
          <w:lang w:val="en-US"/>
        </w:rPr>
        <w:t>倒罐、清罐依托厂区原有倒罐泵P-101及清罐泵P-104，如果泵区电气设备的防爆设施损坏，线路绝缘老化、积污、受潮或机械损伤，造成绝缘强度降低或损坏，电气设备和线路过载，可能产生火花、电弧和危险的高温形成点火源。如果泵体有裂纹或轴封、与管道连接的阀门、法兰密封设施损坏，油泵放空阀、扫线阀、压力表引出阀损坏，短节腐蚀穿孔，油泵丝堵螺扣脱出等发生油气泄漏，可能引发火灾爆炸事故。</w:t>
      </w:r>
    </w:p>
    <w:p>
      <w:pPr>
        <w:pStyle w:val="6"/>
        <w:ind w:firstLine="560"/>
        <w:rPr>
          <w:lang w:val="en-US"/>
        </w:rPr>
      </w:pPr>
      <w:r>
        <w:rPr>
          <w:lang w:val="en-US"/>
        </w:rPr>
        <w:t>泵区设备的泄漏主要原因如下：</w:t>
      </w:r>
    </w:p>
    <w:p>
      <w:pPr>
        <w:pStyle w:val="6"/>
        <w:ind w:firstLine="560"/>
        <w:rPr>
          <w:lang w:val="en-US"/>
        </w:rPr>
      </w:pPr>
      <w:r>
        <w:rPr>
          <w:lang w:val="en-US"/>
        </w:rPr>
        <w:t>①机泵、阀门盘根不严、漏失过量；</w:t>
      </w:r>
    </w:p>
    <w:p>
      <w:pPr>
        <w:pStyle w:val="6"/>
        <w:ind w:firstLine="560"/>
        <w:rPr>
          <w:lang w:val="en-US"/>
        </w:rPr>
      </w:pPr>
      <w:r>
        <w:rPr>
          <w:lang w:val="en-US"/>
        </w:rPr>
        <w:t>②操作失误造成管线破裂或法兰垫跑油；</w:t>
      </w:r>
    </w:p>
    <w:p>
      <w:pPr>
        <w:pStyle w:val="6"/>
        <w:ind w:firstLine="560"/>
        <w:rPr>
          <w:lang w:val="en-US"/>
        </w:rPr>
      </w:pPr>
      <w:r>
        <w:rPr>
          <w:lang w:val="en-US"/>
        </w:rPr>
        <w:t>③管材弯头用材不当、施工质量差造成跑油、站内埋地管线腐蚀穿孔；</w:t>
      </w:r>
    </w:p>
    <w:p>
      <w:pPr>
        <w:pStyle w:val="6"/>
        <w:ind w:firstLine="560"/>
        <w:rPr>
          <w:lang w:val="en-US"/>
        </w:rPr>
      </w:pPr>
      <w:r>
        <w:rPr>
          <w:lang w:val="en-US"/>
        </w:rPr>
        <w:t>④因制造质量缺陷、阀体裂纹或砂眼漏油；因应力原因致使阀门阀体开裂或法兰泄漏；</w:t>
      </w:r>
    </w:p>
    <w:p>
      <w:pPr>
        <w:pStyle w:val="6"/>
        <w:ind w:firstLine="560"/>
        <w:rPr>
          <w:lang w:val="en-US"/>
        </w:rPr>
      </w:pPr>
      <w:r>
        <w:rPr>
          <w:lang w:val="en-US"/>
        </w:rPr>
        <w:t>⑤阀门执行结构失灵顶破阀体；</w:t>
      </w:r>
    </w:p>
    <w:p>
      <w:pPr>
        <w:pStyle w:val="6"/>
        <w:ind w:firstLine="560"/>
        <w:rPr>
          <w:lang w:val="en-US"/>
        </w:rPr>
      </w:pPr>
      <w:r>
        <w:rPr>
          <w:lang w:val="en-US"/>
        </w:rPr>
        <w:t>⑥设备管线维修、流程改造等措施不当造成泄漏；</w:t>
      </w:r>
    </w:p>
    <w:p>
      <w:pPr>
        <w:pStyle w:val="6"/>
        <w:ind w:firstLine="560"/>
        <w:rPr>
          <w:lang w:val="en-US"/>
        </w:rPr>
      </w:pPr>
      <w:r>
        <w:rPr>
          <w:lang w:val="en-US"/>
        </w:rPr>
        <w:t>⑦管线上仪表选用、安装不当，在管线开孔处漏油；</w:t>
      </w:r>
    </w:p>
    <w:p>
      <w:pPr>
        <w:pStyle w:val="6"/>
        <w:ind w:firstLine="560"/>
        <w:rPr>
          <w:lang w:val="en-US"/>
        </w:rPr>
      </w:pPr>
      <w:r>
        <w:rPr>
          <w:lang w:val="en-US"/>
        </w:rPr>
        <w:t>⑧流量计等本体或连接处密封不严等，造成泄漏。</w:t>
      </w:r>
    </w:p>
    <w:p>
      <w:pPr>
        <w:pStyle w:val="6"/>
        <w:numPr>
          <w:ilvl w:val="0"/>
          <w:numId w:val="10"/>
        </w:numPr>
        <w:ind w:firstLine="560"/>
      </w:pPr>
      <w:r>
        <w:t>管线</w:t>
      </w:r>
    </w:p>
    <w:p>
      <w:pPr>
        <w:pStyle w:val="6"/>
        <w:ind w:firstLine="560"/>
      </w:pPr>
      <w:r>
        <w:t>工艺管线发生泄漏的主要原因有：</w:t>
      </w:r>
    </w:p>
    <w:p>
      <w:pPr>
        <w:pStyle w:val="6"/>
        <w:ind w:firstLine="560"/>
      </w:pPr>
      <w:r>
        <w:rPr>
          <w:lang w:val="en-US"/>
        </w:rPr>
        <w:t>①</w:t>
      </w:r>
      <w:r>
        <w:t>若管道的设计、选型、焊接不当，工艺操作压力波动，安全保护设施失效等原因，容易造成管道超压、疲劳而导致管道破裂，造成油气泄漏，遇火源可能引发火灾爆炸；</w:t>
      </w:r>
    </w:p>
    <w:p>
      <w:pPr>
        <w:pStyle w:val="6"/>
        <w:ind w:firstLine="560"/>
      </w:pPr>
      <w:r>
        <w:t>②管道腐蚀穿孔。外防腐质量差，施工时防腐层受到机械损伤等原因均可能造成腐蚀穿孔；</w:t>
      </w:r>
    </w:p>
    <w:p>
      <w:pPr>
        <w:pStyle w:val="6"/>
        <w:ind w:firstLine="560"/>
      </w:pPr>
      <w:r>
        <w:t>③地基沉降、地层滑动及地面支架失稳，造成管线扭曲断裂；</w:t>
      </w:r>
    </w:p>
    <w:p>
      <w:pPr>
        <w:pStyle w:val="6"/>
        <w:ind w:firstLine="560"/>
      </w:pPr>
      <w:r>
        <w:t>④气温高引起油料膨胀，使输油管内压力增大，密封的油品管线因管线内的介质膨胀，可引起管件破坏或管线胀坏（特别是管道与法兰的连接处）；</w:t>
      </w:r>
    </w:p>
    <w:p>
      <w:pPr>
        <w:pStyle w:val="6"/>
        <w:ind w:firstLine="560"/>
      </w:pPr>
      <w:r>
        <w:t>⑤外力碰撞、人为破坏，可导致管道破裂；</w:t>
      </w:r>
    </w:p>
    <w:p>
      <w:pPr>
        <w:pStyle w:val="6"/>
        <w:ind w:firstLine="560"/>
      </w:pPr>
      <w:r>
        <w:rPr>
          <w:lang w:val="en-US"/>
        </w:rPr>
        <w:t>⑥</w:t>
      </w:r>
      <w:r>
        <w:t>由于土壤类型、地形、土壤电导率及水含量、大气温度等造成大气腐蚀、电化学腐蚀、土壤腐蚀、高温腐蚀等；由于管道防腐层粘结性差易产生中性PH值土壤应力腐蚀破裂。</w:t>
      </w:r>
    </w:p>
    <w:p>
      <w:pPr>
        <w:pStyle w:val="6"/>
        <w:ind w:firstLine="560"/>
      </w:pPr>
      <w:r>
        <w:rPr>
          <w:lang w:val="en-US"/>
        </w:rPr>
        <w:t>⑦</w:t>
      </w:r>
      <w:r>
        <w:t>蒸汽输送管道发生爆裂,可能造成灼烫事故。</w:t>
      </w:r>
    </w:p>
    <w:p>
      <w:pPr>
        <w:pStyle w:val="6"/>
        <w:ind w:firstLine="560"/>
      </w:pPr>
      <w:r>
        <w:t>该项目管输设置</w:t>
      </w:r>
      <w:r>
        <w:rPr>
          <w:lang w:val="en-US"/>
        </w:rPr>
        <w:t>净化压缩空气</w:t>
      </w:r>
      <w:r>
        <w:t>、氮气等吹扫系统，若置换或吹扫过程中，氮气纯度不够、氧含量超标或压力不足，或误操作将空气吹扫系统作为氮气吹扫系统，造成管道内形成爆炸性环境，遇火源发生爆炸事故。</w:t>
      </w:r>
    </w:p>
    <w:p>
      <w:pPr>
        <w:pStyle w:val="6"/>
        <w:ind w:firstLine="560"/>
      </w:pPr>
      <w:r>
        <w:t>（2）触电</w:t>
      </w:r>
    </w:p>
    <w:p>
      <w:pPr>
        <w:pStyle w:val="6"/>
        <w:ind w:firstLine="560"/>
      </w:pPr>
      <w:r>
        <w:t>该项目</w:t>
      </w:r>
      <w:r>
        <w:rPr>
          <w:rFonts w:hint="eastAsia"/>
          <w:lang w:val="en-US"/>
        </w:rPr>
        <w:t>运行</w:t>
      </w:r>
      <w:r>
        <w:t>过程中，使用一些电器设备，如照明灯、机泵等，当这些用电设备和设施安装不规范，缺少接地接零、或接地接零损坏失效，操作人员又要频繁接触、操作电器设备设施，存在触电伤害的危险。设备在检修过程中，使用手持移动电动工具，又无漏电保护，手持电动工具漏电时，易发生触电伤害事故。需要沿地面铺设的临时线路无保护套管，线路绝缘损坏，接触人体时都会发生触电伤害事故。</w:t>
      </w:r>
    </w:p>
    <w:p>
      <w:pPr>
        <w:pStyle w:val="6"/>
        <w:ind w:firstLine="560"/>
      </w:pPr>
      <w:r>
        <w:t>（3）高处坠落、物体打击</w:t>
      </w:r>
    </w:p>
    <w:p>
      <w:pPr>
        <w:pStyle w:val="6"/>
        <w:ind w:firstLine="560"/>
      </w:pPr>
      <w:r>
        <w:t>凡在基准面2m以上高处进行的作业为高处作业。作业过程中易发生坠落，造成伤亡事故。该项目储罐罐高</w:t>
      </w:r>
      <w:r>
        <w:rPr>
          <w:lang w:val="en-US"/>
        </w:rPr>
        <w:t>20.014</w:t>
      </w:r>
      <w:r>
        <w:t>m，操作人员有时需要到罐顶部进行部分操作，维修人员检修时需要登高作业，如果储罐防护栏杆缺乏踢脚板或栏杆高度不符合要求时，存在着高处坠落的危险。</w:t>
      </w:r>
    </w:p>
    <w:p>
      <w:pPr>
        <w:pStyle w:val="6"/>
        <w:ind w:firstLine="560"/>
      </w:pPr>
      <w:r>
        <w:t>在储存经营及检修过程中，在上下交叉作业时，上部作业工序工具或物料从高处坠落，有对下部作业人员造成高空落物打击，造成事故的可能。物体打击可能的原因有：高处有未被固定的悬浮物被碰撞或因风吹坠落；工具等物品上、下抛掷；设施倒塌；爆炸碎片抛掷、飞散；违章作业、违章指挥、违反劳动纪律。储存经营过程中更换零部件、修理、清扫设备等及沿路管线检修时，物件有可能坠落，发生物体打击事故。</w:t>
      </w:r>
    </w:p>
    <w:p>
      <w:pPr>
        <w:pStyle w:val="6"/>
        <w:ind w:firstLine="560"/>
      </w:pPr>
      <w:r>
        <w:t>（4）机械伤害</w:t>
      </w:r>
    </w:p>
    <w:p>
      <w:pPr>
        <w:pStyle w:val="6"/>
        <w:ind w:firstLine="560"/>
      </w:pPr>
      <w:r>
        <w:t>该项目的</w:t>
      </w:r>
      <w:r>
        <w:rPr>
          <w:lang w:val="en-US"/>
        </w:rPr>
        <w:t>机泵</w:t>
      </w:r>
      <w:r>
        <w:t>，若防护装置不完善，不可靠或操作、维修人员不严格执行操作规程和安全措施，均可能造成对人体的机械伤害。检修作业时，未悬挂</w:t>
      </w:r>
      <w:r>
        <w:rPr>
          <w:rFonts w:hint="eastAsia"/>
        </w:rPr>
        <w:t>“</w:t>
      </w:r>
      <w:r>
        <w:t>严禁合闸</w:t>
      </w:r>
      <w:r>
        <w:rPr>
          <w:rFonts w:hint="eastAsia"/>
        </w:rPr>
        <w:t>”</w:t>
      </w:r>
      <w:r>
        <w:t>等警示标志，可能导致检修人员的受伤。</w:t>
      </w:r>
    </w:p>
    <w:p>
      <w:pPr>
        <w:pStyle w:val="6"/>
        <w:ind w:firstLine="560"/>
      </w:pPr>
      <w:r>
        <w:t>（5）中毒和窒息</w:t>
      </w:r>
    </w:p>
    <w:p>
      <w:pPr>
        <w:pStyle w:val="6"/>
        <w:ind w:firstLine="560"/>
      </w:pPr>
      <w:r>
        <w:t>该项目涉及的原油均具有一定的毒性，当作业环境中油品的浓度超出所允许的浓度，有可能引起中毒。急性中毒会对中枢神经系统有麻醉作用。轻度中毒症状有头晕、头痛、恶心、呕吐、步态不稳、共济失调。高浓度吸入出现中毒性脑病。正常生产状态中不会产生中毒事故，只有在储罐、机泵、管线、阀门发生泄漏时，现场作业人员才有中毒的危险。</w:t>
      </w:r>
    </w:p>
    <w:p>
      <w:pPr>
        <w:pStyle w:val="6"/>
        <w:ind w:firstLine="560"/>
      </w:pPr>
      <w:r>
        <w:t>毒物可经呼吸道、消化道和皮肤进入体内，在储存过程中，毒物主要经呼吸道和皮肤进入体内。</w:t>
      </w:r>
    </w:p>
    <w:p>
      <w:pPr>
        <w:pStyle w:val="6"/>
        <w:ind w:firstLine="560"/>
        <w:rPr>
          <w:lang w:val="en-US"/>
        </w:rPr>
      </w:pPr>
      <w:r>
        <w:rPr>
          <w:rFonts w:hint="eastAsia"/>
          <w:lang w:val="en-US"/>
        </w:rPr>
        <w:t>氮气是窒息性气体，在检修或装置开停工时使用。氮气本身是无毒的惰性气体，但有窒息性，在进入有限空间之前如果没有按照操作规程进行采样检测，或者和系统管线连接处没有用盲板断开，有可能使有限空间内氧含量不足，发生窒息死亡事故，人进入就可能发生氮气窒息死亡事故。</w:t>
      </w:r>
    </w:p>
    <w:p>
      <w:pPr>
        <w:pStyle w:val="6"/>
        <w:ind w:firstLine="560"/>
      </w:pPr>
      <w:r>
        <w:t>（6）噪声危害</w:t>
      </w:r>
    </w:p>
    <w:p>
      <w:pPr>
        <w:pStyle w:val="6"/>
        <w:ind w:firstLine="560"/>
      </w:pPr>
      <w:r>
        <w:t>受噪声的危害，首当其冲的是人的听力。噪声对人听力危害的程度，轻则听力损伤，中则耳聋，重则耳鼓膜破裂。除了听力受损外，噪声对神经系统的危害主要为神经衰弱综合征；对心血管系统的影响，可使交感神经紧张，从而产生心跳加快、心率不齐、血管痉挛等症状；对消化系统的影响，可能引起胃功能紊乱、食欲不振、肌无力等症状；噪声对睡眠、视力、内分泌等也有一定影响；高分贝的噪声会对人的交谈和思维产生影响，当高于90分贝时，人的交谈和思维几乎不能进行，严重影响人们的工作和学习。</w:t>
      </w:r>
    </w:p>
    <w:p>
      <w:pPr>
        <w:pStyle w:val="6"/>
        <w:ind w:firstLine="560"/>
      </w:pPr>
      <w:r>
        <w:t>该项目的噪声源主要是给油泵机械设备。</w:t>
      </w:r>
    </w:p>
    <w:p>
      <w:pPr>
        <w:pStyle w:val="6"/>
        <w:ind w:firstLine="560"/>
      </w:pPr>
      <w:r>
        <w:t>（7）灼烫</w:t>
      </w:r>
    </w:p>
    <w:p>
      <w:pPr>
        <w:pStyle w:val="6"/>
        <w:ind w:firstLine="560"/>
      </w:pPr>
      <w:r>
        <w:t>该项目储罐吹扫过程中涉及蒸汽的使用，</w:t>
      </w:r>
      <w:r>
        <w:rPr>
          <w:lang w:val="en-US"/>
        </w:rPr>
        <w:t>同时在原油储存过程中，根据东营</w:t>
      </w:r>
      <w:r>
        <w:t>东营原油库的来油温度，维持温度为</w:t>
      </w:r>
      <w:r>
        <w:rPr>
          <w:rFonts w:hint="eastAsia"/>
          <w:lang w:val="en-US"/>
        </w:rPr>
        <w:t>35</w:t>
      </w:r>
      <w:r>
        <w:t>～</w:t>
      </w:r>
      <w:r>
        <w:rPr>
          <w:rFonts w:hint="eastAsia"/>
          <w:lang w:val="en-US"/>
        </w:rPr>
        <w:t>55</w:t>
      </w:r>
      <w:r>
        <w:t>℃，</w:t>
      </w:r>
      <w:r>
        <w:rPr>
          <w:lang w:val="en-US"/>
        </w:rPr>
        <w:t>原油罐内</w:t>
      </w:r>
      <w:r>
        <w:t>设蒸汽/热水加热器，加热器面积600</w:t>
      </w:r>
      <w:r>
        <w:rPr>
          <w:rFonts w:hint="eastAsia"/>
          <w:lang w:val="en-US"/>
        </w:rPr>
        <w:t>m</w:t>
      </w:r>
      <w:r>
        <w:rPr>
          <w:rFonts w:hint="eastAsia"/>
          <w:vertAlign w:val="superscript"/>
          <w:lang w:val="en-US"/>
        </w:rPr>
        <w:t>2</w:t>
      </w:r>
      <w:r>
        <w:t>，加热介质为1.0MPa蒸汽或95℃热水，操作过程中未按要求穿戴劳动防护用品或防护用品不符合标准、要求，有造成人员烫伤的可能。</w:t>
      </w:r>
    </w:p>
    <w:p>
      <w:pPr>
        <w:pStyle w:val="6"/>
        <w:ind w:firstLine="560"/>
        <w:rPr>
          <w:lang w:val="en-US"/>
        </w:rPr>
      </w:pPr>
      <w:r>
        <w:rPr>
          <w:rFonts w:hint="eastAsia"/>
        </w:rPr>
        <w:t>（</w:t>
      </w:r>
      <w:r>
        <w:rPr>
          <w:rFonts w:hint="eastAsia"/>
          <w:lang w:val="en-US"/>
        </w:rPr>
        <w:t>8</w:t>
      </w:r>
      <w:r>
        <w:rPr>
          <w:rFonts w:hint="eastAsia"/>
        </w:rPr>
        <w:t>）</w:t>
      </w:r>
      <w:r>
        <w:rPr>
          <w:rFonts w:hint="eastAsia"/>
          <w:lang w:val="en-US"/>
        </w:rPr>
        <w:t>物理爆炸</w:t>
      </w:r>
    </w:p>
    <w:p>
      <w:pPr>
        <w:pStyle w:val="6"/>
        <w:ind w:firstLine="560"/>
        <w:rPr>
          <w:lang w:val="en-US"/>
        </w:rPr>
      </w:pPr>
      <w:r>
        <w:rPr>
          <w:lang w:val="en-US"/>
        </w:rPr>
        <w:t>物理爆炸是指由于物质的物理变化即物质的状态或压力发生突变而引起的爆炸现象。设备及容器因物理爆炸而破裂通常有两种情况。一种是在正常操作压力下，由于设计、制造、腐蚀等原因造成的，另一种是在超压情况下发生物理爆炸而破裂。该</w:t>
      </w:r>
      <w:r>
        <w:rPr>
          <w:rFonts w:hint="eastAsia"/>
          <w:lang w:val="en-US"/>
        </w:rPr>
        <w:t>项目</w:t>
      </w:r>
      <w:r>
        <w:rPr>
          <w:lang w:val="en-US"/>
        </w:rPr>
        <w:t>中使用的</w:t>
      </w:r>
      <w:r>
        <w:rPr>
          <w:rFonts w:hint="eastAsia"/>
          <w:lang w:val="en-US"/>
        </w:rPr>
        <w:t>管道</w:t>
      </w:r>
      <w:r>
        <w:rPr>
          <w:lang w:val="en-US"/>
        </w:rPr>
        <w:t>部分属于压力</w:t>
      </w:r>
      <w:r>
        <w:rPr>
          <w:rFonts w:hint="eastAsia"/>
          <w:lang w:val="en-US"/>
        </w:rPr>
        <w:t>管道</w:t>
      </w:r>
      <w:r>
        <w:rPr>
          <w:lang w:val="en-US"/>
        </w:rPr>
        <w:t>，一旦安全附件失灵使</w:t>
      </w:r>
      <w:r>
        <w:rPr>
          <w:rFonts w:hint="eastAsia"/>
          <w:lang w:val="en-US"/>
        </w:rPr>
        <w:t>压力管道</w:t>
      </w:r>
      <w:r>
        <w:rPr>
          <w:lang w:val="en-US"/>
        </w:rPr>
        <w:t>发生超温超压，就容易引起</w:t>
      </w:r>
      <w:r>
        <w:rPr>
          <w:rFonts w:hint="eastAsia"/>
          <w:lang w:val="en-US"/>
        </w:rPr>
        <w:t>管道</w:t>
      </w:r>
      <w:r>
        <w:rPr>
          <w:lang w:val="en-US"/>
        </w:rPr>
        <w:t>的超压爆炸。</w:t>
      </w:r>
    </w:p>
    <w:p>
      <w:pPr>
        <w:pStyle w:val="6"/>
        <w:ind w:firstLine="560"/>
        <w:rPr>
          <w:lang w:val="en-US"/>
        </w:rPr>
      </w:pPr>
      <w:r>
        <w:rPr>
          <w:lang w:val="en-US"/>
        </w:rPr>
        <w:t>如果</w:t>
      </w:r>
      <w:r>
        <w:rPr>
          <w:rFonts w:hint="eastAsia"/>
          <w:lang w:val="en-US"/>
        </w:rPr>
        <w:t>压力管道</w:t>
      </w:r>
      <w:r>
        <w:rPr>
          <w:lang w:val="en-US"/>
        </w:rPr>
        <w:t>在设计、选材、制造、安装等方面存在缺陷，配备的安全附件不全或失灵，在附件的选择及更换中没有严把质量关，导致不合格的</w:t>
      </w:r>
      <w:r>
        <w:rPr>
          <w:rFonts w:hint="eastAsia"/>
          <w:lang w:val="en-US"/>
        </w:rPr>
        <w:t>管道</w:t>
      </w:r>
      <w:r>
        <w:rPr>
          <w:lang w:val="en-US"/>
        </w:rPr>
        <w:t>用在生产系统中，就可能因发生以上类型的腐蚀而泄漏，进而引发火灾爆炸事故。</w:t>
      </w:r>
    </w:p>
    <w:p>
      <w:pPr>
        <w:pStyle w:val="6"/>
        <w:ind w:firstLine="560"/>
        <w:rPr>
          <w:lang w:val="en-US"/>
        </w:rPr>
      </w:pPr>
      <w:r>
        <w:rPr>
          <w:lang w:val="en-US"/>
        </w:rPr>
        <w:t>此外，在使用前如果未进行全面的压力管道检测检验，再加上多数压力管道内处理的均是易燃易爆有毒物质，由于介质腐蚀，使设备及管道的壁厚减薄，承压能力降低，一旦管道超压，就可能引发重大火灾、爆炸及中毒事故。</w:t>
      </w:r>
    </w:p>
    <w:p>
      <w:pPr>
        <w:pStyle w:val="4"/>
        <w:spacing w:before="62" w:after="62"/>
      </w:pPr>
      <w:r>
        <w:t>F1.2.</w:t>
      </w:r>
      <w:r>
        <w:rPr>
          <w:rFonts w:hint="eastAsia"/>
        </w:rPr>
        <w:t>2</w:t>
      </w:r>
      <w:r>
        <w:t xml:space="preserve"> 公用工程、辅助工程危险性分析</w:t>
      </w:r>
    </w:p>
    <w:p>
      <w:pPr>
        <w:pStyle w:val="6"/>
        <w:numPr>
          <w:ilvl w:val="0"/>
          <w:numId w:val="11"/>
        </w:numPr>
        <w:ind w:firstLine="560"/>
        <w:rPr>
          <w:lang w:val="en-US"/>
        </w:rPr>
      </w:pPr>
      <w:r>
        <w:rPr>
          <w:lang w:val="en-US"/>
        </w:rPr>
        <w:t>供配电设施</w:t>
      </w:r>
    </w:p>
    <w:p>
      <w:pPr>
        <w:pStyle w:val="6"/>
        <w:ind w:firstLine="560"/>
        <w:rPr>
          <w:lang w:val="en-US"/>
        </w:rPr>
      </w:pPr>
      <w:r>
        <w:rPr>
          <w:lang w:val="en-US"/>
        </w:rPr>
        <w:t>用电设备产品质量不佳、绝缘性能不良或因运行不当、维修不善导致绝缘老化破损及设计、安装不规范、违章操作等均可能引发触电危险。如出现短路、过载、接触不良等，也可引发电气火灾危险。</w:t>
      </w:r>
    </w:p>
    <w:p>
      <w:pPr>
        <w:pStyle w:val="6"/>
        <w:ind w:firstLine="560"/>
        <w:rPr>
          <w:lang w:val="en-US"/>
        </w:rPr>
      </w:pPr>
      <w:r>
        <w:rPr>
          <w:lang w:val="en-US"/>
        </w:rPr>
        <w:t>（2）消防系统危险性分析</w:t>
      </w:r>
    </w:p>
    <w:p>
      <w:pPr>
        <w:pStyle w:val="6"/>
        <w:ind w:firstLine="560"/>
        <w:rPr>
          <w:lang w:val="en-US"/>
        </w:rPr>
      </w:pPr>
      <w:r>
        <w:rPr>
          <w:lang w:val="en-US"/>
        </w:rPr>
        <w:t>若发生火灾时，消防供水量不足或突然断水会导致火灾蔓延，造成严重危害；消防通道堵塞、消防器材摆放不合理，可导致火灾蔓延和扩大，影响消防车辆的救援工作。</w:t>
      </w:r>
    </w:p>
    <w:p>
      <w:pPr>
        <w:pStyle w:val="6"/>
        <w:ind w:firstLine="560"/>
        <w:rPr>
          <w:lang w:val="en-US"/>
        </w:rPr>
      </w:pPr>
      <w:r>
        <w:rPr>
          <w:lang w:val="en-US"/>
        </w:rPr>
        <w:t>若冬季消防冷却水无防冻措施或防冻措施落实不到位，会影响消防救援，导致火灾事故扩大。</w:t>
      </w:r>
    </w:p>
    <w:p>
      <w:pPr>
        <w:pStyle w:val="6"/>
        <w:ind w:firstLine="560"/>
        <w:rPr>
          <w:lang w:val="en-US"/>
        </w:rPr>
      </w:pPr>
      <w:r>
        <w:rPr>
          <w:lang w:val="en-US"/>
        </w:rPr>
        <w:t>泡沫液选型不正确，或者泡沫灭火系统、管线等故障，事故时不能及时工作，影响灭火，延误时机。</w:t>
      </w:r>
    </w:p>
    <w:p>
      <w:pPr>
        <w:pStyle w:val="6"/>
        <w:ind w:firstLine="560"/>
        <w:rPr>
          <w:lang w:val="en-US"/>
        </w:rPr>
      </w:pPr>
      <w:r>
        <w:rPr>
          <w:lang w:val="en-US"/>
        </w:rPr>
        <w:t>未设置消防砂、灭火毯及配套设施，小型火灾事故不能及时扑灭则有可能引发大的火灾事故。</w:t>
      </w:r>
    </w:p>
    <w:p>
      <w:pPr>
        <w:pStyle w:val="6"/>
        <w:ind w:firstLine="560"/>
        <w:rPr>
          <w:lang w:val="en-US"/>
        </w:rPr>
      </w:pPr>
      <w:r>
        <w:rPr>
          <w:lang w:val="en-US"/>
        </w:rPr>
        <w:t>灭火器配备不足，或者摆放不规范，火灾事故发生时不能及时采取措施，可能引起大的火灾事故。</w:t>
      </w:r>
    </w:p>
    <w:p>
      <w:pPr>
        <w:pStyle w:val="6"/>
        <w:ind w:firstLine="560"/>
        <w:rPr>
          <w:lang w:val="en-US"/>
        </w:rPr>
      </w:pPr>
      <w:r>
        <w:rPr>
          <w:lang w:val="en-US"/>
        </w:rPr>
        <w:t>（3）供气系统危险性分析</w:t>
      </w:r>
    </w:p>
    <w:p>
      <w:pPr>
        <w:pStyle w:val="6"/>
        <w:ind w:firstLine="560"/>
        <w:rPr>
          <w:lang w:val="en-US"/>
        </w:rPr>
      </w:pPr>
      <w:r>
        <w:rPr>
          <w:lang w:val="en-US"/>
        </w:rPr>
        <w:t>供气系统的不稳定性会引发经营运行事故。仪表净化风供气只用于仪表空压，空压储罐的容量如果不能满足紧急时仪表用气的储量，无法显示各操作点的操控指数，从而引发大的事故。气动阀使用的空气，若供气不稳定，气动阀不动作，对控制系统造成影响。</w:t>
      </w:r>
    </w:p>
    <w:p>
      <w:pPr>
        <w:pStyle w:val="6"/>
        <w:ind w:firstLine="560"/>
        <w:rPr>
          <w:lang w:val="en-US"/>
        </w:rPr>
      </w:pPr>
      <w:r>
        <w:rPr>
          <w:lang w:val="en-US"/>
        </w:rPr>
        <w:t>（4）防雷、防静电设施</w:t>
      </w:r>
    </w:p>
    <w:p>
      <w:pPr>
        <w:pStyle w:val="6"/>
        <w:ind w:firstLine="560"/>
        <w:rPr>
          <w:lang w:val="en-US"/>
        </w:rPr>
      </w:pPr>
      <w:r>
        <w:rPr>
          <w:lang w:val="en-US"/>
        </w:rPr>
        <w:t>1）易燃物料输送过程中易产生静电，如工艺管线的阀门、法兰连接处未用金属线跨接、工艺设备未设置静电接地装置或设置的跨接金属线、静电接地设施失效，继而造成静电放电引燃泄漏的易燃物质，引发火灾爆炸事故。</w:t>
      </w:r>
    </w:p>
    <w:p>
      <w:pPr>
        <w:pStyle w:val="6"/>
        <w:ind w:firstLine="560"/>
        <w:rPr>
          <w:lang w:val="en-US"/>
        </w:rPr>
      </w:pPr>
      <w:r>
        <w:rPr>
          <w:lang w:val="en-US"/>
        </w:rPr>
        <w:t>2）储罐未设置防雷接地或设置的防雷接地设施失去效用，雷雨天气容易发生雷击事故，致使人员遭受雷电伤害或引发火灾爆炸事故。</w:t>
      </w:r>
    </w:p>
    <w:p>
      <w:pPr>
        <w:pStyle w:val="6"/>
        <w:ind w:firstLine="560"/>
        <w:rPr>
          <w:lang w:val="en-US"/>
        </w:rPr>
      </w:pPr>
      <w:r>
        <w:rPr>
          <w:lang w:val="en-US"/>
        </w:rPr>
        <w:t>3）雷雨天气，人员室外操作有可能发生雷击事故，造成人员伤亡。</w:t>
      </w:r>
    </w:p>
    <w:p>
      <w:pPr>
        <w:pStyle w:val="6"/>
        <w:ind w:firstLine="560"/>
        <w:rPr>
          <w:lang w:val="en-US"/>
        </w:rPr>
      </w:pPr>
      <w:r>
        <w:rPr>
          <w:lang w:val="en-US"/>
        </w:rPr>
        <w:t>4）自控系统中，由于精密电子设备抗过电压、过电流及电磁脉冲的能力极低，毫无防范的系统一且遭受雷击，设备将会遭受重创。雷电侵害计算机网络有两种方式：直击雷侵害和感应雷侵害。雷电直接击中设备所在建筑物或设备连接线路并经过网络设备入地的雷击过电流称为直击雷：由雷电电流产生的强大电磁场经导体感应出的过电压、过电流所形成的雷击称为感应雷。直击雷击中建筑物，会产生强大的雷电流，如果电压分布不均会产生局部高电位，对周围电子设备形成高电位反击，击毁建筑物，损坏设备，甚至造成人员伤亡。感应雷一般由电磁感应产生，通过电力线路、信号馈线感应雷电压入侵计算机网络系统，从而造成网络系统设备的大面积损坏。</w:t>
      </w:r>
    </w:p>
    <w:p>
      <w:pPr>
        <w:pStyle w:val="6"/>
        <w:ind w:firstLine="560"/>
        <w:rPr>
          <w:lang w:val="en-US"/>
        </w:rPr>
      </w:pPr>
      <w:r>
        <w:rPr>
          <w:lang w:val="en-US"/>
        </w:rPr>
        <w:t>（5）给水系统</w:t>
      </w:r>
    </w:p>
    <w:p>
      <w:pPr>
        <w:pStyle w:val="6"/>
        <w:ind w:firstLine="560"/>
        <w:rPr>
          <w:lang w:val="en-US"/>
        </w:rPr>
      </w:pPr>
      <w:r>
        <w:rPr>
          <w:lang w:val="en-US"/>
        </w:rPr>
        <w:t>给水系统机泵设备的高速旋转外露部件没有设置防护罩，作业人员巡检时衣物不甚被卷入，有造成机械伤害的危险。</w:t>
      </w:r>
    </w:p>
    <w:p>
      <w:pPr>
        <w:pStyle w:val="6"/>
        <w:ind w:firstLine="560"/>
        <w:rPr>
          <w:lang w:val="en-US"/>
        </w:rPr>
      </w:pPr>
      <w:r>
        <w:rPr>
          <w:lang w:val="en-US"/>
        </w:rPr>
        <w:t>供水系统的机泵、照明、开关、配电箱等电气系统没有采取有效的保护接地、漏电保护等防护措施时，设备故障状态下漏电，有造成作业人员触电伤害的危险。</w:t>
      </w:r>
    </w:p>
    <w:p>
      <w:pPr>
        <w:pStyle w:val="6"/>
        <w:numPr>
          <w:ilvl w:val="0"/>
          <w:numId w:val="3"/>
        </w:numPr>
        <w:ind w:firstLine="560"/>
        <w:rPr>
          <w:lang w:val="en-US"/>
        </w:rPr>
      </w:pPr>
      <w:r>
        <w:rPr>
          <w:lang w:val="en-US"/>
        </w:rPr>
        <w:t>排水系统</w:t>
      </w:r>
    </w:p>
    <w:p>
      <w:pPr>
        <w:pStyle w:val="6"/>
        <w:ind w:firstLine="560"/>
        <w:rPr>
          <w:lang w:val="en-US"/>
        </w:rPr>
      </w:pPr>
      <w:r>
        <w:rPr>
          <w:lang w:val="en-US"/>
        </w:rPr>
        <w:t>排水系统属隐蔽工程，长期使用后可能会存在沼气，人员误入后会造成窒息死亡事故。若房内的机泵设备、照明设施存在漏电、绝缘失效等情况会造成作业人员触电事故。</w:t>
      </w:r>
    </w:p>
    <w:p>
      <w:pPr>
        <w:pStyle w:val="6"/>
        <w:numPr>
          <w:ilvl w:val="0"/>
          <w:numId w:val="3"/>
        </w:numPr>
        <w:ind w:firstLine="560"/>
        <w:rPr>
          <w:lang w:val="en-US"/>
        </w:rPr>
      </w:pPr>
      <w:r>
        <w:rPr>
          <w:lang w:val="en-US"/>
        </w:rPr>
        <w:t>自动控制系统</w:t>
      </w:r>
    </w:p>
    <w:p>
      <w:pPr>
        <w:pStyle w:val="6"/>
        <w:ind w:firstLine="560"/>
        <w:rPr>
          <w:lang w:val="en-US"/>
        </w:rPr>
      </w:pPr>
      <w:r>
        <w:rPr>
          <w:lang w:val="en-US"/>
        </w:rPr>
        <w:t>该项目控制系统拟采用先进的自动控制系统，可以对该项目储罐、泵区、消防系统等进行监视和控制。</w:t>
      </w:r>
    </w:p>
    <w:p>
      <w:pPr>
        <w:pStyle w:val="6"/>
        <w:ind w:firstLine="560"/>
        <w:rPr>
          <w:lang w:val="en-US"/>
        </w:rPr>
      </w:pPr>
      <w:r>
        <w:rPr>
          <w:lang w:val="en-US"/>
        </w:rPr>
        <w:t>检测仪表、控制仪表是该项目进行数据采集和执行控制系统命令的关键环节，直接关系到整个系统的可靠性和准确性，是整个系统安全可靠运行的重要因素。电气、仪表故障等均有可能造成执行机构误动作或不动作，致使执行系统不能正常运行，一旦控制报警系统发生故障而误动作或未动作，造成操作人员的判断失误，出现超液位等事故，从而影响运行，导致设备损坏和人员伤亡等事故的发生。</w:t>
      </w:r>
    </w:p>
    <w:p>
      <w:pPr>
        <w:pStyle w:val="6"/>
        <w:ind w:firstLine="560"/>
        <w:rPr>
          <w:lang w:val="en-US"/>
        </w:rPr>
      </w:pPr>
      <w:r>
        <w:rPr>
          <w:lang w:val="en-US"/>
        </w:rPr>
        <w:t>操作人员由于自身技术水平不高或责任心不强，误操作或违章操作，也会引发各类事故，如储油罐冒顶事故、电伤害事故等。</w:t>
      </w:r>
    </w:p>
    <w:p>
      <w:pPr>
        <w:pStyle w:val="4"/>
        <w:spacing w:before="62" w:after="62"/>
      </w:pPr>
      <w:r>
        <w:t>F1.2.</w:t>
      </w:r>
      <w:r>
        <w:rPr>
          <w:rFonts w:hint="eastAsia"/>
        </w:rPr>
        <w:t>3</w:t>
      </w:r>
      <w:r>
        <w:t xml:space="preserve"> 主要设施、设备管道、建构筑物危险性分析</w:t>
      </w:r>
    </w:p>
    <w:p>
      <w:pPr>
        <w:pStyle w:val="6"/>
        <w:ind w:firstLine="560"/>
        <w:rPr>
          <w:lang w:val="en-US"/>
        </w:rPr>
      </w:pPr>
      <w:r>
        <w:rPr>
          <w:lang w:val="en-US"/>
        </w:rPr>
        <w:t>该项目属于</w:t>
      </w:r>
      <w:r>
        <w:rPr>
          <w:rFonts w:hint="eastAsia"/>
          <w:lang w:val="en-US"/>
        </w:rPr>
        <w:t>新建危险化学品储存项目</w:t>
      </w:r>
      <w:r>
        <w:rPr>
          <w:lang w:val="en-US"/>
        </w:rPr>
        <w:t>，主要设备设施有油储罐、油泵、工艺管线等。下面选择主要的设备进行危险性分析：</w:t>
      </w:r>
    </w:p>
    <w:p>
      <w:pPr>
        <w:pStyle w:val="6"/>
        <w:ind w:firstLine="560"/>
        <w:rPr>
          <w:lang w:val="en-US"/>
        </w:rPr>
      </w:pPr>
      <w:r>
        <w:rPr>
          <w:lang w:val="en-US"/>
        </w:rPr>
        <w:t>（1）储罐</w:t>
      </w:r>
    </w:p>
    <w:p>
      <w:pPr>
        <w:pStyle w:val="6"/>
        <w:ind w:firstLine="560"/>
        <w:rPr>
          <w:lang w:val="en-US"/>
        </w:rPr>
      </w:pPr>
      <w:r>
        <w:rPr>
          <w:lang w:val="en-US"/>
        </w:rPr>
        <w:t>若储罐及其基础不坚固、储罐制作时材质不达标或焊接质量不达标、浮盘密封不好或浮盘均衡性差等原因均可能造成在储罐的长期使用过程中，出现储罐基础下沉、储罐破裂、管道阀门受应力作用断裂等事故，导致油品泄漏，有可能引起火灾爆炸事故发生。</w:t>
      </w:r>
    </w:p>
    <w:p>
      <w:pPr>
        <w:pStyle w:val="6"/>
        <w:ind w:firstLine="560"/>
        <w:rPr>
          <w:lang w:val="en-US"/>
        </w:rPr>
      </w:pPr>
      <w:r>
        <w:rPr>
          <w:lang w:val="en-US"/>
        </w:rPr>
        <w:t>储罐相对较高，防雷接地设施不健全或断裂松脱、电阻值超标等，特别在雷雨季节，可能遭受雷击，引起火灾爆炸事故。</w:t>
      </w:r>
    </w:p>
    <w:p>
      <w:pPr>
        <w:pStyle w:val="6"/>
        <w:ind w:firstLine="560"/>
        <w:rPr>
          <w:lang w:val="en-US"/>
        </w:rPr>
      </w:pPr>
      <w:r>
        <w:rPr>
          <w:lang w:val="en-US"/>
        </w:rPr>
        <w:t>储罐液位计出现故障，指示错误，高液位自动报警和控制系统出现故障，可能导致物料加入超量，甚至溢出。</w:t>
      </w:r>
    </w:p>
    <w:p>
      <w:pPr>
        <w:pStyle w:val="6"/>
        <w:ind w:firstLine="560"/>
        <w:rPr>
          <w:lang w:val="en-US"/>
        </w:rPr>
      </w:pPr>
      <w:r>
        <w:rPr>
          <w:lang w:val="en-US"/>
        </w:rPr>
        <w:t>工作人员由于疏忽大意，向已经装满的储罐内继续充装，使充装量超过安全高度，导致从罐顶放空口等溢出，大量跑损。如跑损的物料遇点火源还可能发生火灾、爆炸事故。</w:t>
      </w:r>
    </w:p>
    <w:p>
      <w:pPr>
        <w:pStyle w:val="6"/>
        <w:ind w:firstLine="560"/>
        <w:rPr>
          <w:lang w:val="en-US"/>
        </w:rPr>
      </w:pPr>
      <w:r>
        <w:rPr>
          <w:lang w:val="en-US"/>
        </w:rPr>
        <w:t>罐区的防火堤是防止易燃液体泄漏扩大事故后果的有效手段，若防火堤容积不够，耐火等级不够，防火堤的穿堤管线未封堵严密，均可能起不到有效的堵漏措施，延误救援时机。</w:t>
      </w:r>
    </w:p>
    <w:p>
      <w:pPr>
        <w:pStyle w:val="6"/>
        <w:ind w:firstLine="560"/>
        <w:rPr>
          <w:lang w:val="en-US"/>
        </w:rPr>
      </w:pPr>
      <w:r>
        <w:rPr>
          <w:lang w:val="en-US"/>
        </w:rPr>
        <w:t>罐顶、操作平台及其梯子若无护栏或平台、护栏、梯子不符合规范，甚至腐蚀而损坏，人员登上罐顶作业时，有可能发生高处坠落事故。</w:t>
      </w:r>
    </w:p>
    <w:p>
      <w:pPr>
        <w:pStyle w:val="6"/>
        <w:ind w:firstLine="560"/>
        <w:rPr>
          <w:lang w:val="en-US"/>
        </w:rPr>
      </w:pPr>
      <w:r>
        <w:rPr>
          <w:lang w:val="en-US"/>
        </w:rPr>
        <w:t>该项目储罐采用内浮顶罐，且储罐容积较大，浮顶储罐在使用过程中易发生沉盘和卡盘的危险，主要表现在以下几方面：</w:t>
      </w:r>
    </w:p>
    <w:p>
      <w:pPr>
        <w:pStyle w:val="6"/>
        <w:ind w:firstLine="560"/>
        <w:rPr>
          <w:lang w:val="en-US"/>
        </w:rPr>
      </w:pPr>
      <w:r>
        <w:rPr>
          <w:lang w:val="en-US"/>
        </w:rPr>
        <w:t>1）浮盘变形。浮盘在长期频繁运行过徎中，要受到油品腐蚀、油品温度变化、气候变化、储罐基础沉降、罐体变形、浮盘顶滑梯安装、浮盘附件是否完好等因素的影响，浮盘几何形状和尺寸发生变化，浮盘逐渐变形，出现表面凹凸不平。变形后浮盘在运行中，由于各处受到浮力不同，以致浮盘倾斜，浮盘量油导向管卡住，导致油品从密封圈及自动呼吸阀孔跑漏至浮盘上而沉盘。</w:t>
      </w:r>
    </w:p>
    <w:p>
      <w:pPr>
        <w:pStyle w:val="6"/>
        <w:ind w:firstLine="560"/>
        <w:rPr>
          <w:lang w:val="en-US"/>
        </w:rPr>
      </w:pPr>
      <w:r>
        <w:rPr>
          <w:lang w:val="en-US"/>
        </w:rPr>
        <w:t>2）油罐和浮盘施工质量差，如罐体的直径、椭圆度、垂直度、表面凹凸不合要求、浮盘变形与歪斜、导向柱倾斜、油罐的密封安装不好等，也易导致沉盘事故。</w:t>
      </w:r>
    </w:p>
    <w:p>
      <w:pPr>
        <w:pStyle w:val="6"/>
        <w:ind w:firstLine="560"/>
        <w:rPr>
          <w:lang w:val="en-US"/>
        </w:rPr>
      </w:pPr>
      <w:r>
        <w:rPr>
          <w:lang w:val="en-US"/>
        </w:rPr>
        <w:t>3）正常运行时，浮顶油罐上的浮盘能随着罐内油品液位的升降而自由浮动。当出现浮盘上重力加大或因外力卡住浮盘而不能自由动作时，则会因快速收油而使浮盘淹没，最终沉底。</w:t>
      </w:r>
    </w:p>
    <w:p>
      <w:pPr>
        <w:pStyle w:val="6"/>
        <w:ind w:firstLine="560"/>
        <w:rPr>
          <w:lang w:val="en-US"/>
        </w:rPr>
      </w:pPr>
      <w:r>
        <w:rPr>
          <w:lang w:val="en-US"/>
        </w:rPr>
        <w:t>4）检修更新或日常油罐检修不够细致、不够全面，检修的质量不过关，油罐设施、安全附件检修中存在漏洞，安装不合格，防腐质量差等，也易导致事故的发生。</w:t>
      </w:r>
    </w:p>
    <w:p>
      <w:pPr>
        <w:pStyle w:val="6"/>
        <w:ind w:firstLine="560"/>
        <w:rPr>
          <w:lang w:val="en-US"/>
        </w:rPr>
      </w:pPr>
      <w:r>
        <w:rPr>
          <w:lang w:val="en-US"/>
        </w:rPr>
        <w:t>（2）油泵</w:t>
      </w:r>
    </w:p>
    <w:p>
      <w:pPr>
        <w:pStyle w:val="6"/>
        <w:ind w:firstLine="560"/>
        <w:rPr>
          <w:lang w:val="en-US"/>
        </w:rPr>
      </w:pPr>
      <w:r>
        <w:rPr>
          <w:lang w:val="en-US"/>
        </w:rPr>
        <w:t>油泵电机不防爆或防爆等级不达标，若油品泄漏，通风不好，造成油气积聚，可由于电气打火或静电积聚放电引起火灾爆炸事故。</w:t>
      </w:r>
    </w:p>
    <w:p>
      <w:pPr>
        <w:pStyle w:val="6"/>
        <w:ind w:firstLine="560"/>
        <w:rPr>
          <w:lang w:val="en-US"/>
        </w:rPr>
      </w:pPr>
      <w:r>
        <w:rPr>
          <w:lang w:val="en-US"/>
        </w:rPr>
        <w:t>若油泵带病运转或超负荷运转，可能造成机壳过热，进而引发火灾事故。</w:t>
      </w:r>
    </w:p>
    <w:p>
      <w:pPr>
        <w:pStyle w:val="6"/>
        <w:ind w:firstLine="560"/>
        <w:rPr>
          <w:lang w:val="en-US"/>
        </w:rPr>
      </w:pPr>
      <w:r>
        <w:rPr>
          <w:lang w:val="en-US"/>
        </w:rPr>
        <w:t>机泵的联轴器防护罩缺损，人员靠近时有发生卷入的危险。</w:t>
      </w:r>
    </w:p>
    <w:p>
      <w:pPr>
        <w:pStyle w:val="6"/>
        <w:ind w:firstLine="560"/>
        <w:rPr>
          <w:lang w:val="en-US"/>
        </w:rPr>
      </w:pPr>
      <w:r>
        <w:rPr>
          <w:lang w:val="en-US"/>
        </w:rPr>
        <w:t>机泵检修时，未断电或监护不力导致设备意外启动，会造成卷入等伤害。</w:t>
      </w:r>
    </w:p>
    <w:p>
      <w:pPr>
        <w:pStyle w:val="6"/>
        <w:ind w:firstLine="560"/>
        <w:rPr>
          <w:lang w:val="en-US"/>
        </w:rPr>
      </w:pPr>
      <w:r>
        <w:rPr>
          <w:lang w:val="en-US"/>
        </w:rPr>
        <w:t>若管道未做静电接地，静电积聚可能引起火灾爆炸事故发生。</w:t>
      </w:r>
    </w:p>
    <w:p>
      <w:pPr>
        <w:pStyle w:val="6"/>
        <w:ind w:left="560" w:leftChars="200" w:firstLine="0" w:firstLineChars="0"/>
        <w:rPr>
          <w:lang w:val="en-US"/>
        </w:rPr>
      </w:pPr>
      <w:r>
        <w:rPr>
          <w:lang w:val="en-US"/>
        </w:rPr>
        <w:t>（3）工艺管道</w:t>
      </w:r>
    </w:p>
    <w:p>
      <w:pPr>
        <w:pStyle w:val="6"/>
        <w:ind w:left="560" w:leftChars="200" w:firstLine="0" w:firstLineChars="0"/>
        <w:rPr>
          <w:lang w:val="en-US"/>
        </w:rPr>
      </w:pPr>
      <w:r>
        <w:rPr>
          <w:lang w:val="en-US"/>
        </w:rPr>
        <w:t>1）火灾、爆炸</w:t>
      </w:r>
    </w:p>
    <w:p>
      <w:pPr>
        <w:pStyle w:val="6"/>
        <w:ind w:firstLine="560"/>
        <w:rPr>
          <w:lang w:val="en-US"/>
        </w:rPr>
      </w:pPr>
      <w:r>
        <w:rPr>
          <w:lang w:val="en-US"/>
        </w:rPr>
        <w:t>原油属易燃、易爆危险化学品。泄漏后，由于其易挥发、易流淌的特性，遇到点火源，极易发生火灾、爆炸事故。</w:t>
      </w:r>
    </w:p>
    <w:p>
      <w:pPr>
        <w:pStyle w:val="6"/>
        <w:ind w:firstLine="560"/>
        <w:rPr>
          <w:lang w:val="en-US"/>
        </w:rPr>
      </w:pPr>
      <w:r>
        <w:rPr>
          <w:rFonts w:hint="eastAsia"/>
          <w:lang w:val="en-US"/>
        </w:rPr>
        <w:t>①</w:t>
      </w:r>
      <w:r>
        <w:rPr>
          <w:lang w:val="en-US"/>
        </w:rPr>
        <w:t>静电火花引起火灾、爆炸</w:t>
      </w:r>
    </w:p>
    <w:p>
      <w:pPr>
        <w:pStyle w:val="6"/>
        <w:ind w:firstLine="560"/>
        <w:rPr>
          <w:lang w:val="en-US"/>
        </w:rPr>
      </w:pPr>
      <w:r>
        <w:rPr>
          <w:lang w:val="en-US"/>
        </w:rPr>
        <w:t>当油品泄漏以极高的速度喷射时，与管壁摩擦产生静电，由于油品的最小引燃能量较低，如果静电放电产生的电火花能量达到或大于原油蒸气的最小点火能时，就会引起燃烧、爆炸。</w:t>
      </w:r>
    </w:p>
    <w:p>
      <w:pPr>
        <w:pStyle w:val="6"/>
        <w:ind w:firstLine="560"/>
        <w:rPr>
          <w:lang w:val="en-US"/>
        </w:rPr>
      </w:pPr>
      <w:r>
        <w:rPr>
          <w:rFonts w:hint="eastAsia"/>
          <w:lang w:val="en-US"/>
        </w:rPr>
        <w:t>②</w:t>
      </w:r>
      <w:r>
        <w:rPr>
          <w:lang w:val="en-US"/>
        </w:rPr>
        <w:t>机械火花引起火灾、爆炸事故</w:t>
      </w:r>
    </w:p>
    <w:p>
      <w:pPr>
        <w:pStyle w:val="6"/>
        <w:ind w:firstLine="560"/>
        <w:rPr>
          <w:lang w:val="en-US"/>
        </w:rPr>
      </w:pPr>
      <w:r>
        <w:rPr>
          <w:lang w:val="en-US"/>
        </w:rPr>
        <w:t>油品泄漏后，抢险过程中防范意识不到位，管理不善，使用非防爆工具或器具等敲击、碰撞、摩擦等可产生机械火花，从而引起火灾、爆炸事故。</w:t>
      </w:r>
    </w:p>
    <w:p>
      <w:pPr>
        <w:pStyle w:val="6"/>
        <w:ind w:firstLine="560"/>
        <w:rPr>
          <w:lang w:val="en-US"/>
        </w:rPr>
      </w:pPr>
      <w:r>
        <w:rPr>
          <w:rFonts w:hint="eastAsia"/>
          <w:lang w:val="en-US"/>
        </w:rPr>
        <w:t>③</w:t>
      </w:r>
      <w:r>
        <w:rPr>
          <w:lang w:val="en-US"/>
        </w:rPr>
        <w:t>明火火源引起火灾、爆炸事故</w:t>
      </w:r>
    </w:p>
    <w:p>
      <w:pPr>
        <w:pStyle w:val="6"/>
        <w:ind w:firstLine="560"/>
        <w:rPr>
          <w:lang w:val="en-US"/>
        </w:rPr>
      </w:pPr>
      <w:r>
        <w:rPr>
          <w:lang w:val="en-US"/>
        </w:rPr>
        <w:t>在油品泄漏场所等处违章动火、携带火柴等违禁品、违章吸烟、车辆阻火器失效；在维修、施工中未严格执行动火方案或防范措施不得当等原因产生明火，从而引起火灾、爆炸事故。</w:t>
      </w:r>
    </w:p>
    <w:p>
      <w:pPr>
        <w:pStyle w:val="6"/>
        <w:ind w:firstLine="560"/>
        <w:rPr>
          <w:lang w:val="en-US"/>
        </w:rPr>
      </w:pPr>
      <w:r>
        <w:rPr>
          <w:rFonts w:hint="eastAsia"/>
          <w:lang w:val="en-US"/>
        </w:rPr>
        <w:t>④</w:t>
      </w:r>
      <w:r>
        <w:rPr>
          <w:lang w:val="en-US"/>
        </w:rPr>
        <w:t>其他因素引起火灾、爆炸事故</w:t>
      </w:r>
    </w:p>
    <w:p>
      <w:pPr>
        <w:pStyle w:val="6"/>
        <w:ind w:firstLine="560"/>
        <w:rPr>
          <w:lang w:val="en-US"/>
        </w:rPr>
      </w:pPr>
      <w:r>
        <w:rPr>
          <w:lang w:val="en-US"/>
        </w:rPr>
        <w:t>在油品泄漏场所使用的电气防爆等级不够或未采用防爆电气，使用非防爆通信设备等，均可能引发火灾、爆炸事故。</w:t>
      </w:r>
    </w:p>
    <w:p>
      <w:pPr>
        <w:pStyle w:val="6"/>
        <w:ind w:firstLine="560"/>
        <w:rPr>
          <w:lang w:val="en-US"/>
        </w:rPr>
      </w:pPr>
      <w:r>
        <w:rPr>
          <w:lang w:val="en-US"/>
        </w:rPr>
        <w:t>火灾、爆炸事故可能造成人员伤亡和巨大财产损失，是重点防范的危险性因素。</w:t>
      </w:r>
    </w:p>
    <w:p>
      <w:pPr>
        <w:pStyle w:val="6"/>
        <w:ind w:firstLine="560"/>
        <w:rPr>
          <w:lang w:val="en-US"/>
        </w:rPr>
      </w:pPr>
      <w:r>
        <w:rPr>
          <w:lang w:val="en-US"/>
        </w:rPr>
        <w:t>（2）中毒和窒息</w:t>
      </w:r>
    </w:p>
    <w:p>
      <w:pPr>
        <w:pStyle w:val="6"/>
        <w:ind w:firstLine="560"/>
        <w:rPr>
          <w:lang w:val="en-US"/>
        </w:rPr>
      </w:pPr>
      <w:r>
        <w:rPr>
          <w:lang w:val="en-US"/>
        </w:rPr>
        <w:t>油品具有麻醉作用，能侵犯中枢神经系统。急性中毒：有头晕、头痛、兴奋或嗜睡、恶心、呕吐、脉缓等；重症者可突然倒下，尿失禁，意识丧失，甚至呼吸停止。可致皮肤冻伤。慢性影响：长期接触低浓度者，可出现头痛、头晕、睡眠不佳、易疲劳、情绪不稳以及植物神经功能紊乱等。</w:t>
      </w:r>
    </w:p>
    <w:p>
      <w:pPr>
        <w:pStyle w:val="6"/>
        <w:ind w:firstLine="560"/>
        <w:rPr>
          <w:lang w:val="en-US"/>
        </w:rPr>
      </w:pPr>
      <w:r>
        <w:rPr>
          <w:lang w:val="en-US"/>
        </w:rPr>
        <w:t>管廊上的原油管线若破裂造成大量的原油溢出时，溢出的原油浓度起过一定限值时，可能导致操作人员窒息。</w:t>
      </w:r>
    </w:p>
    <w:p>
      <w:pPr>
        <w:pStyle w:val="6"/>
        <w:ind w:firstLine="560"/>
        <w:rPr>
          <w:lang w:val="en-US"/>
        </w:rPr>
      </w:pPr>
      <w:r>
        <w:rPr>
          <w:lang w:val="en-US"/>
        </w:rPr>
        <w:t>（3）高处坠落、物体打击</w:t>
      </w:r>
    </w:p>
    <w:p>
      <w:pPr>
        <w:pStyle w:val="6"/>
        <w:ind w:firstLine="560"/>
        <w:rPr>
          <w:lang w:val="en-US"/>
        </w:rPr>
      </w:pPr>
      <w:r>
        <w:rPr>
          <w:lang w:val="en-US"/>
        </w:rPr>
        <w:t>该项目管道布置在管廊架内，如果检修爬梯设置不规范、检维修作业人员精力不集中等原因，若未采取或未能正确的使用安全带、安全网等防护措施，有发生作业人员滑跌、高空坠落的危险。</w:t>
      </w:r>
    </w:p>
    <w:p>
      <w:pPr>
        <w:pStyle w:val="6"/>
        <w:ind w:firstLine="560"/>
        <w:rPr>
          <w:lang w:val="en-US"/>
        </w:rPr>
      </w:pPr>
      <w:r>
        <w:rPr>
          <w:lang w:val="en-US"/>
        </w:rPr>
        <w:t>如果上下交叉作业，检维修作业过程中在操作平台或高处上抛掷工具、高处物件放置不稳、平台或设备上零部件滑落，会对下部人员或设备造成物体打击。</w:t>
      </w:r>
    </w:p>
    <w:p>
      <w:pPr>
        <w:pStyle w:val="4"/>
        <w:spacing w:before="62" w:after="62"/>
      </w:pPr>
      <w:r>
        <w:t>F1.2.</w:t>
      </w:r>
      <w:r>
        <w:rPr>
          <w:rFonts w:hint="eastAsia"/>
        </w:rPr>
        <w:t>4</w:t>
      </w:r>
      <w:r>
        <w:t xml:space="preserve"> 开停工、检修过程中主要危险有害因素分析</w:t>
      </w:r>
    </w:p>
    <w:p>
      <w:pPr>
        <w:pStyle w:val="6"/>
        <w:ind w:firstLine="560"/>
        <w:rPr>
          <w:lang w:val="en-US"/>
        </w:rPr>
      </w:pPr>
      <w:r>
        <w:rPr>
          <w:lang w:val="en-US"/>
        </w:rPr>
        <w:t>（1）开停车过程中的危险有害因素分析</w:t>
      </w:r>
    </w:p>
    <w:p>
      <w:pPr>
        <w:pStyle w:val="6"/>
        <w:ind w:firstLine="560"/>
        <w:rPr>
          <w:lang w:val="en-US"/>
        </w:rPr>
      </w:pPr>
      <w:r>
        <w:rPr>
          <w:lang w:val="en-US"/>
        </w:rPr>
        <w:t>该项目为</w:t>
      </w:r>
      <w:r>
        <w:rPr>
          <w:rFonts w:hint="eastAsia"/>
          <w:lang w:val="en-US"/>
        </w:rPr>
        <w:t>新建危险化学品储存项目</w:t>
      </w:r>
      <w:r>
        <w:rPr>
          <w:lang w:val="en-US"/>
        </w:rPr>
        <w:t>，工艺比较简单、成熟，相对而言，开停车的危险性较低，下面对该项目的开车过程的危险性进行简要分析。</w:t>
      </w:r>
    </w:p>
    <w:p>
      <w:pPr>
        <w:pStyle w:val="6"/>
        <w:ind w:firstLine="560"/>
        <w:rPr>
          <w:lang w:val="en-US"/>
        </w:rPr>
      </w:pPr>
      <w:r>
        <w:rPr>
          <w:lang w:val="en-US"/>
        </w:rPr>
        <w:t>本评价系统开停工过程中，储罐、管道等要进行吹扫、置换，如储罐、管道未吹扫或吹扫不净就投入运行，在运行中杂质会堵塞管道或损坏阀门的密封面，导致阀门关闭不严或泄漏。</w:t>
      </w:r>
    </w:p>
    <w:p>
      <w:pPr>
        <w:pStyle w:val="6"/>
        <w:ind w:firstLine="560"/>
        <w:rPr>
          <w:lang w:val="en-US"/>
        </w:rPr>
      </w:pPr>
      <w:r>
        <w:rPr>
          <w:lang w:val="en-US"/>
        </w:rPr>
        <w:t>若管道内的油品未吹扫干净，因管道长期存油，易发生管道腐蚀、泄漏，造成危险。因此，该项目未输油时应将管道内的油品吹扫干净，油罐底阀应关闭严实。</w:t>
      </w:r>
    </w:p>
    <w:p>
      <w:pPr>
        <w:pStyle w:val="6"/>
        <w:numPr>
          <w:ilvl w:val="0"/>
          <w:numId w:val="11"/>
        </w:numPr>
        <w:ind w:firstLine="560"/>
        <w:rPr>
          <w:lang w:val="en-US"/>
        </w:rPr>
      </w:pPr>
      <w:r>
        <w:rPr>
          <w:lang w:val="en-US"/>
        </w:rPr>
        <w:t>检维修过程中危险有害因素分析</w:t>
      </w:r>
    </w:p>
    <w:p>
      <w:pPr>
        <w:pStyle w:val="6"/>
        <w:ind w:firstLine="560"/>
        <w:rPr>
          <w:lang w:val="en-US"/>
        </w:rPr>
      </w:pPr>
      <w:r>
        <w:rPr>
          <w:lang w:val="en-US"/>
        </w:rPr>
        <w:t>在检修作业及技术改造中存在违反用火作业、高处作业、进入设备作业、临时用电作业等安全管理制度的行为，存在着违章作业、违章指挥、违反纪律的现象，从而造成机械伤害、高处坠落、触电事故，设备清洗不干净、未进行置换，易造成中毒、窒息、火灾、爆炸的可能性。</w:t>
      </w:r>
    </w:p>
    <w:p>
      <w:pPr>
        <w:pStyle w:val="6"/>
        <w:ind w:firstLine="560"/>
        <w:rPr>
          <w:lang w:val="en-US"/>
        </w:rPr>
      </w:pPr>
      <w:r>
        <w:rPr>
          <w:lang w:val="en-US"/>
        </w:rPr>
        <w:t>检修过程及技术改造中的危险有害事故分析：</w:t>
      </w:r>
    </w:p>
    <w:p>
      <w:pPr>
        <w:pStyle w:val="6"/>
        <w:ind w:firstLine="560"/>
        <w:rPr>
          <w:lang w:val="en-US"/>
        </w:rPr>
      </w:pPr>
      <w:r>
        <w:rPr>
          <w:lang w:val="en-US"/>
        </w:rPr>
        <w:t>①从人员方面分析，在停车改造、检修过程中，存在外来人员施工的现象比较多，人员的专业知识、安全意识、认识水平参差不齐，是引发事故的重要原因。</w:t>
      </w:r>
    </w:p>
    <w:p>
      <w:pPr>
        <w:pStyle w:val="6"/>
        <w:ind w:firstLine="560"/>
        <w:rPr>
          <w:lang w:val="en-US"/>
        </w:rPr>
      </w:pPr>
      <w:r>
        <w:rPr>
          <w:lang w:val="en-US"/>
        </w:rPr>
        <w:t>②物质的危险性决定了检修的危险性。由于设备和管道中存在着易燃、易爆物质，检修又离不开动火、动土、进罐作业，在客观上具备了发生火灾、爆炸等事故发生的因素，处理不当，就容易发生重大事故。</w:t>
      </w:r>
    </w:p>
    <w:p>
      <w:pPr>
        <w:pStyle w:val="6"/>
        <w:ind w:firstLine="560"/>
        <w:rPr>
          <w:lang w:val="en-US"/>
        </w:rPr>
      </w:pPr>
      <w:r>
        <w:rPr>
          <w:lang w:val="en-US"/>
        </w:rPr>
        <w:t>③检修时置换清洗不彻底或未完全与系统隔绝（如未加盲板），未办理动火证而进行动火作业，有引起火灾、爆炸的危险；未办理进入设备作业手续而进入设备内作业，未佩戴有关防护用品或防护用品不符合标准要求，有引起检修人员中毒窒息的危险。</w:t>
      </w:r>
    </w:p>
    <w:p>
      <w:pPr>
        <w:pStyle w:val="6"/>
        <w:ind w:firstLine="560"/>
        <w:rPr>
          <w:lang w:val="en-US"/>
        </w:rPr>
      </w:pPr>
      <w:r>
        <w:rPr>
          <w:lang w:val="en-US"/>
        </w:rPr>
        <w:t>④检修过程操作者未按高处作业规定进行高处作业，无人监护、未采取防坠落措施，操作失误易发生高处坠落；上下交叉作业较多，未落实相关安全防护措施，有造成物体打击的危险。</w:t>
      </w:r>
    </w:p>
    <w:p>
      <w:pPr>
        <w:pStyle w:val="6"/>
        <w:ind w:firstLine="560"/>
        <w:rPr>
          <w:lang w:val="en-US"/>
        </w:rPr>
      </w:pPr>
      <w:r>
        <w:rPr>
          <w:lang w:val="en-US"/>
        </w:rPr>
        <w:t>⑤检修转动设备时，不切断电源，未挂不准合闸警示牌，未设专人监护等措施，进行检修作业，造成机械伤害事故；也有因当时受定时电源开关作用或发生临时停电等因素误判而造成机械伤害事故；也有虽然对设备断电，但因未等到设备惯性运转彻底停住就下手工作，同样能造成机械伤害事故。</w:t>
      </w:r>
    </w:p>
    <w:p>
      <w:pPr>
        <w:pStyle w:val="3"/>
        <w:numPr>
          <w:ilvl w:val="1"/>
          <w:numId w:val="0"/>
        </w:numPr>
        <w:spacing w:before="156" w:after="156"/>
        <w:ind w:left="130"/>
      </w:pPr>
      <w:bookmarkStart w:id="100" w:name="_Toc23751"/>
      <w:r>
        <w:t>F1.3 安全管理缺陷危险性分析</w:t>
      </w:r>
      <w:bookmarkEnd w:id="100"/>
    </w:p>
    <w:p>
      <w:pPr>
        <w:pStyle w:val="4"/>
        <w:spacing w:before="62" w:after="62"/>
      </w:pPr>
      <w:r>
        <w:t>F1.3.1 人的不安全因素</w:t>
      </w:r>
    </w:p>
    <w:p>
      <w:pPr>
        <w:pStyle w:val="6"/>
        <w:ind w:firstLine="560"/>
        <w:rPr>
          <w:lang w:val="en-US"/>
        </w:rPr>
      </w:pPr>
      <w:r>
        <w:rPr>
          <w:lang w:val="en-US"/>
        </w:rPr>
        <w:t>大量事故的统计分析表明，大部分事故是由人的因素造成的。长期超负荷作业致使操作人员疲劳、精力不集中导致误操作；疾病或饮酒致操作和指挥失误；操作人员从事禁忌作业引起事故；人员心理异常、故意犯错或存在识别功能缺陷均可导致事故。</w:t>
      </w:r>
    </w:p>
    <w:p>
      <w:pPr>
        <w:pStyle w:val="6"/>
        <w:ind w:firstLine="560"/>
        <w:rPr>
          <w:lang w:val="en-US"/>
        </w:rPr>
      </w:pPr>
      <w:r>
        <w:rPr>
          <w:lang w:val="en-US"/>
        </w:rPr>
        <w:t>人的不安全行为主要表现为以下几个方面：</w:t>
      </w:r>
    </w:p>
    <w:p>
      <w:pPr>
        <w:pStyle w:val="6"/>
        <w:ind w:firstLine="560"/>
        <w:rPr>
          <w:lang w:val="en-US"/>
        </w:rPr>
      </w:pPr>
      <w:r>
        <w:rPr>
          <w:lang w:val="en-US"/>
        </w:rPr>
        <w:t>①不专心致志工作，麻痹大意或急噪慌张、判断失误导致事故发生。</w:t>
      </w:r>
    </w:p>
    <w:p>
      <w:pPr>
        <w:pStyle w:val="6"/>
        <w:ind w:firstLine="560"/>
        <w:rPr>
          <w:lang w:val="en-US"/>
        </w:rPr>
      </w:pPr>
      <w:r>
        <w:rPr>
          <w:lang w:val="en-US"/>
        </w:rPr>
        <w:t>②不按操作规程进行操作；不按规章制度进行巡回检查，甚至在岗上睡觉，或者串岗，脱岗，岗上看杂志、干私活，或交接班不具体等致使事故隐患不能及时发现，从而酿成事故。</w:t>
      </w:r>
    </w:p>
    <w:p>
      <w:pPr>
        <w:pStyle w:val="6"/>
        <w:ind w:firstLine="560"/>
        <w:rPr>
          <w:lang w:val="en-US"/>
        </w:rPr>
      </w:pPr>
      <w:r>
        <w:rPr>
          <w:lang w:val="en-US"/>
        </w:rPr>
        <w:t>③对</w:t>
      </w:r>
      <w:r>
        <w:rPr>
          <w:rFonts w:hint="eastAsia"/>
          <w:lang w:val="en-US"/>
        </w:rPr>
        <w:t>运行过程</w:t>
      </w:r>
      <w:r>
        <w:rPr>
          <w:lang w:val="en-US"/>
        </w:rPr>
        <w:t>中使用的各种物质组成、性质不了解，缺乏普通的和专业的安全知识，缺乏专业知识和生产技能，因知识和技能的缺陷导致指挥或操作失误，引起事故。</w:t>
      </w:r>
    </w:p>
    <w:p>
      <w:pPr>
        <w:pStyle w:val="6"/>
        <w:ind w:firstLine="560"/>
        <w:rPr>
          <w:lang w:val="en-US"/>
        </w:rPr>
      </w:pPr>
      <w:r>
        <w:rPr>
          <w:lang w:val="en-US"/>
        </w:rPr>
        <w:t>④身体素质差，易疲劳；违章指挥；操作者不负责任，擅离职守；承受不起生活和工作上的压力，心理变态、精神失常、神思恍惚，思想不集中；或过于兴奋，得意忘形等均有可能导致事故发生。</w:t>
      </w:r>
    </w:p>
    <w:p>
      <w:pPr>
        <w:pStyle w:val="6"/>
        <w:ind w:firstLine="560"/>
        <w:rPr>
          <w:lang w:val="en-US"/>
        </w:rPr>
      </w:pPr>
      <w:r>
        <w:rPr>
          <w:lang w:val="en-US"/>
        </w:rPr>
        <w:t>⑤管理人员安全意识不强，不能保证安全资金的投入，不认真落实防范措施，决策失误或指挥能力差，可间接导致事故发生或使事故扩大。</w:t>
      </w:r>
    </w:p>
    <w:p>
      <w:pPr>
        <w:pStyle w:val="4"/>
        <w:spacing w:before="62" w:after="62"/>
      </w:pPr>
      <w:r>
        <w:t>F1.3.2 制度的不安全因素</w:t>
      </w:r>
    </w:p>
    <w:p>
      <w:pPr>
        <w:pStyle w:val="6"/>
        <w:ind w:firstLine="560"/>
        <w:rPr>
          <w:lang w:val="en-US"/>
        </w:rPr>
      </w:pPr>
      <w:r>
        <w:rPr>
          <w:lang w:val="en-US"/>
        </w:rPr>
        <w:t>制度不健全，就是没有按国家、地区及行业有关法律、法规及标准建立健全符合本单位实际情况的安全管理规章制度，以致人员在生产运行中无章可循，不能及时发现事故隐患或隐患消除措施不合适，以致酿成事故。</w:t>
      </w:r>
    </w:p>
    <w:p>
      <w:pPr>
        <w:pStyle w:val="6"/>
        <w:ind w:firstLine="560"/>
        <w:rPr>
          <w:lang w:val="en-US"/>
        </w:rPr>
      </w:pPr>
      <w:r>
        <w:rPr>
          <w:lang w:val="en-US"/>
        </w:rPr>
        <w:t>措施不具体，就是说制度操作性和针对性不强，甚至是错误的，操作人员虽然有章可循，但实施后不能起到应有的效果，从而导致事故的发生。</w:t>
      </w:r>
    </w:p>
    <w:p>
      <w:pPr>
        <w:pStyle w:val="6"/>
        <w:ind w:firstLine="560"/>
        <w:rPr>
          <w:lang w:val="en-US"/>
        </w:rPr>
      </w:pPr>
      <w:r>
        <w:rPr>
          <w:lang w:val="en-US"/>
        </w:rPr>
        <w:t>执行不落实，是指人员违章操作，即违反操作规程和安全管理规章制度，不按上级主管领导或部门的规定开展生产活动。</w:t>
      </w:r>
    </w:p>
    <w:p>
      <w:pPr>
        <w:pStyle w:val="3"/>
        <w:numPr>
          <w:ilvl w:val="1"/>
          <w:numId w:val="0"/>
        </w:numPr>
        <w:spacing w:before="156" w:after="156"/>
        <w:ind w:left="130"/>
      </w:pPr>
      <w:bookmarkStart w:id="101" w:name="_Toc24175"/>
      <w:r>
        <w:t>F1.</w:t>
      </w:r>
      <w:r>
        <w:rPr>
          <w:rFonts w:hint="eastAsia"/>
        </w:rPr>
        <w:t>4</w:t>
      </w:r>
      <w:r>
        <w:t xml:space="preserve"> 重大危险源辨识过程</w:t>
      </w:r>
      <w:bookmarkEnd w:id="101"/>
    </w:p>
    <w:p>
      <w:pPr>
        <w:pStyle w:val="4"/>
        <w:spacing w:before="62" w:after="62"/>
      </w:pPr>
      <w:r>
        <w:t>F1.</w:t>
      </w:r>
      <w:r>
        <w:rPr>
          <w:rFonts w:hint="eastAsia"/>
        </w:rPr>
        <w:t>4</w:t>
      </w:r>
      <w:r>
        <w:t>.1 危险化学品重大危险源定义</w:t>
      </w:r>
    </w:p>
    <w:p>
      <w:pPr>
        <w:pStyle w:val="6"/>
        <w:ind w:firstLine="560"/>
      </w:pPr>
      <w:r>
        <w:rPr>
          <w:lang w:val="en-US"/>
        </w:rPr>
        <w:t>危险化学品重大危险源的辨识依据《危险化学品重大危险源辨识》（GB18218-2018）和《危险化学品重大危险源监督管理暂行规定》（安监总局令第40号，79号令修</w:t>
      </w:r>
      <w:r>
        <w:rPr>
          <w:rFonts w:hint="eastAsia"/>
          <w:lang w:val="en-US" w:eastAsia="zh-CN"/>
        </w:rPr>
        <w:t>正</w:t>
      </w:r>
      <w:r>
        <w:rPr>
          <w:lang w:val="en-US"/>
        </w:rPr>
        <w:t>）规定，危险化学品重大危险源、危险化学品和临界量的定义如下：</w:t>
      </w:r>
    </w:p>
    <w:p>
      <w:pPr>
        <w:pStyle w:val="6"/>
        <w:ind w:firstLine="560"/>
      </w:pPr>
      <w:r>
        <w:rPr>
          <w:lang w:val="en-US"/>
        </w:rPr>
        <w:t>危险化学品重大危险源：指长期地或临时地生产、加工、使用或储存危险化学品，且危险化学品的数量等于或超过临界量的单元。</w:t>
      </w:r>
    </w:p>
    <w:p>
      <w:pPr>
        <w:pStyle w:val="6"/>
        <w:ind w:firstLine="560"/>
      </w:pPr>
      <w:r>
        <w:rPr>
          <w:lang w:val="en-US"/>
        </w:rPr>
        <w:t>生产单元：危险化学品的生产、加工及使用等的装置及设施，当装置及设施之间有切断阀时，以切断阀作为分隔界限划分为独立的单元。</w:t>
      </w:r>
    </w:p>
    <w:p>
      <w:pPr>
        <w:pStyle w:val="6"/>
        <w:ind w:firstLine="560"/>
      </w:pPr>
      <w:r>
        <w:rPr>
          <w:lang w:val="en-US"/>
        </w:rPr>
        <w:t>储存单元：用于储存危险化学品的储罐或仓库组成的相对独立的区域，储罐区以罐区防火堤为界限划分为独立的单元，仓库以独立库房（独立建筑物）为界限划分为独立的单元。</w:t>
      </w:r>
    </w:p>
    <w:p>
      <w:pPr>
        <w:pStyle w:val="6"/>
        <w:ind w:firstLine="560"/>
      </w:pPr>
      <w:r>
        <w:rPr>
          <w:lang w:val="en-US"/>
        </w:rPr>
        <w:t>临界量：指对于某种或某类危险化学品规定的数量，若单元中的危险化学品数量等于或超过该数量，则该单元定为重大危险源。</w:t>
      </w:r>
    </w:p>
    <w:p>
      <w:pPr>
        <w:pStyle w:val="6"/>
        <w:ind w:firstLine="560"/>
      </w:pPr>
      <w:r>
        <w:rPr>
          <w:lang w:val="en-US"/>
        </w:rPr>
        <w:t>依据《危险化学品重大危险源辨识》（GB18218-2018）第4.2.1生产单元、储存单元内存在危险化学品的数量等于或超过表1、表2规定的临界量，即被定为重大危险源。危险化学品的纯物质及其混合物应按GB 30000.2、GB 30000.3、GB 30000.4、GB30000.5、GB 30000.7、GB 30000.8、GB 30000.9、GB 30000.10、GB 30000.11、GB 30000.12、GB 30000.13、GB 30000.14、GB 30000.15、GB 30000.16、GB 30000.18的规定进行分类。单元内存在的危险的化学品数量根据危险化学品种类的多少区分为以下两种情况：</w:t>
      </w:r>
    </w:p>
    <w:p>
      <w:pPr>
        <w:pStyle w:val="6"/>
        <w:ind w:firstLine="560"/>
      </w:pPr>
      <w:r>
        <w:rPr>
          <w:lang w:val="en-US"/>
        </w:rPr>
        <w:t>生产单元、储存单元内存在危险化学品为单一品种时，该危险化学品的数量即为单元内危险化学品的总量，若等于或超过相应的临界量，则定为重大危险源。</w:t>
      </w:r>
    </w:p>
    <w:p>
      <w:pPr>
        <w:pStyle w:val="6"/>
        <w:ind w:firstLine="560"/>
      </w:pPr>
      <w:r>
        <w:rPr>
          <w:lang w:val="en-US"/>
        </w:rPr>
        <w:t>生产单元、储存单元内存在的危险化学品为多品种时，按式（1）计算，若满足式（1），则定为重大危险源：</w:t>
      </w:r>
    </w:p>
    <w:p>
      <w:pPr>
        <w:pStyle w:val="6"/>
        <w:ind w:firstLine="560"/>
        <w:rPr>
          <w:lang w:val="en-US"/>
        </w:rPr>
      </w:pPr>
      <w:r>
        <w:rPr>
          <w:lang w:val="en-US"/>
        </w:rPr>
        <w:t>S=q</w:t>
      </w:r>
      <w:r>
        <w:rPr>
          <w:vertAlign w:val="subscript"/>
          <w:lang w:val="en-US"/>
        </w:rPr>
        <w:t>1</w:t>
      </w:r>
      <w:r>
        <w:rPr>
          <w:lang w:val="en-US"/>
        </w:rPr>
        <w:t>/Q</w:t>
      </w:r>
      <w:r>
        <w:rPr>
          <w:vertAlign w:val="subscript"/>
          <w:lang w:val="en-US"/>
        </w:rPr>
        <w:t>1</w:t>
      </w:r>
      <w:r>
        <w:rPr>
          <w:lang w:val="en-US"/>
        </w:rPr>
        <w:t>+q</w:t>
      </w:r>
      <w:r>
        <w:rPr>
          <w:vertAlign w:val="subscript"/>
          <w:lang w:val="en-US"/>
        </w:rPr>
        <w:t>2</w:t>
      </w:r>
      <w:r>
        <w:rPr>
          <w:lang w:val="en-US"/>
        </w:rPr>
        <w:t>/Q</w:t>
      </w:r>
      <w:r>
        <w:rPr>
          <w:vertAlign w:val="subscript"/>
          <w:lang w:val="en-US"/>
        </w:rPr>
        <w:t>2</w:t>
      </w:r>
      <w:r>
        <w:rPr>
          <w:lang w:val="en-US"/>
        </w:rPr>
        <w:t>+……q</w:t>
      </w:r>
      <w:r>
        <w:rPr>
          <w:vertAlign w:val="subscript"/>
          <w:lang w:val="en-US"/>
        </w:rPr>
        <w:t>n</w:t>
      </w:r>
      <w:r>
        <w:rPr>
          <w:lang w:val="en-US"/>
        </w:rPr>
        <w:t>/Q</w:t>
      </w:r>
      <w:r>
        <w:rPr>
          <w:vertAlign w:val="subscript"/>
          <w:lang w:val="en-US"/>
        </w:rPr>
        <w:t>n</w:t>
      </w:r>
      <w:r>
        <w:rPr>
          <w:lang w:val="en-US"/>
        </w:rPr>
        <w:t>≥1...............（1）</w:t>
      </w:r>
    </w:p>
    <w:p>
      <w:pPr>
        <w:pStyle w:val="6"/>
        <w:ind w:firstLine="560"/>
      </w:pPr>
      <w:r>
        <w:rPr>
          <w:lang w:val="en-US"/>
        </w:rPr>
        <w:t>式中：</w:t>
      </w:r>
    </w:p>
    <w:p>
      <w:pPr>
        <w:pStyle w:val="6"/>
        <w:ind w:firstLine="560"/>
      </w:pPr>
      <w:r>
        <w:rPr>
          <w:lang w:val="en-US"/>
        </w:rPr>
        <w:t>S — 辨识指标；</w:t>
      </w:r>
    </w:p>
    <w:p>
      <w:pPr>
        <w:pStyle w:val="6"/>
        <w:ind w:firstLine="560"/>
      </w:pPr>
      <w:r>
        <w:rPr>
          <w:lang w:val="en-US"/>
        </w:rPr>
        <w:t>q</w:t>
      </w:r>
      <w:r>
        <w:rPr>
          <w:vertAlign w:val="subscript"/>
          <w:lang w:val="en-US"/>
        </w:rPr>
        <w:t>1</w:t>
      </w:r>
      <w:r>
        <w:rPr>
          <w:lang w:val="en-US"/>
        </w:rPr>
        <w:t>、q</w:t>
      </w:r>
      <w:r>
        <w:rPr>
          <w:vertAlign w:val="subscript"/>
          <w:lang w:val="en-US"/>
        </w:rPr>
        <w:t>2</w:t>
      </w:r>
      <w:r>
        <w:rPr>
          <w:lang w:val="en-US"/>
        </w:rPr>
        <w:t>…q</w:t>
      </w:r>
      <w:r>
        <w:rPr>
          <w:vertAlign w:val="subscript"/>
          <w:lang w:val="en-US"/>
        </w:rPr>
        <w:t>n</w:t>
      </w:r>
      <w:r>
        <w:rPr>
          <w:lang w:val="en-US"/>
        </w:rPr>
        <w:t>—每种危险化学品的实际存在量，单位为吨（t）；</w:t>
      </w:r>
    </w:p>
    <w:p>
      <w:pPr>
        <w:pStyle w:val="6"/>
        <w:ind w:firstLine="560"/>
      </w:pPr>
      <w:r>
        <w:rPr>
          <w:lang w:val="en-US"/>
        </w:rPr>
        <w:t>Q</w:t>
      </w:r>
      <w:r>
        <w:rPr>
          <w:vertAlign w:val="subscript"/>
          <w:lang w:val="en-US"/>
        </w:rPr>
        <w:t>1</w:t>
      </w:r>
      <w:r>
        <w:rPr>
          <w:lang w:val="en-US"/>
        </w:rPr>
        <w:t>、Q</w:t>
      </w:r>
      <w:r>
        <w:rPr>
          <w:vertAlign w:val="subscript"/>
          <w:lang w:val="en-US"/>
        </w:rPr>
        <w:t>2</w:t>
      </w:r>
      <w:r>
        <w:rPr>
          <w:lang w:val="en-US"/>
        </w:rPr>
        <w:t>…Q</w:t>
      </w:r>
      <w:r>
        <w:rPr>
          <w:vertAlign w:val="subscript"/>
          <w:lang w:val="en-US"/>
        </w:rPr>
        <w:t>n</w:t>
      </w:r>
      <w:r>
        <w:rPr>
          <w:lang w:val="en-US"/>
        </w:rPr>
        <w:t>—与各危险化学品相对应的临界量，单位为吨（t）；</w:t>
      </w:r>
    </w:p>
    <w:p>
      <w:pPr>
        <w:pStyle w:val="6"/>
        <w:ind w:firstLine="560"/>
      </w:pPr>
      <w:r>
        <w:rPr>
          <w:lang w:val="en-US"/>
        </w:rPr>
        <w:t>危险化学品储罐以及其他容器、设备及仓储区的危险化学品的实际存在量按设计最大量确定。对于危险化学品混合物，如果混合物与其纯物质属于相同危险类别，则视混合物为纯物质，按混合物整体进行计算。如果混合物与其纯物质不属于相同危险类别，则应按新危险类别考虑其临界量。</w:t>
      </w:r>
    </w:p>
    <w:p>
      <w:pPr>
        <w:pStyle w:val="4"/>
        <w:spacing w:before="62" w:after="62"/>
      </w:pPr>
      <w:r>
        <w:t>F1.</w:t>
      </w:r>
      <w:r>
        <w:rPr>
          <w:rFonts w:hint="eastAsia"/>
        </w:rPr>
        <w:t>4</w:t>
      </w:r>
      <w:r>
        <w:t>.2 重大危险源辨识过程</w:t>
      </w:r>
    </w:p>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ind w:left="140" w:leftChars="50" w:firstLine="280" w:firstLineChars="100"/>
        <w:textAlignment w:val="auto"/>
        <w:outlineLvl w:val="3"/>
        <w:rPr>
          <w:rFonts w:hint="eastAsia" w:ascii="华文新魏" w:hAnsi="华文新魏" w:eastAsia="华文新魏" w:cs="华文新魏"/>
          <w:color w:val="auto"/>
          <w:sz w:val="28"/>
          <w:szCs w:val="28"/>
        </w:rPr>
      </w:pPr>
      <w:r>
        <w:rPr>
          <w:rFonts w:hint="default" w:ascii="Times New Roman" w:hAnsi="Times New Roman" w:eastAsia="华文新魏" w:cs="Times New Roman"/>
          <w:color w:val="auto"/>
          <w:kern w:val="2"/>
          <w:sz w:val="28"/>
          <w:szCs w:val="28"/>
          <w:lang w:val="en-US" w:eastAsia="zh-CN" w:bidi="ar-SA"/>
        </w:rPr>
        <w:t xml:space="preserve">F1.4.2.1 </w:t>
      </w:r>
      <w:r>
        <w:rPr>
          <w:rFonts w:hint="eastAsia" w:ascii="Times New Roman" w:hAnsi="Times New Roman" w:eastAsia="华文新魏" w:cs="Times New Roman"/>
          <w:color w:val="auto"/>
          <w:kern w:val="2"/>
          <w:sz w:val="28"/>
          <w:szCs w:val="28"/>
          <w:lang w:val="en-US" w:eastAsia="zh-CN" w:bidi="ar-SA"/>
        </w:rPr>
        <w:t>本项目</w:t>
      </w:r>
      <w:r>
        <w:rPr>
          <w:rFonts w:hint="eastAsia" w:ascii="华文新魏" w:hAnsi="华文新魏" w:eastAsia="华文新魏" w:cs="华文新魏"/>
          <w:color w:val="auto"/>
          <w:kern w:val="2"/>
          <w:sz w:val="28"/>
          <w:szCs w:val="28"/>
          <w:lang w:val="en-US" w:eastAsia="zh-CN" w:bidi="ar-SA"/>
        </w:rPr>
        <w:t>重大危险源辨识过程</w:t>
      </w:r>
    </w:p>
    <w:p>
      <w:pPr>
        <w:pStyle w:val="6"/>
        <w:ind w:firstLine="560"/>
        <w:rPr>
          <w:color w:val="auto"/>
          <w:lang w:val="en-US"/>
        </w:rPr>
      </w:pPr>
      <w:r>
        <w:rPr>
          <w:rFonts w:hint="eastAsia"/>
          <w:color w:val="auto"/>
          <w:lang w:val="en-US" w:eastAsia="zh-CN"/>
        </w:rPr>
        <w:t>（1）</w:t>
      </w:r>
      <w:r>
        <w:rPr>
          <w:color w:val="auto"/>
          <w:lang w:val="en-US"/>
        </w:rPr>
        <w:t>本</w:t>
      </w:r>
      <w:r>
        <w:rPr>
          <w:rFonts w:hint="eastAsia"/>
          <w:color w:val="auto"/>
          <w:lang w:val="en-US" w:eastAsia="zh-CN"/>
        </w:rPr>
        <w:t>项目新建1台30000m³原油罐G-106，</w:t>
      </w:r>
      <w:r>
        <w:rPr>
          <w:color w:val="auto"/>
          <w:lang w:val="en-US"/>
        </w:rPr>
        <w:t>将</w:t>
      </w:r>
      <w:r>
        <w:rPr>
          <w:rFonts w:hint="eastAsia"/>
          <w:color w:val="auto"/>
          <w:lang w:val="en-US" w:eastAsia="zh-CN"/>
        </w:rPr>
        <w:t>G-106储罐</w:t>
      </w:r>
      <w:r>
        <w:rPr>
          <w:color w:val="auto"/>
          <w:lang w:val="en-US"/>
        </w:rPr>
        <w:t>作为1个储存单元进行辨识。</w:t>
      </w:r>
    </w:p>
    <w:p>
      <w:pPr>
        <w:rPr>
          <w:color w:val="0000FF"/>
          <w:lang w:val="en-US"/>
        </w:rPr>
      </w:pPr>
      <w:r>
        <w:rPr>
          <w:color w:val="0000FF"/>
          <w:lang w:val="en-US"/>
        </w:rPr>
        <w:br w:type="page"/>
      </w:r>
    </w:p>
    <w:p>
      <w:pPr>
        <w:widowControl w:val="0"/>
        <w:adjustRightInd w:val="0"/>
        <w:snapToGrid w:val="0"/>
        <w:ind w:firstLine="482" w:firstLineChars="200"/>
        <w:jc w:val="center"/>
        <w:rPr>
          <w:rFonts w:hint="default" w:ascii="Times New Roman" w:hAnsi="Times New Roman" w:eastAsia="宋体" w:cs="Times New Roman"/>
          <w:b/>
          <w:bCs/>
          <w:color w:val="auto"/>
          <w:kern w:val="0"/>
          <w:sz w:val="24"/>
          <w:szCs w:val="24"/>
          <w:lang w:val="en-US" w:eastAsia="zh-CN" w:bidi="ar-SA"/>
        </w:rPr>
      </w:pPr>
      <w:r>
        <w:rPr>
          <w:rFonts w:ascii="Times New Roman" w:hAnsi="Times New Roman" w:eastAsia="宋体" w:cs="Times New Roman"/>
          <w:b/>
          <w:bCs/>
          <w:color w:val="auto"/>
          <w:kern w:val="0"/>
          <w:sz w:val="24"/>
          <w:szCs w:val="24"/>
          <w:lang w:val="en-US" w:eastAsia="zh-CN" w:bidi="ar-SA"/>
        </w:rPr>
        <w:t>附表1.</w:t>
      </w:r>
      <w:r>
        <w:rPr>
          <w:rFonts w:hint="eastAsia" w:ascii="Times New Roman" w:hAnsi="Times New Roman" w:eastAsia="宋体" w:cs="Times New Roman"/>
          <w:b/>
          <w:bCs/>
          <w:color w:val="auto"/>
          <w:kern w:val="0"/>
          <w:sz w:val="24"/>
          <w:szCs w:val="24"/>
          <w:lang w:val="en-US" w:eastAsia="zh-CN" w:bidi="ar-SA"/>
        </w:rPr>
        <w:t>4</w:t>
      </w:r>
      <w:r>
        <w:rPr>
          <w:rFonts w:ascii="Times New Roman" w:hAnsi="Times New Roman" w:eastAsia="宋体" w:cs="Times New Roman"/>
          <w:b/>
          <w:bCs/>
          <w:color w:val="auto"/>
          <w:kern w:val="0"/>
          <w:sz w:val="24"/>
          <w:szCs w:val="24"/>
          <w:lang w:val="zh-CN" w:eastAsia="zh-CN" w:bidi="ar-SA"/>
        </w:rPr>
        <w:t>-</w:t>
      </w:r>
      <w:r>
        <w:rPr>
          <w:rFonts w:ascii="Times New Roman" w:hAnsi="Times New Roman" w:eastAsia="宋体" w:cs="Times New Roman"/>
          <w:b/>
          <w:bCs/>
          <w:color w:val="auto"/>
          <w:kern w:val="0"/>
          <w:sz w:val="24"/>
          <w:szCs w:val="24"/>
          <w:lang w:val="en-US" w:eastAsia="zh-CN" w:bidi="ar-SA"/>
        </w:rPr>
        <w:t>1</w:t>
      </w:r>
      <w:r>
        <w:rPr>
          <w:rFonts w:ascii="Times New Roman" w:hAnsi="Times New Roman" w:eastAsia="宋体" w:cs="Times New Roman"/>
          <w:b/>
          <w:bCs/>
          <w:color w:val="auto"/>
          <w:kern w:val="0"/>
          <w:sz w:val="24"/>
          <w:szCs w:val="24"/>
          <w:lang w:val="zh-CN" w:eastAsia="zh-CN" w:bidi="ar-SA"/>
        </w:rPr>
        <w:t xml:space="preserve">  </w:t>
      </w:r>
      <w:r>
        <w:rPr>
          <w:rFonts w:hint="eastAsia" w:ascii="Times New Roman" w:hAnsi="Times New Roman" w:eastAsia="宋体" w:cs="Times New Roman"/>
          <w:b/>
          <w:bCs/>
          <w:color w:val="auto"/>
          <w:kern w:val="0"/>
          <w:sz w:val="24"/>
          <w:szCs w:val="24"/>
          <w:lang w:val="zh-CN" w:eastAsia="zh-CN" w:bidi="ar-SA"/>
        </w:rPr>
        <w:t>本项目</w:t>
      </w:r>
      <w:r>
        <w:rPr>
          <w:rFonts w:ascii="Times New Roman" w:hAnsi="Times New Roman" w:eastAsia="宋体" w:cs="Times New Roman"/>
          <w:b/>
          <w:bCs/>
          <w:color w:val="auto"/>
          <w:kern w:val="0"/>
          <w:sz w:val="24"/>
          <w:szCs w:val="24"/>
          <w:lang w:val="en-US" w:eastAsia="zh-CN" w:bidi="ar-SA"/>
        </w:rPr>
        <w:t>重大危险源单元划分情况</w:t>
      </w:r>
      <w:r>
        <w:rPr>
          <w:rFonts w:hint="eastAsia" w:ascii="Times New Roman" w:hAnsi="Times New Roman" w:eastAsia="宋体" w:cs="Times New Roman"/>
          <w:b/>
          <w:bCs/>
          <w:color w:val="auto"/>
          <w:kern w:val="0"/>
          <w:sz w:val="24"/>
          <w:szCs w:val="24"/>
          <w:lang w:val="en-US" w:eastAsia="zh-CN" w:bidi="ar-SA"/>
        </w:rPr>
        <w:t>表</w:t>
      </w:r>
    </w:p>
    <w:tbl>
      <w:tblPr>
        <w:tblStyle w:val="19"/>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748"/>
        <w:gridCol w:w="2102"/>
        <w:gridCol w:w="4014"/>
        <w:gridCol w:w="165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63" w:hRule="atLeast"/>
          <w:jc w:val="center"/>
        </w:trPr>
        <w:tc>
          <w:tcPr>
            <w:tcW w:w="439" w:type="pct"/>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序号</w:t>
            </w:r>
          </w:p>
        </w:tc>
        <w:tc>
          <w:tcPr>
            <w:tcW w:w="1233" w:type="pct"/>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单元名称</w:t>
            </w:r>
          </w:p>
        </w:tc>
        <w:tc>
          <w:tcPr>
            <w:tcW w:w="2354" w:type="pct"/>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包括的装置、设备设施</w:t>
            </w:r>
          </w:p>
        </w:tc>
        <w:tc>
          <w:tcPr>
            <w:tcW w:w="972" w:type="pct"/>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63" w:hRule="atLeast"/>
          <w:jc w:val="center"/>
        </w:trPr>
        <w:tc>
          <w:tcPr>
            <w:tcW w:w="439" w:type="pct"/>
            <w:vAlign w:val="center"/>
          </w:tcPr>
          <w:p>
            <w:pPr>
              <w:widowControl w:val="0"/>
              <w:ind w:firstLine="0" w:firstLineChars="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1</w:t>
            </w:r>
          </w:p>
        </w:tc>
        <w:tc>
          <w:tcPr>
            <w:tcW w:w="1233" w:type="pct"/>
            <w:vAlign w:val="center"/>
          </w:tcPr>
          <w:p>
            <w:pPr>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G-106储罐</w:t>
            </w:r>
          </w:p>
        </w:tc>
        <w:tc>
          <w:tcPr>
            <w:tcW w:w="2354" w:type="pct"/>
            <w:vAlign w:val="center"/>
          </w:tcPr>
          <w:p>
            <w:pPr>
              <w:widowControl w:val="0"/>
              <w:ind w:firstLine="0" w:firstLineChars="0"/>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1台</w:t>
            </w:r>
            <w:r>
              <w:rPr>
                <w:rFonts w:ascii="Times New Roman" w:hAnsi="Times New Roman" w:eastAsia="宋体" w:cs="Times New Roman"/>
                <w:color w:val="auto"/>
                <w:kern w:val="2"/>
                <w:sz w:val="21"/>
                <w:szCs w:val="21"/>
                <w:lang w:val="en-US" w:eastAsia="zh-CN" w:bidi="ar-SA"/>
              </w:rPr>
              <w:t>30000m³原油储罐</w:t>
            </w:r>
          </w:p>
        </w:tc>
        <w:tc>
          <w:tcPr>
            <w:tcW w:w="972" w:type="pct"/>
            <w:vAlign w:val="center"/>
          </w:tcPr>
          <w:p>
            <w:pPr>
              <w:widowControl w:val="0"/>
              <w:ind w:firstLine="0" w:firstLineChars="0"/>
              <w:jc w:val="center"/>
              <w:rPr>
                <w:rFonts w:ascii="Times New Roman" w:hAnsi="Times New Roman" w:eastAsia="宋体" w:cs="Times New Roman"/>
                <w:color w:val="auto"/>
                <w:kern w:val="2"/>
                <w:sz w:val="21"/>
                <w:szCs w:val="21"/>
                <w:lang w:val="en-US" w:eastAsia="zh-CN" w:bidi="ar-SA"/>
              </w:rPr>
            </w:pPr>
          </w:p>
        </w:tc>
      </w:tr>
    </w:tbl>
    <w:p>
      <w:pPr>
        <w:pStyle w:val="6"/>
        <w:ind w:firstLine="560"/>
        <w:rPr>
          <w:color w:val="auto"/>
          <w:lang w:val="en-US"/>
        </w:rPr>
      </w:pPr>
      <w:r>
        <w:rPr>
          <w:color w:val="auto"/>
          <w:lang w:val="en-US"/>
        </w:rPr>
        <w:t>本次评价过程中根据</w:t>
      </w:r>
      <w:r>
        <w:rPr>
          <w:rFonts w:hint="eastAsia"/>
          <w:color w:val="auto"/>
          <w:lang w:val="en-US"/>
        </w:rPr>
        <w:t>石油化工总厂</w:t>
      </w:r>
      <w:r>
        <w:rPr>
          <w:color w:val="auto"/>
          <w:lang w:val="en-US"/>
        </w:rPr>
        <w:t>提供</w:t>
      </w:r>
      <w:r>
        <w:rPr>
          <w:rFonts w:hint="eastAsia"/>
          <w:color w:val="auto"/>
          <w:lang w:val="en-US"/>
        </w:rPr>
        <w:t>胜利混合</w:t>
      </w:r>
      <w:r>
        <w:rPr>
          <w:color w:val="auto"/>
          <w:lang w:val="en-US"/>
        </w:rPr>
        <w:t>原油</w:t>
      </w:r>
      <w:r>
        <w:rPr>
          <w:rFonts w:hint="eastAsia"/>
          <w:color w:val="auto"/>
          <w:lang w:val="en-US"/>
        </w:rPr>
        <w:t>评价</w:t>
      </w:r>
      <w:r>
        <w:rPr>
          <w:color w:val="auto"/>
          <w:lang w:val="en-US"/>
        </w:rPr>
        <w:t>报告，原油闪点</w:t>
      </w:r>
      <w:r>
        <w:rPr>
          <w:rFonts w:hint="eastAsia"/>
          <w:color w:val="auto"/>
          <w:lang w:val="en-US"/>
        </w:rPr>
        <w:t>为</w:t>
      </w:r>
      <w:r>
        <w:rPr>
          <w:color w:val="auto"/>
          <w:lang w:val="en-US"/>
        </w:rPr>
        <w:t>2</w:t>
      </w:r>
      <w:r>
        <w:rPr>
          <w:rFonts w:hint="eastAsia"/>
          <w:color w:val="auto"/>
          <w:lang w:val="en-US"/>
        </w:rPr>
        <w:t>5</w:t>
      </w:r>
      <w:r>
        <w:rPr>
          <w:color w:val="auto"/>
          <w:lang w:val="en-US"/>
        </w:rPr>
        <w:t>℃，密度为0.9092g/</w:t>
      </w:r>
      <w:r>
        <w:rPr>
          <w:rFonts w:hint="eastAsia"/>
          <w:color w:val="auto"/>
          <w:lang w:val="en-US"/>
        </w:rPr>
        <w:t>cm</w:t>
      </w:r>
      <w:r>
        <w:rPr>
          <w:rFonts w:hint="eastAsia"/>
          <w:color w:val="auto"/>
          <w:vertAlign w:val="superscript"/>
          <w:lang w:val="en-US"/>
        </w:rPr>
        <w:t>3</w:t>
      </w:r>
      <w:r>
        <w:rPr>
          <w:rFonts w:hint="eastAsia"/>
          <w:color w:val="auto"/>
          <w:lang w:val="en-US"/>
        </w:rPr>
        <w:t>。</w:t>
      </w:r>
      <w:r>
        <w:rPr>
          <w:color w:val="auto"/>
          <w:lang w:val="en-US"/>
        </w:rPr>
        <w:t>根据危险化学品重大危险源的定义，进行危险化学品重大危险源，详见下表。</w:t>
      </w:r>
    </w:p>
    <w:p>
      <w:pPr>
        <w:adjustRightInd w:val="0"/>
        <w:snapToGrid w:val="0"/>
        <w:spacing w:line="360" w:lineRule="auto"/>
        <w:ind w:firstLine="482"/>
        <w:jc w:val="center"/>
        <w:rPr>
          <w:rFonts w:hint="eastAsia" w:ascii="Times New Roman" w:hAnsi="Times New Roman" w:eastAsia="宋体" w:cs="Times New Roman"/>
          <w:b/>
          <w:bCs/>
          <w:color w:val="auto"/>
          <w:sz w:val="24"/>
          <w:lang w:val="en-US" w:eastAsia="zh-CN"/>
        </w:rPr>
      </w:pPr>
      <w:r>
        <w:rPr>
          <w:rFonts w:ascii="Times New Roman" w:hAnsi="Times New Roman" w:cs="Times New Roman"/>
          <w:b/>
          <w:bCs/>
          <w:color w:val="auto"/>
          <w:sz w:val="24"/>
        </w:rPr>
        <w:t>附表1.</w:t>
      </w:r>
      <w:r>
        <w:rPr>
          <w:rFonts w:hint="eastAsia" w:ascii="Times New Roman" w:hAnsi="Times New Roman" w:cs="Times New Roman"/>
          <w:b/>
          <w:bCs/>
          <w:color w:val="auto"/>
          <w:sz w:val="24"/>
          <w:lang w:val="en-US" w:eastAsia="zh-CN"/>
        </w:rPr>
        <w:t>4</w:t>
      </w:r>
      <w:r>
        <w:rPr>
          <w:rFonts w:ascii="Times New Roman" w:hAnsi="Times New Roman" w:cs="Times New Roman"/>
          <w:b/>
          <w:bCs/>
          <w:color w:val="auto"/>
          <w:sz w:val="24"/>
        </w:rPr>
        <w:t>-2</w:t>
      </w:r>
      <w:r>
        <w:rPr>
          <w:rFonts w:hint="eastAsia" w:ascii="Times New Roman" w:hAnsi="Times New Roman" w:cs="Times New Roman"/>
          <w:b/>
          <w:bCs/>
          <w:color w:val="auto"/>
          <w:sz w:val="24"/>
          <w:lang w:val="en-US" w:eastAsia="zh-CN"/>
        </w:rPr>
        <w:t xml:space="preserve">  </w:t>
      </w:r>
      <w:r>
        <w:rPr>
          <w:rFonts w:hint="eastAsia" w:ascii="Times New Roman" w:hAnsi="Times New Roman" w:cs="Times New Roman"/>
          <w:b/>
          <w:bCs/>
          <w:color w:val="auto"/>
          <w:sz w:val="24"/>
        </w:rPr>
        <w:t>本项目</w:t>
      </w:r>
      <w:r>
        <w:rPr>
          <w:rFonts w:ascii="Times New Roman" w:hAnsi="Times New Roman" w:cs="Times New Roman"/>
          <w:b/>
          <w:bCs/>
          <w:color w:val="auto"/>
          <w:sz w:val="24"/>
        </w:rPr>
        <w:t>危险化学品重大危险源辨识表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44"/>
        <w:gridCol w:w="1641"/>
        <w:gridCol w:w="1063"/>
        <w:gridCol w:w="1065"/>
        <w:gridCol w:w="794"/>
        <w:gridCol w:w="1630"/>
        <w:gridCol w:w="158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tblHeader/>
          <w:jc w:val="center"/>
        </w:trPr>
        <w:tc>
          <w:tcPr>
            <w:tcW w:w="0" w:type="auto"/>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危险物质</w:t>
            </w:r>
          </w:p>
        </w:tc>
        <w:tc>
          <w:tcPr>
            <w:tcW w:w="1641" w:type="dxa"/>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危险物质类别</w:t>
            </w:r>
          </w:p>
        </w:tc>
        <w:tc>
          <w:tcPr>
            <w:tcW w:w="1063" w:type="dxa"/>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单元内物质数量（t）</w:t>
            </w:r>
          </w:p>
        </w:tc>
        <w:tc>
          <w:tcPr>
            <w:tcW w:w="1065" w:type="dxa"/>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临界量（t）</w:t>
            </w:r>
          </w:p>
        </w:tc>
        <w:tc>
          <w:tcPr>
            <w:tcW w:w="0" w:type="auto"/>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q/Q</w:t>
            </w:r>
          </w:p>
        </w:tc>
        <w:tc>
          <w:tcPr>
            <w:tcW w:w="0" w:type="auto"/>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q</w:t>
            </w:r>
            <w:r>
              <w:rPr>
                <w:rFonts w:ascii="Times New Roman" w:hAnsi="Times New Roman" w:eastAsia="宋体" w:cs="Times New Roman"/>
                <w:b/>
                <w:bCs/>
                <w:color w:val="auto"/>
                <w:kern w:val="2"/>
                <w:sz w:val="21"/>
                <w:szCs w:val="21"/>
                <w:vertAlign w:val="subscript"/>
                <w:lang w:val="en-US" w:eastAsia="zh-CN" w:bidi="ar-SA"/>
              </w:rPr>
              <w:t>1</w:t>
            </w:r>
            <w:r>
              <w:rPr>
                <w:rFonts w:ascii="Times New Roman" w:hAnsi="Times New Roman" w:eastAsia="宋体" w:cs="Times New Roman"/>
                <w:b/>
                <w:bCs/>
                <w:color w:val="auto"/>
                <w:kern w:val="2"/>
                <w:sz w:val="21"/>
                <w:szCs w:val="21"/>
                <w:lang w:val="en-US" w:eastAsia="zh-CN" w:bidi="ar-SA"/>
              </w:rPr>
              <w:t>/Q</w:t>
            </w:r>
            <w:r>
              <w:rPr>
                <w:rFonts w:ascii="Times New Roman" w:hAnsi="Times New Roman" w:eastAsia="宋体" w:cs="Times New Roman"/>
                <w:b/>
                <w:bCs/>
                <w:color w:val="auto"/>
                <w:kern w:val="2"/>
                <w:sz w:val="21"/>
                <w:szCs w:val="21"/>
                <w:vertAlign w:val="subscript"/>
                <w:lang w:val="en-US" w:eastAsia="zh-CN" w:bidi="ar-SA"/>
              </w:rPr>
              <w:t>1</w:t>
            </w:r>
            <w:r>
              <w:rPr>
                <w:rFonts w:ascii="Times New Roman" w:hAnsi="Times New Roman" w:eastAsia="宋体" w:cs="Times New Roman"/>
                <w:b/>
                <w:bCs/>
                <w:color w:val="auto"/>
                <w:kern w:val="2"/>
                <w:sz w:val="21"/>
                <w:szCs w:val="21"/>
                <w:lang w:val="en-US" w:eastAsia="zh-CN" w:bidi="ar-SA"/>
              </w:rPr>
              <w:t>+…+q</w:t>
            </w:r>
            <w:r>
              <w:rPr>
                <w:rFonts w:ascii="Times New Roman" w:hAnsi="Times New Roman" w:eastAsia="宋体" w:cs="Times New Roman"/>
                <w:b/>
                <w:bCs/>
                <w:color w:val="auto"/>
                <w:kern w:val="2"/>
                <w:sz w:val="21"/>
                <w:szCs w:val="21"/>
                <w:vertAlign w:val="subscript"/>
                <w:lang w:val="en-US" w:eastAsia="zh-CN" w:bidi="ar-SA"/>
              </w:rPr>
              <w:t>n</w:t>
            </w:r>
            <w:r>
              <w:rPr>
                <w:rFonts w:ascii="Times New Roman" w:hAnsi="Times New Roman" w:eastAsia="宋体" w:cs="Times New Roman"/>
                <w:b/>
                <w:bCs/>
                <w:color w:val="auto"/>
                <w:kern w:val="2"/>
                <w:sz w:val="21"/>
                <w:szCs w:val="21"/>
                <w:lang w:val="en-US" w:eastAsia="zh-CN" w:bidi="ar-SA"/>
              </w:rPr>
              <w:t>/Q</w:t>
            </w:r>
            <w:r>
              <w:rPr>
                <w:rFonts w:ascii="Times New Roman" w:hAnsi="Times New Roman" w:eastAsia="宋体" w:cs="Times New Roman"/>
                <w:b/>
                <w:bCs/>
                <w:color w:val="auto"/>
                <w:kern w:val="2"/>
                <w:sz w:val="21"/>
                <w:szCs w:val="21"/>
                <w:vertAlign w:val="subscript"/>
                <w:lang w:val="en-US" w:eastAsia="zh-CN" w:bidi="ar-SA"/>
              </w:rPr>
              <w:t>n</w:t>
            </w:r>
          </w:p>
        </w:tc>
        <w:tc>
          <w:tcPr>
            <w:tcW w:w="0" w:type="auto"/>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辨识结果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0" w:type="auto"/>
            <w:vAlign w:val="center"/>
          </w:tcPr>
          <w:p>
            <w:pPr>
              <w:widowControl w:val="0"/>
              <w:ind w:firstLine="0" w:firstLineChars="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原油</w:t>
            </w:r>
          </w:p>
        </w:tc>
        <w:tc>
          <w:tcPr>
            <w:tcW w:w="1641" w:type="dxa"/>
            <w:vAlign w:val="center"/>
          </w:tcPr>
          <w:p>
            <w:pPr>
              <w:widowControl w:val="0"/>
              <w:ind w:firstLine="0" w:firstLineChars="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易燃液体</w:t>
            </w:r>
            <w:r>
              <w:rPr>
                <w:rFonts w:hint="eastAsia" w:ascii="Times New Roman" w:hAnsi="Times New Roman" w:eastAsia="宋体" w:cs="Times New Roman"/>
                <w:color w:val="auto"/>
                <w:kern w:val="2"/>
                <w:sz w:val="21"/>
                <w:szCs w:val="21"/>
                <w:lang w:val="en-US" w:eastAsia="zh-CN" w:bidi="ar-SA"/>
              </w:rPr>
              <w:t>，</w:t>
            </w:r>
            <w:r>
              <w:rPr>
                <w:rFonts w:ascii="Times New Roman" w:hAnsi="Times New Roman" w:eastAsia="宋体" w:cs="Times New Roman"/>
                <w:color w:val="auto"/>
                <w:kern w:val="2"/>
                <w:sz w:val="21"/>
                <w:szCs w:val="21"/>
                <w:lang w:val="en-US" w:eastAsia="zh-CN" w:bidi="ar-SA"/>
              </w:rPr>
              <w:t>类别3</w:t>
            </w:r>
          </w:p>
        </w:tc>
        <w:tc>
          <w:tcPr>
            <w:tcW w:w="1063" w:type="dxa"/>
            <w:vAlign w:val="center"/>
          </w:tcPr>
          <w:p>
            <w:pPr>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27276</w:t>
            </w:r>
          </w:p>
        </w:tc>
        <w:tc>
          <w:tcPr>
            <w:tcW w:w="1065" w:type="dxa"/>
            <w:vAlign w:val="center"/>
          </w:tcPr>
          <w:p>
            <w:pPr>
              <w:widowControl w:val="0"/>
              <w:ind w:firstLine="0" w:firstLineChars="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5000</w:t>
            </w:r>
          </w:p>
        </w:tc>
        <w:tc>
          <w:tcPr>
            <w:tcW w:w="0" w:type="auto"/>
            <w:vAlign w:val="center"/>
          </w:tcPr>
          <w:p>
            <w:pPr>
              <w:widowControl w:val="0"/>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5.4552</w:t>
            </w:r>
          </w:p>
        </w:tc>
        <w:tc>
          <w:tcPr>
            <w:tcW w:w="0" w:type="auto"/>
            <w:vAlign w:val="center"/>
          </w:tcPr>
          <w:p>
            <w:pPr>
              <w:widowControl w:val="0"/>
              <w:ind w:firstLine="0" w:firstLineChars="0"/>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5.4552</w:t>
            </w:r>
            <w:r>
              <w:rPr>
                <w:rFonts w:ascii="Times New Roman" w:hAnsi="Times New Roman" w:eastAsia="宋体" w:cs="Times New Roman"/>
                <w:color w:val="auto"/>
                <w:kern w:val="2"/>
                <w:sz w:val="21"/>
                <w:szCs w:val="21"/>
                <w:lang w:val="en-US" w:eastAsia="zh-CN" w:bidi="ar-SA"/>
              </w:rPr>
              <w:t>＞1</w:t>
            </w:r>
          </w:p>
        </w:tc>
        <w:tc>
          <w:tcPr>
            <w:tcW w:w="0" w:type="auto"/>
            <w:vAlign w:val="center"/>
          </w:tcPr>
          <w:p>
            <w:pPr>
              <w:widowControl w:val="0"/>
              <w:ind w:firstLine="0" w:firstLineChars="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构成危险化学品重大危险源</w:t>
            </w:r>
          </w:p>
        </w:tc>
      </w:tr>
    </w:tbl>
    <w:p>
      <w:pPr>
        <w:keepNext w:val="0"/>
        <w:keepLines w:val="0"/>
        <w:pageBreakBefore w:val="0"/>
        <w:widowControl w:val="0"/>
        <w:kinsoku/>
        <w:wordWrap/>
        <w:overflowPunct/>
        <w:topLinePunct w:val="0"/>
        <w:autoSpaceDE/>
        <w:autoSpaceDN/>
        <w:bidi w:val="0"/>
        <w:adjustRightInd w:val="0"/>
        <w:snapToGrid w:val="0"/>
        <w:spacing w:before="62" w:beforeLines="20" w:after="62" w:afterLines="20" w:line="360" w:lineRule="auto"/>
        <w:ind w:left="140" w:leftChars="50" w:firstLine="280" w:firstLineChars="100"/>
        <w:textAlignment w:val="auto"/>
        <w:outlineLvl w:val="3"/>
        <w:rPr>
          <w:rFonts w:hint="eastAsia" w:ascii="华文新魏" w:hAnsi="华文新魏" w:eastAsia="华文新魏" w:cs="华文新魏"/>
          <w:color w:val="auto"/>
          <w:sz w:val="28"/>
          <w:szCs w:val="28"/>
        </w:rPr>
      </w:pPr>
      <w:r>
        <w:rPr>
          <w:rFonts w:hint="default" w:ascii="Times New Roman" w:hAnsi="Times New Roman" w:eastAsia="华文新魏" w:cs="Times New Roman"/>
          <w:color w:val="auto"/>
          <w:kern w:val="2"/>
          <w:sz w:val="28"/>
          <w:szCs w:val="28"/>
          <w:lang w:val="en-US" w:eastAsia="zh-CN" w:bidi="ar-SA"/>
        </w:rPr>
        <w:t>F1.4.2.</w:t>
      </w:r>
      <w:r>
        <w:rPr>
          <w:rFonts w:hint="eastAsia" w:ascii="Times New Roman" w:hAnsi="Times New Roman" w:eastAsia="华文新魏" w:cs="Times New Roman"/>
          <w:color w:val="auto"/>
          <w:kern w:val="2"/>
          <w:sz w:val="28"/>
          <w:szCs w:val="28"/>
          <w:lang w:val="en-US" w:eastAsia="zh-CN" w:bidi="ar-SA"/>
        </w:rPr>
        <w:t>2</w:t>
      </w:r>
      <w:r>
        <w:rPr>
          <w:rFonts w:hint="default" w:ascii="Times New Roman" w:hAnsi="Times New Roman" w:eastAsia="华文新魏" w:cs="Times New Roman"/>
          <w:color w:val="auto"/>
          <w:kern w:val="2"/>
          <w:sz w:val="28"/>
          <w:szCs w:val="28"/>
          <w:lang w:val="en-US" w:eastAsia="zh-CN" w:bidi="ar-SA"/>
        </w:rPr>
        <w:t xml:space="preserve"> </w:t>
      </w:r>
      <w:r>
        <w:rPr>
          <w:rFonts w:hint="eastAsia" w:ascii="Times New Roman" w:hAnsi="Times New Roman" w:eastAsia="华文新魏" w:cs="Times New Roman"/>
          <w:color w:val="auto"/>
          <w:kern w:val="2"/>
          <w:sz w:val="28"/>
          <w:szCs w:val="28"/>
          <w:lang w:val="en-US" w:eastAsia="zh-CN" w:bidi="ar-SA"/>
        </w:rPr>
        <w:t>本项目所在105#罐区</w:t>
      </w:r>
      <w:r>
        <w:rPr>
          <w:rFonts w:hint="eastAsia" w:ascii="华文新魏" w:hAnsi="华文新魏" w:eastAsia="华文新魏" w:cs="华文新魏"/>
          <w:color w:val="auto"/>
          <w:kern w:val="2"/>
          <w:sz w:val="28"/>
          <w:szCs w:val="28"/>
          <w:lang w:val="en-US" w:eastAsia="zh-CN" w:bidi="ar-SA"/>
        </w:rPr>
        <w:t>重大危险源辨识过程</w:t>
      </w:r>
    </w:p>
    <w:p>
      <w:pPr>
        <w:pStyle w:val="6"/>
        <w:ind w:firstLine="560"/>
        <w:rPr>
          <w:color w:val="auto"/>
          <w:lang w:val="en-US"/>
        </w:rPr>
      </w:pPr>
      <w:r>
        <w:rPr>
          <w:color w:val="auto"/>
          <w:lang w:val="en-US"/>
        </w:rPr>
        <w:t>根据《危险化学品重大危险源辨识》（GB18218-2018）中有关</w:t>
      </w:r>
      <w:r>
        <w:rPr>
          <w:rFonts w:hint="eastAsia"/>
          <w:color w:val="auto"/>
          <w:lang w:val="en-US"/>
        </w:rPr>
        <w:t>“</w:t>
      </w:r>
      <w:r>
        <w:rPr>
          <w:color w:val="auto"/>
          <w:lang w:val="en-US"/>
        </w:rPr>
        <w:t>单元</w:t>
      </w:r>
      <w:r>
        <w:rPr>
          <w:rFonts w:hint="eastAsia"/>
          <w:color w:val="auto"/>
          <w:lang w:val="en-US"/>
        </w:rPr>
        <w:t>”</w:t>
      </w:r>
      <w:r>
        <w:rPr>
          <w:color w:val="auto"/>
          <w:lang w:val="en-US"/>
        </w:rPr>
        <w:t>的定义，结合本次评估范围，本次评估将105#罐区作为1个储存单元进行辨识。原油在泵区、管道内存在量较少，本次评估不再予以分析。</w:t>
      </w:r>
    </w:p>
    <w:p>
      <w:pPr>
        <w:pStyle w:val="23"/>
        <w:rPr>
          <w:color w:val="auto"/>
          <w:lang w:val="en-US"/>
        </w:rPr>
      </w:pPr>
      <w:r>
        <w:rPr>
          <w:color w:val="auto"/>
          <w:lang w:val="en-US"/>
        </w:rPr>
        <w:t>附表1.</w:t>
      </w:r>
      <w:r>
        <w:rPr>
          <w:rFonts w:hint="eastAsia"/>
          <w:color w:val="auto"/>
          <w:lang w:val="en-US" w:eastAsia="zh-CN"/>
        </w:rPr>
        <w:t>4</w:t>
      </w:r>
      <w:r>
        <w:rPr>
          <w:color w:val="auto"/>
        </w:rPr>
        <w:t>-</w:t>
      </w:r>
      <w:r>
        <w:rPr>
          <w:rFonts w:hint="eastAsia"/>
          <w:color w:val="auto"/>
          <w:lang w:val="en-US" w:eastAsia="zh-CN"/>
        </w:rPr>
        <w:t>3</w:t>
      </w:r>
      <w:r>
        <w:rPr>
          <w:color w:val="auto"/>
        </w:rPr>
        <w:t xml:space="preserve">  </w:t>
      </w:r>
      <w:r>
        <w:rPr>
          <w:rFonts w:hint="eastAsia"/>
          <w:color w:val="auto"/>
          <w:lang w:val="en-US"/>
        </w:rPr>
        <w:t>105#罐区</w:t>
      </w:r>
      <w:r>
        <w:rPr>
          <w:color w:val="auto"/>
          <w:lang w:val="en-US"/>
        </w:rPr>
        <w:t>重大危险源单元划分情况</w:t>
      </w:r>
    </w:p>
    <w:tbl>
      <w:tblPr>
        <w:tblStyle w:val="19"/>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748"/>
        <w:gridCol w:w="2102"/>
        <w:gridCol w:w="4014"/>
        <w:gridCol w:w="165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63" w:hRule="atLeast"/>
          <w:jc w:val="center"/>
        </w:trPr>
        <w:tc>
          <w:tcPr>
            <w:tcW w:w="439" w:type="pct"/>
            <w:vAlign w:val="center"/>
          </w:tcPr>
          <w:p>
            <w:pPr>
              <w:pStyle w:val="24"/>
              <w:rPr>
                <w:b/>
                <w:bCs/>
                <w:color w:val="auto"/>
              </w:rPr>
            </w:pPr>
            <w:r>
              <w:rPr>
                <w:b/>
                <w:bCs/>
                <w:color w:val="auto"/>
              </w:rPr>
              <w:t>序号</w:t>
            </w:r>
          </w:p>
        </w:tc>
        <w:tc>
          <w:tcPr>
            <w:tcW w:w="1233" w:type="pct"/>
            <w:vAlign w:val="center"/>
          </w:tcPr>
          <w:p>
            <w:pPr>
              <w:pStyle w:val="24"/>
              <w:rPr>
                <w:b/>
                <w:bCs/>
                <w:color w:val="auto"/>
              </w:rPr>
            </w:pPr>
            <w:r>
              <w:rPr>
                <w:b/>
                <w:bCs/>
                <w:color w:val="auto"/>
              </w:rPr>
              <w:t>单元名称</w:t>
            </w:r>
          </w:p>
        </w:tc>
        <w:tc>
          <w:tcPr>
            <w:tcW w:w="2354" w:type="pct"/>
            <w:vAlign w:val="center"/>
          </w:tcPr>
          <w:p>
            <w:pPr>
              <w:pStyle w:val="24"/>
              <w:rPr>
                <w:b/>
                <w:bCs/>
                <w:color w:val="auto"/>
              </w:rPr>
            </w:pPr>
            <w:r>
              <w:rPr>
                <w:b/>
                <w:bCs/>
                <w:color w:val="auto"/>
              </w:rPr>
              <w:t>包括的装置、设备设施</w:t>
            </w:r>
          </w:p>
        </w:tc>
        <w:tc>
          <w:tcPr>
            <w:tcW w:w="972" w:type="pct"/>
            <w:vAlign w:val="center"/>
          </w:tcPr>
          <w:p>
            <w:pPr>
              <w:pStyle w:val="24"/>
              <w:rPr>
                <w:b/>
                <w:bCs/>
                <w:color w:val="auto"/>
              </w:rPr>
            </w:pPr>
            <w:r>
              <w:rPr>
                <w:b/>
                <w:bCs/>
                <w:color w:val="auto"/>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63" w:hRule="atLeast"/>
          <w:jc w:val="center"/>
        </w:trPr>
        <w:tc>
          <w:tcPr>
            <w:tcW w:w="439" w:type="pct"/>
            <w:vAlign w:val="center"/>
          </w:tcPr>
          <w:p>
            <w:pPr>
              <w:pStyle w:val="24"/>
              <w:rPr>
                <w:color w:val="auto"/>
              </w:rPr>
            </w:pPr>
            <w:r>
              <w:rPr>
                <w:color w:val="auto"/>
              </w:rPr>
              <w:t>1</w:t>
            </w:r>
          </w:p>
        </w:tc>
        <w:tc>
          <w:tcPr>
            <w:tcW w:w="1233" w:type="pct"/>
            <w:vAlign w:val="center"/>
          </w:tcPr>
          <w:p>
            <w:pPr>
              <w:pStyle w:val="24"/>
              <w:rPr>
                <w:color w:val="auto"/>
              </w:rPr>
            </w:pPr>
            <w:r>
              <w:rPr>
                <w:color w:val="auto"/>
              </w:rPr>
              <w:t>105#罐区</w:t>
            </w:r>
          </w:p>
        </w:tc>
        <w:tc>
          <w:tcPr>
            <w:tcW w:w="2354" w:type="pct"/>
            <w:vAlign w:val="center"/>
          </w:tcPr>
          <w:p>
            <w:pPr>
              <w:pStyle w:val="24"/>
              <w:rPr>
                <w:color w:val="auto"/>
              </w:rPr>
            </w:pPr>
            <w:r>
              <w:rPr>
                <w:color w:val="auto"/>
              </w:rPr>
              <w:t>105#罐区2座30000m³原油储罐</w:t>
            </w:r>
          </w:p>
        </w:tc>
        <w:tc>
          <w:tcPr>
            <w:tcW w:w="972" w:type="pct"/>
            <w:vAlign w:val="center"/>
          </w:tcPr>
          <w:p>
            <w:pPr>
              <w:pStyle w:val="24"/>
              <w:rPr>
                <w:color w:val="auto"/>
              </w:rPr>
            </w:pPr>
          </w:p>
        </w:tc>
      </w:tr>
    </w:tbl>
    <w:p>
      <w:pPr>
        <w:pStyle w:val="6"/>
        <w:ind w:firstLine="560"/>
        <w:rPr>
          <w:color w:val="auto"/>
          <w:lang w:val="en-US"/>
        </w:rPr>
      </w:pPr>
      <w:r>
        <w:rPr>
          <w:color w:val="auto"/>
          <w:lang w:val="en-US"/>
        </w:rPr>
        <w:t>本次评价过程中根据</w:t>
      </w:r>
      <w:r>
        <w:rPr>
          <w:rFonts w:hint="eastAsia"/>
          <w:color w:val="auto"/>
          <w:lang w:val="en-US"/>
        </w:rPr>
        <w:t>石油化工总厂</w:t>
      </w:r>
      <w:r>
        <w:rPr>
          <w:color w:val="auto"/>
          <w:lang w:val="en-US"/>
        </w:rPr>
        <w:t>提供</w:t>
      </w:r>
      <w:r>
        <w:rPr>
          <w:rFonts w:hint="eastAsia"/>
          <w:color w:val="auto"/>
          <w:lang w:val="en-US"/>
        </w:rPr>
        <w:t>胜利混合</w:t>
      </w:r>
      <w:r>
        <w:rPr>
          <w:color w:val="auto"/>
          <w:lang w:val="en-US"/>
        </w:rPr>
        <w:t>原油</w:t>
      </w:r>
      <w:r>
        <w:rPr>
          <w:rFonts w:hint="eastAsia"/>
          <w:color w:val="auto"/>
          <w:lang w:val="en-US"/>
        </w:rPr>
        <w:t>评价</w:t>
      </w:r>
      <w:r>
        <w:rPr>
          <w:color w:val="auto"/>
          <w:lang w:val="en-US"/>
        </w:rPr>
        <w:t>报告，原油闪点</w:t>
      </w:r>
      <w:r>
        <w:rPr>
          <w:rFonts w:hint="eastAsia"/>
          <w:color w:val="auto"/>
          <w:lang w:val="en-US"/>
        </w:rPr>
        <w:t>为</w:t>
      </w:r>
      <w:r>
        <w:rPr>
          <w:color w:val="auto"/>
          <w:lang w:val="en-US"/>
        </w:rPr>
        <w:t>2</w:t>
      </w:r>
      <w:r>
        <w:rPr>
          <w:rFonts w:hint="eastAsia"/>
          <w:color w:val="auto"/>
          <w:lang w:val="en-US"/>
        </w:rPr>
        <w:t>5</w:t>
      </w:r>
      <w:r>
        <w:rPr>
          <w:color w:val="auto"/>
          <w:lang w:val="en-US"/>
        </w:rPr>
        <w:t>℃，密度为0.9092g/</w:t>
      </w:r>
      <w:r>
        <w:rPr>
          <w:rFonts w:hint="eastAsia"/>
          <w:color w:val="auto"/>
          <w:lang w:val="en-US"/>
        </w:rPr>
        <w:t>cm</w:t>
      </w:r>
      <w:r>
        <w:rPr>
          <w:rFonts w:hint="eastAsia"/>
          <w:color w:val="auto"/>
          <w:vertAlign w:val="superscript"/>
          <w:lang w:val="en-US"/>
        </w:rPr>
        <w:t>3</w:t>
      </w:r>
      <w:r>
        <w:rPr>
          <w:rFonts w:hint="eastAsia"/>
          <w:color w:val="auto"/>
          <w:lang w:val="en-US"/>
        </w:rPr>
        <w:t>。</w:t>
      </w:r>
      <w:r>
        <w:rPr>
          <w:color w:val="auto"/>
          <w:lang w:val="en-US"/>
        </w:rPr>
        <w:t>根据危险化学品重大危险源的定义，进行危险化学品重大危险源，详见下表。</w:t>
      </w:r>
    </w:p>
    <w:p>
      <w:pPr>
        <w:adjustRightInd w:val="0"/>
        <w:snapToGrid w:val="0"/>
        <w:spacing w:line="360" w:lineRule="auto"/>
        <w:ind w:firstLine="482"/>
        <w:jc w:val="center"/>
        <w:rPr>
          <w:rFonts w:ascii="Times New Roman" w:hAnsi="Times New Roman" w:cs="Times New Roman"/>
          <w:b/>
          <w:bCs/>
          <w:color w:val="auto"/>
          <w:sz w:val="24"/>
        </w:rPr>
      </w:pPr>
      <w:r>
        <w:rPr>
          <w:rFonts w:ascii="Times New Roman" w:hAnsi="Times New Roman" w:cs="Times New Roman"/>
          <w:b/>
          <w:bCs/>
          <w:color w:val="auto"/>
          <w:sz w:val="24"/>
        </w:rPr>
        <w:t>附表1.</w:t>
      </w:r>
      <w:r>
        <w:rPr>
          <w:rFonts w:hint="eastAsia" w:ascii="Times New Roman" w:hAnsi="Times New Roman" w:cs="Times New Roman"/>
          <w:b/>
          <w:bCs/>
          <w:color w:val="auto"/>
          <w:sz w:val="24"/>
          <w:lang w:val="en-US" w:eastAsia="zh-CN"/>
        </w:rPr>
        <w:t>4</w:t>
      </w:r>
      <w:r>
        <w:rPr>
          <w:rFonts w:ascii="Times New Roman" w:hAnsi="Times New Roman" w:cs="Times New Roman"/>
          <w:b/>
          <w:bCs/>
          <w:color w:val="auto"/>
          <w:sz w:val="24"/>
        </w:rPr>
        <w:t>-</w:t>
      </w:r>
      <w:r>
        <w:rPr>
          <w:rFonts w:hint="eastAsia" w:ascii="Times New Roman" w:hAnsi="Times New Roman" w:cs="Times New Roman"/>
          <w:b/>
          <w:bCs/>
          <w:color w:val="auto"/>
          <w:sz w:val="24"/>
          <w:lang w:val="en-US" w:eastAsia="zh-CN"/>
        </w:rPr>
        <w:t>4  105#罐区</w:t>
      </w:r>
      <w:r>
        <w:rPr>
          <w:rFonts w:ascii="Times New Roman" w:hAnsi="Times New Roman" w:cs="Times New Roman"/>
          <w:b/>
          <w:bCs/>
          <w:color w:val="auto"/>
          <w:sz w:val="24"/>
        </w:rPr>
        <w:t>危险化学品重大危险源辨识表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2"/>
        <w:gridCol w:w="1641"/>
        <w:gridCol w:w="1063"/>
        <w:gridCol w:w="1065"/>
        <w:gridCol w:w="899"/>
        <w:gridCol w:w="1630"/>
        <w:gridCol w:w="15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tblHeader/>
          <w:jc w:val="center"/>
        </w:trPr>
        <w:tc>
          <w:tcPr>
            <w:tcW w:w="0" w:type="auto"/>
            <w:vAlign w:val="center"/>
          </w:tcPr>
          <w:p>
            <w:pPr>
              <w:pStyle w:val="24"/>
              <w:rPr>
                <w:b/>
                <w:bCs/>
                <w:color w:val="auto"/>
              </w:rPr>
            </w:pPr>
            <w:r>
              <w:rPr>
                <w:b/>
                <w:bCs/>
                <w:color w:val="auto"/>
              </w:rPr>
              <w:t>危险物质</w:t>
            </w:r>
          </w:p>
        </w:tc>
        <w:tc>
          <w:tcPr>
            <w:tcW w:w="1641" w:type="dxa"/>
            <w:vAlign w:val="center"/>
          </w:tcPr>
          <w:p>
            <w:pPr>
              <w:pStyle w:val="24"/>
              <w:rPr>
                <w:b/>
                <w:bCs/>
                <w:color w:val="auto"/>
              </w:rPr>
            </w:pPr>
            <w:r>
              <w:rPr>
                <w:b/>
                <w:bCs/>
                <w:color w:val="auto"/>
              </w:rPr>
              <w:t>危险物质类别</w:t>
            </w:r>
          </w:p>
        </w:tc>
        <w:tc>
          <w:tcPr>
            <w:tcW w:w="1063" w:type="dxa"/>
            <w:vAlign w:val="center"/>
          </w:tcPr>
          <w:p>
            <w:pPr>
              <w:pStyle w:val="24"/>
              <w:rPr>
                <w:b/>
                <w:bCs/>
                <w:color w:val="auto"/>
              </w:rPr>
            </w:pPr>
            <w:r>
              <w:rPr>
                <w:b/>
                <w:bCs/>
                <w:color w:val="auto"/>
              </w:rPr>
              <w:t>单元内物质数量（t）</w:t>
            </w:r>
          </w:p>
        </w:tc>
        <w:tc>
          <w:tcPr>
            <w:tcW w:w="1065" w:type="dxa"/>
            <w:vAlign w:val="center"/>
          </w:tcPr>
          <w:p>
            <w:pPr>
              <w:pStyle w:val="24"/>
              <w:rPr>
                <w:b/>
                <w:bCs/>
                <w:color w:val="auto"/>
              </w:rPr>
            </w:pPr>
            <w:r>
              <w:rPr>
                <w:b/>
                <w:bCs/>
                <w:color w:val="auto"/>
              </w:rPr>
              <w:t>临界量（t）</w:t>
            </w:r>
          </w:p>
        </w:tc>
        <w:tc>
          <w:tcPr>
            <w:tcW w:w="0" w:type="auto"/>
            <w:vAlign w:val="center"/>
          </w:tcPr>
          <w:p>
            <w:pPr>
              <w:pStyle w:val="24"/>
              <w:rPr>
                <w:b/>
                <w:bCs/>
                <w:color w:val="auto"/>
              </w:rPr>
            </w:pPr>
            <w:r>
              <w:rPr>
                <w:b/>
                <w:bCs/>
                <w:color w:val="auto"/>
              </w:rPr>
              <w:t>q/Q</w:t>
            </w:r>
          </w:p>
        </w:tc>
        <w:tc>
          <w:tcPr>
            <w:tcW w:w="0" w:type="auto"/>
            <w:vAlign w:val="center"/>
          </w:tcPr>
          <w:p>
            <w:pPr>
              <w:pStyle w:val="24"/>
              <w:rPr>
                <w:b/>
                <w:bCs/>
                <w:color w:val="auto"/>
              </w:rPr>
            </w:pPr>
            <w:r>
              <w:rPr>
                <w:b/>
                <w:bCs/>
                <w:color w:val="auto"/>
              </w:rPr>
              <w:t>q</w:t>
            </w:r>
            <w:r>
              <w:rPr>
                <w:b/>
                <w:bCs/>
                <w:color w:val="auto"/>
                <w:vertAlign w:val="subscript"/>
              </w:rPr>
              <w:t>1</w:t>
            </w:r>
            <w:r>
              <w:rPr>
                <w:b/>
                <w:bCs/>
                <w:color w:val="auto"/>
              </w:rPr>
              <w:t>/Q</w:t>
            </w:r>
            <w:r>
              <w:rPr>
                <w:b/>
                <w:bCs/>
                <w:color w:val="auto"/>
                <w:vertAlign w:val="subscript"/>
              </w:rPr>
              <w:t>1</w:t>
            </w:r>
            <w:r>
              <w:rPr>
                <w:b/>
                <w:bCs/>
                <w:color w:val="auto"/>
              </w:rPr>
              <w:t>+…+q</w:t>
            </w:r>
            <w:r>
              <w:rPr>
                <w:b/>
                <w:bCs/>
                <w:color w:val="auto"/>
                <w:vertAlign w:val="subscript"/>
              </w:rPr>
              <w:t>n</w:t>
            </w:r>
            <w:r>
              <w:rPr>
                <w:b/>
                <w:bCs/>
                <w:color w:val="auto"/>
              </w:rPr>
              <w:t>/Q</w:t>
            </w:r>
            <w:r>
              <w:rPr>
                <w:b/>
                <w:bCs/>
                <w:color w:val="auto"/>
                <w:vertAlign w:val="subscript"/>
              </w:rPr>
              <w:t>n</w:t>
            </w:r>
          </w:p>
        </w:tc>
        <w:tc>
          <w:tcPr>
            <w:tcW w:w="0" w:type="auto"/>
            <w:vAlign w:val="center"/>
          </w:tcPr>
          <w:p>
            <w:pPr>
              <w:pStyle w:val="24"/>
              <w:rPr>
                <w:b/>
                <w:bCs/>
                <w:color w:val="auto"/>
              </w:rPr>
            </w:pPr>
            <w:r>
              <w:rPr>
                <w:b/>
                <w:bCs/>
                <w:color w:val="auto"/>
              </w:rPr>
              <w:t>辨识结果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0" w:type="auto"/>
            <w:vAlign w:val="center"/>
          </w:tcPr>
          <w:p>
            <w:pPr>
              <w:pStyle w:val="24"/>
              <w:rPr>
                <w:color w:val="auto"/>
              </w:rPr>
            </w:pPr>
            <w:r>
              <w:rPr>
                <w:color w:val="auto"/>
              </w:rPr>
              <w:t>原油</w:t>
            </w:r>
          </w:p>
        </w:tc>
        <w:tc>
          <w:tcPr>
            <w:tcW w:w="1641" w:type="dxa"/>
            <w:vAlign w:val="center"/>
          </w:tcPr>
          <w:p>
            <w:pPr>
              <w:pStyle w:val="24"/>
              <w:rPr>
                <w:color w:val="auto"/>
              </w:rPr>
            </w:pPr>
            <w:r>
              <w:rPr>
                <w:color w:val="auto"/>
              </w:rPr>
              <w:t>易燃液体</w:t>
            </w:r>
            <w:r>
              <w:rPr>
                <w:rFonts w:hint="eastAsia"/>
                <w:color w:val="auto"/>
                <w:lang w:eastAsia="zh-CN"/>
              </w:rPr>
              <w:t>，</w:t>
            </w:r>
            <w:r>
              <w:rPr>
                <w:color w:val="auto"/>
              </w:rPr>
              <w:t>类别3</w:t>
            </w:r>
          </w:p>
        </w:tc>
        <w:tc>
          <w:tcPr>
            <w:tcW w:w="1063" w:type="dxa"/>
            <w:vAlign w:val="center"/>
          </w:tcPr>
          <w:p>
            <w:pPr>
              <w:pStyle w:val="24"/>
              <w:rPr>
                <w:color w:val="auto"/>
              </w:rPr>
            </w:pPr>
            <w:r>
              <w:rPr>
                <w:rFonts w:hint="eastAsia"/>
                <w:color w:val="auto"/>
              </w:rPr>
              <w:t>54552</w:t>
            </w:r>
          </w:p>
        </w:tc>
        <w:tc>
          <w:tcPr>
            <w:tcW w:w="1065" w:type="dxa"/>
            <w:vAlign w:val="center"/>
          </w:tcPr>
          <w:p>
            <w:pPr>
              <w:pStyle w:val="24"/>
              <w:rPr>
                <w:color w:val="auto"/>
              </w:rPr>
            </w:pPr>
            <w:r>
              <w:rPr>
                <w:color w:val="auto"/>
              </w:rPr>
              <w:t>5000</w:t>
            </w:r>
          </w:p>
        </w:tc>
        <w:tc>
          <w:tcPr>
            <w:tcW w:w="0" w:type="auto"/>
            <w:vAlign w:val="center"/>
          </w:tcPr>
          <w:p>
            <w:pPr>
              <w:pStyle w:val="24"/>
              <w:rPr>
                <w:rFonts w:hint="default" w:eastAsia="宋体"/>
                <w:color w:val="auto"/>
                <w:lang w:val="en-US" w:eastAsia="zh-CN"/>
              </w:rPr>
            </w:pPr>
            <w:r>
              <w:rPr>
                <w:rFonts w:hint="eastAsia"/>
                <w:color w:val="auto"/>
              </w:rPr>
              <w:t>10.91</w:t>
            </w:r>
            <w:r>
              <w:rPr>
                <w:rFonts w:hint="eastAsia"/>
                <w:color w:val="auto"/>
                <w:lang w:val="en-US" w:eastAsia="zh-CN"/>
              </w:rPr>
              <w:t>04</w:t>
            </w:r>
          </w:p>
        </w:tc>
        <w:tc>
          <w:tcPr>
            <w:tcW w:w="0" w:type="auto"/>
            <w:vAlign w:val="center"/>
          </w:tcPr>
          <w:p>
            <w:pPr>
              <w:pStyle w:val="24"/>
              <w:rPr>
                <w:color w:val="auto"/>
              </w:rPr>
            </w:pPr>
            <w:r>
              <w:rPr>
                <w:rFonts w:hint="eastAsia"/>
                <w:color w:val="auto"/>
              </w:rPr>
              <w:t>10.91</w:t>
            </w:r>
            <w:r>
              <w:rPr>
                <w:rFonts w:hint="eastAsia"/>
                <w:color w:val="auto"/>
                <w:lang w:val="en-US" w:eastAsia="zh-CN"/>
              </w:rPr>
              <w:t>04</w:t>
            </w:r>
            <w:r>
              <w:rPr>
                <w:color w:val="auto"/>
              </w:rPr>
              <w:t>＞1</w:t>
            </w:r>
          </w:p>
        </w:tc>
        <w:tc>
          <w:tcPr>
            <w:tcW w:w="0" w:type="auto"/>
            <w:vAlign w:val="center"/>
          </w:tcPr>
          <w:p>
            <w:pPr>
              <w:pStyle w:val="24"/>
              <w:rPr>
                <w:color w:val="auto"/>
              </w:rPr>
            </w:pPr>
            <w:r>
              <w:rPr>
                <w:color w:val="auto"/>
              </w:rPr>
              <w:t>构成危险化学品重大危险源</w:t>
            </w:r>
          </w:p>
        </w:tc>
      </w:tr>
    </w:tbl>
    <w:p>
      <w:pPr>
        <w:pStyle w:val="4"/>
        <w:spacing w:before="62" w:after="62"/>
        <w:rPr>
          <w:color w:val="auto"/>
        </w:rPr>
      </w:pPr>
      <w:r>
        <w:rPr>
          <w:color w:val="auto"/>
        </w:rPr>
        <w:t>F1.</w:t>
      </w:r>
      <w:r>
        <w:rPr>
          <w:rFonts w:hint="eastAsia"/>
          <w:color w:val="auto"/>
        </w:rPr>
        <w:t>4</w:t>
      </w:r>
      <w:r>
        <w:rPr>
          <w:color w:val="auto"/>
        </w:rPr>
        <w:t>.3 重大危险源分级方法</w:t>
      </w:r>
    </w:p>
    <w:p>
      <w:pPr>
        <w:pStyle w:val="6"/>
        <w:ind w:firstLine="560"/>
      </w:pPr>
      <w:r>
        <w:t>根据</w:t>
      </w:r>
      <w:r>
        <w:rPr>
          <w:rFonts w:hint="eastAsia"/>
        </w:rPr>
        <w:t>《</w:t>
      </w:r>
      <w:r>
        <w:t>危险化学品重大危险源监督管理暂行规定</w:t>
      </w:r>
      <w:r>
        <w:rPr>
          <w:rFonts w:hint="eastAsia"/>
        </w:rPr>
        <w:t>》</w:t>
      </w:r>
      <w:r>
        <w:t>（</w:t>
      </w:r>
      <w:r>
        <w:rPr>
          <w:rFonts w:hint="eastAsia"/>
        </w:rPr>
        <w:t>安监总局令第40号，79号令修正</w:t>
      </w:r>
      <w:r>
        <w:t>），重大危险源分级标准如下：</w:t>
      </w:r>
    </w:p>
    <w:p>
      <w:pPr>
        <w:pStyle w:val="6"/>
        <w:ind w:firstLine="560"/>
      </w:pPr>
      <w:r>
        <w:rPr>
          <w:szCs w:val="28"/>
        </w:rPr>
        <w:t>（</w:t>
      </w:r>
      <w:r>
        <w:t>1）分级指标</w:t>
      </w:r>
    </w:p>
    <w:p>
      <w:pPr>
        <w:pStyle w:val="6"/>
        <w:ind w:firstLine="560"/>
      </w:pPr>
      <w:r>
        <w:t>采用单元内各种危险化学品实际存在（在线）量与其在《危险化学品重大危险源辨识》（GB18218-2018）中规定的临界量比值，经校正系数校正后的比值之和R作为分级指标。</w:t>
      </w:r>
      <w:bookmarkStart w:id="102" w:name="_Toc3708"/>
      <w:bookmarkStart w:id="103" w:name="_Toc8140"/>
    </w:p>
    <w:p>
      <w:pPr>
        <w:pStyle w:val="6"/>
        <w:ind w:firstLine="560"/>
      </w:pPr>
      <w:r>
        <w:t>（2）R的计算方法</w:t>
      </w:r>
      <w:bookmarkEnd w:id="102"/>
      <w:bookmarkEnd w:id="103"/>
    </w:p>
    <w:p>
      <w:pPr>
        <w:pStyle w:val="6"/>
        <w:ind w:firstLine="560"/>
        <w:jc w:val="center"/>
      </w:pPr>
      <w:r>
        <w:drawing>
          <wp:inline distT="0" distB="0" distL="0" distR="0">
            <wp:extent cx="2751455" cy="492760"/>
            <wp:effectExtent l="0" t="0" r="0" b="254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751455" cy="492760"/>
                    </a:xfrm>
                    <a:prstGeom prst="rect">
                      <a:avLst/>
                    </a:prstGeom>
                    <a:noFill/>
                    <a:ln>
                      <a:noFill/>
                    </a:ln>
                  </pic:spPr>
                </pic:pic>
              </a:graphicData>
            </a:graphic>
          </wp:inline>
        </w:drawing>
      </w:r>
    </w:p>
    <w:p>
      <w:pPr>
        <w:pStyle w:val="6"/>
        <w:ind w:firstLine="560"/>
        <w:rPr>
          <w:szCs w:val="28"/>
        </w:rPr>
      </w:pPr>
      <w:r>
        <w:t>式中：</w:t>
      </w:r>
    </w:p>
    <w:p>
      <w:pPr>
        <w:adjustRightInd w:val="0"/>
        <w:snapToGrid w:val="0"/>
        <w:spacing w:line="360" w:lineRule="auto"/>
        <w:ind w:firstLine="1260" w:firstLineChars="450"/>
        <w:rPr>
          <w:rFonts w:ascii="Times New Roman" w:hAnsi="Times New Roman" w:cs="Times New Roman"/>
          <w:szCs w:val="28"/>
        </w:rPr>
      </w:pPr>
      <w:r>
        <w:rPr>
          <w:rFonts w:ascii="Times New Roman" w:hAnsi="Times New Roman" w:cs="Times New Roman"/>
          <w:i/>
          <w:szCs w:val="28"/>
        </w:rPr>
        <w:t>q</w:t>
      </w:r>
      <w:r>
        <w:rPr>
          <w:rFonts w:ascii="Times New Roman" w:hAnsi="Times New Roman" w:cs="Times New Roman"/>
          <w:i/>
          <w:szCs w:val="28"/>
          <w:vertAlign w:val="subscript"/>
        </w:rPr>
        <w:t>1</w:t>
      </w:r>
      <w:r>
        <w:rPr>
          <w:rFonts w:ascii="Times New Roman" w:hAnsi="Times New Roman" w:cs="Times New Roman"/>
          <w:i/>
          <w:szCs w:val="28"/>
        </w:rPr>
        <w:t>,q</w:t>
      </w:r>
      <w:r>
        <w:rPr>
          <w:rFonts w:ascii="Times New Roman" w:hAnsi="Times New Roman" w:cs="Times New Roman"/>
          <w:i/>
          <w:szCs w:val="28"/>
          <w:vertAlign w:val="subscript"/>
        </w:rPr>
        <w:t>2</w:t>
      </w:r>
      <w:r>
        <w:rPr>
          <w:rFonts w:ascii="Times New Roman" w:hAnsi="Times New Roman" w:cs="Times New Roman"/>
          <w:i/>
          <w:szCs w:val="28"/>
        </w:rPr>
        <w:t>,…,q</w:t>
      </w:r>
      <w:r>
        <w:rPr>
          <w:rFonts w:ascii="Times New Roman" w:hAnsi="Times New Roman" w:cs="Times New Roman"/>
          <w:i/>
          <w:szCs w:val="28"/>
          <w:vertAlign w:val="subscript"/>
        </w:rPr>
        <w:t>n</w:t>
      </w:r>
      <w:r>
        <w:rPr>
          <w:rFonts w:ascii="Times New Roman" w:hAnsi="Times New Roman" w:cs="Times New Roman"/>
          <w:szCs w:val="28"/>
        </w:rPr>
        <w:t xml:space="preserve"> —每种危险化学品实际存在（在线）量（单位：t）；</w:t>
      </w:r>
    </w:p>
    <w:p>
      <w:pPr>
        <w:adjustRightInd w:val="0"/>
        <w:snapToGrid w:val="0"/>
        <w:spacing w:line="360" w:lineRule="auto"/>
        <w:ind w:firstLine="1260" w:firstLineChars="450"/>
        <w:rPr>
          <w:rFonts w:ascii="Times New Roman" w:hAnsi="Times New Roman" w:cs="Times New Roman"/>
          <w:szCs w:val="28"/>
        </w:rPr>
      </w:pPr>
      <w:r>
        <w:rPr>
          <w:rFonts w:ascii="Times New Roman" w:hAnsi="Times New Roman" w:cs="Times New Roman"/>
          <w:i/>
          <w:szCs w:val="28"/>
        </w:rPr>
        <w:t>Q</w:t>
      </w:r>
      <w:r>
        <w:rPr>
          <w:rFonts w:ascii="Times New Roman" w:hAnsi="Times New Roman" w:cs="Times New Roman"/>
          <w:i/>
          <w:szCs w:val="28"/>
          <w:vertAlign w:val="subscript"/>
        </w:rPr>
        <w:t>1</w:t>
      </w:r>
      <w:r>
        <w:rPr>
          <w:rFonts w:ascii="Times New Roman" w:hAnsi="Times New Roman" w:cs="Times New Roman"/>
          <w:i/>
          <w:szCs w:val="28"/>
        </w:rPr>
        <w:t>,Q</w:t>
      </w:r>
      <w:r>
        <w:rPr>
          <w:rFonts w:ascii="Times New Roman" w:hAnsi="Times New Roman" w:cs="Times New Roman"/>
          <w:i/>
          <w:szCs w:val="28"/>
          <w:vertAlign w:val="subscript"/>
        </w:rPr>
        <w:t>2</w:t>
      </w:r>
      <w:r>
        <w:rPr>
          <w:rFonts w:ascii="Times New Roman" w:hAnsi="Times New Roman" w:cs="Times New Roman"/>
          <w:i/>
          <w:szCs w:val="28"/>
        </w:rPr>
        <w:t>,…,Q</w:t>
      </w:r>
      <w:r>
        <w:rPr>
          <w:rFonts w:ascii="Times New Roman" w:hAnsi="Times New Roman" w:cs="Times New Roman"/>
          <w:i/>
          <w:szCs w:val="28"/>
          <w:vertAlign w:val="subscript"/>
        </w:rPr>
        <w:t>n</w:t>
      </w:r>
      <w:r>
        <w:rPr>
          <w:rFonts w:ascii="Times New Roman" w:hAnsi="Times New Roman" w:cs="Times New Roman"/>
          <w:szCs w:val="28"/>
        </w:rPr>
        <w:t xml:space="preserve"> —与各危险化学品相对应的临界量（单位：t）；</w:t>
      </w:r>
    </w:p>
    <w:p>
      <w:pPr>
        <w:adjustRightInd w:val="0"/>
        <w:snapToGrid w:val="0"/>
        <w:spacing w:line="360" w:lineRule="auto"/>
        <w:ind w:firstLine="1260" w:firstLineChars="450"/>
        <w:rPr>
          <w:rFonts w:ascii="Times New Roman" w:hAnsi="Times New Roman" w:cs="Times New Roman"/>
          <w:szCs w:val="28"/>
        </w:rPr>
      </w:pPr>
      <w:r>
        <w:rPr>
          <w:rFonts w:ascii="Times New Roman" w:hAnsi="Times New Roman" w:cs="Times New Roman"/>
          <w:i/>
          <w:szCs w:val="28"/>
        </w:rPr>
        <w:t>β</w:t>
      </w:r>
      <w:r>
        <w:rPr>
          <w:rFonts w:ascii="Times New Roman" w:hAnsi="Times New Roman" w:cs="Times New Roman"/>
          <w:i/>
          <w:szCs w:val="28"/>
          <w:vertAlign w:val="subscript"/>
        </w:rPr>
        <w:t>1</w:t>
      </w:r>
      <w:r>
        <w:rPr>
          <w:rFonts w:ascii="Times New Roman" w:hAnsi="Times New Roman" w:cs="Times New Roman"/>
          <w:szCs w:val="28"/>
        </w:rPr>
        <w:t>，</w:t>
      </w:r>
      <w:r>
        <w:rPr>
          <w:rFonts w:ascii="Times New Roman" w:hAnsi="Times New Roman" w:cs="Times New Roman"/>
          <w:i/>
          <w:szCs w:val="28"/>
        </w:rPr>
        <w:t>β</w:t>
      </w:r>
      <w:r>
        <w:rPr>
          <w:rFonts w:ascii="Times New Roman" w:hAnsi="Times New Roman" w:cs="Times New Roman"/>
          <w:i/>
          <w:szCs w:val="28"/>
          <w:vertAlign w:val="subscript"/>
        </w:rPr>
        <w:t>2</w:t>
      </w:r>
      <w:r>
        <w:rPr>
          <w:rFonts w:ascii="Times New Roman" w:hAnsi="Times New Roman" w:cs="Times New Roman"/>
          <w:i/>
          <w:szCs w:val="28"/>
        </w:rPr>
        <w:t>…,β</w:t>
      </w:r>
      <w:r>
        <w:rPr>
          <w:rFonts w:ascii="Times New Roman" w:hAnsi="Times New Roman" w:cs="Times New Roman"/>
          <w:i/>
          <w:szCs w:val="28"/>
          <w:vertAlign w:val="subscript"/>
        </w:rPr>
        <w:t>n</w:t>
      </w:r>
      <w:r>
        <w:rPr>
          <w:rFonts w:ascii="Times New Roman" w:hAnsi="Times New Roman" w:cs="Times New Roman"/>
          <w:szCs w:val="28"/>
        </w:rPr>
        <w:t>— 与各危险化学品相对应的校正系数；</w:t>
      </w:r>
    </w:p>
    <w:p>
      <w:pPr>
        <w:adjustRightInd w:val="0"/>
        <w:snapToGrid w:val="0"/>
        <w:spacing w:line="360" w:lineRule="auto"/>
        <w:ind w:firstLine="1260" w:firstLineChars="450"/>
        <w:rPr>
          <w:rFonts w:ascii="Times New Roman" w:hAnsi="Times New Roman" w:cs="Times New Roman"/>
          <w:szCs w:val="28"/>
        </w:rPr>
      </w:pPr>
      <w:r>
        <w:rPr>
          <w:rFonts w:ascii="Times New Roman" w:hAnsi="Times New Roman" w:cs="Times New Roman"/>
          <w:i/>
          <w:szCs w:val="28"/>
        </w:rPr>
        <w:t>α</w:t>
      </w:r>
      <w:r>
        <w:rPr>
          <w:rFonts w:ascii="Times New Roman" w:hAnsi="Times New Roman" w:cs="Times New Roman"/>
          <w:szCs w:val="28"/>
        </w:rPr>
        <w:t>— 该危险化学品重大危险源厂区外暴露人员的校正系数。</w:t>
      </w:r>
      <w:bookmarkStart w:id="104" w:name="_Toc11540"/>
      <w:bookmarkStart w:id="105" w:name="_Toc16633"/>
    </w:p>
    <w:p>
      <w:pPr>
        <w:adjustRightInd w:val="0"/>
        <w:snapToGrid w:val="0"/>
        <w:spacing w:line="360" w:lineRule="auto"/>
        <w:ind w:firstLine="560"/>
        <w:rPr>
          <w:rStyle w:val="27"/>
        </w:rPr>
      </w:pPr>
      <w:r>
        <w:rPr>
          <w:rStyle w:val="27"/>
        </w:rPr>
        <w:t>（3）校正系数β的取值</w:t>
      </w:r>
      <w:bookmarkEnd w:id="104"/>
      <w:bookmarkEnd w:id="105"/>
    </w:p>
    <w:p>
      <w:pPr>
        <w:pStyle w:val="23"/>
      </w:pPr>
      <w:r>
        <w:rPr>
          <w:lang w:val="en-US"/>
        </w:rPr>
        <w:t>附</w:t>
      </w:r>
      <w:r>
        <w:t>表</w:t>
      </w:r>
      <w:r>
        <w:rPr>
          <w:lang w:val="en-US"/>
        </w:rPr>
        <w:t>1.</w:t>
      </w:r>
      <w:r>
        <w:rPr>
          <w:rFonts w:hint="eastAsia"/>
          <w:lang w:val="en-US" w:eastAsia="zh-CN"/>
        </w:rPr>
        <w:t>4</w:t>
      </w:r>
      <w:r>
        <w:rPr>
          <w:lang w:val="en-US"/>
        </w:rPr>
        <w:t>-</w:t>
      </w:r>
      <w:r>
        <w:rPr>
          <w:rFonts w:hint="eastAsia"/>
          <w:lang w:val="en-US" w:eastAsia="zh-CN"/>
        </w:rPr>
        <w:t>5</w:t>
      </w:r>
      <w:r>
        <w:t xml:space="preserve"> </w:t>
      </w:r>
      <w:r>
        <w:rPr>
          <w:lang w:val="en-US"/>
        </w:rPr>
        <w:t xml:space="preserve"> </w:t>
      </w:r>
      <w:r>
        <w:t>校正系数β取值表</w:t>
      </w:r>
    </w:p>
    <w:tbl>
      <w:tblPr>
        <w:tblStyle w:val="19"/>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704"/>
        <w:gridCol w:w="1704"/>
        <w:gridCol w:w="1704"/>
        <w:gridCol w:w="1704"/>
        <w:gridCol w:w="170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exact"/>
        </w:trPr>
        <w:tc>
          <w:tcPr>
            <w:tcW w:w="1000" w:type="pct"/>
            <w:vAlign w:val="center"/>
          </w:tcPr>
          <w:p>
            <w:pPr>
              <w:pStyle w:val="24"/>
              <w:rPr>
                <w:b/>
                <w:bCs/>
              </w:rPr>
            </w:pPr>
            <w:r>
              <w:rPr>
                <w:b/>
                <w:bCs/>
              </w:rPr>
              <w:t>危险化学品类别</w:t>
            </w:r>
          </w:p>
        </w:tc>
        <w:tc>
          <w:tcPr>
            <w:tcW w:w="1000" w:type="pct"/>
            <w:vAlign w:val="center"/>
          </w:tcPr>
          <w:p>
            <w:pPr>
              <w:pStyle w:val="24"/>
              <w:rPr>
                <w:b/>
                <w:bCs/>
              </w:rPr>
            </w:pPr>
            <w:r>
              <w:rPr>
                <w:b/>
                <w:bCs/>
              </w:rPr>
              <w:t>毒性气体</w:t>
            </w:r>
          </w:p>
        </w:tc>
        <w:tc>
          <w:tcPr>
            <w:tcW w:w="1000" w:type="pct"/>
            <w:vAlign w:val="center"/>
          </w:tcPr>
          <w:p>
            <w:pPr>
              <w:pStyle w:val="24"/>
              <w:rPr>
                <w:b/>
                <w:bCs/>
              </w:rPr>
            </w:pPr>
            <w:r>
              <w:rPr>
                <w:b/>
                <w:bCs/>
              </w:rPr>
              <w:t>爆炸品</w:t>
            </w:r>
          </w:p>
        </w:tc>
        <w:tc>
          <w:tcPr>
            <w:tcW w:w="1000" w:type="pct"/>
            <w:vAlign w:val="center"/>
          </w:tcPr>
          <w:p>
            <w:pPr>
              <w:pStyle w:val="24"/>
              <w:rPr>
                <w:b/>
                <w:bCs/>
              </w:rPr>
            </w:pPr>
            <w:r>
              <w:rPr>
                <w:b/>
                <w:bCs/>
              </w:rPr>
              <w:t>易燃气体</w:t>
            </w:r>
          </w:p>
        </w:tc>
        <w:tc>
          <w:tcPr>
            <w:tcW w:w="1000" w:type="pct"/>
            <w:vAlign w:val="center"/>
          </w:tcPr>
          <w:p>
            <w:pPr>
              <w:pStyle w:val="24"/>
              <w:rPr>
                <w:b/>
                <w:bCs/>
              </w:rPr>
            </w:pPr>
            <w:r>
              <w:rPr>
                <w:b/>
                <w:bCs/>
              </w:rPr>
              <w:t>其他危险化学品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exact"/>
        </w:trPr>
        <w:tc>
          <w:tcPr>
            <w:tcW w:w="1000" w:type="pct"/>
            <w:vAlign w:val="center"/>
          </w:tcPr>
          <w:p>
            <w:pPr>
              <w:pStyle w:val="24"/>
            </w:pPr>
            <w:r>
              <w:t>β</w:t>
            </w:r>
          </w:p>
        </w:tc>
        <w:tc>
          <w:tcPr>
            <w:tcW w:w="1000" w:type="pct"/>
            <w:vAlign w:val="center"/>
          </w:tcPr>
          <w:p>
            <w:pPr>
              <w:pStyle w:val="24"/>
            </w:pPr>
            <w:r>
              <w:t>见附表1.5-4</w:t>
            </w:r>
          </w:p>
        </w:tc>
        <w:tc>
          <w:tcPr>
            <w:tcW w:w="1000" w:type="pct"/>
            <w:vAlign w:val="center"/>
          </w:tcPr>
          <w:p>
            <w:pPr>
              <w:pStyle w:val="24"/>
            </w:pPr>
            <w:r>
              <w:t>2</w:t>
            </w:r>
          </w:p>
        </w:tc>
        <w:tc>
          <w:tcPr>
            <w:tcW w:w="1000" w:type="pct"/>
            <w:vAlign w:val="center"/>
          </w:tcPr>
          <w:p>
            <w:pPr>
              <w:pStyle w:val="24"/>
            </w:pPr>
            <w:r>
              <w:t>1.5</w:t>
            </w:r>
          </w:p>
        </w:tc>
        <w:tc>
          <w:tcPr>
            <w:tcW w:w="1000" w:type="pct"/>
            <w:vAlign w:val="center"/>
          </w:tcPr>
          <w:p>
            <w:pPr>
              <w:pStyle w:val="24"/>
            </w:pPr>
            <w:r>
              <w:t>1</w:t>
            </w:r>
          </w:p>
        </w:tc>
      </w:tr>
    </w:tbl>
    <w:p>
      <w:pPr>
        <w:pStyle w:val="26"/>
      </w:pPr>
      <w:r>
        <w:t>注：危险化学品类别依据《危险货物品名表》中分类标准确定。</w:t>
      </w:r>
    </w:p>
    <w:p>
      <w:pPr>
        <w:pStyle w:val="23"/>
      </w:pPr>
      <w:r>
        <w:rPr>
          <w:lang w:val="en-US"/>
        </w:rPr>
        <w:t>附</w:t>
      </w:r>
      <w:r>
        <w:t>表</w:t>
      </w:r>
      <w:r>
        <w:rPr>
          <w:lang w:val="en-US"/>
        </w:rPr>
        <w:t>1.</w:t>
      </w:r>
      <w:r>
        <w:rPr>
          <w:rFonts w:hint="eastAsia"/>
          <w:lang w:val="en-US" w:eastAsia="zh-CN"/>
        </w:rPr>
        <w:t>4</w:t>
      </w:r>
      <w:r>
        <w:rPr>
          <w:lang w:val="en-US"/>
        </w:rPr>
        <w:t>-</w:t>
      </w:r>
      <w:r>
        <w:rPr>
          <w:rFonts w:hint="eastAsia"/>
          <w:lang w:val="en-US" w:eastAsia="zh-CN"/>
        </w:rPr>
        <w:t>6</w:t>
      </w:r>
      <w:r>
        <w:t xml:space="preserve"> </w:t>
      </w:r>
      <w:r>
        <w:rPr>
          <w:lang w:val="en-US"/>
        </w:rPr>
        <w:t xml:space="preserve"> </w:t>
      </w:r>
      <w:r>
        <w:t>常见毒性气体校正系数β值取值表</w:t>
      </w:r>
    </w:p>
    <w:tbl>
      <w:tblPr>
        <w:tblStyle w:val="1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267"/>
        <w:gridCol w:w="1144"/>
        <w:gridCol w:w="1081"/>
        <w:gridCol w:w="1103"/>
        <w:gridCol w:w="917"/>
        <w:gridCol w:w="880"/>
        <w:gridCol w:w="898"/>
        <w:gridCol w:w="122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743" w:type="pct"/>
            <w:vAlign w:val="center"/>
          </w:tcPr>
          <w:p>
            <w:pPr>
              <w:pStyle w:val="24"/>
              <w:rPr>
                <w:b/>
                <w:bCs/>
              </w:rPr>
            </w:pPr>
            <w:r>
              <w:rPr>
                <w:b/>
                <w:bCs/>
              </w:rPr>
              <w:t>有毒气体名称</w:t>
            </w:r>
          </w:p>
        </w:tc>
        <w:tc>
          <w:tcPr>
            <w:tcW w:w="671" w:type="pct"/>
            <w:vAlign w:val="center"/>
          </w:tcPr>
          <w:p>
            <w:pPr>
              <w:pStyle w:val="24"/>
              <w:rPr>
                <w:b/>
                <w:bCs/>
              </w:rPr>
            </w:pPr>
            <w:r>
              <w:rPr>
                <w:b/>
                <w:bCs/>
              </w:rPr>
              <w:t>一氧化碳</w:t>
            </w:r>
          </w:p>
        </w:tc>
        <w:tc>
          <w:tcPr>
            <w:tcW w:w="634" w:type="pct"/>
            <w:vAlign w:val="center"/>
          </w:tcPr>
          <w:p>
            <w:pPr>
              <w:pStyle w:val="24"/>
              <w:rPr>
                <w:b/>
                <w:bCs/>
              </w:rPr>
            </w:pPr>
            <w:r>
              <w:rPr>
                <w:b/>
                <w:bCs/>
              </w:rPr>
              <w:t>二氧化硫</w:t>
            </w:r>
          </w:p>
        </w:tc>
        <w:tc>
          <w:tcPr>
            <w:tcW w:w="647" w:type="pct"/>
            <w:vAlign w:val="center"/>
          </w:tcPr>
          <w:p>
            <w:pPr>
              <w:pStyle w:val="24"/>
              <w:rPr>
                <w:b/>
                <w:bCs/>
              </w:rPr>
            </w:pPr>
            <w:r>
              <w:rPr>
                <w:b/>
                <w:bCs/>
              </w:rPr>
              <w:t>氨</w:t>
            </w:r>
          </w:p>
        </w:tc>
        <w:tc>
          <w:tcPr>
            <w:tcW w:w="538" w:type="pct"/>
            <w:vAlign w:val="center"/>
          </w:tcPr>
          <w:p>
            <w:pPr>
              <w:pStyle w:val="24"/>
              <w:rPr>
                <w:b/>
                <w:bCs/>
              </w:rPr>
            </w:pPr>
            <w:r>
              <w:rPr>
                <w:b/>
                <w:bCs/>
              </w:rPr>
              <w:t>环氧乙烷</w:t>
            </w:r>
          </w:p>
        </w:tc>
        <w:tc>
          <w:tcPr>
            <w:tcW w:w="516" w:type="pct"/>
            <w:vAlign w:val="center"/>
          </w:tcPr>
          <w:p>
            <w:pPr>
              <w:pStyle w:val="24"/>
              <w:rPr>
                <w:b/>
                <w:bCs/>
              </w:rPr>
            </w:pPr>
            <w:r>
              <w:rPr>
                <w:b/>
                <w:bCs/>
              </w:rPr>
              <w:t>氯化氢</w:t>
            </w:r>
          </w:p>
        </w:tc>
        <w:tc>
          <w:tcPr>
            <w:tcW w:w="527" w:type="pct"/>
            <w:vAlign w:val="center"/>
          </w:tcPr>
          <w:p>
            <w:pPr>
              <w:pStyle w:val="24"/>
              <w:rPr>
                <w:b/>
                <w:bCs/>
              </w:rPr>
            </w:pPr>
            <w:r>
              <w:rPr>
                <w:b/>
                <w:bCs/>
              </w:rPr>
              <w:t>溴甲烷</w:t>
            </w:r>
          </w:p>
        </w:tc>
        <w:tc>
          <w:tcPr>
            <w:tcW w:w="720" w:type="pct"/>
            <w:vAlign w:val="center"/>
          </w:tcPr>
          <w:p>
            <w:pPr>
              <w:pStyle w:val="24"/>
              <w:rPr>
                <w:b/>
                <w:bCs/>
              </w:rPr>
            </w:pPr>
            <w:r>
              <w:rPr>
                <w:b/>
                <w:bCs/>
              </w:rPr>
              <w:t>氯</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743" w:type="pct"/>
            <w:vAlign w:val="center"/>
          </w:tcPr>
          <w:p>
            <w:pPr>
              <w:pStyle w:val="24"/>
            </w:pPr>
            <w:r>
              <w:t>β</w:t>
            </w:r>
          </w:p>
        </w:tc>
        <w:tc>
          <w:tcPr>
            <w:tcW w:w="671" w:type="pct"/>
            <w:vAlign w:val="center"/>
          </w:tcPr>
          <w:p>
            <w:pPr>
              <w:pStyle w:val="24"/>
            </w:pPr>
            <w:r>
              <w:t>2</w:t>
            </w:r>
          </w:p>
        </w:tc>
        <w:tc>
          <w:tcPr>
            <w:tcW w:w="634" w:type="pct"/>
            <w:vAlign w:val="center"/>
          </w:tcPr>
          <w:p>
            <w:pPr>
              <w:pStyle w:val="24"/>
            </w:pPr>
            <w:r>
              <w:t>2</w:t>
            </w:r>
          </w:p>
        </w:tc>
        <w:tc>
          <w:tcPr>
            <w:tcW w:w="647" w:type="pct"/>
            <w:vAlign w:val="center"/>
          </w:tcPr>
          <w:p>
            <w:pPr>
              <w:pStyle w:val="24"/>
            </w:pPr>
            <w:r>
              <w:t>2</w:t>
            </w:r>
          </w:p>
        </w:tc>
        <w:tc>
          <w:tcPr>
            <w:tcW w:w="538" w:type="pct"/>
            <w:vAlign w:val="center"/>
          </w:tcPr>
          <w:p>
            <w:pPr>
              <w:pStyle w:val="24"/>
            </w:pPr>
            <w:r>
              <w:t>2</w:t>
            </w:r>
          </w:p>
        </w:tc>
        <w:tc>
          <w:tcPr>
            <w:tcW w:w="516" w:type="pct"/>
            <w:vAlign w:val="center"/>
          </w:tcPr>
          <w:p>
            <w:pPr>
              <w:pStyle w:val="24"/>
            </w:pPr>
            <w:r>
              <w:t>3</w:t>
            </w:r>
          </w:p>
        </w:tc>
        <w:tc>
          <w:tcPr>
            <w:tcW w:w="527" w:type="pct"/>
            <w:vAlign w:val="center"/>
          </w:tcPr>
          <w:p>
            <w:pPr>
              <w:pStyle w:val="24"/>
            </w:pPr>
            <w:r>
              <w:t>3</w:t>
            </w:r>
          </w:p>
        </w:tc>
        <w:tc>
          <w:tcPr>
            <w:tcW w:w="720" w:type="pct"/>
            <w:vAlign w:val="center"/>
          </w:tcPr>
          <w:p>
            <w:pPr>
              <w:pStyle w:val="24"/>
            </w:pPr>
            <w: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743" w:type="pct"/>
            <w:vAlign w:val="center"/>
          </w:tcPr>
          <w:p>
            <w:pPr>
              <w:pStyle w:val="24"/>
              <w:rPr>
                <w:b/>
                <w:bCs/>
              </w:rPr>
            </w:pPr>
            <w:r>
              <w:rPr>
                <w:b/>
                <w:bCs/>
              </w:rPr>
              <w:t>有毒气体名称</w:t>
            </w:r>
          </w:p>
        </w:tc>
        <w:tc>
          <w:tcPr>
            <w:tcW w:w="671" w:type="pct"/>
            <w:vAlign w:val="center"/>
          </w:tcPr>
          <w:p>
            <w:pPr>
              <w:pStyle w:val="24"/>
              <w:rPr>
                <w:b/>
                <w:bCs/>
              </w:rPr>
            </w:pPr>
            <w:r>
              <w:rPr>
                <w:b/>
                <w:bCs/>
              </w:rPr>
              <w:t>硫化氢</w:t>
            </w:r>
          </w:p>
        </w:tc>
        <w:tc>
          <w:tcPr>
            <w:tcW w:w="634" w:type="pct"/>
            <w:vAlign w:val="center"/>
          </w:tcPr>
          <w:p>
            <w:pPr>
              <w:pStyle w:val="24"/>
              <w:rPr>
                <w:b/>
                <w:bCs/>
              </w:rPr>
            </w:pPr>
            <w:r>
              <w:rPr>
                <w:b/>
                <w:bCs/>
              </w:rPr>
              <w:t>氟化氢</w:t>
            </w:r>
          </w:p>
        </w:tc>
        <w:tc>
          <w:tcPr>
            <w:tcW w:w="647" w:type="pct"/>
            <w:vAlign w:val="center"/>
          </w:tcPr>
          <w:p>
            <w:pPr>
              <w:pStyle w:val="24"/>
              <w:rPr>
                <w:b/>
                <w:bCs/>
              </w:rPr>
            </w:pPr>
            <w:r>
              <w:rPr>
                <w:b/>
                <w:bCs/>
              </w:rPr>
              <w:t>二氧化氮</w:t>
            </w:r>
          </w:p>
        </w:tc>
        <w:tc>
          <w:tcPr>
            <w:tcW w:w="538" w:type="pct"/>
            <w:vAlign w:val="center"/>
          </w:tcPr>
          <w:p>
            <w:pPr>
              <w:pStyle w:val="24"/>
              <w:rPr>
                <w:b/>
                <w:bCs/>
              </w:rPr>
            </w:pPr>
            <w:r>
              <w:rPr>
                <w:b/>
                <w:bCs/>
              </w:rPr>
              <w:t>氰化氢</w:t>
            </w:r>
          </w:p>
        </w:tc>
        <w:tc>
          <w:tcPr>
            <w:tcW w:w="516" w:type="pct"/>
            <w:vAlign w:val="center"/>
          </w:tcPr>
          <w:p>
            <w:pPr>
              <w:pStyle w:val="24"/>
              <w:rPr>
                <w:b/>
                <w:bCs/>
              </w:rPr>
            </w:pPr>
            <w:r>
              <w:rPr>
                <w:b/>
                <w:bCs/>
              </w:rPr>
              <w:t>碳酰氯</w:t>
            </w:r>
          </w:p>
        </w:tc>
        <w:tc>
          <w:tcPr>
            <w:tcW w:w="527" w:type="pct"/>
            <w:vAlign w:val="center"/>
          </w:tcPr>
          <w:p>
            <w:pPr>
              <w:pStyle w:val="24"/>
              <w:rPr>
                <w:b/>
                <w:bCs/>
              </w:rPr>
            </w:pPr>
            <w:r>
              <w:rPr>
                <w:b/>
                <w:bCs/>
              </w:rPr>
              <w:t>磷化氢</w:t>
            </w:r>
          </w:p>
        </w:tc>
        <w:tc>
          <w:tcPr>
            <w:tcW w:w="720" w:type="pct"/>
            <w:vAlign w:val="center"/>
          </w:tcPr>
          <w:p>
            <w:pPr>
              <w:pStyle w:val="24"/>
              <w:rPr>
                <w:b/>
                <w:bCs/>
              </w:rPr>
            </w:pPr>
            <w:r>
              <w:rPr>
                <w:b/>
                <w:bCs/>
              </w:rPr>
              <w:t>异氰酸甲酯</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743" w:type="pct"/>
            <w:vAlign w:val="center"/>
          </w:tcPr>
          <w:p>
            <w:pPr>
              <w:pStyle w:val="24"/>
            </w:pPr>
            <w:r>
              <w:t>β</w:t>
            </w:r>
          </w:p>
        </w:tc>
        <w:tc>
          <w:tcPr>
            <w:tcW w:w="671" w:type="pct"/>
            <w:vAlign w:val="center"/>
          </w:tcPr>
          <w:p>
            <w:pPr>
              <w:pStyle w:val="24"/>
            </w:pPr>
            <w:r>
              <w:t>5</w:t>
            </w:r>
          </w:p>
        </w:tc>
        <w:tc>
          <w:tcPr>
            <w:tcW w:w="634" w:type="pct"/>
            <w:vAlign w:val="center"/>
          </w:tcPr>
          <w:p>
            <w:pPr>
              <w:pStyle w:val="24"/>
            </w:pPr>
            <w:r>
              <w:t>5</w:t>
            </w:r>
          </w:p>
        </w:tc>
        <w:tc>
          <w:tcPr>
            <w:tcW w:w="647" w:type="pct"/>
            <w:vAlign w:val="center"/>
          </w:tcPr>
          <w:p>
            <w:pPr>
              <w:pStyle w:val="24"/>
            </w:pPr>
            <w:r>
              <w:t>10</w:t>
            </w:r>
          </w:p>
        </w:tc>
        <w:tc>
          <w:tcPr>
            <w:tcW w:w="538" w:type="pct"/>
            <w:vAlign w:val="center"/>
          </w:tcPr>
          <w:p>
            <w:pPr>
              <w:pStyle w:val="24"/>
            </w:pPr>
            <w:r>
              <w:t>10</w:t>
            </w:r>
          </w:p>
        </w:tc>
        <w:tc>
          <w:tcPr>
            <w:tcW w:w="516" w:type="pct"/>
            <w:vAlign w:val="center"/>
          </w:tcPr>
          <w:p>
            <w:pPr>
              <w:pStyle w:val="24"/>
            </w:pPr>
            <w:r>
              <w:t>20</w:t>
            </w:r>
          </w:p>
        </w:tc>
        <w:tc>
          <w:tcPr>
            <w:tcW w:w="527" w:type="pct"/>
            <w:vAlign w:val="center"/>
          </w:tcPr>
          <w:p>
            <w:pPr>
              <w:pStyle w:val="24"/>
            </w:pPr>
            <w:r>
              <w:t>20</w:t>
            </w:r>
          </w:p>
        </w:tc>
        <w:tc>
          <w:tcPr>
            <w:tcW w:w="720" w:type="pct"/>
            <w:vAlign w:val="center"/>
          </w:tcPr>
          <w:p>
            <w:pPr>
              <w:pStyle w:val="24"/>
            </w:pPr>
            <w:r>
              <w:t>20</w:t>
            </w:r>
          </w:p>
        </w:tc>
      </w:tr>
    </w:tbl>
    <w:p>
      <w:pPr>
        <w:pStyle w:val="26"/>
      </w:pPr>
      <w:r>
        <w:t>注：危险化学品类别依据《危险货物品名表》中分类标准确定。</w:t>
      </w:r>
    </w:p>
    <w:p>
      <w:pPr>
        <w:pStyle w:val="23"/>
      </w:pPr>
      <w:r>
        <w:t>附表</w:t>
      </w:r>
      <w:r>
        <w:rPr>
          <w:lang w:val="en-US"/>
        </w:rPr>
        <w:t>1.</w:t>
      </w:r>
      <w:r>
        <w:rPr>
          <w:rFonts w:hint="eastAsia"/>
          <w:lang w:val="en-US" w:eastAsia="zh-CN"/>
        </w:rPr>
        <w:t>4</w:t>
      </w:r>
      <w:r>
        <w:rPr>
          <w:lang w:val="en-US"/>
        </w:rPr>
        <w:t>-</w:t>
      </w:r>
      <w:r>
        <w:rPr>
          <w:rFonts w:hint="eastAsia"/>
          <w:lang w:val="en-US" w:eastAsia="zh-CN"/>
        </w:rPr>
        <w:t>7</w:t>
      </w:r>
      <w:r>
        <w:t xml:space="preserve"> </w:t>
      </w:r>
      <w:r>
        <w:rPr>
          <w:lang w:val="en-US"/>
        </w:rPr>
        <w:t xml:space="preserve"> </w:t>
      </w:r>
      <w:r>
        <w:t>未在上表中列举的危险化学品校正系数</w:t>
      </w:r>
      <w:r>
        <w:rPr>
          <w:i/>
        </w:rPr>
        <w:t>β</w:t>
      </w:r>
      <w:r>
        <w:t>值取值表</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158"/>
        <w:gridCol w:w="2880"/>
        <w:gridCol w:w="24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1853" w:type="pct"/>
            <w:vAlign w:val="center"/>
          </w:tcPr>
          <w:p>
            <w:pPr>
              <w:pStyle w:val="24"/>
              <w:rPr>
                <w:b/>
                <w:bCs/>
              </w:rPr>
            </w:pPr>
            <w:r>
              <w:rPr>
                <w:b/>
                <w:bCs/>
              </w:rPr>
              <w:t>类别</w:t>
            </w:r>
          </w:p>
        </w:tc>
        <w:tc>
          <w:tcPr>
            <w:tcW w:w="1690" w:type="pct"/>
            <w:vAlign w:val="center"/>
          </w:tcPr>
          <w:p>
            <w:pPr>
              <w:pStyle w:val="24"/>
              <w:rPr>
                <w:b/>
                <w:bCs/>
              </w:rPr>
            </w:pPr>
            <w:r>
              <w:rPr>
                <w:b/>
                <w:bCs/>
              </w:rPr>
              <w:t>符号</w:t>
            </w:r>
          </w:p>
        </w:tc>
        <w:tc>
          <w:tcPr>
            <w:tcW w:w="1455" w:type="pct"/>
            <w:vAlign w:val="center"/>
          </w:tcPr>
          <w:p>
            <w:pPr>
              <w:pStyle w:val="24"/>
              <w:rPr>
                <w:b/>
                <w:bCs/>
              </w:rPr>
            </w:pPr>
            <w:r>
              <w:rPr>
                <w:b/>
                <w:bCs/>
              </w:rPr>
              <w:t>校正系数β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restart"/>
            <w:vAlign w:val="center"/>
          </w:tcPr>
          <w:p>
            <w:pPr>
              <w:pStyle w:val="24"/>
            </w:pPr>
            <w:r>
              <w:t>急性毒性</w:t>
            </w:r>
          </w:p>
        </w:tc>
        <w:tc>
          <w:tcPr>
            <w:tcW w:w="1690" w:type="pct"/>
            <w:vAlign w:val="center"/>
          </w:tcPr>
          <w:p>
            <w:pPr>
              <w:pStyle w:val="24"/>
            </w:pPr>
            <w:r>
              <w:t>J1</w:t>
            </w:r>
          </w:p>
        </w:tc>
        <w:tc>
          <w:tcPr>
            <w:tcW w:w="1455" w:type="pct"/>
            <w:vAlign w:val="center"/>
          </w:tcPr>
          <w:p>
            <w:pPr>
              <w:pStyle w:val="24"/>
            </w:pPr>
            <w: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J2</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J3</w:t>
            </w:r>
          </w:p>
        </w:tc>
        <w:tc>
          <w:tcPr>
            <w:tcW w:w="1455" w:type="pct"/>
            <w:vAlign w:val="center"/>
          </w:tcPr>
          <w:p>
            <w:pPr>
              <w:pStyle w:val="24"/>
            </w:pPr>
            <w: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J4</w:t>
            </w:r>
          </w:p>
        </w:tc>
        <w:tc>
          <w:tcPr>
            <w:tcW w:w="1455" w:type="pct"/>
            <w:vAlign w:val="center"/>
          </w:tcPr>
          <w:p>
            <w:pPr>
              <w:pStyle w:val="24"/>
            </w:pPr>
            <w: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J5</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restart"/>
            <w:vAlign w:val="center"/>
          </w:tcPr>
          <w:p>
            <w:pPr>
              <w:pStyle w:val="24"/>
            </w:pPr>
            <w:r>
              <w:t>爆炸物</w:t>
            </w:r>
          </w:p>
        </w:tc>
        <w:tc>
          <w:tcPr>
            <w:tcW w:w="1690" w:type="pct"/>
            <w:vAlign w:val="center"/>
          </w:tcPr>
          <w:p>
            <w:pPr>
              <w:pStyle w:val="24"/>
            </w:pPr>
            <w:r>
              <w:t>W1.1</w:t>
            </w:r>
          </w:p>
        </w:tc>
        <w:tc>
          <w:tcPr>
            <w:tcW w:w="1455" w:type="pct"/>
            <w:vAlign w:val="center"/>
          </w:tcPr>
          <w:p>
            <w:pPr>
              <w:pStyle w:val="24"/>
            </w:pPr>
            <w: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W1.2</w:t>
            </w:r>
          </w:p>
        </w:tc>
        <w:tc>
          <w:tcPr>
            <w:tcW w:w="1455" w:type="pct"/>
            <w:vAlign w:val="center"/>
          </w:tcPr>
          <w:p>
            <w:pPr>
              <w:pStyle w:val="24"/>
            </w:pPr>
            <w: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W1.3</w:t>
            </w:r>
          </w:p>
        </w:tc>
        <w:tc>
          <w:tcPr>
            <w:tcW w:w="1455" w:type="pct"/>
            <w:vAlign w:val="center"/>
          </w:tcPr>
          <w:p>
            <w:pPr>
              <w:pStyle w:val="24"/>
            </w:pPr>
            <w: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Align w:val="center"/>
          </w:tcPr>
          <w:p>
            <w:pPr>
              <w:pStyle w:val="24"/>
            </w:pPr>
            <w:r>
              <w:t>易燃气体</w:t>
            </w:r>
          </w:p>
        </w:tc>
        <w:tc>
          <w:tcPr>
            <w:tcW w:w="1690" w:type="pct"/>
            <w:vAlign w:val="center"/>
          </w:tcPr>
          <w:p>
            <w:pPr>
              <w:pStyle w:val="24"/>
            </w:pPr>
            <w:r>
              <w:t>W2</w:t>
            </w:r>
          </w:p>
        </w:tc>
        <w:tc>
          <w:tcPr>
            <w:tcW w:w="1455" w:type="pct"/>
            <w:vAlign w:val="center"/>
          </w:tcPr>
          <w:p>
            <w:pPr>
              <w:pStyle w:val="24"/>
            </w:pPr>
            <w: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Align w:val="center"/>
          </w:tcPr>
          <w:p>
            <w:pPr>
              <w:pStyle w:val="24"/>
            </w:pPr>
            <w:r>
              <w:t>气溶胶</w:t>
            </w:r>
          </w:p>
        </w:tc>
        <w:tc>
          <w:tcPr>
            <w:tcW w:w="1690" w:type="pct"/>
            <w:vAlign w:val="center"/>
          </w:tcPr>
          <w:p>
            <w:pPr>
              <w:pStyle w:val="24"/>
            </w:pPr>
            <w:r>
              <w:t>W3</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Align w:val="center"/>
          </w:tcPr>
          <w:p>
            <w:pPr>
              <w:pStyle w:val="24"/>
            </w:pPr>
            <w:r>
              <w:t>氧化性气体</w:t>
            </w:r>
          </w:p>
        </w:tc>
        <w:tc>
          <w:tcPr>
            <w:tcW w:w="1690" w:type="pct"/>
            <w:vAlign w:val="center"/>
          </w:tcPr>
          <w:p>
            <w:pPr>
              <w:pStyle w:val="24"/>
            </w:pPr>
            <w:r>
              <w:t>W4</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restart"/>
            <w:vAlign w:val="center"/>
          </w:tcPr>
          <w:p>
            <w:pPr>
              <w:pStyle w:val="24"/>
            </w:pPr>
            <w:r>
              <w:t>易燃液体</w:t>
            </w:r>
          </w:p>
        </w:tc>
        <w:tc>
          <w:tcPr>
            <w:tcW w:w="1690" w:type="pct"/>
            <w:vAlign w:val="center"/>
          </w:tcPr>
          <w:p>
            <w:pPr>
              <w:pStyle w:val="24"/>
            </w:pPr>
            <w:r>
              <w:t>W5.1</w:t>
            </w:r>
          </w:p>
        </w:tc>
        <w:tc>
          <w:tcPr>
            <w:tcW w:w="1455" w:type="pct"/>
            <w:vAlign w:val="center"/>
          </w:tcPr>
          <w:p>
            <w:pPr>
              <w:pStyle w:val="24"/>
            </w:pPr>
            <w: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W5.2</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W5.3</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W5.4</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restart"/>
            <w:vAlign w:val="center"/>
          </w:tcPr>
          <w:p>
            <w:pPr>
              <w:pStyle w:val="24"/>
            </w:pPr>
            <w:r>
              <w:t>自反应物质和混合物</w:t>
            </w:r>
          </w:p>
        </w:tc>
        <w:tc>
          <w:tcPr>
            <w:tcW w:w="1690" w:type="pct"/>
            <w:vAlign w:val="center"/>
          </w:tcPr>
          <w:p>
            <w:pPr>
              <w:pStyle w:val="24"/>
            </w:pPr>
            <w:r>
              <w:t>W6.1</w:t>
            </w:r>
          </w:p>
        </w:tc>
        <w:tc>
          <w:tcPr>
            <w:tcW w:w="1455" w:type="pct"/>
            <w:vAlign w:val="center"/>
          </w:tcPr>
          <w:p>
            <w:pPr>
              <w:pStyle w:val="24"/>
            </w:pPr>
            <w: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W6.2</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restart"/>
            <w:vAlign w:val="center"/>
          </w:tcPr>
          <w:p>
            <w:pPr>
              <w:pStyle w:val="24"/>
            </w:pPr>
            <w:r>
              <w:t>有机过氧化物</w:t>
            </w:r>
          </w:p>
        </w:tc>
        <w:tc>
          <w:tcPr>
            <w:tcW w:w="1690" w:type="pct"/>
            <w:vAlign w:val="center"/>
          </w:tcPr>
          <w:p>
            <w:pPr>
              <w:pStyle w:val="24"/>
            </w:pPr>
            <w:r>
              <w:t>W7.1</w:t>
            </w:r>
          </w:p>
        </w:tc>
        <w:tc>
          <w:tcPr>
            <w:tcW w:w="1455" w:type="pct"/>
            <w:vAlign w:val="center"/>
          </w:tcPr>
          <w:p>
            <w:pPr>
              <w:pStyle w:val="24"/>
            </w:pPr>
            <w: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W7.2</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Align w:val="center"/>
          </w:tcPr>
          <w:p>
            <w:pPr>
              <w:pStyle w:val="24"/>
            </w:pPr>
            <w:r>
              <w:t>自燃液体和自燃固体</w:t>
            </w:r>
          </w:p>
        </w:tc>
        <w:tc>
          <w:tcPr>
            <w:tcW w:w="1690" w:type="pct"/>
            <w:vAlign w:val="center"/>
          </w:tcPr>
          <w:p>
            <w:pPr>
              <w:pStyle w:val="24"/>
            </w:pPr>
            <w:r>
              <w:t>W8</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restart"/>
            <w:vAlign w:val="center"/>
          </w:tcPr>
          <w:p>
            <w:pPr>
              <w:pStyle w:val="24"/>
            </w:pPr>
            <w:r>
              <w:t>氧化性固体和液体</w:t>
            </w:r>
          </w:p>
        </w:tc>
        <w:tc>
          <w:tcPr>
            <w:tcW w:w="1690" w:type="pct"/>
            <w:vAlign w:val="center"/>
          </w:tcPr>
          <w:p>
            <w:pPr>
              <w:pStyle w:val="24"/>
            </w:pPr>
            <w:r>
              <w:t>W9.1</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Merge w:val="continue"/>
            <w:vAlign w:val="center"/>
          </w:tcPr>
          <w:p>
            <w:pPr>
              <w:pStyle w:val="24"/>
            </w:pPr>
          </w:p>
        </w:tc>
        <w:tc>
          <w:tcPr>
            <w:tcW w:w="1690" w:type="pct"/>
            <w:vAlign w:val="center"/>
          </w:tcPr>
          <w:p>
            <w:pPr>
              <w:pStyle w:val="24"/>
            </w:pPr>
            <w:r>
              <w:t>W9.2</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Align w:val="center"/>
          </w:tcPr>
          <w:p>
            <w:pPr>
              <w:pStyle w:val="24"/>
            </w:pPr>
            <w:r>
              <w:t>易燃固体</w:t>
            </w:r>
          </w:p>
        </w:tc>
        <w:tc>
          <w:tcPr>
            <w:tcW w:w="1690" w:type="pct"/>
            <w:vAlign w:val="center"/>
          </w:tcPr>
          <w:p>
            <w:pPr>
              <w:pStyle w:val="24"/>
            </w:pPr>
            <w:r>
              <w:t>W10</w:t>
            </w:r>
          </w:p>
        </w:tc>
        <w:tc>
          <w:tcPr>
            <w:tcW w:w="1455" w:type="pct"/>
            <w:vAlign w:val="center"/>
          </w:tcPr>
          <w:p>
            <w:pPr>
              <w:pStyle w:val="24"/>
            </w:pPr>
            <w: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853" w:type="pct"/>
            <w:vAlign w:val="center"/>
          </w:tcPr>
          <w:p>
            <w:pPr>
              <w:pStyle w:val="24"/>
            </w:pPr>
            <w:r>
              <w:t>遇水放出易燃气体的物质和混合物</w:t>
            </w:r>
          </w:p>
        </w:tc>
        <w:tc>
          <w:tcPr>
            <w:tcW w:w="1690" w:type="pct"/>
            <w:vAlign w:val="center"/>
          </w:tcPr>
          <w:p>
            <w:pPr>
              <w:pStyle w:val="24"/>
            </w:pPr>
            <w:r>
              <w:t>W11</w:t>
            </w:r>
          </w:p>
        </w:tc>
        <w:tc>
          <w:tcPr>
            <w:tcW w:w="1455" w:type="pct"/>
            <w:vAlign w:val="center"/>
          </w:tcPr>
          <w:p>
            <w:pPr>
              <w:pStyle w:val="24"/>
            </w:pPr>
            <w:r>
              <w:t>1</w:t>
            </w:r>
          </w:p>
        </w:tc>
      </w:tr>
    </w:tbl>
    <w:p>
      <w:pPr>
        <w:pStyle w:val="6"/>
        <w:spacing w:before="156" w:beforeLines="50"/>
        <w:ind w:firstLine="560"/>
      </w:pPr>
      <w:bookmarkStart w:id="106" w:name="_Toc13074"/>
      <w:bookmarkStart w:id="107" w:name="_Toc580"/>
      <w:r>
        <w:t>（4）校正系数α的取值</w:t>
      </w:r>
      <w:bookmarkEnd w:id="106"/>
      <w:bookmarkEnd w:id="107"/>
    </w:p>
    <w:p>
      <w:pPr>
        <w:pStyle w:val="6"/>
        <w:ind w:firstLine="560"/>
      </w:pPr>
      <w:r>
        <w:t>α—该危险化学品重大危险源厂区外暴露人员的校正系数，根据重大危险源的厂区边界向外扩展500米范围内常住人口数量，校正系数α取值见下附表</w:t>
      </w:r>
      <w:r>
        <w:rPr>
          <w:lang w:val="en-US"/>
        </w:rPr>
        <w:t>1.</w:t>
      </w:r>
      <w:r>
        <w:rPr>
          <w:rFonts w:hint="eastAsia"/>
          <w:lang w:val="en-US" w:eastAsia="zh-CN"/>
        </w:rPr>
        <w:t>4</w:t>
      </w:r>
      <w:r>
        <w:rPr>
          <w:lang w:val="en-US"/>
        </w:rPr>
        <w:t>-</w:t>
      </w:r>
      <w:r>
        <w:rPr>
          <w:rFonts w:hint="eastAsia"/>
          <w:lang w:val="en-US" w:eastAsia="zh-CN"/>
        </w:rPr>
        <w:t>8</w:t>
      </w:r>
      <w:r>
        <w:t>：</w:t>
      </w:r>
    </w:p>
    <w:p>
      <w:pPr>
        <w:pStyle w:val="23"/>
      </w:pPr>
      <w:r>
        <w:t>附表</w:t>
      </w:r>
      <w:r>
        <w:rPr>
          <w:lang w:val="en-US"/>
        </w:rPr>
        <w:t>1.</w:t>
      </w:r>
      <w:r>
        <w:rPr>
          <w:rFonts w:hint="eastAsia"/>
          <w:lang w:val="en-US" w:eastAsia="zh-CN"/>
        </w:rPr>
        <w:t>4</w:t>
      </w:r>
      <w:r>
        <w:rPr>
          <w:lang w:val="en-US"/>
        </w:rPr>
        <w:t>-</w:t>
      </w:r>
      <w:r>
        <w:rPr>
          <w:rFonts w:hint="eastAsia"/>
          <w:lang w:val="en-US" w:eastAsia="zh-CN"/>
        </w:rPr>
        <w:t>8</w:t>
      </w:r>
      <w:r>
        <w:rPr>
          <w:lang w:val="en-US"/>
        </w:rPr>
        <w:t xml:space="preserve">  </w:t>
      </w:r>
      <w:r>
        <w:t>校正系数α取值表</w:t>
      </w:r>
    </w:p>
    <w:tbl>
      <w:tblPr>
        <w:tblStyle w:val="1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2274"/>
        <w:gridCol w:w="1152"/>
        <w:gridCol w:w="1272"/>
        <w:gridCol w:w="1272"/>
        <w:gridCol w:w="1272"/>
        <w:gridCol w:w="127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63" w:hRule="exact"/>
        </w:trPr>
        <w:tc>
          <w:tcPr>
            <w:tcW w:w="1334" w:type="pct"/>
            <w:vAlign w:val="center"/>
          </w:tcPr>
          <w:p>
            <w:pPr>
              <w:pStyle w:val="24"/>
              <w:rPr>
                <w:b/>
                <w:bCs/>
              </w:rPr>
            </w:pPr>
            <w:r>
              <w:rPr>
                <w:b/>
                <w:bCs/>
              </w:rPr>
              <w:t>厂外可能暴露人员数量</w:t>
            </w:r>
          </w:p>
        </w:tc>
        <w:tc>
          <w:tcPr>
            <w:tcW w:w="676" w:type="pct"/>
            <w:vAlign w:val="center"/>
          </w:tcPr>
          <w:p>
            <w:pPr>
              <w:pStyle w:val="24"/>
              <w:rPr>
                <w:b/>
                <w:bCs/>
              </w:rPr>
            </w:pPr>
            <w:r>
              <w:rPr>
                <w:b/>
                <w:bCs/>
              </w:rPr>
              <w:t>100人以上</w:t>
            </w:r>
          </w:p>
        </w:tc>
        <w:tc>
          <w:tcPr>
            <w:tcW w:w="746" w:type="pct"/>
            <w:vAlign w:val="center"/>
          </w:tcPr>
          <w:p>
            <w:pPr>
              <w:pStyle w:val="24"/>
              <w:rPr>
                <w:b/>
                <w:bCs/>
              </w:rPr>
            </w:pPr>
            <w:r>
              <w:rPr>
                <w:b/>
                <w:bCs/>
              </w:rPr>
              <w:t>50～99人</w:t>
            </w:r>
          </w:p>
        </w:tc>
        <w:tc>
          <w:tcPr>
            <w:tcW w:w="746" w:type="pct"/>
            <w:vAlign w:val="center"/>
          </w:tcPr>
          <w:p>
            <w:pPr>
              <w:pStyle w:val="24"/>
              <w:rPr>
                <w:b/>
                <w:bCs/>
              </w:rPr>
            </w:pPr>
            <w:r>
              <w:rPr>
                <w:b/>
                <w:bCs/>
              </w:rPr>
              <w:t>30～49人</w:t>
            </w:r>
          </w:p>
        </w:tc>
        <w:tc>
          <w:tcPr>
            <w:tcW w:w="746" w:type="pct"/>
            <w:vAlign w:val="center"/>
          </w:tcPr>
          <w:p>
            <w:pPr>
              <w:pStyle w:val="24"/>
              <w:rPr>
                <w:b/>
                <w:bCs/>
              </w:rPr>
            </w:pPr>
            <w:r>
              <w:rPr>
                <w:b/>
                <w:bCs/>
              </w:rPr>
              <w:t>1～29人</w:t>
            </w:r>
          </w:p>
        </w:tc>
        <w:tc>
          <w:tcPr>
            <w:tcW w:w="748" w:type="pct"/>
            <w:vAlign w:val="center"/>
          </w:tcPr>
          <w:p>
            <w:pPr>
              <w:pStyle w:val="24"/>
              <w:rPr>
                <w:b/>
                <w:bCs/>
              </w:rPr>
            </w:pPr>
            <w:r>
              <w:rPr>
                <w:b/>
                <w:bCs/>
              </w:rPr>
              <w:t>0人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exact"/>
        </w:trPr>
        <w:tc>
          <w:tcPr>
            <w:tcW w:w="1334" w:type="pct"/>
            <w:vAlign w:val="center"/>
          </w:tcPr>
          <w:p>
            <w:pPr>
              <w:pStyle w:val="24"/>
            </w:pPr>
            <w:r>
              <w:rPr>
                <w:b/>
                <w:bCs/>
              </w:rPr>
              <w:t>α</w:t>
            </w:r>
          </w:p>
        </w:tc>
        <w:tc>
          <w:tcPr>
            <w:tcW w:w="676" w:type="pct"/>
            <w:vAlign w:val="center"/>
          </w:tcPr>
          <w:p>
            <w:pPr>
              <w:pStyle w:val="24"/>
            </w:pPr>
            <w:r>
              <w:t>2.0</w:t>
            </w:r>
          </w:p>
        </w:tc>
        <w:tc>
          <w:tcPr>
            <w:tcW w:w="746" w:type="pct"/>
            <w:vAlign w:val="center"/>
          </w:tcPr>
          <w:p>
            <w:pPr>
              <w:pStyle w:val="24"/>
            </w:pPr>
            <w:r>
              <w:t>1.5</w:t>
            </w:r>
          </w:p>
        </w:tc>
        <w:tc>
          <w:tcPr>
            <w:tcW w:w="746" w:type="pct"/>
            <w:vAlign w:val="center"/>
          </w:tcPr>
          <w:p>
            <w:pPr>
              <w:pStyle w:val="24"/>
            </w:pPr>
            <w:r>
              <w:t>1.2</w:t>
            </w:r>
          </w:p>
        </w:tc>
        <w:tc>
          <w:tcPr>
            <w:tcW w:w="746" w:type="pct"/>
            <w:vAlign w:val="center"/>
          </w:tcPr>
          <w:p>
            <w:pPr>
              <w:pStyle w:val="24"/>
            </w:pPr>
            <w:r>
              <w:t>1.0</w:t>
            </w:r>
          </w:p>
        </w:tc>
        <w:tc>
          <w:tcPr>
            <w:tcW w:w="748" w:type="pct"/>
            <w:vAlign w:val="center"/>
          </w:tcPr>
          <w:p>
            <w:pPr>
              <w:pStyle w:val="24"/>
            </w:pPr>
            <w:r>
              <w:t>0.5</w:t>
            </w:r>
          </w:p>
        </w:tc>
      </w:tr>
    </w:tbl>
    <w:p>
      <w:pPr>
        <w:pStyle w:val="6"/>
        <w:spacing w:before="156" w:beforeLines="50"/>
        <w:ind w:firstLine="560"/>
      </w:pPr>
      <w:bookmarkStart w:id="108" w:name="_Toc7456"/>
      <w:bookmarkStart w:id="109" w:name="_Toc21110"/>
      <w:r>
        <w:t>（5）分级标准</w:t>
      </w:r>
      <w:bookmarkEnd w:id="108"/>
      <w:bookmarkEnd w:id="109"/>
    </w:p>
    <w:p>
      <w:pPr>
        <w:pStyle w:val="6"/>
        <w:ind w:firstLine="560"/>
      </w:pPr>
      <w:r>
        <w:t>根据计算出来的R值，按下表确定危险化学品重大危险源级别。</w:t>
      </w:r>
    </w:p>
    <w:p>
      <w:r>
        <w:br w:type="page"/>
      </w:r>
    </w:p>
    <w:p>
      <w:pPr>
        <w:pStyle w:val="23"/>
      </w:pPr>
      <w:r>
        <w:t>附表</w:t>
      </w:r>
      <w:r>
        <w:rPr>
          <w:lang w:val="en-US"/>
        </w:rPr>
        <w:t>1.</w:t>
      </w:r>
      <w:r>
        <w:rPr>
          <w:rFonts w:hint="eastAsia"/>
          <w:lang w:val="en-US" w:eastAsia="zh-CN"/>
        </w:rPr>
        <w:t>4</w:t>
      </w:r>
      <w:r>
        <w:rPr>
          <w:lang w:val="en-US"/>
        </w:rPr>
        <w:t>-</w:t>
      </w:r>
      <w:r>
        <w:rPr>
          <w:rFonts w:hint="eastAsia"/>
          <w:lang w:val="en-US" w:eastAsia="zh-CN"/>
        </w:rPr>
        <w:t>9</w:t>
      </w:r>
      <w:r>
        <w:t>危险化学品重大危险源级别和R值的对应关系</w:t>
      </w:r>
    </w:p>
    <w:tbl>
      <w:tblPr>
        <w:tblStyle w:val="19"/>
        <w:tblW w:w="499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3838"/>
        <w:gridCol w:w="468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2252" w:type="pct"/>
            <w:vAlign w:val="center"/>
          </w:tcPr>
          <w:p>
            <w:pPr>
              <w:pStyle w:val="24"/>
              <w:rPr>
                <w:b/>
                <w:bCs/>
              </w:rPr>
            </w:pPr>
            <w:r>
              <w:rPr>
                <w:b/>
                <w:bCs/>
              </w:rPr>
              <w:t>危险化学品重大危险源级别</w:t>
            </w:r>
          </w:p>
        </w:tc>
        <w:tc>
          <w:tcPr>
            <w:tcW w:w="2747" w:type="pct"/>
            <w:vAlign w:val="center"/>
          </w:tcPr>
          <w:p>
            <w:pPr>
              <w:pStyle w:val="24"/>
              <w:rPr>
                <w:b/>
                <w:bCs/>
              </w:rPr>
            </w:pPr>
            <w:r>
              <w:rPr>
                <w:b/>
                <w:bCs/>
              </w:rPr>
              <w:t>R值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2252" w:type="pct"/>
            <w:vAlign w:val="center"/>
          </w:tcPr>
          <w:p>
            <w:pPr>
              <w:pStyle w:val="24"/>
              <w:rPr>
                <w:b/>
                <w:bCs/>
              </w:rPr>
            </w:pPr>
            <w:r>
              <w:rPr>
                <w:b/>
                <w:bCs/>
              </w:rPr>
              <w:t>一级</w:t>
            </w:r>
          </w:p>
        </w:tc>
        <w:tc>
          <w:tcPr>
            <w:tcW w:w="2747" w:type="pct"/>
            <w:vAlign w:val="center"/>
          </w:tcPr>
          <w:p>
            <w:pPr>
              <w:pStyle w:val="24"/>
            </w:pPr>
            <w:r>
              <w:t>R≥100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2252" w:type="pct"/>
            <w:vAlign w:val="center"/>
          </w:tcPr>
          <w:p>
            <w:pPr>
              <w:pStyle w:val="24"/>
              <w:rPr>
                <w:b/>
                <w:bCs/>
              </w:rPr>
            </w:pPr>
            <w:r>
              <w:rPr>
                <w:b/>
                <w:bCs/>
              </w:rPr>
              <w:t>二级</w:t>
            </w:r>
          </w:p>
        </w:tc>
        <w:tc>
          <w:tcPr>
            <w:tcW w:w="2747" w:type="pct"/>
            <w:vAlign w:val="center"/>
          </w:tcPr>
          <w:p>
            <w:pPr>
              <w:pStyle w:val="24"/>
            </w:pPr>
            <w:r>
              <w:t>50≤R＜100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2252" w:type="pct"/>
            <w:vAlign w:val="center"/>
          </w:tcPr>
          <w:p>
            <w:pPr>
              <w:pStyle w:val="24"/>
              <w:rPr>
                <w:b/>
                <w:bCs/>
              </w:rPr>
            </w:pPr>
            <w:r>
              <w:rPr>
                <w:b/>
                <w:bCs/>
              </w:rPr>
              <w:t>三级</w:t>
            </w:r>
          </w:p>
        </w:tc>
        <w:tc>
          <w:tcPr>
            <w:tcW w:w="2747" w:type="pct"/>
            <w:vAlign w:val="center"/>
          </w:tcPr>
          <w:p>
            <w:pPr>
              <w:pStyle w:val="24"/>
            </w:pPr>
            <w:r>
              <w:t>10≤R＜50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2252" w:type="pct"/>
            <w:vAlign w:val="center"/>
          </w:tcPr>
          <w:p>
            <w:pPr>
              <w:pStyle w:val="24"/>
              <w:rPr>
                <w:b/>
                <w:bCs/>
              </w:rPr>
            </w:pPr>
            <w:r>
              <w:rPr>
                <w:b/>
                <w:bCs/>
              </w:rPr>
              <w:t>四级</w:t>
            </w:r>
          </w:p>
        </w:tc>
        <w:tc>
          <w:tcPr>
            <w:tcW w:w="2747" w:type="pct"/>
            <w:vAlign w:val="center"/>
          </w:tcPr>
          <w:p>
            <w:pPr>
              <w:pStyle w:val="24"/>
            </w:pPr>
            <w:r>
              <w:t>R＜10</w:t>
            </w:r>
          </w:p>
        </w:tc>
      </w:tr>
    </w:tbl>
    <w:p>
      <w:pPr>
        <w:pStyle w:val="6"/>
        <w:spacing w:before="156" w:beforeLines="50"/>
        <w:ind w:firstLine="560"/>
      </w:pPr>
      <w:r>
        <w:t>根据计算出来的R值，按下表确定危险化学品重大危险源的级别。</w:t>
      </w:r>
    </w:p>
    <w:p>
      <w:pPr>
        <w:pStyle w:val="6"/>
        <w:ind w:firstLine="560"/>
      </w:pPr>
      <w:r>
        <w:t>该厂区边界向外扩展500m范围内常住人口数量为100人以上，校正系数α值2.0。</w:t>
      </w:r>
    </w:p>
    <w:p>
      <w:pPr>
        <w:pStyle w:val="4"/>
        <w:spacing w:before="62" w:after="62"/>
      </w:pPr>
      <w:r>
        <w:t>F1.</w:t>
      </w:r>
      <w:r>
        <w:rPr>
          <w:rFonts w:hint="eastAsia"/>
        </w:rPr>
        <w:t>4</w:t>
      </w:r>
      <w:r>
        <w:t>.4 重大危险源分级过程</w:t>
      </w:r>
    </w:p>
    <w:p>
      <w:pPr>
        <w:pStyle w:val="6"/>
        <w:ind w:firstLine="560"/>
      </w:pPr>
      <w:r>
        <w:t>危险化学品重大危险源分级R值计算见下表：</w:t>
      </w:r>
    </w:p>
    <w:p>
      <w:pPr>
        <w:kinsoku w:val="0"/>
        <w:overflowPunct w:val="0"/>
        <w:adjustRightInd w:val="0"/>
        <w:snapToGrid w:val="0"/>
        <w:spacing w:before="40"/>
        <w:ind w:firstLine="482"/>
        <w:jc w:val="center"/>
        <w:rPr>
          <w:rFonts w:ascii="Times New Roman" w:hAnsi="Times New Roman" w:cs="Times New Roman"/>
          <w:b/>
          <w:bCs/>
          <w:sz w:val="24"/>
        </w:rPr>
      </w:pPr>
      <w:r>
        <w:rPr>
          <w:rFonts w:ascii="Times New Roman" w:hAnsi="Times New Roman" w:cs="Times New Roman"/>
          <w:b/>
          <w:bCs/>
          <w:sz w:val="24"/>
        </w:rPr>
        <w:t>附表</w:t>
      </w:r>
      <w:r>
        <w:rPr>
          <w:rFonts w:hint="eastAsia" w:ascii="Times New Roman" w:hAnsi="Times New Roman" w:cs="Times New Roman"/>
          <w:b/>
          <w:bCs/>
          <w:sz w:val="24"/>
          <w:lang w:val="en-US" w:eastAsia="zh-CN"/>
        </w:rPr>
        <w:t>1.4</w:t>
      </w:r>
      <w:r>
        <w:rPr>
          <w:rFonts w:ascii="Times New Roman" w:hAnsi="Times New Roman" w:cs="Times New Roman"/>
          <w:b/>
          <w:bCs/>
          <w:sz w:val="24"/>
        </w:rPr>
        <w:t>-</w:t>
      </w:r>
      <w:r>
        <w:rPr>
          <w:rFonts w:hint="eastAsia" w:ascii="Times New Roman" w:hAnsi="Times New Roman" w:cs="Times New Roman"/>
          <w:b/>
          <w:bCs/>
          <w:sz w:val="24"/>
          <w:lang w:val="en-US" w:eastAsia="zh-CN"/>
        </w:rPr>
        <w:t>10  本项目</w:t>
      </w:r>
      <w:r>
        <w:rPr>
          <w:rFonts w:ascii="Times New Roman" w:hAnsi="Times New Roman" w:cs="Times New Roman"/>
          <w:b/>
          <w:bCs/>
          <w:sz w:val="24"/>
        </w:rPr>
        <w:t>重</w:t>
      </w:r>
      <w:r>
        <w:rPr>
          <w:rFonts w:ascii="Times New Roman" w:hAnsi="Times New Roman" w:cs="Times New Roman"/>
          <w:b/>
          <w:bCs/>
          <w:spacing w:val="2"/>
          <w:sz w:val="24"/>
        </w:rPr>
        <w:t>大</w:t>
      </w:r>
      <w:r>
        <w:rPr>
          <w:rFonts w:ascii="Times New Roman" w:hAnsi="Times New Roman" w:cs="Times New Roman"/>
          <w:b/>
          <w:bCs/>
          <w:sz w:val="24"/>
        </w:rPr>
        <w:t>危</w:t>
      </w:r>
      <w:r>
        <w:rPr>
          <w:rFonts w:ascii="Times New Roman" w:hAnsi="Times New Roman" w:cs="Times New Roman"/>
          <w:b/>
          <w:bCs/>
          <w:spacing w:val="2"/>
          <w:sz w:val="24"/>
        </w:rPr>
        <w:t>险</w:t>
      </w:r>
      <w:r>
        <w:rPr>
          <w:rFonts w:ascii="Times New Roman" w:hAnsi="Times New Roman" w:cs="Times New Roman"/>
          <w:b/>
          <w:bCs/>
          <w:sz w:val="24"/>
        </w:rPr>
        <w:t>源分</w:t>
      </w:r>
      <w:r>
        <w:rPr>
          <w:rFonts w:ascii="Times New Roman" w:hAnsi="Times New Roman" w:cs="Times New Roman"/>
          <w:b/>
          <w:bCs/>
          <w:spacing w:val="2"/>
          <w:sz w:val="24"/>
        </w:rPr>
        <w:t>级</w:t>
      </w:r>
      <w:r>
        <w:rPr>
          <w:rFonts w:ascii="Times New Roman" w:hAnsi="Times New Roman" w:cs="Times New Roman"/>
          <w:b/>
          <w:bCs/>
          <w:sz w:val="24"/>
        </w:rPr>
        <w:t>取</w:t>
      </w:r>
      <w:r>
        <w:rPr>
          <w:rFonts w:ascii="Times New Roman" w:hAnsi="Times New Roman" w:cs="Times New Roman"/>
          <w:b/>
          <w:bCs/>
          <w:spacing w:val="2"/>
          <w:sz w:val="24"/>
        </w:rPr>
        <w:t>值</w:t>
      </w:r>
      <w:r>
        <w:rPr>
          <w:rFonts w:ascii="Times New Roman" w:hAnsi="Times New Roman" w:cs="Times New Roman"/>
          <w:b/>
          <w:bCs/>
          <w:sz w:val="24"/>
        </w:rPr>
        <w:t>表</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41"/>
        <w:gridCol w:w="1481"/>
        <w:gridCol w:w="1331"/>
        <w:gridCol w:w="1125"/>
        <w:gridCol w:w="1126"/>
        <w:gridCol w:w="18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4" w:type="pct"/>
            <w:vAlign w:val="center"/>
          </w:tcPr>
          <w:p>
            <w:pPr>
              <w:widowControl w:val="0"/>
              <w:ind w:firstLine="0" w:firstLineChars="0"/>
              <w:jc w:val="center"/>
              <w:rPr>
                <w:rFonts w:ascii="Times New Roman" w:hAnsi="Times New Roman" w:eastAsia="宋体" w:cs="Times New Roman"/>
                <w:b/>
                <w:bCs/>
                <w:color w:val="000000"/>
                <w:kern w:val="2"/>
                <w:sz w:val="21"/>
                <w:szCs w:val="21"/>
                <w:lang w:val="en-US" w:eastAsia="zh-CN" w:bidi="ar-SA"/>
              </w:rPr>
            </w:pPr>
            <w:r>
              <w:rPr>
                <w:rFonts w:ascii="Times New Roman" w:hAnsi="Times New Roman" w:eastAsia="宋体" w:cs="Times New Roman"/>
                <w:b/>
                <w:bCs/>
                <w:color w:val="000000"/>
                <w:kern w:val="2"/>
                <w:sz w:val="21"/>
                <w:szCs w:val="21"/>
                <w:lang w:val="en-US" w:eastAsia="zh-CN" w:bidi="ar-SA"/>
              </w:rPr>
              <w:t>物质</w:t>
            </w:r>
          </w:p>
        </w:tc>
        <w:tc>
          <w:tcPr>
            <w:tcW w:w="869" w:type="pct"/>
            <w:vAlign w:val="center"/>
          </w:tcPr>
          <w:p>
            <w:pPr>
              <w:widowControl w:val="0"/>
              <w:ind w:firstLine="0" w:firstLineChars="0"/>
              <w:jc w:val="center"/>
              <w:rPr>
                <w:rFonts w:ascii="Times New Roman" w:hAnsi="Times New Roman" w:eastAsia="宋体" w:cs="Times New Roman"/>
                <w:b/>
                <w:bCs/>
                <w:color w:val="000000"/>
                <w:kern w:val="2"/>
                <w:sz w:val="21"/>
                <w:szCs w:val="21"/>
                <w:lang w:val="en-US" w:eastAsia="zh-CN" w:bidi="ar-SA"/>
              </w:rPr>
            </w:pPr>
            <w:r>
              <w:rPr>
                <w:rFonts w:ascii="Times New Roman" w:hAnsi="Times New Roman" w:eastAsia="宋体" w:cs="Times New Roman"/>
                <w:b/>
                <w:bCs/>
                <w:color w:val="000000"/>
                <w:kern w:val="2"/>
                <w:sz w:val="21"/>
                <w:szCs w:val="21"/>
                <w:lang w:val="en-US" w:eastAsia="zh-CN" w:bidi="ar-SA"/>
              </w:rPr>
              <w:t>数量（t）</w:t>
            </w:r>
          </w:p>
        </w:tc>
        <w:tc>
          <w:tcPr>
            <w:tcW w:w="781" w:type="pct"/>
            <w:vAlign w:val="center"/>
          </w:tcPr>
          <w:p>
            <w:pPr>
              <w:widowControl w:val="0"/>
              <w:ind w:firstLine="0" w:firstLineChars="0"/>
              <w:jc w:val="center"/>
              <w:rPr>
                <w:rFonts w:ascii="Times New Roman" w:hAnsi="Times New Roman" w:eastAsia="宋体" w:cs="Times New Roman"/>
                <w:b/>
                <w:bCs/>
                <w:color w:val="000000"/>
                <w:kern w:val="2"/>
                <w:sz w:val="21"/>
                <w:szCs w:val="21"/>
                <w:lang w:val="en-US" w:eastAsia="zh-CN" w:bidi="ar-SA"/>
              </w:rPr>
            </w:pPr>
            <w:r>
              <w:rPr>
                <w:rFonts w:ascii="Times New Roman" w:hAnsi="Times New Roman" w:eastAsia="宋体" w:cs="Times New Roman"/>
                <w:b/>
                <w:bCs/>
                <w:color w:val="000000"/>
                <w:kern w:val="2"/>
                <w:sz w:val="21"/>
                <w:szCs w:val="21"/>
                <w:lang w:val="en-US" w:eastAsia="zh-CN" w:bidi="ar-SA"/>
              </w:rPr>
              <w:t>临界量/t</w:t>
            </w:r>
          </w:p>
        </w:tc>
        <w:tc>
          <w:tcPr>
            <w:tcW w:w="660" w:type="pct"/>
            <w:vAlign w:val="center"/>
          </w:tcPr>
          <w:p>
            <w:pPr>
              <w:widowControl w:val="0"/>
              <w:ind w:firstLine="0" w:firstLineChars="0"/>
              <w:jc w:val="center"/>
              <w:rPr>
                <w:rFonts w:ascii="Times New Roman" w:hAnsi="Times New Roman" w:eastAsia="宋体" w:cs="Times New Roman"/>
                <w:b/>
                <w:bCs/>
                <w:color w:val="000000"/>
                <w:kern w:val="2"/>
                <w:sz w:val="21"/>
                <w:szCs w:val="21"/>
                <w:lang w:val="en-US" w:eastAsia="zh-CN" w:bidi="ar-SA"/>
              </w:rPr>
            </w:pPr>
            <w:r>
              <w:rPr>
                <w:rFonts w:ascii="Times New Roman" w:hAnsi="Times New Roman" w:eastAsia="宋体" w:cs="Times New Roman"/>
                <w:b/>
                <w:bCs/>
                <w:color w:val="000000"/>
                <w:kern w:val="2"/>
                <w:sz w:val="21"/>
                <w:szCs w:val="21"/>
                <w:lang w:val="en-US" w:eastAsia="zh-CN" w:bidi="ar-SA"/>
              </w:rPr>
              <w:t>q/Q</w:t>
            </w:r>
          </w:p>
        </w:tc>
        <w:tc>
          <w:tcPr>
            <w:tcW w:w="659" w:type="pct"/>
            <w:vAlign w:val="center"/>
          </w:tcPr>
          <w:p>
            <w:pPr>
              <w:widowControl w:val="0"/>
              <w:ind w:firstLine="0" w:firstLineChars="0"/>
              <w:jc w:val="center"/>
              <w:rPr>
                <w:rFonts w:ascii="Times New Roman" w:hAnsi="Times New Roman" w:eastAsia="宋体" w:cs="Times New Roman"/>
                <w:b/>
                <w:bCs/>
                <w:color w:val="000000"/>
                <w:kern w:val="2"/>
                <w:sz w:val="21"/>
                <w:szCs w:val="21"/>
                <w:lang w:val="en-US" w:eastAsia="zh-CN" w:bidi="ar-SA"/>
              </w:rPr>
            </w:pPr>
            <w:r>
              <w:rPr>
                <w:rFonts w:ascii="Times New Roman" w:hAnsi="Times New Roman" w:eastAsia="宋体" w:cs="Times New Roman"/>
                <w:b/>
                <w:bCs/>
                <w:color w:val="000000"/>
                <w:kern w:val="2"/>
                <w:sz w:val="21"/>
                <w:szCs w:val="21"/>
                <w:lang w:val="en-US" w:eastAsia="zh-CN" w:bidi="ar-SA"/>
              </w:rPr>
              <w:t>β</w:t>
            </w:r>
          </w:p>
        </w:tc>
        <w:tc>
          <w:tcPr>
            <w:tcW w:w="1064" w:type="pct"/>
            <w:vAlign w:val="center"/>
          </w:tcPr>
          <w:p>
            <w:pPr>
              <w:widowControl w:val="0"/>
              <w:ind w:firstLine="0" w:firstLineChars="0"/>
              <w:jc w:val="center"/>
              <w:rPr>
                <w:rFonts w:ascii="Times New Roman" w:hAnsi="Times New Roman" w:eastAsia="宋体" w:cs="Times New Roman"/>
                <w:b/>
                <w:bCs/>
                <w:color w:val="000000"/>
                <w:kern w:val="2"/>
                <w:sz w:val="21"/>
                <w:szCs w:val="21"/>
                <w:lang w:val="en-US" w:eastAsia="zh-CN" w:bidi="ar-SA"/>
              </w:rPr>
            </w:pPr>
            <w:r>
              <w:rPr>
                <w:rFonts w:ascii="Times New Roman" w:hAnsi="Times New Roman" w:eastAsia="宋体" w:cs="Times New Roman"/>
                <w:b/>
                <w:bCs/>
                <w:color w:val="000000"/>
                <w:kern w:val="2"/>
                <w:sz w:val="21"/>
                <w:szCs w:val="21"/>
                <w:lang w:val="en-US" w:eastAsia="zh-CN" w:bidi="ar-SA"/>
              </w:rPr>
              <w:t>β（q/Q）</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4" w:type="pct"/>
            <w:vAlign w:val="center"/>
          </w:tcPr>
          <w:p>
            <w:pPr>
              <w:widowControl w:val="0"/>
              <w:ind w:firstLine="0" w:firstLineChars="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原油</w:t>
            </w:r>
          </w:p>
        </w:tc>
        <w:tc>
          <w:tcPr>
            <w:tcW w:w="869" w:type="pct"/>
            <w:vAlign w:val="center"/>
          </w:tcPr>
          <w:p>
            <w:pPr>
              <w:widowControl w:val="0"/>
              <w:ind w:firstLine="0" w:firstLineChars="0"/>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27276</w:t>
            </w:r>
          </w:p>
        </w:tc>
        <w:tc>
          <w:tcPr>
            <w:tcW w:w="781" w:type="pct"/>
            <w:vAlign w:val="center"/>
          </w:tcPr>
          <w:p>
            <w:pPr>
              <w:widowControl w:val="0"/>
              <w:ind w:firstLine="0" w:firstLineChars="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5000</w:t>
            </w:r>
          </w:p>
        </w:tc>
        <w:tc>
          <w:tcPr>
            <w:tcW w:w="660" w:type="pct"/>
            <w:vAlign w:val="center"/>
          </w:tcPr>
          <w:p>
            <w:pPr>
              <w:widowControl w:val="0"/>
              <w:ind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5.4552</w:t>
            </w:r>
          </w:p>
        </w:tc>
        <w:tc>
          <w:tcPr>
            <w:tcW w:w="659" w:type="pct"/>
            <w:vAlign w:val="center"/>
          </w:tcPr>
          <w:p>
            <w:pPr>
              <w:widowControl w:val="0"/>
              <w:ind w:firstLine="0" w:firstLineChars="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1</w:t>
            </w:r>
          </w:p>
        </w:tc>
        <w:tc>
          <w:tcPr>
            <w:tcW w:w="1064" w:type="pct"/>
            <w:vAlign w:val="center"/>
          </w:tcPr>
          <w:p>
            <w:pPr>
              <w:widowControl w:val="0"/>
              <w:ind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5.4552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5" w:type="pct"/>
            <w:gridSpan w:val="5"/>
            <w:vAlign w:val="center"/>
          </w:tcPr>
          <w:p>
            <w:pPr>
              <w:widowControl w:val="0"/>
              <w:ind w:firstLine="0" w:firstLineChars="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β</w:t>
            </w:r>
            <w:r>
              <w:rPr>
                <w:rFonts w:ascii="Times New Roman" w:hAnsi="Times New Roman" w:eastAsia="宋体" w:cs="Times New Roman"/>
                <w:color w:val="000000"/>
                <w:kern w:val="2"/>
                <w:sz w:val="21"/>
                <w:szCs w:val="21"/>
                <w:vertAlign w:val="subscript"/>
                <w:lang w:val="en-US" w:eastAsia="zh-CN" w:bidi="ar-SA"/>
              </w:rPr>
              <w:t>1</w:t>
            </w:r>
            <w:r>
              <w:rPr>
                <w:rFonts w:ascii="Times New Roman" w:hAnsi="Times New Roman" w:eastAsia="宋体" w:cs="Times New Roman"/>
                <w:color w:val="000000"/>
                <w:kern w:val="2"/>
                <w:sz w:val="21"/>
                <w:szCs w:val="21"/>
                <w:lang w:val="en-US" w:eastAsia="zh-CN" w:bidi="ar-SA"/>
              </w:rPr>
              <w:t>（q</w:t>
            </w:r>
            <w:r>
              <w:rPr>
                <w:rFonts w:ascii="Times New Roman" w:hAnsi="Times New Roman" w:eastAsia="宋体" w:cs="Times New Roman"/>
                <w:color w:val="000000"/>
                <w:kern w:val="2"/>
                <w:sz w:val="21"/>
                <w:szCs w:val="21"/>
                <w:vertAlign w:val="subscript"/>
                <w:lang w:val="en-US" w:eastAsia="zh-CN" w:bidi="ar-SA"/>
              </w:rPr>
              <w:t>1</w:t>
            </w:r>
            <w:r>
              <w:rPr>
                <w:rFonts w:ascii="Times New Roman" w:hAnsi="Times New Roman" w:eastAsia="宋体" w:cs="Times New Roman"/>
                <w:color w:val="000000"/>
                <w:kern w:val="2"/>
                <w:sz w:val="21"/>
                <w:szCs w:val="21"/>
                <w:lang w:val="en-US" w:eastAsia="zh-CN" w:bidi="ar-SA"/>
              </w:rPr>
              <w:t>/Q</w:t>
            </w:r>
            <w:r>
              <w:rPr>
                <w:rFonts w:ascii="Times New Roman" w:hAnsi="Times New Roman" w:eastAsia="宋体" w:cs="Times New Roman"/>
                <w:color w:val="000000"/>
                <w:kern w:val="2"/>
                <w:sz w:val="21"/>
                <w:szCs w:val="21"/>
                <w:vertAlign w:val="subscript"/>
                <w:lang w:val="en-US" w:eastAsia="zh-CN" w:bidi="ar-SA"/>
              </w:rPr>
              <w:t>1</w:t>
            </w:r>
            <w:r>
              <w:rPr>
                <w:rFonts w:ascii="Times New Roman" w:hAnsi="Times New Roman" w:eastAsia="宋体" w:cs="Times New Roman"/>
                <w:color w:val="000000"/>
                <w:kern w:val="2"/>
                <w:sz w:val="21"/>
                <w:szCs w:val="21"/>
                <w:lang w:val="en-US" w:eastAsia="zh-CN" w:bidi="ar-SA"/>
              </w:rPr>
              <w:t>）+β</w:t>
            </w:r>
            <w:r>
              <w:rPr>
                <w:rFonts w:ascii="Times New Roman" w:hAnsi="Times New Roman" w:eastAsia="宋体" w:cs="Times New Roman"/>
                <w:color w:val="000000"/>
                <w:kern w:val="2"/>
                <w:sz w:val="21"/>
                <w:szCs w:val="21"/>
                <w:vertAlign w:val="subscript"/>
                <w:lang w:val="en-US" w:eastAsia="zh-CN" w:bidi="ar-SA"/>
              </w:rPr>
              <w:t>2</w:t>
            </w:r>
            <w:r>
              <w:rPr>
                <w:rFonts w:ascii="Times New Roman" w:hAnsi="Times New Roman" w:eastAsia="宋体" w:cs="Times New Roman"/>
                <w:color w:val="000000"/>
                <w:kern w:val="2"/>
                <w:sz w:val="21"/>
                <w:szCs w:val="21"/>
                <w:lang w:val="en-US" w:eastAsia="zh-CN" w:bidi="ar-SA"/>
              </w:rPr>
              <w:t>（q</w:t>
            </w:r>
            <w:r>
              <w:rPr>
                <w:rFonts w:ascii="Times New Roman" w:hAnsi="Times New Roman" w:eastAsia="宋体" w:cs="Times New Roman"/>
                <w:color w:val="000000"/>
                <w:kern w:val="2"/>
                <w:sz w:val="21"/>
                <w:szCs w:val="21"/>
                <w:vertAlign w:val="subscript"/>
                <w:lang w:val="en-US" w:eastAsia="zh-CN" w:bidi="ar-SA"/>
              </w:rPr>
              <w:t>2</w:t>
            </w:r>
            <w:r>
              <w:rPr>
                <w:rFonts w:ascii="Times New Roman" w:hAnsi="Times New Roman" w:eastAsia="宋体" w:cs="Times New Roman"/>
                <w:color w:val="000000"/>
                <w:kern w:val="2"/>
                <w:sz w:val="21"/>
                <w:szCs w:val="21"/>
                <w:lang w:val="en-US" w:eastAsia="zh-CN" w:bidi="ar-SA"/>
              </w:rPr>
              <w:t>/Q</w:t>
            </w:r>
            <w:r>
              <w:rPr>
                <w:rFonts w:ascii="Times New Roman" w:hAnsi="Times New Roman" w:eastAsia="宋体" w:cs="Times New Roman"/>
                <w:color w:val="000000"/>
                <w:kern w:val="2"/>
                <w:sz w:val="21"/>
                <w:szCs w:val="21"/>
                <w:vertAlign w:val="subscript"/>
                <w:lang w:val="en-US" w:eastAsia="zh-CN" w:bidi="ar-SA"/>
              </w:rPr>
              <w:t>2</w:t>
            </w:r>
            <w:r>
              <w:rPr>
                <w:rFonts w:ascii="Times New Roman" w:hAnsi="Times New Roman" w:eastAsia="宋体" w:cs="Times New Roman"/>
                <w:color w:val="000000"/>
                <w:kern w:val="2"/>
                <w:sz w:val="21"/>
                <w:szCs w:val="21"/>
                <w:lang w:val="en-US" w:eastAsia="zh-CN" w:bidi="ar-SA"/>
              </w:rPr>
              <w:t>）+……+β</w:t>
            </w:r>
            <w:r>
              <w:rPr>
                <w:rFonts w:ascii="Times New Roman" w:hAnsi="Times New Roman" w:eastAsia="宋体" w:cs="Times New Roman"/>
                <w:color w:val="000000"/>
                <w:kern w:val="2"/>
                <w:sz w:val="21"/>
                <w:szCs w:val="21"/>
                <w:vertAlign w:val="subscript"/>
                <w:lang w:val="en-US" w:eastAsia="zh-CN" w:bidi="ar-SA"/>
              </w:rPr>
              <w:t>n</w:t>
            </w:r>
            <w:r>
              <w:rPr>
                <w:rFonts w:ascii="Times New Roman" w:hAnsi="Times New Roman" w:eastAsia="宋体" w:cs="Times New Roman"/>
                <w:color w:val="000000"/>
                <w:kern w:val="2"/>
                <w:sz w:val="21"/>
                <w:szCs w:val="21"/>
                <w:lang w:val="en-US" w:eastAsia="zh-CN" w:bidi="ar-SA"/>
              </w:rPr>
              <w:t>（q</w:t>
            </w:r>
            <w:r>
              <w:rPr>
                <w:rFonts w:ascii="Times New Roman" w:hAnsi="Times New Roman" w:eastAsia="宋体" w:cs="Times New Roman"/>
                <w:color w:val="000000"/>
                <w:kern w:val="2"/>
                <w:sz w:val="21"/>
                <w:szCs w:val="21"/>
                <w:vertAlign w:val="subscript"/>
                <w:lang w:val="en-US" w:eastAsia="zh-CN" w:bidi="ar-SA"/>
              </w:rPr>
              <w:t>n</w:t>
            </w:r>
            <w:r>
              <w:rPr>
                <w:rFonts w:ascii="Times New Roman" w:hAnsi="Times New Roman" w:eastAsia="宋体" w:cs="Times New Roman"/>
                <w:color w:val="000000"/>
                <w:kern w:val="2"/>
                <w:sz w:val="21"/>
                <w:szCs w:val="21"/>
                <w:lang w:val="en-US" w:eastAsia="zh-CN" w:bidi="ar-SA"/>
              </w:rPr>
              <w:t>/Q</w:t>
            </w:r>
            <w:r>
              <w:rPr>
                <w:rFonts w:ascii="Times New Roman" w:hAnsi="Times New Roman" w:eastAsia="宋体" w:cs="Times New Roman"/>
                <w:color w:val="000000"/>
                <w:kern w:val="2"/>
                <w:sz w:val="21"/>
                <w:szCs w:val="21"/>
                <w:vertAlign w:val="subscript"/>
                <w:lang w:val="en-US" w:eastAsia="zh-CN" w:bidi="ar-SA"/>
              </w:rPr>
              <w:t>n</w:t>
            </w:r>
            <w:r>
              <w:rPr>
                <w:rFonts w:ascii="Times New Roman" w:hAnsi="Times New Roman" w:eastAsia="宋体" w:cs="Times New Roman"/>
                <w:color w:val="000000"/>
                <w:kern w:val="2"/>
                <w:sz w:val="21"/>
                <w:szCs w:val="21"/>
                <w:lang w:val="en-US" w:eastAsia="zh-CN" w:bidi="ar-SA"/>
              </w:rPr>
              <w:t>）</w:t>
            </w:r>
          </w:p>
        </w:tc>
        <w:tc>
          <w:tcPr>
            <w:tcW w:w="1064" w:type="pct"/>
            <w:vAlign w:val="center"/>
          </w:tcPr>
          <w:p>
            <w:pPr>
              <w:widowControl w:val="0"/>
              <w:ind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5.4552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5" w:type="pct"/>
            <w:gridSpan w:val="5"/>
            <w:vAlign w:val="center"/>
          </w:tcPr>
          <w:p>
            <w:pPr>
              <w:widowControl w:val="0"/>
              <w:ind w:firstLine="0" w:firstLineChars="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α（该项目厂外可能暴露的人员100人以上）</w:t>
            </w:r>
          </w:p>
        </w:tc>
        <w:tc>
          <w:tcPr>
            <w:tcW w:w="1064" w:type="pct"/>
            <w:vAlign w:val="center"/>
          </w:tcPr>
          <w:p>
            <w:pPr>
              <w:widowControl w:val="0"/>
              <w:ind w:firstLine="0" w:firstLineChars="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5" w:type="pct"/>
            <w:gridSpan w:val="5"/>
            <w:vAlign w:val="center"/>
          </w:tcPr>
          <w:p>
            <w:pPr>
              <w:widowControl w:val="0"/>
              <w:ind w:firstLine="0" w:firstLineChars="0"/>
              <w:jc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R</w:t>
            </w:r>
          </w:p>
        </w:tc>
        <w:tc>
          <w:tcPr>
            <w:tcW w:w="1064" w:type="pct"/>
            <w:vAlign w:val="center"/>
          </w:tcPr>
          <w:p>
            <w:pPr>
              <w:widowControl w:val="0"/>
              <w:ind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10.9104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vAlign w:val="center"/>
          </w:tcPr>
          <w:p>
            <w:pPr>
              <w:widowControl w:val="0"/>
              <w:ind w:firstLine="0" w:firstLineChars="0"/>
              <w:jc w:val="left"/>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R=</w:t>
            </w:r>
            <w:r>
              <w:rPr>
                <w:rFonts w:hint="eastAsia" w:ascii="Times New Roman" w:hAnsi="Times New Roman" w:eastAsia="宋体" w:cs="Times New Roman"/>
                <w:color w:val="000000"/>
                <w:kern w:val="2"/>
                <w:sz w:val="21"/>
                <w:szCs w:val="21"/>
                <w:lang w:val="en-US" w:eastAsia="zh-CN" w:bidi="ar-SA"/>
              </w:rPr>
              <w:t>10.9104</w:t>
            </w:r>
            <w:r>
              <w:rPr>
                <w:rFonts w:ascii="Times New Roman" w:hAnsi="Times New Roman" w:eastAsia="宋体" w:cs="Times New Roman"/>
                <w:color w:val="000000"/>
                <w:kern w:val="2"/>
                <w:sz w:val="21"/>
                <w:szCs w:val="21"/>
                <w:lang w:val="en-US" w:eastAsia="zh-CN" w:bidi="ar-SA"/>
              </w:rPr>
              <w:t>，10≤R＜50，因此原油</w:t>
            </w:r>
            <w:r>
              <w:rPr>
                <w:rFonts w:hint="eastAsia" w:ascii="Times New Roman" w:hAnsi="Times New Roman" w:eastAsia="宋体" w:cs="Times New Roman"/>
                <w:color w:val="000000"/>
                <w:kern w:val="2"/>
                <w:sz w:val="21"/>
                <w:szCs w:val="21"/>
                <w:lang w:val="en-US" w:eastAsia="zh-CN" w:bidi="ar-SA"/>
              </w:rPr>
              <w:t>罐区</w:t>
            </w:r>
            <w:r>
              <w:rPr>
                <w:rFonts w:ascii="Times New Roman" w:hAnsi="Times New Roman" w:eastAsia="宋体" w:cs="Times New Roman"/>
                <w:color w:val="000000"/>
                <w:kern w:val="2"/>
                <w:sz w:val="21"/>
                <w:szCs w:val="21"/>
                <w:lang w:val="en-US" w:eastAsia="zh-CN" w:bidi="ar-SA"/>
              </w:rPr>
              <w:t>分输分储改造工程项目105#罐区构成三级危险化学品重大危险源。</w:t>
            </w:r>
          </w:p>
        </w:tc>
      </w:tr>
    </w:tbl>
    <w:p>
      <w:pPr>
        <w:keepNext w:val="0"/>
        <w:keepLines w:val="0"/>
        <w:pageBreakBefore w:val="0"/>
        <w:widowControl w:val="0"/>
        <w:kinsoku w:val="0"/>
        <w:wordWrap/>
        <w:overflowPunct w:val="0"/>
        <w:topLinePunct w:val="0"/>
        <w:autoSpaceDE/>
        <w:autoSpaceDN/>
        <w:bidi w:val="0"/>
        <w:adjustRightInd w:val="0"/>
        <w:snapToGrid w:val="0"/>
        <w:spacing w:before="160"/>
        <w:ind w:firstLine="482"/>
        <w:jc w:val="center"/>
        <w:textAlignment w:val="auto"/>
        <w:rPr>
          <w:rFonts w:ascii="Times New Roman" w:hAnsi="Times New Roman" w:cs="Times New Roman"/>
          <w:b/>
          <w:bCs/>
          <w:sz w:val="24"/>
        </w:rPr>
      </w:pPr>
      <w:r>
        <w:rPr>
          <w:rFonts w:ascii="Times New Roman" w:hAnsi="Times New Roman" w:cs="Times New Roman"/>
          <w:b/>
          <w:bCs/>
          <w:sz w:val="24"/>
        </w:rPr>
        <w:t>附表</w:t>
      </w:r>
      <w:r>
        <w:rPr>
          <w:rFonts w:hint="eastAsia" w:ascii="Times New Roman" w:hAnsi="Times New Roman" w:cs="Times New Roman"/>
          <w:b/>
          <w:bCs/>
          <w:sz w:val="24"/>
          <w:lang w:val="en-US" w:eastAsia="zh-CN"/>
        </w:rPr>
        <w:t>1.4</w:t>
      </w:r>
      <w:r>
        <w:rPr>
          <w:rFonts w:ascii="Times New Roman" w:hAnsi="Times New Roman" w:cs="Times New Roman"/>
          <w:b/>
          <w:bCs/>
          <w:sz w:val="24"/>
        </w:rPr>
        <w:t>-</w:t>
      </w:r>
      <w:r>
        <w:rPr>
          <w:rFonts w:hint="eastAsia" w:ascii="Times New Roman" w:hAnsi="Times New Roman" w:cs="Times New Roman"/>
          <w:b/>
          <w:bCs/>
          <w:sz w:val="24"/>
          <w:lang w:val="en-US" w:eastAsia="zh-CN"/>
        </w:rPr>
        <w:t>11  105#罐区</w:t>
      </w:r>
      <w:r>
        <w:rPr>
          <w:rFonts w:ascii="Times New Roman" w:hAnsi="Times New Roman" w:cs="Times New Roman"/>
          <w:b/>
          <w:bCs/>
          <w:sz w:val="24"/>
        </w:rPr>
        <w:t>重</w:t>
      </w:r>
      <w:r>
        <w:rPr>
          <w:rFonts w:ascii="Times New Roman" w:hAnsi="Times New Roman" w:cs="Times New Roman"/>
          <w:b/>
          <w:bCs/>
          <w:spacing w:val="2"/>
          <w:sz w:val="24"/>
        </w:rPr>
        <w:t>大</w:t>
      </w:r>
      <w:r>
        <w:rPr>
          <w:rFonts w:ascii="Times New Roman" w:hAnsi="Times New Roman" w:cs="Times New Roman"/>
          <w:b/>
          <w:bCs/>
          <w:sz w:val="24"/>
        </w:rPr>
        <w:t>危</w:t>
      </w:r>
      <w:r>
        <w:rPr>
          <w:rFonts w:ascii="Times New Roman" w:hAnsi="Times New Roman" w:cs="Times New Roman"/>
          <w:b/>
          <w:bCs/>
          <w:spacing w:val="2"/>
          <w:sz w:val="24"/>
        </w:rPr>
        <w:t>险</w:t>
      </w:r>
      <w:r>
        <w:rPr>
          <w:rFonts w:ascii="Times New Roman" w:hAnsi="Times New Roman" w:cs="Times New Roman"/>
          <w:b/>
          <w:bCs/>
          <w:sz w:val="24"/>
        </w:rPr>
        <w:t>源分</w:t>
      </w:r>
      <w:r>
        <w:rPr>
          <w:rFonts w:ascii="Times New Roman" w:hAnsi="Times New Roman" w:cs="Times New Roman"/>
          <w:b/>
          <w:bCs/>
          <w:spacing w:val="2"/>
          <w:sz w:val="24"/>
        </w:rPr>
        <w:t>级</w:t>
      </w:r>
      <w:r>
        <w:rPr>
          <w:rFonts w:ascii="Times New Roman" w:hAnsi="Times New Roman" w:cs="Times New Roman"/>
          <w:b/>
          <w:bCs/>
          <w:sz w:val="24"/>
        </w:rPr>
        <w:t>取</w:t>
      </w:r>
      <w:r>
        <w:rPr>
          <w:rFonts w:ascii="Times New Roman" w:hAnsi="Times New Roman" w:cs="Times New Roman"/>
          <w:b/>
          <w:bCs/>
          <w:spacing w:val="2"/>
          <w:sz w:val="24"/>
        </w:rPr>
        <w:t>值</w:t>
      </w:r>
      <w:r>
        <w:rPr>
          <w:rFonts w:ascii="Times New Roman" w:hAnsi="Times New Roman" w:cs="Times New Roman"/>
          <w:b/>
          <w:bCs/>
          <w:sz w:val="24"/>
        </w:rPr>
        <w:t>表</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41"/>
        <w:gridCol w:w="1481"/>
        <w:gridCol w:w="1331"/>
        <w:gridCol w:w="1125"/>
        <w:gridCol w:w="1126"/>
        <w:gridCol w:w="18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4" w:type="pct"/>
            <w:vAlign w:val="center"/>
          </w:tcPr>
          <w:p>
            <w:pPr>
              <w:pStyle w:val="24"/>
              <w:rPr>
                <w:b/>
                <w:bCs/>
              </w:rPr>
            </w:pPr>
            <w:r>
              <w:rPr>
                <w:b/>
                <w:bCs/>
              </w:rPr>
              <w:t>物质</w:t>
            </w:r>
          </w:p>
        </w:tc>
        <w:tc>
          <w:tcPr>
            <w:tcW w:w="869" w:type="pct"/>
            <w:vAlign w:val="center"/>
          </w:tcPr>
          <w:p>
            <w:pPr>
              <w:pStyle w:val="24"/>
              <w:rPr>
                <w:b/>
                <w:bCs/>
              </w:rPr>
            </w:pPr>
            <w:r>
              <w:rPr>
                <w:b/>
                <w:bCs/>
              </w:rPr>
              <w:t>数量（t）</w:t>
            </w:r>
          </w:p>
        </w:tc>
        <w:tc>
          <w:tcPr>
            <w:tcW w:w="781" w:type="pct"/>
            <w:vAlign w:val="center"/>
          </w:tcPr>
          <w:p>
            <w:pPr>
              <w:pStyle w:val="24"/>
              <w:rPr>
                <w:b/>
                <w:bCs/>
              </w:rPr>
            </w:pPr>
            <w:r>
              <w:rPr>
                <w:b/>
                <w:bCs/>
              </w:rPr>
              <w:t>临界量/t</w:t>
            </w:r>
          </w:p>
        </w:tc>
        <w:tc>
          <w:tcPr>
            <w:tcW w:w="660" w:type="pct"/>
            <w:vAlign w:val="center"/>
          </w:tcPr>
          <w:p>
            <w:pPr>
              <w:pStyle w:val="24"/>
              <w:rPr>
                <w:b/>
                <w:bCs/>
              </w:rPr>
            </w:pPr>
            <w:r>
              <w:rPr>
                <w:b/>
                <w:bCs/>
              </w:rPr>
              <w:t>q/Q</w:t>
            </w:r>
          </w:p>
        </w:tc>
        <w:tc>
          <w:tcPr>
            <w:tcW w:w="659" w:type="pct"/>
            <w:vAlign w:val="center"/>
          </w:tcPr>
          <w:p>
            <w:pPr>
              <w:pStyle w:val="24"/>
              <w:rPr>
                <w:b/>
                <w:bCs/>
              </w:rPr>
            </w:pPr>
            <w:r>
              <w:rPr>
                <w:b/>
                <w:bCs/>
              </w:rPr>
              <w:t>β</w:t>
            </w:r>
          </w:p>
        </w:tc>
        <w:tc>
          <w:tcPr>
            <w:tcW w:w="1064" w:type="pct"/>
            <w:vAlign w:val="center"/>
          </w:tcPr>
          <w:p>
            <w:pPr>
              <w:pStyle w:val="24"/>
              <w:rPr>
                <w:b/>
                <w:bCs/>
              </w:rPr>
            </w:pPr>
            <w:r>
              <w:rPr>
                <w:b/>
                <w:bCs/>
              </w:rPr>
              <w:t>β（q/Q）</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4" w:type="pct"/>
            <w:vAlign w:val="center"/>
          </w:tcPr>
          <w:p>
            <w:pPr>
              <w:pStyle w:val="24"/>
            </w:pPr>
            <w:r>
              <w:t>原油</w:t>
            </w:r>
          </w:p>
        </w:tc>
        <w:tc>
          <w:tcPr>
            <w:tcW w:w="869" w:type="pct"/>
            <w:vAlign w:val="center"/>
          </w:tcPr>
          <w:p>
            <w:pPr>
              <w:pStyle w:val="24"/>
            </w:pPr>
            <w:r>
              <w:rPr>
                <w:rFonts w:hint="eastAsia"/>
              </w:rPr>
              <w:t>54552</w:t>
            </w:r>
          </w:p>
        </w:tc>
        <w:tc>
          <w:tcPr>
            <w:tcW w:w="781" w:type="pct"/>
            <w:vAlign w:val="center"/>
          </w:tcPr>
          <w:p>
            <w:pPr>
              <w:pStyle w:val="24"/>
            </w:pPr>
            <w:r>
              <w:t>5000</w:t>
            </w:r>
          </w:p>
        </w:tc>
        <w:tc>
          <w:tcPr>
            <w:tcW w:w="660" w:type="pct"/>
            <w:vAlign w:val="center"/>
          </w:tcPr>
          <w:p>
            <w:pPr>
              <w:pStyle w:val="24"/>
              <w:rPr>
                <w:rFonts w:hint="default" w:eastAsia="宋体"/>
                <w:lang w:val="en-US" w:eastAsia="zh-CN"/>
              </w:rPr>
            </w:pPr>
            <w:r>
              <w:t>1</w:t>
            </w:r>
            <w:r>
              <w:rPr>
                <w:rFonts w:hint="eastAsia"/>
              </w:rPr>
              <w:t>0.91</w:t>
            </w:r>
            <w:r>
              <w:rPr>
                <w:rFonts w:hint="eastAsia"/>
                <w:lang w:val="en-US" w:eastAsia="zh-CN"/>
              </w:rPr>
              <w:t>04</w:t>
            </w:r>
          </w:p>
        </w:tc>
        <w:tc>
          <w:tcPr>
            <w:tcW w:w="659" w:type="pct"/>
            <w:vAlign w:val="center"/>
          </w:tcPr>
          <w:p>
            <w:pPr>
              <w:pStyle w:val="24"/>
            </w:pPr>
            <w:r>
              <w:t>1</w:t>
            </w:r>
          </w:p>
        </w:tc>
        <w:tc>
          <w:tcPr>
            <w:tcW w:w="1064" w:type="pct"/>
            <w:vAlign w:val="center"/>
          </w:tcPr>
          <w:p>
            <w:pPr>
              <w:pStyle w:val="24"/>
              <w:rPr>
                <w:rFonts w:hint="default" w:eastAsia="宋体"/>
                <w:lang w:val="en-US" w:eastAsia="zh-CN"/>
              </w:rPr>
            </w:pPr>
            <w:r>
              <w:t>1</w:t>
            </w:r>
            <w:r>
              <w:rPr>
                <w:rFonts w:hint="eastAsia"/>
              </w:rPr>
              <w:t>0.91</w:t>
            </w:r>
            <w:r>
              <w:rPr>
                <w:rFonts w:hint="eastAsia"/>
                <w:lang w:val="en-US" w:eastAsia="zh-CN"/>
              </w:rPr>
              <w:t>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5" w:type="pct"/>
            <w:gridSpan w:val="5"/>
            <w:vAlign w:val="center"/>
          </w:tcPr>
          <w:p>
            <w:pPr>
              <w:pStyle w:val="24"/>
            </w:pPr>
            <w:r>
              <w:t>β</w:t>
            </w:r>
            <w:r>
              <w:rPr>
                <w:vertAlign w:val="subscript"/>
              </w:rPr>
              <w:t>1</w:t>
            </w:r>
            <w:r>
              <w:t>（q</w:t>
            </w:r>
            <w:r>
              <w:rPr>
                <w:vertAlign w:val="subscript"/>
              </w:rPr>
              <w:t>1</w:t>
            </w:r>
            <w:r>
              <w:t>/Q</w:t>
            </w:r>
            <w:r>
              <w:rPr>
                <w:vertAlign w:val="subscript"/>
              </w:rPr>
              <w:t>1</w:t>
            </w:r>
            <w:r>
              <w:t>）+β</w:t>
            </w:r>
            <w:r>
              <w:rPr>
                <w:vertAlign w:val="subscript"/>
              </w:rPr>
              <w:t>2</w:t>
            </w:r>
            <w:r>
              <w:t>（q</w:t>
            </w:r>
            <w:r>
              <w:rPr>
                <w:vertAlign w:val="subscript"/>
              </w:rPr>
              <w:t>2</w:t>
            </w:r>
            <w:r>
              <w:t>/Q</w:t>
            </w:r>
            <w:r>
              <w:rPr>
                <w:vertAlign w:val="subscript"/>
              </w:rPr>
              <w:t>2</w:t>
            </w:r>
            <w:r>
              <w:t>）+……+β</w:t>
            </w:r>
            <w:r>
              <w:rPr>
                <w:vertAlign w:val="subscript"/>
              </w:rPr>
              <w:t>n</w:t>
            </w:r>
            <w:r>
              <w:t>（q</w:t>
            </w:r>
            <w:r>
              <w:rPr>
                <w:vertAlign w:val="subscript"/>
              </w:rPr>
              <w:t>n</w:t>
            </w:r>
            <w:r>
              <w:t>/Q</w:t>
            </w:r>
            <w:r>
              <w:rPr>
                <w:vertAlign w:val="subscript"/>
              </w:rPr>
              <w:t>n</w:t>
            </w:r>
            <w:r>
              <w:t>）</w:t>
            </w:r>
          </w:p>
        </w:tc>
        <w:tc>
          <w:tcPr>
            <w:tcW w:w="1064" w:type="pct"/>
            <w:vAlign w:val="center"/>
          </w:tcPr>
          <w:p>
            <w:pPr>
              <w:pStyle w:val="24"/>
              <w:rPr>
                <w:rFonts w:hint="default" w:eastAsia="宋体"/>
                <w:lang w:val="en-US" w:eastAsia="zh-CN"/>
              </w:rPr>
            </w:pPr>
            <w:r>
              <w:t>1</w:t>
            </w:r>
            <w:r>
              <w:rPr>
                <w:rFonts w:hint="eastAsia"/>
              </w:rPr>
              <w:t>0.91</w:t>
            </w:r>
            <w:r>
              <w:rPr>
                <w:rFonts w:hint="eastAsia"/>
                <w:lang w:val="en-US" w:eastAsia="zh-CN"/>
              </w:rPr>
              <w:t>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5" w:type="pct"/>
            <w:gridSpan w:val="5"/>
            <w:vAlign w:val="center"/>
          </w:tcPr>
          <w:p>
            <w:pPr>
              <w:pStyle w:val="24"/>
            </w:pPr>
            <w:r>
              <w:t>α（该项目厂外可能暴露的人员100人以上）</w:t>
            </w:r>
          </w:p>
        </w:tc>
        <w:tc>
          <w:tcPr>
            <w:tcW w:w="1064" w:type="pct"/>
            <w:vAlign w:val="center"/>
          </w:tcPr>
          <w:p>
            <w:pPr>
              <w:pStyle w:val="24"/>
            </w:pPr>
            <w: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5" w:type="pct"/>
            <w:gridSpan w:val="5"/>
            <w:vAlign w:val="center"/>
          </w:tcPr>
          <w:p>
            <w:pPr>
              <w:pStyle w:val="24"/>
            </w:pPr>
            <w:r>
              <w:t>R</w:t>
            </w:r>
          </w:p>
        </w:tc>
        <w:tc>
          <w:tcPr>
            <w:tcW w:w="1064" w:type="pct"/>
            <w:vAlign w:val="center"/>
          </w:tcPr>
          <w:p>
            <w:pPr>
              <w:pStyle w:val="24"/>
              <w:rPr>
                <w:rFonts w:hint="default" w:eastAsia="宋体"/>
                <w:lang w:val="en-US" w:eastAsia="zh-CN"/>
              </w:rPr>
            </w:pPr>
            <w:r>
              <w:rPr>
                <w:rFonts w:hint="eastAsia"/>
              </w:rPr>
              <w:t>21.82</w:t>
            </w:r>
            <w:r>
              <w:rPr>
                <w:rFonts w:hint="eastAsia"/>
                <w:lang w:val="en-US" w:eastAsia="zh-CN"/>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vAlign w:val="center"/>
          </w:tcPr>
          <w:p>
            <w:pPr>
              <w:pStyle w:val="24"/>
              <w:jc w:val="left"/>
            </w:pPr>
            <w:r>
              <w:t>R=</w:t>
            </w:r>
            <w:r>
              <w:rPr>
                <w:rFonts w:hint="eastAsia"/>
              </w:rPr>
              <w:t>21.82</w:t>
            </w:r>
            <w:r>
              <w:rPr>
                <w:rFonts w:hint="eastAsia"/>
                <w:lang w:val="en-US" w:eastAsia="zh-CN"/>
              </w:rPr>
              <w:t>08</w:t>
            </w:r>
            <w:r>
              <w:t>，10≤R＜50，因此原油</w:t>
            </w:r>
            <w:r>
              <w:rPr>
                <w:rFonts w:hint="eastAsia"/>
                <w:lang w:val="en-US" w:eastAsia="zh-CN"/>
              </w:rPr>
              <w:t>罐区</w:t>
            </w:r>
            <w:r>
              <w:t>分输分储改造工程项目105#罐区构成三级危险化学品重大危险源。</w:t>
            </w:r>
          </w:p>
        </w:tc>
      </w:tr>
    </w:tbl>
    <w:p>
      <w:pPr>
        <w:ind w:firstLine="560"/>
        <w:rPr>
          <w:rFonts w:ascii="Times New Roman" w:hAnsi="Times New Roman" w:cs="Times New Roman"/>
        </w:rPr>
      </w:pPr>
      <w:r>
        <w:rPr>
          <w:rFonts w:ascii="Times New Roman" w:hAnsi="Times New Roman" w:cs="Times New Roman"/>
        </w:rPr>
        <w:br w:type="page"/>
      </w:r>
    </w:p>
    <w:p>
      <w:pPr>
        <w:pStyle w:val="16"/>
        <w:numPr>
          <w:ilvl w:val="0"/>
          <w:numId w:val="0"/>
        </w:numPr>
        <w:rPr>
          <w:rFonts w:ascii="Times New Roman" w:hAnsi="Times New Roman" w:cs="Times New Roman"/>
        </w:rPr>
      </w:pPr>
      <w:bookmarkStart w:id="110" w:name="_Toc24956"/>
      <w:r>
        <w:rPr>
          <w:rFonts w:ascii="Times New Roman" w:hAnsi="Times New Roman" w:cs="Times New Roman"/>
        </w:rPr>
        <w:t>附件2 选用的安全评价方法简介</w:t>
      </w:r>
      <w:bookmarkEnd w:id="110"/>
    </w:p>
    <w:p>
      <w:pPr>
        <w:pStyle w:val="3"/>
        <w:numPr>
          <w:ilvl w:val="1"/>
          <w:numId w:val="0"/>
        </w:numPr>
        <w:spacing w:before="156" w:after="156"/>
        <w:ind w:left="130"/>
      </w:pPr>
      <w:bookmarkStart w:id="111" w:name="_Toc31285"/>
      <w:r>
        <w:t>F2.1 安全检查表法（SCL）</w:t>
      </w:r>
      <w:bookmarkEnd w:id="111"/>
    </w:p>
    <w:p>
      <w:pPr>
        <w:adjustRightInd w:val="0"/>
        <w:snapToGrid w:val="0"/>
        <w:spacing w:line="360" w:lineRule="auto"/>
        <w:ind w:firstLine="560"/>
        <w:rPr>
          <w:rFonts w:ascii="Times New Roman" w:hAnsi="Times New Roman" w:cs="Times New Roman"/>
          <w:szCs w:val="28"/>
        </w:rPr>
      </w:pPr>
      <w:r>
        <w:rPr>
          <w:rFonts w:ascii="Times New Roman" w:hAnsi="Times New Roman" w:cs="Times New Roman"/>
          <w:szCs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所采取的安全卫生防护设施及技术措施的全面性和可靠性进行逐项检查的基础上，对其与国家有关法律、法规、技术标准的符合情况做出分析和判断，发现存在的问题及潜在的危险，并据此提出安全对策措施及建议。</w:t>
      </w:r>
    </w:p>
    <w:p>
      <w:pPr>
        <w:adjustRightInd w:val="0"/>
        <w:snapToGrid w:val="0"/>
        <w:spacing w:line="360" w:lineRule="auto"/>
        <w:ind w:firstLine="560"/>
        <w:rPr>
          <w:rFonts w:ascii="Times New Roman" w:hAnsi="Times New Roman" w:cs="Times New Roman"/>
          <w:szCs w:val="28"/>
        </w:rPr>
      </w:pPr>
      <w:r>
        <w:rPr>
          <w:rFonts w:ascii="Times New Roman" w:hAnsi="Times New Roman" w:cs="Times New Roman"/>
          <w:szCs w:val="28"/>
        </w:rPr>
        <w:t>安全检查表以下列格式列出，对于设计方案中已经涉及且符合要求的检查内容，在检查结果栏中标以</w:t>
      </w:r>
      <w:r>
        <w:rPr>
          <w:rFonts w:hint="eastAsia" w:ascii="Times New Roman" w:hAnsi="Times New Roman" w:cs="Times New Roman"/>
          <w:szCs w:val="28"/>
        </w:rPr>
        <w:t>“</w:t>
      </w:r>
      <w:r>
        <w:rPr>
          <w:rFonts w:ascii="Times New Roman" w:hAnsi="Times New Roman" w:cs="Times New Roman"/>
          <w:szCs w:val="28"/>
        </w:rPr>
        <w:t>√</w:t>
      </w:r>
      <w:r>
        <w:rPr>
          <w:rFonts w:hint="eastAsia" w:ascii="Times New Roman" w:hAnsi="Times New Roman" w:cs="Times New Roman"/>
          <w:szCs w:val="28"/>
        </w:rPr>
        <w:t>”</w:t>
      </w:r>
      <w:r>
        <w:rPr>
          <w:rFonts w:ascii="Times New Roman" w:hAnsi="Times New Roman" w:cs="Times New Roman"/>
          <w:szCs w:val="28"/>
        </w:rPr>
        <w:t>，对于不符合要求的检查项目在检查结果栏中标以</w:t>
      </w:r>
      <w:r>
        <w:rPr>
          <w:rFonts w:hint="eastAsia" w:ascii="Times New Roman" w:hAnsi="Times New Roman" w:cs="Times New Roman"/>
          <w:szCs w:val="28"/>
        </w:rPr>
        <w:t>“</w:t>
      </w:r>
      <w:r>
        <w:rPr>
          <w:rFonts w:ascii="Times New Roman" w:hAnsi="Times New Roman" w:cs="Times New Roman"/>
          <w:szCs w:val="28"/>
        </w:rPr>
        <w:t>※</w:t>
      </w:r>
      <w:r>
        <w:rPr>
          <w:rFonts w:hint="eastAsia" w:ascii="Times New Roman" w:hAnsi="Times New Roman" w:cs="Times New Roman"/>
          <w:szCs w:val="28"/>
        </w:rPr>
        <w:t>”</w:t>
      </w:r>
      <w:r>
        <w:rPr>
          <w:rFonts w:ascii="Times New Roman" w:hAnsi="Times New Roman" w:cs="Times New Roman"/>
          <w:szCs w:val="28"/>
        </w:rPr>
        <w:t>。见附表2.2-1。</w:t>
      </w:r>
    </w:p>
    <w:p>
      <w:pPr>
        <w:pStyle w:val="23"/>
      </w:pPr>
      <w:r>
        <w:t>附表</w:t>
      </w:r>
      <w:r>
        <w:rPr>
          <w:lang w:val="en-US"/>
        </w:rPr>
        <w:t>2.2</w:t>
      </w:r>
      <w:r>
        <w:t>-1 安全检查表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7"/>
        <w:gridCol w:w="1705"/>
        <w:gridCol w:w="1705"/>
        <w:gridCol w:w="2381"/>
        <w:gridCol w:w="17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1027" w:type="dxa"/>
            <w:vAlign w:val="center"/>
          </w:tcPr>
          <w:p>
            <w:pPr>
              <w:pStyle w:val="24"/>
              <w:rPr>
                <w:b/>
                <w:bCs/>
              </w:rPr>
            </w:pPr>
            <w:r>
              <w:rPr>
                <w:b/>
                <w:bCs/>
              </w:rPr>
              <w:t>序号</w:t>
            </w:r>
          </w:p>
        </w:tc>
        <w:tc>
          <w:tcPr>
            <w:tcW w:w="1705" w:type="dxa"/>
            <w:vAlign w:val="center"/>
          </w:tcPr>
          <w:p>
            <w:pPr>
              <w:pStyle w:val="24"/>
              <w:rPr>
                <w:b/>
                <w:bCs/>
              </w:rPr>
            </w:pPr>
            <w:r>
              <w:rPr>
                <w:b/>
                <w:bCs/>
              </w:rPr>
              <w:t>检查内容</w:t>
            </w:r>
          </w:p>
        </w:tc>
        <w:tc>
          <w:tcPr>
            <w:tcW w:w="1705" w:type="dxa"/>
            <w:vAlign w:val="center"/>
          </w:tcPr>
          <w:p>
            <w:pPr>
              <w:pStyle w:val="24"/>
              <w:rPr>
                <w:b/>
                <w:bCs/>
              </w:rPr>
            </w:pPr>
            <w:r>
              <w:rPr>
                <w:b/>
                <w:bCs/>
              </w:rPr>
              <w:t>参考依据</w:t>
            </w:r>
          </w:p>
        </w:tc>
        <w:tc>
          <w:tcPr>
            <w:tcW w:w="2381" w:type="dxa"/>
            <w:vAlign w:val="center"/>
          </w:tcPr>
          <w:p>
            <w:pPr>
              <w:pStyle w:val="24"/>
              <w:rPr>
                <w:b/>
                <w:bCs/>
              </w:rPr>
            </w:pPr>
            <w:r>
              <w:rPr>
                <w:b/>
                <w:bCs/>
              </w:rPr>
              <w:t>检查情况记录</w:t>
            </w:r>
          </w:p>
        </w:tc>
        <w:tc>
          <w:tcPr>
            <w:tcW w:w="1704" w:type="dxa"/>
            <w:vAlign w:val="center"/>
          </w:tcPr>
          <w:p>
            <w:pPr>
              <w:pStyle w:val="24"/>
              <w:rPr>
                <w:b/>
                <w:bCs/>
              </w:rPr>
            </w:pPr>
            <w:r>
              <w:rPr>
                <w:b/>
                <w:bCs/>
              </w:rPr>
              <w:t>检查结果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1027" w:type="dxa"/>
            <w:vAlign w:val="center"/>
          </w:tcPr>
          <w:p>
            <w:pPr>
              <w:pStyle w:val="24"/>
            </w:pPr>
          </w:p>
        </w:tc>
        <w:tc>
          <w:tcPr>
            <w:tcW w:w="1705" w:type="dxa"/>
            <w:vAlign w:val="center"/>
          </w:tcPr>
          <w:p>
            <w:pPr>
              <w:pStyle w:val="24"/>
            </w:pPr>
          </w:p>
        </w:tc>
        <w:tc>
          <w:tcPr>
            <w:tcW w:w="1705" w:type="dxa"/>
            <w:vAlign w:val="center"/>
          </w:tcPr>
          <w:p>
            <w:pPr>
              <w:pStyle w:val="24"/>
            </w:pPr>
          </w:p>
        </w:tc>
        <w:tc>
          <w:tcPr>
            <w:tcW w:w="2381" w:type="dxa"/>
            <w:vAlign w:val="center"/>
          </w:tcPr>
          <w:p>
            <w:pPr>
              <w:pStyle w:val="24"/>
            </w:pPr>
          </w:p>
        </w:tc>
        <w:tc>
          <w:tcPr>
            <w:tcW w:w="1704" w:type="dxa"/>
            <w:vAlign w:val="center"/>
          </w:tcPr>
          <w:p>
            <w:pPr>
              <w:pStyle w:val="24"/>
            </w:pPr>
          </w:p>
        </w:tc>
      </w:tr>
    </w:tbl>
    <w:p>
      <w:pPr>
        <w:pStyle w:val="3"/>
        <w:numPr>
          <w:ilvl w:val="1"/>
          <w:numId w:val="0"/>
        </w:numPr>
        <w:spacing w:before="156" w:after="156"/>
        <w:ind w:left="130"/>
      </w:pPr>
      <w:bookmarkStart w:id="112" w:name="_Toc23709"/>
      <w:r>
        <w:t>F2.2 危险度评价法</w:t>
      </w:r>
      <w:bookmarkEnd w:id="112"/>
    </w:p>
    <w:p>
      <w:pPr>
        <w:pStyle w:val="6"/>
        <w:ind w:firstLine="560"/>
      </w:pPr>
      <w:r>
        <w:t>危险度评价法是借鉴日本劳动省</w:t>
      </w:r>
      <w:r>
        <w:rPr>
          <w:rFonts w:hint="eastAsia"/>
        </w:rPr>
        <w:t>“</w:t>
      </w:r>
      <w:r>
        <w:t>六阶段</w:t>
      </w:r>
      <w:r>
        <w:rPr>
          <w:rFonts w:hint="eastAsia"/>
        </w:rPr>
        <w:t>”</w:t>
      </w:r>
      <w:r>
        <w:t>的定量评价表，结合我国的有关标准、规程，编制了</w:t>
      </w:r>
      <w:r>
        <w:rPr>
          <w:rFonts w:hint="eastAsia"/>
        </w:rPr>
        <w:t>“</w:t>
      </w:r>
      <w:r>
        <w:t>危险度评价取值表</w:t>
      </w:r>
      <w:r>
        <w:rPr>
          <w:rFonts w:hint="eastAsia"/>
        </w:rPr>
        <w:t>”</w:t>
      </w:r>
      <w:r>
        <w:t>，规定了危险度由物质、容量、温度、压力和操作等5个项目共同确定，其危险度分别按A=10分，B=5分，C=2分，D=0分赋值计分，由累计分值确定单元危险度，危险度分级见下表。</w:t>
      </w:r>
    </w:p>
    <w:p>
      <w:pPr>
        <w:adjustRightInd w:val="0"/>
        <w:snapToGrid w:val="0"/>
        <w:spacing w:line="360" w:lineRule="auto"/>
        <w:ind w:firstLine="482"/>
        <w:jc w:val="center"/>
        <w:rPr>
          <w:rFonts w:ascii="Times New Roman" w:hAnsi="Times New Roman" w:cs="Times New Roman"/>
          <w:b/>
          <w:color w:val="000000"/>
          <w:sz w:val="24"/>
        </w:rPr>
      </w:pPr>
    </w:p>
    <w:p>
      <w:pPr>
        <w:ind w:firstLine="560"/>
        <w:rPr>
          <w:rFonts w:ascii="Times New Roman" w:hAnsi="Times New Roman" w:cs="Times New Roman"/>
        </w:rPr>
      </w:pPr>
      <w:r>
        <w:rPr>
          <w:rFonts w:ascii="Times New Roman" w:hAnsi="Times New Roman" w:cs="Times New Roman"/>
        </w:rPr>
        <w:br w:type="page"/>
      </w:r>
    </w:p>
    <w:p>
      <w:pPr>
        <w:pStyle w:val="23"/>
      </w:pPr>
      <w:r>
        <w:t>附表</w:t>
      </w:r>
      <w:r>
        <w:rPr>
          <w:lang w:val="en-US"/>
        </w:rPr>
        <w:t>2.2</w:t>
      </w:r>
      <w:r>
        <w:t>-</w:t>
      </w:r>
      <w:r>
        <w:rPr>
          <w:lang w:val="en-US"/>
        </w:rPr>
        <w:t>2</w:t>
      </w:r>
      <w:r>
        <w:t xml:space="preserve"> 危险度分级</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08"/>
        <w:gridCol w:w="2108"/>
        <w:gridCol w:w="2199"/>
        <w:gridCol w:w="21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108" w:type="dxa"/>
            <w:vAlign w:val="center"/>
          </w:tcPr>
          <w:p>
            <w:pPr>
              <w:pStyle w:val="24"/>
              <w:rPr>
                <w:b/>
                <w:bCs/>
              </w:rPr>
            </w:pPr>
            <w:r>
              <w:rPr>
                <w:b/>
                <w:bCs/>
              </w:rPr>
              <w:t>总分值</w:t>
            </w:r>
          </w:p>
        </w:tc>
        <w:tc>
          <w:tcPr>
            <w:tcW w:w="2108" w:type="dxa"/>
            <w:vAlign w:val="center"/>
          </w:tcPr>
          <w:p>
            <w:pPr>
              <w:pStyle w:val="24"/>
              <w:rPr>
                <w:b/>
                <w:bCs/>
              </w:rPr>
            </w:pPr>
            <w:r>
              <w:rPr>
                <w:b/>
                <w:bCs/>
              </w:rPr>
              <w:t>≥16分</w:t>
            </w:r>
          </w:p>
        </w:tc>
        <w:tc>
          <w:tcPr>
            <w:tcW w:w="2199" w:type="dxa"/>
            <w:vAlign w:val="center"/>
          </w:tcPr>
          <w:p>
            <w:pPr>
              <w:pStyle w:val="24"/>
              <w:rPr>
                <w:b/>
                <w:bCs/>
              </w:rPr>
            </w:pPr>
            <w:r>
              <w:rPr>
                <w:b/>
                <w:bCs/>
              </w:rPr>
              <w:t>11～15分</w:t>
            </w:r>
          </w:p>
        </w:tc>
        <w:tc>
          <w:tcPr>
            <w:tcW w:w="2107" w:type="dxa"/>
            <w:vAlign w:val="center"/>
          </w:tcPr>
          <w:p>
            <w:pPr>
              <w:pStyle w:val="24"/>
              <w:rPr>
                <w:b/>
                <w:bCs/>
              </w:rPr>
            </w:pPr>
            <w:r>
              <w:rPr>
                <w:b/>
                <w:bCs/>
              </w:rPr>
              <w:t>≤10分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108" w:type="dxa"/>
            <w:vAlign w:val="center"/>
          </w:tcPr>
          <w:p>
            <w:pPr>
              <w:pStyle w:val="24"/>
            </w:pPr>
            <w:r>
              <w:t>等级</w:t>
            </w:r>
          </w:p>
        </w:tc>
        <w:tc>
          <w:tcPr>
            <w:tcW w:w="2108" w:type="dxa"/>
            <w:vAlign w:val="center"/>
          </w:tcPr>
          <w:p>
            <w:pPr>
              <w:pStyle w:val="24"/>
            </w:pPr>
            <w:r>
              <w:t>Ⅰ</w:t>
            </w:r>
          </w:p>
        </w:tc>
        <w:tc>
          <w:tcPr>
            <w:tcW w:w="2199" w:type="dxa"/>
            <w:vAlign w:val="center"/>
          </w:tcPr>
          <w:p>
            <w:pPr>
              <w:pStyle w:val="24"/>
            </w:pPr>
            <w:r>
              <w:t>Ⅱ</w:t>
            </w:r>
          </w:p>
        </w:tc>
        <w:tc>
          <w:tcPr>
            <w:tcW w:w="2107" w:type="dxa"/>
            <w:vAlign w:val="center"/>
          </w:tcPr>
          <w:p>
            <w:pPr>
              <w:pStyle w:val="24"/>
            </w:pPr>
            <w:r>
              <w:t>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108" w:type="dxa"/>
            <w:vAlign w:val="center"/>
          </w:tcPr>
          <w:p>
            <w:pPr>
              <w:pStyle w:val="24"/>
            </w:pPr>
            <w:r>
              <w:t>危险程度</w:t>
            </w:r>
          </w:p>
        </w:tc>
        <w:tc>
          <w:tcPr>
            <w:tcW w:w="2108" w:type="dxa"/>
            <w:vAlign w:val="center"/>
          </w:tcPr>
          <w:p>
            <w:pPr>
              <w:pStyle w:val="24"/>
            </w:pPr>
            <w:r>
              <w:t>高度危险</w:t>
            </w:r>
          </w:p>
        </w:tc>
        <w:tc>
          <w:tcPr>
            <w:tcW w:w="2199" w:type="dxa"/>
            <w:vAlign w:val="center"/>
          </w:tcPr>
          <w:p>
            <w:pPr>
              <w:pStyle w:val="24"/>
            </w:pPr>
            <w:r>
              <w:t>中度危险</w:t>
            </w:r>
          </w:p>
        </w:tc>
        <w:tc>
          <w:tcPr>
            <w:tcW w:w="2107" w:type="dxa"/>
            <w:vAlign w:val="center"/>
          </w:tcPr>
          <w:p>
            <w:pPr>
              <w:pStyle w:val="24"/>
            </w:pPr>
            <w:r>
              <w:t>低度危险</w:t>
            </w:r>
          </w:p>
        </w:tc>
      </w:tr>
    </w:tbl>
    <w:p>
      <w:pPr>
        <w:pStyle w:val="6"/>
        <w:ind w:firstLine="560"/>
      </w:pPr>
      <w:r>
        <w:t>·物质：物质本身固有的点火性、可燃性和爆炸性的程度。</w:t>
      </w:r>
    </w:p>
    <w:p>
      <w:pPr>
        <w:pStyle w:val="6"/>
        <w:ind w:firstLine="560"/>
      </w:pPr>
      <w:r>
        <w:t>·容量：容器的容量体积。</w:t>
      </w:r>
      <w:r>
        <w:tab/>
      </w:r>
    </w:p>
    <w:p>
      <w:pPr>
        <w:pStyle w:val="6"/>
        <w:ind w:firstLine="560"/>
      </w:pPr>
      <w:r>
        <w:t>·容量：运行温度和点火温度的关系。</w:t>
      </w:r>
    </w:p>
    <w:p>
      <w:pPr>
        <w:pStyle w:val="6"/>
        <w:ind w:firstLine="560"/>
      </w:pPr>
      <w:r>
        <w:t>·压力：运行压力（超高压、高压、中压、低压）。</w:t>
      </w:r>
    </w:p>
    <w:p>
      <w:pPr>
        <w:pStyle w:val="6"/>
        <w:ind w:firstLine="560"/>
      </w:pPr>
      <w:r>
        <w:t>·操作：运行条件引起爆炸或异常反应的可能性。</w:t>
      </w:r>
    </w:p>
    <w:p>
      <w:pPr>
        <w:pStyle w:val="23"/>
      </w:pPr>
      <w:r>
        <w:t>附表</w:t>
      </w:r>
      <w:r>
        <w:rPr>
          <w:lang w:val="en-US"/>
        </w:rPr>
        <w:t>2.2</w:t>
      </w:r>
      <w:r>
        <w:t>-</w:t>
      </w:r>
      <w:r>
        <w:rPr>
          <w:lang w:val="en-US"/>
        </w:rPr>
        <w:t>3</w:t>
      </w:r>
      <w:r>
        <w:t xml:space="preserve"> 危险度评价取值表</w:t>
      </w:r>
    </w:p>
    <w:tbl>
      <w:tblPr>
        <w:tblStyle w:val="19"/>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392"/>
        <w:gridCol w:w="1584"/>
        <w:gridCol w:w="2062"/>
        <w:gridCol w:w="1940"/>
        <w:gridCol w:w="154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1392" w:type="dxa"/>
            <w:vAlign w:val="center"/>
          </w:tcPr>
          <w:p>
            <w:pPr>
              <w:pStyle w:val="24"/>
              <w:rPr>
                <w:b/>
                <w:bCs/>
              </w:rPr>
            </w:pPr>
            <w:r>
              <w:rPr>
                <w:b/>
                <w:bCs/>
              </w:rPr>
              <w:t>分值</w:t>
            </w:r>
          </w:p>
          <w:p>
            <w:pPr>
              <w:pStyle w:val="24"/>
              <w:rPr>
                <w:b/>
                <w:bCs/>
              </w:rPr>
            </w:pPr>
            <w:r>
              <w:rPr>
                <w:b/>
                <w:bCs/>
              </w:rPr>
              <w:t>项目</w:t>
            </w:r>
          </w:p>
        </w:tc>
        <w:tc>
          <w:tcPr>
            <w:tcW w:w="1584" w:type="dxa"/>
            <w:vAlign w:val="center"/>
          </w:tcPr>
          <w:p>
            <w:pPr>
              <w:pStyle w:val="24"/>
              <w:rPr>
                <w:b/>
                <w:bCs/>
              </w:rPr>
            </w:pPr>
            <w:r>
              <w:rPr>
                <w:b/>
                <w:bCs/>
              </w:rPr>
              <w:t>A（10分）</w:t>
            </w:r>
          </w:p>
        </w:tc>
        <w:tc>
          <w:tcPr>
            <w:tcW w:w="2062" w:type="dxa"/>
            <w:vAlign w:val="center"/>
          </w:tcPr>
          <w:p>
            <w:pPr>
              <w:pStyle w:val="24"/>
              <w:rPr>
                <w:b/>
                <w:bCs/>
              </w:rPr>
            </w:pPr>
            <w:r>
              <w:rPr>
                <w:b/>
                <w:bCs/>
              </w:rPr>
              <w:t>B（5分）</w:t>
            </w:r>
          </w:p>
        </w:tc>
        <w:tc>
          <w:tcPr>
            <w:tcW w:w="1940" w:type="dxa"/>
            <w:vAlign w:val="center"/>
          </w:tcPr>
          <w:p>
            <w:pPr>
              <w:pStyle w:val="24"/>
              <w:rPr>
                <w:b/>
                <w:bCs/>
              </w:rPr>
            </w:pPr>
            <w:r>
              <w:rPr>
                <w:b/>
                <w:bCs/>
              </w:rPr>
              <w:t>C（2分）</w:t>
            </w:r>
          </w:p>
        </w:tc>
        <w:tc>
          <w:tcPr>
            <w:tcW w:w="1544" w:type="dxa"/>
            <w:vAlign w:val="center"/>
          </w:tcPr>
          <w:p>
            <w:pPr>
              <w:pStyle w:val="24"/>
              <w:rPr>
                <w:b/>
                <w:bCs/>
              </w:rPr>
            </w:pPr>
            <w:r>
              <w:rPr>
                <w:b/>
                <w:bCs/>
              </w:rPr>
              <w:t>D（0分）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1392" w:type="dxa"/>
            <w:vAlign w:val="center"/>
          </w:tcPr>
          <w:p>
            <w:pPr>
              <w:pStyle w:val="24"/>
              <w:rPr>
                <w:b/>
                <w:bCs/>
              </w:rPr>
            </w:pPr>
            <w:r>
              <w:rPr>
                <w:b/>
                <w:bCs/>
              </w:rPr>
              <w:t>物质（指单元中危险、有害程度最大之物质）</w:t>
            </w:r>
          </w:p>
        </w:tc>
        <w:tc>
          <w:tcPr>
            <w:tcW w:w="1584" w:type="dxa"/>
            <w:vAlign w:val="center"/>
          </w:tcPr>
          <w:p>
            <w:pPr>
              <w:pStyle w:val="24"/>
              <w:jc w:val="left"/>
            </w:pPr>
            <w:r>
              <w:t>⑴甲类可燃气体；</w:t>
            </w:r>
          </w:p>
          <w:p>
            <w:pPr>
              <w:pStyle w:val="24"/>
              <w:jc w:val="left"/>
            </w:pPr>
            <w:r>
              <w:t>⑵甲</w:t>
            </w:r>
            <w:r>
              <w:rPr>
                <w:vertAlign w:val="subscript"/>
              </w:rPr>
              <w:t>A</w:t>
            </w:r>
            <w:r>
              <w:t>类物质及液态烃类；</w:t>
            </w:r>
          </w:p>
          <w:p>
            <w:pPr>
              <w:pStyle w:val="24"/>
              <w:jc w:val="left"/>
            </w:pPr>
            <w:r>
              <w:t>⑶甲类固体；</w:t>
            </w:r>
          </w:p>
          <w:p>
            <w:pPr>
              <w:pStyle w:val="24"/>
              <w:jc w:val="left"/>
            </w:pPr>
            <w:r>
              <w:t>⑷极度有害介质</w:t>
            </w:r>
          </w:p>
        </w:tc>
        <w:tc>
          <w:tcPr>
            <w:tcW w:w="2062" w:type="dxa"/>
            <w:vAlign w:val="center"/>
          </w:tcPr>
          <w:p>
            <w:pPr>
              <w:pStyle w:val="24"/>
              <w:jc w:val="left"/>
            </w:pPr>
            <w:r>
              <w:t>⑴乙类可燃气体；</w:t>
            </w:r>
          </w:p>
          <w:p>
            <w:pPr>
              <w:pStyle w:val="24"/>
              <w:jc w:val="left"/>
            </w:pPr>
            <w:r>
              <w:t>⑵甲</w:t>
            </w:r>
            <w:r>
              <w:rPr>
                <w:vertAlign w:val="subscript"/>
              </w:rPr>
              <w:t>B</w:t>
            </w:r>
            <w:r>
              <w:t>、乙</w:t>
            </w:r>
            <w:r>
              <w:rPr>
                <w:vertAlign w:val="subscript"/>
              </w:rPr>
              <w:t>A</w:t>
            </w:r>
            <w:r>
              <w:t>类可燃液体；</w:t>
            </w:r>
          </w:p>
          <w:p>
            <w:pPr>
              <w:pStyle w:val="24"/>
              <w:jc w:val="left"/>
            </w:pPr>
            <w:r>
              <w:t>⑶乙类固体；</w:t>
            </w:r>
          </w:p>
          <w:p>
            <w:pPr>
              <w:pStyle w:val="24"/>
              <w:jc w:val="left"/>
            </w:pPr>
            <w:r>
              <w:t>⑷高度有害介质</w:t>
            </w:r>
          </w:p>
        </w:tc>
        <w:tc>
          <w:tcPr>
            <w:tcW w:w="1940" w:type="dxa"/>
            <w:vAlign w:val="center"/>
          </w:tcPr>
          <w:p>
            <w:pPr>
              <w:pStyle w:val="24"/>
              <w:jc w:val="left"/>
            </w:pPr>
            <w:r>
              <w:t>⑴乙</w:t>
            </w:r>
            <w:r>
              <w:rPr>
                <w:vertAlign w:val="subscript"/>
              </w:rPr>
              <w:t>B</w:t>
            </w:r>
            <w:r>
              <w:t>、丙</w:t>
            </w:r>
            <w:r>
              <w:rPr>
                <w:vertAlign w:val="subscript"/>
              </w:rPr>
              <w:t>A</w:t>
            </w:r>
            <w:r>
              <w:t>、丙</w:t>
            </w:r>
            <w:r>
              <w:rPr>
                <w:vertAlign w:val="subscript"/>
              </w:rPr>
              <w:t>B</w:t>
            </w:r>
            <w:r>
              <w:t>类可燃液体；</w:t>
            </w:r>
          </w:p>
          <w:p>
            <w:pPr>
              <w:pStyle w:val="24"/>
              <w:jc w:val="left"/>
            </w:pPr>
            <w:r>
              <w:t>⑵丙类固体；</w:t>
            </w:r>
          </w:p>
          <w:p>
            <w:pPr>
              <w:pStyle w:val="24"/>
              <w:jc w:val="left"/>
            </w:pPr>
            <w:r>
              <w:t>⑶中、轻度有害介质</w:t>
            </w:r>
          </w:p>
        </w:tc>
        <w:tc>
          <w:tcPr>
            <w:tcW w:w="1544" w:type="dxa"/>
            <w:vAlign w:val="center"/>
          </w:tcPr>
          <w:p>
            <w:pPr>
              <w:pStyle w:val="24"/>
              <w:jc w:val="left"/>
            </w:pPr>
            <w:r>
              <w:t>不属左述之A、B、C项之物质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1392" w:type="dxa"/>
            <w:vAlign w:val="center"/>
          </w:tcPr>
          <w:p>
            <w:pPr>
              <w:pStyle w:val="24"/>
              <w:rPr>
                <w:b/>
                <w:bCs/>
              </w:rPr>
            </w:pPr>
            <w:r>
              <w:rPr>
                <w:b/>
                <w:bCs/>
              </w:rPr>
              <w:t>容量*</w:t>
            </w:r>
          </w:p>
        </w:tc>
        <w:tc>
          <w:tcPr>
            <w:tcW w:w="1584" w:type="dxa"/>
            <w:vAlign w:val="center"/>
          </w:tcPr>
          <w:p>
            <w:pPr>
              <w:pStyle w:val="24"/>
              <w:jc w:val="left"/>
            </w:pPr>
            <w:r>
              <w:t>⑴气体1000m³ 以上；</w:t>
            </w:r>
          </w:p>
          <w:p>
            <w:pPr>
              <w:pStyle w:val="24"/>
              <w:jc w:val="left"/>
            </w:pPr>
            <w:r>
              <w:t>⑵液体100m³ 以上</w:t>
            </w:r>
          </w:p>
        </w:tc>
        <w:tc>
          <w:tcPr>
            <w:tcW w:w="2062" w:type="dxa"/>
            <w:vAlign w:val="center"/>
          </w:tcPr>
          <w:p>
            <w:pPr>
              <w:pStyle w:val="24"/>
              <w:jc w:val="left"/>
            </w:pPr>
            <w:r>
              <w:t>⑴气体500～1000m³；</w:t>
            </w:r>
          </w:p>
          <w:p>
            <w:pPr>
              <w:pStyle w:val="24"/>
              <w:jc w:val="left"/>
            </w:pPr>
            <w:r>
              <w:t>⑵液体50～100m³</w:t>
            </w:r>
          </w:p>
        </w:tc>
        <w:tc>
          <w:tcPr>
            <w:tcW w:w="1940" w:type="dxa"/>
            <w:vAlign w:val="center"/>
          </w:tcPr>
          <w:p>
            <w:pPr>
              <w:pStyle w:val="24"/>
              <w:jc w:val="left"/>
            </w:pPr>
            <w:r>
              <w:t>⑴气体100～500m³；</w:t>
            </w:r>
          </w:p>
          <w:p>
            <w:pPr>
              <w:pStyle w:val="24"/>
              <w:jc w:val="left"/>
            </w:pPr>
            <w:r>
              <w:t>⑵液体10～50m³</w:t>
            </w:r>
          </w:p>
        </w:tc>
        <w:tc>
          <w:tcPr>
            <w:tcW w:w="1544" w:type="dxa"/>
            <w:vAlign w:val="center"/>
          </w:tcPr>
          <w:p>
            <w:pPr>
              <w:pStyle w:val="24"/>
              <w:jc w:val="left"/>
            </w:pPr>
            <w:r>
              <w:t>⑴气体＜100m³</w:t>
            </w:r>
          </w:p>
          <w:p>
            <w:pPr>
              <w:pStyle w:val="24"/>
              <w:jc w:val="left"/>
            </w:pPr>
            <w:r>
              <w:t>⑵液体＜10m³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1392" w:type="dxa"/>
            <w:vAlign w:val="center"/>
          </w:tcPr>
          <w:p>
            <w:pPr>
              <w:pStyle w:val="24"/>
              <w:rPr>
                <w:b/>
                <w:bCs/>
              </w:rPr>
            </w:pPr>
            <w:r>
              <w:rPr>
                <w:b/>
                <w:bCs/>
              </w:rPr>
              <w:t>温度</w:t>
            </w:r>
          </w:p>
        </w:tc>
        <w:tc>
          <w:tcPr>
            <w:tcW w:w="1584" w:type="dxa"/>
            <w:vAlign w:val="center"/>
          </w:tcPr>
          <w:p>
            <w:pPr>
              <w:pStyle w:val="24"/>
              <w:jc w:val="left"/>
            </w:pPr>
            <w:r>
              <w:t>1000℃以上使用，其操作温度在燃点以上。</w:t>
            </w:r>
          </w:p>
        </w:tc>
        <w:tc>
          <w:tcPr>
            <w:tcW w:w="2062" w:type="dxa"/>
            <w:vAlign w:val="center"/>
          </w:tcPr>
          <w:p>
            <w:pPr>
              <w:pStyle w:val="24"/>
              <w:jc w:val="left"/>
            </w:pPr>
            <w:r>
              <w:t>⑴1000℃以上使用，但操作温度在燃点以下；</w:t>
            </w:r>
          </w:p>
          <w:p>
            <w:pPr>
              <w:pStyle w:val="24"/>
              <w:jc w:val="left"/>
            </w:pPr>
            <w:r>
              <w:t>⑵在250～1000℃使用，其操作温度在燃点以上。</w:t>
            </w:r>
          </w:p>
        </w:tc>
        <w:tc>
          <w:tcPr>
            <w:tcW w:w="1940" w:type="dxa"/>
            <w:vAlign w:val="center"/>
          </w:tcPr>
          <w:p>
            <w:pPr>
              <w:pStyle w:val="24"/>
              <w:jc w:val="left"/>
            </w:pPr>
            <w:r>
              <w:t>⑴在250～1000℃使用，但操作温度在燃点以下；</w:t>
            </w:r>
          </w:p>
          <w:p>
            <w:pPr>
              <w:pStyle w:val="24"/>
              <w:jc w:val="left"/>
            </w:pPr>
            <w:r>
              <w:t>⑵在低于250℃时使用，操作温度在燃点以上。</w:t>
            </w:r>
          </w:p>
        </w:tc>
        <w:tc>
          <w:tcPr>
            <w:tcW w:w="1544" w:type="dxa"/>
            <w:vAlign w:val="center"/>
          </w:tcPr>
          <w:p>
            <w:pPr>
              <w:pStyle w:val="24"/>
              <w:jc w:val="left"/>
            </w:pPr>
            <w:r>
              <w:t>在低于250℃时使用，操作温度在燃点以下。</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1392" w:type="dxa"/>
            <w:vAlign w:val="center"/>
          </w:tcPr>
          <w:p>
            <w:pPr>
              <w:pStyle w:val="24"/>
              <w:rPr>
                <w:b/>
                <w:bCs/>
              </w:rPr>
            </w:pPr>
            <w:r>
              <w:rPr>
                <w:b/>
                <w:bCs/>
              </w:rPr>
              <w:t>压力</w:t>
            </w:r>
          </w:p>
        </w:tc>
        <w:tc>
          <w:tcPr>
            <w:tcW w:w="1584" w:type="dxa"/>
            <w:vAlign w:val="center"/>
          </w:tcPr>
          <w:p>
            <w:pPr>
              <w:pStyle w:val="24"/>
              <w:jc w:val="left"/>
            </w:pPr>
            <w:r>
              <w:t>100MPa</w:t>
            </w:r>
          </w:p>
        </w:tc>
        <w:tc>
          <w:tcPr>
            <w:tcW w:w="2062" w:type="dxa"/>
            <w:vAlign w:val="center"/>
          </w:tcPr>
          <w:p>
            <w:pPr>
              <w:pStyle w:val="24"/>
              <w:jc w:val="left"/>
            </w:pPr>
            <w:r>
              <w:t>20～100MPa</w:t>
            </w:r>
          </w:p>
        </w:tc>
        <w:tc>
          <w:tcPr>
            <w:tcW w:w="1940" w:type="dxa"/>
            <w:vAlign w:val="center"/>
          </w:tcPr>
          <w:p>
            <w:pPr>
              <w:pStyle w:val="24"/>
              <w:jc w:val="left"/>
            </w:pPr>
            <w:r>
              <w:t>1～20MPa</w:t>
            </w:r>
          </w:p>
        </w:tc>
        <w:tc>
          <w:tcPr>
            <w:tcW w:w="1544" w:type="dxa"/>
            <w:vAlign w:val="center"/>
          </w:tcPr>
          <w:p>
            <w:pPr>
              <w:pStyle w:val="24"/>
              <w:jc w:val="left"/>
            </w:pPr>
            <w:r>
              <w:t>1MPa以下</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1392" w:type="dxa"/>
            <w:vAlign w:val="center"/>
          </w:tcPr>
          <w:p>
            <w:pPr>
              <w:pStyle w:val="24"/>
              <w:rPr>
                <w:b/>
                <w:bCs/>
              </w:rPr>
            </w:pPr>
            <w:r>
              <w:rPr>
                <w:b/>
                <w:bCs/>
              </w:rPr>
              <w:t>操作</w:t>
            </w:r>
          </w:p>
        </w:tc>
        <w:tc>
          <w:tcPr>
            <w:tcW w:w="1584" w:type="dxa"/>
            <w:vAlign w:val="center"/>
          </w:tcPr>
          <w:p>
            <w:pPr>
              <w:pStyle w:val="24"/>
              <w:jc w:val="left"/>
            </w:pPr>
            <w:r>
              <w:t>⑴临界放热和特别剧烈的放热反应操作；</w:t>
            </w:r>
          </w:p>
          <w:p>
            <w:pPr>
              <w:pStyle w:val="24"/>
              <w:jc w:val="left"/>
            </w:pPr>
            <w:r>
              <w:t>⑵在爆炸极限范围内或其附近的操作。</w:t>
            </w:r>
          </w:p>
        </w:tc>
        <w:tc>
          <w:tcPr>
            <w:tcW w:w="2062" w:type="dxa"/>
            <w:vAlign w:val="center"/>
          </w:tcPr>
          <w:p>
            <w:pPr>
              <w:pStyle w:val="24"/>
              <w:jc w:val="left"/>
            </w:pPr>
            <w:r>
              <w:t>⑴中等放热反应</w:t>
            </w:r>
            <w:r>
              <w:cr/>
            </w:r>
            <w:r>
              <w:t>（如烷基化、酯化、加成、氧化、聚合、缩合等反应）操作；</w:t>
            </w:r>
          </w:p>
          <w:p>
            <w:pPr>
              <w:pStyle w:val="24"/>
              <w:jc w:val="left"/>
            </w:pPr>
            <w:r>
              <w:t>⑵系统进入空气或不纯物质，可能发生的危险、操作；</w:t>
            </w:r>
            <w:r>
              <w:cr/>
            </w:r>
            <w:r>
              <w:t>⑶使用粉状或雾状物质，有可能发生粉尘爆炸的操作；</w:t>
            </w:r>
          </w:p>
          <w:p>
            <w:pPr>
              <w:pStyle w:val="24"/>
              <w:jc w:val="left"/>
            </w:pPr>
            <w:r>
              <w:t>⑷单批式操作</w:t>
            </w:r>
          </w:p>
        </w:tc>
        <w:tc>
          <w:tcPr>
            <w:tcW w:w="1940" w:type="dxa"/>
            <w:vAlign w:val="center"/>
          </w:tcPr>
          <w:p>
            <w:pPr>
              <w:pStyle w:val="24"/>
              <w:jc w:val="left"/>
            </w:pPr>
            <w:r>
              <w:t>⑴轻微放热反应</w:t>
            </w:r>
            <w:r>
              <w:cr/>
            </w:r>
            <w:r>
              <w:t>（如加氢、水合、异构化、烷基化、磺化、中和等反应）操作；</w:t>
            </w:r>
          </w:p>
          <w:p>
            <w:pPr>
              <w:pStyle w:val="24"/>
              <w:jc w:val="left"/>
            </w:pPr>
            <w:r>
              <w:t>⑵在精制过程中伴有化学反应；</w:t>
            </w:r>
            <w:r>
              <w:cr/>
            </w:r>
            <w:r>
              <w:t>⑶单批式操作，但开始使用机械等手段进行程序操作；</w:t>
            </w:r>
          </w:p>
          <w:p>
            <w:pPr>
              <w:pStyle w:val="24"/>
              <w:jc w:val="left"/>
            </w:pPr>
            <w:r>
              <w:t>⑷有一定危险的操作</w:t>
            </w:r>
          </w:p>
        </w:tc>
        <w:tc>
          <w:tcPr>
            <w:tcW w:w="1544" w:type="dxa"/>
            <w:vAlign w:val="center"/>
          </w:tcPr>
          <w:p>
            <w:pPr>
              <w:pStyle w:val="24"/>
              <w:jc w:val="left"/>
            </w:pPr>
            <w:r>
              <w:t>无危险的操作</w:t>
            </w:r>
          </w:p>
        </w:tc>
      </w:tr>
    </w:tbl>
    <w:p>
      <w:pPr>
        <w:adjustRightInd w:val="0"/>
        <w:snapToGrid w:val="0"/>
        <w:spacing w:line="360" w:lineRule="auto"/>
        <w:ind w:firstLine="210" w:firstLineChars="100"/>
        <w:rPr>
          <w:rFonts w:ascii="Times New Roman" w:hAnsi="Times New Roman" w:cs="Times New Roman"/>
          <w:snapToGrid w:val="0"/>
          <w:kern w:val="0"/>
        </w:rPr>
      </w:pPr>
      <w:r>
        <w:rPr>
          <w:rStyle w:val="30"/>
        </w:rPr>
        <w:t>注：*①有触媒的反应，应去掉触媒层所占空间；②气液混合反应，应按反应的形态选择上述规定</w:t>
      </w:r>
      <w:r>
        <w:rPr>
          <w:rFonts w:ascii="Times New Roman" w:hAnsi="Times New Roman" w:cs="Times New Roman"/>
          <w:snapToGrid w:val="0"/>
          <w:kern w:val="0"/>
        </w:rPr>
        <w:t>。</w:t>
      </w:r>
    </w:p>
    <w:p>
      <w:pPr>
        <w:pStyle w:val="3"/>
        <w:numPr>
          <w:ilvl w:val="1"/>
          <w:numId w:val="0"/>
        </w:numPr>
        <w:spacing w:before="156" w:after="156"/>
        <w:ind w:left="130"/>
      </w:pPr>
      <w:bookmarkStart w:id="113" w:name="_Toc14620"/>
      <w:r>
        <w:t>F2.3 事故后果模拟</w:t>
      </w:r>
      <w:bookmarkEnd w:id="113"/>
    </w:p>
    <w:p>
      <w:pPr>
        <w:pStyle w:val="6"/>
        <w:ind w:firstLine="560"/>
        <w:rPr>
          <w:lang w:val="en-US"/>
        </w:rPr>
      </w:pPr>
      <w:r>
        <w:rPr>
          <w:lang w:val="en-US"/>
        </w:rPr>
        <w:t>事故后果模拟分析法是在数学、物理模型的基础上，选择适当的数值计算方法，对危险单元或系统进行模拟，预演事故的发生过程及事故后果的影响范围，从而能更加形象直观地认识所评估单元或系统的危险及危害性，为设计人员、管理人员和企业、政府职能部门的高层决策者提供客观依据的一种评估方法。模拟评估方法通过采用数学模型对所确定的危险单元或系统进行事故过程模拟，对事故所造成的危害影响则选用相应的伤害模型进行危害评估，对事故的影响区域、人员伤亡、财产损失情况进行描述。</w:t>
      </w:r>
    </w:p>
    <w:p>
      <w:pPr>
        <w:pStyle w:val="6"/>
        <w:ind w:firstLine="560"/>
        <w:rPr>
          <w:lang w:val="en-US"/>
        </w:rPr>
      </w:pPr>
      <w:r>
        <w:rPr>
          <w:lang w:val="en-US"/>
        </w:rPr>
        <w:t>由于事故发生具有不可预见性，不一定按照设定的模式发生，因此本次事故后果模拟计算的结果仅供参考。</w:t>
      </w:r>
    </w:p>
    <w:p>
      <w:pPr>
        <w:ind w:firstLine="560"/>
        <w:rPr>
          <w:rFonts w:ascii="Times New Roman" w:hAnsi="Times New Roman" w:cs="Times New Roman"/>
        </w:rPr>
      </w:pPr>
      <w:r>
        <w:rPr>
          <w:rFonts w:ascii="Times New Roman" w:hAnsi="Times New Roman" w:cs="Times New Roman"/>
        </w:rPr>
        <w:br w:type="page"/>
      </w:r>
    </w:p>
    <w:p>
      <w:pPr>
        <w:pStyle w:val="16"/>
        <w:numPr>
          <w:ilvl w:val="0"/>
          <w:numId w:val="0"/>
        </w:numPr>
        <w:rPr>
          <w:rFonts w:ascii="Times New Roman" w:hAnsi="Times New Roman" w:cs="Times New Roman"/>
        </w:rPr>
      </w:pPr>
      <w:bookmarkStart w:id="114" w:name="_Toc15406"/>
      <w:r>
        <w:rPr>
          <w:rFonts w:ascii="Times New Roman" w:hAnsi="Times New Roman" w:cs="Times New Roman"/>
        </w:rPr>
        <w:t>附件3 定性、定量分析过程</w:t>
      </w:r>
      <w:bookmarkEnd w:id="114"/>
    </w:p>
    <w:p>
      <w:pPr>
        <w:pStyle w:val="3"/>
        <w:numPr>
          <w:ilvl w:val="1"/>
          <w:numId w:val="0"/>
        </w:numPr>
        <w:spacing w:before="156" w:after="156"/>
        <w:ind w:left="130"/>
      </w:pPr>
      <w:bookmarkStart w:id="115" w:name="_Toc15927"/>
      <w:r>
        <w:t>F3.1</w:t>
      </w:r>
      <w:bookmarkStart w:id="116" w:name="_Toc334711570"/>
      <w:bookmarkStart w:id="117" w:name="_Toc371874386"/>
      <w:bookmarkStart w:id="118" w:name="_Toc430293773"/>
      <w:bookmarkStart w:id="119" w:name="_Toc371874460"/>
      <w:bookmarkStart w:id="120" w:name="_Toc376527181"/>
      <w:bookmarkStart w:id="121" w:name="_Toc371873888"/>
      <w:bookmarkStart w:id="122" w:name="_Toc399836451"/>
      <w:bookmarkStart w:id="123" w:name="_Toc371874211"/>
      <w:bookmarkStart w:id="124" w:name="_Toc343587746"/>
      <w:bookmarkStart w:id="125" w:name="_Toc365004269"/>
      <w:bookmarkStart w:id="126" w:name="_Toc372141322"/>
      <w:bookmarkStart w:id="127" w:name="_Toc336610797"/>
      <w:r>
        <w:t xml:space="preserve"> 安全检查表法</w:t>
      </w:r>
      <w:bookmarkEnd w:id="115"/>
    </w:p>
    <w:p>
      <w:pPr>
        <w:pStyle w:val="4"/>
        <w:spacing w:before="62" w:after="62"/>
      </w:pPr>
      <w:r>
        <w:t>F3.</w:t>
      </w:r>
      <w:bookmarkEnd w:id="116"/>
      <w:bookmarkEnd w:id="117"/>
      <w:bookmarkEnd w:id="118"/>
      <w:bookmarkEnd w:id="119"/>
      <w:bookmarkEnd w:id="120"/>
      <w:bookmarkEnd w:id="121"/>
      <w:bookmarkEnd w:id="122"/>
      <w:bookmarkEnd w:id="123"/>
      <w:bookmarkEnd w:id="124"/>
      <w:bookmarkEnd w:id="125"/>
      <w:bookmarkEnd w:id="126"/>
      <w:bookmarkEnd w:id="127"/>
      <w:r>
        <w:t>1.1外部安全条件及总平面布置单元</w:t>
      </w:r>
    </w:p>
    <w:p>
      <w:pPr>
        <w:pStyle w:val="6"/>
        <w:ind w:firstLine="560"/>
      </w:pPr>
      <w:r>
        <w:t>本节采用安全检查表法对中国石化股份有限公司胜利油田分公司石油化工总厂原油</w:t>
      </w:r>
      <w:r>
        <w:rPr>
          <w:rFonts w:hint="eastAsia"/>
          <w:lang w:val="en-US" w:eastAsia="zh-CN"/>
        </w:rPr>
        <w:t>罐区</w:t>
      </w:r>
      <w:r>
        <w:t>分输分储改造工程项目</w:t>
      </w:r>
      <w:r>
        <w:rPr>
          <w:lang w:val="en-US"/>
        </w:rPr>
        <w:t>外部安全条件</w:t>
      </w:r>
      <w:r>
        <w:t>及总平面布置单元进行安全检查。检查表的编制主要依据《石油化工企业设计防火标准（</w:t>
      </w:r>
      <w:r>
        <w:rPr>
          <w:rFonts w:hint="eastAsia"/>
          <w:lang w:val="en-US"/>
        </w:rPr>
        <w:t>2018年版</w:t>
      </w:r>
      <w:r>
        <w:t>）》（GB</w:t>
      </w:r>
      <w:r>
        <w:rPr>
          <w:lang w:val="en-US"/>
        </w:rPr>
        <w:t xml:space="preserve"> </w:t>
      </w:r>
      <w:r>
        <w:t>50160-2008）、《工业企业总平面设计规范》（GB</w:t>
      </w:r>
      <w:r>
        <w:rPr>
          <w:lang w:val="en-US"/>
        </w:rPr>
        <w:t xml:space="preserve"> </w:t>
      </w:r>
      <w:r>
        <w:t>50187-2012）、《石油化工工厂布置设计规范》（GB</w:t>
      </w:r>
      <w:r>
        <w:rPr>
          <w:lang w:val="en-US"/>
        </w:rPr>
        <w:t xml:space="preserve"> </w:t>
      </w:r>
      <w:r>
        <w:t>50984-2014）等标准。具体检查内容见附表3.1-1。</w:t>
      </w:r>
    </w:p>
    <w:p>
      <w:pPr>
        <w:pStyle w:val="6"/>
        <w:keepNext w:val="0"/>
        <w:keepLines w:val="0"/>
        <w:pageBreakBefore w:val="0"/>
        <w:widowControl/>
        <w:kinsoku/>
        <w:wordWrap/>
        <w:overflowPunct/>
        <w:topLinePunct w:val="0"/>
        <w:autoSpaceDE/>
        <w:autoSpaceDN/>
        <w:bidi w:val="0"/>
        <w:adjustRightInd/>
        <w:snapToGrid w:val="0"/>
        <w:ind w:firstLine="560"/>
        <w:textAlignment w:val="auto"/>
      </w:pPr>
      <w:r>
        <w:t>本安全检查表为定性评价，将检查的内容系统的列出，逐项检查，以便发现可能存在的缺陷及隐患。本表以提问的方式进行检查，以</w:t>
      </w:r>
      <w:r>
        <w:rPr>
          <w:rFonts w:hint="eastAsia"/>
        </w:rPr>
        <w:t>“</w:t>
      </w:r>
      <w:r>
        <w:t>√</w:t>
      </w:r>
      <w:r>
        <w:rPr>
          <w:rFonts w:hint="eastAsia"/>
        </w:rPr>
        <w:t>”</w:t>
      </w:r>
      <w:r>
        <w:t>、</w:t>
      </w:r>
      <w:r>
        <w:rPr>
          <w:rFonts w:hint="eastAsia"/>
        </w:rPr>
        <w:t>“</w:t>
      </w:r>
      <w:r>
        <w:t>×</w:t>
      </w:r>
      <w:r>
        <w:rPr>
          <w:rFonts w:hint="eastAsia"/>
        </w:rPr>
        <w:t>”</w:t>
      </w:r>
      <w:r>
        <w:t>、或</w:t>
      </w:r>
      <w:r>
        <w:rPr>
          <w:rFonts w:hint="eastAsia"/>
        </w:rPr>
        <w:t>“</w:t>
      </w:r>
      <w:r>
        <w:t>△</w:t>
      </w:r>
      <w:r>
        <w:rPr>
          <w:rFonts w:hint="eastAsia"/>
        </w:rPr>
        <w:t>”</w:t>
      </w:r>
      <w:r>
        <w:t>回答问题。</w:t>
      </w:r>
      <w:r>
        <w:rPr>
          <w:rFonts w:hint="eastAsia"/>
        </w:rPr>
        <w:t>“</w:t>
      </w:r>
      <w:r>
        <w:t>√</w:t>
      </w:r>
      <w:r>
        <w:rPr>
          <w:rFonts w:hint="eastAsia"/>
        </w:rPr>
        <w:t>”</w:t>
      </w:r>
      <w:r>
        <w:t>表示符合条件；</w:t>
      </w:r>
      <w:r>
        <w:rPr>
          <w:rFonts w:hint="eastAsia"/>
        </w:rPr>
        <w:t>“</w:t>
      </w:r>
      <w:r>
        <w:t>×</w:t>
      </w:r>
      <w:r>
        <w:rPr>
          <w:rFonts w:hint="eastAsia"/>
        </w:rPr>
        <w:t>”</w:t>
      </w:r>
      <w:r>
        <w:t>表示不符合条件，存在问题和缺陷，有待改进，</w:t>
      </w:r>
      <w:r>
        <w:rPr>
          <w:rFonts w:hint="eastAsia"/>
        </w:rPr>
        <w:t>“</w:t>
      </w:r>
      <w:r>
        <w:t>△</w:t>
      </w:r>
      <w:r>
        <w:rPr>
          <w:rFonts w:hint="eastAsia"/>
        </w:rPr>
        <w:t>”</w:t>
      </w:r>
      <w:r>
        <w:t>表示无法判断或未说明。</w:t>
      </w:r>
    </w:p>
    <w:p>
      <w:pPr>
        <w:pStyle w:val="6"/>
        <w:keepNext w:val="0"/>
        <w:keepLines w:val="0"/>
        <w:pageBreakBefore w:val="0"/>
        <w:widowControl/>
        <w:kinsoku/>
        <w:wordWrap/>
        <w:overflowPunct/>
        <w:topLinePunct w:val="0"/>
        <w:autoSpaceDE/>
        <w:autoSpaceDN/>
        <w:bidi w:val="0"/>
        <w:adjustRightInd/>
        <w:snapToGrid w:val="0"/>
        <w:ind w:firstLine="560"/>
        <w:textAlignment w:val="auto"/>
        <w:rPr>
          <w:b/>
          <w:bCs/>
        </w:rPr>
      </w:pPr>
      <w:r>
        <w:rPr>
          <w:rFonts w:hint="eastAsia"/>
          <w:b/>
          <w:bCs/>
        </w:rPr>
        <w:t>涉及企业机密，不予公开。</w:t>
      </w:r>
    </w:p>
    <w:p>
      <w:pPr>
        <w:pStyle w:val="4"/>
        <w:spacing w:before="62" w:after="62"/>
      </w:pPr>
      <w:r>
        <w:t>F3.1.2储运单元</w:t>
      </w:r>
    </w:p>
    <w:p>
      <w:pPr>
        <w:pStyle w:val="6"/>
        <w:ind w:firstLine="560"/>
        <w:rPr>
          <w:b/>
          <w:bCs/>
        </w:rPr>
      </w:pPr>
      <w:r>
        <w:rPr>
          <w:rFonts w:hint="eastAsia"/>
          <w:b/>
          <w:bCs/>
        </w:rPr>
        <w:t>涉及企业机密，不予公开。</w:t>
      </w:r>
    </w:p>
    <w:p>
      <w:pPr>
        <w:pStyle w:val="4"/>
        <w:spacing w:before="62" w:after="62"/>
      </w:pPr>
      <w:r>
        <w:t>F3.1.3公用工程及辅助设施单元</w:t>
      </w:r>
    </w:p>
    <w:p>
      <w:r>
        <w:rPr>
          <w:rFonts w:hint="eastAsia"/>
          <w:b/>
          <w:bCs/>
        </w:rPr>
        <w:t>涉及企业机密，不予公开。</w:t>
      </w:r>
    </w:p>
    <w:p>
      <w:pPr>
        <w:pStyle w:val="3"/>
        <w:numPr>
          <w:ilvl w:val="1"/>
          <w:numId w:val="0"/>
        </w:numPr>
        <w:spacing w:before="156" w:after="156"/>
        <w:ind w:left="130"/>
      </w:pPr>
      <w:bookmarkStart w:id="128" w:name="_Toc22416"/>
      <w:r>
        <w:t>F3.2 定量分析评价</w:t>
      </w:r>
      <w:bookmarkEnd w:id="128"/>
    </w:p>
    <w:p>
      <w:bookmarkStart w:id="129" w:name="_Toc202756473"/>
      <w:r>
        <w:br w:type="page"/>
      </w:r>
    </w:p>
    <w:p>
      <w:pPr>
        <w:pStyle w:val="4"/>
        <w:spacing w:before="62" w:after="62"/>
      </w:pPr>
      <w:r>
        <w:t>附3.2.1 危险度法评价</w:t>
      </w:r>
      <w:bookmarkEnd w:id="129"/>
    </w:p>
    <w:p>
      <w:pPr>
        <w:pStyle w:val="6"/>
        <w:ind w:firstLine="560"/>
      </w:pPr>
      <w:r>
        <w:t>根据该项目实际情况，对原油</w:t>
      </w:r>
      <w:r>
        <w:rPr>
          <w:rFonts w:hint="eastAsia"/>
          <w:lang w:val="en-US" w:eastAsia="zh-CN"/>
        </w:rPr>
        <w:t>罐区</w:t>
      </w:r>
      <w:r>
        <w:t>分输分储改造工程项目</w:t>
      </w:r>
      <w:r>
        <w:rPr>
          <w:lang w:val="en-US"/>
        </w:rPr>
        <w:t>30000m³原油储罐</w:t>
      </w:r>
      <w:r>
        <w:t>进行危险度评价。</w:t>
      </w:r>
    </w:p>
    <w:p>
      <w:pPr>
        <w:pStyle w:val="23"/>
      </w:pPr>
      <w:r>
        <w:t>附表</w:t>
      </w:r>
      <w:r>
        <w:rPr>
          <w:lang w:val="en-US"/>
        </w:rPr>
        <w:t>3</w:t>
      </w:r>
      <w:r>
        <w:t>.2-1  危险度评价取值表</w:t>
      </w:r>
    </w:p>
    <w:tbl>
      <w:tblPr>
        <w:tblStyle w:val="19"/>
        <w:tblW w:w="940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942"/>
        <w:gridCol w:w="1568"/>
        <w:gridCol w:w="709"/>
        <w:gridCol w:w="709"/>
        <w:gridCol w:w="709"/>
        <w:gridCol w:w="708"/>
        <w:gridCol w:w="709"/>
        <w:gridCol w:w="709"/>
        <w:gridCol w:w="163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tblHeader/>
          <w:jc w:val="center"/>
        </w:trPr>
        <w:tc>
          <w:tcPr>
            <w:tcW w:w="1942" w:type="dxa"/>
            <w:vAlign w:val="center"/>
          </w:tcPr>
          <w:p>
            <w:pPr>
              <w:pStyle w:val="24"/>
              <w:rPr>
                <w:b/>
                <w:bCs/>
              </w:rPr>
            </w:pPr>
            <w:r>
              <w:rPr>
                <w:b/>
                <w:bCs/>
              </w:rPr>
              <w:t>子单元</w:t>
            </w:r>
          </w:p>
        </w:tc>
        <w:tc>
          <w:tcPr>
            <w:tcW w:w="1568" w:type="dxa"/>
            <w:vAlign w:val="center"/>
          </w:tcPr>
          <w:p>
            <w:pPr>
              <w:pStyle w:val="24"/>
              <w:rPr>
                <w:b/>
                <w:bCs/>
              </w:rPr>
            </w:pPr>
            <w:r>
              <w:rPr>
                <w:b/>
                <w:bCs/>
              </w:rPr>
              <w:t>主要物质</w:t>
            </w:r>
          </w:p>
        </w:tc>
        <w:tc>
          <w:tcPr>
            <w:tcW w:w="709" w:type="dxa"/>
            <w:vAlign w:val="center"/>
          </w:tcPr>
          <w:p>
            <w:pPr>
              <w:pStyle w:val="24"/>
              <w:rPr>
                <w:b/>
                <w:bCs/>
              </w:rPr>
            </w:pPr>
            <w:r>
              <w:rPr>
                <w:b/>
                <w:bCs/>
              </w:rPr>
              <w:t>物质评分</w:t>
            </w:r>
          </w:p>
        </w:tc>
        <w:tc>
          <w:tcPr>
            <w:tcW w:w="709" w:type="dxa"/>
            <w:vAlign w:val="center"/>
          </w:tcPr>
          <w:p>
            <w:pPr>
              <w:pStyle w:val="24"/>
              <w:rPr>
                <w:b/>
                <w:bCs/>
              </w:rPr>
            </w:pPr>
            <w:r>
              <w:rPr>
                <w:b/>
                <w:bCs/>
              </w:rPr>
              <w:t>容量评分</w:t>
            </w:r>
          </w:p>
        </w:tc>
        <w:tc>
          <w:tcPr>
            <w:tcW w:w="709" w:type="dxa"/>
            <w:vAlign w:val="center"/>
          </w:tcPr>
          <w:p>
            <w:pPr>
              <w:pStyle w:val="24"/>
              <w:rPr>
                <w:b/>
                <w:bCs/>
              </w:rPr>
            </w:pPr>
            <w:r>
              <w:rPr>
                <w:b/>
                <w:bCs/>
              </w:rPr>
              <w:t>温度评分</w:t>
            </w:r>
          </w:p>
        </w:tc>
        <w:tc>
          <w:tcPr>
            <w:tcW w:w="708" w:type="dxa"/>
            <w:vAlign w:val="center"/>
          </w:tcPr>
          <w:p>
            <w:pPr>
              <w:pStyle w:val="24"/>
              <w:rPr>
                <w:b/>
                <w:bCs/>
              </w:rPr>
            </w:pPr>
            <w:r>
              <w:rPr>
                <w:b/>
                <w:bCs/>
              </w:rPr>
              <w:t>压力评分</w:t>
            </w:r>
          </w:p>
        </w:tc>
        <w:tc>
          <w:tcPr>
            <w:tcW w:w="709" w:type="dxa"/>
            <w:vAlign w:val="center"/>
          </w:tcPr>
          <w:p>
            <w:pPr>
              <w:pStyle w:val="24"/>
              <w:rPr>
                <w:b/>
                <w:bCs/>
              </w:rPr>
            </w:pPr>
            <w:r>
              <w:rPr>
                <w:b/>
                <w:bCs/>
              </w:rPr>
              <w:t>操作评分</w:t>
            </w:r>
          </w:p>
        </w:tc>
        <w:tc>
          <w:tcPr>
            <w:tcW w:w="709" w:type="dxa"/>
            <w:vAlign w:val="center"/>
          </w:tcPr>
          <w:p>
            <w:pPr>
              <w:pStyle w:val="24"/>
              <w:rPr>
                <w:b/>
                <w:bCs/>
              </w:rPr>
            </w:pPr>
            <w:r>
              <w:rPr>
                <w:b/>
                <w:bCs/>
              </w:rPr>
              <w:t>总分评分</w:t>
            </w:r>
          </w:p>
        </w:tc>
        <w:tc>
          <w:tcPr>
            <w:tcW w:w="1637" w:type="dxa"/>
            <w:vAlign w:val="center"/>
          </w:tcPr>
          <w:p>
            <w:pPr>
              <w:pStyle w:val="24"/>
              <w:rPr>
                <w:b/>
                <w:bCs/>
              </w:rPr>
            </w:pPr>
            <w:r>
              <w:rPr>
                <w:b/>
                <w:bCs/>
              </w:rPr>
              <w:t>危险度等级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1942" w:type="dxa"/>
            <w:vAlign w:val="center"/>
          </w:tcPr>
          <w:p>
            <w:pPr>
              <w:pStyle w:val="24"/>
            </w:pPr>
            <w:r>
              <w:t>原油</w:t>
            </w:r>
            <w:r>
              <w:rPr>
                <w:rFonts w:hint="eastAsia"/>
                <w:lang w:val="en-US" w:eastAsia="zh-CN"/>
              </w:rPr>
              <w:t>罐区</w:t>
            </w:r>
            <w:r>
              <w:t>分输分储改造工程项目30000m³原油储罐</w:t>
            </w:r>
          </w:p>
        </w:tc>
        <w:tc>
          <w:tcPr>
            <w:tcW w:w="1568" w:type="dxa"/>
            <w:vAlign w:val="center"/>
          </w:tcPr>
          <w:p>
            <w:pPr>
              <w:pStyle w:val="24"/>
            </w:pPr>
            <w:r>
              <w:t>原油</w:t>
            </w:r>
          </w:p>
        </w:tc>
        <w:tc>
          <w:tcPr>
            <w:tcW w:w="709" w:type="dxa"/>
            <w:vAlign w:val="center"/>
          </w:tcPr>
          <w:p>
            <w:pPr>
              <w:pStyle w:val="24"/>
            </w:pPr>
            <w:r>
              <w:t>5</w:t>
            </w:r>
          </w:p>
        </w:tc>
        <w:tc>
          <w:tcPr>
            <w:tcW w:w="709" w:type="dxa"/>
            <w:vAlign w:val="center"/>
          </w:tcPr>
          <w:p>
            <w:pPr>
              <w:pStyle w:val="24"/>
            </w:pPr>
            <w:r>
              <w:t>10</w:t>
            </w:r>
          </w:p>
        </w:tc>
        <w:tc>
          <w:tcPr>
            <w:tcW w:w="709" w:type="dxa"/>
            <w:vAlign w:val="center"/>
          </w:tcPr>
          <w:p>
            <w:pPr>
              <w:pStyle w:val="24"/>
            </w:pPr>
            <w:r>
              <w:t>0</w:t>
            </w:r>
          </w:p>
        </w:tc>
        <w:tc>
          <w:tcPr>
            <w:tcW w:w="708" w:type="dxa"/>
            <w:vAlign w:val="center"/>
          </w:tcPr>
          <w:p>
            <w:pPr>
              <w:pStyle w:val="24"/>
            </w:pPr>
            <w:r>
              <w:t>0</w:t>
            </w:r>
          </w:p>
        </w:tc>
        <w:tc>
          <w:tcPr>
            <w:tcW w:w="709" w:type="dxa"/>
            <w:vAlign w:val="center"/>
          </w:tcPr>
          <w:p>
            <w:pPr>
              <w:pStyle w:val="24"/>
            </w:pPr>
            <w:r>
              <w:t>2</w:t>
            </w:r>
          </w:p>
        </w:tc>
        <w:tc>
          <w:tcPr>
            <w:tcW w:w="709" w:type="dxa"/>
            <w:vAlign w:val="center"/>
          </w:tcPr>
          <w:p>
            <w:pPr>
              <w:pStyle w:val="24"/>
            </w:pPr>
            <w:r>
              <w:t>17</w:t>
            </w:r>
          </w:p>
        </w:tc>
        <w:tc>
          <w:tcPr>
            <w:tcW w:w="1637" w:type="dxa"/>
            <w:vAlign w:val="center"/>
          </w:tcPr>
          <w:p>
            <w:pPr>
              <w:pStyle w:val="24"/>
            </w:pPr>
            <w:r>
              <w:t>Ⅰ</w:t>
            </w:r>
          </w:p>
        </w:tc>
      </w:tr>
    </w:tbl>
    <w:p>
      <w:pPr>
        <w:pStyle w:val="6"/>
        <w:ind w:firstLine="560"/>
      </w:pPr>
      <w:bookmarkStart w:id="130" w:name="_Hlk509951953"/>
      <w:r>
        <w:t>根据危险度评价法，该项目危险度评价分级如下：</w:t>
      </w:r>
    </w:p>
    <w:p>
      <w:pPr>
        <w:pStyle w:val="6"/>
        <w:ind w:firstLine="560"/>
      </w:pPr>
      <w:bookmarkStart w:id="131" w:name="_Hlk7332633"/>
      <w:r>
        <w:rPr>
          <w:rFonts w:hint="eastAsia"/>
          <w:lang w:val="en-US" w:eastAsia="zh-CN"/>
        </w:rPr>
        <w:t>该</w:t>
      </w:r>
      <w:r>
        <w:t>原油</w:t>
      </w:r>
      <w:r>
        <w:rPr>
          <w:rFonts w:hint="eastAsia"/>
          <w:lang w:val="en-US" w:eastAsia="zh-CN"/>
        </w:rPr>
        <w:t>罐区</w:t>
      </w:r>
      <w:r>
        <w:t>分输分储改造工程项目</w:t>
      </w:r>
      <w:r>
        <w:rPr>
          <w:lang w:val="en-US"/>
        </w:rPr>
        <w:t>30000m³原油储罐</w:t>
      </w:r>
      <w:r>
        <w:t>危险度等级为</w:t>
      </w:r>
      <w:r>
        <w:rPr>
          <w:rFonts w:hint="eastAsia"/>
          <w:lang w:val="en-US"/>
        </w:rPr>
        <w:t xml:space="preserve"> </w:t>
      </w:r>
      <w:r>
        <w:t>Ⅰ级，属于高度危险单元</w:t>
      </w:r>
      <w:bookmarkEnd w:id="131"/>
      <w:r>
        <w:t>。</w:t>
      </w:r>
    </w:p>
    <w:bookmarkEnd w:id="130"/>
    <w:p>
      <w:pPr>
        <w:pStyle w:val="4"/>
        <w:spacing w:before="62" w:after="62"/>
      </w:pPr>
      <w:r>
        <w:t>附3.2.2 事故后果模拟</w:t>
      </w:r>
    </w:p>
    <w:p>
      <w:pPr>
        <w:pStyle w:val="6"/>
        <w:ind w:firstLine="560"/>
        <w:rPr>
          <w:rFonts w:hint="eastAsia"/>
          <w:b/>
          <w:bCs/>
          <w:lang w:val="en-US"/>
        </w:rPr>
      </w:pPr>
      <w:r>
        <w:rPr>
          <w:rFonts w:hint="eastAsia"/>
          <w:b/>
          <w:bCs/>
          <w:lang w:val="en-US"/>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after="0" w:afterLines="0" w:line="360" w:lineRule="auto"/>
        <w:ind w:left="140" w:leftChars="50" w:firstLine="0" w:firstLineChars="0"/>
        <w:textAlignment w:val="auto"/>
        <w:outlineLvl w:val="2"/>
        <w:rPr>
          <w:rFonts w:hint="default" w:ascii="Times New Roman" w:hAnsi="Times New Roman" w:eastAsia="黑体" w:cs="Times New Roman"/>
          <w:color w:val="auto"/>
          <w:kern w:val="2"/>
          <w:sz w:val="28"/>
          <w:szCs w:val="28"/>
          <w:lang w:val="en-US" w:eastAsia="zh-CN" w:bidi="ar-SA"/>
        </w:rPr>
      </w:pPr>
      <w:r>
        <w:rPr>
          <w:rFonts w:ascii="Times New Roman" w:hAnsi="Times New Roman" w:eastAsia="黑体" w:cs="Times New Roman"/>
          <w:color w:val="auto"/>
          <w:kern w:val="2"/>
          <w:sz w:val="28"/>
          <w:szCs w:val="28"/>
          <w:lang w:val="en-US" w:eastAsia="zh-CN" w:bidi="ar-SA"/>
        </w:rPr>
        <w:t>附3.2.</w:t>
      </w:r>
      <w:r>
        <w:rPr>
          <w:rFonts w:hint="eastAsia" w:ascii="Times New Roman" w:hAnsi="Times New Roman" w:eastAsia="黑体" w:cs="Times New Roman"/>
          <w:color w:val="auto"/>
          <w:kern w:val="2"/>
          <w:sz w:val="28"/>
          <w:szCs w:val="28"/>
          <w:lang w:val="en-US" w:eastAsia="zh-CN" w:bidi="ar-SA"/>
        </w:rPr>
        <w:t>3</w:t>
      </w:r>
      <w:r>
        <w:rPr>
          <w:rFonts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个人风险值和社会风险值</w:t>
      </w:r>
    </w:p>
    <w:p>
      <w:pPr>
        <w:pStyle w:val="6"/>
        <w:ind w:firstLine="560"/>
        <w:rPr>
          <w:rFonts w:hint="default"/>
          <w:color w:val="auto"/>
          <w:lang w:val="en-US" w:eastAsia="zh-CN"/>
        </w:rPr>
      </w:pPr>
      <w:r>
        <w:rPr>
          <w:rFonts w:hint="eastAsia"/>
          <w:color w:val="auto"/>
          <w:lang w:val="en-US" w:eastAsia="zh-CN"/>
        </w:rPr>
        <w:t>（1）个人风险辨识标准</w:t>
      </w:r>
    </w:p>
    <w:p>
      <w:pPr>
        <w:pStyle w:val="6"/>
        <w:ind w:firstLine="560"/>
        <w:rPr>
          <w:color w:val="auto"/>
          <w:lang w:val="en-US"/>
        </w:rPr>
      </w:pPr>
      <w:r>
        <w:rPr>
          <w:rFonts w:hint="eastAsia"/>
          <w:color w:val="auto"/>
          <w:lang w:val="en-US" w:eastAsia="zh-CN"/>
        </w:rPr>
        <w:t>依据《</w:t>
      </w:r>
      <w:r>
        <w:rPr>
          <w:rFonts w:hint="eastAsia"/>
          <w:color w:val="auto"/>
          <w:lang w:val="en-US"/>
        </w:rPr>
        <w:t>危险化学品生产装置和储存设施风险基准</w:t>
      </w:r>
      <w:r>
        <w:rPr>
          <w:rFonts w:hint="eastAsia"/>
          <w:color w:val="auto"/>
          <w:lang w:val="en-US" w:eastAsia="zh-CN"/>
        </w:rPr>
        <w:t>》（GB36894-2018），危险化学品生产装置和储存设施周边防护目标所承受的个人风险应不超过下表中个人风险基准的要求。</w:t>
      </w:r>
    </w:p>
    <w:p>
      <w:pPr>
        <w:keepNext w:val="0"/>
        <w:keepLines w:val="0"/>
        <w:pageBreakBefore w:val="0"/>
        <w:widowControl w:val="0"/>
        <w:kinsoku/>
        <w:wordWrap/>
        <w:overflowPunct/>
        <w:topLinePunct w:val="0"/>
        <w:autoSpaceDE/>
        <w:autoSpaceDN/>
        <w:bidi w:val="0"/>
        <w:adjustRightInd w:val="0"/>
        <w:snapToGrid w:val="0"/>
        <w:spacing w:before="157" w:beforeLines="50"/>
        <w:ind w:firstLine="482" w:firstLineChars="200"/>
        <w:jc w:val="center"/>
        <w:textAlignment w:val="auto"/>
        <w:rPr>
          <w:rFonts w:hint="default" w:ascii="Times New Roman" w:hAnsi="Times New Roman" w:eastAsia="宋体" w:cs="Times New Roman"/>
          <w:b/>
          <w:bCs/>
          <w:color w:val="auto"/>
          <w:kern w:val="0"/>
          <w:sz w:val="24"/>
          <w:szCs w:val="24"/>
          <w:lang w:val="en-US" w:eastAsia="zh-CN" w:bidi="ar-SA"/>
        </w:rPr>
      </w:pPr>
      <w:r>
        <w:rPr>
          <w:rFonts w:ascii="Times New Roman" w:hAnsi="Times New Roman" w:eastAsia="宋体" w:cs="Times New Roman"/>
          <w:b/>
          <w:bCs/>
          <w:color w:val="auto"/>
          <w:kern w:val="0"/>
          <w:sz w:val="24"/>
          <w:szCs w:val="24"/>
          <w:lang w:val="zh-CN" w:eastAsia="zh-CN" w:bidi="ar-SA"/>
        </w:rPr>
        <w:t>附表3.</w:t>
      </w:r>
      <w:r>
        <w:rPr>
          <w:rFonts w:ascii="Times New Roman" w:hAnsi="Times New Roman" w:eastAsia="宋体" w:cs="Times New Roman"/>
          <w:b/>
          <w:bCs/>
          <w:color w:val="auto"/>
          <w:kern w:val="0"/>
          <w:sz w:val="24"/>
          <w:szCs w:val="24"/>
          <w:lang w:val="en-US" w:eastAsia="zh-CN" w:bidi="ar-SA"/>
        </w:rPr>
        <w:t>2</w:t>
      </w:r>
      <w:r>
        <w:rPr>
          <w:rFonts w:ascii="Times New Roman" w:hAnsi="Times New Roman" w:eastAsia="宋体" w:cs="Times New Roman"/>
          <w:b/>
          <w:bCs/>
          <w:color w:val="auto"/>
          <w:kern w:val="0"/>
          <w:sz w:val="24"/>
          <w:szCs w:val="24"/>
          <w:lang w:val="zh-CN" w:eastAsia="zh-CN" w:bidi="ar-SA"/>
        </w:rPr>
        <w:t>-</w:t>
      </w:r>
      <w:r>
        <w:rPr>
          <w:rFonts w:hint="eastAsia" w:ascii="Times New Roman" w:hAnsi="Times New Roman" w:eastAsia="宋体" w:cs="Times New Roman"/>
          <w:b/>
          <w:bCs/>
          <w:color w:val="auto"/>
          <w:kern w:val="0"/>
          <w:sz w:val="24"/>
          <w:szCs w:val="24"/>
          <w:lang w:val="en-US" w:eastAsia="zh-CN" w:bidi="ar-SA"/>
        </w:rPr>
        <w:t>3</w:t>
      </w:r>
      <w:r>
        <w:rPr>
          <w:rFonts w:ascii="Times New Roman" w:hAnsi="Times New Roman" w:eastAsia="宋体" w:cs="Times New Roman"/>
          <w:b/>
          <w:bCs/>
          <w:color w:val="auto"/>
          <w:kern w:val="0"/>
          <w:sz w:val="24"/>
          <w:szCs w:val="24"/>
          <w:lang w:val="zh-CN" w:eastAsia="zh-CN" w:bidi="ar-SA"/>
        </w:rPr>
        <w:t xml:space="preserve"> </w:t>
      </w:r>
      <w:r>
        <w:rPr>
          <w:rFonts w:hint="eastAsia" w:ascii="Times New Roman" w:hAnsi="Times New Roman" w:eastAsia="宋体" w:cs="Times New Roman"/>
          <w:b/>
          <w:bCs/>
          <w:color w:val="auto"/>
          <w:kern w:val="0"/>
          <w:sz w:val="24"/>
          <w:szCs w:val="24"/>
          <w:lang w:val="en-US" w:eastAsia="zh-CN" w:bidi="ar-SA"/>
        </w:rPr>
        <w:t>个人风险基准表</w:t>
      </w:r>
    </w:p>
    <w:tbl>
      <w:tblPr>
        <w:tblStyle w:val="19"/>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314"/>
        <w:gridCol w:w="52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45" w:type="pct"/>
            <w:vMerge w:val="restart"/>
            <w:tcBorders>
              <w:tl2br w:val="nil"/>
              <w:tr2bl w:val="nil"/>
            </w:tcBorders>
            <w:shd w:val="clear" w:color="auto" w:fill="auto"/>
            <w:vAlign w:val="center"/>
          </w:tcPr>
          <w:p>
            <w:pPr>
              <w:widowControl w:val="0"/>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防护目标</w:t>
            </w:r>
          </w:p>
        </w:tc>
        <w:tc>
          <w:tcPr>
            <w:tcW w:w="3054" w:type="pct"/>
            <w:tcBorders>
              <w:tl2br w:val="nil"/>
              <w:tr2bl w:val="nil"/>
            </w:tcBorders>
            <w:shd w:val="clear" w:color="auto" w:fill="auto"/>
            <w:vAlign w:val="center"/>
          </w:tcPr>
          <w:p>
            <w:pPr>
              <w:widowControl w:val="0"/>
              <w:ind w:firstLine="0" w:firstLineChars="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个人风险基准/（次/年）</w:t>
            </w:r>
          </w:p>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45" w:type="pct"/>
            <w:vMerge w:val="continue"/>
            <w:tcBorders>
              <w:tl2br w:val="nil"/>
              <w:tr2bl w:val="nil"/>
            </w:tcBorders>
            <w:shd w:val="clear" w:color="auto" w:fill="auto"/>
            <w:vAlign w:val="center"/>
          </w:tcPr>
          <w:p>
            <w:pPr>
              <w:widowControl w:val="0"/>
              <w:ind w:firstLine="0" w:firstLineChars="0"/>
              <w:jc w:val="center"/>
              <w:rPr>
                <w:color w:val="auto"/>
              </w:rPr>
            </w:pPr>
          </w:p>
        </w:tc>
        <w:tc>
          <w:tcPr>
            <w:tcW w:w="3054" w:type="pct"/>
            <w:tcBorders>
              <w:tl2br w:val="nil"/>
              <w:tr2bl w:val="nil"/>
            </w:tcBorders>
            <w:shd w:val="clear" w:color="auto" w:fill="auto"/>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危险化学品新建、改建、扩建生产装置和储存设施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45" w:type="pct"/>
            <w:tcBorders>
              <w:tl2br w:val="nil"/>
              <w:tr2bl w:val="nil"/>
            </w:tcBorders>
            <w:shd w:val="clear" w:color="auto" w:fill="auto"/>
            <w:vAlign w:val="center"/>
          </w:tcPr>
          <w:p>
            <w:pPr>
              <w:widowControl w:val="0"/>
              <w:ind w:firstLine="0" w:firstLineChars="0"/>
              <w:jc w:val="center"/>
              <w:rPr>
                <w:rFonts w:hint="eastAsia"/>
                <w:color w:val="auto"/>
                <w:sz w:val="21"/>
                <w:szCs w:val="21"/>
              </w:rPr>
            </w:pPr>
            <w:r>
              <w:rPr>
                <w:rFonts w:hint="eastAsia"/>
                <w:color w:val="auto"/>
                <w:sz w:val="21"/>
                <w:szCs w:val="21"/>
              </w:rPr>
              <w:t>高敏感防护目标</w:t>
            </w:r>
          </w:p>
          <w:p>
            <w:pPr>
              <w:widowControl w:val="0"/>
              <w:ind w:firstLine="0" w:firstLineChars="0"/>
              <w:jc w:val="center"/>
              <w:rPr>
                <w:rFonts w:hint="eastAsia"/>
                <w:color w:val="auto"/>
                <w:sz w:val="21"/>
                <w:szCs w:val="21"/>
              </w:rPr>
            </w:pPr>
            <w:r>
              <w:rPr>
                <w:rFonts w:hint="eastAsia"/>
                <w:color w:val="auto"/>
                <w:sz w:val="21"/>
                <w:szCs w:val="21"/>
              </w:rPr>
              <w:t>重要防护目标</w:t>
            </w:r>
          </w:p>
          <w:p>
            <w:pPr>
              <w:widowControl w:val="0"/>
              <w:ind w:firstLine="0" w:firstLineChars="0"/>
              <w:jc w:val="center"/>
              <w:rPr>
                <w:color w:val="auto"/>
                <w:sz w:val="21"/>
                <w:szCs w:val="21"/>
              </w:rPr>
            </w:pPr>
            <w:r>
              <w:rPr>
                <w:rFonts w:hint="eastAsia"/>
                <w:color w:val="auto"/>
                <w:sz w:val="21"/>
                <w:szCs w:val="21"/>
              </w:rPr>
              <w:t>一般防护目标中的一类防护目标</w:t>
            </w:r>
          </w:p>
        </w:tc>
        <w:tc>
          <w:tcPr>
            <w:tcW w:w="3054" w:type="pct"/>
            <w:tcBorders>
              <w:tl2br w:val="nil"/>
              <w:tr2bl w:val="nil"/>
            </w:tcBorders>
            <w:shd w:val="clear" w:color="auto" w:fill="auto"/>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3×10</w:t>
            </w:r>
            <w:r>
              <w:rPr>
                <w:rFonts w:hint="eastAsia" w:ascii="Times New Roman" w:hAnsi="Times New Roman" w:eastAsia="宋体" w:cs="Times New Roman"/>
                <w:b/>
                <w:bCs/>
                <w:color w:val="auto"/>
                <w:kern w:val="2"/>
                <w:sz w:val="21"/>
                <w:szCs w:val="21"/>
                <w:vertAlign w:val="superscript"/>
                <w:lang w:val="en-US" w:eastAsia="zh-CN" w:bidi="ar-SA"/>
              </w:rPr>
              <w:t>-7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45" w:type="pct"/>
            <w:tcBorders>
              <w:tl2br w:val="nil"/>
              <w:tr2bl w:val="nil"/>
            </w:tcBorders>
            <w:shd w:val="clear" w:color="auto" w:fill="auto"/>
            <w:vAlign w:val="center"/>
          </w:tcPr>
          <w:p>
            <w:pPr>
              <w:widowControl w:val="0"/>
              <w:ind w:firstLine="0" w:firstLineChars="0"/>
              <w:jc w:val="center"/>
              <w:rPr>
                <w:color w:val="auto"/>
                <w:sz w:val="21"/>
                <w:szCs w:val="21"/>
              </w:rPr>
            </w:pPr>
            <w:r>
              <w:rPr>
                <w:rFonts w:hint="eastAsia"/>
                <w:color w:val="auto"/>
                <w:sz w:val="21"/>
                <w:szCs w:val="21"/>
              </w:rPr>
              <w:t>一般防护目标中的二类防护目标</w:t>
            </w:r>
          </w:p>
        </w:tc>
        <w:tc>
          <w:tcPr>
            <w:tcW w:w="3054" w:type="pct"/>
            <w:tcBorders>
              <w:tl2br w:val="nil"/>
              <w:tr2bl w:val="nil"/>
            </w:tcBorders>
            <w:shd w:val="clear" w:color="auto" w:fill="auto"/>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3×10</w:t>
            </w:r>
            <w:r>
              <w:rPr>
                <w:rFonts w:hint="eastAsia" w:ascii="Times New Roman" w:hAnsi="Times New Roman" w:eastAsia="宋体" w:cs="Times New Roman"/>
                <w:b/>
                <w:bCs/>
                <w:color w:val="auto"/>
                <w:kern w:val="2"/>
                <w:sz w:val="21"/>
                <w:szCs w:val="21"/>
                <w:vertAlign w:val="superscript"/>
                <w:lang w:val="en-US" w:eastAsia="zh-CN" w:bidi="ar-SA"/>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45" w:type="pct"/>
            <w:tcBorders>
              <w:tl2br w:val="nil"/>
              <w:tr2bl w:val="nil"/>
            </w:tcBorders>
            <w:shd w:val="clear" w:color="auto" w:fill="auto"/>
            <w:vAlign w:val="center"/>
          </w:tcPr>
          <w:p>
            <w:pPr>
              <w:widowControl w:val="0"/>
              <w:ind w:firstLine="0" w:firstLineChars="0"/>
              <w:jc w:val="center"/>
              <w:rPr>
                <w:color w:val="auto"/>
                <w:sz w:val="21"/>
                <w:szCs w:val="21"/>
              </w:rPr>
            </w:pPr>
            <w:r>
              <w:rPr>
                <w:rFonts w:hint="eastAsia"/>
                <w:color w:val="auto"/>
                <w:sz w:val="21"/>
                <w:szCs w:val="21"/>
              </w:rPr>
              <w:t>一般防护目标中的三类防护目标</w:t>
            </w:r>
          </w:p>
        </w:tc>
        <w:tc>
          <w:tcPr>
            <w:tcW w:w="3054" w:type="pct"/>
            <w:tcBorders>
              <w:tl2br w:val="nil"/>
              <w:tr2bl w:val="nil"/>
            </w:tcBorders>
            <w:shd w:val="clear" w:color="auto" w:fill="auto"/>
            <w:vAlign w:val="center"/>
          </w:tcPr>
          <w:p>
            <w:pPr>
              <w:widowControl w:val="0"/>
              <w:ind w:firstLine="0" w:firstLineChars="0"/>
              <w:jc w:val="center"/>
              <w:rPr>
                <w:rFonts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1×10</w:t>
            </w:r>
            <w:r>
              <w:rPr>
                <w:rFonts w:hint="eastAsia" w:ascii="Times New Roman" w:hAnsi="Times New Roman" w:eastAsia="宋体" w:cs="Times New Roman"/>
                <w:b/>
                <w:bCs/>
                <w:color w:val="auto"/>
                <w:kern w:val="2"/>
                <w:sz w:val="21"/>
                <w:szCs w:val="21"/>
                <w:vertAlign w:val="superscript"/>
                <w:lang w:val="en-US" w:eastAsia="zh-CN" w:bidi="ar-SA"/>
              </w:rPr>
              <w:t>-5</w:t>
            </w:r>
          </w:p>
        </w:tc>
      </w:tr>
    </w:tbl>
    <w:p>
      <w:pPr>
        <w:pStyle w:val="6"/>
        <w:keepNext w:val="0"/>
        <w:keepLines w:val="0"/>
        <w:pageBreakBefore w:val="0"/>
        <w:widowControl/>
        <w:kinsoku/>
        <w:wordWrap/>
        <w:overflowPunct/>
        <w:topLinePunct w:val="0"/>
        <w:autoSpaceDE/>
        <w:autoSpaceDN/>
        <w:bidi w:val="0"/>
        <w:adjustRightInd/>
        <w:snapToGrid w:val="0"/>
        <w:spacing w:before="157" w:beforeLines="50"/>
        <w:ind w:firstLine="560"/>
        <w:textAlignment w:val="auto"/>
        <w:rPr>
          <w:rFonts w:hint="eastAsia"/>
          <w:color w:val="auto"/>
          <w:lang w:val="en-US"/>
        </w:rPr>
      </w:pPr>
      <w:r>
        <w:rPr>
          <w:rFonts w:hint="eastAsia"/>
          <w:color w:val="auto"/>
          <w:lang w:val="en-US"/>
        </w:rPr>
        <w:t>防护目标按设施或场所实际使用的主要性质，分为高敏感防护目标、重要防护目标、一般防护目标。</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高敏感防护目标包括下列设施或场所：</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0000FF"/>
          <w:lang w:val="en-US"/>
        </w:rPr>
      </w:pPr>
      <w:r>
        <w:rPr>
          <w:rFonts w:hint="eastAsia"/>
          <w:color w:val="auto"/>
          <w:lang w:val="en-US"/>
        </w:rPr>
        <w:t>a）文化设施。包括：综合文化活动中心、文化馆、青少年宫、儿童活动中心、老年活动中心等设施。</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b）教育设施。包括：高等院校、中等专业学校、体育训练基地、中学、小学、幼儿园、业余学校、民营培训机构及其附属设施，包括为学校配建的独立地段的学生生活场所。</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c）医疗卫生场所。包括：医疗、保健、卫生、防疫、康复和急救场所；不包括居住小区及小区级以下的卫生服务设施。</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d）社会福利设施。包括：福利院、养老院、孤儿院等为社会提供福利和慈善服务的设施及附属设施。</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e）其他在事故场景下自我保护能力相对较低群体聚集的场所。</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重要防护目标包括下列设施或场所：</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a）公共图书展览设施。包括：公共图书馆、博物馆、档案馆、科技馆、纪念馆、美术馆、展览馆、会展中心等设施。</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b）文物保护单位。</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c）宗教场所。包括：专门用于宗教活动的庙宇、寺院、道观、教堂等场所。</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d）城市轨道交通设施。包括：独立地段的城市轨道交通地面以上部分的线路、站点。</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e）军事、安保设施。包括专门用于军事目的的设施，监狱、拘留所设施。</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auto"/>
          <w:lang w:val="en-US"/>
        </w:rPr>
      </w:pPr>
      <w:r>
        <w:rPr>
          <w:rFonts w:hint="eastAsia"/>
          <w:color w:val="auto"/>
          <w:lang w:val="en-US"/>
        </w:rPr>
        <w:t>g）其他具有保护价值的或事故场景下人员不便撤离的场所。</w:t>
      </w:r>
    </w:p>
    <w:p>
      <w:pPr>
        <w:pStyle w:val="6"/>
        <w:keepNext w:val="0"/>
        <w:keepLines w:val="0"/>
        <w:pageBreakBefore w:val="0"/>
        <w:widowControl/>
        <w:kinsoku/>
        <w:wordWrap/>
        <w:overflowPunct/>
        <w:topLinePunct w:val="0"/>
        <w:autoSpaceDE/>
        <w:autoSpaceDN/>
        <w:bidi w:val="0"/>
        <w:adjustRightInd/>
        <w:snapToGrid w:val="0"/>
        <w:ind w:firstLine="560"/>
        <w:textAlignment w:val="auto"/>
        <w:rPr>
          <w:rFonts w:hint="eastAsia"/>
          <w:color w:val="0000FF"/>
          <w:lang w:val="en-US"/>
        </w:rPr>
      </w:pPr>
      <w:r>
        <w:rPr>
          <w:rFonts w:hint="eastAsia"/>
          <w:color w:val="auto"/>
          <w:lang w:val="en-US"/>
        </w:rPr>
        <w:t>一般防护目标根据其规模分为一类防护目标、二类防护目标和三类防护目标。一般防护目标的分类参照附表3.2-</w:t>
      </w:r>
      <w:r>
        <w:rPr>
          <w:rFonts w:hint="eastAsia"/>
          <w:color w:val="auto"/>
          <w:lang w:val="en-US" w:eastAsia="zh-CN"/>
        </w:rPr>
        <w:t>4</w:t>
      </w:r>
      <w:r>
        <w:rPr>
          <w:rFonts w:hint="eastAsia"/>
          <w:color w:val="auto"/>
          <w:lang w:val="en-US"/>
        </w:rPr>
        <w:t>。</w:t>
      </w:r>
    </w:p>
    <w:p>
      <w:pPr>
        <w:rPr>
          <w:rFonts w:hint="eastAsia" w:ascii="Times New Roman" w:hAnsi="Times New Roman" w:eastAsia="宋体" w:cs="Times New Roman"/>
          <w:b/>
          <w:bCs/>
          <w:color w:val="0000FF"/>
          <w:kern w:val="0"/>
          <w:sz w:val="24"/>
          <w:szCs w:val="24"/>
          <w:lang w:val="en-US" w:eastAsia="zh-CN" w:bidi="ar-SA"/>
        </w:rPr>
      </w:pPr>
      <w:r>
        <w:rPr>
          <w:rFonts w:hint="eastAsia" w:ascii="Times New Roman" w:hAnsi="Times New Roman" w:eastAsia="宋体" w:cs="Times New Roman"/>
          <w:b/>
          <w:bCs/>
          <w:color w:val="0000FF"/>
          <w:kern w:val="0"/>
          <w:sz w:val="24"/>
          <w:szCs w:val="24"/>
          <w:lang w:val="en-US" w:eastAsia="zh-CN" w:bidi="ar-SA"/>
        </w:rPr>
        <w:br w:type="page"/>
      </w:r>
    </w:p>
    <w:p>
      <w:pPr>
        <w:keepNext w:val="0"/>
        <w:keepLines w:val="0"/>
        <w:pageBreakBefore w:val="0"/>
        <w:widowControl w:val="0"/>
        <w:kinsoku/>
        <w:wordWrap/>
        <w:overflowPunct/>
        <w:topLinePunct w:val="0"/>
        <w:autoSpaceDE/>
        <w:autoSpaceDN/>
        <w:bidi w:val="0"/>
        <w:adjustRightInd w:val="0"/>
        <w:snapToGrid w:val="0"/>
        <w:spacing w:before="157" w:beforeLines="50"/>
        <w:ind w:firstLine="482" w:firstLineChars="200"/>
        <w:jc w:val="center"/>
        <w:textAlignment w:val="auto"/>
        <w:rPr>
          <w:rFonts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附表3.2-4</w:t>
      </w:r>
      <w:r>
        <w:rPr>
          <w:rFonts w:ascii="Times New Roman" w:hAnsi="Times New Roman" w:eastAsia="宋体" w:cs="Times New Roman"/>
          <w:b/>
          <w:bCs/>
          <w:color w:val="auto"/>
          <w:kern w:val="0"/>
          <w:sz w:val="24"/>
          <w:szCs w:val="24"/>
          <w:lang w:val="en-US" w:eastAsia="zh-CN" w:bidi="ar-SA"/>
        </w:rPr>
        <w:t xml:space="preserve">  一般防护目标的分类</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971"/>
        <w:gridCol w:w="1684"/>
        <w:gridCol w:w="2180"/>
        <w:gridCol w:w="16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1743" w:type="pct"/>
            <w:noWrap w:val="0"/>
            <w:vAlign w:val="center"/>
          </w:tcPr>
          <w:p>
            <w:pPr>
              <w:adjustRightInd w:val="0"/>
              <w:snapToGrid w:val="0"/>
              <w:ind w:firstLine="0" w:firstLineChars="0"/>
              <w:jc w:val="center"/>
              <w:rPr>
                <w:rFonts w:hint="default" w:ascii="Times New Roman" w:hAnsi="Times New Roman" w:cs="Times New Roman"/>
                <w:b/>
                <w:color w:val="auto"/>
                <w:sz w:val="21"/>
                <w:szCs w:val="20"/>
              </w:rPr>
            </w:pPr>
            <w:r>
              <w:rPr>
                <w:rFonts w:hint="default" w:ascii="Times New Roman" w:hAnsi="Times New Roman" w:cs="Times New Roman"/>
                <w:b/>
                <w:color w:val="auto"/>
                <w:sz w:val="21"/>
                <w:szCs w:val="20"/>
              </w:rPr>
              <w:t>防护目标类型</w:t>
            </w:r>
          </w:p>
        </w:tc>
        <w:tc>
          <w:tcPr>
            <w:tcW w:w="988" w:type="pct"/>
            <w:noWrap w:val="0"/>
            <w:vAlign w:val="center"/>
          </w:tcPr>
          <w:p>
            <w:pPr>
              <w:adjustRightInd w:val="0"/>
              <w:snapToGrid w:val="0"/>
              <w:ind w:firstLine="0" w:firstLineChars="0"/>
              <w:jc w:val="center"/>
              <w:rPr>
                <w:rFonts w:hint="default" w:ascii="Times New Roman" w:hAnsi="Times New Roman" w:cs="Times New Roman"/>
                <w:b/>
                <w:color w:val="auto"/>
                <w:sz w:val="21"/>
                <w:szCs w:val="20"/>
              </w:rPr>
            </w:pPr>
            <w:r>
              <w:rPr>
                <w:rFonts w:hint="default" w:ascii="Times New Roman" w:hAnsi="Times New Roman" w:cs="Times New Roman"/>
                <w:b/>
                <w:color w:val="auto"/>
                <w:sz w:val="21"/>
                <w:szCs w:val="20"/>
              </w:rPr>
              <w:t>一类防护目标</w:t>
            </w:r>
          </w:p>
        </w:tc>
        <w:tc>
          <w:tcPr>
            <w:tcW w:w="1279" w:type="pct"/>
            <w:noWrap w:val="0"/>
            <w:vAlign w:val="center"/>
          </w:tcPr>
          <w:p>
            <w:pPr>
              <w:adjustRightInd w:val="0"/>
              <w:snapToGrid w:val="0"/>
              <w:ind w:firstLine="0" w:firstLineChars="0"/>
              <w:jc w:val="center"/>
              <w:rPr>
                <w:rFonts w:hint="default" w:ascii="Times New Roman" w:hAnsi="Times New Roman" w:cs="Times New Roman"/>
                <w:b/>
                <w:color w:val="auto"/>
                <w:sz w:val="21"/>
                <w:szCs w:val="20"/>
              </w:rPr>
            </w:pPr>
            <w:r>
              <w:rPr>
                <w:rFonts w:hint="default" w:ascii="Times New Roman" w:hAnsi="Times New Roman" w:cs="Times New Roman"/>
                <w:b/>
                <w:color w:val="auto"/>
                <w:sz w:val="21"/>
                <w:szCs w:val="20"/>
              </w:rPr>
              <w:t>二类防护目标</w:t>
            </w:r>
          </w:p>
        </w:tc>
        <w:tc>
          <w:tcPr>
            <w:tcW w:w="988" w:type="pct"/>
            <w:noWrap w:val="0"/>
            <w:vAlign w:val="center"/>
          </w:tcPr>
          <w:p>
            <w:pPr>
              <w:adjustRightInd w:val="0"/>
              <w:snapToGrid w:val="0"/>
              <w:ind w:firstLine="0" w:firstLineChars="0"/>
              <w:jc w:val="center"/>
              <w:rPr>
                <w:rFonts w:hint="default" w:ascii="Times New Roman" w:hAnsi="Times New Roman" w:cs="Times New Roman"/>
                <w:b/>
                <w:color w:val="auto"/>
                <w:sz w:val="21"/>
                <w:szCs w:val="20"/>
              </w:rPr>
            </w:pPr>
            <w:r>
              <w:rPr>
                <w:rFonts w:hint="default" w:ascii="Times New Roman" w:hAnsi="Times New Roman" w:cs="Times New Roman"/>
                <w:b/>
                <w:color w:val="auto"/>
                <w:sz w:val="21"/>
                <w:szCs w:val="20"/>
              </w:rPr>
              <w:t>三类防护目标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2" w:hRule="atLeas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住宅及相应服务设施</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住宅包括：农村居民点、低层住区、中层和高层住宅建筑等。</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相应服务设施包括：居住小区及小区级以下的幼托、文化、体育、商业、卫生服务、养老助残设施，不包括中小学</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居住户数30户以上，或居住人数100人以上</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居住户数10户以上30户以下，或居住人数30人以上100人以下</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居住户数10户以下，或居住人数30人以下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行政办公设施</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包括：党政机关、社会团体、科研、事业单位等办公楼及其相关设施</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县级以上党政机关以及其他办公人数100人以上的行政办公建筑</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办公人数100人以下的行政办公建筑</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体育场馆</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不包括：学校等机构专用的体育设施</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总建筑面积5000㎡以上的</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总建筑面积5000㎡以下的</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商业、餐饮业等综合性商业服务建筑</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包括：以零售功能为主的商铺、商场、超市、市场类商业建筑或场所；以批发功能为主的农贸市场；饭店、餐厅、酒吧等餐饮业场所或建筑</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总建筑面积5000㎡以上的建筑或高峰时300人以上的露天场所</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总建筑面积1500㎡以上的5000㎡以下的建筑，或高峰时100人以上300人以下的露天场所</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总建筑面积1500㎡以下的建筑，或高峰时100人以下的露天场所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旅馆住宿业建筑</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包括：宾馆、旅馆、招待所、服务型公寓、度假村等建筑</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床位数100张以上的</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床位数100张以下的</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金融保险、艺术传媒、技术服务等综合性商务办公建筑</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总建筑面积5000㎡以上的</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总建筑面积1500㎡以上5000㎡一下的</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总建筑面积1500㎡以下的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娱乐、康体类建筑或场所</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包括：影院、音乐厅、电影院、歌舞厅、网吧以及大型游乐等娱乐场所建筑；</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赛马场、高尔夫、溜冰场、跳伞场、摩托车场、射击场等康体场所</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总建筑面积3000㎡以上的建筑，或高峰时100人以上的露天场所</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总建筑面积3000㎡以下的建筑，或高峰时100人以下的露天场所</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公共设施营业网点</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其他公用设施营业网点。包括电信、邮政、供水、燃气、供电、供热等其他公用设施营业网点</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加油加气站营业网点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其他非危险化学品工业企业</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企业中当班人数100人以上的建筑</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企业中当班人数100人以下的建筑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78" w:hRule="atLeas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交通枢纽设施</w:t>
            </w:r>
          </w:p>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包括：铁路客运站、公路长途客运站、港口客运码头、机场、交通服务设施（不包括交通指挥中心、交通队）等</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旅客最高聚集人数100人以上</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旅客最高聚集人数100人以下</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43"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城镇公园广场</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总占地面积5000㎡以上的</w:t>
            </w:r>
          </w:p>
        </w:tc>
        <w:tc>
          <w:tcPr>
            <w:tcW w:w="1279"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总占地面积1500㎡以上5000㎡以下的</w:t>
            </w:r>
          </w:p>
        </w:tc>
        <w:tc>
          <w:tcPr>
            <w:tcW w:w="988" w:type="pct"/>
            <w:noWrap w:val="0"/>
            <w:vAlign w:val="center"/>
          </w:tcPr>
          <w:p>
            <w:pPr>
              <w:adjustRightInd w:val="0"/>
              <w:snapToGrid w:val="0"/>
              <w:ind w:firstLine="0" w:firstLineChars="0"/>
              <w:jc w:val="center"/>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总占地面积1500㎡以下的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00" w:type="pct"/>
            <w:gridSpan w:val="4"/>
            <w:noWrap w:val="0"/>
            <w:vAlign w:val="center"/>
          </w:tcPr>
          <w:p>
            <w:pPr>
              <w:adjustRightInd w:val="0"/>
              <w:snapToGrid w:val="0"/>
              <w:ind w:firstLine="0" w:firstLineChars="0"/>
              <w:jc w:val="left"/>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注1：低层建筑（一层至三层住宅）为主的农村居民点、低层住区以整体为单元进行规模核算，中层（四层至六层住宅）及以上建筑以单栋建筑为单元进行规模核算。其他防护目标未单独说明的，以独立建筑为目标进行分类。</w:t>
            </w:r>
          </w:p>
          <w:p>
            <w:pPr>
              <w:adjustRightInd w:val="0"/>
              <w:snapToGrid w:val="0"/>
              <w:ind w:firstLine="0" w:firstLineChars="0"/>
              <w:jc w:val="left"/>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注2：人员数量核算时，居住户数和居住人数按照常住人口核算，企业人员数量按照最大当班人数核算。</w:t>
            </w:r>
          </w:p>
          <w:p>
            <w:pPr>
              <w:adjustRightInd w:val="0"/>
              <w:snapToGrid w:val="0"/>
              <w:ind w:firstLine="0" w:firstLineChars="0"/>
              <w:jc w:val="left"/>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注3：具有兼容性的综合建筑按其主要类型进行分类，若综合楼使用的主要性质难以确定时，按低层使用的主要性质进行分类。</w:t>
            </w:r>
          </w:p>
          <w:p>
            <w:pPr>
              <w:adjustRightInd w:val="0"/>
              <w:snapToGrid w:val="0"/>
              <w:ind w:firstLine="0" w:firstLineChars="0"/>
              <w:jc w:val="left"/>
              <w:rPr>
                <w:rFonts w:hint="default" w:ascii="Times New Roman" w:hAnsi="Times New Roman" w:cs="Times New Roman"/>
                <w:color w:val="auto"/>
                <w:sz w:val="21"/>
                <w:szCs w:val="20"/>
              </w:rPr>
            </w:pPr>
            <w:r>
              <w:rPr>
                <w:rFonts w:hint="default" w:ascii="Times New Roman" w:hAnsi="Times New Roman" w:cs="Times New Roman"/>
                <w:color w:val="auto"/>
                <w:sz w:val="21"/>
                <w:szCs w:val="20"/>
              </w:rPr>
              <w:t>注4：表中“以上”包括本数，“以下”不包括本数。</w:t>
            </w:r>
          </w:p>
        </w:tc>
      </w:tr>
    </w:tbl>
    <w:p>
      <w:pPr>
        <w:pStyle w:val="6"/>
        <w:keepNext w:val="0"/>
        <w:keepLines w:val="0"/>
        <w:pageBreakBefore w:val="0"/>
        <w:widowControl/>
        <w:kinsoku/>
        <w:wordWrap/>
        <w:overflowPunct/>
        <w:topLinePunct w:val="0"/>
        <w:autoSpaceDE/>
        <w:autoSpaceDN/>
        <w:bidi w:val="0"/>
        <w:adjustRightInd/>
        <w:snapToGrid w:val="0"/>
        <w:spacing w:before="157" w:beforeLines="50"/>
        <w:ind w:firstLine="560"/>
        <w:textAlignment w:val="auto"/>
        <w:rPr>
          <w:rFonts w:hint="default" w:eastAsia="宋体"/>
          <w:color w:val="auto"/>
          <w:lang w:val="en-US" w:eastAsia="zh-CN"/>
        </w:rPr>
      </w:pPr>
      <w:r>
        <w:rPr>
          <w:rFonts w:hint="eastAsia"/>
          <w:color w:val="auto"/>
          <w:lang w:val="en-US"/>
        </w:rPr>
        <w:t>（</w:t>
      </w:r>
      <w:r>
        <w:rPr>
          <w:rFonts w:hint="eastAsia"/>
          <w:color w:val="auto"/>
          <w:lang w:val="en-US" w:eastAsia="zh-CN"/>
        </w:rPr>
        <w:t>2</w:t>
      </w:r>
      <w:r>
        <w:rPr>
          <w:rFonts w:hint="eastAsia"/>
          <w:color w:val="auto"/>
          <w:lang w:val="en-US"/>
        </w:rPr>
        <w:t>）</w:t>
      </w:r>
      <w:r>
        <w:rPr>
          <w:rFonts w:hint="eastAsia"/>
          <w:color w:val="auto"/>
          <w:lang w:val="en-US" w:eastAsia="zh-CN"/>
        </w:rPr>
        <w:t>社会</w:t>
      </w:r>
      <w:r>
        <w:rPr>
          <w:rFonts w:hint="eastAsia"/>
          <w:color w:val="auto"/>
          <w:lang w:val="en-US"/>
        </w:rPr>
        <w:t>风险</w:t>
      </w:r>
      <w:r>
        <w:rPr>
          <w:rFonts w:hint="eastAsia"/>
          <w:color w:val="auto"/>
          <w:lang w:val="en-US" w:eastAsia="zh-CN"/>
        </w:rPr>
        <w:t>辨识标准</w:t>
      </w:r>
    </w:p>
    <w:p>
      <w:pPr>
        <w:adjustRightInd w:val="0"/>
        <w:snapToGrid w:val="0"/>
        <w:spacing w:line="360" w:lineRule="auto"/>
        <w:ind w:firstLine="560" w:firstLineChars="200"/>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社会风险是指能够引起大于等于N人死亡的事故累积频率（F），也即单位时间内（通常为年）的死亡人数。通常用社会风险曲线（F-N曲线）表示。</w:t>
      </w:r>
    </w:p>
    <w:p>
      <w:pPr>
        <w:adjustRightInd w:val="0"/>
        <w:snapToGrid w:val="0"/>
        <w:spacing w:line="360" w:lineRule="auto"/>
        <w:ind w:firstLine="560" w:firstLineChars="200"/>
        <w:jc w:val="both"/>
        <w:rPr>
          <w:rFonts w:ascii="Times New Roman" w:hAnsi="Times New Roman" w:cs="Times New Roman"/>
          <w:color w:val="auto"/>
          <w:sz w:val="28"/>
          <w:szCs w:val="28"/>
        </w:rPr>
      </w:pPr>
      <w:r>
        <w:rPr>
          <w:rFonts w:ascii="Times New Roman" w:hAnsi="Times New Roman" w:cs="Times New Roman"/>
          <w:color w:val="auto"/>
          <w:sz w:val="28"/>
          <w:szCs w:val="28"/>
        </w:rPr>
        <w:t>可容许社会风险标准采用ALARP（As Low As Reasonable Practice）原则作为可接受原则。ALARP原则通过两个风险分界线将风险划分为3个区域，即：不可容许区、尽可能降低区（ALARP）和可容许区。</w:t>
      </w:r>
    </w:p>
    <w:p>
      <w:pPr>
        <w:adjustRightInd w:val="0"/>
        <w:snapToGrid w:val="0"/>
        <w:spacing w:line="360" w:lineRule="auto"/>
        <w:ind w:firstLine="560" w:firstLineChars="200"/>
        <w:jc w:val="both"/>
        <w:rPr>
          <w:rFonts w:ascii="Times New Roman" w:hAnsi="Times New Roman" w:cs="Times New Roman"/>
          <w:iCs/>
          <w:color w:val="auto"/>
          <w:sz w:val="28"/>
          <w:szCs w:val="28"/>
        </w:rPr>
      </w:pPr>
      <w:r>
        <w:rPr>
          <w:rFonts w:hint="eastAsia" w:ascii="宋体" w:hAnsi="宋体" w:cs="宋体"/>
          <w:iCs/>
          <w:color w:val="auto"/>
          <w:sz w:val="28"/>
          <w:szCs w:val="28"/>
        </w:rPr>
        <w:t>①</w:t>
      </w:r>
      <w:r>
        <w:rPr>
          <w:rFonts w:ascii="Times New Roman" w:hAnsi="Times New Roman" w:cs="Times New Roman"/>
          <w:iCs/>
          <w:color w:val="auto"/>
          <w:sz w:val="28"/>
          <w:szCs w:val="28"/>
        </w:rPr>
        <w:t>若社会风险曲线落在不可容许区，除特殊情况外，该风险无论如何不能被接受。</w:t>
      </w:r>
    </w:p>
    <w:p>
      <w:pPr>
        <w:adjustRightInd w:val="0"/>
        <w:snapToGrid w:val="0"/>
        <w:spacing w:line="360" w:lineRule="auto"/>
        <w:ind w:firstLine="560" w:firstLineChars="200"/>
        <w:jc w:val="both"/>
        <w:rPr>
          <w:rFonts w:ascii="Times New Roman" w:hAnsi="Times New Roman" w:cs="Times New Roman"/>
          <w:iCs/>
          <w:color w:val="auto"/>
          <w:sz w:val="28"/>
          <w:szCs w:val="28"/>
        </w:rPr>
      </w:pPr>
      <w:r>
        <w:rPr>
          <w:rFonts w:hint="eastAsia" w:ascii="宋体" w:hAnsi="宋体" w:cs="宋体"/>
          <w:iCs/>
          <w:color w:val="auto"/>
          <w:sz w:val="28"/>
          <w:szCs w:val="28"/>
        </w:rPr>
        <w:t>②</w:t>
      </w:r>
      <w:r>
        <w:rPr>
          <w:rFonts w:ascii="Times New Roman" w:hAnsi="Times New Roman" w:cs="Times New Roman"/>
          <w:iCs/>
          <w:color w:val="auto"/>
          <w:sz w:val="28"/>
          <w:szCs w:val="28"/>
        </w:rPr>
        <w:t>若落在可容许区，风险处于很低的水平，该风险是可以被接受的，无需采取安全改进措施。</w:t>
      </w:r>
    </w:p>
    <w:p>
      <w:pPr>
        <w:adjustRightInd w:val="0"/>
        <w:snapToGrid w:val="0"/>
        <w:spacing w:line="360" w:lineRule="auto"/>
        <w:ind w:firstLine="560" w:firstLineChars="200"/>
        <w:jc w:val="both"/>
        <w:rPr>
          <w:rFonts w:ascii="Times New Roman" w:hAnsi="Times New Roman" w:cs="Times New Roman"/>
          <w:iCs/>
          <w:color w:val="auto"/>
          <w:sz w:val="28"/>
          <w:szCs w:val="28"/>
        </w:rPr>
      </w:pPr>
      <w:r>
        <w:rPr>
          <w:rFonts w:hint="eastAsia" w:ascii="宋体" w:hAnsi="宋体" w:cs="宋体"/>
          <w:iCs/>
          <w:color w:val="auto"/>
          <w:sz w:val="28"/>
          <w:szCs w:val="28"/>
        </w:rPr>
        <w:t>③</w:t>
      </w:r>
      <w:r>
        <w:rPr>
          <w:rFonts w:ascii="Times New Roman" w:hAnsi="Times New Roman" w:cs="Times New Roman"/>
          <w:iCs/>
          <w:color w:val="auto"/>
          <w:sz w:val="28"/>
          <w:szCs w:val="28"/>
        </w:rPr>
        <w:t>若落在尽可能降低区，则需要在可能的情况下尽量减少风险，即对各种风险处理措施方案进行成本效益分析等，以决定是否采取这些措施。</w:t>
      </w:r>
    </w:p>
    <w:p>
      <w:pPr>
        <w:adjustRightInd w:val="0"/>
        <w:snapToGrid w:val="0"/>
        <w:spacing w:line="360" w:lineRule="auto"/>
        <w:ind w:firstLine="560" w:firstLineChars="200"/>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通过定量风险评价，危险化学品重大危险源产生的社会风险如</w:t>
      </w:r>
      <w:r>
        <w:rPr>
          <w:rFonts w:hint="eastAsia" w:ascii="Times New Roman" w:hAnsi="Times New Roman" w:cs="Times New Roman"/>
          <w:color w:val="auto"/>
          <w:kern w:val="0"/>
          <w:sz w:val="28"/>
          <w:szCs w:val="28"/>
        </w:rPr>
        <w:t>附图3.2-2</w:t>
      </w:r>
      <w:r>
        <w:rPr>
          <w:rFonts w:ascii="Times New Roman" w:hAnsi="Times New Roman" w:cs="Times New Roman"/>
          <w:color w:val="auto"/>
          <w:kern w:val="0"/>
          <w:sz w:val="28"/>
          <w:szCs w:val="28"/>
        </w:rPr>
        <w:t>中可容许社会风险标准要求。</w:t>
      </w:r>
    </w:p>
    <w:p>
      <w:pPr>
        <w:adjustRightInd w:val="0"/>
        <w:snapToGrid w:val="0"/>
        <w:ind w:firstLine="0" w:firstLineChars="0"/>
        <w:jc w:val="center"/>
        <w:rPr>
          <w:rFonts w:ascii="Times New Roman" w:hAnsi="Times New Roman" w:cs="Times New Roman"/>
          <w:color w:val="auto"/>
          <w:sz w:val="21"/>
          <w:szCs w:val="20"/>
        </w:rPr>
      </w:pPr>
      <w:r>
        <w:rPr>
          <w:rFonts w:ascii="Times New Roman" w:hAnsi="Times New Roman" w:cs="Times New Roman"/>
          <w:color w:val="auto"/>
          <w:sz w:val="21"/>
          <w:szCs w:val="20"/>
        </w:rPr>
        <w:drawing>
          <wp:inline distT="0" distB="0" distL="114300" distR="114300">
            <wp:extent cx="5486400" cy="3207385"/>
            <wp:effectExtent l="0" t="0" r="0" b="12065"/>
            <wp:docPr id="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6"/>
                    <pic:cNvPicPr>
                      <a:picLocks noChangeAspect="1"/>
                    </pic:cNvPicPr>
                  </pic:nvPicPr>
                  <pic:blipFill>
                    <a:blip r:embed="rId14"/>
                    <a:stretch>
                      <a:fillRect/>
                    </a:stretch>
                  </pic:blipFill>
                  <pic:spPr>
                    <a:xfrm>
                      <a:off x="0" y="0"/>
                      <a:ext cx="5486400" cy="3207385"/>
                    </a:xfrm>
                    <a:prstGeom prst="rect">
                      <a:avLst/>
                    </a:prstGeom>
                    <a:noFill/>
                    <a:ln>
                      <a:noFill/>
                    </a:ln>
                  </pic:spPr>
                </pic:pic>
              </a:graphicData>
            </a:graphic>
          </wp:inline>
        </w:drawing>
      </w:r>
    </w:p>
    <w:p>
      <w:pPr>
        <w:widowControl w:val="0"/>
        <w:autoSpaceDE w:val="0"/>
        <w:autoSpaceDN w:val="0"/>
        <w:adjustRightInd w:val="0"/>
        <w:snapToGrid w:val="0"/>
        <w:spacing w:line="360" w:lineRule="auto"/>
        <w:ind w:firstLine="0" w:firstLineChars="0"/>
        <w:jc w:val="center"/>
        <w:rPr>
          <w:rFonts w:hint="eastAsia" w:ascii="Times New Roman" w:hAnsi="Times New Roman" w:eastAsia="宋体" w:cs="Times New Roman"/>
          <w:b/>
          <w:color w:val="auto"/>
          <w:kern w:val="0"/>
          <w:sz w:val="28"/>
          <w:szCs w:val="28"/>
          <w:lang w:val="en-US" w:eastAsia="zh-CN" w:bidi="ar-SA"/>
        </w:rPr>
      </w:pPr>
      <w:r>
        <w:rPr>
          <w:rFonts w:ascii="Times New Roman" w:hAnsi="Times New Roman" w:eastAsia="宋体" w:cs="Times New Roman"/>
          <w:b/>
          <w:color w:val="auto"/>
          <w:kern w:val="0"/>
          <w:sz w:val="28"/>
          <w:szCs w:val="28"/>
          <w:lang w:val="en-US" w:eastAsia="zh-CN" w:bidi="ar-SA"/>
        </w:rPr>
        <w:t>附图3.2-</w:t>
      </w:r>
      <w:r>
        <w:rPr>
          <w:rFonts w:hint="eastAsia" w:ascii="Times New Roman" w:hAnsi="Times New Roman" w:cs="Times New Roman"/>
          <w:b/>
          <w:color w:val="auto"/>
          <w:kern w:val="0"/>
          <w:sz w:val="28"/>
          <w:szCs w:val="28"/>
          <w:lang w:val="en-US" w:eastAsia="zh-CN" w:bidi="ar-SA"/>
        </w:rPr>
        <w:t>2</w:t>
      </w:r>
      <w:r>
        <w:rPr>
          <w:rFonts w:ascii="Times New Roman" w:hAnsi="Times New Roman" w:eastAsia="宋体" w:cs="Times New Roman"/>
          <w:b/>
          <w:color w:val="auto"/>
          <w:kern w:val="0"/>
          <w:sz w:val="28"/>
          <w:szCs w:val="28"/>
          <w:lang w:val="en-US" w:eastAsia="zh-CN" w:bidi="ar-SA"/>
        </w:rPr>
        <w:t xml:space="preserve">  </w:t>
      </w:r>
      <w:r>
        <w:rPr>
          <w:rFonts w:hint="eastAsia" w:ascii="Times New Roman" w:hAnsi="Times New Roman" w:cs="Times New Roman"/>
          <w:b/>
          <w:color w:val="auto"/>
          <w:kern w:val="0"/>
          <w:sz w:val="28"/>
          <w:szCs w:val="28"/>
          <w:lang w:val="en-US" w:eastAsia="zh-CN" w:bidi="ar-SA"/>
        </w:rPr>
        <w:t>可容许社会风险标准（F-N）曲线</w:t>
      </w:r>
    </w:p>
    <w:p>
      <w:pPr>
        <w:pStyle w:val="6"/>
        <w:ind w:firstLine="560"/>
        <w:rPr>
          <w:color w:val="auto"/>
        </w:rPr>
      </w:pPr>
      <w:r>
        <w:rPr>
          <w:rFonts w:hint="eastAsia"/>
          <w:color w:val="auto"/>
          <w:lang w:val="en-US" w:eastAsia="zh-CN"/>
        </w:rPr>
        <w:t>（3）个人风险计算结果</w:t>
      </w:r>
    </w:p>
    <w:p>
      <w:pPr>
        <w:pStyle w:val="6"/>
        <w:ind w:firstLine="560"/>
        <w:rPr>
          <w:rFonts w:hint="eastAsia"/>
          <w:color w:val="auto"/>
          <w:lang w:val="en-US" w:eastAsia="zh-CN"/>
        </w:rPr>
      </w:pPr>
      <w:r>
        <w:rPr>
          <w:rFonts w:hint="eastAsia"/>
          <w:color w:val="auto"/>
          <w:lang w:val="en-US" w:eastAsia="zh-CN"/>
        </w:rPr>
        <w:t>依据《危险化学品生产装置和储存设施风险基准》（GB36894-2018）要求个人风险基准，采用QRA重大危险源区域定量风险评价与管理软件计算G-106原油储罐个人风险。</w:t>
      </w:r>
    </w:p>
    <w:p>
      <w:pPr>
        <w:pStyle w:val="6"/>
        <w:ind w:firstLine="560"/>
        <w:rPr>
          <w:color w:val="auto"/>
          <w:lang w:val="en-US"/>
        </w:rPr>
      </w:pPr>
      <w:r>
        <w:rPr>
          <w:rFonts w:hint="eastAsia"/>
          <w:b/>
          <w:bCs/>
          <w:color w:val="auto"/>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after="0" w:afterLines="0" w:line="360" w:lineRule="auto"/>
        <w:ind w:left="140" w:leftChars="50" w:firstLine="0" w:firstLineChars="0"/>
        <w:textAlignment w:val="auto"/>
        <w:outlineLvl w:val="2"/>
        <w:rPr>
          <w:rFonts w:hint="default" w:ascii="Times New Roman" w:hAnsi="Times New Roman" w:eastAsia="黑体" w:cs="Times New Roman"/>
          <w:color w:val="auto"/>
          <w:kern w:val="2"/>
          <w:sz w:val="28"/>
          <w:szCs w:val="28"/>
          <w:lang w:val="en-US" w:eastAsia="zh-CN" w:bidi="ar-SA"/>
        </w:rPr>
      </w:pPr>
      <w:r>
        <w:rPr>
          <w:rFonts w:ascii="Times New Roman" w:hAnsi="Times New Roman" w:eastAsia="黑体" w:cs="Times New Roman"/>
          <w:color w:val="auto"/>
          <w:kern w:val="2"/>
          <w:sz w:val="28"/>
          <w:szCs w:val="28"/>
          <w:lang w:val="en-US" w:eastAsia="zh-CN" w:bidi="ar-SA"/>
        </w:rPr>
        <w:t>附3.2.</w:t>
      </w:r>
      <w:r>
        <w:rPr>
          <w:rFonts w:hint="eastAsia" w:ascii="Times New Roman" w:hAnsi="Times New Roman" w:eastAsia="黑体" w:cs="Times New Roman"/>
          <w:color w:val="auto"/>
          <w:kern w:val="2"/>
          <w:sz w:val="28"/>
          <w:szCs w:val="28"/>
          <w:lang w:val="en-US" w:eastAsia="zh-CN" w:bidi="ar-SA"/>
        </w:rPr>
        <w:t>4</w:t>
      </w:r>
      <w:r>
        <w:rPr>
          <w:rFonts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外部安全防护距离</w:t>
      </w:r>
    </w:p>
    <w:p>
      <w:pPr>
        <w:pStyle w:val="6"/>
        <w:ind w:firstLine="560"/>
        <w:rPr>
          <w:color w:val="auto"/>
          <w:lang w:val="en-US"/>
        </w:rPr>
      </w:pPr>
      <w:r>
        <w:rPr>
          <w:rFonts w:hint="eastAsia"/>
          <w:color w:val="auto"/>
          <w:lang w:val="en-US"/>
        </w:rPr>
        <w:t>根据《危险化学品生产装置和储存设施外部安全防护距离确定方法》（GB/T37243-2019）的要求，该装置个人风险等值线圈定的范围，企业现状情况的外部安全防护距离如</w:t>
      </w:r>
      <w:r>
        <w:rPr>
          <w:rFonts w:hint="eastAsia"/>
          <w:color w:val="auto"/>
          <w:lang w:val="en-US" w:eastAsia="zh-CN"/>
        </w:rPr>
        <w:t>附</w:t>
      </w:r>
      <w:r>
        <w:rPr>
          <w:rFonts w:hint="eastAsia"/>
          <w:color w:val="auto"/>
          <w:lang w:val="en-US"/>
        </w:rPr>
        <w:t>表</w:t>
      </w:r>
      <w:r>
        <w:rPr>
          <w:rFonts w:hint="eastAsia"/>
          <w:color w:val="auto"/>
          <w:lang w:val="en-US" w:eastAsia="zh-CN"/>
        </w:rPr>
        <w:t>3</w:t>
      </w:r>
      <w:r>
        <w:rPr>
          <w:rFonts w:hint="eastAsia"/>
          <w:color w:val="auto"/>
          <w:lang w:val="en-US"/>
        </w:rPr>
        <w:t>.2-</w:t>
      </w:r>
      <w:r>
        <w:rPr>
          <w:rFonts w:hint="eastAsia"/>
          <w:color w:val="auto"/>
          <w:lang w:val="en-US" w:eastAsia="zh-CN"/>
        </w:rPr>
        <w:t>5</w:t>
      </w:r>
      <w:r>
        <w:rPr>
          <w:rFonts w:hint="eastAsia"/>
          <w:color w:val="auto"/>
          <w:lang w:val="en-US"/>
        </w:rPr>
        <w:t>（以厂区范围为界）。</w:t>
      </w:r>
    </w:p>
    <w:p>
      <w:pPr>
        <w:widowControl/>
        <w:adjustRightInd w:val="0"/>
        <w:snapToGrid w:val="0"/>
        <w:ind w:firstLine="0" w:firstLineChars="0"/>
        <w:jc w:val="center"/>
        <w:rPr>
          <w:rFonts w:ascii="Times New Roman" w:hAnsi="Times New Roman" w:cs="Times New Roman"/>
          <w:b/>
          <w:color w:val="auto"/>
          <w:kern w:val="0"/>
          <w:sz w:val="24"/>
          <w:szCs w:val="20"/>
        </w:rPr>
      </w:pPr>
      <w:r>
        <w:rPr>
          <w:rFonts w:ascii="Times New Roman" w:hAnsi="Times New Roman" w:cs="Times New Roman"/>
          <w:b/>
          <w:color w:val="auto"/>
          <w:kern w:val="0"/>
          <w:sz w:val="24"/>
          <w:szCs w:val="20"/>
        </w:rPr>
        <w:t>表</w:t>
      </w:r>
      <w:r>
        <w:rPr>
          <w:rFonts w:hint="eastAsia" w:ascii="Times New Roman" w:hAnsi="Times New Roman" w:cs="Times New Roman"/>
          <w:b/>
          <w:color w:val="auto"/>
          <w:kern w:val="0"/>
          <w:sz w:val="24"/>
          <w:szCs w:val="20"/>
          <w:lang w:val="en-US" w:eastAsia="zh-CN"/>
        </w:rPr>
        <w:t>3.2</w:t>
      </w:r>
      <w:r>
        <w:rPr>
          <w:rFonts w:ascii="Times New Roman" w:hAnsi="Times New Roman" w:cs="Times New Roman"/>
          <w:b/>
          <w:color w:val="auto"/>
          <w:kern w:val="0"/>
          <w:sz w:val="24"/>
          <w:szCs w:val="20"/>
        </w:rPr>
        <w:t>-</w:t>
      </w:r>
      <w:r>
        <w:rPr>
          <w:rFonts w:hint="eastAsia" w:ascii="Times New Roman" w:hAnsi="Times New Roman" w:cs="Times New Roman"/>
          <w:b/>
          <w:color w:val="auto"/>
          <w:kern w:val="0"/>
          <w:sz w:val="24"/>
          <w:szCs w:val="20"/>
          <w:lang w:val="en-US" w:eastAsia="zh-CN"/>
        </w:rPr>
        <w:t>5</w:t>
      </w:r>
      <w:r>
        <w:rPr>
          <w:rFonts w:ascii="Times New Roman" w:hAnsi="Times New Roman" w:cs="Times New Roman"/>
          <w:b/>
          <w:color w:val="auto"/>
          <w:kern w:val="0"/>
          <w:sz w:val="24"/>
          <w:szCs w:val="20"/>
        </w:rPr>
        <w:t xml:space="preserve"> </w:t>
      </w:r>
      <w:r>
        <w:rPr>
          <w:rFonts w:hint="eastAsia" w:ascii="Times New Roman" w:hAnsi="Times New Roman" w:cs="Times New Roman"/>
          <w:b/>
          <w:color w:val="auto"/>
          <w:kern w:val="0"/>
          <w:sz w:val="24"/>
          <w:szCs w:val="20"/>
          <w:lang w:val="en-US" w:eastAsia="zh-CN"/>
        </w:rPr>
        <w:t xml:space="preserve"> </w:t>
      </w:r>
      <w:r>
        <w:rPr>
          <w:rFonts w:ascii="Times New Roman" w:hAnsi="Times New Roman" w:cs="Times New Roman"/>
          <w:b/>
          <w:color w:val="auto"/>
          <w:kern w:val="0"/>
          <w:sz w:val="24"/>
          <w:szCs w:val="20"/>
        </w:rPr>
        <w:t>外部安全防护距离一览表</w:t>
      </w:r>
    </w:p>
    <w:tbl>
      <w:tblPr>
        <w:tblStyle w:val="19"/>
        <w:tblW w:w="5000" w:type="pct"/>
        <w:tblInd w:w="123"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2753"/>
        <w:gridCol w:w="3211"/>
        <w:gridCol w:w="255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615" w:type="pct"/>
            <w:noWrap w:val="0"/>
            <w:vAlign w:val="center"/>
          </w:tcPr>
          <w:p>
            <w:pPr>
              <w:pStyle w:val="38"/>
              <w:spacing w:line="276" w:lineRule="auto"/>
              <w:ind w:firstLine="0" w:firstLineChars="0"/>
              <w:rPr>
                <w:rFonts w:ascii="Times New Roman" w:hAnsi="Times New Roman" w:cs="Times New Roman"/>
                <w:b/>
                <w:bCs/>
                <w:color w:val="auto"/>
                <w:szCs w:val="20"/>
              </w:rPr>
            </w:pPr>
            <w:bookmarkStart w:id="132" w:name="_Hlk49455101"/>
            <w:r>
              <w:rPr>
                <w:rFonts w:ascii="Times New Roman" w:hAnsi="Times New Roman" w:cs="Times New Roman"/>
                <w:b/>
                <w:bCs/>
                <w:color w:val="auto"/>
                <w:szCs w:val="20"/>
              </w:rPr>
              <w:t>个人风险标准</w:t>
            </w:r>
          </w:p>
        </w:tc>
        <w:tc>
          <w:tcPr>
            <w:tcW w:w="1883" w:type="pct"/>
            <w:noWrap w:val="0"/>
            <w:vAlign w:val="center"/>
          </w:tcPr>
          <w:p>
            <w:pPr>
              <w:pStyle w:val="38"/>
              <w:spacing w:line="276" w:lineRule="auto"/>
              <w:ind w:firstLine="0" w:firstLineChars="0"/>
              <w:rPr>
                <w:rFonts w:ascii="Times New Roman" w:hAnsi="Times New Roman" w:cs="Times New Roman"/>
                <w:b/>
                <w:bCs/>
                <w:color w:val="auto"/>
                <w:szCs w:val="20"/>
              </w:rPr>
            </w:pPr>
            <w:r>
              <w:rPr>
                <w:rFonts w:ascii="Times New Roman" w:hAnsi="Times New Roman" w:cs="Times New Roman"/>
                <w:b/>
                <w:bCs/>
                <w:color w:val="auto"/>
                <w:szCs w:val="20"/>
              </w:rPr>
              <w:t>防护目标</w:t>
            </w:r>
          </w:p>
        </w:tc>
        <w:tc>
          <w:tcPr>
            <w:tcW w:w="1500" w:type="pct"/>
            <w:noWrap w:val="0"/>
            <w:vAlign w:val="center"/>
          </w:tcPr>
          <w:p>
            <w:pPr>
              <w:pStyle w:val="38"/>
              <w:spacing w:line="276" w:lineRule="auto"/>
              <w:ind w:firstLine="0" w:firstLineChars="0"/>
              <w:rPr>
                <w:rFonts w:ascii="Times New Roman" w:hAnsi="Times New Roman" w:cs="Times New Roman"/>
                <w:b/>
                <w:bCs/>
                <w:color w:val="auto"/>
                <w:szCs w:val="20"/>
              </w:rPr>
            </w:pPr>
            <w:r>
              <w:rPr>
                <w:rFonts w:ascii="Times New Roman" w:hAnsi="Times New Roman" w:cs="Times New Roman"/>
                <w:b/>
                <w:bCs/>
                <w:color w:val="auto"/>
                <w:szCs w:val="20"/>
              </w:rPr>
              <w:t>外部安全防护距离</w:t>
            </w:r>
          </w:p>
          <w:p>
            <w:pPr>
              <w:pStyle w:val="38"/>
              <w:spacing w:line="276" w:lineRule="auto"/>
              <w:ind w:firstLine="0" w:firstLineChars="0"/>
              <w:rPr>
                <w:rFonts w:ascii="Times New Roman" w:hAnsi="Times New Roman" w:cs="Times New Roman"/>
                <w:b/>
                <w:bCs/>
                <w:color w:val="auto"/>
                <w:szCs w:val="20"/>
              </w:rPr>
            </w:pPr>
            <w:r>
              <w:rPr>
                <w:rFonts w:ascii="Times New Roman" w:hAnsi="Times New Roman" w:cs="Times New Roman"/>
                <w:b/>
                <w:bCs/>
                <w:color w:val="auto"/>
                <w:szCs w:val="20"/>
              </w:rPr>
              <w:t>（各向最远）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615"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3×10</w:t>
            </w:r>
            <w:r>
              <w:rPr>
                <w:rFonts w:ascii="Times New Roman" w:hAnsi="Times New Roman" w:cs="Times New Roman"/>
                <w:color w:val="auto"/>
                <w:szCs w:val="20"/>
                <w:vertAlign w:val="superscript"/>
              </w:rPr>
              <w:t>-7</w:t>
            </w:r>
          </w:p>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（GB36894 新建</w:t>
            </w:r>
            <w:r>
              <w:rPr>
                <w:rFonts w:hint="eastAsia" w:ascii="Times New Roman" w:hAnsi="Times New Roman" w:cs="Times New Roman"/>
                <w:color w:val="auto"/>
                <w:szCs w:val="20"/>
                <w:lang w:val="en-US" w:eastAsia="zh-CN"/>
              </w:rPr>
              <w:t>储存设施</w:t>
            </w:r>
            <w:r>
              <w:rPr>
                <w:rFonts w:ascii="Times New Roman" w:hAnsi="Times New Roman" w:cs="Times New Roman"/>
                <w:color w:val="auto"/>
                <w:szCs w:val="20"/>
              </w:rPr>
              <w:t>）</w:t>
            </w:r>
          </w:p>
        </w:tc>
        <w:tc>
          <w:tcPr>
            <w:tcW w:w="1883"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高敏感防护目标、重要防护目标</w:t>
            </w:r>
          </w:p>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一般防护目标中的一类防护目标</w:t>
            </w:r>
          </w:p>
        </w:tc>
        <w:tc>
          <w:tcPr>
            <w:tcW w:w="1500"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均在厂区内部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615"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3×10</w:t>
            </w:r>
            <w:r>
              <w:rPr>
                <w:rFonts w:ascii="Times New Roman" w:hAnsi="Times New Roman" w:cs="Times New Roman"/>
                <w:color w:val="auto"/>
                <w:szCs w:val="20"/>
                <w:vertAlign w:val="superscript"/>
              </w:rPr>
              <w:t>-6</w:t>
            </w:r>
          </w:p>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 xml:space="preserve">（GB36894 </w:t>
            </w:r>
            <w:r>
              <w:rPr>
                <w:rFonts w:hint="eastAsia" w:ascii="Times New Roman" w:hAnsi="Times New Roman" w:cs="Times New Roman"/>
                <w:color w:val="auto"/>
                <w:szCs w:val="20"/>
              </w:rPr>
              <w:t>新建储存设施</w:t>
            </w:r>
            <w:r>
              <w:rPr>
                <w:rFonts w:ascii="Times New Roman" w:hAnsi="Times New Roman" w:cs="Times New Roman"/>
                <w:color w:val="auto"/>
                <w:szCs w:val="20"/>
              </w:rPr>
              <w:t>）</w:t>
            </w:r>
          </w:p>
        </w:tc>
        <w:tc>
          <w:tcPr>
            <w:tcW w:w="1883"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一般防护目标中的二类防护目标</w:t>
            </w:r>
          </w:p>
        </w:tc>
        <w:tc>
          <w:tcPr>
            <w:tcW w:w="1500"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均在厂区内部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615"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1×10</w:t>
            </w:r>
            <w:r>
              <w:rPr>
                <w:rFonts w:ascii="Times New Roman" w:hAnsi="Times New Roman" w:cs="Times New Roman"/>
                <w:color w:val="auto"/>
                <w:szCs w:val="20"/>
                <w:vertAlign w:val="superscript"/>
              </w:rPr>
              <w:t>-5</w:t>
            </w:r>
          </w:p>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 xml:space="preserve">（GB36894 </w:t>
            </w:r>
            <w:r>
              <w:rPr>
                <w:rFonts w:hint="eastAsia" w:ascii="Times New Roman" w:hAnsi="Times New Roman" w:cs="Times New Roman"/>
                <w:color w:val="auto"/>
                <w:szCs w:val="20"/>
              </w:rPr>
              <w:t>新建储存设施</w:t>
            </w:r>
            <w:r>
              <w:rPr>
                <w:rFonts w:ascii="Times New Roman" w:hAnsi="Times New Roman" w:cs="Times New Roman"/>
                <w:color w:val="auto"/>
                <w:szCs w:val="20"/>
              </w:rPr>
              <w:t>）</w:t>
            </w:r>
          </w:p>
        </w:tc>
        <w:tc>
          <w:tcPr>
            <w:tcW w:w="1883"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一般防护目标中的三类防护目标</w:t>
            </w:r>
          </w:p>
        </w:tc>
        <w:tc>
          <w:tcPr>
            <w:tcW w:w="1500" w:type="pct"/>
            <w:noWrap w:val="0"/>
            <w:vAlign w:val="center"/>
          </w:tcPr>
          <w:p>
            <w:pPr>
              <w:pStyle w:val="38"/>
              <w:spacing w:line="276" w:lineRule="auto"/>
              <w:ind w:firstLine="0" w:firstLineChars="0"/>
              <w:rPr>
                <w:rFonts w:ascii="Times New Roman" w:hAnsi="Times New Roman" w:cs="Times New Roman"/>
                <w:color w:val="auto"/>
                <w:szCs w:val="20"/>
              </w:rPr>
            </w:pPr>
            <w:r>
              <w:rPr>
                <w:rFonts w:ascii="Times New Roman" w:hAnsi="Times New Roman" w:cs="Times New Roman"/>
                <w:color w:val="auto"/>
                <w:szCs w:val="20"/>
              </w:rPr>
              <w:t>均在厂区内部</w:t>
            </w:r>
          </w:p>
        </w:tc>
      </w:tr>
      <w:bookmarkEnd w:id="132"/>
    </w:tbl>
    <w:p>
      <w:pPr>
        <w:pStyle w:val="6"/>
        <w:keepNext w:val="0"/>
        <w:keepLines w:val="0"/>
        <w:pageBreakBefore w:val="0"/>
        <w:widowControl/>
        <w:kinsoku/>
        <w:wordWrap/>
        <w:overflowPunct/>
        <w:topLinePunct w:val="0"/>
        <w:autoSpaceDE/>
        <w:autoSpaceDN/>
        <w:bidi w:val="0"/>
        <w:adjustRightInd/>
        <w:snapToGrid w:val="0"/>
        <w:spacing w:before="157" w:beforeLines="50"/>
        <w:ind w:firstLine="560"/>
        <w:textAlignment w:val="auto"/>
        <w:rPr>
          <w:color w:val="auto"/>
          <w:lang w:val="en-US"/>
        </w:rPr>
      </w:pPr>
      <w:r>
        <w:rPr>
          <w:rFonts w:hint="eastAsia"/>
          <w:color w:val="auto"/>
          <w:lang w:val="en-US"/>
        </w:rPr>
        <w:t>现状情况下，企业外部安全防护距离3×10</w:t>
      </w:r>
      <w:r>
        <w:rPr>
          <w:rFonts w:hint="eastAsia"/>
          <w:color w:val="auto"/>
          <w:vertAlign w:val="superscript"/>
          <w:lang w:val="en-US"/>
        </w:rPr>
        <w:t>-7</w:t>
      </w:r>
      <w:r>
        <w:rPr>
          <w:rFonts w:hint="eastAsia"/>
          <w:color w:val="auto"/>
          <w:lang w:val="en-US"/>
        </w:rPr>
        <w:t>个人风险等值线范围内不存在高敏感防护目标、重要防护目标、一般防护目标中的一类防护目标；3×10</w:t>
      </w:r>
      <w:r>
        <w:rPr>
          <w:rFonts w:hint="eastAsia"/>
          <w:color w:val="auto"/>
          <w:vertAlign w:val="superscript"/>
          <w:lang w:val="en-US"/>
        </w:rPr>
        <w:t>-6</w:t>
      </w:r>
      <w:r>
        <w:rPr>
          <w:rFonts w:hint="eastAsia"/>
          <w:color w:val="auto"/>
          <w:lang w:val="en-US"/>
        </w:rPr>
        <w:t>个人风险等值线范围内不存在一般防护目标中的二类防护目标；1×10</w:t>
      </w:r>
      <w:r>
        <w:rPr>
          <w:rFonts w:hint="eastAsia"/>
          <w:color w:val="auto"/>
          <w:vertAlign w:val="superscript"/>
          <w:lang w:val="en-US"/>
        </w:rPr>
        <w:t>-5</w:t>
      </w:r>
      <w:r>
        <w:rPr>
          <w:rFonts w:hint="eastAsia"/>
          <w:color w:val="auto"/>
          <w:lang w:val="en-US"/>
        </w:rPr>
        <w:t>等值线区域不存在一般防护目标中的三类防护目标。目前原油罐区分输分储改造工程项目</w:t>
      </w:r>
      <w:r>
        <w:rPr>
          <w:rFonts w:hint="eastAsia"/>
          <w:color w:val="auto"/>
          <w:lang w:val="en-US" w:eastAsia="zh-CN"/>
        </w:rPr>
        <w:t>新建G-106原油储罐</w:t>
      </w:r>
      <w:r>
        <w:rPr>
          <w:rFonts w:hint="eastAsia"/>
          <w:color w:val="auto"/>
          <w:lang w:val="en-US"/>
        </w:rPr>
        <w:t>外部安全防护距离满足《危险化学品生产装置和储存设施风险基准》（GB36894-2018）相关要求。</w:t>
      </w:r>
    </w:p>
    <w:p>
      <w:pPr>
        <w:pStyle w:val="6"/>
        <w:ind w:firstLine="560"/>
        <w:rPr>
          <w:lang w:val="en-US"/>
        </w:rPr>
      </w:pPr>
    </w:p>
    <w:p>
      <w:pPr>
        <w:pStyle w:val="6"/>
        <w:ind w:firstLine="560"/>
        <w:rPr>
          <w:lang w:val="en-US"/>
        </w:rPr>
      </w:pPr>
    </w:p>
    <w:p>
      <w:pPr>
        <w:pStyle w:val="6"/>
        <w:ind w:firstLine="560"/>
        <w:rPr>
          <w:lang w:val="en-US"/>
        </w:rPr>
      </w:pPr>
    </w:p>
    <w:p>
      <w:pPr>
        <w:pStyle w:val="6"/>
        <w:ind w:firstLine="560"/>
        <w:rPr>
          <w:lang w:val="en-US"/>
        </w:rPr>
      </w:pPr>
    </w:p>
    <w:p>
      <w:pPr>
        <w:tabs>
          <w:tab w:val="left" w:pos="2200"/>
          <w:tab w:val="left" w:pos="3960"/>
          <w:tab w:val="left" w:pos="5280"/>
        </w:tabs>
        <w:ind w:firstLine="560"/>
        <w:rPr>
          <w:rFonts w:ascii="Times New Roman" w:hAnsi="Times New Roman" w:cs="Times New Roman"/>
        </w:rPr>
        <w:sectPr>
          <w:pgSz w:w="11906" w:h="16838"/>
          <w:pgMar w:top="1440" w:right="1800" w:bottom="1440" w:left="1800" w:header="720" w:footer="720" w:gutter="0"/>
          <w:pgBorders>
            <w:top w:val="none" w:sz="0" w:space="0"/>
            <w:left w:val="none" w:sz="0" w:space="0"/>
            <w:bottom w:val="none" w:sz="0" w:space="0"/>
            <w:right w:val="none" w:sz="0" w:space="0"/>
          </w:pgBorders>
          <w:cols w:space="720" w:num="1"/>
          <w:docGrid w:type="lines" w:linePitch="312" w:charSpace="0"/>
        </w:sectPr>
      </w:pPr>
    </w:p>
    <w:p>
      <w:pPr>
        <w:pStyle w:val="16"/>
        <w:numPr>
          <w:ilvl w:val="0"/>
          <w:numId w:val="0"/>
        </w:numPr>
        <w:rPr>
          <w:rFonts w:ascii="Times New Roman" w:hAnsi="Times New Roman" w:cs="Times New Roman"/>
        </w:rPr>
      </w:pPr>
      <w:bookmarkStart w:id="133" w:name="_Toc10649"/>
      <w:r>
        <w:rPr>
          <w:rFonts w:ascii="Times New Roman" w:hAnsi="Times New Roman" w:cs="Times New Roman"/>
        </w:rPr>
        <w:t>附件4 评价依据</w:t>
      </w:r>
      <w:bookmarkEnd w:id="133"/>
    </w:p>
    <w:p>
      <w:pPr>
        <w:pStyle w:val="3"/>
        <w:numPr>
          <w:ilvl w:val="1"/>
          <w:numId w:val="0"/>
        </w:numPr>
        <w:spacing w:before="156" w:after="156"/>
        <w:ind w:left="130"/>
        <w:rPr>
          <w:rFonts w:hint="eastAsia" w:eastAsia="宋体"/>
          <w:lang w:eastAsia="zh-CN"/>
        </w:rPr>
      </w:pPr>
      <w:bookmarkStart w:id="134" w:name="_Toc9205"/>
      <w:r>
        <w:t>F4.1</w:t>
      </w:r>
      <w:bookmarkStart w:id="135" w:name="_Toc426271868"/>
      <w:bookmarkStart w:id="136" w:name="_Toc426271785"/>
      <w:bookmarkStart w:id="137" w:name="_Toc430293780"/>
      <w:r>
        <w:t xml:space="preserve"> 法律、法规、</w:t>
      </w:r>
      <w:r>
        <w:rPr>
          <w:rFonts w:hint="eastAsia"/>
          <w:lang w:val="en-US" w:eastAsia="zh-CN"/>
        </w:rPr>
        <w:t>规章</w:t>
      </w:r>
      <w:bookmarkEnd w:id="134"/>
    </w:p>
    <w:p>
      <w:pPr>
        <w:pStyle w:val="4"/>
        <w:spacing w:before="62" w:after="62"/>
      </w:pPr>
      <w:r>
        <w:t>F</w:t>
      </w:r>
      <w:r>
        <w:rPr>
          <w:rFonts w:hint="eastAsia"/>
        </w:rPr>
        <w:t>4</w:t>
      </w:r>
      <w:r>
        <w:t>.1.1</w:t>
      </w:r>
      <w:r>
        <w:rPr>
          <w:rFonts w:hint="eastAsia"/>
        </w:rPr>
        <w:t>法律</w:t>
      </w:r>
    </w:p>
    <w:p>
      <w:pPr>
        <w:numPr>
          <w:ilvl w:val="0"/>
          <w:numId w:val="12"/>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《中华人民共和国安全生产法》（中华人民共和国主席令[2002]第70号发布，中华人民共和国主席令[2009]第18号修正，中华人民共和国主席令[2014]第13号修正，中华人民共和国主席令[2021]第88号修正）</w:t>
      </w:r>
    </w:p>
    <w:p>
      <w:pPr>
        <w:numPr>
          <w:ilvl w:val="0"/>
          <w:numId w:val="12"/>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《中华人民共和国消防法》（中华人民共和国主席令[1988]第4号发布，中华人民共和国主席令[2008]第6号修订，中华人民共和国主席令[2019]第29号修正，中华人民共和国主席令[2021]第81号修正）</w:t>
      </w:r>
    </w:p>
    <w:p>
      <w:pPr>
        <w:numPr>
          <w:ilvl w:val="0"/>
          <w:numId w:val="12"/>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《中华人民共和国劳动法》（中华人民共和国主席令[1994]第二十八号公布，中华人民共和国主席令[2009]第18号修正，中华人民共和国主席令[2018]第24号修正）</w:t>
      </w:r>
    </w:p>
    <w:p>
      <w:pPr>
        <w:numPr>
          <w:ilvl w:val="0"/>
          <w:numId w:val="12"/>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《中华人民共和国突发事故应对法》（中华人民共和国主席令[2007]第69号）</w:t>
      </w:r>
    </w:p>
    <w:p>
      <w:pPr>
        <w:numPr>
          <w:ilvl w:val="0"/>
          <w:numId w:val="12"/>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《中华人民共和国防震减灾法》（第八届全国人民代表大会常务委员会第二十九次会议于1997年12月29日通过，2008年12月27日第十一届全国人民代表大会常务委员会第六次会议修订。主席令[2008]第7号）</w:t>
      </w:r>
    </w:p>
    <w:p>
      <w:pPr>
        <w:numPr>
          <w:ilvl w:val="0"/>
          <w:numId w:val="12"/>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中华人民共和国职业病防治法》（2001年10月27日第九届全国人民代表大会常务委员会第二十四次会议通过，根据2018年12月29日第十三届全国人民代表大会常务委员会第七次会议《关于修改〈中华人民共和国劳动法〉等七部法律的决定》第四次修正。主席令[2018]第52号修正）</w:t>
      </w:r>
    </w:p>
    <w:p>
      <w:pPr>
        <w:numPr>
          <w:ilvl w:val="0"/>
          <w:numId w:val="12"/>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《中华人民共和国特种设备安全法》（中华人民共和国第十二届全国人民代表大会常务委员会第三次会议于2013年6月29日通过，自2014年1月1日起施行。主席令[2013]第4号）</w:t>
      </w:r>
    </w:p>
    <w:p>
      <w:pPr>
        <w:pStyle w:val="4"/>
        <w:spacing w:before="62" w:after="62"/>
      </w:pPr>
      <w:r>
        <w:t>F</w:t>
      </w:r>
      <w:r>
        <w:rPr>
          <w:rFonts w:hint="eastAsia"/>
        </w:rPr>
        <w:t>4</w:t>
      </w:r>
      <w:r>
        <w:t>.1.</w:t>
      </w:r>
      <w:r>
        <w:rPr>
          <w:rFonts w:hint="eastAsia"/>
        </w:rPr>
        <w:t>2行政法规</w:t>
      </w:r>
    </w:p>
    <w:p>
      <w:pPr>
        <w:numPr>
          <w:ilvl w:val="0"/>
          <w:numId w:val="13"/>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《安全生产许可证条例》（国务院令[2004]第397号，[2014]第653号修订）</w:t>
      </w:r>
    </w:p>
    <w:p>
      <w:pPr>
        <w:numPr>
          <w:ilvl w:val="0"/>
          <w:numId w:val="13"/>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《生产安全事故报告和调查处理条例》（国务院令[2007]第493号）</w:t>
      </w:r>
    </w:p>
    <w:p>
      <w:pPr>
        <w:numPr>
          <w:ilvl w:val="0"/>
          <w:numId w:val="13"/>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《危险化学品安全管理条例》（国务院令第344号，经国务院令第591号，国务院令第645号修订）</w:t>
      </w:r>
    </w:p>
    <w:p>
      <w:pPr>
        <w:numPr>
          <w:ilvl w:val="0"/>
          <w:numId w:val="13"/>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《气象灾害防御条例》（中华人民共和国国务院令第570号发布，中华人民共和国国务院令第687号修订）</w:t>
      </w:r>
    </w:p>
    <w:p>
      <w:pPr>
        <w:numPr>
          <w:ilvl w:val="0"/>
          <w:numId w:val="13"/>
        </w:numPr>
        <w:adjustRightInd w:val="0"/>
        <w:snapToGrid w:val="0"/>
        <w:spacing w:line="360" w:lineRule="auto"/>
        <w:ind w:left="0" w:right="-280" w:rightChars="-100" w:firstLine="560"/>
        <w:jc w:val="both"/>
        <w:rPr>
          <w:rFonts w:ascii="Times New Roman" w:hAnsi="Times New Roman" w:cs="Times New Roman"/>
          <w:szCs w:val="28"/>
        </w:rPr>
      </w:pPr>
      <w:r>
        <w:rPr>
          <w:rFonts w:ascii="Times New Roman" w:hAnsi="Times New Roman" w:cs="Times New Roman"/>
          <w:szCs w:val="28"/>
        </w:rPr>
        <w:t>《生产安</w:t>
      </w:r>
      <w:bookmarkStart w:id="141" w:name="_GoBack"/>
      <w:bookmarkEnd w:id="141"/>
      <w:r>
        <w:rPr>
          <w:rFonts w:ascii="Times New Roman" w:hAnsi="Times New Roman" w:cs="Times New Roman"/>
          <w:szCs w:val="28"/>
        </w:rPr>
        <w:t>全事故应急条例》（中华人民共和国国务院令第708号）</w:t>
      </w:r>
    </w:p>
    <w:p>
      <w:pPr>
        <w:pStyle w:val="4"/>
        <w:spacing w:before="62" w:after="62"/>
        <w:rPr>
          <w:rFonts w:eastAsia="宋体"/>
        </w:rPr>
      </w:pPr>
      <w:r>
        <w:t>F</w:t>
      </w:r>
      <w:r>
        <w:rPr>
          <w:rFonts w:hint="eastAsia"/>
        </w:rPr>
        <w:t>4</w:t>
      </w:r>
      <w:r>
        <w:t>.1.</w:t>
      </w:r>
      <w:r>
        <w:rPr>
          <w:rFonts w:hint="eastAsia"/>
          <w:lang w:val="en-US" w:eastAsia="zh-CN"/>
        </w:rPr>
        <w:t>3</w:t>
      </w:r>
      <w:r>
        <w:rPr>
          <w:rFonts w:hint="eastAsia"/>
        </w:rPr>
        <w:t>部门规章</w:t>
      </w:r>
    </w:p>
    <w:p>
      <w:pPr>
        <w:numPr>
          <w:ilvl w:val="0"/>
          <w:numId w:val="14"/>
        </w:numPr>
        <w:adjustRightInd w:val="0"/>
        <w:snapToGrid w:val="0"/>
        <w:spacing w:line="360" w:lineRule="auto"/>
        <w:ind w:left="0" w:firstLine="560"/>
        <w:jc w:val="both"/>
        <w:rPr>
          <w:rFonts w:ascii="Times New Roman" w:hAnsi="Times New Roman" w:cs="Times New Roman"/>
          <w:kern w:val="0"/>
          <w:szCs w:val="28"/>
        </w:rPr>
      </w:pPr>
      <w:r>
        <w:rPr>
          <w:rFonts w:hint="eastAsia" w:ascii="Times New Roman" w:hAnsi="Times New Roman" w:cs="Times New Roman"/>
          <w:kern w:val="0"/>
          <w:szCs w:val="28"/>
        </w:rPr>
        <w:t>《危险化学品目录（2015版）》（安全监管总局、工业和信息化部、公安部、环境保护部、交通运输部、农业部、国家卫生计生委、质检总局、铁路局、民航局公告[2015]第5号</w:t>
      </w:r>
      <w:r>
        <w:rPr>
          <w:rFonts w:hint="eastAsia" w:ascii="Times New Roman" w:hAnsi="Times New Roman" w:cs="Times New Roman"/>
          <w:kern w:val="0"/>
          <w:szCs w:val="28"/>
          <w:lang w:eastAsia="zh-CN"/>
        </w:rPr>
        <w:t>，</w:t>
      </w:r>
      <w:r>
        <w:rPr>
          <w:rFonts w:hint="eastAsia" w:ascii="Times New Roman" w:hAnsi="Times New Roman" w:cs="Times New Roman"/>
          <w:kern w:val="0"/>
          <w:szCs w:val="28"/>
          <w:lang w:val="en-US" w:eastAsia="zh-CN"/>
        </w:rPr>
        <w:t>应急管理部、工业和信息化部、公安部、生态环境部、交通运输部、农业农村部、国家卫生健康委员会、国家市场监督管理总局、国家铁路局、中国民用航空局公告2022年第8号修正</w:t>
      </w:r>
      <w:r>
        <w:rPr>
          <w:rFonts w:hint="eastAsia" w:ascii="Times New Roman" w:hAnsi="Times New Roman" w:cs="Times New Roman"/>
          <w:kern w:val="0"/>
          <w:szCs w:val="28"/>
        </w:rPr>
        <w:t>）</w:t>
      </w:r>
    </w:p>
    <w:p>
      <w:pPr>
        <w:numPr>
          <w:ilvl w:val="0"/>
          <w:numId w:val="14"/>
        </w:numPr>
        <w:adjustRightInd w:val="0"/>
        <w:snapToGrid w:val="0"/>
        <w:spacing w:line="360" w:lineRule="auto"/>
        <w:ind w:left="0" w:firstLine="560"/>
        <w:jc w:val="both"/>
        <w:rPr>
          <w:rFonts w:ascii="Times New Roman" w:hAnsi="Times New Roman" w:cs="Times New Roman"/>
          <w:kern w:val="0"/>
          <w:szCs w:val="28"/>
        </w:rPr>
      </w:pPr>
      <w:r>
        <w:rPr>
          <w:rFonts w:hint="eastAsia" w:ascii="Times New Roman" w:hAnsi="Times New Roman" w:cs="Times New Roman"/>
          <w:kern w:val="0"/>
          <w:szCs w:val="28"/>
        </w:rPr>
        <w:t>《生产经营单位安全培训规定》（国家安全生产监督管理总局令第3号，国家安全监督管理总局令第63号修正，国家安全生产监督管理总局令第80号修正）</w:t>
      </w:r>
    </w:p>
    <w:p>
      <w:pPr>
        <w:numPr>
          <w:ilvl w:val="0"/>
          <w:numId w:val="14"/>
        </w:numPr>
        <w:adjustRightInd w:val="0"/>
        <w:snapToGrid w:val="0"/>
        <w:spacing w:line="360" w:lineRule="auto"/>
        <w:ind w:left="0" w:firstLine="560"/>
        <w:jc w:val="both"/>
        <w:rPr>
          <w:rFonts w:ascii="Times New Roman" w:hAnsi="Times New Roman" w:cs="Times New Roman"/>
          <w:kern w:val="0"/>
          <w:szCs w:val="28"/>
        </w:rPr>
      </w:pPr>
      <w:r>
        <w:rPr>
          <w:rFonts w:hint="eastAsia" w:ascii="Times New Roman" w:hAnsi="Times New Roman" w:cs="Times New Roman"/>
          <w:kern w:val="0"/>
          <w:szCs w:val="28"/>
        </w:rPr>
        <w:t>《特种作业人员安全技术培训考核管理规定》（国家安全生产监督管理总局令[2010]第30号，国家安全生产监督管理总局令第63号修正，国家安全生产监督管理总局令第80号修正）</w:t>
      </w:r>
    </w:p>
    <w:p>
      <w:pPr>
        <w:numPr>
          <w:ilvl w:val="0"/>
          <w:numId w:val="14"/>
        </w:numPr>
        <w:adjustRightInd w:val="0"/>
        <w:snapToGrid w:val="0"/>
        <w:spacing w:line="360" w:lineRule="auto"/>
        <w:ind w:left="0" w:firstLine="560"/>
        <w:jc w:val="both"/>
        <w:rPr>
          <w:rFonts w:ascii="Times New Roman" w:hAnsi="Times New Roman" w:cs="Times New Roman"/>
          <w:kern w:val="0"/>
          <w:szCs w:val="28"/>
        </w:rPr>
      </w:pPr>
      <w:r>
        <w:rPr>
          <w:rFonts w:ascii="Times New Roman" w:hAnsi="Times New Roman" w:cs="Times New Roman"/>
          <w:kern w:val="0"/>
          <w:szCs w:val="28"/>
        </w:rPr>
        <w:t>《建设项目安全设施</w:t>
      </w:r>
      <w:r>
        <w:rPr>
          <w:rFonts w:hint="eastAsia" w:ascii="Times New Roman" w:hAnsi="Times New Roman" w:cs="Times New Roman"/>
          <w:kern w:val="0"/>
          <w:szCs w:val="28"/>
        </w:rPr>
        <w:t>“</w:t>
      </w:r>
      <w:r>
        <w:rPr>
          <w:rFonts w:ascii="Times New Roman" w:hAnsi="Times New Roman" w:cs="Times New Roman"/>
          <w:kern w:val="0"/>
          <w:szCs w:val="28"/>
        </w:rPr>
        <w:t>三同时</w:t>
      </w:r>
      <w:r>
        <w:rPr>
          <w:rFonts w:hint="eastAsia" w:ascii="Times New Roman" w:hAnsi="Times New Roman" w:cs="Times New Roman"/>
          <w:kern w:val="0"/>
          <w:szCs w:val="28"/>
        </w:rPr>
        <w:t>”</w:t>
      </w:r>
      <w:r>
        <w:rPr>
          <w:rFonts w:ascii="Times New Roman" w:hAnsi="Times New Roman" w:cs="Times New Roman"/>
          <w:kern w:val="0"/>
          <w:szCs w:val="28"/>
        </w:rPr>
        <w:t>监督管理办法》（</w:t>
      </w:r>
      <w:r>
        <w:rPr>
          <w:rFonts w:ascii="Times New Roman" w:hAnsi="Times New Roman" w:cs="Times New Roman"/>
          <w:szCs w:val="28"/>
        </w:rPr>
        <w:t>国家安全生产监督管理总局令</w:t>
      </w:r>
      <w:r>
        <w:rPr>
          <w:rFonts w:ascii="Times New Roman" w:hAnsi="Times New Roman" w:cs="Times New Roman"/>
          <w:iCs/>
          <w:kern w:val="0"/>
          <w:szCs w:val="28"/>
        </w:rPr>
        <w:t>第</w:t>
      </w:r>
      <w:r>
        <w:rPr>
          <w:rFonts w:ascii="Times New Roman" w:hAnsi="Times New Roman" w:cs="Times New Roman"/>
          <w:szCs w:val="28"/>
        </w:rPr>
        <w:t>36</w:t>
      </w:r>
      <w:r>
        <w:rPr>
          <w:rFonts w:ascii="Times New Roman" w:hAnsi="Times New Roman" w:cs="Times New Roman"/>
          <w:kern w:val="0"/>
          <w:szCs w:val="28"/>
        </w:rPr>
        <w:t>号，总局令</w:t>
      </w:r>
      <w:r>
        <w:rPr>
          <w:rFonts w:ascii="Times New Roman" w:hAnsi="Times New Roman" w:cs="Times New Roman"/>
          <w:szCs w:val="28"/>
        </w:rPr>
        <w:t>77</w:t>
      </w:r>
      <w:r>
        <w:rPr>
          <w:rFonts w:ascii="Times New Roman" w:hAnsi="Times New Roman" w:cs="Times New Roman"/>
          <w:kern w:val="0"/>
          <w:szCs w:val="28"/>
        </w:rPr>
        <w:t>号修</w:t>
      </w:r>
      <w:r>
        <w:rPr>
          <w:rFonts w:hint="eastAsia" w:ascii="Times New Roman" w:hAnsi="Times New Roman" w:cs="Times New Roman"/>
          <w:kern w:val="0"/>
          <w:szCs w:val="28"/>
          <w:lang w:val="en-US" w:eastAsia="zh-CN"/>
        </w:rPr>
        <w:t>正</w:t>
      </w:r>
      <w:r>
        <w:rPr>
          <w:rFonts w:ascii="Times New Roman" w:hAnsi="Times New Roman" w:cs="Times New Roman"/>
          <w:kern w:val="0"/>
          <w:szCs w:val="28"/>
        </w:rPr>
        <w:t>）</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《危险化学品重大危险源监督管理暂行规定》（安监总局令第40号，79号令修</w:t>
      </w:r>
      <w:r>
        <w:rPr>
          <w:rFonts w:hint="eastAsia" w:ascii="Times New Roman" w:hAnsi="Times New Roman" w:cs="Times New Roman"/>
          <w:lang w:val="en-US" w:eastAsia="zh-CN"/>
        </w:rPr>
        <w:t>正</w:t>
      </w:r>
      <w:r>
        <w:rPr>
          <w:rFonts w:ascii="Times New Roman" w:hAnsi="Times New Roman" w:cs="Times New Roman"/>
        </w:rPr>
        <w:t>）</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《安全生产培训管理办法》（国家安全生产监督管理总局令第44号，国家安全生产监督管理总局令第63号修正，国家安全生产监督管理总局令第80号修正）</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《危险化学品建设项目安全监督管理办法》（国家安全生产监督管理总局45号令，79号令修</w:t>
      </w:r>
      <w:r>
        <w:rPr>
          <w:rFonts w:hint="eastAsia" w:ascii="Times New Roman" w:hAnsi="Times New Roman" w:cs="Times New Roman"/>
          <w:szCs w:val="28"/>
          <w:lang w:val="en-US" w:eastAsia="zh-CN"/>
        </w:rPr>
        <w:t>正</w:t>
      </w:r>
      <w:r>
        <w:rPr>
          <w:rFonts w:hint="eastAsia" w:ascii="Times New Roman" w:hAnsi="Times New Roman" w:cs="Times New Roman"/>
          <w:szCs w:val="28"/>
        </w:rPr>
        <w:t>）</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《生产安全事故应急预案管理办法》（国家安全生产监督管理总局令第88号，根据2019年7月11日应急管理部令第2号修</w:t>
      </w:r>
      <w:r>
        <w:rPr>
          <w:rFonts w:hint="eastAsia" w:ascii="Times New Roman" w:hAnsi="Times New Roman" w:cs="Times New Roman"/>
          <w:szCs w:val="28"/>
          <w:lang w:val="en-US" w:eastAsia="zh-CN"/>
        </w:rPr>
        <w:t>正</w:t>
      </w:r>
      <w:r>
        <w:rPr>
          <w:rFonts w:hint="eastAsia" w:ascii="Times New Roman" w:hAnsi="Times New Roman" w:cs="Times New Roman"/>
          <w:szCs w:val="28"/>
        </w:rPr>
        <w:t>）</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《关于危险化学品企业贯彻落实〈国务院关于进一步加强企业安全生产工作的通知〉的实施意见》（安监总管三[2010]186号文）</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《化工和危险化学品生产经营单位重大生产安全事故隐患判定标准（试行）》（安监总管三[2017]121号）</w:t>
      </w:r>
    </w:p>
    <w:p>
      <w:pPr>
        <w:numPr>
          <w:ilvl w:val="0"/>
          <w:numId w:val="14"/>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《危险化学品建设项目安全评价细则（试行）》（安监总危化[2007]255号）</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《危险化学品企业重大危险源安全包保责任制办法》（应急厅[2021]12号）</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（13）《危险化学品生产建设项目安全风险防控指南（试行）》（应急[2022]52号）</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《危险化学品企业重点人员安全资质达标导则（试行）》</w:t>
      </w:r>
      <w:r>
        <w:rPr>
          <w:rFonts w:hint="eastAsia" w:ascii="Times New Roman" w:hAnsi="Times New Roman" w:cs="Times New Roman"/>
          <w:szCs w:val="28"/>
        </w:rPr>
        <w:t>（</w:t>
      </w:r>
      <w:r>
        <w:rPr>
          <w:rFonts w:ascii="Times New Roman" w:hAnsi="Times New Roman" w:cs="Times New Roman"/>
          <w:szCs w:val="28"/>
        </w:rPr>
        <w:t>应急危化二</w:t>
      </w:r>
      <w:r>
        <w:rPr>
          <w:rFonts w:hint="eastAsia" w:ascii="Times New Roman" w:hAnsi="Times New Roman" w:cs="Times New Roman"/>
          <w:szCs w:val="28"/>
        </w:rPr>
        <w:t>[</w:t>
      </w:r>
      <w:r>
        <w:rPr>
          <w:rFonts w:ascii="Times New Roman" w:hAnsi="Times New Roman" w:cs="Times New Roman"/>
          <w:szCs w:val="28"/>
        </w:rPr>
        <w:t>2021</w:t>
      </w:r>
      <w:r>
        <w:rPr>
          <w:rFonts w:hint="eastAsia" w:ascii="Times New Roman" w:hAnsi="Times New Roman" w:cs="Times New Roman"/>
          <w:szCs w:val="28"/>
        </w:rPr>
        <w:t>]</w:t>
      </w:r>
      <w:r>
        <w:rPr>
          <w:rFonts w:ascii="Times New Roman" w:hAnsi="Times New Roman" w:cs="Times New Roman"/>
          <w:szCs w:val="28"/>
        </w:rPr>
        <w:t>1号</w:t>
      </w:r>
      <w:r>
        <w:rPr>
          <w:rFonts w:hint="eastAsia" w:ascii="Times New Roman" w:hAnsi="Times New Roman" w:cs="Times New Roman"/>
          <w:szCs w:val="28"/>
        </w:rPr>
        <w:t>）</w:t>
      </w:r>
    </w:p>
    <w:p>
      <w:pPr>
        <w:numPr>
          <w:ilvl w:val="0"/>
          <w:numId w:val="14"/>
        </w:numPr>
        <w:adjustRightInd w:val="0"/>
        <w:snapToGrid w:val="0"/>
        <w:spacing w:line="360" w:lineRule="auto"/>
        <w:ind w:left="0" w:firstLine="560"/>
        <w:jc w:val="both"/>
        <w:rPr>
          <w:rFonts w:ascii="Times New Roman" w:hAnsi="Times New Roman" w:cs="Times New Roman"/>
          <w:color w:val="auto"/>
          <w:szCs w:val="28"/>
        </w:rPr>
      </w:pPr>
      <w:r>
        <w:rPr>
          <w:rFonts w:ascii="Times New Roman" w:hAnsi="Times New Roman" w:cs="Times New Roman"/>
          <w:color w:val="auto"/>
          <w:szCs w:val="28"/>
        </w:rPr>
        <w:t>《企业安全生产费用提取和使用管理办法》</w:t>
      </w:r>
      <w:r>
        <w:rPr>
          <w:rFonts w:hint="eastAsia" w:ascii="Times New Roman" w:hAnsi="Times New Roman" w:cs="Times New Roman"/>
          <w:color w:val="auto"/>
          <w:szCs w:val="28"/>
        </w:rPr>
        <w:t>（财资［2022］136号）</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《国家发展改革委关于修改＜产业结构调整指导目录（2019年本）＞的决定》（中华人民共和国国家发展和改革委员会令第49号）</w:t>
      </w:r>
    </w:p>
    <w:p>
      <w:pPr>
        <w:pStyle w:val="4"/>
        <w:spacing w:before="62" w:after="62"/>
        <w:rPr>
          <w:rFonts w:eastAsia="宋体"/>
        </w:rPr>
      </w:pPr>
      <w:r>
        <w:t>F</w:t>
      </w:r>
      <w:r>
        <w:rPr>
          <w:rFonts w:hint="eastAsia"/>
        </w:rPr>
        <w:t>4</w:t>
      </w:r>
      <w:r>
        <w:t>.1.</w:t>
      </w:r>
      <w:r>
        <w:rPr>
          <w:rFonts w:hint="eastAsia"/>
          <w:lang w:val="en-US" w:eastAsia="zh-CN"/>
        </w:rPr>
        <w:t>4</w:t>
      </w:r>
      <w:r>
        <w:rPr>
          <w:rFonts w:hint="eastAsia"/>
        </w:rPr>
        <w:t>地方政府规章</w:t>
      </w:r>
      <w:r>
        <w:rPr>
          <w:rFonts w:hint="eastAsia"/>
          <w:lang w:val="en-US" w:eastAsia="zh-CN"/>
        </w:rPr>
        <w:t>、</w:t>
      </w:r>
      <w:r>
        <w:rPr>
          <w:rFonts w:hint="eastAsia"/>
        </w:rPr>
        <w:t>有关规定和指导性文件</w:t>
      </w:r>
    </w:p>
    <w:p>
      <w:pPr>
        <w:numPr>
          <w:ilvl w:val="0"/>
          <w:numId w:val="15"/>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《山东省安全生产条例》（</w:t>
      </w:r>
      <w:r>
        <w:rPr>
          <w:rFonts w:hint="eastAsia" w:ascii="Times New Roman" w:hAnsi="Times New Roman" w:cs="Times New Roman"/>
          <w:szCs w:val="28"/>
        </w:rPr>
        <w:t>2021年12月3日山东省第十三届人民代表大会常务委员会第三十二次会议修订）</w:t>
      </w:r>
    </w:p>
    <w:p>
      <w:pPr>
        <w:numPr>
          <w:ilvl w:val="0"/>
          <w:numId w:val="15"/>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《山东省消防条例》（山东省人民代表大会常务委员会公告第70号</w:t>
      </w:r>
      <w:r>
        <w:rPr>
          <w:rFonts w:hint="eastAsia" w:ascii="Times New Roman" w:hAnsi="Times New Roman" w:cs="Times New Roman"/>
          <w:szCs w:val="28"/>
          <w:lang w:eastAsia="zh-CN"/>
        </w:rPr>
        <w:t>，山东省人民代表大会常务委员会公告第100号</w:t>
      </w:r>
      <w:r>
        <w:rPr>
          <w:rFonts w:hint="eastAsia" w:ascii="Times New Roman" w:hAnsi="Times New Roman" w:cs="Times New Roman"/>
          <w:szCs w:val="28"/>
          <w:lang w:val="en-US" w:eastAsia="zh-CN"/>
        </w:rPr>
        <w:t>修正</w:t>
      </w:r>
      <w:r>
        <w:rPr>
          <w:rFonts w:hint="eastAsia" w:ascii="Times New Roman" w:hAnsi="Times New Roman" w:cs="Times New Roman"/>
          <w:szCs w:val="28"/>
        </w:rPr>
        <w:t>）</w:t>
      </w:r>
    </w:p>
    <w:p>
      <w:pPr>
        <w:numPr>
          <w:ilvl w:val="0"/>
          <w:numId w:val="15"/>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《山东省生产经营单位安全生产主体责任规定》（山东省政府令第260号，第303号修订，第311号修订）</w:t>
      </w:r>
    </w:p>
    <w:p>
      <w:pPr>
        <w:numPr>
          <w:ilvl w:val="0"/>
          <w:numId w:val="15"/>
        </w:numPr>
        <w:tabs>
          <w:tab w:val="left" w:pos="525"/>
        </w:tabs>
        <w:adjustRightInd w:val="0"/>
        <w:snapToGrid w:val="0"/>
        <w:spacing w:line="360" w:lineRule="auto"/>
        <w:ind w:left="0" w:right="-319" w:rightChars="-114" w:firstLine="560"/>
        <w:jc w:val="both"/>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rPr>
        <w:t>山东省危险化学品安全管理办法</w:t>
      </w: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山东省政府令第309号</w:t>
      </w:r>
      <w:r>
        <w:rPr>
          <w:rFonts w:hint="eastAsia" w:ascii="Times New Roman" w:hAnsi="Times New Roman" w:cs="Times New Roman"/>
          <w:szCs w:val="28"/>
          <w:lang w:eastAsia="zh-CN"/>
        </w:rPr>
        <w:t>）</w:t>
      </w:r>
    </w:p>
    <w:p>
      <w:pPr>
        <w:numPr>
          <w:ilvl w:val="0"/>
          <w:numId w:val="15"/>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《山东省安全生产风险管控办法》（</w:t>
      </w:r>
      <w:r>
        <w:rPr>
          <w:rFonts w:hint="eastAsia" w:ascii="Times New Roman" w:hAnsi="Times New Roman" w:cs="Times New Roman"/>
          <w:szCs w:val="28"/>
          <w:lang w:val="en-US" w:eastAsia="zh-CN"/>
        </w:rPr>
        <w:t>山东</w:t>
      </w:r>
      <w:r>
        <w:rPr>
          <w:rFonts w:ascii="Times New Roman" w:hAnsi="Times New Roman" w:cs="Times New Roman"/>
          <w:szCs w:val="28"/>
        </w:rPr>
        <w:t>省政府令第331号）</w:t>
      </w:r>
    </w:p>
    <w:p>
      <w:pPr>
        <w:numPr>
          <w:ilvl w:val="0"/>
          <w:numId w:val="15"/>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《山东省生产安全事故应急办法》（</w:t>
      </w:r>
      <w:r>
        <w:rPr>
          <w:rFonts w:hint="eastAsia" w:ascii="Times New Roman" w:hAnsi="Times New Roman" w:cs="Times New Roman"/>
          <w:szCs w:val="28"/>
          <w:lang w:val="en-US" w:eastAsia="zh-CN"/>
        </w:rPr>
        <w:t>山东</w:t>
      </w:r>
      <w:r>
        <w:rPr>
          <w:rFonts w:ascii="Times New Roman" w:hAnsi="Times New Roman" w:cs="Times New Roman"/>
          <w:szCs w:val="28"/>
        </w:rPr>
        <w:t>省政府令第341号）</w:t>
      </w:r>
    </w:p>
    <w:p>
      <w:pPr>
        <w:numPr>
          <w:ilvl w:val="0"/>
          <w:numId w:val="15"/>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《山东省生产安全事故隐患排查治理办法》（</w:t>
      </w:r>
      <w:r>
        <w:rPr>
          <w:rFonts w:hint="eastAsia" w:ascii="Times New Roman" w:hAnsi="Times New Roman" w:cs="Times New Roman"/>
          <w:szCs w:val="28"/>
          <w:lang w:val="en-US" w:eastAsia="zh-CN"/>
        </w:rPr>
        <w:t>山东</w:t>
      </w:r>
      <w:r>
        <w:rPr>
          <w:rFonts w:ascii="Times New Roman" w:hAnsi="Times New Roman" w:cs="Times New Roman"/>
          <w:szCs w:val="28"/>
        </w:rPr>
        <w:t>省政府令第347号）</w:t>
      </w:r>
    </w:p>
    <w:p>
      <w:pPr>
        <w:numPr>
          <w:ilvl w:val="0"/>
          <w:numId w:val="15"/>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rPr>
        <w:t>关于印发</w:t>
      </w:r>
      <w:r>
        <w:rPr>
          <w:rFonts w:hint="eastAsia" w:ascii="Times New Roman" w:hAnsi="Times New Roman" w:cs="Times New Roman"/>
          <w:szCs w:val="28"/>
          <w:lang w:val="en-US" w:eastAsia="zh-CN"/>
        </w:rPr>
        <w:t>&lt;</w:t>
      </w:r>
      <w:r>
        <w:rPr>
          <w:rFonts w:hint="eastAsia" w:ascii="Times New Roman" w:hAnsi="Times New Roman" w:cs="Times New Roman"/>
          <w:szCs w:val="28"/>
        </w:rPr>
        <w:t>全省危险化学品安全风险集中治理实施方案</w:t>
      </w:r>
      <w:r>
        <w:rPr>
          <w:rFonts w:hint="eastAsia" w:ascii="Times New Roman" w:hAnsi="Times New Roman" w:cs="Times New Roman"/>
          <w:szCs w:val="28"/>
          <w:lang w:val="en-US" w:eastAsia="zh-CN"/>
        </w:rPr>
        <w:t>&gt;</w:t>
      </w:r>
      <w:r>
        <w:rPr>
          <w:rFonts w:hint="eastAsia" w:ascii="Times New Roman" w:hAnsi="Times New Roman" w:cs="Times New Roman"/>
          <w:szCs w:val="28"/>
        </w:rPr>
        <w:t>的通知</w:t>
      </w:r>
      <w:r>
        <w:rPr>
          <w:rFonts w:hint="eastAsia" w:ascii="Times New Roman" w:hAnsi="Times New Roman" w:cs="Times New Roman"/>
          <w:szCs w:val="28"/>
          <w:lang w:eastAsia="zh-CN"/>
        </w:rPr>
        <w:t>》</w:t>
      </w:r>
      <w:r>
        <w:rPr>
          <w:rFonts w:hint="eastAsia" w:ascii="Times New Roman" w:hAnsi="Times New Roman" w:cs="Times New Roman"/>
          <w:szCs w:val="28"/>
        </w:rPr>
        <w:t>（鲁安发</w:t>
      </w:r>
      <w:r>
        <w:rPr>
          <w:rFonts w:ascii="Times New Roman" w:hAnsi="Times New Roman" w:cs="Times New Roman"/>
          <w:szCs w:val="28"/>
        </w:rPr>
        <w:t>[202</w:t>
      </w:r>
      <w:r>
        <w:rPr>
          <w:rFonts w:hint="eastAsia" w:ascii="Times New Roman" w:hAnsi="Times New Roman" w:cs="Times New Roman"/>
          <w:szCs w:val="28"/>
          <w:lang w:val="en-US" w:eastAsia="zh-CN"/>
        </w:rPr>
        <w:t>2</w:t>
      </w:r>
      <w:r>
        <w:rPr>
          <w:rFonts w:ascii="Times New Roman" w:hAnsi="Times New Roman" w:cs="Times New Roman"/>
          <w:szCs w:val="28"/>
        </w:rPr>
        <w:t>]</w:t>
      </w:r>
      <w:r>
        <w:rPr>
          <w:rFonts w:hint="eastAsia" w:ascii="Times New Roman" w:hAnsi="Times New Roman" w:cs="Times New Roman"/>
          <w:szCs w:val="28"/>
        </w:rPr>
        <w:t>1号）</w:t>
      </w:r>
    </w:p>
    <w:p>
      <w:pPr>
        <w:numPr>
          <w:ilvl w:val="0"/>
          <w:numId w:val="15"/>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rPr>
        <w:t>关于印发</w:t>
      </w:r>
      <w:r>
        <w:rPr>
          <w:rFonts w:hint="eastAsia" w:ascii="Times New Roman" w:hAnsi="Times New Roman" w:cs="Times New Roman"/>
          <w:szCs w:val="28"/>
          <w:lang w:val="en-US" w:eastAsia="zh-CN"/>
        </w:rPr>
        <w:t>&lt;.</w:t>
      </w:r>
      <w:r>
        <w:rPr>
          <w:rFonts w:hint="eastAsia" w:ascii="Times New Roman" w:hAnsi="Times New Roman" w:cs="Times New Roman"/>
          <w:szCs w:val="28"/>
        </w:rPr>
        <w:t>关于全面加强危险化学品安全生产工作的实施意见</w:t>
      </w:r>
      <w:r>
        <w:rPr>
          <w:rFonts w:hint="eastAsia" w:ascii="Times New Roman" w:hAnsi="Times New Roman" w:cs="Times New Roman"/>
          <w:szCs w:val="28"/>
          <w:lang w:val="en-US" w:eastAsia="zh-CN"/>
        </w:rPr>
        <w:t>&gt;</w:t>
      </w:r>
      <w:r>
        <w:rPr>
          <w:rFonts w:hint="eastAsia" w:ascii="Times New Roman" w:hAnsi="Times New Roman" w:cs="Times New Roman"/>
          <w:szCs w:val="28"/>
        </w:rPr>
        <w:t>的通知</w:t>
      </w:r>
      <w:r>
        <w:rPr>
          <w:rFonts w:hint="eastAsia" w:ascii="Times New Roman" w:hAnsi="Times New Roman" w:cs="Times New Roman"/>
          <w:szCs w:val="28"/>
          <w:lang w:eastAsia="zh-CN"/>
        </w:rPr>
        <w:t>》</w:t>
      </w:r>
      <w:r>
        <w:rPr>
          <w:rFonts w:hint="eastAsia" w:ascii="Times New Roman" w:hAnsi="Times New Roman" w:cs="Times New Roman"/>
          <w:szCs w:val="28"/>
        </w:rPr>
        <w:t>（鲁办发电</w:t>
      </w:r>
      <w:r>
        <w:rPr>
          <w:rFonts w:ascii="Times New Roman" w:hAnsi="Times New Roman" w:cs="Times New Roman"/>
          <w:szCs w:val="28"/>
        </w:rPr>
        <w:t>[202</w:t>
      </w:r>
      <w:r>
        <w:rPr>
          <w:rFonts w:hint="eastAsia" w:ascii="Times New Roman" w:hAnsi="Times New Roman" w:cs="Times New Roman"/>
          <w:szCs w:val="28"/>
          <w:lang w:val="en-US" w:eastAsia="zh-CN"/>
        </w:rPr>
        <w:t>1</w:t>
      </w:r>
      <w:r>
        <w:rPr>
          <w:rFonts w:ascii="Times New Roman" w:hAnsi="Times New Roman" w:cs="Times New Roman"/>
          <w:szCs w:val="28"/>
        </w:rPr>
        <w:t>]</w:t>
      </w:r>
      <w:r>
        <w:rPr>
          <w:rFonts w:hint="eastAsia" w:ascii="Times New Roman" w:hAnsi="Times New Roman" w:cs="Times New Roman"/>
          <w:szCs w:val="28"/>
        </w:rPr>
        <w:t>55号）</w:t>
      </w:r>
    </w:p>
    <w:p>
      <w:pPr>
        <w:numPr>
          <w:ilvl w:val="0"/>
          <w:numId w:val="15"/>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《关于印发</w:t>
      </w:r>
      <w:r>
        <w:rPr>
          <w:rFonts w:hint="eastAsia" w:ascii="Times New Roman" w:hAnsi="Times New Roman" w:cs="Times New Roman"/>
          <w:szCs w:val="28"/>
          <w:lang w:val="en-US" w:eastAsia="zh-CN"/>
        </w:rPr>
        <w:t>&lt;</w:t>
      </w:r>
      <w:r>
        <w:rPr>
          <w:rFonts w:ascii="Times New Roman" w:hAnsi="Times New Roman" w:cs="Times New Roman"/>
          <w:szCs w:val="28"/>
        </w:rPr>
        <w:t>山东省可燃液体、液化烃及液化毒性气体汽车装卸设施安全改造指南（试行）</w:t>
      </w:r>
      <w:r>
        <w:rPr>
          <w:rFonts w:hint="eastAsia" w:ascii="Times New Roman" w:hAnsi="Times New Roman" w:cs="Times New Roman"/>
          <w:szCs w:val="28"/>
          <w:lang w:val="en-US" w:eastAsia="zh-CN"/>
        </w:rPr>
        <w:t>&gt;</w:t>
      </w:r>
      <w:r>
        <w:rPr>
          <w:rFonts w:ascii="Times New Roman" w:hAnsi="Times New Roman" w:cs="Times New Roman"/>
          <w:szCs w:val="28"/>
        </w:rPr>
        <w:t>的通知》（鲁安办发[2020]26号）</w:t>
      </w:r>
    </w:p>
    <w:p>
      <w:pPr>
        <w:numPr>
          <w:ilvl w:val="0"/>
          <w:numId w:val="15"/>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《山东省生产经营单位全员安全生产责任清单》（鲁安办发[2021]50号）</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《山东省危险化学品建设项目安全监督管理办法实施细则》（鲁安监发[2018]17号）</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rPr>
        <w:t>关于推进“机械化换人、自动化减人、智能化无人”工作的指导意见</w:t>
      </w:r>
      <w:r>
        <w:rPr>
          <w:rFonts w:hint="eastAsia" w:ascii="Times New Roman" w:hAnsi="Times New Roman" w:cs="Times New Roman"/>
          <w:szCs w:val="28"/>
          <w:lang w:eastAsia="zh-CN"/>
        </w:rPr>
        <w:t>》</w:t>
      </w:r>
      <w:r>
        <w:rPr>
          <w:rFonts w:hint="eastAsia" w:ascii="Times New Roman" w:hAnsi="Times New Roman" w:cs="Times New Roman"/>
          <w:szCs w:val="28"/>
        </w:rPr>
        <w:t>（鲁应急字[20</w:t>
      </w:r>
      <w:r>
        <w:rPr>
          <w:rFonts w:hint="eastAsia" w:ascii="Times New Roman" w:hAnsi="Times New Roman" w:cs="Times New Roman"/>
          <w:szCs w:val="28"/>
          <w:lang w:val="en-US" w:eastAsia="zh-CN"/>
        </w:rPr>
        <w:t>21</w:t>
      </w:r>
      <w:r>
        <w:rPr>
          <w:rFonts w:hint="eastAsia" w:ascii="Times New Roman" w:hAnsi="Times New Roman" w:cs="Times New Roman"/>
          <w:szCs w:val="28"/>
        </w:rPr>
        <w:t>]126号）</w:t>
      </w:r>
    </w:p>
    <w:p>
      <w:pPr>
        <w:numPr>
          <w:ilvl w:val="0"/>
          <w:numId w:val="14"/>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《东营市化工企业罐区建设补充规定》（东安办发[2017]67号）</w:t>
      </w:r>
    </w:p>
    <w:p>
      <w:pPr>
        <w:pStyle w:val="3"/>
        <w:numPr>
          <w:ilvl w:val="1"/>
          <w:numId w:val="0"/>
        </w:numPr>
        <w:spacing w:before="156" w:after="156"/>
      </w:pPr>
      <w:bookmarkStart w:id="138" w:name="_Toc17258"/>
      <w:r>
        <w:t>F4.2 国家标准、规范、规程</w:t>
      </w:r>
      <w:bookmarkEnd w:id="138"/>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《工业企业总平面设计规范》（GB50187-2012）</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《建筑设计防火规范（2018年版）》（GB50016-2014）</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《建筑灭火器配置设计规范》（GB50140-2005）</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《石油化工工厂布置设计规范》（GB50984-2014）</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《化工企业总图运输设计规范》（GB50489-2009）</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color w:val="000000"/>
        </w:rPr>
        <w:t>《爆炸危险环境电力装置设计规范》（</w:t>
      </w:r>
      <w:r>
        <w:rPr>
          <w:rFonts w:ascii="Times New Roman" w:hAnsi="Times New Roman" w:cs="Times New Roman"/>
          <w:szCs w:val="28"/>
        </w:rPr>
        <w:t>GB50058-2014</w:t>
      </w:r>
      <w:r>
        <w:rPr>
          <w:rFonts w:ascii="Times New Roman" w:hAnsi="Times New Roman" w:cs="Times New Roman"/>
          <w:color w:val="000000"/>
        </w:rPr>
        <w:t>）</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《建筑物防雷设计规范》（GB50057-2010）</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《构筑物抗震设计规范》（GB50191-2012）</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《建筑抗震设计规范（2016年版）》（GB50011-2010）</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《石油化工建（构）筑物抗震设防分类标准》（GB50453-2008）</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《供配电系统设计规范》（GB50052-2009）</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《低压配电设计规范》（GB50054-2011）</w:t>
      </w:r>
    </w:p>
    <w:p>
      <w:pPr>
        <w:numPr>
          <w:ilvl w:val="0"/>
          <w:numId w:val="16"/>
        </w:numPr>
        <w:tabs>
          <w:tab w:val="left" w:pos="525"/>
        </w:tabs>
        <w:adjustRightInd w:val="0"/>
        <w:snapToGrid w:val="0"/>
        <w:spacing w:line="360" w:lineRule="auto"/>
        <w:ind w:left="0" w:firstLine="560"/>
        <w:jc w:val="both"/>
        <w:rPr>
          <w:rFonts w:ascii="Times New Roman" w:hAnsi="Times New Roman" w:cs="Times New Roman"/>
          <w:color w:val="000000"/>
          <w:szCs w:val="28"/>
        </w:rPr>
      </w:pPr>
      <w:r>
        <w:rPr>
          <w:rFonts w:ascii="Times New Roman" w:hAnsi="Times New Roman" w:cs="Times New Roman"/>
          <w:szCs w:val="28"/>
        </w:rPr>
        <w:t>《安全标志及其使用导则》（GB2894-2008）</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《石油化工企业设计防火标准（</w:t>
      </w:r>
      <w:r>
        <w:rPr>
          <w:rFonts w:hint="eastAsia" w:ascii="Times New Roman" w:hAnsi="Times New Roman" w:cs="Times New Roman"/>
          <w:szCs w:val="28"/>
        </w:rPr>
        <w:t>2018年版</w:t>
      </w:r>
      <w:r>
        <w:rPr>
          <w:rFonts w:ascii="Times New Roman" w:hAnsi="Times New Roman" w:cs="Times New Roman"/>
          <w:szCs w:val="28"/>
        </w:rPr>
        <w:t>））》（GB50160-2008）</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《危险化学品重大危险源辨识》（GB18218-2018）</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《建筑照明设计标准》（GB50034-2013）</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《火灾自动报警系统设计规范》（GB50116-2013）</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《石油化工装置防雷设计规范》（GB50650-2011）</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《消防给水及消火栓系统技术规范》（GB50974-2014）</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《立式圆筒形钢制焊接油罐设计规范》（GB50341-2014）</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《储罐区防火堤设计规范》（GB50351-2014）</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《泡沫灭火系统技术标准》（GB50151-2021）</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《钢制储罐地基基础设计规范》（GB50473-2008）</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《建筑工程抗震设防分类标准》（GB50223-2008）</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《企业职工伤亡事故分类》（GB6441-1986）</w:t>
      </w:r>
    </w:p>
    <w:p>
      <w:pPr>
        <w:numPr>
          <w:ilvl w:val="0"/>
          <w:numId w:val="16"/>
        </w:numPr>
        <w:tabs>
          <w:tab w:val="left" w:pos="0"/>
          <w:tab w:val="left" w:pos="210"/>
          <w:tab w:val="clear" w:pos="31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《化学品分类和标签规范第7部分：易燃液体》（GB30000.7-2013）</w:t>
      </w:r>
    </w:p>
    <w:p>
      <w:pPr>
        <w:numPr>
          <w:ilvl w:val="0"/>
          <w:numId w:val="16"/>
        </w:numPr>
        <w:tabs>
          <w:tab w:val="left" w:pos="0"/>
          <w:tab w:val="left" w:pos="210"/>
          <w:tab w:val="clear" w:pos="31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《个体防护装备配备规范第2部分：石油、化工、天然气》（GB39800.2-2020）</w:t>
      </w:r>
    </w:p>
    <w:p>
      <w:pPr>
        <w:numPr>
          <w:ilvl w:val="0"/>
          <w:numId w:val="16"/>
        </w:numPr>
        <w:tabs>
          <w:tab w:val="left" w:pos="0"/>
          <w:tab w:val="left" w:pos="210"/>
          <w:tab w:val="clear" w:pos="31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《工作场所有害因素职业接触限值 第1部分</w:t>
      </w:r>
      <w:r>
        <w:rPr>
          <w:rFonts w:hint="eastAsia" w:ascii="Times New Roman" w:hAnsi="Times New Roman" w:cs="Times New Roman"/>
          <w:szCs w:val="28"/>
          <w:lang w:eastAsia="zh-CN"/>
        </w:rPr>
        <w:t>：</w:t>
      </w:r>
      <w:r>
        <w:rPr>
          <w:rFonts w:ascii="Times New Roman" w:hAnsi="Times New Roman" w:cs="Times New Roman"/>
          <w:szCs w:val="28"/>
        </w:rPr>
        <w:t>化学有害因素》（GBZ2.1-2019）</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《职业性接触毒物危害程度分级》（GBZ230-2010）（强改推：国卫通[2016]24号）</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《工业企业噪声控制设计规范》（GB/T50087-2013）</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《生产经营单位生产安全事故应急预案编制导则》（GB/T29639-2020）</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《生产过程安全卫生要求总则》（GB/T12801-2008）</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《石油化工可燃气体和有毒气体检测报警设计标准》（GB/T50493-2019）</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《石油化工安全仪表系统设计规范》（GB/T50770-2013）</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《钢质石油储罐防腐蚀工程技术标准》（GB/T50393-2017）</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《生产过程危险和有害因素分类与代码》（GB/T13861-2022）</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《企业安全生产标准化基本规范》（GB/T33000-2016）</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color w:val="000000"/>
          <w:szCs w:val="28"/>
        </w:rPr>
        <w:t>《工业建筑防腐蚀设计</w:t>
      </w:r>
      <w:r>
        <w:rPr>
          <w:rFonts w:hint="eastAsia" w:ascii="Times New Roman" w:hAnsi="Times New Roman" w:cs="Times New Roman"/>
          <w:color w:val="000000"/>
          <w:szCs w:val="28"/>
        </w:rPr>
        <w:t>标准</w:t>
      </w:r>
      <w:r>
        <w:rPr>
          <w:rFonts w:ascii="Times New Roman" w:hAnsi="Times New Roman" w:cs="Times New Roman"/>
          <w:color w:val="000000"/>
          <w:szCs w:val="28"/>
        </w:rPr>
        <w:t>》（</w:t>
      </w:r>
      <w:r>
        <w:rPr>
          <w:rFonts w:ascii="Times New Roman" w:hAnsi="Times New Roman" w:cs="Times New Roman"/>
          <w:szCs w:val="28"/>
        </w:rPr>
        <w:t>GB/T50046-2018</w:t>
      </w:r>
      <w:r>
        <w:rPr>
          <w:rFonts w:ascii="Times New Roman" w:hAnsi="Times New Roman" w:cs="Times New Roman"/>
          <w:color w:val="000000"/>
          <w:szCs w:val="28"/>
        </w:rPr>
        <w:t>）</w:t>
      </w:r>
    </w:p>
    <w:p>
      <w:pPr>
        <w:numPr>
          <w:ilvl w:val="0"/>
          <w:numId w:val="16"/>
        </w:numPr>
        <w:tabs>
          <w:tab w:val="left" w:pos="0"/>
          <w:tab w:val="left" w:pos="210"/>
          <w:tab w:val="clear" w:pos="31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《山东省劳动防护用品配备标准》（DB37/1922-2011）</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《石油化工仪表供电设计规范》（SH/T3082-2019）</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《石油化工环境保护设计规范》（SH/T3024-2017</w:t>
      </w:r>
      <w:r>
        <w:rPr>
          <w:rFonts w:hint="eastAsia" w:ascii="Times New Roman" w:hAnsi="Times New Roman" w:cs="Times New Roman"/>
          <w:szCs w:val="28"/>
        </w:rPr>
        <w:t>）</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《石油化工静电接地设计规范》（SH/T3097-2017）</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《石油化工仪表接地设计规范》（SH/T3081-2019）</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《石油化工储运系统罐区设计规范》（SH/T3007-2014）</w:t>
      </w:r>
    </w:p>
    <w:p>
      <w:pPr>
        <w:numPr>
          <w:ilvl w:val="0"/>
          <w:numId w:val="16"/>
        </w:numPr>
        <w:tabs>
          <w:tab w:val="left" w:pos="0"/>
          <w:tab w:val="left" w:pos="210"/>
          <w:tab w:val="clear" w:pos="315"/>
        </w:tabs>
        <w:adjustRightInd w:val="0"/>
        <w:snapToGrid w:val="0"/>
        <w:spacing w:line="360" w:lineRule="auto"/>
        <w:ind w:left="0" w:firstLine="560"/>
        <w:jc w:val="both"/>
        <w:rPr>
          <w:rFonts w:ascii="Times New Roman" w:hAnsi="Times New Roman" w:cs="Times New Roman"/>
          <w:szCs w:val="28"/>
        </w:rPr>
      </w:pPr>
      <w:r>
        <w:rPr>
          <w:rFonts w:hint="eastAsia" w:ascii="Times New Roman" w:hAnsi="Times New Roman" w:cs="Times New Roman"/>
          <w:szCs w:val="28"/>
        </w:rPr>
        <w:t>《石油化工企业职业安全卫生设计规范》（SH/T3047-2021）</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《埋地钢质管道环氧煤沥青防腐层技术标准》</w:t>
      </w:r>
      <w:r>
        <w:rPr>
          <w:rFonts w:hint="eastAsia" w:ascii="Times New Roman" w:hAnsi="Times New Roman" w:cs="Times New Roman"/>
        </w:rPr>
        <w:t>（SY/T0447-2014）</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《危险化学品从业单位安全标准化通用规范</w:t>
      </w:r>
      <w:r>
        <w:rPr>
          <w:rFonts w:hint="eastAsia" w:cs="Times New Roman"/>
        </w:rPr>
        <w:t>》</w:t>
      </w:r>
      <w:r>
        <w:rPr>
          <w:rFonts w:ascii="Times New Roman" w:hAnsi="Times New Roman" w:cs="Times New Roman"/>
        </w:rPr>
        <w:t>（AQ3013-2008）</w:t>
      </w:r>
    </w:p>
    <w:p>
      <w:pPr>
        <w:numPr>
          <w:ilvl w:val="0"/>
          <w:numId w:val="16"/>
        </w:numPr>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rPr>
        <w:t>《危险化学品重大危险源安全监控通用技术规范》（AQ3035-2010）</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《危险化学品重大危险源罐区现场安全监控装备设置规范》(AQ3036-2010)</w:t>
      </w:r>
    </w:p>
    <w:p>
      <w:pPr>
        <w:numPr>
          <w:ilvl w:val="0"/>
          <w:numId w:val="16"/>
        </w:numPr>
        <w:tabs>
          <w:tab w:val="left" w:pos="52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《安全评价通则》（AQ8001-2007）</w:t>
      </w:r>
    </w:p>
    <w:p>
      <w:pPr>
        <w:numPr>
          <w:ilvl w:val="0"/>
          <w:numId w:val="16"/>
        </w:numPr>
        <w:tabs>
          <w:tab w:val="left" w:pos="0"/>
          <w:tab w:val="left" w:pos="210"/>
          <w:tab w:val="clear" w:pos="31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szCs w:val="28"/>
        </w:rPr>
        <w:t>《安全</w:t>
      </w:r>
      <w:r>
        <w:rPr>
          <w:rFonts w:hint="eastAsia" w:ascii="Times New Roman" w:hAnsi="Times New Roman" w:cs="Times New Roman"/>
          <w:szCs w:val="28"/>
        </w:rPr>
        <w:t>预评价</w:t>
      </w:r>
      <w:r>
        <w:rPr>
          <w:rFonts w:ascii="Times New Roman" w:hAnsi="Times New Roman" w:cs="Times New Roman"/>
          <w:szCs w:val="28"/>
        </w:rPr>
        <w:t>导则》（AQ800</w:t>
      </w:r>
      <w:r>
        <w:rPr>
          <w:rFonts w:hint="eastAsia" w:ascii="Times New Roman" w:hAnsi="Times New Roman" w:cs="Times New Roman"/>
          <w:szCs w:val="28"/>
        </w:rPr>
        <w:t>2</w:t>
      </w:r>
      <w:r>
        <w:rPr>
          <w:rFonts w:ascii="Times New Roman" w:hAnsi="Times New Roman" w:cs="Times New Roman"/>
          <w:szCs w:val="28"/>
        </w:rPr>
        <w:t>-2007）</w:t>
      </w:r>
    </w:p>
    <w:p>
      <w:pPr>
        <w:numPr>
          <w:ilvl w:val="0"/>
          <w:numId w:val="16"/>
        </w:numPr>
        <w:tabs>
          <w:tab w:val="left" w:pos="0"/>
          <w:tab w:val="left" w:pos="210"/>
          <w:tab w:val="clear" w:pos="315"/>
        </w:tabs>
        <w:adjustRightInd w:val="0"/>
        <w:snapToGrid w:val="0"/>
        <w:spacing w:line="360" w:lineRule="auto"/>
        <w:ind w:left="0" w:firstLine="560"/>
        <w:jc w:val="both"/>
        <w:rPr>
          <w:rFonts w:ascii="Times New Roman" w:hAnsi="Times New Roman" w:cs="Times New Roman"/>
          <w:szCs w:val="28"/>
        </w:rPr>
      </w:pPr>
      <w:r>
        <w:rPr>
          <w:rFonts w:ascii="Times New Roman" w:hAnsi="Times New Roman" w:cs="Times New Roman"/>
          <w:color w:val="000000"/>
          <w:szCs w:val="28"/>
        </w:rPr>
        <w:t>《化工企业安全卫生设计规范》（</w:t>
      </w:r>
      <w:r>
        <w:rPr>
          <w:rFonts w:ascii="Times New Roman" w:hAnsi="Times New Roman" w:cs="Times New Roman"/>
          <w:szCs w:val="28"/>
        </w:rPr>
        <w:t>HG20571-2014</w:t>
      </w:r>
      <w:r>
        <w:rPr>
          <w:rFonts w:ascii="Times New Roman" w:hAnsi="Times New Roman" w:cs="Times New Roman"/>
          <w:color w:val="000000"/>
          <w:szCs w:val="28"/>
        </w:rPr>
        <w:t>）</w:t>
      </w:r>
    </w:p>
    <w:bookmarkEnd w:id="135"/>
    <w:bookmarkEnd w:id="136"/>
    <w:bookmarkEnd w:id="137"/>
    <w:p>
      <w:pPr>
        <w:pStyle w:val="3"/>
        <w:numPr>
          <w:ilvl w:val="1"/>
          <w:numId w:val="0"/>
        </w:numPr>
        <w:spacing w:before="156" w:after="156"/>
        <w:ind w:left="130"/>
      </w:pPr>
      <w:bookmarkStart w:id="139" w:name="_Toc22942"/>
      <w:r>
        <w:t>F4.</w:t>
      </w:r>
      <w:bookmarkStart w:id="140" w:name="_Toc430293787"/>
      <w:r>
        <w:t>3 依据的其他有关文件资料</w:t>
      </w:r>
      <w:bookmarkEnd w:id="139"/>
    </w:p>
    <w:bookmarkEnd w:id="140"/>
    <w:p>
      <w:pPr>
        <w:numPr>
          <w:ilvl w:val="0"/>
          <w:numId w:val="17"/>
        </w:numPr>
        <w:adjustRightInd w:val="0"/>
        <w:snapToGrid w:val="0"/>
        <w:spacing w:line="360" w:lineRule="auto"/>
        <w:ind w:left="0" w:firstLine="560"/>
        <w:rPr>
          <w:rFonts w:ascii="Times New Roman" w:hAnsi="Times New Roman" w:cs="Times New Roman"/>
          <w:szCs w:val="28"/>
        </w:rPr>
      </w:pPr>
      <w:r>
        <w:rPr>
          <w:rFonts w:ascii="Times New Roman" w:hAnsi="Times New Roman" w:cs="Times New Roman"/>
          <w:szCs w:val="28"/>
        </w:rPr>
        <w:t>项目可行性研究报告</w:t>
      </w:r>
    </w:p>
    <w:p>
      <w:pPr>
        <w:numPr>
          <w:ilvl w:val="0"/>
          <w:numId w:val="17"/>
        </w:numPr>
        <w:adjustRightInd w:val="0"/>
        <w:snapToGrid w:val="0"/>
        <w:spacing w:line="360" w:lineRule="auto"/>
        <w:ind w:left="0" w:firstLine="560"/>
        <w:rPr>
          <w:rFonts w:ascii="Times New Roman" w:hAnsi="Times New Roman" w:cs="Times New Roman"/>
          <w:szCs w:val="28"/>
        </w:rPr>
      </w:pPr>
      <w:r>
        <w:rPr>
          <w:rFonts w:ascii="Times New Roman" w:hAnsi="Times New Roman" w:cs="Times New Roman"/>
          <w:szCs w:val="28"/>
        </w:rPr>
        <w:t>项目有关的其他资料、文件</w:t>
      </w:r>
    </w:p>
    <w:p>
      <w:pPr>
        <w:pStyle w:val="6"/>
        <w:ind w:left="0" w:leftChars="0" w:firstLine="0" w:firstLineChars="0"/>
        <w:rPr>
          <w:rFonts w:hint="default"/>
          <w:szCs w:val="24"/>
          <w:lang w:val="en-US" w:eastAsia="zh-CN"/>
        </w:rPr>
      </w:pPr>
    </w:p>
    <w:sectPr>
      <w:headerReference r:id="rId10" w:type="default"/>
      <w:footerReference r:id="rId11" w:type="default"/>
      <w:pgSz w:w="11906" w:h="16838"/>
      <w:pgMar w:top="1440" w:right="1800" w:bottom="1440" w:left="1800" w:header="720" w:footer="720" w:gutter="0"/>
      <w:pgBorders>
        <w:top w:val="none" w:sz="0" w:space="0"/>
        <w:left w:val="none" w:sz="0" w:space="0"/>
        <w:bottom w:val="none" w:sz="0" w:space="0"/>
        <w:right w:val="none" w:sz="0" w:space="0"/>
      </w:pgBorders>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0C986BD-4D71-4832-A90C-0D91C0AF3BB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C1CBF2BB-1D19-4591-9C9E-6730816A392E}"/>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Times-Roman">
    <w:altName w:val="Times New Roman"/>
    <w:panose1 w:val="00000000000000000000"/>
    <w:charset w:val="00"/>
    <w:family w:val="auto"/>
    <w:pitch w:val="default"/>
    <w:sig w:usb0="00000000" w:usb1="00000000" w:usb2="00000000" w:usb3="00000000" w:csb0="00000000" w:csb1="00000000"/>
    <w:embedRegular r:id="rId3" w:fontKey="{E70ECBB3-E3CC-488C-84AF-1640B29EF4DE}"/>
  </w:font>
  <w:font w:name="华文新魏">
    <w:panose1 w:val="02010800040101010101"/>
    <w:charset w:val="86"/>
    <w:family w:val="auto"/>
    <w:pitch w:val="default"/>
    <w:sig w:usb0="00000001" w:usb1="080F0000" w:usb2="00000000" w:usb3="00000000" w:csb0="00040000" w:csb1="00000000"/>
    <w:embedRegular r:id="rId4" w:fontKey="{64884F4F-4CFC-468F-91AE-8D8C2C96CAE7}"/>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firstLine="360"/>
      <w:jc w:val="center"/>
      <w:rPr>
        <w:rFonts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firstLine="360"/>
      <w:rPr>
        <w:rFonts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firstLine="360"/>
      <w:jc w:val="center"/>
      <w:rPr>
        <w:rFonts w:cs="Times New Roman"/>
        <w:sz w:val="18"/>
        <w:szCs w:val="18"/>
      </w:rPr>
    </w:pPr>
    <w:r>
      <w:rPr>
        <w:rFonts w:cs="Times New Roman"/>
        <w:sz w:val="18"/>
        <w:szCs w:val="18"/>
      </w:rPr>
      <w:fldChar w:fldCharType="begin"/>
    </w:r>
    <w:r>
      <w:rPr>
        <w:rFonts w:cs="Times New Roman"/>
        <w:sz w:val="18"/>
        <w:szCs w:val="18"/>
      </w:rPr>
      <w:instrText xml:space="preserve">PAGE   \* MERGEFORMAT</w:instrText>
    </w:r>
    <w:r>
      <w:rPr>
        <w:rFonts w:cs="Times New Roman"/>
        <w:sz w:val="18"/>
        <w:szCs w:val="18"/>
      </w:rPr>
      <w:fldChar w:fldCharType="separate"/>
    </w:r>
    <w:r>
      <w:rPr>
        <w:rFonts w:cs="Times New Roman"/>
        <w:sz w:val="18"/>
        <w:szCs w:val="18"/>
        <w:lang w:val="zh-CN"/>
      </w:rPr>
      <w:t>50</w:t>
    </w:r>
    <w:r>
      <w:rPr>
        <w:rFonts w:cs="Times New Roman"/>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firstLine="360"/>
      <w:rPr>
        <w:rFonts w:cs="Times New Roman"/>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ind w:firstLine="360"/>
      <w:jc w:val="center"/>
      <w:rPr>
        <w:rFonts w:ascii="Times New Roman" w:hAnsi="Times New Roman" w:cs="Times New Roman"/>
        <w:kern w:val="0"/>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w:rPr>
        <w:rFonts w:hint="eastAsia"/>
      </w:rPr>
      <w:t>胜利油田分公司石油化工总厂原油</w:t>
    </w:r>
    <w:r>
      <w:rPr>
        <w:rFonts w:hint="eastAsia"/>
        <w:lang w:val="en-US" w:eastAsia="zh-CN"/>
      </w:rPr>
      <w:t>罐区</w:t>
    </w:r>
    <w:r>
      <w:rPr>
        <w:rFonts w:hint="eastAsia"/>
      </w:rPr>
      <w:t>分输分储改造工程项目安全条件评价报告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E767A"/>
    <w:multiLevelType w:val="singleLevel"/>
    <w:tmpl w:val="8CCE767A"/>
    <w:lvl w:ilvl="0" w:tentative="0">
      <w:start w:val="1"/>
      <w:numFmt w:val="decimal"/>
      <w:suff w:val="nothing"/>
      <w:lvlText w:val="（%1）"/>
      <w:lvlJc w:val="left"/>
      <w:pPr>
        <w:ind w:left="420" w:hanging="420"/>
      </w:pPr>
      <w:rPr>
        <w:rFonts w:hint="default"/>
      </w:rPr>
    </w:lvl>
  </w:abstractNum>
  <w:abstractNum w:abstractNumId="1">
    <w:nsid w:val="939CD7F4"/>
    <w:multiLevelType w:val="singleLevel"/>
    <w:tmpl w:val="939CD7F4"/>
    <w:lvl w:ilvl="0" w:tentative="0">
      <w:start w:val="1"/>
      <w:numFmt w:val="decimal"/>
      <w:suff w:val="nothing"/>
      <w:lvlText w:val="%1."/>
      <w:lvlJc w:val="left"/>
      <w:pPr>
        <w:ind w:left="0" w:firstLine="0"/>
      </w:pPr>
      <w:rPr>
        <w:rFonts w:hint="default"/>
      </w:rPr>
    </w:lvl>
  </w:abstractNum>
  <w:abstractNum w:abstractNumId="2">
    <w:nsid w:val="99CF3C98"/>
    <w:multiLevelType w:val="singleLevel"/>
    <w:tmpl w:val="99CF3C98"/>
    <w:lvl w:ilvl="0" w:tentative="0">
      <w:start w:val="2"/>
      <w:numFmt w:val="decimal"/>
      <w:suff w:val="nothing"/>
      <w:lvlText w:val="%1）"/>
      <w:lvlJc w:val="left"/>
    </w:lvl>
  </w:abstractNum>
  <w:abstractNum w:abstractNumId="3">
    <w:nsid w:val="AA024B1B"/>
    <w:multiLevelType w:val="singleLevel"/>
    <w:tmpl w:val="AA024B1B"/>
    <w:lvl w:ilvl="0" w:tentative="0">
      <w:start w:val="3"/>
      <w:numFmt w:val="decimal"/>
      <w:suff w:val="nothing"/>
      <w:lvlText w:val="（%1）"/>
      <w:lvlJc w:val="left"/>
    </w:lvl>
  </w:abstractNum>
  <w:abstractNum w:abstractNumId="4">
    <w:nsid w:val="B323E957"/>
    <w:multiLevelType w:val="singleLevel"/>
    <w:tmpl w:val="B323E957"/>
    <w:lvl w:ilvl="0" w:tentative="0">
      <w:start w:val="1"/>
      <w:numFmt w:val="decimal"/>
      <w:suff w:val="nothing"/>
      <w:lvlText w:val="（%1）"/>
      <w:lvlJc w:val="left"/>
      <w:pPr>
        <w:ind w:left="420" w:hanging="420"/>
      </w:pPr>
      <w:rPr>
        <w:rFonts w:hint="default"/>
      </w:rPr>
    </w:lvl>
  </w:abstractNum>
  <w:abstractNum w:abstractNumId="5">
    <w:nsid w:val="B4F76644"/>
    <w:multiLevelType w:val="singleLevel"/>
    <w:tmpl w:val="B4F76644"/>
    <w:lvl w:ilvl="0" w:tentative="0">
      <w:start w:val="1"/>
      <w:numFmt w:val="decimal"/>
      <w:suff w:val="nothing"/>
      <w:lvlText w:val="（%1）"/>
      <w:lvlJc w:val="left"/>
    </w:lvl>
  </w:abstractNum>
  <w:abstractNum w:abstractNumId="6">
    <w:nsid w:val="C24BAFC4"/>
    <w:multiLevelType w:val="multilevel"/>
    <w:tmpl w:val="C24BAFC4"/>
    <w:lvl w:ilvl="0" w:tentative="0">
      <w:start w:val="1"/>
      <w:numFmt w:val="decimal"/>
      <w:suff w:val="nothing"/>
      <w:lvlText w:val="（%1）"/>
      <w:lvlJc w:val="left"/>
      <w:pPr>
        <w:ind w:left="70"/>
      </w:pPr>
      <w:rPr>
        <w:rFonts w:hint="default"/>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7">
    <w:nsid w:val="E552E988"/>
    <w:multiLevelType w:val="singleLevel"/>
    <w:tmpl w:val="E552E988"/>
    <w:lvl w:ilvl="0" w:tentative="0">
      <w:start w:val="1"/>
      <w:numFmt w:val="decimal"/>
      <w:suff w:val="nothing"/>
      <w:lvlText w:val="（%1）"/>
      <w:lvlJc w:val="left"/>
      <w:pPr>
        <w:ind w:left="420" w:hanging="420"/>
      </w:pPr>
      <w:rPr>
        <w:rFonts w:hint="default"/>
      </w:rPr>
    </w:lvl>
  </w:abstractNum>
  <w:abstractNum w:abstractNumId="8">
    <w:nsid w:val="13887533"/>
    <w:multiLevelType w:val="multilevel"/>
    <w:tmpl w:val="13887533"/>
    <w:lvl w:ilvl="0" w:tentative="0">
      <w:start w:val="1"/>
      <w:numFmt w:val="decimal"/>
      <w:pStyle w:val="16"/>
      <w:suff w:val="space"/>
      <w:lvlText w:val="%1"/>
      <w:lvlJc w:val="left"/>
      <w:pPr>
        <w:ind w:left="425" w:hanging="425"/>
      </w:pPr>
      <w:rPr>
        <w:rFonts w:hint="eastAsia"/>
      </w:rPr>
    </w:lvl>
    <w:lvl w:ilvl="1" w:tentative="0">
      <w:start w:val="1"/>
      <w:numFmt w:val="decimal"/>
      <w:pStyle w:val="3"/>
      <w:suff w:val="space"/>
      <w:lvlText w:val="%1.%2"/>
      <w:lvlJc w:val="left"/>
      <w:pPr>
        <w:ind w:left="567" w:hanging="142"/>
      </w:p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9">
    <w:nsid w:val="2724540B"/>
    <w:multiLevelType w:val="multilevel"/>
    <w:tmpl w:val="2724540B"/>
    <w:lvl w:ilvl="0" w:tentative="0">
      <w:start w:val="1"/>
      <w:numFmt w:val="decimal"/>
      <w:suff w:val="nothing"/>
      <w:lvlText w:val="（%1）"/>
      <w:lvlJc w:val="left"/>
      <w:pPr>
        <w:ind w:left="284" w:firstLine="0"/>
      </w:pPr>
      <w:rPr>
        <w:rFonts w:hint="default"/>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51FB556"/>
    <w:multiLevelType w:val="singleLevel"/>
    <w:tmpl w:val="351FB556"/>
    <w:lvl w:ilvl="0" w:tentative="0">
      <w:start w:val="1"/>
      <w:numFmt w:val="decimal"/>
      <w:suff w:val="nothing"/>
      <w:lvlText w:val="（%1）"/>
      <w:lvlJc w:val="left"/>
      <w:pPr>
        <w:ind w:left="420"/>
      </w:pPr>
    </w:lvl>
  </w:abstractNum>
  <w:abstractNum w:abstractNumId="11">
    <w:nsid w:val="546F5C27"/>
    <w:multiLevelType w:val="multilevel"/>
    <w:tmpl w:val="546F5C27"/>
    <w:lvl w:ilvl="0" w:tentative="0">
      <w:start w:val="2"/>
      <w:numFmt w:val="decimal"/>
      <w:suff w:val="nothing"/>
      <w:lvlText w:val="%1）"/>
      <w:lvlJc w:val="left"/>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2">
    <w:nsid w:val="54832A3C"/>
    <w:multiLevelType w:val="singleLevel"/>
    <w:tmpl w:val="54832A3C"/>
    <w:lvl w:ilvl="0" w:tentative="0">
      <w:start w:val="1"/>
      <w:numFmt w:val="decimal"/>
      <w:suff w:val="nothing"/>
      <w:lvlText w:val="（%1）"/>
      <w:lvlJc w:val="left"/>
      <w:pPr>
        <w:ind w:left="420" w:hanging="420"/>
      </w:pPr>
      <w:rPr>
        <w:rFonts w:hint="default"/>
      </w:rPr>
    </w:lvl>
  </w:abstractNum>
  <w:abstractNum w:abstractNumId="13">
    <w:nsid w:val="6283081C"/>
    <w:multiLevelType w:val="multilevel"/>
    <w:tmpl w:val="6283081C"/>
    <w:lvl w:ilvl="0" w:tentative="0">
      <w:start w:val="1"/>
      <w:numFmt w:val="decimal"/>
      <w:pStyle w:val="2"/>
      <w:lvlText w:val="4.%1"/>
      <w:lvlJc w:val="left"/>
      <w:pPr>
        <w:tabs>
          <w:tab w:val="left" w:pos="1239"/>
        </w:tabs>
        <w:ind w:left="1239" w:hanging="574"/>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64F3D3B3"/>
    <w:multiLevelType w:val="singleLevel"/>
    <w:tmpl w:val="64F3D3B3"/>
    <w:lvl w:ilvl="0" w:tentative="0">
      <w:start w:val="1"/>
      <w:numFmt w:val="decimal"/>
      <w:suff w:val="nothing"/>
      <w:lvlText w:val="（%1）"/>
      <w:lvlJc w:val="left"/>
      <w:pPr>
        <w:ind w:left="420" w:hanging="420"/>
      </w:pPr>
      <w:rPr>
        <w:rFonts w:hint="default"/>
      </w:rPr>
    </w:lvl>
  </w:abstractNum>
  <w:abstractNum w:abstractNumId="15">
    <w:nsid w:val="6D48B414"/>
    <w:multiLevelType w:val="singleLevel"/>
    <w:tmpl w:val="6D48B414"/>
    <w:lvl w:ilvl="0" w:tentative="0">
      <w:start w:val="1"/>
      <w:numFmt w:val="decimal"/>
      <w:suff w:val="nothing"/>
      <w:lvlText w:val="（%1）"/>
      <w:lvlJc w:val="left"/>
    </w:lvl>
  </w:abstractNum>
  <w:abstractNum w:abstractNumId="16">
    <w:nsid w:val="7C5DA5CE"/>
    <w:multiLevelType w:val="singleLevel"/>
    <w:tmpl w:val="7C5DA5CE"/>
    <w:lvl w:ilvl="0" w:tentative="0">
      <w:start w:val="2"/>
      <w:numFmt w:val="decimal"/>
      <w:suff w:val="nothing"/>
      <w:lvlText w:val="%1）"/>
      <w:lvlJc w:val="left"/>
    </w:lvl>
  </w:abstractNum>
  <w:num w:numId="1">
    <w:abstractNumId w:val="13"/>
  </w:num>
  <w:num w:numId="2">
    <w:abstractNumId w:val="8"/>
  </w:num>
  <w:num w:numId="3">
    <w:abstractNumId w:val="5"/>
  </w:num>
  <w:num w:numId="4">
    <w:abstractNumId w:val="3"/>
  </w:num>
  <w:num w:numId="5">
    <w:abstractNumId w:val="11"/>
  </w:num>
  <w:num w:numId="6">
    <w:abstractNumId w:val="6"/>
  </w:num>
  <w:num w:numId="7">
    <w:abstractNumId w:val="16"/>
  </w:num>
  <w:num w:numId="8">
    <w:abstractNumId w:val="10"/>
  </w:num>
  <w:num w:numId="9">
    <w:abstractNumId w:val="1"/>
  </w:num>
  <w:num w:numId="10">
    <w:abstractNumId w:val="2"/>
  </w:num>
  <w:num w:numId="11">
    <w:abstractNumId w:val="15"/>
  </w:num>
  <w:num w:numId="12">
    <w:abstractNumId w:val="12"/>
  </w:num>
  <w:num w:numId="13">
    <w:abstractNumId w:val="0"/>
  </w:num>
  <w:num w:numId="14">
    <w:abstractNumId w:val="4"/>
  </w:num>
  <w:num w:numId="15">
    <w:abstractNumId w:val="14"/>
  </w:num>
  <w:num w:numId="16">
    <w:abstractNumId w:val="7"/>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NjZTMyYTQ0NjVmNjQyYTU5ZjNjNTg3ZmRiYmNkZWQifQ=="/>
  </w:docVars>
  <w:rsids>
    <w:rsidRoot w:val="00172A27"/>
    <w:rsid w:val="0000418F"/>
    <w:rsid w:val="000720E8"/>
    <w:rsid w:val="00172A27"/>
    <w:rsid w:val="003765FC"/>
    <w:rsid w:val="0044263A"/>
    <w:rsid w:val="006D4FB5"/>
    <w:rsid w:val="007342FF"/>
    <w:rsid w:val="00783D9A"/>
    <w:rsid w:val="00784722"/>
    <w:rsid w:val="00812036"/>
    <w:rsid w:val="008850EF"/>
    <w:rsid w:val="00887F55"/>
    <w:rsid w:val="008D0D7C"/>
    <w:rsid w:val="00A369D4"/>
    <w:rsid w:val="00A96BD5"/>
    <w:rsid w:val="00B44ECD"/>
    <w:rsid w:val="00B54F56"/>
    <w:rsid w:val="00BF3BCD"/>
    <w:rsid w:val="00C7779B"/>
    <w:rsid w:val="00CE667C"/>
    <w:rsid w:val="00CF0E8A"/>
    <w:rsid w:val="00D36FC5"/>
    <w:rsid w:val="00DC51DA"/>
    <w:rsid w:val="00E27500"/>
    <w:rsid w:val="00EE609C"/>
    <w:rsid w:val="00F21190"/>
    <w:rsid w:val="01EA5D5E"/>
    <w:rsid w:val="02CC31F1"/>
    <w:rsid w:val="0342320E"/>
    <w:rsid w:val="0374413D"/>
    <w:rsid w:val="04785768"/>
    <w:rsid w:val="04BA64C7"/>
    <w:rsid w:val="04F05EFA"/>
    <w:rsid w:val="06105371"/>
    <w:rsid w:val="06436D5D"/>
    <w:rsid w:val="067E11CF"/>
    <w:rsid w:val="07160B03"/>
    <w:rsid w:val="07EA31C4"/>
    <w:rsid w:val="08D3259D"/>
    <w:rsid w:val="092D1499"/>
    <w:rsid w:val="09425953"/>
    <w:rsid w:val="09931095"/>
    <w:rsid w:val="0A220806"/>
    <w:rsid w:val="0A902A05"/>
    <w:rsid w:val="0AB610D0"/>
    <w:rsid w:val="0B2844A4"/>
    <w:rsid w:val="0C8D098A"/>
    <w:rsid w:val="0CA912FB"/>
    <w:rsid w:val="0CB6062D"/>
    <w:rsid w:val="0D0512FE"/>
    <w:rsid w:val="0D3D391B"/>
    <w:rsid w:val="0D705975"/>
    <w:rsid w:val="0E001CB2"/>
    <w:rsid w:val="0E561105"/>
    <w:rsid w:val="0EFF17D1"/>
    <w:rsid w:val="0F5245FA"/>
    <w:rsid w:val="0FE10EE4"/>
    <w:rsid w:val="0FE268D2"/>
    <w:rsid w:val="10303B8B"/>
    <w:rsid w:val="10355E7D"/>
    <w:rsid w:val="10E365C2"/>
    <w:rsid w:val="118C09C1"/>
    <w:rsid w:val="12120F47"/>
    <w:rsid w:val="121C1841"/>
    <w:rsid w:val="12206813"/>
    <w:rsid w:val="12A00BDC"/>
    <w:rsid w:val="13272870"/>
    <w:rsid w:val="1333154E"/>
    <w:rsid w:val="14F87960"/>
    <w:rsid w:val="157E50B1"/>
    <w:rsid w:val="160477CE"/>
    <w:rsid w:val="161152A9"/>
    <w:rsid w:val="16F844B6"/>
    <w:rsid w:val="17702534"/>
    <w:rsid w:val="17947EB5"/>
    <w:rsid w:val="1A842DBD"/>
    <w:rsid w:val="1B1D0D38"/>
    <w:rsid w:val="1B624C0F"/>
    <w:rsid w:val="1B834CC8"/>
    <w:rsid w:val="1C0C01EF"/>
    <w:rsid w:val="1C2B4953"/>
    <w:rsid w:val="1C555F85"/>
    <w:rsid w:val="1D84749D"/>
    <w:rsid w:val="1E3C1DC9"/>
    <w:rsid w:val="1F675674"/>
    <w:rsid w:val="202F367B"/>
    <w:rsid w:val="203F5E39"/>
    <w:rsid w:val="2056397B"/>
    <w:rsid w:val="206C46C2"/>
    <w:rsid w:val="21C1459A"/>
    <w:rsid w:val="23CB0172"/>
    <w:rsid w:val="2436762C"/>
    <w:rsid w:val="24733432"/>
    <w:rsid w:val="247D77BD"/>
    <w:rsid w:val="24B00C12"/>
    <w:rsid w:val="24CA0E66"/>
    <w:rsid w:val="24DE3E3D"/>
    <w:rsid w:val="25AB39AA"/>
    <w:rsid w:val="26866B02"/>
    <w:rsid w:val="26B110E5"/>
    <w:rsid w:val="26D653B1"/>
    <w:rsid w:val="26DD58C5"/>
    <w:rsid w:val="27C40688"/>
    <w:rsid w:val="27E64ACB"/>
    <w:rsid w:val="28884E7F"/>
    <w:rsid w:val="28FD64BF"/>
    <w:rsid w:val="290D501D"/>
    <w:rsid w:val="29A6265A"/>
    <w:rsid w:val="29BC7533"/>
    <w:rsid w:val="29DA6546"/>
    <w:rsid w:val="2A3F7F4E"/>
    <w:rsid w:val="2B060EC5"/>
    <w:rsid w:val="2B7C698C"/>
    <w:rsid w:val="2BB46D72"/>
    <w:rsid w:val="2ED00FD2"/>
    <w:rsid w:val="300B700F"/>
    <w:rsid w:val="30C24A01"/>
    <w:rsid w:val="30C45846"/>
    <w:rsid w:val="30DF0C09"/>
    <w:rsid w:val="31AE64FF"/>
    <w:rsid w:val="332E2874"/>
    <w:rsid w:val="33331320"/>
    <w:rsid w:val="33C96EAF"/>
    <w:rsid w:val="33DD1D36"/>
    <w:rsid w:val="34386EED"/>
    <w:rsid w:val="353B096A"/>
    <w:rsid w:val="354328B2"/>
    <w:rsid w:val="35537DC4"/>
    <w:rsid w:val="359D51C1"/>
    <w:rsid w:val="35EB0A36"/>
    <w:rsid w:val="367407DD"/>
    <w:rsid w:val="369325AA"/>
    <w:rsid w:val="387F34A4"/>
    <w:rsid w:val="388D2F9A"/>
    <w:rsid w:val="393647B2"/>
    <w:rsid w:val="39B56E2E"/>
    <w:rsid w:val="3A794482"/>
    <w:rsid w:val="3BE71177"/>
    <w:rsid w:val="3C0A126E"/>
    <w:rsid w:val="3C0D3458"/>
    <w:rsid w:val="3CB80DA3"/>
    <w:rsid w:val="3CE020CA"/>
    <w:rsid w:val="3D29236D"/>
    <w:rsid w:val="3D320762"/>
    <w:rsid w:val="3D596C7C"/>
    <w:rsid w:val="3E7F57B3"/>
    <w:rsid w:val="3F731D37"/>
    <w:rsid w:val="40111632"/>
    <w:rsid w:val="4192598F"/>
    <w:rsid w:val="420A6A44"/>
    <w:rsid w:val="42D50B04"/>
    <w:rsid w:val="447E1FE1"/>
    <w:rsid w:val="455C6187"/>
    <w:rsid w:val="45C41CCC"/>
    <w:rsid w:val="45F17251"/>
    <w:rsid w:val="46C370CC"/>
    <w:rsid w:val="47612174"/>
    <w:rsid w:val="48756C20"/>
    <w:rsid w:val="491C7AC0"/>
    <w:rsid w:val="49534027"/>
    <w:rsid w:val="49FD5760"/>
    <w:rsid w:val="4A432E7D"/>
    <w:rsid w:val="4AA6337C"/>
    <w:rsid w:val="4CFB1B51"/>
    <w:rsid w:val="4DA4778A"/>
    <w:rsid w:val="4E0910A4"/>
    <w:rsid w:val="4E675DEA"/>
    <w:rsid w:val="4F9A57B0"/>
    <w:rsid w:val="4FA47097"/>
    <w:rsid w:val="4FF719F9"/>
    <w:rsid w:val="4FFD05E3"/>
    <w:rsid w:val="512F1E2E"/>
    <w:rsid w:val="5281754F"/>
    <w:rsid w:val="534A7949"/>
    <w:rsid w:val="53564B21"/>
    <w:rsid w:val="535B1454"/>
    <w:rsid w:val="53E24853"/>
    <w:rsid w:val="545B0570"/>
    <w:rsid w:val="548458EA"/>
    <w:rsid w:val="5506101E"/>
    <w:rsid w:val="55411314"/>
    <w:rsid w:val="55EB4BF9"/>
    <w:rsid w:val="56535401"/>
    <w:rsid w:val="56F20776"/>
    <w:rsid w:val="58466FCB"/>
    <w:rsid w:val="586E44C6"/>
    <w:rsid w:val="58784C9F"/>
    <w:rsid w:val="58D64DCB"/>
    <w:rsid w:val="5905693A"/>
    <w:rsid w:val="59D16515"/>
    <w:rsid w:val="5AAF701A"/>
    <w:rsid w:val="5B7A58B8"/>
    <w:rsid w:val="5BEB650A"/>
    <w:rsid w:val="5CA439E1"/>
    <w:rsid w:val="5CFA7FC0"/>
    <w:rsid w:val="5E04074B"/>
    <w:rsid w:val="5EAE6EA2"/>
    <w:rsid w:val="5EF571BB"/>
    <w:rsid w:val="5F0A78D5"/>
    <w:rsid w:val="5F6C7735"/>
    <w:rsid w:val="5FAD697C"/>
    <w:rsid w:val="603040BD"/>
    <w:rsid w:val="612868D5"/>
    <w:rsid w:val="612E29D1"/>
    <w:rsid w:val="61A14119"/>
    <w:rsid w:val="62773A67"/>
    <w:rsid w:val="62D56E8E"/>
    <w:rsid w:val="633F4D43"/>
    <w:rsid w:val="641122DB"/>
    <w:rsid w:val="64265FD2"/>
    <w:rsid w:val="66813DE6"/>
    <w:rsid w:val="66F07C7E"/>
    <w:rsid w:val="690273A3"/>
    <w:rsid w:val="690D34D3"/>
    <w:rsid w:val="695D6686"/>
    <w:rsid w:val="69E63E8D"/>
    <w:rsid w:val="6A470981"/>
    <w:rsid w:val="6A6415A6"/>
    <w:rsid w:val="6A7A4FEE"/>
    <w:rsid w:val="6AF5268E"/>
    <w:rsid w:val="6AF61837"/>
    <w:rsid w:val="6AFC4A3C"/>
    <w:rsid w:val="6B2754E3"/>
    <w:rsid w:val="6C306082"/>
    <w:rsid w:val="6C9D50CB"/>
    <w:rsid w:val="6DAD4F9F"/>
    <w:rsid w:val="6DBF724F"/>
    <w:rsid w:val="6E2C2EC8"/>
    <w:rsid w:val="6E5D0773"/>
    <w:rsid w:val="6EBE06B8"/>
    <w:rsid w:val="6F9B5167"/>
    <w:rsid w:val="70DE7B6B"/>
    <w:rsid w:val="7126266A"/>
    <w:rsid w:val="71DE2A1D"/>
    <w:rsid w:val="721C41A5"/>
    <w:rsid w:val="72A177DF"/>
    <w:rsid w:val="753D04FE"/>
    <w:rsid w:val="755D120E"/>
    <w:rsid w:val="75864A53"/>
    <w:rsid w:val="75A34D55"/>
    <w:rsid w:val="7739798D"/>
    <w:rsid w:val="778B60C5"/>
    <w:rsid w:val="77B07B65"/>
    <w:rsid w:val="780A0AAE"/>
    <w:rsid w:val="782D7408"/>
    <w:rsid w:val="78520C1D"/>
    <w:rsid w:val="78CE31F6"/>
    <w:rsid w:val="79FC285A"/>
    <w:rsid w:val="7A4B0A02"/>
    <w:rsid w:val="7BD36518"/>
    <w:rsid w:val="7E903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abs>
        <w:tab w:val="left" w:pos="315"/>
      </w:tabs>
      <w:ind w:firstLine="420" w:firstLineChars="200"/>
    </w:pPr>
    <w:rPr>
      <w:rFonts w:ascii="Calibri" w:hAnsi="Calibri" w:eastAsia="宋体" w:cs="黑体"/>
      <w:kern w:val="2"/>
      <w:sz w:val="28"/>
      <w:szCs w:val="22"/>
      <w:lang w:val="en-US" w:eastAsia="zh-CN" w:bidi="ar-SA"/>
    </w:rPr>
  </w:style>
  <w:style w:type="paragraph" w:styleId="2">
    <w:name w:val="heading 1"/>
    <w:basedOn w:val="1"/>
    <w:next w:val="1"/>
    <w:qFormat/>
    <w:uiPriority w:val="0"/>
    <w:pPr>
      <w:numPr>
        <w:ilvl w:val="0"/>
        <w:numId w:val="1"/>
      </w:numPr>
      <w:tabs>
        <w:tab w:val="left" w:pos="426"/>
      </w:tabs>
      <w:spacing w:before="50" w:beforeLines="50" w:after="50" w:afterLines="50"/>
      <w:ind w:firstLine="150" w:firstLineChars="150"/>
      <w:jc w:val="center"/>
      <w:outlineLvl w:val="0"/>
    </w:pPr>
    <w:rPr>
      <w:rFonts w:ascii="Times New Roman" w:hAnsi="Times New Roman" w:eastAsia="新宋体" w:cs="Times New Roman"/>
      <w:sz w:val="32"/>
      <w:szCs w:val="32"/>
    </w:rPr>
  </w:style>
  <w:style w:type="paragraph" w:styleId="3">
    <w:name w:val="heading 2"/>
    <w:basedOn w:val="1"/>
    <w:next w:val="1"/>
    <w:link w:val="28"/>
    <w:unhideWhenUsed/>
    <w:qFormat/>
    <w:uiPriority w:val="0"/>
    <w:pPr>
      <w:numPr>
        <w:ilvl w:val="1"/>
        <w:numId w:val="2"/>
      </w:numPr>
      <w:spacing w:before="50" w:beforeLines="50" w:after="50" w:afterLines="50"/>
      <w:ind w:left="130" w:firstLine="0" w:firstLineChars="0"/>
      <w:outlineLvl w:val="1"/>
    </w:pPr>
    <w:rPr>
      <w:rFonts w:ascii="Times New Roman" w:hAnsi="Times New Roman" w:cs="Times New Roman"/>
      <w:b/>
      <w:sz w:val="30"/>
      <w:szCs w:val="32"/>
    </w:rPr>
  </w:style>
  <w:style w:type="paragraph" w:styleId="4">
    <w:name w:val="heading 3"/>
    <w:basedOn w:val="1"/>
    <w:next w:val="1"/>
    <w:link w:val="29"/>
    <w:unhideWhenUsed/>
    <w:qFormat/>
    <w:uiPriority w:val="0"/>
    <w:pPr>
      <w:adjustRightInd w:val="0"/>
      <w:snapToGrid w:val="0"/>
      <w:spacing w:before="20" w:beforeLines="20" w:after="20" w:afterLines="20" w:line="360" w:lineRule="auto"/>
      <w:ind w:left="140" w:leftChars="50" w:firstLine="0" w:firstLineChars="0"/>
      <w:outlineLvl w:val="2"/>
    </w:pPr>
    <w:rPr>
      <w:rFonts w:ascii="Times New Roman" w:hAnsi="Times New Roman" w:eastAsia="黑体" w:cs="Times New Roman"/>
      <w:szCs w:val="28"/>
    </w:rPr>
  </w:style>
  <w:style w:type="paragraph" w:styleId="5">
    <w:name w:val="heading 4"/>
    <w:basedOn w:val="6"/>
    <w:next w:val="6"/>
    <w:unhideWhenUsed/>
    <w:qFormat/>
    <w:uiPriority w:val="0"/>
    <w:pPr>
      <w:keepNext/>
      <w:keepLines/>
      <w:tabs>
        <w:tab w:val="left" w:pos="315"/>
      </w:tabs>
      <w:spacing w:before="60" w:after="60" w:line="372" w:lineRule="auto"/>
      <w:ind w:left="280" w:leftChars="100" w:firstLine="0" w:firstLineChars="0"/>
      <w:outlineLvl w:val="3"/>
    </w:pPr>
    <w:rPr>
      <w:b/>
    </w:rPr>
  </w:style>
  <w:style w:type="paragraph" w:styleId="7">
    <w:name w:val="heading 5"/>
    <w:basedOn w:val="1"/>
    <w:next w:val="1"/>
    <w:unhideWhenUsed/>
    <w:qFormat/>
    <w:uiPriority w:val="0"/>
    <w:pPr>
      <w:keepNext/>
      <w:keepLines/>
      <w:spacing w:before="280" w:after="290" w:line="372" w:lineRule="auto"/>
      <w:outlineLvl w:val="4"/>
    </w:pPr>
    <w:rPr>
      <w:b/>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6">
    <w:name w:val="1正文lzx"/>
    <w:link w:val="27"/>
    <w:qFormat/>
    <w:uiPriority w:val="0"/>
    <w:pPr>
      <w:tabs>
        <w:tab w:val="left" w:pos="315"/>
      </w:tabs>
      <w:snapToGrid w:val="0"/>
      <w:spacing w:line="360" w:lineRule="auto"/>
      <w:ind w:firstLine="420" w:firstLineChars="200"/>
      <w:jc w:val="both"/>
    </w:pPr>
    <w:rPr>
      <w:rFonts w:ascii="Times New Roman" w:hAnsi="Times New Roman" w:eastAsia="宋体" w:cs="Times New Roman"/>
      <w:sz w:val="28"/>
      <w:lang w:val="zh-CN" w:eastAsia="zh-CN" w:bidi="ar-SA"/>
    </w:rPr>
  </w:style>
  <w:style w:type="paragraph" w:styleId="8">
    <w:name w:val="annotation text"/>
    <w:basedOn w:val="1"/>
    <w:link w:val="35"/>
    <w:unhideWhenUsed/>
    <w:qFormat/>
    <w:uiPriority w:val="0"/>
    <w:rPr>
      <w:rFonts w:cs="Times New Roman"/>
    </w:rPr>
  </w:style>
  <w:style w:type="paragraph" w:styleId="9">
    <w:name w:val="Body Text"/>
    <w:basedOn w:val="1"/>
    <w:qFormat/>
    <w:uiPriority w:val="0"/>
    <w:pPr>
      <w:spacing w:after="120"/>
    </w:pPr>
  </w:style>
  <w:style w:type="paragraph" w:styleId="10">
    <w:name w:val="Plain Text"/>
    <w:basedOn w:val="1"/>
    <w:qFormat/>
    <w:uiPriority w:val="99"/>
    <w:rPr>
      <w:rFonts w:ascii="宋体" w:hAnsi="Courier New" w:cs="Times New Roman"/>
      <w:szCs w:val="20"/>
    </w:rPr>
  </w:style>
  <w:style w:type="paragraph" w:styleId="11">
    <w:name w:val="footer"/>
    <w:basedOn w:val="1"/>
    <w:unhideWhenUsed/>
    <w:qFormat/>
    <w:uiPriority w:val="99"/>
    <w:pPr>
      <w:tabs>
        <w:tab w:val="center" w:pos="4153"/>
        <w:tab w:val="right" w:pos="8306"/>
        <w:tab w:val="clear" w:pos="315"/>
      </w:tabs>
      <w:snapToGrid w:val="0"/>
    </w:pPr>
    <w:rPr>
      <w:rFonts w:cs="Times New Roman"/>
      <w:sz w:val="18"/>
      <w:szCs w:val="18"/>
    </w:rPr>
  </w:style>
  <w:style w:type="paragraph" w:styleId="12">
    <w:name w:val="header"/>
    <w:basedOn w:val="1"/>
    <w:unhideWhenUsed/>
    <w:qFormat/>
    <w:uiPriority w:val="0"/>
    <w:pPr>
      <w:pBdr>
        <w:bottom w:val="single" w:color="auto" w:sz="6" w:space="1"/>
      </w:pBdr>
      <w:tabs>
        <w:tab w:val="center" w:pos="4153"/>
        <w:tab w:val="right" w:pos="8306"/>
        <w:tab w:val="clear" w:pos="315"/>
      </w:tabs>
      <w:snapToGrid w:val="0"/>
      <w:jc w:val="center"/>
    </w:pPr>
    <w:rPr>
      <w:rFonts w:ascii="Times New Roman" w:hAnsi="Times New Roman" w:cs="Times New Roman"/>
      <w:kern w:val="0"/>
      <w:sz w:val="18"/>
      <w:szCs w:val="18"/>
    </w:rPr>
  </w:style>
  <w:style w:type="paragraph" w:styleId="13">
    <w:name w:val="toc 1"/>
    <w:basedOn w:val="1"/>
    <w:next w:val="1"/>
    <w:unhideWhenUsed/>
    <w:qFormat/>
    <w:uiPriority w:val="39"/>
    <w:rPr>
      <w:rFonts w:ascii="Times New Roman" w:hAnsi="Times New Roman" w:eastAsia="楷体_GB2312"/>
      <w:b/>
      <w:bCs/>
      <w:caps/>
      <w:szCs w:val="20"/>
    </w:rPr>
  </w:style>
  <w:style w:type="paragraph" w:styleId="14">
    <w:name w:val="toc 2"/>
    <w:basedOn w:val="1"/>
    <w:next w:val="1"/>
    <w:unhideWhenUsed/>
    <w:qFormat/>
    <w:uiPriority w:val="39"/>
    <w:pPr>
      <w:ind w:left="210"/>
    </w:pPr>
    <w:rPr>
      <w:rFonts w:ascii="Times New Roman" w:hAnsi="Times New Roman" w:eastAsia="楷体_GB2312"/>
      <w:smallCaps/>
      <w:sz w:val="24"/>
      <w:szCs w:val="20"/>
    </w:rPr>
  </w:style>
  <w:style w:type="paragraph" w:styleId="15">
    <w:name w:val="Normal (Web)"/>
    <w:basedOn w:val="1"/>
    <w:qFormat/>
    <w:uiPriority w:val="0"/>
    <w:pPr>
      <w:spacing w:beforeAutospacing="1" w:afterAutospacing="1"/>
    </w:pPr>
    <w:rPr>
      <w:rFonts w:cs="Times New Roman"/>
      <w:kern w:val="0"/>
      <w:sz w:val="24"/>
    </w:rPr>
  </w:style>
  <w:style w:type="paragraph" w:styleId="16">
    <w:name w:val="Title"/>
    <w:basedOn w:val="1"/>
    <w:qFormat/>
    <w:uiPriority w:val="0"/>
    <w:pPr>
      <w:numPr>
        <w:ilvl w:val="0"/>
        <w:numId w:val="2"/>
      </w:numPr>
      <w:spacing w:before="120" w:after="60"/>
      <w:ind w:firstLineChars="0"/>
      <w:jc w:val="center"/>
      <w:outlineLvl w:val="0"/>
    </w:pPr>
    <w:rPr>
      <w:rFonts w:ascii="Arial" w:hAnsi="Arial"/>
      <w:b/>
      <w:sz w:val="32"/>
    </w:rPr>
  </w:style>
  <w:style w:type="paragraph" w:styleId="17">
    <w:name w:val="annotation subject"/>
    <w:basedOn w:val="8"/>
    <w:next w:val="8"/>
    <w:link w:val="36"/>
    <w:qFormat/>
    <w:uiPriority w:val="0"/>
    <w:rPr>
      <w:rFonts w:cs="黑体"/>
      <w:b/>
      <w:bCs/>
    </w:rPr>
  </w:style>
  <w:style w:type="paragraph" w:styleId="18">
    <w:name w:val="Body Text First Indent"/>
    <w:basedOn w:val="9"/>
    <w:next w:val="1"/>
    <w:qFormat/>
    <w:uiPriority w:val="0"/>
    <w:pPr>
      <w:ind w:firstLineChars="100"/>
    </w:pPr>
    <w:rPr>
      <w:rFonts w:ascii="Times New Roman" w:hAnsi="Times New Roman" w:cs="Times New Roman"/>
      <w:kern w:val="0"/>
      <w:sz w:val="20"/>
      <w:szCs w:val="20"/>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annotation reference"/>
    <w:qFormat/>
    <w:uiPriority w:val="0"/>
    <w:rPr>
      <w:sz w:val="21"/>
      <w:szCs w:val="21"/>
    </w:rPr>
  </w:style>
  <w:style w:type="paragraph" w:customStyle="1" w:styleId="23">
    <w:name w:val="表头样式"/>
    <w:basedOn w:val="1"/>
    <w:link w:val="31"/>
    <w:qFormat/>
    <w:uiPriority w:val="0"/>
    <w:pPr>
      <w:adjustRightInd w:val="0"/>
      <w:snapToGrid w:val="0"/>
      <w:ind w:firstLine="482"/>
      <w:jc w:val="center"/>
    </w:pPr>
    <w:rPr>
      <w:rFonts w:ascii="Times New Roman" w:hAnsi="Times New Roman" w:cs="Times New Roman"/>
      <w:b/>
      <w:bCs/>
      <w:kern w:val="0"/>
      <w:sz w:val="24"/>
      <w:szCs w:val="24"/>
      <w:lang w:val="zh-CN"/>
    </w:rPr>
  </w:style>
  <w:style w:type="paragraph" w:customStyle="1" w:styleId="24">
    <w:name w:val="表中字体"/>
    <w:basedOn w:val="1"/>
    <w:qFormat/>
    <w:uiPriority w:val="0"/>
    <w:pPr>
      <w:ind w:firstLine="0" w:firstLineChars="0"/>
      <w:jc w:val="center"/>
    </w:pPr>
    <w:rPr>
      <w:rFonts w:ascii="Times New Roman" w:hAnsi="Times New Roman" w:cs="Times New Roman"/>
      <w:color w:val="000000"/>
      <w:sz w:val="21"/>
      <w:szCs w:val="21"/>
    </w:rPr>
  </w:style>
  <w:style w:type="paragraph" w:customStyle="1" w:styleId="25">
    <w:name w:val="图样式"/>
    <w:basedOn w:val="1"/>
    <w:next w:val="6"/>
    <w:qFormat/>
    <w:uiPriority w:val="0"/>
    <w:pPr>
      <w:autoSpaceDE w:val="0"/>
      <w:autoSpaceDN w:val="0"/>
      <w:adjustRightInd w:val="0"/>
      <w:snapToGrid w:val="0"/>
      <w:spacing w:line="360" w:lineRule="auto"/>
      <w:ind w:firstLine="0" w:firstLineChars="0"/>
      <w:jc w:val="center"/>
    </w:pPr>
    <w:rPr>
      <w:rFonts w:ascii="Times New Roman" w:hAnsi="Times New Roman" w:cs="Times New Roman"/>
      <w:b/>
      <w:kern w:val="0"/>
      <w:szCs w:val="28"/>
      <w:lang w:val="zh-CN"/>
    </w:rPr>
  </w:style>
  <w:style w:type="paragraph" w:customStyle="1" w:styleId="26">
    <w:name w:val="lzx备注样式"/>
    <w:basedOn w:val="1"/>
    <w:link w:val="30"/>
    <w:qFormat/>
    <w:uiPriority w:val="0"/>
    <w:rPr>
      <w:rFonts w:ascii="Times New Roman" w:hAnsi="Times New Roman" w:cs="Times New Roman"/>
      <w:sz w:val="21"/>
      <w:szCs w:val="18"/>
    </w:rPr>
  </w:style>
  <w:style w:type="character" w:customStyle="1" w:styleId="27">
    <w:name w:val="1正文lzx Char"/>
    <w:link w:val="6"/>
    <w:qFormat/>
    <w:uiPriority w:val="0"/>
    <w:rPr>
      <w:rFonts w:ascii="Times New Roman" w:hAnsi="Times New Roman" w:eastAsia="宋体" w:cs="Times New Roman"/>
      <w:sz w:val="28"/>
      <w:lang w:val="zh-CN"/>
    </w:rPr>
  </w:style>
  <w:style w:type="character" w:customStyle="1" w:styleId="28">
    <w:name w:val="标题 2 字符"/>
    <w:link w:val="3"/>
    <w:qFormat/>
    <w:uiPriority w:val="0"/>
    <w:rPr>
      <w:rFonts w:ascii="Times New Roman" w:hAnsi="Times New Roman" w:eastAsia="宋体" w:cs="Times New Roman"/>
      <w:b/>
      <w:kern w:val="2"/>
      <w:sz w:val="30"/>
      <w:szCs w:val="32"/>
    </w:rPr>
  </w:style>
  <w:style w:type="character" w:customStyle="1" w:styleId="29">
    <w:name w:val="标题 3 字符"/>
    <w:link w:val="4"/>
    <w:qFormat/>
    <w:uiPriority w:val="0"/>
    <w:rPr>
      <w:rFonts w:ascii="Times New Roman" w:hAnsi="Times New Roman" w:eastAsia="黑体" w:cs="Times New Roman"/>
      <w:kern w:val="2"/>
      <w:sz w:val="28"/>
      <w:szCs w:val="28"/>
    </w:rPr>
  </w:style>
  <w:style w:type="character" w:customStyle="1" w:styleId="30">
    <w:name w:val="lzx备注样式 Char"/>
    <w:link w:val="26"/>
    <w:qFormat/>
    <w:uiPriority w:val="0"/>
    <w:rPr>
      <w:rFonts w:ascii="Times New Roman" w:hAnsi="Times New Roman" w:cs="Times New Roman"/>
      <w:sz w:val="21"/>
      <w:szCs w:val="18"/>
    </w:rPr>
  </w:style>
  <w:style w:type="character" w:customStyle="1" w:styleId="31">
    <w:name w:val="表头样式 Char"/>
    <w:link w:val="23"/>
    <w:qFormat/>
    <w:uiPriority w:val="0"/>
    <w:rPr>
      <w:rFonts w:ascii="Times New Roman" w:hAnsi="Times New Roman" w:eastAsia="宋体" w:cs="Times New Roman"/>
      <w:b/>
      <w:bCs/>
      <w:kern w:val="0"/>
      <w:sz w:val="24"/>
      <w:szCs w:val="24"/>
      <w:lang w:val="zh-CN"/>
    </w:rPr>
  </w:style>
  <w:style w:type="paragraph" w:customStyle="1" w:styleId="32">
    <w:name w:val="In Table"/>
    <w:basedOn w:val="1"/>
    <w:qFormat/>
    <w:uiPriority w:val="0"/>
    <w:pPr>
      <w:tabs>
        <w:tab w:val="left" w:pos="2200"/>
        <w:tab w:val="left" w:pos="3960"/>
        <w:tab w:val="left" w:pos="5280"/>
        <w:tab w:val="clear" w:pos="315"/>
      </w:tabs>
      <w:spacing w:before="124" w:beforeLines="40" w:after="124" w:afterLines="40" w:line="0" w:lineRule="atLeast"/>
      <w:jc w:val="center"/>
    </w:pPr>
    <w:rPr>
      <w:rFonts w:ascii="Tahoma" w:hAnsi="Tahoma" w:eastAsia="华文中宋" w:cs="Times New Roman"/>
      <w:bCs/>
      <w:kern w:val="0"/>
      <w:szCs w:val="20"/>
    </w:rPr>
  </w:style>
  <w:style w:type="paragraph" w:customStyle="1" w:styleId="33">
    <w:name w:val="正文样式"/>
    <w:basedOn w:val="1"/>
    <w:qFormat/>
    <w:uiPriority w:val="0"/>
    <w:pPr>
      <w:adjustRightInd w:val="0"/>
      <w:snapToGrid w:val="0"/>
      <w:spacing w:line="520" w:lineRule="exact"/>
      <w:ind w:firstLine="562"/>
    </w:pPr>
    <w:rPr>
      <w:color w:val="000000"/>
      <w:szCs w:val="28"/>
    </w:rPr>
  </w:style>
  <w:style w:type="paragraph" w:customStyle="1" w:styleId="34">
    <w:name w:val="Revision"/>
    <w:hidden/>
    <w:semiHidden/>
    <w:qFormat/>
    <w:uiPriority w:val="99"/>
    <w:rPr>
      <w:rFonts w:ascii="Calibri" w:hAnsi="Calibri" w:eastAsia="宋体" w:cs="黑体"/>
      <w:kern w:val="2"/>
      <w:sz w:val="28"/>
      <w:szCs w:val="22"/>
      <w:lang w:val="en-US" w:eastAsia="zh-CN" w:bidi="ar-SA"/>
    </w:rPr>
  </w:style>
  <w:style w:type="character" w:customStyle="1" w:styleId="35">
    <w:name w:val="批注文字 字符"/>
    <w:link w:val="8"/>
    <w:qFormat/>
    <w:uiPriority w:val="0"/>
    <w:rPr>
      <w:rFonts w:ascii="Calibri" w:hAnsi="Calibri"/>
      <w:kern w:val="2"/>
      <w:sz w:val="28"/>
      <w:szCs w:val="22"/>
    </w:rPr>
  </w:style>
  <w:style w:type="character" w:customStyle="1" w:styleId="36">
    <w:name w:val="批注主题 字符"/>
    <w:link w:val="17"/>
    <w:qFormat/>
    <w:uiPriority w:val="0"/>
    <w:rPr>
      <w:rFonts w:ascii="Calibri" w:hAnsi="Calibri" w:cs="黑体"/>
      <w:b/>
      <w:bCs/>
      <w:kern w:val="2"/>
      <w:sz w:val="28"/>
      <w:szCs w:val="22"/>
    </w:rPr>
  </w:style>
  <w:style w:type="paragraph" w:customStyle="1" w:styleId="37">
    <w:name w:val="Title"/>
    <w:qFormat/>
    <w:uiPriority w:val="0"/>
    <w:pPr>
      <w:widowControl w:val="0"/>
      <w:spacing w:line="500" w:lineRule="exact"/>
      <w:jc w:val="center"/>
      <w:outlineLvl w:val="0"/>
    </w:pPr>
    <w:rPr>
      <w:rFonts w:ascii="宋体" w:hAnsi="宋体" w:eastAsia="仿宋_GB2312" w:cs="宋体"/>
      <w:bCs/>
      <w:kern w:val="0"/>
      <w:sz w:val="28"/>
      <w:szCs w:val="18"/>
      <w:lang w:val="en-US" w:eastAsia="zh-CN" w:bidi="ar-SA"/>
    </w:rPr>
  </w:style>
  <w:style w:type="paragraph" w:customStyle="1" w:styleId="38">
    <w:name w:val="表格"/>
    <w:next w:val="1"/>
    <w:qFormat/>
    <w:uiPriority w:val="0"/>
    <w:pPr>
      <w:widowControl w:val="0"/>
      <w:jc w:val="center"/>
    </w:pPr>
    <w:rPr>
      <w:rFonts w:ascii="宋体"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wmf"/><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133</Pages>
  <Words>62668</Words>
  <Characters>69735</Characters>
  <Lines>799</Lines>
  <Paragraphs>225</Paragraphs>
  <TotalTime>17</TotalTime>
  <ScaleCrop>false</ScaleCrop>
  <LinksUpToDate>false</LinksUpToDate>
  <CharactersWithSpaces>71295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2022-11-15T07:30:00Z</dcterms:created>
  <dc:creator>再回首</dc:creator>
  <cp:lastModifiedBy>lzx</cp:lastModifiedBy>
  <cp:lastPrinted>2023-02-13T00:37:00Z</cp:lastPrinted>
  <dcterms:modified xsi:type="dcterms:W3CDTF">2023-03-20T05:55:33Z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1859F8ABE8F3430FB3918C6F6C8C2C04</vt:lpwstr>
  </property>
</Properties>
</file>