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95F9B" w:rsidRDefault="00000000">
      <w:pPr>
        <w:widowControl w:val="0"/>
        <w:adjustRightInd w:val="0"/>
        <w:ind w:firstLineChars="0" w:firstLine="0"/>
        <w:rPr>
          <w:b/>
          <w:bCs/>
          <w:szCs w:val="20"/>
        </w:rPr>
      </w:pPr>
      <w:bookmarkStart w:id="0" w:name="_Hlk102840728"/>
      <w:bookmarkStart w:id="1" w:name="_Hlk104967834"/>
      <w:bookmarkStart w:id="2" w:name="_Hlk59527689"/>
      <w:bookmarkStart w:id="3" w:name="_Hlk111994486"/>
      <w:bookmarkEnd w:id="0"/>
      <w:r>
        <w:rPr>
          <w:b/>
          <w:bCs/>
          <w:szCs w:val="20"/>
        </w:rPr>
        <w:t>档案编号：</w:t>
      </w:r>
      <w:r>
        <w:rPr>
          <w:rFonts w:hint="eastAsia"/>
          <w:b/>
          <w:bCs/>
          <w:szCs w:val="20"/>
          <w:u w:val="single"/>
        </w:rPr>
        <w:t>SH-2023-SY-XZPJ-0102</w:t>
      </w:r>
    </w:p>
    <w:p w:rsidR="00F95F9B" w:rsidRDefault="00000000">
      <w:pPr>
        <w:widowControl w:val="0"/>
        <w:adjustRightInd w:val="0"/>
        <w:ind w:firstLineChars="0" w:firstLine="0"/>
        <w:rPr>
          <w:b/>
          <w:bCs/>
          <w:szCs w:val="20"/>
        </w:rPr>
      </w:pPr>
      <w:r>
        <w:rPr>
          <w:b/>
          <w:bCs/>
          <w:szCs w:val="20"/>
        </w:rPr>
        <w:t>版</w:t>
      </w:r>
      <w:r>
        <w:rPr>
          <w:rFonts w:ascii="宋体" w:hAnsi="宋体" w:hint="eastAsia"/>
          <w:b/>
          <w:bCs/>
          <w:szCs w:val="20"/>
        </w:rPr>
        <w:t xml:space="preserve"> </w:t>
      </w:r>
      <w:r>
        <w:rPr>
          <w:rFonts w:ascii="宋体" w:hAnsi="宋体"/>
          <w:b/>
          <w:bCs/>
          <w:szCs w:val="20"/>
        </w:rPr>
        <w:t xml:space="preserve">   </w:t>
      </w:r>
      <w:r>
        <w:rPr>
          <w:b/>
          <w:bCs/>
          <w:szCs w:val="20"/>
        </w:rPr>
        <w:t>次：</w:t>
      </w:r>
      <w:r>
        <w:rPr>
          <w:rFonts w:hint="eastAsia"/>
          <w:b/>
          <w:bCs/>
          <w:kern w:val="0"/>
          <w:u w:val="single"/>
        </w:rPr>
        <w:t xml:space="preserve">         6           </w:t>
      </w:r>
      <w:r>
        <w:rPr>
          <w:rFonts w:hint="eastAsia"/>
          <w:b/>
          <w:bCs/>
          <w:color w:val="FFFFFF" w:themeColor="background1"/>
          <w:kern w:val="0"/>
          <w:u w:val="single"/>
        </w:rPr>
        <w:t>5</w:t>
      </w:r>
      <w:r>
        <w:rPr>
          <w:rFonts w:hint="eastAsia"/>
          <w:b/>
          <w:bCs/>
          <w:kern w:val="0"/>
          <w:u w:val="single"/>
        </w:rPr>
        <w:t xml:space="preserve"> </w:t>
      </w:r>
      <w:r>
        <w:rPr>
          <w:rFonts w:hint="eastAsia"/>
          <w:b/>
          <w:bCs/>
          <w:kern w:val="0"/>
        </w:rPr>
        <w:t xml:space="preserve"> </w:t>
      </w:r>
      <w:r>
        <w:rPr>
          <w:rFonts w:hint="eastAsia"/>
          <w:b/>
          <w:bCs/>
          <w:kern w:val="0"/>
          <w:u w:val="single"/>
        </w:rPr>
        <w:t xml:space="preserve">       </w:t>
      </w:r>
      <w:r>
        <w:rPr>
          <w:rFonts w:hint="eastAsia"/>
          <w:b/>
          <w:bCs/>
          <w:kern w:val="0"/>
        </w:rPr>
        <w:t xml:space="preserve">           </w:t>
      </w:r>
      <w:r>
        <w:rPr>
          <w:rFonts w:hint="eastAsia"/>
          <w:b/>
          <w:bCs/>
          <w:kern w:val="0"/>
          <w:u w:val="single"/>
        </w:rPr>
        <w:t xml:space="preserve"> </w:t>
      </w:r>
      <w:r>
        <w:rPr>
          <w:b/>
          <w:bCs/>
          <w:kern w:val="0"/>
          <w:u w:val="single"/>
        </w:rPr>
        <w:t xml:space="preserve">       </w:t>
      </w:r>
      <w:r>
        <w:rPr>
          <w:rFonts w:hint="eastAsia"/>
          <w:b/>
          <w:bCs/>
          <w:kern w:val="0"/>
          <w:u w:val="single"/>
        </w:rPr>
        <w:t xml:space="preserve"> </w:t>
      </w:r>
      <w:r>
        <w:rPr>
          <w:rFonts w:ascii="Calibri" w:hint="eastAsia"/>
          <w:b/>
          <w:bCs/>
          <w:szCs w:val="20"/>
          <w:u w:val="single"/>
        </w:rPr>
        <w:t xml:space="preserve">                     </w:t>
      </w:r>
      <w:r>
        <w:rPr>
          <w:rFonts w:hint="eastAsia"/>
          <w:b/>
          <w:bCs/>
          <w:szCs w:val="20"/>
        </w:rPr>
        <w:t xml:space="preserve">                    </w:t>
      </w:r>
      <w:r>
        <w:rPr>
          <w:rFonts w:hint="eastAsia"/>
          <w:b/>
          <w:bCs/>
          <w:szCs w:val="20"/>
          <w:u w:val="single"/>
        </w:rPr>
        <w:t xml:space="preserve">                                 </w:t>
      </w:r>
      <w:r>
        <w:rPr>
          <w:rFonts w:hint="eastAsia"/>
          <w:b/>
          <w:bCs/>
          <w:kern w:val="0"/>
          <w:u w:val="single"/>
        </w:rPr>
        <w:t xml:space="preserve">                   </w:t>
      </w:r>
      <w:r>
        <w:rPr>
          <w:rFonts w:ascii="Calibri" w:hint="eastAsia"/>
          <w:b/>
          <w:bCs/>
          <w:szCs w:val="20"/>
          <w:u w:val="single"/>
        </w:rPr>
        <w:t xml:space="preserve">                    </w:t>
      </w:r>
      <w:r>
        <w:rPr>
          <w:b/>
          <w:bCs/>
          <w:kern w:val="0"/>
          <w:u w:val="single"/>
        </w:rPr>
        <w:t xml:space="preserve">       </w:t>
      </w:r>
      <w:r>
        <w:rPr>
          <w:rFonts w:hint="eastAsia"/>
          <w:b/>
          <w:bCs/>
          <w:kern w:val="0"/>
          <w:u w:val="single"/>
        </w:rPr>
        <w:t xml:space="preserve"> </w:t>
      </w:r>
      <w:r>
        <w:rPr>
          <w:rFonts w:hint="eastAsia"/>
          <w:b/>
          <w:bCs/>
          <w:szCs w:val="20"/>
          <w:u w:val="single"/>
        </w:rPr>
        <w:t xml:space="preserve">                          </w:t>
      </w:r>
    </w:p>
    <w:p w:rsidR="00F95F9B" w:rsidRDefault="00F95F9B">
      <w:pPr>
        <w:pStyle w:val="31"/>
        <w:spacing w:before="0"/>
        <w:ind w:firstLineChars="0" w:firstLine="0"/>
        <w:jc w:val="center"/>
        <w:rPr>
          <w:rFonts w:ascii="Times New Roman" w:hAnsi="Times New Roman"/>
          <w:b/>
          <w:sz w:val="44"/>
          <w:szCs w:val="44"/>
        </w:rPr>
      </w:pPr>
    </w:p>
    <w:p w:rsidR="00F95F9B" w:rsidRDefault="00000000">
      <w:pPr>
        <w:pStyle w:val="31"/>
        <w:spacing w:beforeLines="100" w:before="340"/>
        <w:ind w:firstLineChars="0" w:firstLine="0"/>
        <w:jc w:val="center"/>
        <w:rPr>
          <w:rFonts w:ascii="Times New Roman" w:hAnsi="Times New Roman"/>
          <w:b/>
          <w:sz w:val="44"/>
          <w:szCs w:val="44"/>
        </w:rPr>
      </w:pPr>
      <w:r>
        <w:rPr>
          <w:rFonts w:ascii="Times New Roman" w:hAnsi="Times New Roman" w:hint="eastAsia"/>
          <w:b/>
          <w:sz w:val="44"/>
          <w:szCs w:val="44"/>
        </w:rPr>
        <w:t>胜利油田鲁明油气勘探开发有限公司</w:t>
      </w:r>
    </w:p>
    <w:bookmarkEnd w:id="1"/>
    <w:p w:rsidR="00F95F9B" w:rsidRDefault="00000000">
      <w:pPr>
        <w:pStyle w:val="31"/>
        <w:spacing w:before="0"/>
        <w:ind w:firstLineChars="0" w:firstLine="0"/>
        <w:jc w:val="center"/>
        <w:rPr>
          <w:rFonts w:ascii="Times New Roman" w:eastAsia="黑体" w:hAnsi="Times New Roman"/>
          <w:bCs/>
          <w:lang w:val="es-MX"/>
        </w:rPr>
      </w:pPr>
      <w:r>
        <w:rPr>
          <w:rFonts w:ascii="Times New Roman" w:eastAsia="黑体" w:hAnsi="Times New Roman" w:hint="eastAsia"/>
          <w:b/>
          <w:sz w:val="52"/>
          <w:szCs w:val="52"/>
        </w:rPr>
        <w:t>安全现状评价</w:t>
      </w:r>
      <w:r>
        <w:rPr>
          <w:rFonts w:ascii="Times New Roman" w:eastAsia="黑体" w:hAnsi="Times New Roman"/>
          <w:b/>
          <w:sz w:val="52"/>
          <w:szCs w:val="52"/>
        </w:rPr>
        <w:t>报告</w:t>
      </w:r>
    </w:p>
    <w:p w:rsidR="00F95F9B" w:rsidRDefault="00000000">
      <w:pPr>
        <w:pStyle w:val="affff1"/>
        <w:spacing w:before="170"/>
        <w:ind w:firstLineChars="0" w:firstLine="0"/>
        <w:jc w:val="center"/>
      </w:pPr>
      <w:r>
        <w:rPr>
          <w:rFonts w:hint="eastAsia"/>
          <w:noProof/>
        </w:rPr>
        <w:drawing>
          <wp:anchor distT="0" distB="0" distL="114300" distR="114300" simplePos="0" relativeHeight="251660288" behindDoc="0" locked="0" layoutInCell="1" allowOverlap="1">
            <wp:simplePos x="0" y="0"/>
            <wp:positionH relativeFrom="column">
              <wp:posOffset>150495</wp:posOffset>
            </wp:positionH>
            <wp:positionV relativeFrom="page">
              <wp:posOffset>3526790</wp:posOffset>
            </wp:positionV>
            <wp:extent cx="5398770" cy="3862070"/>
            <wp:effectExtent l="0" t="0" r="11430" b="8890"/>
            <wp:wrapTopAndBottom/>
            <wp:docPr id="48" name="图片 48" descr="7f1bc166417284b11dfa0d5897cfac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7f1bc166417284b11dfa0d5897cfac67"/>
                    <pic:cNvPicPr>
                      <a:picLocks noChangeAspect="1"/>
                    </pic:cNvPicPr>
                  </pic:nvPicPr>
                  <pic:blipFill>
                    <a:blip r:embed="rId9"/>
                    <a:stretch>
                      <a:fillRect/>
                    </a:stretch>
                  </pic:blipFill>
                  <pic:spPr>
                    <a:xfrm>
                      <a:off x="0" y="0"/>
                      <a:ext cx="5398770" cy="3862070"/>
                    </a:xfrm>
                    <a:prstGeom prst="rect">
                      <a:avLst/>
                    </a:prstGeom>
                  </pic:spPr>
                </pic:pic>
              </a:graphicData>
            </a:graphic>
          </wp:anchor>
        </w:drawing>
      </w:r>
    </w:p>
    <w:p w:rsidR="00F95F9B" w:rsidRDefault="00000000">
      <w:pPr>
        <w:widowControl w:val="0"/>
        <w:adjustRightInd w:val="0"/>
        <w:snapToGrid w:val="0"/>
        <w:spacing w:beforeLines="50" w:before="170" w:line="520" w:lineRule="exact"/>
        <w:ind w:firstLineChars="0" w:firstLine="0"/>
        <w:jc w:val="center"/>
        <w:rPr>
          <w:b/>
          <w:kern w:val="0"/>
          <w:sz w:val="44"/>
          <w:szCs w:val="44"/>
        </w:rPr>
      </w:pPr>
      <w:r>
        <w:rPr>
          <w:rFonts w:hint="eastAsia"/>
          <w:b/>
          <w:sz w:val="44"/>
          <w:szCs w:val="44"/>
        </w:rPr>
        <w:t>山东实华安全技术有限公司</w:t>
      </w:r>
    </w:p>
    <w:p w:rsidR="00F95F9B" w:rsidRDefault="00000000">
      <w:pPr>
        <w:widowControl w:val="0"/>
        <w:adjustRightInd w:val="0"/>
        <w:snapToGrid w:val="0"/>
        <w:spacing w:beforeLines="50" w:before="170" w:line="520" w:lineRule="exact"/>
        <w:ind w:firstLineChars="0" w:firstLine="0"/>
        <w:jc w:val="center"/>
        <w:rPr>
          <w:b/>
          <w:kern w:val="0"/>
          <w:sz w:val="44"/>
          <w:szCs w:val="44"/>
        </w:rPr>
      </w:pPr>
      <w:r>
        <w:rPr>
          <w:rFonts w:hint="eastAsia"/>
          <w:b/>
          <w:kern w:val="0"/>
          <w:sz w:val="32"/>
          <w:szCs w:val="32"/>
        </w:rPr>
        <w:t>资质证书编号：</w:t>
      </w:r>
      <w:r>
        <w:rPr>
          <w:rFonts w:hint="eastAsia"/>
          <w:b/>
          <w:kern w:val="0"/>
          <w:sz w:val="32"/>
          <w:szCs w:val="32"/>
        </w:rPr>
        <w:t>APJ-</w:t>
      </w:r>
      <w:r>
        <w:rPr>
          <w:rFonts w:hint="eastAsia"/>
          <w:b/>
          <w:kern w:val="0"/>
          <w:sz w:val="32"/>
          <w:szCs w:val="32"/>
        </w:rPr>
        <w:t>（鲁）</w:t>
      </w:r>
      <w:r>
        <w:rPr>
          <w:rFonts w:hint="eastAsia"/>
          <w:b/>
          <w:kern w:val="0"/>
          <w:sz w:val="32"/>
          <w:szCs w:val="32"/>
        </w:rPr>
        <w:t>-013</w:t>
      </w:r>
    </w:p>
    <w:p w:rsidR="00F95F9B" w:rsidRDefault="00000000">
      <w:pPr>
        <w:widowControl w:val="0"/>
        <w:adjustRightInd w:val="0"/>
        <w:snapToGrid w:val="0"/>
        <w:spacing w:beforeLines="50" w:before="170" w:line="520" w:lineRule="exact"/>
        <w:ind w:firstLineChars="0" w:firstLine="0"/>
        <w:jc w:val="center"/>
        <w:rPr>
          <w:b/>
          <w:kern w:val="0"/>
          <w:sz w:val="32"/>
          <w:szCs w:val="32"/>
        </w:rPr>
      </w:pPr>
      <w:r>
        <w:rPr>
          <w:rFonts w:hint="eastAsia"/>
          <w:b/>
          <w:kern w:val="0"/>
          <w:sz w:val="32"/>
          <w:szCs w:val="32"/>
        </w:rPr>
        <w:t>二〇二三</w:t>
      </w:r>
      <w:r>
        <w:rPr>
          <w:b/>
          <w:kern w:val="0"/>
          <w:sz w:val="32"/>
          <w:szCs w:val="32"/>
        </w:rPr>
        <w:t>年</w:t>
      </w:r>
      <w:r>
        <w:rPr>
          <w:rFonts w:hint="eastAsia"/>
          <w:b/>
          <w:kern w:val="0"/>
          <w:sz w:val="32"/>
          <w:szCs w:val="32"/>
        </w:rPr>
        <w:t>七</w:t>
      </w:r>
      <w:r>
        <w:rPr>
          <w:b/>
          <w:kern w:val="0"/>
          <w:sz w:val="32"/>
          <w:szCs w:val="32"/>
        </w:rPr>
        <w:t>月</w:t>
      </w:r>
    </w:p>
    <w:p w:rsidR="00F95F9B" w:rsidRDefault="00000000">
      <w:pPr>
        <w:widowControl w:val="0"/>
        <w:ind w:firstLine="470"/>
      </w:pPr>
      <w:r>
        <w:br w:type="page"/>
      </w:r>
    </w:p>
    <w:p w:rsidR="00F95F9B" w:rsidRDefault="00F95F9B">
      <w:pPr>
        <w:widowControl w:val="0"/>
        <w:adjustRightInd w:val="0"/>
        <w:snapToGrid w:val="0"/>
        <w:spacing w:beforeLines="50" w:before="170" w:line="520" w:lineRule="exact"/>
        <w:ind w:firstLineChars="0" w:firstLine="0"/>
        <w:jc w:val="center"/>
        <w:rPr>
          <w:b/>
          <w:kern w:val="0"/>
          <w:sz w:val="32"/>
          <w:szCs w:val="32"/>
        </w:rPr>
      </w:pPr>
    </w:p>
    <w:p w:rsidR="00F95F9B" w:rsidRDefault="00000000">
      <w:pPr>
        <w:widowControl w:val="0"/>
        <w:spacing w:line="240" w:lineRule="auto"/>
        <w:ind w:firstLineChars="0" w:firstLine="0"/>
        <w:jc w:val="left"/>
        <w:rPr>
          <w:b/>
          <w:bCs/>
          <w:kern w:val="0"/>
          <w:sz w:val="32"/>
          <w:szCs w:val="32"/>
        </w:rPr>
      </w:pPr>
      <w:r>
        <w:rPr>
          <w:b/>
          <w:bCs/>
          <w:kern w:val="0"/>
          <w:sz w:val="32"/>
          <w:szCs w:val="32"/>
        </w:rPr>
        <w:br w:type="page"/>
      </w:r>
    </w:p>
    <w:p w:rsidR="00F95F9B" w:rsidRDefault="00000000">
      <w:pPr>
        <w:widowControl w:val="0"/>
        <w:spacing w:line="240" w:lineRule="auto"/>
        <w:ind w:firstLineChars="0" w:firstLine="0"/>
        <w:jc w:val="left"/>
        <w:rPr>
          <w:b/>
          <w:bCs/>
          <w:kern w:val="0"/>
          <w:sz w:val="32"/>
          <w:szCs w:val="32"/>
        </w:rPr>
      </w:pPr>
      <w:r>
        <w:rPr>
          <w:noProof/>
        </w:rPr>
        <w:lastRenderedPageBreak/>
        <w:drawing>
          <wp:inline distT="0" distB="0" distL="114300" distR="114300">
            <wp:extent cx="5758815" cy="8145780"/>
            <wp:effectExtent l="0" t="0" r="1905" b="7620"/>
            <wp:docPr id="6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 name="图片 5"/>
                    <pic:cNvPicPr>
                      <a:picLocks noChangeAspect="1"/>
                    </pic:cNvPicPr>
                  </pic:nvPicPr>
                  <pic:blipFill>
                    <a:blip r:embed="rId10"/>
                    <a:stretch>
                      <a:fillRect/>
                    </a:stretch>
                  </pic:blipFill>
                  <pic:spPr>
                    <a:xfrm>
                      <a:off x="0" y="0"/>
                      <a:ext cx="5758815" cy="8145780"/>
                    </a:xfrm>
                    <a:prstGeom prst="rect">
                      <a:avLst/>
                    </a:prstGeom>
                    <a:noFill/>
                    <a:ln>
                      <a:noFill/>
                    </a:ln>
                  </pic:spPr>
                </pic:pic>
              </a:graphicData>
            </a:graphic>
          </wp:inline>
        </w:drawing>
      </w:r>
    </w:p>
    <w:p w:rsidR="00F95F9B" w:rsidRDefault="00F95F9B">
      <w:pPr>
        <w:pStyle w:val="31"/>
        <w:spacing w:before="0"/>
        <w:ind w:firstLineChars="0" w:firstLine="0"/>
        <w:jc w:val="center"/>
        <w:rPr>
          <w:rFonts w:ascii="Times New Roman" w:hAnsi="Times New Roman"/>
          <w:b/>
          <w:bCs/>
          <w:kern w:val="0"/>
          <w:sz w:val="32"/>
          <w:szCs w:val="32"/>
        </w:rPr>
      </w:pPr>
    </w:p>
    <w:p w:rsidR="00F95F9B" w:rsidRDefault="00F95F9B">
      <w:pPr>
        <w:pStyle w:val="31"/>
        <w:spacing w:before="0"/>
        <w:ind w:firstLineChars="0" w:firstLine="0"/>
        <w:jc w:val="center"/>
        <w:rPr>
          <w:rFonts w:ascii="Times New Roman" w:hAnsi="Times New Roman"/>
          <w:b/>
          <w:bCs/>
          <w:kern w:val="0"/>
          <w:sz w:val="32"/>
          <w:szCs w:val="32"/>
        </w:rPr>
      </w:pPr>
    </w:p>
    <w:p w:rsidR="00F95F9B" w:rsidRDefault="00F95F9B">
      <w:pPr>
        <w:pStyle w:val="31"/>
        <w:spacing w:before="0"/>
        <w:ind w:firstLineChars="0" w:firstLine="0"/>
        <w:jc w:val="center"/>
        <w:rPr>
          <w:rFonts w:ascii="Times New Roman" w:hAnsi="Times New Roman"/>
          <w:b/>
          <w:bCs/>
          <w:kern w:val="0"/>
          <w:sz w:val="32"/>
          <w:szCs w:val="32"/>
        </w:rPr>
      </w:pPr>
    </w:p>
    <w:p w:rsidR="00F95F9B" w:rsidRDefault="00F95F9B">
      <w:pPr>
        <w:pStyle w:val="31"/>
        <w:spacing w:before="0"/>
        <w:ind w:firstLineChars="0" w:firstLine="0"/>
        <w:jc w:val="center"/>
        <w:rPr>
          <w:rFonts w:ascii="Times New Roman" w:hAnsi="Times New Roman"/>
          <w:b/>
          <w:sz w:val="32"/>
          <w:szCs w:val="32"/>
        </w:rPr>
        <w:sectPr w:rsidR="00F95F9B">
          <w:headerReference w:type="default" r:id="rId11"/>
          <w:footerReference w:type="default" r:id="rId12"/>
          <w:pgSz w:w="11906" w:h="16838"/>
          <w:pgMar w:top="1417" w:right="1134" w:bottom="1134" w:left="1587" w:header="850" w:footer="850" w:gutter="0"/>
          <w:cols w:space="0"/>
          <w:docGrid w:type="linesAndChars" w:linePitch="340" w:charSpace="-1024"/>
        </w:sectPr>
      </w:pPr>
    </w:p>
    <w:p w:rsidR="00F95F9B" w:rsidRDefault="00F95F9B">
      <w:pPr>
        <w:pStyle w:val="31"/>
        <w:spacing w:before="0"/>
        <w:ind w:firstLineChars="0" w:firstLine="0"/>
        <w:jc w:val="center"/>
        <w:rPr>
          <w:rFonts w:ascii="Times New Roman" w:hAnsi="Times New Roman"/>
          <w:b/>
          <w:sz w:val="32"/>
          <w:szCs w:val="32"/>
        </w:rPr>
      </w:pPr>
    </w:p>
    <w:p w:rsidR="00F95F9B" w:rsidRDefault="00F95F9B">
      <w:pPr>
        <w:pStyle w:val="31"/>
        <w:spacing w:before="0"/>
        <w:ind w:firstLineChars="0" w:firstLine="0"/>
        <w:jc w:val="center"/>
        <w:rPr>
          <w:rFonts w:ascii="Times New Roman" w:hAnsi="Times New Roman"/>
          <w:b/>
          <w:sz w:val="32"/>
          <w:szCs w:val="32"/>
        </w:rPr>
      </w:pPr>
    </w:p>
    <w:p w:rsidR="00F95F9B" w:rsidRDefault="00F95F9B">
      <w:pPr>
        <w:pStyle w:val="31"/>
        <w:spacing w:before="0"/>
        <w:ind w:firstLineChars="0" w:firstLine="0"/>
        <w:jc w:val="center"/>
        <w:rPr>
          <w:rFonts w:ascii="Times New Roman" w:hAnsi="Times New Roman"/>
          <w:b/>
          <w:sz w:val="32"/>
          <w:szCs w:val="32"/>
        </w:rPr>
      </w:pPr>
    </w:p>
    <w:p w:rsidR="00F95F9B" w:rsidRDefault="00F95F9B">
      <w:pPr>
        <w:pStyle w:val="31"/>
        <w:spacing w:before="0"/>
        <w:ind w:firstLineChars="0" w:firstLine="0"/>
        <w:jc w:val="center"/>
        <w:rPr>
          <w:rFonts w:ascii="Times New Roman" w:hAnsi="Times New Roman"/>
          <w:b/>
          <w:sz w:val="32"/>
          <w:szCs w:val="32"/>
        </w:rPr>
      </w:pPr>
    </w:p>
    <w:p w:rsidR="00F95F9B" w:rsidRDefault="00000000">
      <w:pPr>
        <w:pStyle w:val="31"/>
        <w:spacing w:before="0"/>
        <w:ind w:firstLineChars="0" w:firstLine="0"/>
        <w:jc w:val="center"/>
        <w:rPr>
          <w:rFonts w:ascii="Times New Roman" w:hAnsi="Times New Roman"/>
          <w:b/>
          <w:bCs/>
          <w:kern w:val="0"/>
          <w:sz w:val="44"/>
          <w:szCs w:val="44"/>
        </w:rPr>
      </w:pPr>
      <w:r>
        <w:rPr>
          <w:rFonts w:ascii="Times New Roman" w:hAnsi="Times New Roman" w:hint="eastAsia"/>
          <w:b/>
          <w:sz w:val="32"/>
          <w:szCs w:val="32"/>
        </w:rPr>
        <w:t>胜利油田鲁明油气勘探开发有限公司</w:t>
      </w:r>
    </w:p>
    <w:p w:rsidR="00F95F9B" w:rsidRDefault="00000000">
      <w:pPr>
        <w:pStyle w:val="31"/>
        <w:spacing w:before="0"/>
        <w:ind w:firstLineChars="0" w:firstLine="0"/>
        <w:jc w:val="center"/>
        <w:rPr>
          <w:rFonts w:ascii="Times New Roman" w:eastAsia="黑体" w:hAnsi="Times New Roman"/>
          <w:b/>
          <w:bCs/>
          <w:kern w:val="0"/>
          <w:sz w:val="52"/>
          <w:szCs w:val="52"/>
        </w:rPr>
      </w:pPr>
      <w:r>
        <w:rPr>
          <w:rFonts w:ascii="Times New Roman" w:hAnsi="Times New Roman" w:hint="eastAsia"/>
          <w:b/>
          <w:bCs/>
          <w:kern w:val="0"/>
          <w:sz w:val="44"/>
          <w:szCs w:val="44"/>
        </w:rPr>
        <w:t>安全现状评价报告</w:t>
      </w:r>
    </w:p>
    <w:p w:rsidR="00F95F9B" w:rsidRDefault="00F95F9B">
      <w:pPr>
        <w:pStyle w:val="31"/>
        <w:spacing w:before="0"/>
        <w:ind w:firstLineChars="0" w:firstLine="0"/>
        <w:jc w:val="center"/>
        <w:rPr>
          <w:rFonts w:ascii="Times New Roman" w:eastAsia="黑体" w:hAnsi="Times New Roman"/>
          <w:bCs/>
          <w:sz w:val="28"/>
          <w:szCs w:val="28"/>
        </w:rPr>
      </w:pPr>
    </w:p>
    <w:p w:rsidR="00F95F9B" w:rsidRDefault="00F95F9B">
      <w:pPr>
        <w:widowControl w:val="0"/>
        <w:adjustRightInd w:val="0"/>
        <w:spacing w:line="520" w:lineRule="exact"/>
        <w:ind w:firstLineChars="0" w:firstLine="0"/>
        <w:jc w:val="center"/>
        <w:rPr>
          <w:b/>
          <w:kern w:val="0"/>
          <w:sz w:val="32"/>
          <w:szCs w:val="32"/>
        </w:rPr>
      </w:pPr>
    </w:p>
    <w:p w:rsidR="00F95F9B" w:rsidRDefault="00F95F9B">
      <w:pPr>
        <w:widowControl w:val="0"/>
        <w:adjustRightInd w:val="0"/>
        <w:spacing w:line="520" w:lineRule="exact"/>
        <w:ind w:firstLineChars="0" w:firstLine="0"/>
        <w:jc w:val="center"/>
        <w:rPr>
          <w:b/>
          <w:kern w:val="0"/>
          <w:sz w:val="32"/>
          <w:szCs w:val="32"/>
        </w:rPr>
      </w:pPr>
    </w:p>
    <w:p w:rsidR="00F95F9B" w:rsidRDefault="00F95F9B">
      <w:pPr>
        <w:widowControl w:val="0"/>
        <w:adjustRightInd w:val="0"/>
        <w:spacing w:line="520" w:lineRule="exact"/>
        <w:ind w:firstLineChars="0" w:firstLine="0"/>
        <w:jc w:val="center"/>
        <w:rPr>
          <w:b/>
          <w:kern w:val="0"/>
          <w:sz w:val="32"/>
          <w:szCs w:val="32"/>
        </w:rPr>
      </w:pPr>
    </w:p>
    <w:p w:rsidR="00F95F9B" w:rsidRDefault="00F95F9B">
      <w:pPr>
        <w:widowControl w:val="0"/>
        <w:adjustRightInd w:val="0"/>
        <w:spacing w:line="520" w:lineRule="exact"/>
        <w:ind w:firstLineChars="0" w:firstLine="0"/>
        <w:jc w:val="center"/>
        <w:rPr>
          <w:b/>
          <w:kern w:val="0"/>
          <w:sz w:val="32"/>
          <w:szCs w:val="32"/>
        </w:rPr>
      </w:pPr>
    </w:p>
    <w:tbl>
      <w:tblPr>
        <w:tblW w:w="1976" w:type="pct"/>
        <w:jc w:val="center"/>
        <w:tblCellMar>
          <w:left w:w="0" w:type="dxa"/>
          <w:right w:w="0" w:type="dxa"/>
        </w:tblCellMar>
        <w:tblLook w:val="04A0" w:firstRow="1" w:lastRow="0" w:firstColumn="1" w:lastColumn="0" w:noHBand="0" w:noVBand="1"/>
      </w:tblPr>
      <w:tblGrid>
        <w:gridCol w:w="1697"/>
        <w:gridCol w:w="1933"/>
      </w:tblGrid>
      <w:tr w:rsidR="00F95F9B">
        <w:trPr>
          <w:jc w:val="center"/>
        </w:trPr>
        <w:tc>
          <w:tcPr>
            <w:tcW w:w="1697" w:type="dxa"/>
            <w:shd w:val="clear" w:color="auto" w:fill="auto"/>
            <w:vAlign w:val="center"/>
          </w:tcPr>
          <w:p w:rsidR="00F95F9B" w:rsidRDefault="00000000">
            <w:pPr>
              <w:widowControl w:val="0"/>
              <w:adjustRightInd w:val="0"/>
              <w:snapToGrid w:val="0"/>
              <w:ind w:firstLineChars="0" w:firstLine="0"/>
              <w:jc w:val="center"/>
              <w:rPr>
                <w:kern w:val="0"/>
                <w:sz w:val="28"/>
                <w:szCs w:val="28"/>
              </w:rPr>
            </w:pPr>
            <w:r>
              <w:rPr>
                <w:kern w:val="0"/>
                <w:sz w:val="28"/>
                <w:szCs w:val="28"/>
              </w:rPr>
              <w:t>法定代表人：</w:t>
            </w:r>
          </w:p>
        </w:tc>
        <w:tc>
          <w:tcPr>
            <w:tcW w:w="1932" w:type="dxa"/>
            <w:shd w:val="clear" w:color="auto" w:fill="auto"/>
            <w:vAlign w:val="center"/>
          </w:tcPr>
          <w:p w:rsidR="00F95F9B" w:rsidRDefault="00000000">
            <w:pPr>
              <w:widowControl w:val="0"/>
              <w:adjustRightInd w:val="0"/>
              <w:snapToGrid w:val="0"/>
              <w:ind w:firstLineChars="0" w:firstLine="0"/>
              <w:jc w:val="center"/>
              <w:rPr>
                <w:kern w:val="0"/>
                <w:sz w:val="28"/>
                <w:szCs w:val="28"/>
              </w:rPr>
            </w:pPr>
            <w:r>
              <w:rPr>
                <w:rFonts w:hint="eastAsia"/>
                <w:kern w:val="0"/>
                <w:sz w:val="28"/>
                <w:szCs w:val="28"/>
              </w:rPr>
              <w:t>任红艳</w:t>
            </w:r>
          </w:p>
        </w:tc>
      </w:tr>
      <w:tr w:rsidR="00F95F9B">
        <w:trPr>
          <w:jc w:val="center"/>
        </w:trPr>
        <w:tc>
          <w:tcPr>
            <w:tcW w:w="1697" w:type="dxa"/>
            <w:shd w:val="clear" w:color="auto" w:fill="auto"/>
            <w:vAlign w:val="center"/>
          </w:tcPr>
          <w:p w:rsidR="00F95F9B" w:rsidRDefault="00000000">
            <w:pPr>
              <w:widowControl w:val="0"/>
              <w:adjustRightInd w:val="0"/>
              <w:snapToGrid w:val="0"/>
              <w:ind w:firstLineChars="0" w:firstLine="0"/>
              <w:jc w:val="center"/>
              <w:rPr>
                <w:kern w:val="0"/>
                <w:sz w:val="28"/>
                <w:szCs w:val="28"/>
              </w:rPr>
            </w:pPr>
            <w:r>
              <w:rPr>
                <w:kern w:val="0"/>
                <w:sz w:val="28"/>
                <w:szCs w:val="28"/>
              </w:rPr>
              <w:t>技术负责人：</w:t>
            </w:r>
          </w:p>
        </w:tc>
        <w:tc>
          <w:tcPr>
            <w:tcW w:w="1932" w:type="dxa"/>
            <w:shd w:val="clear" w:color="auto" w:fill="auto"/>
            <w:vAlign w:val="center"/>
          </w:tcPr>
          <w:p w:rsidR="00F95F9B" w:rsidRDefault="00000000">
            <w:pPr>
              <w:widowControl w:val="0"/>
              <w:adjustRightInd w:val="0"/>
              <w:snapToGrid w:val="0"/>
              <w:ind w:firstLineChars="0" w:firstLine="0"/>
              <w:jc w:val="center"/>
              <w:rPr>
                <w:kern w:val="0"/>
                <w:sz w:val="28"/>
                <w:szCs w:val="28"/>
              </w:rPr>
            </w:pPr>
            <w:r>
              <w:rPr>
                <w:rFonts w:hint="eastAsia"/>
                <w:kern w:val="0"/>
                <w:sz w:val="28"/>
                <w:szCs w:val="28"/>
              </w:rPr>
              <w:t>吴佳东</w:t>
            </w:r>
          </w:p>
        </w:tc>
      </w:tr>
      <w:tr w:rsidR="00F95F9B">
        <w:trPr>
          <w:jc w:val="center"/>
        </w:trPr>
        <w:tc>
          <w:tcPr>
            <w:tcW w:w="1697" w:type="dxa"/>
            <w:shd w:val="clear" w:color="auto" w:fill="auto"/>
            <w:vAlign w:val="center"/>
          </w:tcPr>
          <w:p w:rsidR="00F95F9B" w:rsidRDefault="00000000">
            <w:pPr>
              <w:widowControl w:val="0"/>
              <w:adjustRightInd w:val="0"/>
              <w:snapToGrid w:val="0"/>
              <w:ind w:firstLineChars="0" w:firstLine="0"/>
              <w:jc w:val="center"/>
              <w:rPr>
                <w:kern w:val="0"/>
                <w:sz w:val="28"/>
                <w:szCs w:val="28"/>
              </w:rPr>
            </w:pPr>
            <w:r>
              <w:rPr>
                <w:kern w:val="0"/>
                <w:sz w:val="28"/>
                <w:szCs w:val="28"/>
              </w:rPr>
              <w:t>项目负责人：</w:t>
            </w:r>
          </w:p>
        </w:tc>
        <w:tc>
          <w:tcPr>
            <w:tcW w:w="1932" w:type="dxa"/>
            <w:shd w:val="clear" w:color="auto" w:fill="auto"/>
            <w:vAlign w:val="center"/>
          </w:tcPr>
          <w:p w:rsidR="00F95F9B" w:rsidRDefault="00000000">
            <w:pPr>
              <w:widowControl w:val="0"/>
              <w:adjustRightInd w:val="0"/>
              <w:snapToGrid w:val="0"/>
              <w:ind w:firstLineChars="0" w:firstLine="0"/>
              <w:jc w:val="center"/>
              <w:rPr>
                <w:kern w:val="0"/>
                <w:sz w:val="28"/>
                <w:szCs w:val="28"/>
              </w:rPr>
            </w:pPr>
            <w:r>
              <w:rPr>
                <w:rFonts w:hint="eastAsia"/>
                <w:kern w:val="0"/>
                <w:sz w:val="28"/>
                <w:szCs w:val="28"/>
              </w:rPr>
              <w:t>周菲菲</w:t>
            </w:r>
          </w:p>
        </w:tc>
      </w:tr>
    </w:tbl>
    <w:p w:rsidR="00F95F9B" w:rsidRDefault="00F95F9B">
      <w:pPr>
        <w:widowControl w:val="0"/>
        <w:adjustRightInd w:val="0"/>
        <w:snapToGrid w:val="0"/>
        <w:ind w:firstLineChars="0" w:firstLine="0"/>
        <w:jc w:val="center"/>
        <w:rPr>
          <w:b/>
          <w:kern w:val="0"/>
          <w:sz w:val="32"/>
          <w:szCs w:val="32"/>
        </w:rPr>
      </w:pPr>
    </w:p>
    <w:p w:rsidR="00F95F9B" w:rsidRDefault="00F95F9B">
      <w:pPr>
        <w:widowControl w:val="0"/>
        <w:adjustRightInd w:val="0"/>
        <w:snapToGrid w:val="0"/>
        <w:spacing w:line="276" w:lineRule="auto"/>
        <w:ind w:firstLineChars="0" w:firstLine="0"/>
        <w:jc w:val="center"/>
        <w:rPr>
          <w:b/>
          <w:kern w:val="0"/>
          <w:sz w:val="32"/>
          <w:szCs w:val="32"/>
        </w:rPr>
      </w:pPr>
    </w:p>
    <w:p w:rsidR="00F95F9B" w:rsidRDefault="00F95F9B">
      <w:pPr>
        <w:widowControl w:val="0"/>
        <w:adjustRightInd w:val="0"/>
        <w:snapToGrid w:val="0"/>
        <w:spacing w:line="276" w:lineRule="auto"/>
        <w:ind w:firstLineChars="0" w:firstLine="0"/>
        <w:jc w:val="center"/>
        <w:rPr>
          <w:b/>
          <w:kern w:val="0"/>
          <w:sz w:val="32"/>
          <w:szCs w:val="32"/>
        </w:rPr>
      </w:pPr>
    </w:p>
    <w:p w:rsidR="00F95F9B" w:rsidRDefault="00F95F9B">
      <w:pPr>
        <w:widowControl w:val="0"/>
        <w:adjustRightInd w:val="0"/>
        <w:snapToGrid w:val="0"/>
        <w:spacing w:line="276" w:lineRule="auto"/>
        <w:ind w:firstLineChars="0" w:firstLine="0"/>
        <w:jc w:val="center"/>
        <w:rPr>
          <w:b/>
          <w:kern w:val="0"/>
          <w:sz w:val="32"/>
          <w:szCs w:val="32"/>
        </w:rPr>
      </w:pPr>
    </w:p>
    <w:p w:rsidR="00F95F9B" w:rsidRDefault="00F95F9B">
      <w:pPr>
        <w:widowControl w:val="0"/>
        <w:adjustRightInd w:val="0"/>
        <w:snapToGrid w:val="0"/>
        <w:spacing w:line="276" w:lineRule="auto"/>
        <w:ind w:firstLineChars="0" w:firstLine="0"/>
        <w:jc w:val="center"/>
        <w:rPr>
          <w:b/>
          <w:kern w:val="0"/>
          <w:sz w:val="32"/>
          <w:szCs w:val="32"/>
        </w:rPr>
      </w:pPr>
    </w:p>
    <w:p w:rsidR="00F95F9B" w:rsidRDefault="00F95F9B">
      <w:pPr>
        <w:widowControl w:val="0"/>
        <w:adjustRightInd w:val="0"/>
        <w:snapToGrid w:val="0"/>
        <w:spacing w:line="276" w:lineRule="auto"/>
        <w:ind w:firstLineChars="0" w:firstLine="0"/>
        <w:jc w:val="center"/>
        <w:rPr>
          <w:b/>
          <w:kern w:val="0"/>
          <w:sz w:val="32"/>
          <w:szCs w:val="32"/>
        </w:rPr>
      </w:pPr>
    </w:p>
    <w:p w:rsidR="00F95F9B" w:rsidRDefault="00F95F9B">
      <w:pPr>
        <w:widowControl w:val="0"/>
        <w:adjustRightInd w:val="0"/>
        <w:snapToGrid w:val="0"/>
        <w:spacing w:line="276" w:lineRule="auto"/>
        <w:ind w:firstLineChars="0" w:firstLine="0"/>
        <w:jc w:val="center"/>
        <w:rPr>
          <w:b/>
          <w:kern w:val="0"/>
          <w:sz w:val="32"/>
          <w:szCs w:val="32"/>
        </w:rPr>
      </w:pPr>
    </w:p>
    <w:p w:rsidR="00F95F9B" w:rsidRDefault="00F95F9B">
      <w:pPr>
        <w:widowControl w:val="0"/>
        <w:adjustRightInd w:val="0"/>
        <w:snapToGrid w:val="0"/>
        <w:spacing w:line="276" w:lineRule="auto"/>
        <w:ind w:firstLineChars="0" w:firstLine="0"/>
        <w:jc w:val="center"/>
        <w:rPr>
          <w:b/>
          <w:kern w:val="0"/>
          <w:sz w:val="32"/>
          <w:szCs w:val="32"/>
        </w:rPr>
      </w:pPr>
    </w:p>
    <w:p w:rsidR="00F95F9B" w:rsidRDefault="00000000">
      <w:pPr>
        <w:widowControl w:val="0"/>
        <w:adjustRightInd w:val="0"/>
        <w:snapToGrid w:val="0"/>
        <w:ind w:firstLineChars="0" w:firstLine="0"/>
        <w:jc w:val="center"/>
        <w:sectPr w:rsidR="00F95F9B">
          <w:pgSz w:w="11906" w:h="16838"/>
          <w:pgMar w:top="1417" w:right="1134" w:bottom="1134" w:left="1587" w:header="850" w:footer="850" w:gutter="0"/>
          <w:cols w:space="0"/>
          <w:docGrid w:type="linesAndChars" w:linePitch="340" w:charSpace="-1024"/>
        </w:sectPr>
      </w:pPr>
      <w:r>
        <w:rPr>
          <w:rFonts w:hint="eastAsia"/>
          <w:b/>
          <w:kern w:val="0"/>
          <w:szCs w:val="24"/>
        </w:rPr>
        <w:t>报告完成日期：</w:t>
      </w:r>
      <w:r>
        <w:rPr>
          <w:b/>
          <w:kern w:val="0"/>
          <w:szCs w:val="24"/>
        </w:rPr>
        <w:t>202</w:t>
      </w:r>
      <w:r>
        <w:rPr>
          <w:rFonts w:hint="eastAsia"/>
          <w:b/>
          <w:kern w:val="0"/>
          <w:szCs w:val="24"/>
        </w:rPr>
        <w:t>3</w:t>
      </w:r>
      <w:r>
        <w:rPr>
          <w:rFonts w:hint="eastAsia"/>
          <w:b/>
          <w:kern w:val="0"/>
          <w:szCs w:val="24"/>
        </w:rPr>
        <w:t>年</w:t>
      </w:r>
      <w:r>
        <w:rPr>
          <w:rFonts w:hint="eastAsia"/>
          <w:b/>
          <w:kern w:val="0"/>
          <w:szCs w:val="24"/>
        </w:rPr>
        <w:t>7</w:t>
      </w:r>
    </w:p>
    <w:p w:rsidR="00F95F9B" w:rsidRDefault="00F95F9B">
      <w:pPr>
        <w:ind w:firstLineChars="0" w:firstLine="0"/>
        <w:rPr>
          <w:b/>
          <w:bCs/>
          <w:kern w:val="0"/>
          <w:sz w:val="32"/>
          <w:szCs w:val="32"/>
        </w:rPr>
        <w:sectPr w:rsidR="00F95F9B">
          <w:headerReference w:type="default" r:id="rId13"/>
          <w:footerReference w:type="default" r:id="rId14"/>
          <w:pgSz w:w="11906" w:h="16838"/>
          <w:pgMar w:top="1417" w:right="1134" w:bottom="1134" w:left="1587" w:header="850" w:footer="850" w:gutter="0"/>
          <w:cols w:space="0"/>
          <w:docGrid w:type="linesAndChars" w:linePitch="340" w:charSpace="-1024"/>
        </w:sectPr>
      </w:pPr>
    </w:p>
    <w:p w:rsidR="00F95F9B" w:rsidRDefault="00000000">
      <w:pPr>
        <w:widowControl w:val="0"/>
        <w:spacing w:beforeLines="100" w:before="340" w:afterLines="100" w:after="340"/>
        <w:ind w:firstLineChars="0" w:firstLine="0"/>
        <w:jc w:val="center"/>
        <w:rPr>
          <w:rFonts w:ascii="黑体" w:eastAsia="黑体" w:hAnsi="黑体"/>
          <w:sz w:val="32"/>
          <w:szCs w:val="32"/>
        </w:rPr>
      </w:pPr>
      <w:bookmarkStart w:id="4" w:name="_Toc16711416"/>
      <w:bookmarkStart w:id="5" w:name="_Toc500950985"/>
      <w:bookmarkStart w:id="6" w:name="_Toc16585617"/>
      <w:bookmarkStart w:id="7" w:name="_Toc401650133"/>
      <w:bookmarkStart w:id="8" w:name="_Toc466290529"/>
      <w:bookmarkStart w:id="9" w:name="_Toc467353613"/>
      <w:bookmarkStart w:id="10" w:name="_Toc468622268"/>
      <w:bookmarkStart w:id="11" w:name="_Toc12894242"/>
      <w:bookmarkStart w:id="12" w:name="_Toc500950924"/>
      <w:bookmarkStart w:id="13" w:name="_Toc12894171"/>
      <w:bookmarkStart w:id="14" w:name="_Toc16585687"/>
      <w:bookmarkEnd w:id="2"/>
      <w:r>
        <w:rPr>
          <w:rFonts w:ascii="黑体" w:eastAsia="黑体" w:hAnsi="黑体"/>
          <w:sz w:val="32"/>
          <w:szCs w:val="32"/>
        </w:rPr>
        <w:lastRenderedPageBreak/>
        <w:t>前</w:t>
      </w:r>
      <w:r>
        <w:rPr>
          <w:rFonts w:ascii="黑体" w:eastAsia="黑体" w:hAnsi="黑体" w:hint="eastAsia"/>
          <w:sz w:val="32"/>
          <w:szCs w:val="32"/>
        </w:rPr>
        <w:t xml:space="preserve">  </w:t>
      </w:r>
      <w:r>
        <w:rPr>
          <w:rFonts w:ascii="黑体" w:eastAsia="黑体" w:hAnsi="黑体"/>
          <w:sz w:val="32"/>
          <w:szCs w:val="32"/>
        </w:rPr>
        <w:t>言</w:t>
      </w:r>
      <w:bookmarkEnd w:id="4"/>
      <w:bookmarkEnd w:id="5"/>
      <w:bookmarkEnd w:id="6"/>
      <w:bookmarkEnd w:id="7"/>
      <w:bookmarkEnd w:id="8"/>
      <w:bookmarkEnd w:id="9"/>
      <w:bookmarkEnd w:id="10"/>
      <w:bookmarkEnd w:id="11"/>
      <w:bookmarkEnd w:id="12"/>
      <w:bookmarkEnd w:id="13"/>
      <w:bookmarkEnd w:id="14"/>
    </w:p>
    <w:p w:rsidR="00F95F9B" w:rsidRDefault="00000000">
      <w:pPr>
        <w:pStyle w:val="af7"/>
        <w:adjustRightInd w:val="0"/>
        <w:snapToGrid w:val="0"/>
        <w:ind w:firstLine="470"/>
        <w:rPr>
          <w:szCs w:val="24"/>
        </w:rPr>
      </w:pPr>
      <w:r>
        <w:rPr>
          <w:rFonts w:hint="eastAsia"/>
          <w:kern w:val="0"/>
          <w:szCs w:val="24"/>
          <w:lang w:val="zh-CN"/>
        </w:rPr>
        <w:t>胜利油田鲁明油气勘探开发有限公司</w:t>
      </w:r>
      <w:r>
        <w:rPr>
          <w:rFonts w:hint="eastAsia"/>
          <w:szCs w:val="24"/>
        </w:rPr>
        <w:t>（以下简称鲁明公司）于</w:t>
      </w:r>
      <w:r>
        <w:rPr>
          <w:rFonts w:hint="eastAsia"/>
          <w:szCs w:val="24"/>
        </w:rPr>
        <w:t>2020</w:t>
      </w:r>
      <w:r>
        <w:rPr>
          <w:rFonts w:hint="eastAsia"/>
          <w:szCs w:val="24"/>
        </w:rPr>
        <w:t>年</w:t>
      </w:r>
      <w:r>
        <w:rPr>
          <w:rFonts w:hint="eastAsia"/>
          <w:szCs w:val="24"/>
        </w:rPr>
        <w:t>7</w:t>
      </w:r>
      <w:r>
        <w:rPr>
          <w:rFonts w:hint="eastAsia"/>
          <w:szCs w:val="24"/>
        </w:rPr>
        <w:t>月取得山东省应急管理厅颁发的安全生产许可证</w:t>
      </w:r>
      <w:r>
        <w:rPr>
          <w:rFonts w:hint="eastAsia"/>
        </w:rPr>
        <w:t>（延期）</w:t>
      </w:r>
      <w:r>
        <w:rPr>
          <w:rFonts w:hint="eastAsia"/>
          <w:szCs w:val="24"/>
        </w:rPr>
        <w:t>，编号：（鲁）</w:t>
      </w:r>
      <w:r>
        <w:rPr>
          <w:rFonts w:hint="eastAsia"/>
          <w:szCs w:val="24"/>
        </w:rPr>
        <w:t>FM</w:t>
      </w:r>
      <w:r>
        <w:rPr>
          <w:rFonts w:hint="eastAsia"/>
          <w:szCs w:val="24"/>
        </w:rPr>
        <w:t>安许证字（</w:t>
      </w:r>
      <w:r>
        <w:rPr>
          <w:rFonts w:hint="eastAsia"/>
          <w:szCs w:val="24"/>
        </w:rPr>
        <w:t>2020</w:t>
      </w:r>
      <w:r>
        <w:rPr>
          <w:rFonts w:hint="eastAsia"/>
          <w:szCs w:val="24"/>
        </w:rPr>
        <w:t>）</w:t>
      </w:r>
      <w:r>
        <w:rPr>
          <w:rFonts w:hint="eastAsia"/>
          <w:szCs w:val="24"/>
        </w:rPr>
        <w:t>00-0086</w:t>
      </w:r>
      <w:r>
        <w:rPr>
          <w:rFonts w:hint="eastAsia"/>
          <w:szCs w:val="24"/>
        </w:rPr>
        <w:t>号，许可范围：陆上采油（气），有效期为</w:t>
      </w:r>
      <w:r>
        <w:rPr>
          <w:rFonts w:hint="eastAsia"/>
          <w:szCs w:val="24"/>
        </w:rPr>
        <w:t>2023</w:t>
      </w:r>
      <w:r>
        <w:rPr>
          <w:rFonts w:hint="eastAsia"/>
          <w:szCs w:val="24"/>
        </w:rPr>
        <w:t>年</w:t>
      </w:r>
      <w:r>
        <w:rPr>
          <w:rFonts w:hint="eastAsia"/>
          <w:szCs w:val="24"/>
        </w:rPr>
        <w:t>7</w:t>
      </w:r>
      <w:r>
        <w:rPr>
          <w:rFonts w:hint="eastAsia"/>
          <w:szCs w:val="24"/>
        </w:rPr>
        <w:t>月</w:t>
      </w:r>
      <w:r>
        <w:rPr>
          <w:rFonts w:hint="eastAsia"/>
          <w:szCs w:val="24"/>
        </w:rPr>
        <w:t>18</w:t>
      </w:r>
      <w:r>
        <w:rPr>
          <w:rFonts w:hint="eastAsia"/>
          <w:szCs w:val="24"/>
        </w:rPr>
        <w:t>日，</w:t>
      </w:r>
      <w:r>
        <w:rPr>
          <w:szCs w:val="24"/>
        </w:rPr>
        <w:t>根据《中华人民共和国安全生产法》</w:t>
      </w:r>
      <w:r>
        <w:rPr>
          <w:rFonts w:hint="eastAsia"/>
          <w:szCs w:val="24"/>
        </w:rPr>
        <w:t>（中华人民共和国主席令</w:t>
      </w:r>
      <w:r>
        <w:rPr>
          <w:rFonts w:hint="eastAsia"/>
          <w:szCs w:val="24"/>
        </w:rPr>
        <w:t>[2002]</w:t>
      </w:r>
      <w:r>
        <w:rPr>
          <w:rFonts w:hint="eastAsia"/>
          <w:szCs w:val="24"/>
        </w:rPr>
        <w:t>第</w:t>
      </w:r>
      <w:r>
        <w:rPr>
          <w:rFonts w:hint="eastAsia"/>
          <w:szCs w:val="24"/>
        </w:rPr>
        <w:t>70</w:t>
      </w:r>
      <w:r>
        <w:rPr>
          <w:rFonts w:hint="eastAsia"/>
          <w:szCs w:val="24"/>
        </w:rPr>
        <w:t>号，</w:t>
      </w:r>
      <w:r>
        <w:rPr>
          <w:rFonts w:hint="eastAsia"/>
          <w:szCs w:val="24"/>
        </w:rPr>
        <w:t>2021</w:t>
      </w:r>
      <w:r>
        <w:rPr>
          <w:rFonts w:hint="eastAsia"/>
          <w:szCs w:val="24"/>
        </w:rPr>
        <w:t>年</w:t>
      </w:r>
      <w:r>
        <w:rPr>
          <w:rFonts w:hint="eastAsia"/>
          <w:szCs w:val="24"/>
        </w:rPr>
        <w:t>6</w:t>
      </w:r>
      <w:r>
        <w:rPr>
          <w:rFonts w:hint="eastAsia"/>
          <w:szCs w:val="24"/>
        </w:rPr>
        <w:t>月</w:t>
      </w:r>
      <w:r>
        <w:rPr>
          <w:rFonts w:hint="eastAsia"/>
          <w:szCs w:val="24"/>
        </w:rPr>
        <w:t>10</w:t>
      </w:r>
      <w:r>
        <w:rPr>
          <w:rFonts w:hint="eastAsia"/>
          <w:szCs w:val="24"/>
        </w:rPr>
        <w:t>日中华人民共和国主席令</w:t>
      </w:r>
      <w:r>
        <w:rPr>
          <w:rFonts w:hint="eastAsia"/>
          <w:szCs w:val="24"/>
        </w:rPr>
        <w:t>[2021]</w:t>
      </w:r>
      <w:r>
        <w:rPr>
          <w:rFonts w:hint="eastAsia"/>
          <w:szCs w:val="24"/>
        </w:rPr>
        <w:t>第</w:t>
      </w:r>
      <w:r>
        <w:rPr>
          <w:rFonts w:hint="eastAsia"/>
          <w:szCs w:val="24"/>
        </w:rPr>
        <w:t>88</w:t>
      </w:r>
      <w:r>
        <w:rPr>
          <w:rFonts w:hint="eastAsia"/>
          <w:szCs w:val="24"/>
        </w:rPr>
        <w:t>号修改）</w:t>
      </w:r>
      <w:r>
        <w:rPr>
          <w:szCs w:val="24"/>
        </w:rPr>
        <w:t>的</w:t>
      </w:r>
      <w:r>
        <w:rPr>
          <w:rFonts w:hint="eastAsia"/>
          <w:szCs w:val="24"/>
        </w:rPr>
        <w:t>要求及</w:t>
      </w:r>
      <w:r>
        <w:rPr>
          <w:szCs w:val="24"/>
        </w:rPr>
        <w:t>《安全生产许可证条例》（国务院令第</w:t>
      </w:r>
      <w:r>
        <w:rPr>
          <w:szCs w:val="24"/>
        </w:rPr>
        <w:t>397</w:t>
      </w:r>
      <w:r>
        <w:rPr>
          <w:szCs w:val="24"/>
        </w:rPr>
        <w:t>号</w:t>
      </w:r>
      <w:r>
        <w:rPr>
          <w:rFonts w:hint="eastAsia"/>
          <w:szCs w:val="24"/>
        </w:rPr>
        <w:t>发布</w:t>
      </w:r>
      <w:r>
        <w:rPr>
          <w:szCs w:val="24"/>
        </w:rPr>
        <w:t>，</w:t>
      </w:r>
      <w:r>
        <w:rPr>
          <w:rFonts w:hint="eastAsia"/>
          <w:szCs w:val="24"/>
        </w:rPr>
        <w:t>国务院令</w:t>
      </w:r>
      <w:r>
        <w:rPr>
          <w:szCs w:val="24"/>
        </w:rPr>
        <w:t>第</w:t>
      </w:r>
      <w:r>
        <w:rPr>
          <w:szCs w:val="24"/>
        </w:rPr>
        <w:t>653</w:t>
      </w:r>
      <w:r>
        <w:rPr>
          <w:szCs w:val="24"/>
        </w:rPr>
        <w:t>号修</w:t>
      </w:r>
      <w:r>
        <w:rPr>
          <w:rFonts w:hint="eastAsia"/>
          <w:szCs w:val="24"/>
        </w:rPr>
        <w:t>正</w:t>
      </w:r>
      <w:r>
        <w:rPr>
          <w:szCs w:val="24"/>
        </w:rPr>
        <w:t>）、《非煤矿矿山企业安全生产许可证实施办法》（原国家安全生产监督管理总局令第</w:t>
      </w:r>
      <w:r>
        <w:rPr>
          <w:szCs w:val="24"/>
        </w:rPr>
        <w:t>20</w:t>
      </w:r>
      <w:r>
        <w:rPr>
          <w:szCs w:val="24"/>
        </w:rPr>
        <w:t>号</w:t>
      </w:r>
      <w:r>
        <w:rPr>
          <w:rFonts w:hint="eastAsia"/>
          <w:szCs w:val="24"/>
        </w:rPr>
        <w:t>发布</w:t>
      </w:r>
      <w:r>
        <w:rPr>
          <w:szCs w:val="24"/>
        </w:rPr>
        <w:t>，第</w:t>
      </w:r>
      <w:r>
        <w:rPr>
          <w:szCs w:val="24"/>
        </w:rPr>
        <w:t>78</w:t>
      </w:r>
      <w:r>
        <w:rPr>
          <w:szCs w:val="24"/>
        </w:rPr>
        <w:t>号</w:t>
      </w:r>
      <w:r>
        <w:rPr>
          <w:rFonts w:hint="eastAsia"/>
          <w:szCs w:val="24"/>
        </w:rPr>
        <w:t>修订</w:t>
      </w:r>
      <w:r>
        <w:rPr>
          <w:szCs w:val="24"/>
        </w:rPr>
        <w:t>）</w:t>
      </w:r>
      <w:r>
        <w:rPr>
          <w:rFonts w:hint="eastAsia"/>
          <w:szCs w:val="24"/>
        </w:rPr>
        <w:t>的</w:t>
      </w:r>
      <w:r>
        <w:rPr>
          <w:szCs w:val="24"/>
        </w:rPr>
        <w:t>具体规定，受</w:t>
      </w:r>
      <w:r>
        <w:rPr>
          <w:rFonts w:hint="eastAsia"/>
          <w:szCs w:val="24"/>
        </w:rPr>
        <w:t>鲁明公司</w:t>
      </w:r>
      <w:r>
        <w:rPr>
          <w:szCs w:val="24"/>
        </w:rPr>
        <w:t>的委托，</w:t>
      </w:r>
      <w:r>
        <w:rPr>
          <w:rFonts w:hint="eastAsia"/>
          <w:szCs w:val="24"/>
        </w:rPr>
        <w:t>山东实华安全技术有限公司</w:t>
      </w:r>
      <w:r>
        <w:rPr>
          <w:szCs w:val="24"/>
        </w:rPr>
        <w:t>承担了</w:t>
      </w:r>
      <w:r>
        <w:rPr>
          <w:rFonts w:hint="eastAsia"/>
          <w:szCs w:val="24"/>
        </w:rPr>
        <w:t>鲁明公司</w:t>
      </w:r>
      <w:r>
        <w:rPr>
          <w:szCs w:val="24"/>
        </w:rPr>
        <w:t>的安全现状评价工作。</w:t>
      </w:r>
    </w:p>
    <w:p w:rsidR="00F95F9B" w:rsidRDefault="00000000">
      <w:pPr>
        <w:pStyle w:val="af7"/>
        <w:adjustRightInd w:val="0"/>
        <w:snapToGrid w:val="0"/>
        <w:ind w:firstLine="470"/>
        <w:rPr>
          <w:szCs w:val="24"/>
        </w:rPr>
      </w:pPr>
      <w:r>
        <w:rPr>
          <w:rFonts w:hint="eastAsia"/>
        </w:rPr>
        <w:t>接受委托后，山东实华安全技术有限公司成立了评价项目组，评价项目组</w:t>
      </w:r>
      <w:r>
        <w:rPr>
          <w:rFonts w:hint="eastAsia"/>
          <w:szCs w:val="24"/>
        </w:rPr>
        <w:t>遵循国家和省有关法律、法规和政策要求，按照科学、客观、公正的原则开展评价工作。</w:t>
      </w:r>
      <w:r>
        <w:rPr>
          <w:szCs w:val="24"/>
        </w:rPr>
        <w:t>安全评价人员对</w:t>
      </w:r>
      <w:r>
        <w:rPr>
          <w:rFonts w:hint="eastAsia"/>
          <w:szCs w:val="24"/>
        </w:rPr>
        <w:t>鲁明公司现有的生产设施、设备的实际运行状况及管理状况进行了现场检查</w:t>
      </w:r>
      <w:r>
        <w:rPr>
          <w:szCs w:val="24"/>
        </w:rPr>
        <w:t>。评价项目组在充分搜集并认真分析相关文件资料和现场收集到的信息基础上，编制完成了安全现状评价报告。</w:t>
      </w:r>
    </w:p>
    <w:p w:rsidR="00F95F9B" w:rsidRDefault="00000000">
      <w:pPr>
        <w:pStyle w:val="nlw"/>
        <w:widowControl w:val="0"/>
        <w:adjustRightInd w:val="0"/>
        <w:snapToGrid w:val="0"/>
        <w:spacing w:line="360" w:lineRule="auto"/>
        <w:ind w:firstLine="470"/>
        <w:rPr>
          <w:rFonts w:ascii="Times New Roman" w:hAnsi="Times New Roman"/>
          <w:sz w:val="24"/>
          <w:szCs w:val="24"/>
        </w:rPr>
      </w:pPr>
      <w:r>
        <w:rPr>
          <w:rFonts w:ascii="Times New Roman" w:hAnsi="Times New Roman"/>
          <w:sz w:val="24"/>
          <w:szCs w:val="24"/>
        </w:rPr>
        <w:t>评价报告辨识</w:t>
      </w:r>
      <w:r>
        <w:rPr>
          <w:rFonts w:ascii="Times New Roman" w:hAnsi="Times New Roman" w:hint="eastAsia"/>
          <w:sz w:val="24"/>
          <w:szCs w:val="24"/>
        </w:rPr>
        <w:t>了鲁明公司</w:t>
      </w:r>
      <w:r>
        <w:rPr>
          <w:rFonts w:ascii="Times New Roman" w:hAnsi="Times New Roman"/>
          <w:sz w:val="24"/>
          <w:szCs w:val="24"/>
        </w:rPr>
        <w:t>生产经营活动中存在的危险、有害因素，分析生产设施、设备、装置实际运行状况，安全管理制度、操作规程、安全培训、安全投入、应急管理等安全管理状况，评价其与法律、法规、规章、标准的符合性，对存在的问题提出相应的安全对策措施及建议，并为</w:t>
      </w:r>
      <w:r>
        <w:rPr>
          <w:rFonts w:ascii="Times New Roman" w:hAnsi="Times New Roman" w:hint="eastAsia"/>
          <w:sz w:val="24"/>
          <w:szCs w:val="24"/>
        </w:rPr>
        <w:t>应急</w:t>
      </w:r>
      <w:r>
        <w:rPr>
          <w:rFonts w:ascii="Times New Roman" w:hAnsi="Times New Roman"/>
          <w:sz w:val="24"/>
          <w:szCs w:val="24"/>
        </w:rPr>
        <w:t>管理部门进行监督检查以及安全生产许可证颁发提供必要的条件。</w:t>
      </w:r>
    </w:p>
    <w:p w:rsidR="00F95F9B" w:rsidRDefault="00000000">
      <w:pPr>
        <w:pStyle w:val="nlw"/>
        <w:widowControl w:val="0"/>
        <w:adjustRightInd w:val="0"/>
        <w:snapToGrid w:val="0"/>
        <w:spacing w:line="360" w:lineRule="auto"/>
        <w:ind w:firstLine="470"/>
        <w:rPr>
          <w:sz w:val="24"/>
          <w:szCs w:val="24"/>
        </w:rPr>
      </w:pPr>
      <w:r>
        <w:rPr>
          <w:sz w:val="24"/>
          <w:szCs w:val="24"/>
        </w:rPr>
        <w:t>在此次安全现状评价过程中，得到了</w:t>
      </w:r>
      <w:r>
        <w:rPr>
          <w:rFonts w:hint="eastAsia"/>
          <w:sz w:val="24"/>
          <w:szCs w:val="24"/>
        </w:rPr>
        <w:t>鲁明公司各部门及基层单位</w:t>
      </w:r>
      <w:r>
        <w:rPr>
          <w:sz w:val="24"/>
          <w:szCs w:val="24"/>
        </w:rPr>
        <w:t>的积极配合和协助，在此表示感谢！</w:t>
      </w:r>
    </w:p>
    <w:p w:rsidR="00F95F9B" w:rsidRDefault="00000000">
      <w:pPr>
        <w:widowControl w:val="0"/>
        <w:adjustRightInd w:val="0"/>
        <w:snapToGrid w:val="0"/>
        <w:ind w:firstLine="470"/>
        <w:jc w:val="center"/>
        <w:rPr>
          <w:szCs w:val="24"/>
        </w:rPr>
      </w:pPr>
      <w:r>
        <w:rPr>
          <w:rFonts w:hint="eastAsia"/>
          <w:szCs w:val="24"/>
        </w:rPr>
        <w:t xml:space="preserve">                                                           </w:t>
      </w:r>
    </w:p>
    <w:p w:rsidR="00F95F9B" w:rsidRDefault="00000000">
      <w:pPr>
        <w:widowControl w:val="0"/>
        <w:adjustRightInd w:val="0"/>
        <w:snapToGrid w:val="0"/>
        <w:ind w:firstLine="470"/>
        <w:jc w:val="center"/>
        <w:rPr>
          <w:szCs w:val="24"/>
        </w:rPr>
      </w:pPr>
      <w:r>
        <w:rPr>
          <w:rFonts w:hint="eastAsia"/>
          <w:szCs w:val="24"/>
        </w:rPr>
        <w:t xml:space="preserve">                                                              </w:t>
      </w:r>
      <w:r>
        <w:rPr>
          <w:rFonts w:hint="eastAsia"/>
          <w:szCs w:val="24"/>
        </w:rPr>
        <w:t>评价</w:t>
      </w:r>
      <w:r>
        <w:rPr>
          <w:szCs w:val="24"/>
        </w:rPr>
        <w:t>项目组</w:t>
      </w:r>
    </w:p>
    <w:p w:rsidR="00F95F9B" w:rsidRDefault="00000000">
      <w:pPr>
        <w:pStyle w:val="af9"/>
        <w:adjustRightInd w:val="0"/>
        <w:snapToGrid w:val="0"/>
        <w:spacing w:after="0"/>
        <w:ind w:firstLine="470"/>
        <w:jc w:val="right"/>
        <w:rPr>
          <w:szCs w:val="24"/>
        </w:rPr>
      </w:pPr>
      <w:r>
        <w:rPr>
          <w:rFonts w:hint="eastAsia"/>
          <w:szCs w:val="24"/>
        </w:rPr>
        <w:t xml:space="preserve"> 2023</w:t>
      </w:r>
      <w:r>
        <w:rPr>
          <w:rFonts w:hint="eastAsia"/>
          <w:szCs w:val="24"/>
        </w:rPr>
        <w:t>年</w:t>
      </w:r>
      <w:r>
        <w:rPr>
          <w:rFonts w:hint="eastAsia"/>
          <w:szCs w:val="24"/>
        </w:rPr>
        <w:t>7</w:t>
      </w:r>
      <w:r>
        <w:rPr>
          <w:rFonts w:hint="eastAsia"/>
          <w:szCs w:val="24"/>
        </w:rPr>
        <w:t>月</w:t>
      </w:r>
    </w:p>
    <w:p w:rsidR="00F95F9B" w:rsidRDefault="00F95F9B">
      <w:pPr>
        <w:widowControl w:val="0"/>
        <w:adjustRightInd w:val="0"/>
        <w:snapToGrid w:val="0"/>
        <w:spacing w:line="480" w:lineRule="auto"/>
        <w:ind w:firstLineChars="0" w:firstLine="0"/>
        <w:rPr>
          <w:szCs w:val="24"/>
        </w:rPr>
        <w:sectPr w:rsidR="00F95F9B">
          <w:headerReference w:type="default" r:id="rId15"/>
          <w:footerReference w:type="default" r:id="rId16"/>
          <w:pgSz w:w="11906" w:h="16838"/>
          <w:pgMar w:top="1417" w:right="1134" w:bottom="1134" w:left="1587" w:header="850" w:footer="850" w:gutter="0"/>
          <w:cols w:space="0"/>
          <w:docGrid w:type="linesAndChars" w:linePitch="340" w:charSpace="-1024"/>
        </w:sectPr>
      </w:pPr>
    </w:p>
    <w:p w:rsidR="00F95F9B" w:rsidRDefault="00F95F9B">
      <w:pPr>
        <w:pStyle w:val="af9"/>
        <w:ind w:firstLine="470"/>
        <w:sectPr w:rsidR="00F95F9B">
          <w:headerReference w:type="default" r:id="rId17"/>
          <w:footerReference w:type="default" r:id="rId18"/>
          <w:pgSz w:w="11906" w:h="16838"/>
          <w:pgMar w:top="1417" w:right="1134" w:bottom="1134" w:left="1587" w:header="850" w:footer="850" w:gutter="0"/>
          <w:cols w:space="0"/>
          <w:docGrid w:type="linesAndChars" w:linePitch="340" w:charSpace="-1024"/>
        </w:sectPr>
      </w:pPr>
    </w:p>
    <w:p w:rsidR="00F95F9B" w:rsidRDefault="00000000">
      <w:pPr>
        <w:widowControl w:val="0"/>
        <w:ind w:firstLineChars="0" w:firstLine="0"/>
        <w:jc w:val="center"/>
        <w:rPr>
          <w:rFonts w:ascii="黑体" w:eastAsia="黑体" w:hAnsi="黑体"/>
          <w:sz w:val="32"/>
          <w:szCs w:val="24"/>
          <w:lang w:val="zh-CN"/>
        </w:rPr>
      </w:pPr>
      <w:r>
        <w:rPr>
          <w:rFonts w:ascii="黑体" w:eastAsia="黑体" w:hAnsi="黑体"/>
          <w:sz w:val="32"/>
          <w:szCs w:val="24"/>
          <w:lang w:val="zh-CN"/>
        </w:rPr>
        <w:lastRenderedPageBreak/>
        <w:t>目</w:t>
      </w:r>
      <w:r>
        <w:rPr>
          <w:rFonts w:ascii="黑体" w:eastAsia="黑体" w:hAnsi="黑体" w:hint="eastAsia"/>
          <w:sz w:val="32"/>
          <w:szCs w:val="24"/>
          <w:lang w:val="zh-CN"/>
        </w:rPr>
        <w:t xml:space="preserve"> </w:t>
      </w:r>
      <w:r>
        <w:rPr>
          <w:rFonts w:ascii="黑体" w:eastAsia="黑体" w:hAnsi="黑体"/>
          <w:sz w:val="32"/>
          <w:szCs w:val="24"/>
          <w:lang w:val="zh-CN"/>
        </w:rPr>
        <w:t xml:space="preserve"> 录</w:t>
      </w:r>
    </w:p>
    <w:p w:rsidR="00F95F9B" w:rsidRDefault="00000000">
      <w:pPr>
        <w:pStyle w:val="TOC1"/>
        <w:tabs>
          <w:tab w:val="right" w:leader="dot" w:pos="9185"/>
        </w:tabs>
        <w:spacing w:after="0" w:line="440" w:lineRule="exact"/>
        <w:ind w:firstLine="470"/>
        <w:rPr>
          <w:rFonts w:ascii="Times New Roman" w:eastAsia="宋体" w:hAnsi="Times New Roman"/>
        </w:rPr>
      </w:pPr>
      <w:r>
        <w:rPr>
          <w:rFonts w:ascii="Times New Roman" w:eastAsia="宋体" w:hAnsi="Times New Roman"/>
          <w:sz w:val="24"/>
          <w:szCs w:val="24"/>
          <w:lang w:val="zh-CN"/>
        </w:rPr>
        <w:fldChar w:fldCharType="begin"/>
      </w:r>
      <w:r>
        <w:rPr>
          <w:rFonts w:ascii="Times New Roman" w:eastAsia="宋体" w:hAnsi="Times New Roman"/>
          <w:sz w:val="24"/>
          <w:szCs w:val="24"/>
          <w:lang w:val="zh-CN"/>
        </w:rPr>
        <w:instrText xml:space="preserve"> TOC \o "1-2" \h \z \u </w:instrText>
      </w:r>
      <w:r>
        <w:rPr>
          <w:rFonts w:ascii="Times New Roman" w:eastAsia="宋体" w:hAnsi="Times New Roman"/>
          <w:sz w:val="24"/>
          <w:szCs w:val="24"/>
          <w:lang w:val="zh-CN"/>
        </w:rPr>
        <w:fldChar w:fldCharType="separate"/>
      </w:r>
      <w:hyperlink w:anchor="_Toc30055" w:history="1">
        <w:r>
          <w:rPr>
            <w:rFonts w:ascii="Times New Roman" w:eastAsia="宋体" w:hAnsi="Times New Roman"/>
          </w:rPr>
          <w:t xml:space="preserve">1 </w:t>
        </w:r>
        <w:r>
          <w:rPr>
            <w:rFonts w:ascii="Times New Roman" w:eastAsia="宋体" w:hAnsi="Times New Roman" w:hint="eastAsia"/>
          </w:rPr>
          <w:t>概</w:t>
        </w:r>
        <w:r>
          <w:rPr>
            <w:rFonts w:ascii="Times New Roman" w:eastAsia="宋体" w:hAnsi="Times New Roman" w:hint="eastAsia"/>
          </w:rPr>
          <w:t xml:space="preserve"> </w:t>
        </w:r>
        <w:r>
          <w:rPr>
            <w:rFonts w:ascii="Times New Roman" w:eastAsia="宋体" w:hAnsi="Times New Roman"/>
          </w:rPr>
          <w:t xml:space="preserve">   </w:t>
        </w:r>
        <w:r>
          <w:rPr>
            <w:rFonts w:ascii="Times New Roman" w:eastAsia="宋体" w:hAnsi="Times New Roman" w:hint="eastAsia"/>
          </w:rPr>
          <w:t>述</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_Toc30055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9481" w:history="1">
        <w:r>
          <w:rPr>
            <w:rFonts w:ascii="Times New Roman" w:eastAsia="宋体" w:hAnsi="Times New Roman"/>
          </w:rPr>
          <w:t xml:space="preserve">1.1 </w:t>
        </w:r>
        <w:r>
          <w:rPr>
            <w:rFonts w:ascii="Times New Roman" w:eastAsia="宋体" w:hAnsi="Times New Roman" w:hint="eastAsia"/>
          </w:rPr>
          <w:t>评价目的</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_Toc29481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794" w:history="1">
        <w:r>
          <w:rPr>
            <w:rFonts w:ascii="Times New Roman" w:eastAsia="宋体" w:hAnsi="Times New Roman"/>
          </w:rPr>
          <w:t xml:space="preserve">1.2 </w:t>
        </w:r>
        <w:r>
          <w:rPr>
            <w:rFonts w:ascii="Times New Roman" w:eastAsia="宋体" w:hAnsi="Times New Roman" w:hint="eastAsia"/>
          </w:rPr>
          <w:t>评价范围</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_Toc1794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4589" w:history="1">
        <w:r>
          <w:rPr>
            <w:rFonts w:ascii="Times New Roman" w:eastAsia="宋体" w:hAnsi="Times New Roman"/>
          </w:rPr>
          <w:t xml:space="preserve">1.3 </w:t>
        </w:r>
        <w:r>
          <w:rPr>
            <w:rFonts w:ascii="Times New Roman" w:eastAsia="宋体" w:hAnsi="Times New Roman" w:hint="eastAsia"/>
          </w:rPr>
          <w:t>评价依据</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_Toc24589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9051" w:history="1">
        <w:r>
          <w:rPr>
            <w:rFonts w:ascii="Times New Roman" w:eastAsia="宋体" w:hAnsi="Times New Roman"/>
          </w:rPr>
          <w:t xml:space="preserve">1.4 </w:t>
        </w:r>
        <w:r>
          <w:rPr>
            <w:rFonts w:ascii="Times New Roman" w:eastAsia="宋体" w:hAnsi="Times New Roman" w:hint="eastAsia"/>
          </w:rPr>
          <w:t>评价程序</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_Toc9051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10</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2448" w:history="1">
        <w:r>
          <w:rPr>
            <w:rFonts w:ascii="Times New Roman" w:eastAsia="宋体" w:hAnsi="Times New Roman"/>
          </w:rPr>
          <w:t xml:space="preserve">2 </w:t>
        </w:r>
        <w:r>
          <w:rPr>
            <w:rFonts w:ascii="Times New Roman" w:eastAsia="宋体" w:hAnsi="Times New Roman" w:hint="eastAsia"/>
          </w:rPr>
          <w:t>项目概况</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_Toc2448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3379" w:history="1">
        <w:r>
          <w:rPr>
            <w:rFonts w:ascii="Times New Roman" w:eastAsia="宋体" w:hAnsi="Times New Roman"/>
          </w:rPr>
          <w:t xml:space="preserve">2.1 </w:t>
        </w:r>
        <w:r>
          <w:rPr>
            <w:rFonts w:ascii="Times New Roman" w:eastAsia="宋体" w:hAnsi="Times New Roman" w:hint="eastAsia"/>
          </w:rPr>
          <w:t>企业基本情况</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_Toc13379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4904" w:history="1">
        <w:r>
          <w:rPr>
            <w:rFonts w:ascii="Times New Roman" w:eastAsia="宋体" w:hAnsi="Times New Roman"/>
          </w:rPr>
          <w:t xml:space="preserve">2.2 </w:t>
        </w:r>
        <w:r>
          <w:rPr>
            <w:rFonts w:ascii="Times New Roman" w:eastAsia="宋体" w:hAnsi="Times New Roman" w:hint="eastAsia"/>
          </w:rPr>
          <w:t>油气田基本情况</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_Toc4904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21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3489" w:history="1">
        <w:r>
          <w:rPr>
            <w:rFonts w:ascii="Times New Roman" w:eastAsia="宋体" w:hAnsi="Times New Roman"/>
          </w:rPr>
          <w:t xml:space="preserve">2.3 </w:t>
        </w:r>
        <w:r>
          <w:rPr>
            <w:rFonts w:ascii="Times New Roman" w:eastAsia="宋体" w:hAnsi="Times New Roman" w:hint="eastAsia"/>
          </w:rPr>
          <w:t>设备设施及生产作业现状</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_Toc13489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23</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7370" w:history="1">
        <w:r>
          <w:rPr>
            <w:rFonts w:ascii="Times New Roman" w:eastAsia="宋体" w:hAnsi="Times New Roman"/>
          </w:rPr>
          <w:t xml:space="preserve">2.4 </w:t>
        </w:r>
        <w:r>
          <w:rPr>
            <w:rFonts w:ascii="Times New Roman" w:eastAsia="宋体" w:hAnsi="Times New Roman" w:hint="eastAsia"/>
          </w:rPr>
          <w:t>安全管理现状</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_Toc17370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51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8607" w:history="1">
        <w:r>
          <w:rPr>
            <w:rFonts w:ascii="Times New Roman" w:eastAsia="宋体" w:hAnsi="Times New Roman"/>
          </w:rPr>
          <w:t xml:space="preserve">2.5 </w:t>
        </w:r>
        <w:r>
          <w:rPr>
            <w:rFonts w:ascii="Times New Roman" w:eastAsia="宋体" w:hAnsi="Times New Roman" w:hint="eastAsia"/>
          </w:rPr>
          <w:t>变更情况</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_Toc28607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52</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481" w:history="1">
        <w:r>
          <w:rPr>
            <w:rFonts w:ascii="Times New Roman" w:eastAsia="宋体" w:hAnsi="Times New Roman"/>
          </w:rPr>
          <w:t xml:space="preserve">3 </w:t>
        </w:r>
        <w:r>
          <w:rPr>
            <w:rFonts w:ascii="Times New Roman" w:eastAsia="宋体" w:hAnsi="Times New Roman" w:hint="eastAsia"/>
          </w:rPr>
          <w:t>主要危险、有害因素辨识与分析</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_Toc481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54</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5656" w:history="1">
        <w:r>
          <w:rPr>
            <w:rFonts w:ascii="Times New Roman" w:eastAsia="宋体" w:hAnsi="Times New Roman"/>
            <w:bCs/>
            <w:kern w:val="2"/>
            <w:szCs w:val="32"/>
          </w:rPr>
          <w:t xml:space="preserve">3.1 </w:t>
        </w:r>
        <w:r>
          <w:rPr>
            <w:rFonts w:ascii="Times New Roman" w:eastAsia="宋体" w:hAnsi="Times New Roman" w:hint="eastAsia"/>
            <w:bCs/>
            <w:kern w:val="2"/>
            <w:szCs w:val="32"/>
          </w:rPr>
          <w:t>主要物质危险有害因素分析</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_Toc25656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54</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9324" w:history="1">
        <w:r>
          <w:rPr>
            <w:rFonts w:ascii="Times New Roman" w:eastAsia="宋体" w:hAnsi="Times New Roman"/>
          </w:rPr>
          <w:t xml:space="preserve">3.2 </w:t>
        </w:r>
        <w:r>
          <w:rPr>
            <w:rFonts w:ascii="Times New Roman" w:eastAsia="宋体" w:hAnsi="Times New Roman" w:hint="eastAsia"/>
          </w:rPr>
          <w:t>生产作业危险、有害因素分析</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_Toc9324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58</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3001" w:history="1">
        <w:r>
          <w:rPr>
            <w:rFonts w:ascii="Times New Roman" w:eastAsia="宋体" w:hAnsi="Times New Roman"/>
          </w:rPr>
          <w:t xml:space="preserve">3.3 </w:t>
        </w:r>
        <w:r>
          <w:rPr>
            <w:rFonts w:ascii="Times New Roman" w:eastAsia="宋体" w:hAnsi="Times New Roman" w:hint="eastAsia"/>
          </w:rPr>
          <w:t>设备设施危险、有害因素分析</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_Toc23001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66</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5220" w:history="1">
        <w:r>
          <w:rPr>
            <w:rFonts w:ascii="Times New Roman" w:eastAsia="宋体" w:hAnsi="Times New Roman"/>
          </w:rPr>
          <w:t xml:space="preserve">3.4 </w:t>
        </w:r>
        <w:r>
          <w:rPr>
            <w:rFonts w:ascii="Times New Roman" w:eastAsia="宋体" w:hAnsi="Times New Roman" w:hint="eastAsia"/>
          </w:rPr>
          <w:t>公用工程及辅助生产设施危险、有害因素分析</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_Toc5220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76</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3937" w:history="1">
        <w:r>
          <w:rPr>
            <w:rFonts w:ascii="Times New Roman" w:eastAsia="宋体" w:hAnsi="Times New Roman"/>
          </w:rPr>
          <w:t xml:space="preserve">3.5 </w:t>
        </w:r>
        <w:r>
          <w:rPr>
            <w:rFonts w:ascii="Times New Roman" w:eastAsia="宋体" w:hAnsi="Times New Roman" w:hint="eastAsia"/>
          </w:rPr>
          <w:t>社会和自然环境危险因素分析</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_Toc23937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79</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5454" w:history="1">
        <w:r>
          <w:rPr>
            <w:rFonts w:ascii="Times New Roman" w:eastAsia="宋体" w:hAnsi="Times New Roman"/>
          </w:rPr>
          <w:t xml:space="preserve">3.6 </w:t>
        </w:r>
        <w:r>
          <w:rPr>
            <w:rFonts w:ascii="Times New Roman" w:eastAsia="宋体" w:hAnsi="Times New Roman" w:hint="eastAsia"/>
          </w:rPr>
          <w:t>重大危险源辨识</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_Toc15454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81</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7368" w:history="1">
        <w:r>
          <w:rPr>
            <w:rFonts w:ascii="Times New Roman" w:eastAsia="宋体" w:hAnsi="Times New Roman"/>
          </w:rPr>
          <w:t xml:space="preserve">3.7 </w:t>
        </w:r>
        <w:r>
          <w:rPr>
            <w:rFonts w:ascii="Times New Roman" w:eastAsia="宋体" w:hAnsi="Times New Roman" w:hint="eastAsia"/>
          </w:rPr>
          <w:t>危险有害因素分布</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_Toc17368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83</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3641" w:history="1">
        <w:r>
          <w:rPr>
            <w:rFonts w:ascii="Times New Roman" w:eastAsia="宋体" w:hAnsi="Times New Roman"/>
          </w:rPr>
          <w:t xml:space="preserve">4 </w:t>
        </w:r>
        <w:r>
          <w:rPr>
            <w:rFonts w:ascii="Times New Roman" w:eastAsia="宋体" w:hAnsi="Times New Roman" w:hint="eastAsia"/>
          </w:rPr>
          <w:t>现状评价单元划分及评价方法选择</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_Toc3641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85</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919" w:history="1">
        <w:r>
          <w:rPr>
            <w:rFonts w:ascii="Times New Roman" w:eastAsia="宋体" w:hAnsi="Times New Roman"/>
          </w:rPr>
          <w:t xml:space="preserve">4.1 </w:t>
        </w:r>
        <w:r>
          <w:rPr>
            <w:rFonts w:ascii="Times New Roman" w:eastAsia="宋体" w:hAnsi="Times New Roman" w:hint="eastAsia"/>
          </w:rPr>
          <w:t>评价单元划分</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_Toc1919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85</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1232" w:history="1">
        <w:r>
          <w:rPr>
            <w:rFonts w:ascii="Times New Roman" w:eastAsia="宋体" w:hAnsi="Times New Roman"/>
          </w:rPr>
          <w:t xml:space="preserve">4.2 </w:t>
        </w:r>
        <w:r>
          <w:rPr>
            <w:rFonts w:ascii="Times New Roman" w:eastAsia="宋体" w:hAnsi="Times New Roman" w:hint="eastAsia"/>
          </w:rPr>
          <w:t>评价方法选择</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_Toc11232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85</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20752" w:history="1">
        <w:r>
          <w:rPr>
            <w:rFonts w:ascii="Times New Roman" w:eastAsia="宋体" w:hAnsi="Times New Roman"/>
          </w:rPr>
          <w:t xml:space="preserve">5 </w:t>
        </w:r>
        <w:r>
          <w:rPr>
            <w:rFonts w:ascii="Times New Roman" w:eastAsia="宋体" w:hAnsi="Times New Roman" w:hint="eastAsia"/>
          </w:rPr>
          <w:t>设施设备及生产作业单元评价</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_Toc20752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88</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8629" w:history="1">
        <w:r>
          <w:rPr>
            <w:rFonts w:ascii="Times New Roman" w:eastAsia="宋体" w:hAnsi="Times New Roman"/>
            <w:bCs/>
            <w:kern w:val="2"/>
            <w:szCs w:val="32"/>
          </w:rPr>
          <w:t xml:space="preserve">5.1 </w:t>
        </w:r>
        <w:r>
          <w:rPr>
            <w:rFonts w:ascii="Times New Roman" w:eastAsia="宋体" w:hAnsi="Times New Roman" w:hint="eastAsia"/>
            <w:bCs/>
            <w:kern w:val="2"/>
            <w:szCs w:val="32"/>
          </w:rPr>
          <w:t>采油单元</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_Toc8629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88</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8841" w:history="1">
        <w:r>
          <w:rPr>
            <w:rFonts w:ascii="Times New Roman" w:eastAsia="宋体" w:hAnsi="Times New Roman"/>
            <w:bCs/>
            <w:kern w:val="2"/>
            <w:szCs w:val="32"/>
          </w:rPr>
          <w:t xml:space="preserve">5.2 </w:t>
        </w:r>
        <w:r>
          <w:rPr>
            <w:rFonts w:ascii="Times New Roman" w:eastAsia="宋体" w:hAnsi="Times New Roman" w:hint="eastAsia"/>
            <w:bCs/>
            <w:kern w:val="2"/>
            <w:szCs w:val="32"/>
          </w:rPr>
          <w:t>采气单元</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_Toc18841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89</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3602" w:history="1">
        <w:r>
          <w:rPr>
            <w:rFonts w:ascii="Times New Roman" w:eastAsia="宋体" w:hAnsi="Times New Roman"/>
            <w:bCs/>
            <w:kern w:val="2"/>
            <w:szCs w:val="32"/>
          </w:rPr>
          <w:t xml:space="preserve">5.3 </w:t>
        </w:r>
        <w:r>
          <w:rPr>
            <w:rFonts w:ascii="Times New Roman" w:eastAsia="宋体" w:hAnsi="Times New Roman" w:hint="eastAsia"/>
            <w:bCs/>
            <w:kern w:val="2"/>
            <w:szCs w:val="32"/>
          </w:rPr>
          <w:t>注入单元</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_Toc13602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89</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30431" w:history="1">
        <w:r>
          <w:rPr>
            <w:rFonts w:ascii="Times New Roman" w:eastAsia="宋体" w:hAnsi="Times New Roman"/>
            <w:bCs/>
            <w:kern w:val="2"/>
            <w:szCs w:val="32"/>
          </w:rPr>
          <w:t xml:space="preserve">5.4 </w:t>
        </w:r>
        <w:r>
          <w:rPr>
            <w:rFonts w:ascii="Times New Roman" w:eastAsia="宋体" w:hAnsi="Times New Roman" w:hint="eastAsia"/>
            <w:bCs/>
            <w:kern w:val="2"/>
            <w:szCs w:val="32"/>
          </w:rPr>
          <w:t>油气集输单元</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_Toc30431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90</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23247" w:history="1">
        <w:r>
          <w:rPr>
            <w:rFonts w:ascii="Times New Roman" w:eastAsia="宋体" w:hAnsi="Times New Roman"/>
          </w:rPr>
          <w:t xml:space="preserve">6 </w:t>
        </w:r>
        <w:r>
          <w:rPr>
            <w:rFonts w:ascii="Times New Roman" w:eastAsia="宋体" w:hAnsi="Times New Roman" w:hint="eastAsia"/>
          </w:rPr>
          <w:t>安全管理符合性评价</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_Toc23247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93</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0726" w:history="1">
        <w:r>
          <w:rPr>
            <w:rFonts w:ascii="Times New Roman" w:eastAsia="宋体" w:hAnsi="Times New Roman"/>
          </w:rPr>
          <w:t xml:space="preserve">6.1 </w:t>
        </w:r>
        <w:r>
          <w:rPr>
            <w:rFonts w:ascii="Times New Roman" w:eastAsia="宋体" w:hAnsi="Times New Roman" w:hint="eastAsia"/>
          </w:rPr>
          <w:t>安全管理现状评价</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_Toc20726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93</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8751" w:history="1">
        <w:r>
          <w:rPr>
            <w:rFonts w:ascii="Times New Roman" w:eastAsia="宋体" w:hAnsi="Times New Roman"/>
          </w:rPr>
          <w:t xml:space="preserve">6.2 </w:t>
        </w:r>
        <w:r>
          <w:rPr>
            <w:rFonts w:ascii="Times New Roman" w:eastAsia="宋体" w:hAnsi="Times New Roman" w:hint="eastAsia"/>
          </w:rPr>
          <w:t>安全检查表</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_Toc28751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125</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5579" w:history="1">
        <w:r>
          <w:rPr>
            <w:rFonts w:ascii="Times New Roman" w:eastAsia="宋体" w:hAnsi="Times New Roman"/>
          </w:rPr>
          <w:t xml:space="preserve">6.3 </w:t>
        </w:r>
        <w:r>
          <w:rPr>
            <w:rFonts w:ascii="Times New Roman" w:eastAsia="宋体" w:hAnsi="Times New Roman" w:hint="eastAsia"/>
          </w:rPr>
          <w:t>安全生产条件及重大安全风险隐患分析评价</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_Toc5579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126</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16369" w:history="1">
        <w:r>
          <w:rPr>
            <w:rFonts w:ascii="Times New Roman" w:eastAsia="宋体" w:hAnsi="Times New Roman"/>
          </w:rPr>
          <w:t xml:space="preserve">7 </w:t>
        </w:r>
        <w:r>
          <w:rPr>
            <w:rFonts w:ascii="Times New Roman" w:eastAsia="宋体" w:hAnsi="Times New Roman" w:hint="eastAsia"/>
          </w:rPr>
          <w:t>事故发生的可能性及其严重程度的预测</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_Toc16369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134</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6930" w:history="1">
        <w:r>
          <w:rPr>
            <w:rFonts w:ascii="Times New Roman" w:eastAsia="宋体" w:hAnsi="Times New Roman"/>
            <w:lang w:val="zh-CN"/>
          </w:rPr>
          <w:t xml:space="preserve">7.1 </w:t>
        </w:r>
        <w:r>
          <w:rPr>
            <w:rFonts w:ascii="Times New Roman" w:eastAsia="宋体" w:hAnsi="Times New Roman" w:hint="eastAsia"/>
          </w:rPr>
          <w:t>济北集输站</w:t>
        </w:r>
        <w:r>
          <w:rPr>
            <w:rFonts w:ascii="Times New Roman" w:eastAsia="宋体" w:hAnsi="Times New Roman"/>
          </w:rPr>
          <w:t>事故发生的危害程度</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_Toc16930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134</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130" w:history="1">
        <w:r>
          <w:rPr>
            <w:rFonts w:ascii="Times New Roman" w:eastAsia="宋体" w:hAnsi="Times New Roman"/>
            <w:lang w:val="zh-CN"/>
          </w:rPr>
          <w:t xml:space="preserve">7.2 </w:t>
        </w:r>
        <w:r>
          <w:rPr>
            <w:rFonts w:ascii="Times New Roman" w:eastAsia="宋体" w:hAnsi="Times New Roman" w:hint="eastAsia"/>
          </w:rPr>
          <w:t>临南联合站</w:t>
        </w:r>
        <w:r>
          <w:rPr>
            <w:rFonts w:ascii="Times New Roman" w:eastAsia="宋体" w:hAnsi="Times New Roman"/>
          </w:rPr>
          <w:t>事故发生的危害程度</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_Toc2130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136</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9062" w:history="1">
        <w:r>
          <w:rPr>
            <w:rFonts w:ascii="Times New Roman" w:eastAsia="宋体" w:hAnsi="Times New Roman"/>
            <w:lang w:val="zh-CN"/>
          </w:rPr>
          <w:t xml:space="preserve">7.3 </w:t>
        </w:r>
        <w:r>
          <w:rPr>
            <w:rFonts w:ascii="Times New Roman" w:eastAsia="宋体" w:hAnsi="Times New Roman" w:hint="eastAsia"/>
          </w:rPr>
          <w:t>商</w:t>
        </w:r>
        <w:r>
          <w:rPr>
            <w:rFonts w:ascii="Times New Roman" w:eastAsia="宋体" w:hAnsi="Times New Roman" w:hint="eastAsia"/>
          </w:rPr>
          <w:t>56</w:t>
        </w:r>
        <w:r>
          <w:rPr>
            <w:rFonts w:ascii="Times New Roman" w:eastAsia="宋体" w:hAnsi="Times New Roman" w:hint="eastAsia"/>
          </w:rPr>
          <w:t>集输站</w:t>
        </w:r>
        <w:r>
          <w:rPr>
            <w:rFonts w:ascii="Times New Roman" w:eastAsia="宋体" w:hAnsi="Times New Roman"/>
          </w:rPr>
          <w:t>事故发生的危害程度</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_Toc9062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138</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9823" w:history="1">
        <w:r>
          <w:rPr>
            <w:rFonts w:ascii="Times New Roman" w:eastAsia="宋体" w:hAnsi="Times New Roman"/>
            <w:lang w:val="zh-CN"/>
          </w:rPr>
          <w:t xml:space="preserve">7.4 </w:t>
        </w:r>
        <w:r>
          <w:rPr>
            <w:rFonts w:ascii="Times New Roman" w:eastAsia="宋体" w:hAnsi="Times New Roman" w:hint="eastAsia"/>
          </w:rPr>
          <w:t>滨</w:t>
        </w:r>
        <w:r>
          <w:rPr>
            <w:rFonts w:ascii="Times New Roman" w:eastAsia="宋体" w:hAnsi="Times New Roman" w:hint="eastAsia"/>
          </w:rPr>
          <w:t>425</w:t>
        </w:r>
        <w:r>
          <w:rPr>
            <w:rFonts w:ascii="Times New Roman" w:eastAsia="宋体" w:hAnsi="Times New Roman" w:hint="eastAsia"/>
          </w:rPr>
          <w:t>集输站</w:t>
        </w:r>
        <w:r>
          <w:rPr>
            <w:rFonts w:ascii="Times New Roman" w:eastAsia="宋体" w:hAnsi="Times New Roman"/>
          </w:rPr>
          <w:t>事故发生的危害程度</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_Toc19823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139</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0723" w:history="1">
        <w:r>
          <w:rPr>
            <w:rFonts w:ascii="Times New Roman" w:eastAsia="宋体" w:hAnsi="Times New Roman"/>
            <w:lang w:val="zh-CN"/>
          </w:rPr>
          <w:t xml:space="preserve">7.5 </w:t>
        </w:r>
        <w:r>
          <w:rPr>
            <w:rFonts w:ascii="Times New Roman" w:eastAsia="宋体" w:hAnsi="Times New Roman" w:hint="eastAsia"/>
          </w:rPr>
          <w:t>青南集输站</w:t>
        </w:r>
        <w:r>
          <w:rPr>
            <w:rFonts w:ascii="Times New Roman" w:eastAsia="宋体" w:hAnsi="Times New Roman"/>
          </w:rPr>
          <w:t>事故发生的危害程度</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_Toc20723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140</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10046" w:history="1">
        <w:r>
          <w:rPr>
            <w:rFonts w:ascii="Times New Roman" w:eastAsia="宋体" w:hAnsi="Times New Roman"/>
          </w:rPr>
          <w:t xml:space="preserve">8 </w:t>
        </w:r>
        <w:r>
          <w:rPr>
            <w:rFonts w:ascii="Times New Roman" w:eastAsia="宋体" w:hAnsi="Times New Roman" w:hint="eastAsia"/>
          </w:rPr>
          <w:t>事故案例</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_Toc10046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143</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4296" w:history="1">
        <w:r>
          <w:rPr>
            <w:rFonts w:ascii="Times New Roman" w:eastAsia="宋体" w:hAnsi="Times New Roman"/>
          </w:rPr>
          <w:t xml:space="preserve">8.1 </w:t>
        </w:r>
        <w:r>
          <w:rPr>
            <w:rFonts w:ascii="Times New Roman" w:eastAsia="宋体" w:hAnsi="Times New Roman" w:hint="eastAsia"/>
          </w:rPr>
          <w:t>卸油操作生静电引爆油罐酿事故</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_Toc4296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143</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8730" w:history="1">
        <w:r>
          <w:rPr>
            <w:rFonts w:ascii="Times New Roman" w:eastAsia="宋体" w:hAnsi="Times New Roman"/>
          </w:rPr>
          <w:t xml:space="preserve">8.2 </w:t>
        </w:r>
        <w:r>
          <w:rPr>
            <w:rFonts w:ascii="Times New Roman" w:eastAsia="宋体" w:hAnsi="Times New Roman" w:hint="eastAsia"/>
          </w:rPr>
          <w:t>机泵燃料油泄漏静电引发火灾</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_Toc8730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143</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759" w:history="1">
        <w:r>
          <w:rPr>
            <w:rFonts w:ascii="Times New Roman" w:eastAsia="宋体" w:hAnsi="Times New Roman"/>
          </w:rPr>
          <w:t xml:space="preserve">8.3 </w:t>
        </w:r>
        <w:r>
          <w:rPr>
            <w:rFonts w:ascii="Times New Roman" w:eastAsia="宋体" w:hAnsi="Times New Roman" w:hint="eastAsia"/>
          </w:rPr>
          <w:t>管线油气泄漏引发爆炸伤人</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_Toc2759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144</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0117" w:history="1">
        <w:r>
          <w:rPr>
            <w:rFonts w:ascii="Times New Roman" w:eastAsia="宋体" w:hAnsi="Times New Roman"/>
          </w:rPr>
          <w:t xml:space="preserve">8.4 </w:t>
        </w:r>
        <w:r>
          <w:rPr>
            <w:rFonts w:ascii="Times New Roman" w:eastAsia="宋体" w:hAnsi="Times New Roman" w:hint="eastAsia"/>
          </w:rPr>
          <w:t>未佩戴防护用具中毒身亡</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_Toc10117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144</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1769" w:history="1">
        <w:r>
          <w:rPr>
            <w:rFonts w:ascii="Times New Roman" w:eastAsia="宋体" w:hAnsi="Times New Roman"/>
          </w:rPr>
          <w:t xml:space="preserve">9 </w:t>
        </w:r>
        <w:r>
          <w:rPr>
            <w:rFonts w:ascii="Times New Roman" w:eastAsia="宋体" w:hAnsi="Times New Roman" w:hint="eastAsia"/>
          </w:rPr>
          <w:t>安全对策措施及建议</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_Toc1769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146</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3058" w:history="1">
        <w:r>
          <w:rPr>
            <w:rFonts w:ascii="Times New Roman" w:eastAsia="宋体" w:hAnsi="Times New Roman"/>
          </w:rPr>
          <w:t xml:space="preserve">9.1 </w:t>
        </w:r>
        <w:r>
          <w:rPr>
            <w:rFonts w:ascii="Times New Roman" w:eastAsia="宋体" w:hAnsi="Times New Roman" w:hint="eastAsia"/>
          </w:rPr>
          <w:t>本次评价发现的问题及隐患整改建议措施</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_Toc23058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146</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5645" w:history="1">
        <w:r>
          <w:rPr>
            <w:rFonts w:ascii="Times New Roman" w:eastAsia="宋体" w:hAnsi="Times New Roman"/>
          </w:rPr>
          <w:t xml:space="preserve">9.2 </w:t>
        </w:r>
        <w:r>
          <w:rPr>
            <w:rFonts w:ascii="Times New Roman" w:eastAsia="宋体" w:hAnsi="Times New Roman" w:hint="eastAsia"/>
          </w:rPr>
          <w:t>改进及改善的对策措施与建议</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_Toc5645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165</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25964" w:history="1">
        <w:r>
          <w:rPr>
            <w:rFonts w:ascii="Times New Roman" w:eastAsia="宋体" w:hAnsi="Times New Roman"/>
          </w:rPr>
          <w:t xml:space="preserve">10 </w:t>
        </w:r>
        <w:r>
          <w:rPr>
            <w:rFonts w:ascii="Times New Roman" w:eastAsia="宋体" w:hAnsi="Times New Roman" w:hint="eastAsia"/>
          </w:rPr>
          <w:t>安全现状评价结论</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_Toc25964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167</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16974" w:history="1">
        <w:r>
          <w:rPr>
            <w:rFonts w:ascii="Times New Roman" w:eastAsia="宋体" w:hAnsi="Times New Roman"/>
          </w:rPr>
          <w:t xml:space="preserve">11 </w:t>
        </w:r>
        <w:r>
          <w:rPr>
            <w:rFonts w:ascii="Times New Roman" w:eastAsia="宋体" w:hAnsi="Times New Roman" w:hint="eastAsia"/>
          </w:rPr>
          <w:t>与建设单位交换意见</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_Toc16974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168</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3035"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 xml:space="preserve">1 </w:t>
        </w:r>
        <w:r>
          <w:rPr>
            <w:rFonts w:ascii="Times New Roman" w:eastAsia="宋体" w:hAnsi="Times New Roman" w:hint="eastAsia"/>
          </w:rPr>
          <w:t xml:space="preserve"> </w:t>
        </w:r>
        <w:r>
          <w:rPr>
            <w:rFonts w:ascii="Times New Roman" w:eastAsia="宋体" w:hAnsi="Times New Roman"/>
          </w:rPr>
          <w:t>原油天然气检测报告</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_Toc3035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169</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2823"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2</w:t>
        </w:r>
        <w:r>
          <w:rPr>
            <w:rFonts w:ascii="Times New Roman" w:eastAsia="宋体" w:hAnsi="Times New Roman" w:hint="eastAsia"/>
          </w:rPr>
          <w:t xml:space="preserve">  </w:t>
        </w:r>
        <w:r>
          <w:rPr>
            <w:rFonts w:ascii="Times New Roman" w:eastAsia="宋体" w:hAnsi="Times New Roman"/>
          </w:rPr>
          <w:t>危险有害物质特性表</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_Toc2823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188</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7595"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 xml:space="preserve">2-1  </w:t>
        </w:r>
        <w:r>
          <w:rPr>
            <w:rFonts w:ascii="Times New Roman" w:eastAsia="宋体" w:hAnsi="Times New Roman"/>
          </w:rPr>
          <w:t>原油的危险、有害特性</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_Toc17595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188</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0968"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 xml:space="preserve">2-2  </w:t>
        </w:r>
        <w:r>
          <w:rPr>
            <w:rFonts w:ascii="Times New Roman" w:eastAsia="宋体" w:hAnsi="Times New Roman"/>
          </w:rPr>
          <w:t>天然气的危险、有害特性</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_Toc20968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189</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7091"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 xml:space="preserve">2-3  </w:t>
        </w:r>
        <w:r>
          <w:rPr>
            <w:rFonts w:ascii="Times New Roman" w:eastAsia="宋体" w:hAnsi="Times New Roman"/>
          </w:rPr>
          <w:t>硫化氢的危险、有害特性</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_Toc7091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190</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18893"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3</w:t>
        </w:r>
        <w:r>
          <w:rPr>
            <w:rFonts w:ascii="Times New Roman" w:eastAsia="宋体" w:hAnsi="Times New Roman" w:hint="eastAsia"/>
          </w:rPr>
          <w:t xml:space="preserve">  </w:t>
        </w:r>
        <w:r>
          <w:rPr>
            <w:rFonts w:ascii="Times New Roman" w:eastAsia="宋体" w:hAnsi="Times New Roman"/>
          </w:rPr>
          <w:t>现场安全检查表</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_Toc18893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192</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6057"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 xml:space="preserve">3-1 </w:t>
        </w:r>
        <w:r>
          <w:rPr>
            <w:rFonts w:ascii="Times New Roman" w:eastAsia="宋体" w:hAnsi="Times New Roman"/>
          </w:rPr>
          <w:t>采油系统</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_Toc16057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192</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15673"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 xml:space="preserve">3-2 </w:t>
        </w:r>
        <w:r>
          <w:rPr>
            <w:rFonts w:ascii="Times New Roman" w:eastAsia="宋体" w:hAnsi="Times New Roman" w:hint="eastAsia"/>
          </w:rPr>
          <w:t>采气</w:t>
        </w:r>
        <w:r>
          <w:rPr>
            <w:rFonts w:ascii="Times New Roman" w:eastAsia="宋体" w:hAnsi="Times New Roman"/>
          </w:rPr>
          <w:t>系统</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_Toc15673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198</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2819"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3-</w:t>
        </w:r>
        <w:r>
          <w:rPr>
            <w:rFonts w:ascii="Times New Roman" w:eastAsia="宋体" w:hAnsi="Times New Roman" w:hint="eastAsia"/>
          </w:rPr>
          <w:t>3</w:t>
        </w:r>
        <w:r>
          <w:rPr>
            <w:rFonts w:ascii="Times New Roman" w:eastAsia="宋体" w:hAnsi="Times New Roman"/>
          </w:rPr>
          <w:t xml:space="preserve"> </w:t>
        </w:r>
        <w:r>
          <w:rPr>
            <w:rFonts w:ascii="Times New Roman" w:eastAsia="宋体" w:hAnsi="Times New Roman"/>
          </w:rPr>
          <w:t>注入系统</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_Toc22819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202</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29078"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3-</w:t>
        </w:r>
        <w:r>
          <w:rPr>
            <w:rFonts w:ascii="Times New Roman" w:eastAsia="宋体" w:hAnsi="Times New Roman" w:hint="eastAsia"/>
          </w:rPr>
          <w:t>4</w:t>
        </w:r>
        <w:r>
          <w:rPr>
            <w:rFonts w:ascii="Times New Roman" w:eastAsia="宋体" w:hAnsi="Times New Roman"/>
          </w:rPr>
          <w:t xml:space="preserve"> </w:t>
        </w:r>
        <w:r>
          <w:rPr>
            <w:rFonts w:ascii="Times New Roman" w:eastAsia="宋体" w:hAnsi="Times New Roman"/>
          </w:rPr>
          <w:t>油气集输系统</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_Toc29078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208</w:t>
        </w:r>
        <w:r>
          <w:rPr>
            <w:rFonts w:ascii="Times New Roman" w:eastAsia="宋体" w:hAnsi="Times New Roman"/>
          </w:rPr>
          <w:fldChar w:fldCharType="end"/>
        </w:r>
      </w:hyperlink>
    </w:p>
    <w:p w:rsidR="00F95F9B" w:rsidRDefault="00000000">
      <w:pPr>
        <w:pStyle w:val="TOC2"/>
        <w:tabs>
          <w:tab w:val="right" w:leader="dot" w:pos="9185"/>
        </w:tabs>
        <w:spacing w:after="0" w:line="440" w:lineRule="exact"/>
        <w:ind w:firstLine="430"/>
        <w:rPr>
          <w:rFonts w:ascii="Times New Roman" w:eastAsia="宋体" w:hAnsi="Times New Roman"/>
        </w:rPr>
      </w:pPr>
      <w:hyperlink w:anchor="_Toc3159" w:history="1">
        <w:r>
          <w:rPr>
            <w:rFonts w:ascii="Times New Roman" w:eastAsia="宋体" w:hAnsi="Times New Roman"/>
          </w:rPr>
          <w:t>附</w:t>
        </w:r>
        <w:r>
          <w:rPr>
            <w:rFonts w:ascii="Times New Roman" w:eastAsia="宋体" w:hAnsi="Times New Roman" w:hint="eastAsia"/>
          </w:rPr>
          <w:t>录</w:t>
        </w:r>
        <w:r>
          <w:rPr>
            <w:rFonts w:ascii="Times New Roman" w:eastAsia="宋体" w:hAnsi="Times New Roman"/>
          </w:rPr>
          <w:t>3-</w:t>
        </w:r>
        <w:r>
          <w:rPr>
            <w:rFonts w:ascii="Times New Roman" w:eastAsia="宋体" w:hAnsi="Times New Roman" w:hint="eastAsia"/>
          </w:rPr>
          <w:t>5</w:t>
        </w:r>
        <w:r>
          <w:rPr>
            <w:rFonts w:ascii="Times New Roman" w:eastAsia="宋体" w:hAnsi="Times New Roman"/>
          </w:rPr>
          <w:t xml:space="preserve"> </w:t>
        </w:r>
        <w:r>
          <w:rPr>
            <w:rFonts w:ascii="Times New Roman" w:eastAsia="宋体" w:hAnsi="Times New Roman" w:hint="eastAsia"/>
          </w:rPr>
          <w:t>安全管理单元</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_Toc3159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295</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rPr>
          <w:rFonts w:ascii="Times New Roman" w:eastAsia="宋体" w:hAnsi="Times New Roman"/>
        </w:rPr>
      </w:pPr>
      <w:hyperlink w:anchor="_Toc21944" w:history="1">
        <w:r>
          <w:rPr>
            <w:rFonts w:ascii="Times New Roman" w:eastAsia="宋体" w:hAnsi="Times New Roman" w:hint="eastAsia"/>
          </w:rPr>
          <w:t>附录</w:t>
        </w:r>
        <w:r>
          <w:rPr>
            <w:rFonts w:ascii="Times New Roman" w:eastAsia="宋体" w:hAnsi="Times New Roman" w:hint="eastAsia"/>
          </w:rPr>
          <w:t>4</w:t>
        </w:r>
        <w:r>
          <w:rPr>
            <w:rFonts w:ascii="Times New Roman" w:eastAsia="宋体" w:hAnsi="Times New Roman"/>
          </w:rPr>
          <w:t xml:space="preserve">  </w:t>
        </w:r>
        <w:r>
          <w:rPr>
            <w:rFonts w:ascii="Times New Roman" w:eastAsia="宋体" w:hAnsi="Times New Roman" w:hint="eastAsia"/>
          </w:rPr>
          <w:t>鲁明公司提供的资料目录</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_Toc21944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304</w:t>
        </w:r>
        <w:r>
          <w:rPr>
            <w:rFonts w:ascii="Times New Roman" w:eastAsia="宋体" w:hAnsi="Times New Roman"/>
          </w:rPr>
          <w:fldChar w:fldCharType="end"/>
        </w:r>
      </w:hyperlink>
    </w:p>
    <w:p w:rsidR="00F95F9B" w:rsidRDefault="00000000">
      <w:pPr>
        <w:pStyle w:val="TOC1"/>
        <w:tabs>
          <w:tab w:val="right" w:leader="dot" w:pos="9185"/>
        </w:tabs>
        <w:spacing w:after="0" w:line="440" w:lineRule="exact"/>
        <w:ind w:firstLine="430"/>
      </w:pPr>
      <w:hyperlink w:anchor="_Toc6869" w:history="1">
        <w:r>
          <w:rPr>
            <w:rFonts w:ascii="Times New Roman" w:eastAsia="宋体" w:hAnsi="Times New Roman" w:hint="eastAsia"/>
          </w:rPr>
          <w:t>附录</w:t>
        </w:r>
        <w:r>
          <w:rPr>
            <w:rFonts w:ascii="Times New Roman" w:eastAsia="宋体" w:hAnsi="Times New Roman"/>
            <w:lang w:val="es-MX"/>
          </w:rPr>
          <w:t>5</w:t>
        </w:r>
        <w:r>
          <w:rPr>
            <w:rFonts w:ascii="Times New Roman" w:eastAsia="宋体" w:hAnsi="Times New Roman"/>
          </w:rPr>
          <w:t xml:space="preserve">  </w:t>
        </w:r>
        <w:r>
          <w:rPr>
            <w:rFonts w:ascii="Times New Roman" w:eastAsia="宋体" w:hAnsi="Times New Roman" w:hint="eastAsia"/>
          </w:rPr>
          <w:t>鲁明公司安全生产许可证延期换证现场复核问题修改说明</w:t>
        </w:r>
        <w:r>
          <w:rPr>
            <w:rFonts w:ascii="Times New Roman" w:eastAsia="宋体" w:hAnsi="Times New Roman"/>
          </w:rPr>
          <w:t>确认单</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_Toc6869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306</w:t>
        </w:r>
        <w:r>
          <w:rPr>
            <w:rFonts w:ascii="Times New Roman" w:eastAsia="宋体" w:hAnsi="Times New Roman"/>
          </w:rPr>
          <w:fldChar w:fldCharType="end"/>
        </w:r>
      </w:hyperlink>
    </w:p>
    <w:p w:rsidR="00F95F9B" w:rsidRDefault="00000000">
      <w:pPr>
        <w:widowControl w:val="0"/>
        <w:adjustRightInd w:val="0"/>
        <w:snapToGrid w:val="0"/>
        <w:spacing w:line="360" w:lineRule="exact"/>
        <w:ind w:firstLineChars="0" w:firstLine="0"/>
        <w:rPr>
          <w:szCs w:val="24"/>
          <w:lang w:val="es-MX"/>
        </w:rPr>
        <w:sectPr w:rsidR="00F95F9B">
          <w:headerReference w:type="default" r:id="rId19"/>
          <w:footerReference w:type="default" r:id="rId20"/>
          <w:pgSz w:w="11906" w:h="16838"/>
          <w:pgMar w:top="1417" w:right="1134" w:bottom="1134" w:left="1587" w:header="850" w:footer="850" w:gutter="0"/>
          <w:cols w:space="0"/>
          <w:docGrid w:type="linesAndChars" w:linePitch="340" w:charSpace="-1024"/>
        </w:sectPr>
      </w:pPr>
      <w:r>
        <w:rPr>
          <w:szCs w:val="24"/>
          <w:lang w:val="zh-CN"/>
        </w:rPr>
        <w:fldChar w:fldCharType="end"/>
      </w:r>
    </w:p>
    <w:p w:rsidR="00F95F9B" w:rsidRDefault="00000000">
      <w:pPr>
        <w:pStyle w:val="1"/>
        <w:keepNext w:val="0"/>
        <w:keepLines w:val="0"/>
        <w:widowControl w:val="0"/>
        <w:spacing w:before="340" w:after="340"/>
      </w:pPr>
      <w:bookmarkStart w:id="15" w:name="_Toc30055"/>
      <w:r>
        <w:rPr>
          <w:rFonts w:hint="eastAsia"/>
        </w:rPr>
        <w:lastRenderedPageBreak/>
        <w:t>概</w:t>
      </w:r>
      <w:r>
        <w:rPr>
          <w:rFonts w:hint="eastAsia"/>
        </w:rPr>
        <w:t xml:space="preserve"> </w:t>
      </w:r>
      <w:r>
        <w:t xml:space="preserve">   </w:t>
      </w:r>
      <w:r>
        <w:rPr>
          <w:rFonts w:hint="eastAsia"/>
        </w:rPr>
        <w:t>述</w:t>
      </w:r>
      <w:bookmarkEnd w:id="15"/>
    </w:p>
    <w:p w:rsidR="00F95F9B" w:rsidRDefault="00000000">
      <w:pPr>
        <w:pStyle w:val="2"/>
        <w:keepNext w:val="0"/>
        <w:keepLines w:val="0"/>
        <w:adjustRightInd w:val="0"/>
        <w:snapToGrid w:val="0"/>
        <w:spacing w:before="170" w:after="170"/>
      </w:pPr>
      <w:bookmarkStart w:id="16" w:name="_Toc29481"/>
      <w:bookmarkStart w:id="17" w:name="_Toc46127842"/>
      <w:r>
        <w:rPr>
          <w:rFonts w:hint="eastAsia"/>
        </w:rPr>
        <w:t>评价目的</w:t>
      </w:r>
      <w:bookmarkEnd w:id="16"/>
    </w:p>
    <w:p w:rsidR="00F95F9B" w:rsidRDefault="00000000">
      <w:pPr>
        <w:widowControl w:val="0"/>
        <w:adjustRightInd w:val="0"/>
        <w:snapToGrid w:val="0"/>
        <w:ind w:firstLine="470"/>
        <w:rPr>
          <w:szCs w:val="24"/>
        </w:rPr>
      </w:pPr>
      <w:r>
        <w:rPr>
          <w:szCs w:val="24"/>
        </w:rPr>
        <w:t>1.</w:t>
      </w:r>
      <w:r>
        <w:rPr>
          <w:szCs w:val="24"/>
        </w:rPr>
        <w:t>按照《安全生产许可证条例》（国务院令</w:t>
      </w:r>
      <w:r>
        <w:rPr>
          <w:szCs w:val="24"/>
        </w:rPr>
        <w:t>[2004]</w:t>
      </w:r>
      <w:r>
        <w:rPr>
          <w:szCs w:val="24"/>
        </w:rPr>
        <w:t>第</w:t>
      </w:r>
      <w:r>
        <w:rPr>
          <w:szCs w:val="24"/>
        </w:rPr>
        <w:t>397</w:t>
      </w:r>
      <w:r>
        <w:rPr>
          <w:szCs w:val="24"/>
        </w:rPr>
        <w:t>号，</w:t>
      </w:r>
      <w:r>
        <w:rPr>
          <w:szCs w:val="24"/>
        </w:rPr>
        <w:t>2014</w:t>
      </w:r>
      <w:r>
        <w:rPr>
          <w:szCs w:val="24"/>
        </w:rPr>
        <w:t>修订版）、《非煤矿矿山企业安全生产许可证实施办法》（国家安全生产监督管理总局令</w:t>
      </w:r>
      <w:r>
        <w:rPr>
          <w:szCs w:val="24"/>
        </w:rPr>
        <w:t>[2009]</w:t>
      </w:r>
      <w:r>
        <w:rPr>
          <w:szCs w:val="24"/>
        </w:rPr>
        <w:t>第</w:t>
      </w:r>
      <w:r>
        <w:rPr>
          <w:szCs w:val="24"/>
        </w:rPr>
        <w:t>20</w:t>
      </w:r>
      <w:r>
        <w:rPr>
          <w:szCs w:val="24"/>
        </w:rPr>
        <w:t>号，第</w:t>
      </w:r>
      <w:r>
        <w:rPr>
          <w:szCs w:val="24"/>
        </w:rPr>
        <w:t>78</w:t>
      </w:r>
      <w:r>
        <w:rPr>
          <w:szCs w:val="24"/>
        </w:rPr>
        <w:t>号</w:t>
      </w:r>
      <w:r>
        <w:rPr>
          <w:rFonts w:hint="eastAsia"/>
          <w:szCs w:val="24"/>
        </w:rPr>
        <w:t>修订</w:t>
      </w:r>
      <w:r>
        <w:rPr>
          <w:szCs w:val="24"/>
        </w:rPr>
        <w:t>）的规定，陆上石油天然气企业必须进行安全现状评价，通过评价做出客观的评价结论，明确被评价单位是否具备陆上石油天然气企业的各项安全生产条件，为应急管理部门实施监督管理提供依据。</w:t>
      </w:r>
    </w:p>
    <w:p w:rsidR="00F95F9B" w:rsidRDefault="00000000">
      <w:pPr>
        <w:widowControl w:val="0"/>
        <w:adjustRightInd w:val="0"/>
        <w:snapToGrid w:val="0"/>
        <w:ind w:firstLine="470"/>
        <w:rPr>
          <w:kern w:val="0"/>
          <w:szCs w:val="24"/>
          <w:lang w:val="es-MX"/>
        </w:rPr>
      </w:pPr>
      <w:r>
        <w:rPr>
          <w:szCs w:val="24"/>
        </w:rPr>
        <w:t>2.</w:t>
      </w:r>
      <w:r>
        <w:rPr>
          <w:szCs w:val="24"/>
        </w:rPr>
        <w:t>通过对</w:t>
      </w:r>
      <w:r>
        <w:rPr>
          <w:rFonts w:hint="eastAsia"/>
          <w:szCs w:val="24"/>
        </w:rPr>
        <w:t>鲁明公司</w:t>
      </w:r>
      <w:r>
        <w:rPr>
          <w:szCs w:val="24"/>
        </w:rPr>
        <w:t>现有的生产设施、设备的实际运行状况及管理状况的调查、分析，识别作业</w:t>
      </w:r>
      <w:r>
        <w:rPr>
          <w:kern w:val="0"/>
          <w:szCs w:val="24"/>
        </w:rPr>
        <w:t>过程中存在的主要危险、有害因素，对企业在现场作业、安全管理方面与标准和法规的符合性进行评价，对不符合国家标准的作法提出整改建议并补充相应的安全对策措施。</w:t>
      </w:r>
    </w:p>
    <w:p w:rsidR="00F95F9B" w:rsidRDefault="00000000">
      <w:pPr>
        <w:pStyle w:val="2"/>
        <w:keepNext w:val="0"/>
        <w:keepLines w:val="0"/>
        <w:adjustRightInd w:val="0"/>
        <w:snapToGrid w:val="0"/>
        <w:spacing w:before="170" w:after="170"/>
      </w:pPr>
      <w:bookmarkStart w:id="18" w:name="_Toc1794"/>
      <w:r>
        <w:rPr>
          <w:rFonts w:hint="eastAsia"/>
        </w:rPr>
        <w:t>评价范围</w:t>
      </w:r>
      <w:bookmarkEnd w:id="18"/>
    </w:p>
    <w:p w:rsidR="00F95F9B" w:rsidRDefault="00000000">
      <w:pPr>
        <w:pStyle w:val="afff7"/>
        <w:widowControl w:val="0"/>
        <w:spacing w:line="360" w:lineRule="auto"/>
        <w:ind w:firstLine="470"/>
        <w:rPr>
          <w:color w:val="auto"/>
          <w:sz w:val="24"/>
          <w:szCs w:val="24"/>
        </w:rPr>
      </w:pPr>
      <w:r>
        <w:rPr>
          <w:rFonts w:hint="eastAsia"/>
          <w:color w:val="auto"/>
          <w:sz w:val="24"/>
          <w:szCs w:val="24"/>
        </w:rPr>
        <w:t>本次安全现状评价范围：鲁明公司及所属职能部门、基层单位的安全管理情况；鲁明公司所辖采矿许可范围内的陆上采油（气）的设施设备及生产作业活动。</w:t>
      </w:r>
    </w:p>
    <w:p w:rsidR="00F95F9B" w:rsidRDefault="00000000">
      <w:pPr>
        <w:pStyle w:val="afff7"/>
        <w:widowControl w:val="0"/>
        <w:spacing w:line="360" w:lineRule="auto"/>
        <w:ind w:firstLine="470"/>
        <w:rPr>
          <w:color w:val="auto"/>
          <w:sz w:val="24"/>
          <w:szCs w:val="24"/>
        </w:rPr>
      </w:pPr>
      <w:r>
        <w:rPr>
          <w:color w:val="auto"/>
          <w:sz w:val="24"/>
          <w:szCs w:val="24"/>
        </w:rPr>
        <w:t>凡涉及</w:t>
      </w:r>
      <w:r>
        <w:rPr>
          <w:rFonts w:hint="eastAsia"/>
          <w:color w:val="auto"/>
          <w:sz w:val="24"/>
          <w:szCs w:val="24"/>
        </w:rPr>
        <w:t>鲁明公司</w:t>
      </w:r>
      <w:r>
        <w:rPr>
          <w:color w:val="auto"/>
          <w:sz w:val="24"/>
          <w:szCs w:val="24"/>
        </w:rPr>
        <w:t>的环保问题、污水处理、职业卫生评价、办公生活设施以及其他厂区、其他项目等，则应执行国家有关规定和相关标准，不在本评价范围。</w:t>
      </w:r>
    </w:p>
    <w:p w:rsidR="00F95F9B" w:rsidRDefault="00000000">
      <w:pPr>
        <w:pStyle w:val="afff7"/>
        <w:widowControl w:val="0"/>
        <w:spacing w:line="360" w:lineRule="auto"/>
        <w:ind w:firstLine="470"/>
        <w:rPr>
          <w:color w:val="auto"/>
        </w:rPr>
      </w:pPr>
      <w:r>
        <w:rPr>
          <w:color w:val="auto"/>
          <w:sz w:val="24"/>
          <w:szCs w:val="24"/>
        </w:rPr>
        <w:t>根据《非煤矿矿山企业安全生产许可证实施办法》（国家安全生产监督管理总局令</w:t>
      </w:r>
      <w:r>
        <w:rPr>
          <w:color w:val="auto"/>
          <w:sz w:val="24"/>
          <w:szCs w:val="24"/>
        </w:rPr>
        <w:t>[2009]</w:t>
      </w:r>
      <w:r>
        <w:rPr>
          <w:color w:val="auto"/>
          <w:sz w:val="24"/>
          <w:szCs w:val="24"/>
        </w:rPr>
        <w:t>第</w:t>
      </w:r>
      <w:r>
        <w:rPr>
          <w:color w:val="auto"/>
          <w:sz w:val="24"/>
          <w:szCs w:val="24"/>
        </w:rPr>
        <w:t>20</w:t>
      </w:r>
      <w:r>
        <w:rPr>
          <w:color w:val="auto"/>
          <w:sz w:val="24"/>
          <w:szCs w:val="24"/>
        </w:rPr>
        <w:t>号，</w:t>
      </w:r>
      <w:r>
        <w:rPr>
          <w:rFonts w:hint="eastAsia"/>
          <w:color w:val="auto"/>
          <w:sz w:val="24"/>
          <w:szCs w:val="24"/>
        </w:rPr>
        <w:t>第</w:t>
      </w:r>
      <w:r>
        <w:rPr>
          <w:rFonts w:hint="eastAsia"/>
          <w:color w:val="auto"/>
          <w:sz w:val="24"/>
          <w:szCs w:val="24"/>
        </w:rPr>
        <w:t>78</w:t>
      </w:r>
      <w:r>
        <w:rPr>
          <w:rFonts w:hint="eastAsia"/>
          <w:color w:val="auto"/>
          <w:sz w:val="24"/>
          <w:szCs w:val="24"/>
        </w:rPr>
        <w:t>号修订</w:t>
      </w:r>
      <w:r>
        <w:rPr>
          <w:color w:val="auto"/>
          <w:sz w:val="24"/>
          <w:szCs w:val="24"/>
        </w:rPr>
        <w:t>），企业安全生产许可证申请范围为：陆上</w:t>
      </w:r>
      <w:r>
        <w:rPr>
          <w:rFonts w:hint="eastAsia"/>
          <w:color w:val="auto"/>
          <w:sz w:val="24"/>
          <w:szCs w:val="24"/>
        </w:rPr>
        <w:t>采油（气）</w:t>
      </w:r>
      <w:r>
        <w:rPr>
          <w:color w:val="auto"/>
          <w:sz w:val="24"/>
          <w:szCs w:val="24"/>
        </w:rPr>
        <w:t>，本次安全评价范围与企业安全生产许可证</w:t>
      </w:r>
      <w:r>
        <w:rPr>
          <w:rFonts w:hint="eastAsia"/>
          <w:color w:val="auto"/>
          <w:sz w:val="24"/>
          <w:szCs w:val="24"/>
        </w:rPr>
        <w:t>延期</w:t>
      </w:r>
      <w:r>
        <w:rPr>
          <w:color w:val="auto"/>
          <w:sz w:val="24"/>
          <w:szCs w:val="24"/>
        </w:rPr>
        <w:t>申请范围一致。</w:t>
      </w:r>
    </w:p>
    <w:p w:rsidR="00F95F9B" w:rsidRDefault="00000000">
      <w:pPr>
        <w:pStyle w:val="2"/>
        <w:keepNext w:val="0"/>
        <w:keepLines w:val="0"/>
        <w:adjustRightInd w:val="0"/>
        <w:snapToGrid w:val="0"/>
        <w:spacing w:before="170" w:after="170"/>
      </w:pPr>
      <w:r>
        <w:rPr>
          <w:rFonts w:hint="eastAsia"/>
        </w:rPr>
        <w:tab/>
      </w:r>
      <w:bookmarkStart w:id="19" w:name="_Toc24589"/>
      <w:r>
        <w:rPr>
          <w:rFonts w:hint="eastAsia"/>
        </w:rPr>
        <w:t>评价依据</w:t>
      </w:r>
      <w:bookmarkEnd w:id="19"/>
    </w:p>
    <w:p w:rsidR="00F95F9B" w:rsidRDefault="00000000">
      <w:pPr>
        <w:pStyle w:val="3"/>
        <w:keepNext w:val="0"/>
        <w:keepLines w:val="0"/>
        <w:widowControl w:val="0"/>
        <w:adjustRightInd w:val="0"/>
        <w:snapToGrid w:val="0"/>
        <w:ind w:left="0"/>
      </w:pPr>
      <w:bookmarkStart w:id="20" w:name="_Hlk59293010"/>
      <w:bookmarkEnd w:id="17"/>
      <w:r>
        <w:rPr>
          <w:rFonts w:hint="eastAsia"/>
        </w:rPr>
        <w:t>法律</w:t>
      </w:r>
    </w:p>
    <w:p w:rsidR="00F95F9B" w:rsidRDefault="00000000">
      <w:pPr>
        <w:pStyle w:val="19"/>
        <w:widowControl w:val="0"/>
        <w:numPr>
          <w:ilvl w:val="0"/>
          <w:numId w:val="6"/>
        </w:numPr>
        <w:spacing w:after="0"/>
        <w:ind w:left="-2" w:firstLineChars="0" w:firstLine="462"/>
        <w:jc w:val="both"/>
        <w:rPr>
          <w:rFonts w:ascii="Times New Roman" w:eastAsia="宋体" w:hAnsi="Times New Roman"/>
          <w:sz w:val="24"/>
          <w:szCs w:val="24"/>
        </w:rPr>
      </w:pPr>
      <w:r>
        <w:rPr>
          <w:rFonts w:ascii="Times New Roman" w:eastAsia="宋体" w:hAnsi="Times New Roman"/>
          <w:sz w:val="24"/>
          <w:szCs w:val="24"/>
        </w:rPr>
        <w:t>《中华人民共和国安全生产法》（</w:t>
      </w:r>
      <w:r>
        <w:rPr>
          <w:rFonts w:ascii="Times New Roman" w:eastAsia="宋体" w:hAnsi="Times New Roman"/>
          <w:sz w:val="24"/>
          <w:szCs w:val="24"/>
        </w:rPr>
        <w:t>2002</w:t>
      </w:r>
      <w:r>
        <w:rPr>
          <w:rFonts w:ascii="Times New Roman" w:eastAsia="宋体" w:hAnsi="Times New Roman"/>
          <w:sz w:val="24"/>
          <w:szCs w:val="24"/>
        </w:rPr>
        <w:t>年</w:t>
      </w:r>
      <w:r>
        <w:rPr>
          <w:rFonts w:ascii="Times New Roman" w:eastAsia="宋体" w:hAnsi="Times New Roman"/>
          <w:sz w:val="24"/>
          <w:szCs w:val="24"/>
        </w:rPr>
        <w:t>6</w:t>
      </w:r>
      <w:r>
        <w:rPr>
          <w:rFonts w:ascii="Times New Roman" w:eastAsia="宋体" w:hAnsi="Times New Roman"/>
          <w:sz w:val="24"/>
          <w:szCs w:val="24"/>
        </w:rPr>
        <w:t>月</w:t>
      </w:r>
      <w:r>
        <w:rPr>
          <w:rFonts w:ascii="Times New Roman" w:eastAsia="宋体" w:hAnsi="Times New Roman"/>
          <w:sz w:val="24"/>
          <w:szCs w:val="24"/>
        </w:rPr>
        <w:t>29</w:t>
      </w:r>
      <w:r>
        <w:rPr>
          <w:rFonts w:ascii="Times New Roman" w:eastAsia="宋体" w:hAnsi="Times New Roman"/>
          <w:sz w:val="24"/>
          <w:szCs w:val="24"/>
        </w:rPr>
        <w:t>日第九届</w:t>
      </w:r>
      <w:hyperlink r:id="rId21" w:tgtFrame="https://baike.baidu.com/item/%E4%B8%AD%E5%8D%8E%E4%BA%BA%E6%B0%91%E5%85%B1%E5%92%8C%E5%9B%BD%E5%AE%89%E5%85%A8%E7%94%9F%E4%BA%A7%E6%B3%95/_blank" w:history="1">
        <w:r>
          <w:rPr>
            <w:rFonts w:ascii="Times New Roman" w:eastAsia="宋体" w:hAnsi="Times New Roman"/>
            <w:sz w:val="24"/>
            <w:szCs w:val="24"/>
          </w:rPr>
          <w:t>全国人民代表大会</w:t>
        </w:r>
      </w:hyperlink>
      <w:r>
        <w:rPr>
          <w:rFonts w:ascii="Times New Roman" w:eastAsia="宋体" w:hAnsi="Times New Roman"/>
          <w:sz w:val="24"/>
          <w:szCs w:val="24"/>
        </w:rPr>
        <w:t>常务委员会第二十八次会议通过，</w:t>
      </w:r>
      <w:r>
        <w:rPr>
          <w:rFonts w:ascii="Times New Roman" w:eastAsia="宋体" w:hAnsi="Times New Roman"/>
          <w:sz w:val="24"/>
          <w:szCs w:val="24"/>
        </w:rPr>
        <w:t>2021</w:t>
      </w:r>
      <w:r>
        <w:rPr>
          <w:rFonts w:ascii="Times New Roman" w:eastAsia="宋体" w:hAnsi="Times New Roman"/>
          <w:sz w:val="24"/>
          <w:szCs w:val="24"/>
        </w:rPr>
        <w:t>年</w:t>
      </w:r>
      <w:r>
        <w:rPr>
          <w:rFonts w:ascii="Times New Roman" w:eastAsia="宋体" w:hAnsi="Times New Roman"/>
          <w:sz w:val="24"/>
          <w:szCs w:val="24"/>
        </w:rPr>
        <w:t>6</w:t>
      </w:r>
      <w:r>
        <w:rPr>
          <w:rFonts w:ascii="Times New Roman" w:eastAsia="宋体" w:hAnsi="Times New Roman"/>
          <w:sz w:val="24"/>
          <w:szCs w:val="24"/>
        </w:rPr>
        <w:t>月</w:t>
      </w:r>
      <w:r>
        <w:rPr>
          <w:rFonts w:ascii="Times New Roman" w:eastAsia="宋体" w:hAnsi="Times New Roman"/>
          <w:sz w:val="24"/>
          <w:szCs w:val="24"/>
        </w:rPr>
        <w:t>10</w:t>
      </w:r>
      <w:r>
        <w:rPr>
          <w:rFonts w:ascii="Times New Roman" w:eastAsia="宋体" w:hAnsi="Times New Roman"/>
          <w:sz w:val="24"/>
          <w:szCs w:val="24"/>
        </w:rPr>
        <w:t>日第十三届全国人民代表大会常务委员会第二十九次会议《关于修改</w:t>
      </w:r>
      <w:r>
        <w:rPr>
          <w:rFonts w:ascii="Times New Roman" w:eastAsia="宋体" w:hAnsi="Times New Roman"/>
          <w:sz w:val="24"/>
          <w:szCs w:val="24"/>
        </w:rPr>
        <w:t>&lt;</w:t>
      </w:r>
      <w:r>
        <w:rPr>
          <w:rFonts w:ascii="Times New Roman" w:eastAsia="宋体" w:hAnsi="Times New Roman"/>
          <w:sz w:val="24"/>
          <w:szCs w:val="24"/>
        </w:rPr>
        <w:t>中华人民共和国安全生产法</w:t>
      </w:r>
      <w:r>
        <w:rPr>
          <w:rFonts w:ascii="Times New Roman" w:eastAsia="宋体" w:hAnsi="Times New Roman"/>
          <w:sz w:val="24"/>
          <w:szCs w:val="24"/>
        </w:rPr>
        <w:t>&gt;</w:t>
      </w:r>
      <w:r>
        <w:rPr>
          <w:rFonts w:ascii="Times New Roman" w:eastAsia="宋体" w:hAnsi="Times New Roman"/>
          <w:sz w:val="24"/>
          <w:szCs w:val="24"/>
        </w:rPr>
        <w:t>的决定》第三次修正。）</w:t>
      </w:r>
    </w:p>
    <w:p w:rsidR="00F95F9B" w:rsidRDefault="00000000">
      <w:pPr>
        <w:pStyle w:val="19"/>
        <w:widowControl w:val="0"/>
        <w:numPr>
          <w:ilvl w:val="0"/>
          <w:numId w:val="6"/>
        </w:numPr>
        <w:spacing w:after="0"/>
        <w:ind w:left="-2" w:firstLineChars="0" w:firstLine="462"/>
        <w:jc w:val="both"/>
        <w:rPr>
          <w:rFonts w:ascii="Times New Roman" w:eastAsia="宋体" w:hAnsi="Times New Roman"/>
          <w:sz w:val="24"/>
          <w:szCs w:val="24"/>
        </w:rPr>
      </w:pPr>
      <w:r>
        <w:rPr>
          <w:rFonts w:ascii="Times New Roman" w:eastAsia="宋体" w:hAnsi="Times New Roman"/>
          <w:sz w:val="24"/>
          <w:szCs w:val="24"/>
        </w:rPr>
        <w:t>《中华人民共和国劳动法》（</w:t>
      </w:r>
      <w:r>
        <w:rPr>
          <w:rFonts w:ascii="Times New Roman" w:eastAsia="宋体" w:hAnsi="Times New Roman"/>
          <w:sz w:val="24"/>
          <w:szCs w:val="24"/>
        </w:rPr>
        <w:t>1994</w:t>
      </w:r>
      <w:r>
        <w:rPr>
          <w:rFonts w:ascii="Times New Roman" w:eastAsia="宋体" w:hAnsi="Times New Roman"/>
          <w:sz w:val="24"/>
          <w:szCs w:val="24"/>
        </w:rPr>
        <w:t>年</w:t>
      </w:r>
      <w:r>
        <w:rPr>
          <w:rFonts w:ascii="Times New Roman" w:eastAsia="宋体" w:hAnsi="Times New Roman"/>
          <w:sz w:val="24"/>
          <w:szCs w:val="24"/>
        </w:rPr>
        <w:t>7</w:t>
      </w:r>
      <w:r>
        <w:rPr>
          <w:rFonts w:ascii="Times New Roman" w:eastAsia="宋体" w:hAnsi="Times New Roman"/>
          <w:sz w:val="24"/>
          <w:szCs w:val="24"/>
        </w:rPr>
        <w:t>月</w:t>
      </w:r>
      <w:r>
        <w:rPr>
          <w:rFonts w:ascii="Times New Roman" w:eastAsia="宋体" w:hAnsi="Times New Roman"/>
          <w:sz w:val="24"/>
          <w:szCs w:val="24"/>
        </w:rPr>
        <w:t>5</w:t>
      </w:r>
      <w:r>
        <w:rPr>
          <w:rFonts w:ascii="Times New Roman" w:eastAsia="宋体" w:hAnsi="Times New Roman"/>
          <w:sz w:val="24"/>
          <w:szCs w:val="24"/>
        </w:rPr>
        <w:t>日</w:t>
      </w:r>
      <w:hyperlink r:id="rId22" w:tgtFrame="https://baike.baidu.com/item/%E4%B8%AD%E5%8D%8E%E4%BA%BA%E6%B0%91%E5%85%B1%E5%92%8C%E5%9B%BD%E5%8A%B3%E5%8A%A8%E6%B3%95/_blank" w:history="1">
        <w:r>
          <w:rPr>
            <w:rFonts w:ascii="Times New Roman" w:eastAsia="宋体" w:hAnsi="Times New Roman"/>
            <w:sz w:val="24"/>
            <w:szCs w:val="24"/>
          </w:rPr>
          <w:t>第八届全国人民代表大会常务委员会</w:t>
        </w:r>
      </w:hyperlink>
      <w:r>
        <w:rPr>
          <w:rFonts w:ascii="Times New Roman" w:eastAsia="宋体" w:hAnsi="Times New Roman"/>
          <w:sz w:val="24"/>
          <w:szCs w:val="24"/>
        </w:rPr>
        <w:t>第八次会议通过，根据</w:t>
      </w:r>
      <w:r>
        <w:rPr>
          <w:rFonts w:ascii="Times New Roman" w:eastAsia="宋体" w:hAnsi="Times New Roman"/>
          <w:sz w:val="24"/>
          <w:szCs w:val="24"/>
        </w:rPr>
        <w:t>2018</w:t>
      </w:r>
      <w:r>
        <w:rPr>
          <w:rFonts w:ascii="Times New Roman" w:eastAsia="宋体" w:hAnsi="Times New Roman"/>
          <w:sz w:val="24"/>
          <w:szCs w:val="24"/>
        </w:rPr>
        <w:t>年</w:t>
      </w:r>
      <w:r>
        <w:rPr>
          <w:rFonts w:ascii="Times New Roman" w:eastAsia="宋体" w:hAnsi="Times New Roman"/>
          <w:sz w:val="24"/>
          <w:szCs w:val="24"/>
        </w:rPr>
        <w:t>12</w:t>
      </w:r>
      <w:r>
        <w:rPr>
          <w:rFonts w:ascii="Times New Roman" w:eastAsia="宋体" w:hAnsi="Times New Roman"/>
          <w:sz w:val="24"/>
          <w:szCs w:val="24"/>
        </w:rPr>
        <w:t>月</w:t>
      </w:r>
      <w:r>
        <w:rPr>
          <w:rFonts w:ascii="Times New Roman" w:eastAsia="宋体" w:hAnsi="Times New Roman"/>
          <w:sz w:val="24"/>
          <w:szCs w:val="24"/>
        </w:rPr>
        <w:t>29</w:t>
      </w:r>
      <w:r>
        <w:rPr>
          <w:rFonts w:ascii="Times New Roman" w:eastAsia="宋体" w:hAnsi="Times New Roman"/>
          <w:sz w:val="24"/>
          <w:szCs w:val="24"/>
        </w:rPr>
        <w:t>日</w:t>
      </w:r>
      <w:hyperlink r:id="rId23" w:tgtFrame="https://baike.baidu.com/item/%E4%B8%AD%E5%8D%8E%E4%BA%BA%E6%B0%91%E5%85%B1%E5%92%8C%E5%9B%BD%E5%8A%B3%E5%8A%A8%E6%B3%95/_blank" w:history="1">
        <w:r>
          <w:rPr>
            <w:rFonts w:ascii="Times New Roman" w:eastAsia="宋体" w:hAnsi="Times New Roman"/>
            <w:sz w:val="24"/>
            <w:szCs w:val="24"/>
          </w:rPr>
          <w:t>第十三届全国人民代表大会常务委员会</w:t>
        </w:r>
      </w:hyperlink>
      <w:r>
        <w:rPr>
          <w:rFonts w:ascii="Times New Roman" w:eastAsia="宋体" w:hAnsi="Times New Roman"/>
          <w:sz w:val="24"/>
          <w:szCs w:val="24"/>
        </w:rPr>
        <w:t>第七次</w:t>
      </w:r>
      <w:r>
        <w:rPr>
          <w:rFonts w:ascii="Times New Roman" w:eastAsia="宋体" w:hAnsi="Times New Roman"/>
          <w:sz w:val="24"/>
          <w:szCs w:val="24"/>
        </w:rPr>
        <w:lastRenderedPageBreak/>
        <w:t>会议《关于修改〈中华人民共和国劳动法〉等七部法律的决定》第二次修正。）</w:t>
      </w:r>
    </w:p>
    <w:p w:rsidR="00F95F9B" w:rsidRDefault="00000000">
      <w:pPr>
        <w:pStyle w:val="19"/>
        <w:widowControl w:val="0"/>
        <w:numPr>
          <w:ilvl w:val="0"/>
          <w:numId w:val="6"/>
        </w:numPr>
        <w:spacing w:after="0"/>
        <w:ind w:left="-2" w:firstLineChars="0" w:firstLine="462"/>
        <w:jc w:val="both"/>
        <w:rPr>
          <w:rFonts w:ascii="Times New Roman" w:eastAsia="宋体" w:hAnsi="Times New Roman"/>
          <w:sz w:val="24"/>
          <w:szCs w:val="24"/>
        </w:rPr>
      </w:pPr>
      <w:r>
        <w:rPr>
          <w:rFonts w:ascii="Times New Roman" w:eastAsia="宋体" w:hAnsi="Times New Roman"/>
          <w:sz w:val="24"/>
          <w:szCs w:val="24"/>
        </w:rPr>
        <w:t>《中华人民共和国突发事件应对法》（主席令</w:t>
      </w:r>
      <w:r>
        <w:rPr>
          <w:rFonts w:ascii="Times New Roman" w:eastAsia="宋体" w:hAnsi="Times New Roman"/>
          <w:sz w:val="24"/>
          <w:szCs w:val="24"/>
        </w:rPr>
        <w:t>[2007]</w:t>
      </w:r>
      <w:r>
        <w:rPr>
          <w:rFonts w:ascii="Times New Roman" w:eastAsia="宋体" w:hAnsi="Times New Roman"/>
          <w:sz w:val="24"/>
          <w:szCs w:val="24"/>
        </w:rPr>
        <w:t>第</w:t>
      </w:r>
      <w:r>
        <w:rPr>
          <w:rFonts w:ascii="Times New Roman" w:eastAsia="宋体" w:hAnsi="Times New Roman"/>
          <w:sz w:val="24"/>
          <w:szCs w:val="24"/>
        </w:rPr>
        <w:t>69</w:t>
      </w:r>
      <w:r>
        <w:rPr>
          <w:rFonts w:ascii="Times New Roman" w:eastAsia="宋体" w:hAnsi="Times New Roman"/>
          <w:sz w:val="24"/>
          <w:szCs w:val="24"/>
        </w:rPr>
        <w:t>号，</w:t>
      </w:r>
      <w:hyperlink r:id="rId24" w:tgtFrame="https://baike.baidu.com/item/%E4%B8%AD%E5%8D%8E%E4%BA%BA%E6%B0%91%E5%85%B1%E5%92%8C%E5%9B%BD%E7%AA%81%E5%8F%91%E4%BA%8B%E4%BB%B6%E5%BA%94%E5%AF%B9%E6%B3%95/_blank" w:history="1">
        <w:r>
          <w:rPr>
            <w:rFonts w:ascii="Times New Roman" w:eastAsia="宋体" w:hAnsi="Times New Roman"/>
            <w:sz w:val="24"/>
            <w:szCs w:val="24"/>
          </w:rPr>
          <w:t>中华人民共和国第十届全国人民代表大会</w:t>
        </w:r>
      </w:hyperlink>
      <w:r>
        <w:rPr>
          <w:rFonts w:ascii="Times New Roman" w:eastAsia="宋体" w:hAnsi="Times New Roman"/>
          <w:sz w:val="24"/>
          <w:szCs w:val="24"/>
        </w:rPr>
        <w:t>常务委员会第二十九次会议于</w:t>
      </w:r>
      <w:r>
        <w:rPr>
          <w:rFonts w:ascii="Times New Roman" w:eastAsia="宋体" w:hAnsi="Times New Roman"/>
          <w:sz w:val="24"/>
          <w:szCs w:val="24"/>
        </w:rPr>
        <w:t>2007</w:t>
      </w:r>
      <w:r>
        <w:rPr>
          <w:rFonts w:ascii="Times New Roman" w:eastAsia="宋体" w:hAnsi="Times New Roman"/>
          <w:sz w:val="24"/>
          <w:szCs w:val="24"/>
        </w:rPr>
        <w:t>年</w:t>
      </w:r>
      <w:r>
        <w:rPr>
          <w:rFonts w:ascii="Times New Roman" w:eastAsia="宋体" w:hAnsi="Times New Roman"/>
          <w:sz w:val="24"/>
          <w:szCs w:val="24"/>
        </w:rPr>
        <w:t>8</w:t>
      </w:r>
      <w:r>
        <w:rPr>
          <w:rFonts w:ascii="Times New Roman" w:eastAsia="宋体" w:hAnsi="Times New Roman"/>
          <w:sz w:val="24"/>
          <w:szCs w:val="24"/>
        </w:rPr>
        <w:t>月</w:t>
      </w:r>
      <w:r>
        <w:rPr>
          <w:rFonts w:ascii="Times New Roman" w:eastAsia="宋体" w:hAnsi="Times New Roman"/>
          <w:sz w:val="24"/>
          <w:szCs w:val="24"/>
        </w:rPr>
        <w:t>30</w:t>
      </w:r>
      <w:r>
        <w:rPr>
          <w:rFonts w:ascii="Times New Roman" w:eastAsia="宋体" w:hAnsi="Times New Roman"/>
          <w:sz w:val="24"/>
          <w:szCs w:val="24"/>
        </w:rPr>
        <w:t>日通过，自</w:t>
      </w:r>
      <w:r>
        <w:rPr>
          <w:rFonts w:ascii="Times New Roman" w:eastAsia="宋体" w:hAnsi="Times New Roman"/>
          <w:sz w:val="24"/>
          <w:szCs w:val="24"/>
        </w:rPr>
        <w:t>2007</w:t>
      </w:r>
      <w:r>
        <w:rPr>
          <w:rFonts w:ascii="Times New Roman" w:eastAsia="宋体" w:hAnsi="Times New Roman"/>
          <w:sz w:val="24"/>
          <w:szCs w:val="24"/>
        </w:rPr>
        <w:t>年</w:t>
      </w:r>
      <w:r>
        <w:rPr>
          <w:rFonts w:ascii="Times New Roman" w:eastAsia="宋体" w:hAnsi="Times New Roman"/>
          <w:sz w:val="24"/>
          <w:szCs w:val="24"/>
        </w:rPr>
        <w:t>11</w:t>
      </w:r>
      <w:r>
        <w:rPr>
          <w:rFonts w:ascii="Times New Roman" w:eastAsia="宋体" w:hAnsi="Times New Roman"/>
          <w:sz w:val="24"/>
          <w:szCs w:val="24"/>
        </w:rPr>
        <w:t>月</w:t>
      </w:r>
      <w:r>
        <w:rPr>
          <w:rFonts w:ascii="Times New Roman" w:eastAsia="宋体" w:hAnsi="Times New Roman"/>
          <w:sz w:val="24"/>
          <w:szCs w:val="24"/>
        </w:rPr>
        <w:t>1</w:t>
      </w:r>
      <w:r>
        <w:rPr>
          <w:rFonts w:ascii="Times New Roman" w:eastAsia="宋体" w:hAnsi="Times New Roman"/>
          <w:sz w:val="24"/>
          <w:szCs w:val="24"/>
        </w:rPr>
        <w:t>日起施行。）</w:t>
      </w:r>
    </w:p>
    <w:p w:rsidR="00F95F9B" w:rsidRDefault="00000000">
      <w:pPr>
        <w:pStyle w:val="19"/>
        <w:widowControl w:val="0"/>
        <w:numPr>
          <w:ilvl w:val="0"/>
          <w:numId w:val="6"/>
        </w:numPr>
        <w:spacing w:after="0"/>
        <w:ind w:left="-2" w:firstLineChars="0" w:firstLine="462"/>
        <w:jc w:val="both"/>
        <w:rPr>
          <w:rFonts w:ascii="Times New Roman" w:eastAsia="宋体" w:hAnsi="Times New Roman"/>
          <w:sz w:val="24"/>
          <w:szCs w:val="24"/>
        </w:rPr>
      </w:pPr>
      <w:r>
        <w:rPr>
          <w:rFonts w:ascii="Times New Roman" w:eastAsia="宋体" w:hAnsi="Times New Roman"/>
          <w:sz w:val="24"/>
          <w:szCs w:val="24"/>
        </w:rPr>
        <w:t>《中华人民共和国消防法》（</w:t>
      </w:r>
      <w:r>
        <w:rPr>
          <w:rFonts w:ascii="Times New Roman" w:eastAsia="宋体" w:hAnsi="Times New Roman"/>
          <w:sz w:val="24"/>
          <w:szCs w:val="24"/>
        </w:rPr>
        <w:t>1998</w:t>
      </w:r>
      <w:r>
        <w:rPr>
          <w:rFonts w:ascii="Times New Roman" w:eastAsia="宋体" w:hAnsi="Times New Roman"/>
          <w:sz w:val="24"/>
          <w:szCs w:val="24"/>
        </w:rPr>
        <w:t>年</w:t>
      </w:r>
      <w:r>
        <w:rPr>
          <w:rFonts w:ascii="Times New Roman" w:eastAsia="宋体" w:hAnsi="Times New Roman"/>
          <w:sz w:val="24"/>
          <w:szCs w:val="24"/>
        </w:rPr>
        <w:t>4</w:t>
      </w:r>
      <w:r>
        <w:rPr>
          <w:rFonts w:ascii="Times New Roman" w:eastAsia="宋体" w:hAnsi="Times New Roman"/>
          <w:sz w:val="24"/>
          <w:szCs w:val="24"/>
        </w:rPr>
        <w:t>月</w:t>
      </w:r>
      <w:r>
        <w:rPr>
          <w:rFonts w:ascii="Times New Roman" w:eastAsia="宋体" w:hAnsi="Times New Roman"/>
          <w:sz w:val="24"/>
          <w:szCs w:val="24"/>
        </w:rPr>
        <w:t>29</w:t>
      </w:r>
      <w:r>
        <w:rPr>
          <w:rFonts w:ascii="Times New Roman" w:eastAsia="宋体" w:hAnsi="Times New Roman"/>
          <w:sz w:val="24"/>
          <w:szCs w:val="24"/>
        </w:rPr>
        <w:t>日第九届全国人民代表大会常务委员会第二次会议通过，根据</w:t>
      </w:r>
      <w:r>
        <w:rPr>
          <w:rFonts w:ascii="Times New Roman" w:eastAsia="宋体" w:hAnsi="Times New Roman"/>
          <w:sz w:val="24"/>
          <w:szCs w:val="24"/>
        </w:rPr>
        <w:t>2021</w:t>
      </w:r>
      <w:r>
        <w:rPr>
          <w:rFonts w:ascii="Times New Roman" w:eastAsia="宋体" w:hAnsi="Times New Roman"/>
          <w:sz w:val="24"/>
          <w:szCs w:val="24"/>
        </w:rPr>
        <w:t>年</w:t>
      </w:r>
      <w:r>
        <w:rPr>
          <w:rFonts w:ascii="Times New Roman" w:eastAsia="宋体" w:hAnsi="Times New Roman"/>
          <w:sz w:val="24"/>
          <w:szCs w:val="24"/>
        </w:rPr>
        <w:t>4</w:t>
      </w:r>
      <w:r>
        <w:rPr>
          <w:rFonts w:ascii="Times New Roman" w:eastAsia="宋体" w:hAnsi="Times New Roman"/>
          <w:sz w:val="24"/>
          <w:szCs w:val="24"/>
        </w:rPr>
        <w:t>月</w:t>
      </w:r>
      <w:r>
        <w:rPr>
          <w:rFonts w:ascii="Times New Roman" w:eastAsia="宋体" w:hAnsi="Times New Roman"/>
          <w:sz w:val="24"/>
          <w:szCs w:val="24"/>
        </w:rPr>
        <w:t>29</w:t>
      </w:r>
      <w:r>
        <w:rPr>
          <w:rFonts w:ascii="Times New Roman" w:eastAsia="宋体" w:hAnsi="Times New Roman"/>
          <w:sz w:val="24"/>
          <w:szCs w:val="24"/>
        </w:rPr>
        <w:t>日第十三届全国人民代表大会常务委员会第二十八次会议《关于修改〈</w:t>
      </w:r>
      <w:hyperlink r:id="rId25" w:tgtFrame="https://baike.baidu.com/item/%E4%B8%AD%E5%8D%8E%E4%BA%BA%E6%B0%91%E5%85%B1%E5%92%8C%E5%9B%BD%E6%B6%88%E9%98%B2%E6%B3%95/_blank" w:history="1">
        <w:r>
          <w:rPr>
            <w:rFonts w:ascii="Times New Roman" w:eastAsia="宋体" w:hAnsi="Times New Roman"/>
            <w:sz w:val="24"/>
            <w:szCs w:val="24"/>
          </w:rPr>
          <w:t>中华人民共和国道路交通安全法</w:t>
        </w:r>
      </w:hyperlink>
      <w:r>
        <w:rPr>
          <w:rFonts w:ascii="Times New Roman" w:eastAsia="宋体" w:hAnsi="Times New Roman"/>
          <w:sz w:val="24"/>
          <w:szCs w:val="24"/>
        </w:rPr>
        <w:t>〉等八部法律的决定》第二次修正。）</w:t>
      </w:r>
    </w:p>
    <w:p w:rsidR="00F95F9B" w:rsidRDefault="00000000">
      <w:pPr>
        <w:pStyle w:val="19"/>
        <w:widowControl w:val="0"/>
        <w:numPr>
          <w:ilvl w:val="0"/>
          <w:numId w:val="6"/>
        </w:numPr>
        <w:spacing w:after="0"/>
        <w:ind w:left="-2" w:firstLineChars="0" w:firstLine="462"/>
        <w:jc w:val="both"/>
        <w:rPr>
          <w:rFonts w:ascii="Times New Roman" w:eastAsia="宋体" w:hAnsi="Times New Roman"/>
          <w:sz w:val="24"/>
          <w:szCs w:val="24"/>
        </w:rPr>
      </w:pPr>
      <w:r>
        <w:rPr>
          <w:rFonts w:ascii="Times New Roman" w:eastAsia="宋体" w:hAnsi="Times New Roman"/>
          <w:sz w:val="24"/>
          <w:szCs w:val="24"/>
        </w:rPr>
        <w:t>《中华人民共和国防震减灾法》（第八届全国人民代表大会常务委员会第二十九次会议于</w:t>
      </w:r>
      <w:r>
        <w:rPr>
          <w:rFonts w:ascii="Times New Roman" w:eastAsia="宋体" w:hAnsi="Times New Roman"/>
          <w:sz w:val="24"/>
          <w:szCs w:val="24"/>
        </w:rPr>
        <w:t>1997</w:t>
      </w:r>
      <w:r>
        <w:rPr>
          <w:rFonts w:ascii="Times New Roman" w:eastAsia="宋体" w:hAnsi="Times New Roman"/>
          <w:sz w:val="24"/>
          <w:szCs w:val="24"/>
        </w:rPr>
        <w:t>年</w:t>
      </w:r>
      <w:r>
        <w:rPr>
          <w:rFonts w:ascii="Times New Roman" w:eastAsia="宋体" w:hAnsi="Times New Roman"/>
          <w:sz w:val="24"/>
          <w:szCs w:val="24"/>
        </w:rPr>
        <w:t>12</w:t>
      </w:r>
      <w:r>
        <w:rPr>
          <w:rFonts w:ascii="Times New Roman" w:eastAsia="宋体" w:hAnsi="Times New Roman"/>
          <w:sz w:val="24"/>
          <w:szCs w:val="24"/>
        </w:rPr>
        <w:t>月</w:t>
      </w:r>
      <w:r>
        <w:rPr>
          <w:rFonts w:ascii="Times New Roman" w:eastAsia="宋体" w:hAnsi="Times New Roman"/>
          <w:sz w:val="24"/>
          <w:szCs w:val="24"/>
        </w:rPr>
        <w:t>29</w:t>
      </w:r>
      <w:r>
        <w:rPr>
          <w:rFonts w:ascii="Times New Roman" w:eastAsia="宋体" w:hAnsi="Times New Roman"/>
          <w:sz w:val="24"/>
          <w:szCs w:val="24"/>
        </w:rPr>
        <w:t>日通过，</w:t>
      </w:r>
      <w:r>
        <w:rPr>
          <w:rFonts w:ascii="Times New Roman" w:eastAsia="宋体" w:hAnsi="Times New Roman"/>
          <w:sz w:val="24"/>
          <w:szCs w:val="24"/>
        </w:rPr>
        <w:t>2008</w:t>
      </w:r>
      <w:r>
        <w:rPr>
          <w:rFonts w:ascii="Times New Roman" w:eastAsia="宋体" w:hAnsi="Times New Roman"/>
          <w:sz w:val="24"/>
          <w:szCs w:val="24"/>
        </w:rPr>
        <w:t>年</w:t>
      </w:r>
      <w:r>
        <w:rPr>
          <w:rFonts w:ascii="Times New Roman" w:eastAsia="宋体" w:hAnsi="Times New Roman"/>
          <w:sz w:val="24"/>
          <w:szCs w:val="24"/>
        </w:rPr>
        <w:t>12</w:t>
      </w:r>
      <w:r>
        <w:rPr>
          <w:rFonts w:ascii="Times New Roman" w:eastAsia="宋体" w:hAnsi="Times New Roman"/>
          <w:sz w:val="24"/>
          <w:szCs w:val="24"/>
        </w:rPr>
        <w:t>月</w:t>
      </w:r>
      <w:r>
        <w:rPr>
          <w:rFonts w:ascii="Times New Roman" w:eastAsia="宋体" w:hAnsi="Times New Roman"/>
          <w:sz w:val="24"/>
          <w:szCs w:val="24"/>
        </w:rPr>
        <w:t>27</w:t>
      </w:r>
      <w:r>
        <w:rPr>
          <w:rFonts w:ascii="Times New Roman" w:eastAsia="宋体" w:hAnsi="Times New Roman"/>
          <w:sz w:val="24"/>
          <w:szCs w:val="24"/>
        </w:rPr>
        <w:t>日第十一届全国人民代表大会常务委员会第六次会议修订。）</w:t>
      </w:r>
    </w:p>
    <w:p w:rsidR="00F95F9B" w:rsidRDefault="00000000">
      <w:pPr>
        <w:pStyle w:val="19"/>
        <w:widowControl w:val="0"/>
        <w:numPr>
          <w:ilvl w:val="0"/>
          <w:numId w:val="6"/>
        </w:numPr>
        <w:spacing w:after="0"/>
        <w:ind w:left="-2" w:firstLineChars="0" w:firstLine="462"/>
        <w:jc w:val="both"/>
        <w:rPr>
          <w:rFonts w:ascii="Times New Roman" w:eastAsia="宋体" w:hAnsi="Times New Roman"/>
          <w:sz w:val="24"/>
          <w:szCs w:val="24"/>
        </w:rPr>
      </w:pPr>
      <w:r>
        <w:rPr>
          <w:rFonts w:ascii="Times New Roman" w:eastAsia="宋体" w:hAnsi="Times New Roman"/>
          <w:sz w:val="24"/>
          <w:szCs w:val="24"/>
        </w:rPr>
        <w:t>《中华人民共和国职业病防治法》（</w:t>
      </w:r>
      <w:r>
        <w:rPr>
          <w:rFonts w:ascii="Times New Roman" w:eastAsia="宋体" w:hAnsi="Times New Roman"/>
          <w:sz w:val="24"/>
          <w:szCs w:val="24"/>
        </w:rPr>
        <w:t>2001</w:t>
      </w:r>
      <w:r>
        <w:rPr>
          <w:rFonts w:ascii="Times New Roman" w:eastAsia="宋体" w:hAnsi="Times New Roman"/>
          <w:sz w:val="24"/>
          <w:szCs w:val="24"/>
        </w:rPr>
        <w:t>年</w:t>
      </w:r>
      <w:r>
        <w:rPr>
          <w:rFonts w:ascii="Times New Roman" w:eastAsia="宋体" w:hAnsi="Times New Roman"/>
          <w:sz w:val="24"/>
          <w:szCs w:val="24"/>
        </w:rPr>
        <w:t>10</w:t>
      </w:r>
      <w:r>
        <w:rPr>
          <w:rFonts w:ascii="Times New Roman" w:eastAsia="宋体" w:hAnsi="Times New Roman"/>
          <w:sz w:val="24"/>
          <w:szCs w:val="24"/>
        </w:rPr>
        <w:t>月</w:t>
      </w:r>
      <w:r>
        <w:rPr>
          <w:rFonts w:ascii="Times New Roman" w:eastAsia="宋体" w:hAnsi="Times New Roman"/>
          <w:sz w:val="24"/>
          <w:szCs w:val="24"/>
        </w:rPr>
        <w:t>27</w:t>
      </w:r>
      <w:r>
        <w:rPr>
          <w:rFonts w:ascii="Times New Roman" w:eastAsia="宋体" w:hAnsi="Times New Roman"/>
          <w:sz w:val="24"/>
          <w:szCs w:val="24"/>
        </w:rPr>
        <w:t>日第九届</w:t>
      </w:r>
      <w:hyperlink r:id="rId26" w:tgtFrame="https://baike.baidu.com/item/%E4%B8%AD%E5%8D%8E%E4%BA%BA%E6%B0%91%E5%85%B1%E5%92%8C%E5%9B%BD%E8%81%8C%E4%B8%9A%E7%97%85%E9%98%B2%E6%B2%BB%E6%B3%95/_blank" w:history="1">
        <w:r>
          <w:rPr>
            <w:rFonts w:ascii="Times New Roman" w:eastAsia="宋体" w:hAnsi="Times New Roman"/>
            <w:sz w:val="24"/>
            <w:szCs w:val="24"/>
          </w:rPr>
          <w:t>全国人民代表大会</w:t>
        </w:r>
      </w:hyperlink>
      <w:r>
        <w:rPr>
          <w:rFonts w:ascii="Times New Roman" w:eastAsia="宋体" w:hAnsi="Times New Roman"/>
          <w:sz w:val="24"/>
          <w:szCs w:val="24"/>
        </w:rPr>
        <w:t>常务委员会第二十四次会议通过，根据</w:t>
      </w:r>
      <w:r>
        <w:rPr>
          <w:rFonts w:ascii="Times New Roman" w:eastAsia="宋体" w:hAnsi="Times New Roman"/>
          <w:sz w:val="24"/>
          <w:szCs w:val="24"/>
        </w:rPr>
        <w:t>2018</w:t>
      </w:r>
      <w:r>
        <w:rPr>
          <w:rFonts w:ascii="Times New Roman" w:eastAsia="宋体" w:hAnsi="Times New Roman"/>
          <w:sz w:val="24"/>
          <w:szCs w:val="24"/>
        </w:rPr>
        <w:t>年</w:t>
      </w:r>
      <w:r>
        <w:rPr>
          <w:rFonts w:ascii="Times New Roman" w:eastAsia="宋体" w:hAnsi="Times New Roman"/>
          <w:sz w:val="24"/>
          <w:szCs w:val="24"/>
        </w:rPr>
        <w:t>12</w:t>
      </w:r>
      <w:r>
        <w:rPr>
          <w:rFonts w:ascii="Times New Roman" w:eastAsia="宋体" w:hAnsi="Times New Roman"/>
          <w:sz w:val="24"/>
          <w:szCs w:val="24"/>
        </w:rPr>
        <w:t>月</w:t>
      </w:r>
      <w:r>
        <w:rPr>
          <w:rFonts w:ascii="Times New Roman" w:eastAsia="宋体" w:hAnsi="Times New Roman"/>
          <w:sz w:val="24"/>
          <w:szCs w:val="24"/>
        </w:rPr>
        <w:t>29</w:t>
      </w:r>
      <w:r>
        <w:rPr>
          <w:rFonts w:ascii="Times New Roman" w:eastAsia="宋体" w:hAnsi="Times New Roman"/>
          <w:sz w:val="24"/>
          <w:szCs w:val="24"/>
        </w:rPr>
        <w:t>日第十三届全国人民代表大会常务委员会第七次会议《关于修改〈中华人民共和国劳动法〉等七部法律的决定》第四次修正。）</w:t>
      </w:r>
    </w:p>
    <w:p w:rsidR="00F95F9B" w:rsidRDefault="00000000">
      <w:pPr>
        <w:pStyle w:val="19"/>
        <w:widowControl w:val="0"/>
        <w:numPr>
          <w:ilvl w:val="0"/>
          <w:numId w:val="6"/>
        </w:numPr>
        <w:spacing w:after="0"/>
        <w:ind w:left="-2" w:firstLineChars="0" w:firstLine="462"/>
        <w:jc w:val="both"/>
        <w:rPr>
          <w:rFonts w:ascii="Times New Roman" w:eastAsia="宋体" w:hAnsi="Times New Roman"/>
          <w:sz w:val="24"/>
          <w:szCs w:val="24"/>
        </w:rPr>
      </w:pPr>
      <w:r>
        <w:rPr>
          <w:rFonts w:ascii="Times New Roman" w:eastAsia="宋体" w:hAnsi="Times New Roman"/>
          <w:sz w:val="24"/>
          <w:szCs w:val="24"/>
        </w:rPr>
        <w:t>《中华人民共和国特种设备安全法》（主席令</w:t>
      </w:r>
      <w:r>
        <w:rPr>
          <w:rFonts w:ascii="Times New Roman" w:eastAsia="宋体" w:hAnsi="Times New Roman"/>
          <w:sz w:val="24"/>
          <w:szCs w:val="24"/>
        </w:rPr>
        <w:t>[2013]</w:t>
      </w:r>
      <w:r>
        <w:rPr>
          <w:rFonts w:ascii="Times New Roman" w:eastAsia="宋体" w:hAnsi="Times New Roman"/>
          <w:sz w:val="24"/>
          <w:szCs w:val="24"/>
        </w:rPr>
        <w:t>第</w:t>
      </w:r>
      <w:r>
        <w:rPr>
          <w:rFonts w:ascii="Times New Roman" w:eastAsia="宋体" w:hAnsi="Times New Roman"/>
          <w:sz w:val="24"/>
          <w:szCs w:val="24"/>
        </w:rPr>
        <w:t>4</w:t>
      </w:r>
      <w:r>
        <w:rPr>
          <w:rFonts w:ascii="Times New Roman" w:eastAsia="宋体" w:hAnsi="Times New Roman"/>
          <w:sz w:val="24"/>
          <w:szCs w:val="24"/>
        </w:rPr>
        <w:t>号，</w:t>
      </w:r>
      <w:hyperlink r:id="rId27" w:tgtFrame="https://baike.baidu.com/item/%E4%B8%AD%E5%8D%8E%E4%BA%BA%E6%B0%91%E5%85%B1%E5%92%8C%E5%9B%BD%E7%89%B9%E7%A7%8D%E8%AE%BE%E5%A4%87%E5%AE%89%E5%85%A8%E6%B3%95/_blank" w:history="1">
        <w:r>
          <w:rPr>
            <w:rFonts w:ascii="Times New Roman" w:eastAsia="宋体" w:hAnsi="Times New Roman"/>
            <w:sz w:val="24"/>
            <w:szCs w:val="24"/>
          </w:rPr>
          <w:t>中华人民共和国第十二届全国人民代表大会常务委员会</w:t>
        </w:r>
      </w:hyperlink>
      <w:r>
        <w:rPr>
          <w:rFonts w:ascii="Times New Roman" w:eastAsia="宋体" w:hAnsi="Times New Roman"/>
          <w:sz w:val="24"/>
          <w:szCs w:val="24"/>
        </w:rPr>
        <w:t>第三次会议于</w:t>
      </w:r>
      <w:r>
        <w:rPr>
          <w:rFonts w:ascii="Times New Roman" w:eastAsia="宋体" w:hAnsi="Times New Roman"/>
          <w:sz w:val="24"/>
          <w:szCs w:val="24"/>
        </w:rPr>
        <w:t>2013</w:t>
      </w:r>
      <w:r>
        <w:rPr>
          <w:rFonts w:ascii="Times New Roman" w:eastAsia="宋体" w:hAnsi="Times New Roman"/>
          <w:sz w:val="24"/>
          <w:szCs w:val="24"/>
        </w:rPr>
        <w:t>年</w:t>
      </w:r>
      <w:r>
        <w:rPr>
          <w:rFonts w:ascii="Times New Roman" w:eastAsia="宋体" w:hAnsi="Times New Roman"/>
          <w:sz w:val="24"/>
          <w:szCs w:val="24"/>
        </w:rPr>
        <w:t>6</w:t>
      </w:r>
      <w:r>
        <w:rPr>
          <w:rFonts w:ascii="Times New Roman" w:eastAsia="宋体" w:hAnsi="Times New Roman"/>
          <w:sz w:val="24"/>
          <w:szCs w:val="24"/>
        </w:rPr>
        <w:t>月</w:t>
      </w:r>
      <w:r>
        <w:rPr>
          <w:rFonts w:ascii="Times New Roman" w:eastAsia="宋体" w:hAnsi="Times New Roman"/>
          <w:sz w:val="24"/>
          <w:szCs w:val="24"/>
        </w:rPr>
        <w:t>29</w:t>
      </w:r>
      <w:r>
        <w:rPr>
          <w:rFonts w:ascii="Times New Roman" w:eastAsia="宋体" w:hAnsi="Times New Roman"/>
          <w:sz w:val="24"/>
          <w:szCs w:val="24"/>
        </w:rPr>
        <w:t>日通过，自</w:t>
      </w:r>
      <w:r>
        <w:rPr>
          <w:rFonts w:ascii="Times New Roman" w:eastAsia="宋体" w:hAnsi="Times New Roman"/>
          <w:sz w:val="24"/>
          <w:szCs w:val="24"/>
        </w:rPr>
        <w:t>2014</w:t>
      </w:r>
      <w:r>
        <w:rPr>
          <w:rFonts w:ascii="Times New Roman" w:eastAsia="宋体" w:hAnsi="Times New Roman"/>
          <w:sz w:val="24"/>
          <w:szCs w:val="24"/>
        </w:rPr>
        <w:t>年</w:t>
      </w:r>
      <w:r>
        <w:rPr>
          <w:rFonts w:ascii="Times New Roman" w:eastAsia="宋体" w:hAnsi="Times New Roman"/>
          <w:sz w:val="24"/>
          <w:szCs w:val="24"/>
        </w:rPr>
        <w:t>1</w:t>
      </w:r>
      <w:r>
        <w:rPr>
          <w:rFonts w:ascii="Times New Roman" w:eastAsia="宋体" w:hAnsi="Times New Roman"/>
          <w:sz w:val="24"/>
          <w:szCs w:val="24"/>
        </w:rPr>
        <w:t>月</w:t>
      </w:r>
      <w:r>
        <w:rPr>
          <w:rFonts w:ascii="Times New Roman" w:eastAsia="宋体" w:hAnsi="Times New Roman"/>
          <w:sz w:val="24"/>
          <w:szCs w:val="24"/>
        </w:rPr>
        <w:t>1</w:t>
      </w:r>
      <w:r>
        <w:rPr>
          <w:rFonts w:ascii="Times New Roman" w:eastAsia="宋体" w:hAnsi="Times New Roman"/>
          <w:sz w:val="24"/>
          <w:szCs w:val="24"/>
        </w:rPr>
        <w:t>日起施行。）</w:t>
      </w:r>
    </w:p>
    <w:p w:rsidR="00F95F9B" w:rsidRDefault="00000000">
      <w:pPr>
        <w:pStyle w:val="19"/>
        <w:widowControl w:val="0"/>
        <w:numPr>
          <w:ilvl w:val="0"/>
          <w:numId w:val="6"/>
        </w:numPr>
        <w:spacing w:after="0"/>
        <w:ind w:left="-2" w:firstLineChars="0" w:firstLine="462"/>
        <w:jc w:val="both"/>
        <w:rPr>
          <w:rFonts w:ascii="Times New Roman" w:eastAsia="宋体" w:hAnsi="Times New Roman"/>
          <w:sz w:val="24"/>
          <w:szCs w:val="24"/>
        </w:rPr>
      </w:pPr>
      <w:r>
        <w:rPr>
          <w:rFonts w:ascii="宋体" w:eastAsia="宋体" w:hAnsi="宋体" w:cs="宋体" w:hint="eastAsia"/>
          <w:sz w:val="24"/>
          <w:szCs w:val="24"/>
        </w:rPr>
        <w:t>《中华人民共和国行政许可法》</w:t>
      </w:r>
      <w:r>
        <w:rPr>
          <w:rFonts w:ascii="Times New Roman" w:eastAsia="宋体" w:hAnsi="Times New Roman"/>
          <w:sz w:val="24"/>
          <w:szCs w:val="24"/>
        </w:rPr>
        <w:t>（</w:t>
      </w:r>
      <w:r>
        <w:rPr>
          <w:rFonts w:ascii="Times New Roman" w:eastAsia="宋体" w:hAnsi="Times New Roman"/>
          <w:sz w:val="24"/>
          <w:szCs w:val="24"/>
        </w:rPr>
        <w:t>2003</w:t>
      </w:r>
      <w:r>
        <w:rPr>
          <w:rFonts w:ascii="Times New Roman" w:eastAsia="宋体" w:hAnsi="Times New Roman"/>
          <w:sz w:val="24"/>
          <w:szCs w:val="24"/>
        </w:rPr>
        <w:t>年</w:t>
      </w:r>
      <w:r>
        <w:rPr>
          <w:rFonts w:ascii="Times New Roman" w:eastAsia="宋体" w:hAnsi="Times New Roman"/>
          <w:sz w:val="24"/>
          <w:szCs w:val="24"/>
        </w:rPr>
        <w:t>8</w:t>
      </w:r>
      <w:r>
        <w:rPr>
          <w:rFonts w:ascii="Times New Roman" w:eastAsia="宋体" w:hAnsi="Times New Roman"/>
          <w:sz w:val="24"/>
          <w:szCs w:val="24"/>
        </w:rPr>
        <w:t>月</w:t>
      </w:r>
      <w:r>
        <w:rPr>
          <w:rFonts w:ascii="Times New Roman" w:eastAsia="宋体" w:hAnsi="Times New Roman"/>
          <w:sz w:val="24"/>
          <w:szCs w:val="24"/>
        </w:rPr>
        <w:t>27</w:t>
      </w:r>
      <w:r>
        <w:rPr>
          <w:rFonts w:ascii="Times New Roman" w:eastAsia="宋体" w:hAnsi="Times New Roman"/>
          <w:sz w:val="24"/>
          <w:szCs w:val="24"/>
        </w:rPr>
        <w:t>日第十届全国人民代表大会常务委员会第四次会议通过</w:t>
      </w:r>
      <w:r>
        <w:rPr>
          <w:rFonts w:ascii="Times New Roman" w:eastAsia="宋体" w:hAnsi="Times New Roman" w:hint="eastAsia"/>
          <w:sz w:val="24"/>
          <w:szCs w:val="24"/>
        </w:rPr>
        <w:t>，</w:t>
      </w:r>
      <w:r>
        <w:rPr>
          <w:rFonts w:ascii="Times New Roman" w:eastAsia="宋体" w:hAnsi="Times New Roman"/>
          <w:sz w:val="24"/>
          <w:szCs w:val="24"/>
        </w:rPr>
        <w:t>根据</w:t>
      </w:r>
      <w:r>
        <w:rPr>
          <w:rFonts w:ascii="Times New Roman" w:eastAsia="宋体" w:hAnsi="Times New Roman"/>
          <w:sz w:val="24"/>
          <w:szCs w:val="24"/>
        </w:rPr>
        <w:t>2019</w:t>
      </w:r>
      <w:r>
        <w:rPr>
          <w:rFonts w:ascii="Times New Roman" w:eastAsia="宋体" w:hAnsi="Times New Roman"/>
          <w:sz w:val="24"/>
          <w:szCs w:val="24"/>
        </w:rPr>
        <w:t>年</w:t>
      </w:r>
      <w:r>
        <w:rPr>
          <w:rFonts w:ascii="Times New Roman" w:eastAsia="宋体" w:hAnsi="Times New Roman"/>
          <w:sz w:val="24"/>
          <w:szCs w:val="24"/>
        </w:rPr>
        <w:t>4</w:t>
      </w:r>
      <w:r>
        <w:rPr>
          <w:rFonts w:ascii="Times New Roman" w:eastAsia="宋体" w:hAnsi="Times New Roman"/>
          <w:sz w:val="24"/>
          <w:szCs w:val="24"/>
        </w:rPr>
        <w:t>月</w:t>
      </w:r>
      <w:r>
        <w:rPr>
          <w:rFonts w:ascii="Times New Roman" w:eastAsia="宋体" w:hAnsi="Times New Roman"/>
          <w:sz w:val="24"/>
          <w:szCs w:val="24"/>
        </w:rPr>
        <w:t>23</w:t>
      </w:r>
      <w:r>
        <w:rPr>
          <w:rFonts w:ascii="Times New Roman" w:eastAsia="宋体" w:hAnsi="Times New Roman"/>
          <w:sz w:val="24"/>
          <w:szCs w:val="24"/>
        </w:rPr>
        <w:t>日第十三届全国人民代表大会常务委员会第十次会议《关于修改〈中华人民共和国建筑法〉等八部法律的决定》修正</w:t>
      </w:r>
      <w:r>
        <w:rPr>
          <w:rFonts w:ascii="Times New Roman" w:eastAsia="宋体" w:hAnsi="Times New Roman" w:hint="eastAsia"/>
          <w:sz w:val="24"/>
          <w:szCs w:val="24"/>
        </w:rPr>
        <w:t>。</w:t>
      </w:r>
      <w:r>
        <w:rPr>
          <w:rFonts w:ascii="Times New Roman" w:eastAsia="宋体" w:hAnsi="Times New Roman"/>
          <w:sz w:val="24"/>
          <w:szCs w:val="24"/>
        </w:rPr>
        <w:t>）</w:t>
      </w:r>
    </w:p>
    <w:p w:rsidR="00F95F9B" w:rsidRDefault="00000000">
      <w:pPr>
        <w:pStyle w:val="19"/>
        <w:widowControl w:val="0"/>
        <w:numPr>
          <w:ilvl w:val="0"/>
          <w:numId w:val="6"/>
        </w:numPr>
        <w:spacing w:after="0"/>
        <w:ind w:left="-2" w:firstLineChars="0" w:firstLine="462"/>
        <w:jc w:val="both"/>
      </w:pPr>
      <w:r>
        <w:rPr>
          <w:rFonts w:ascii="Times New Roman" w:eastAsia="宋体" w:hAnsi="Times New Roman"/>
          <w:sz w:val="24"/>
          <w:szCs w:val="24"/>
        </w:rPr>
        <w:t>《中华人民共和国石油天然气管道保护法》（主席令第</w:t>
      </w:r>
      <w:r>
        <w:rPr>
          <w:rFonts w:ascii="Times New Roman" w:eastAsia="宋体" w:hAnsi="Times New Roman"/>
          <w:sz w:val="24"/>
          <w:szCs w:val="24"/>
        </w:rPr>
        <w:t>30</w:t>
      </w:r>
      <w:r>
        <w:rPr>
          <w:rFonts w:ascii="Times New Roman" w:eastAsia="宋体" w:hAnsi="Times New Roman"/>
          <w:sz w:val="24"/>
          <w:szCs w:val="24"/>
        </w:rPr>
        <w:t>号，</w:t>
      </w:r>
      <w:r>
        <w:rPr>
          <w:rFonts w:ascii="Times New Roman" w:eastAsia="宋体" w:hAnsi="Times New Roman"/>
          <w:sz w:val="24"/>
          <w:szCs w:val="24"/>
        </w:rPr>
        <w:t>2010</w:t>
      </w:r>
      <w:r>
        <w:rPr>
          <w:rFonts w:ascii="Times New Roman" w:eastAsia="宋体" w:hAnsi="Times New Roman"/>
          <w:sz w:val="24"/>
          <w:szCs w:val="24"/>
        </w:rPr>
        <w:t>年</w:t>
      </w:r>
      <w:r>
        <w:rPr>
          <w:rFonts w:ascii="Times New Roman" w:eastAsia="宋体" w:hAnsi="Times New Roman"/>
          <w:sz w:val="24"/>
          <w:szCs w:val="24"/>
        </w:rPr>
        <w:t>6</w:t>
      </w:r>
      <w:r>
        <w:rPr>
          <w:rFonts w:ascii="Times New Roman" w:eastAsia="宋体" w:hAnsi="Times New Roman"/>
          <w:sz w:val="24"/>
          <w:szCs w:val="24"/>
        </w:rPr>
        <w:t>月</w:t>
      </w:r>
      <w:r>
        <w:rPr>
          <w:rFonts w:ascii="Times New Roman" w:eastAsia="宋体" w:hAnsi="Times New Roman"/>
          <w:sz w:val="24"/>
          <w:szCs w:val="24"/>
        </w:rPr>
        <w:t>25</w:t>
      </w:r>
      <w:r>
        <w:rPr>
          <w:rFonts w:ascii="Times New Roman" w:eastAsia="宋体" w:hAnsi="Times New Roman"/>
          <w:sz w:val="24"/>
          <w:szCs w:val="24"/>
        </w:rPr>
        <w:t>日第十一届全国人民代表大会常务委员会第十五次会议通过</w:t>
      </w:r>
      <w:r>
        <w:rPr>
          <w:rFonts w:ascii="Times New Roman" w:eastAsia="宋体" w:hAnsi="Times New Roman" w:hint="eastAsia"/>
          <w:sz w:val="24"/>
          <w:szCs w:val="24"/>
        </w:rPr>
        <w:t>，自</w:t>
      </w:r>
      <w:r>
        <w:rPr>
          <w:rFonts w:ascii="Times New Roman" w:eastAsia="宋体" w:hAnsi="Times New Roman"/>
          <w:sz w:val="24"/>
          <w:szCs w:val="24"/>
        </w:rPr>
        <w:t>2010</w:t>
      </w:r>
      <w:r>
        <w:rPr>
          <w:rFonts w:ascii="Times New Roman" w:eastAsia="宋体" w:hAnsi="Times New Roman"/>
          <w:sz w:val="24"/>
          <w:szCs w:val="24"/>
        </w:rPr>
        <w:t>年</w:t>
      </w:r>
      <w:r>
        <w:rPr>
          <w:rFonts w:ascii="Times New Roman" w:eastAsia="宋体" w:hAnsi="Times New Roman"/>
          <w:sz w:val="24"/>
          <w:szCs w:val="24"/>
        </w:rPr>
        <w:t>1</w:t>
      </w:r>
      <w:r>
        <w:rPr>
          <w:rFonts w:ascii="Times New Roman" w:eastAsia="宋体" w:hAnsi="Times New Roman"/>
          <w:sz w:val="24"/>
          <w:szCs w:val="24"/>
        </w:rPr>
        <w:t>月</w:t>
      </w:r>
      <w:r>
        <w:rPr>
          <w:rFonts w:ascii="Times New Roman" w:eastAsia="宋体" w:hAnsi="Times New Roman"/>
          <w:sz w:val="24"/>
          <w:szCs w:val="24"/>
        </w:rPr>
        <w:t>1</w:t>
      </w:r>
      <w:r>
        <w:rPr>
          <w:rFonts w:ascii="Times New Roman" w:eastAsia="宋体" w:hAnsi="Times New Roman"/>
          <w:sz w:val="24"/>
          <w:szCs w:val="24"/>
        </w:rPr>
        <w:t>日起施行）</w:t>
      </w:r>
    </w:p>
    <w:p w:rsidR="00F95F9B" w:rsidRDefault="00000000">
      <w:pPr>
        <w:pStyle w:val="3"/>
        <w:keepNext w:val="0"/>
        <w:keepLines w:val="0"/>
        <w:widowControl w:val="0"/>
        <w:adjustRightInd w:val="0"/>
        <w:snapToGrid w:val="0"/>
        <w:ind w:left="0"/>
      </w:pPr>
      <w:r>
        <w:rPr>
          <w:rFonts w:hint="eastAsia"/>
        </w:rPr>
        <w:t>行政法规</w:t>
      </w:r>
    </w:p>
    <w:p w:rsidR="00F95F9B" w:rsidRDefault="00000000">
      <w:pPr>
        <w:pStyle w:val="afff8"/>
        <w:widowControl w:val="0"/>
        <w:numPr>
          <w:ilvl w:val="0"/>
          <w:numId w:val="7"/>
        </w:numPr>
        <w:adjustRightInd w:val="0"/>
        <w:snapToGrid w:val="0"/>
        <w:ind w:left="0" w:firstLine="470"/>
        <w:rPr>
          <w:szCs w:val="24"/>
        </w:rPr>
      </w:pPr>
      <w:r>
        <w:rPr>
          <w:szCs w:val="24"/>
        </w:rPr>
        <w:t>《安全生产许可条例》（国务院令</w:t>
      </w:r>
      <w:r>
        <w:rPr>
          <w:szCs w:val="24"/>
        </w:rPr>
        <w:t>[20</w:t>
      </w:r>
      <w:r>
        <w:rPr>
          <w:rFonts w:hint="eastAsia"/>
          <w:szCs w:val="24"/>
        </w:rPr>
        <w:t>04</w:t>
      </w:r>
      <w:r>
        <w:rPr>
          <w:szCs w:val="24"/>
        </w:rPr>
        <w:t>]</w:t>
      </w:r>
      <w:r>
        <w:rPr>
          <w:szCs w:val="24"/>
        </w:rPr>
        <w:t>第</w:t>
      </w:r>
      <w:r>
        <w:rPr>
          <w:szCs w:val="24"/>
        </w:rPr>
        <w:t>397</w:t>
      </w:r>
      <w:r>
        <w:rPr>
          <w:szCs w:val="24"/>
        </w:rPr>
        <w:t>号，</w:t>
      </w:r>
      <w:r>
        <w:rPr>
          <w:rFonts w:hint="eastAsia"/>
          <w:szCs w:val="24"/>
        </w:rPr>
        <w:t>根据</w:t>
      </w:r>
      <w:r>
        <w:rPr>
          <w:rFonts w:hint="eastAsia"/>
          <w:szCs w:val="24"/>
        </w:rPr>
        <w:t>2013</w:t>
      </w:r>
      <w:r>
        <w:rPr>
          <w:rFonts w:hint="eastAsia"/>
          <w:szCs w:val="24"/>
        </w:rPr>
        <w:t>年</w:t>
      </w:r>
      <w:r>
        <w:rPr>
          <w:rFonts w:hint="eastAsia"/>
          <w:szCs w:val="24"/>
        </w:rPr>
        <w:t>7</w:t>
      </w:r>
      <w:r>
        <w:rPr>
          <w:rFonts w:hint="eastAsia"/>
          <w:szCs w:val="24"/>
        </w:rPr>
        <w:t>月</w:t>
      </w:r>
      <w:r>
        <w:rPr>
          <w:rFonts w:hint="eastAsia"/>
          <w:szCs w:val="24"/>
        </w:rPr>
        <w:t>18</w:t>
      </w:r>
      <w:r>
        <w:rPr>
          <w:rFonts w:hint="eastAsia"/>
          <w:szCs w:val="24"/>
        </w:rPr>
        <w:t>日《国务院关于废止和修改部分行政法规的决定》第一次修订，根据</w:t>
      </w:r>
      <w:r>
        <w:rPr>
          <w:rFonts w:hint="eastAsia"/>
          <w:szCs w:val="24"/>
        </w:rPr>
        <w:t>2014</w:t>
      </w:r>
      <w:r>
        <w:rPr>
          <w:rFonts w:hint="eastAsia"/>
          <w:szCs w:val="24"/>
        </w:rPr>
        <w:t>年</w:t>
      </w:r>
      <w:r>
        <w:rPr>
          <w:rFonts w:hint="eastAsia"/>
          <w:szCs w:val="24"/>
        </w:rPr>
        <w:t>7</w:t>
      </w:r>
      <w:r>
        <w:rPr>
          <w:rFonts w:hint="eastAsia"/>
          <w:szCs w:val="24"/>
        </w:rPr>
        <w:t>月</w:t>
      </w:r>
      <w:r>
        <w:rPr>
          <w:rFonts w:hint="eastAsia"/>
          <w:szCs w:val="24"/>
        </w:rPr>
        <w:t>29</w:t>
      </w:r>
      <w:r>
        <w:rPr>
          <w:rFonts w:hint="eastAsia"/>
          <w:szCs w:val="24"/>
        </w:rPr>
        <w:t>日《国务院关于修改部分行政法规的决定》第二次修订。</w:t>
      </w:r>
      <w:r>
        <w:rPr>
          <w:szCs w:val="24"/>
        </w:rPr>
        <w:t>）</w:t>
      </w:r>
    </w:p>
    <w:p w:rsidR="00F95F9B" w:rsidRDefault="00000000">
      <w:pPr>
        <w:pStyle w:val="afff8"/>
        <w:widowControl w:val="0"/>
        <w:numPr>
          <w:ilvl w:val="0"/>
          <w:numId w:val="7"/>
        </w:numPr>
        <w:adjustRightInd w:val="0"/>
        <w:snapToGrid w:val="0"/>
        <w:ind w:left="0" w:firstLine="470"/>
        <w:rPr>
          <w:szCs w:val="24"/>
        </w:rPr>
      </w:pPr>
      <w:r>
        <w:rPr>
          <w:szCs w:val="24"/>
        </w:rPr>
        <w:t>《工伤保险条例》国务院令</w:t>
      </w:r>
      <w:r>
        <w:rPr>
          <w:szCs w:val="24"/>
        </w:rPr>
        <w:t>[20</w:t>
      </w:r>
      <w:r>
        <w:rPr>
          <w:rFonts w:hint="eastAsia"/>
          <w:szCs w:val="24"/>
        </w:rPr>
        <w:t>03</w:t>
      </w:r>
      <w:r>
        <w:rPr>
          <w:szCs w:val="24"/>
        </w:rPr>
        <w:t>]</w:t>
      </w:r>
      <w:r>
        <w:rPr>
          <w:szCs w:val="24"/>
        </w:rPr>
        <w:t>第</w:t>
      </w:r>
      <w:r>
        <w:rPr>
          <w:szCs w:val="24"/>
        </w:rPr>
        <w:t>375</w:t>
      </w:r>
      <w:r>
        <w:rPr>
          <w:szCs w:val="24"/>
        </w:rPr>
        <w:t>号公布</w:t>
      </w:r>
      <w:r>
        <w:rPr>
          <w:rFonts w:hint="eastAsia"/>
          <w:szCs w:val="24"/>
        </w:rPr>
        <w:t>，</w:t>
      </w:r>
      <w:r>
        <w:rPr>
          <w:szCs w:val="24"/>
        </w:rPr>
        <w:t>国务院令</w:t>
      </w:r>
      <w:r>
        <w:rPr>
          <w:szCs w:val="24"/>
        </w:rPr>
        <w:t>[2010]</w:t>
      </w:r>
      <w:r>
        <w:rPr>
          <w:szCs w:val="24"/>
        </w:rPr>
        <w:t>第</w:t>
      </w:r>
      <w:r>
        <w:rPr>
          <w:szCs w:val="24"/>
        </w:rPr>
        <w:t>586</w:t>
      </w:r>
      <w:r>
        <w:rPr>
          <w:szCs w:val="24"/>
        </w:rPr>
        <w:t>号修订）</w:t>
      </w:r>
    </w:p>
    <w:p w:rsidR="00F95F9B" w:rsidRDefault="00000000">
      <w:pPr>
        <w:pStyle w:val="afff8"/>
        <w:widowControl w:val="0"/>
        <w:numPr>
          <w:ilvl w:val="0"/>
          <w:numId w:val="7"/>
        </w:numPr>
        <w:adjustRightInd w:val="0"/>
        <w:snapToGrid w:val="0"/>
        <w:ind w:left="0" w:firstLine="470"/>
        <w:rPr>
          <w:szCs w:val="24"/>
        </w:rPr>
      </w:pPr>
      <w:r>
        <w:rPr>
          <w:szCs w:val="24"/>
        </w:rPr>
        <w:t>《危险化学品安全管理条例》（国务院令</w:t>
      </w:r>
      <w:r>
        <w:rPr>
          <w:szCs w:val="24"/>
        </w:rPr>
        <w:t>[20</w:t>
      </w:r>
      <w:r>
        <w:rPr>
          <w:rFonts w:hint="eastAsia"/>
          <w:szCs w:val="24"/>
        </w:rPr>
        <w:t>02</w:t>
      </w:r>
      <w:r>
        <w:rPr>
          <w:szCs w:val="24"/>
        </w:rPr>
        <w:t>]</w:t>
      </w:r>
      <w:r>
        <w:rPr>
          <w:szCs w:val="24"/>
        </w:rPr>
        <w:t>第</w:t>
      </w:r>
      <w:r>
        <w:rPr>
          <w:rFonts w:hint="eastAsia"/>
          <w:szCs w:val="24"/>
        </w:rPr>
        <w:t>344</w:t>
      </w:r>
      <w:r>
        <w:rPr>
          <w:szCs w:val="24"/>
        </w:rPr>
        <w:t>号公布</w:t>
      </w:r>
      <w:r>
        <w:rPr>
          <w:rFonts w:hint="eastAsia"/>
          <w:szCs w:val="24"/>
        </w:rPr>
        <w:t>，</w:t>
      </w:r>
      <w:r>
        <w:rPr>
          <w:szCs w:val="24"/>
        </w:rPr>
        <w:t>国务院令第</w:t>
      </w:r>
      <w:r>
        <w:rPr>
          <w:szCs w:val="24"/>
        </w:rPr>
        <w:t>591</w:t>
      </w:r>
      <w:r>
        <w:rPr>
          <w:szCs w:val="24"/>
        </w:rPr>
        <w:t>号</w:t>
      </w:r>
      <w:r>
        <w:rPr>
          <w:rFonts w:hint="eastAsia"/>
          <w:szCs w:val="24"/>
        </w:rPr>
        <w:t>、</w:t>
      </w:r>
      <w:r>
        <w:rPr>
          <w:szCs w:val="24"/>
        </w:rPr>
        <w:t>国务院令第</w:t>
      </w:r>
      <w:r>
        <w:rPr>
          <w:szCs w:val="24"/>
        </w:rPr>
        <w:t>6</w:t>
      </w:r>
      <w:r>
        <w:rPr>
          <w:rFonts w:hint="eastAsia"/>
          <w:szCs w:val="24"/>
        </w:rPr>
        <w:t>45</w:t>
      </w:r>
      <w:r>
        <w:rPr>
          <w:szCs w:val="24"/>
        </w:rPr>
        <w:t>号修订</w:t>
      </w:r>
      <w:r>
        <w:rPr>
          <w:rFonts w:hint="eastAsia"/>
          <w:szCs w:val="24"/>
        </w:rPr>
        <w:t>）</w:t>
      </w:r>
    </w:p>
    <w:p w:rsidR="00F95F9B" w:rsidRDefault="00000000">
      <w:pPr>
        <w:pStyle w:val="afff8"/>
        <w:widowControl w:val="0"/>
        <w:numPr>
          <w:ilvl w:val="0"/>
          <w:numId w:val="7"/>
        </w:numPr>
        <w:adjustRightInd w:val="0"/>
        <w:snapToGrid w:val="0"/>
        <w:ind w:left="0" w:firstLine="470"/>
        <w:rPr>
          <w:szCs w:val="24"/>
        </w:rPr>
      </w:pPr>
      <w:r>
        <w:rPr>
          <w:szCs w:val="24"/>
        </w:rPr>
        <w:lastRenderedPageBreak/>
        <w:t>《生产安全事故报告和调查处理条例》（国务院令</w:t>
      </w:r>
      <w:r>
        <w:rPr>
          <w:szCs w:val="24"/>
        </w:rPr>
        <w:t>[2007]</w:t>
      </w:r>
      <w:r>
        <w:rPr>
          <w:szCs w:val="24"/>
        </w:rPr>
        <w:t>第</w:t>
      </w:r>
      <w:r>
        <w:rPr>
          <w:szCs w:val="24"/>
        </w:rPr>
        <w:t>493</w:t>
      </w:r>
      <w:r>
        <w:rPr>
          <w:szCs w:val="24"/>
        </w:rPr>
        <w:t>号）</w:t>
      </w:r>
    </w:p>
    <w:p w:rsidR="00F95F9B" w:rsidRDefault="00000000">
      <w:pPr>
        <w:pStyle w:val="afff8"/>
        <w:widowControl w:val="0"/>
        <w:numPr>
          <w:ilvl w:val="0"/>
          <w:numId w:val="7"/>
        </w:numPr>
        <w:adjustRightInd w:val="0"/>
        <w:snapToGrid w:val="0"/>
        <w:ind w:left="0" w:firstLine="470"/>
        <w:rPr>
          <w:szCs w:val="24"/>
        </w:rPr>
      </w:pPr>
      <w:r>
        <w:rPr>
          <w:szCs w:val="24"/>
        </w:rPr>
        <w:t>《特种设备安全监察条例》（国务院令</w:t>
      </w:r>
      <w:r>
        <w:rPr>
          <w:szCs w:val="24"/>
        </w:rPr>
        <w:t>[20</w:t>
      </w:r>
      <w:r>
        <w:rPr>
          <w:rFonts w:hint="eastAsia"/>
          <w:szCs w:val="24"/>
        </w:rPr>
        <w:t>03</w:t>
      </w:r>
      <w:r>
        <w:rPr>
          <w:szCs w:val="24"/>
        </w:rPr>
        <w:t>]</w:t>
      </w:r>
      <w:r>
        <w:rPr>
          <w:szCs w:val="24"/>
        </w:rPr>
        <w:t>第</w:t>
      </w:r>
      <w:r>
        <w:rPr>
          <w:rFonts w:hint="eastAsia"/>
          <w:szCs w:val="24"/>
        </w:rPr>
        <w:t>373</w:t>
      </w:r>
      <w:r>
        <w:rPr>
          <w:szCs w:val="24"/>
        </w:rPr>
        <w:t>号公布</w:t>
      </w:r>
      <w:r>
        <w:rPr>
          <w:rFonts w:hint="eastAsia"/>
          <w:szCs w:val="24"/>
        </w:rPr>
        <w:t>，</w:t>
      </w:r>
      <w:r>
        <w:rPr>
          <w:szCs w:val="24"/>
        </w:rPr>
        <w:t>国务院令</w:t>
      </w:r>
      <w:r>
        <w:rPr>
          <w:szCs w:val="24"/>
        </w:rPr>
        <w:t>[2009]</w:t>
      </w:r>
      <w:r>
        <w:rPr>
          <w:szCs w:val="24"/>
        </w:rPr>
        <w:t>第</w:t>
      </w:r>
      <w:r>
        <w:rPr>
          <w:szCs w:val="24"/>
        </w:rPr>
        <w:t>549</w:t>
      </w:r>
      <w:r>
        <w:rPr>
          <w:szCs w:val="24"/>
        </w:rPr>
        <w:t>号</w:t>
      </w:r>
      <w:r>
        <w:rPr>
          <w:rFonts w:hint="eastAsia"/>
          <w:szCs w:val="24"/>
        </w:rPr>
        <w:t>修正</w:t>
      </w:r>
      <w:r>
        <w:rPr>
          <w:szCs w:val="24"/>
        </w:rPr>
        <w:t>）</w:t>
      </w:r>
    </w:p>
    <w:p w:rsidR="00F95F9B" w:rsidRDefault="00000000">
      <w:pPr>
        <w:pStyle w:val="afff8"/>
        <w:widowControl w:val="0"/>
        <w:numPr>
          <w:ilvl w:val="0"/>
          <w:numId w:val="7"/>
        </w:numPr>
        <w:adjustRightInd w:val="0"/>
        <w:snapToGrid w:val="0"/>
        <w:ind w:left="0" w:firstLine="470"/>
        <w:rPr>
          <w:szCs w:val="24"/>
        </w:rPr>
      </w:pPr>
      <w:r>
        <w:rPr>
          <w:szCs w:val="24"/>
        </w:rPr>
        <w:t>《生产安全事故应急条例》（国务院令</w:t>
      </w:r>
      <w:r>
        <w:rPr>
          <w:szCs w:val="24"/>
        </w:rPr>
        <w:t>[2019]</w:t>
      </w:r>
      <w:r>
        <w:rPr>
          <w:szCs w:val="24"/>
        </w:rPr>
        <w:t>第</w:t>
      </w:r>
      <w:r>
        <w:rPr>
          <w:szCs w:val="24"/>
        </w:rPr>
        <w:t>708</w:t>
      </w:r>
      <w:r>
        <w:rPr>
          <w:szCs w:val="24"/>
        </w:rPr>
        <w:t>号）</w:t>
      </w:r>
    </w:p>
    <w:p w:rsidR="00F95F9B" w:rsidRDefault="00000000">
      <w:pPr>
        <w:pStyle w:val="3"/>
        <w:keepNext w:val="0"/>
        <w:keepLines w:val="0"/>
        <w:widowControl w:val="0"/>
        <w:adjustRightInd w:val="0"/>
        <w:snapToGrid w:val="0"/>
        <w:ind w:left="0"/>
        <w:rPr>
          <w:snapToGrid w:val="0"/>
          <w:kern w:val="0"/>
          <w:szCs w:val="24"/>
        </w:rPr>
      </w:pPr>
      <w:r>
        <w:rPr>
          <w:snapToGrid w:val="0"/>
          <w:kern w:val="0"/>
          <w:szCs w:val="24"/>
        </w:rPr>
        <w:t>部门规章</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《建设项目安全设施</w:t>
      </w:r>
      <w:r>
        <w:rPr>
          <w:rFonts w:ascii="Times New Roman" w:eastAsia="宋体" w:hAnsi="Times New Roman"/>
          <w:sz w:val="24"/>
          <w:szCs w:val="24"/>
        </w:rPr>
        <w:t>“</w:t>
      </w:r>
      <w:r>
        <w:rPr>
          <w:rFonts w:ascii="Times New Roman" w:eastAsia="宋体" w:hAnsi="Times New Roman"/>
          <w:sz w:val="24"/>
          <w:szCs w:val="24"/>
        </w:rPr>
        <w:t>三同时</w:t>
      </w:r>
      <w:r>
        <w:rPr>
          <w:rFonts w:ascii="Times New Roman" w:eastAsia="宋体" w:hAnsi="Times New Roman"/>
          <w:sz w:val="24"/>
          <w:szCs w:val="24"/>
        </w:rPr>
        <w:t>”</w:t>
      </w:r>
      <w:r>
        <w:rPr>
          <w:rFonts w:ascii="Times New Roman" w:eastAsia="宋体" w:hAnsi="Times New Roman"/>
          <w:sz w:val="24"/>
          <w:szCs w:val="24"/>
        </w:rPr>
        <w:t>监督管理办法》（原国家安全生产监督管理总局令第</w:t>
      </w:r>
      <w:r>
        <w:rPr>
          <w:rFonts w:ascii="Times New Roman" w:eastAsia="宋体" w:hAnsi="Times New Roman"/>
          <w:sz w:val="24"/>
          <w:szCs w:val="24"/>
        </w:rPr>
        <w:t>36</w:t>
      </w:r>
      <w:r>
        <w:rPr>
          <w:rFonts w:ascii="Times New Roman" w:eastAsia="宋体" w:hAnsi="Times New Roman"/>
          <w:sz w:val="24"/>
          <w:szCs w:val="24"/>
        </w:rPr>
        <w:t>号，第</w:t>
      </w:r>
      <w:r>
        <w:rPr>
          <w:rFonts w:ascii="Times New Roman" w:eastAsia="宋体" w:hAnsi="Times New Roman"/>
          <w:sz w:val="24"/>
          <w:szCs w:val="24"/>
        </w:rPr>
        <w:t>77</w:t>
      </w:r>
      <w:r>
        <w:rPr>
          <w:rFonts w:ascii="Times New Roman" w:eastAsia="宋体" w:hAnsi="Times New Roman"/>
          <w:sz w:val="24"/>
          <w:szCs w:val="24"/>
        </w:rPr>
        <w:t>号修订，</w:t>
      </w:r>
      <w:r>
        <w:rPr>
          <w:rFonts w:ascii="Times New Roman" w:eastAsia="宋体" w:hAnsi="Times New Roman"/>
          <w:sz w:val="24"/>
          <w:szCs w:val="24"/>
        </w:rPr>
        <w:t>2015</w:t>
      </w:r>
      <w:r>
        <w:rPr>
          <w:rFonts w:ascii="Times New Roman" w:eastAsia="宋体" w:hAnsi="Times New Roman"/>
          <w:sz w:val="24"/>
          <w:szCs w:val="24"/>
        </w:rPr>
        <w:t>年</w:t>
      </w:r>
      <w:r>
        <w:rPr>
          <w:rFonts w:ascii="Times New Roman" w:eastAsia="宋体" w:hAnsi="Times New Roman"/>
          <w:sz w:val="24"/>
          <w:szCs w:val="24"/>
        </w:rPr>
        <w:t>5</w:t>
      </w:r>
      <w:r>
        <w:rPr>
          <w:rFonts w:ascii="Times New Roman" w:eastAsia="宋体" w:hAnsi="Times New Roman"/>
          <w:sz w:val="24"/>
          <w:szCs w:val="24"/>
        </w:rPr>
        <w:t>月</w:t>
      </w:r>
      <w:r>
        <w:rPr>
          <w:rFonts w:ascii="Times New Roman" w:eastAsia="宋体" w:hAnsi="Times New Roman"/>
          <w:sz w:val="24"/>
          <w:szCs w:val="24"/>
        </w:rPr>
        <w:t>1</w:t>
      </w:r>
      <w:r>
        <w:rPr>
          <w:rFonts w:ascii="Times New Roman" w:eastAsia="宋体" w:hAnsi="Times New Roman"/>
          <w:sz w:val="24"/>
          <w:szCs w:val="24"/>
        </w:rPr>
        <w:t>日起施行）</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《生产经营单位安全培训规定》（国家安监总局令第</w:t>
      </w:r>
      <w:r>
        <w:rPr>
          <w:rFonts w:ascii="Times New Roman" w:eastAsia="宋体" w:hAnsi="Times New Roman"/>
          <w:sz w:val="24"/>
          <w:szCs w:val="24"/>
        </w:rPr>
        <w:t>3</w:t>
      </w:r>
      <w:r>
        <w:rPr>
          <w:rFonts w:ascii="Times New Roman" w:eastAsia="宋体" w:hAnsi="Times New Roman"/>
          <w:sz w:val="24"/>
          <w:szCs w:val="24"/>
        </w:rPr>
        <w:t>号）（根据</w:t>
      </w:r>
      <w:r>
        <w:rPr>
          <w:rFonts w:ascii="Times New Roman" w:eastAsia="宋体" w:hAnsi="Times New Roman"/>
          <w:sz w:val="24"/>
          <w:szCs w:val="24"/>
        </w:rPr>
        <w:t>2015</w:t>
      </w:r>
      <w:r>
        <w:rPr>
          <w:rFonts w:ascii="Times New Roman" w:eastAsia="宋体" w:hAnsi="Times New Roman"/>
          <w:sz w:val="24"/>
          <w:szCs w:val="24"/>
        </w:rPr>
        <w:t>年</w:t>
      </w:r>
      <w:r>
        <w:rPr>
          <w:rFonts w:ascii="Times New Roman" w:eastAsia="宋体" w:hAnsi="Times New Roman"/>
          <w:sz w:val="24"/>
          <w:szCs w:val="24"/>
        </w:rPr>
        <w:t>5</w:t>
      </w:r>
      <w:r>
        <w:rPr>
          <w:rFonts w:ascii="Times New Roman" w:eastAsia="宋体" w:hAnsi="Times New Roman"/>
          <w:sz w:val="24"/>
          <w:szCs w:val="24"/>
        </w:rPr>
        <w:t>月</w:t>
      </w:r>
      <w:r>
        <w:rPr>
          <w:rFonts w:ascii="Times New Roman" w:eastAsia="宋体" w:hAnsi="Times New Roman"/>
          <w:sz w:val="24"/>
          <w:szCs w:val="24"/>
        </w:rPr>
        <w:t>29</w:t>
      </w:r>
      <w:r>
        <w:rPr>
          <w:rFonts w:ascii="Times New Roman" w:eastAsia="宋体" w:hAnsi="Times New Roman"/>
          <w:sz w:val="24"/>
          <w:szCs w:val="24"/>
        </w:rPr>
        <w:t>日国家安全生产监管总局令第</w:t>
      </w:r>
      <w:r>
        <w:rPr>
          <w:rFonts w:ascii="Times New Roman" w:eastAsia="宋体" w:hAnsi="Times New Roman"/>
          <w:sz w:val="24"/>
          <w:szCs w:val="24"/>
        </w:rPr>
        <w:t>80</w:t>
      </w:r>
      <w:r>
        <w:rPr>
          <w:rFonts w:ascii="Times New Roman" w:eastAsia="宋体" w:hAnsi="Times New Roman"/>
          <w:sz w:val="24"/>
          <w:szCs w:val="24"/>
        </w:rPr>
        <w:t>号第二次修正）</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《生产安全事故罚款处罚规定（试行）》（国家安全生产监督管理总局令</w:t>
      </w:r>
      <w:r>
        <w:rPr>
          <w:rFonts w:ascii="Times New Roman" w:eastAsia="宋体" w:hAnsi="Times New Roman"/>
          <w:sz w:val="24"/>
          <w:szCs w:val="24"/>
        </w:rPr>
        <w:t>[2007]</w:t>
      </w:r>
      <w:r>
        <w:rPr>
          <w:rFonts w:ascii="Times New Roman" w:eastAsia="宋体" w:hAnsi="Times New Roman"/>
          <w:sz w:val="24"/>
          <w:szCs w:val="24"/>
        </w:rPr>
        <w:t>第</w:t>
      </w:r>
      <w:r>
        <w:rPr>
          <w:rFonts w:ascii="Times New Roman" w:eastAsia="宋体" w:hAnsi="Times New Roman"/>
          <w:sz w:val="24"/>
          <w:szCs w:val="24"/>
        </w:rPr>
        <w:t>13</w:t>
      </w:r>
      <w:r>
        <w:rPr>
          <w:rFonts w:ascii="Times New Roman" w:eastAsia="宋体" w:hAnsi="Times New Roman"/>
          <w:sz w:val="24"/>
          <w:szCs w:val="24"/>
        </w:rPr>
        <w:t>号，第</w:t>
      </w:r>
      <w:r>
        <w:rPr>
          <w:rFonts w:ascii="Times New Roman" w:eastAsia="宋体" w:hAnsi="Times New Roman"/>
          <w:sz w:val="24"/>
          <w:szCs w:val="24"/>
        </w:rPr>
        <w:t>77</w:t>
      </w:r>
      <w:r>
        <w:rPr>
          <w:rFonts w:ascii="Times New Roman" w:eastAsia="宋体" w:hAnsi="Times New Roman"/>
          <w:sz w:val="24"/>
          <w:szCs w:val="24"/>
        </w:rPr>
        <w:t>号第二次修正）</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《安全生产事故隐患排查治理暂行规定》（国家安全生产监督管理总局令</w:t>
      </w:r>
      <w:r>
        <w:rPr>
          <w:rFonts w:ascii="Times New Roman" w:eastAsia="宋体" w:hAnsi="Times New Roman"/>
          <w:sz w:val="24"/>
          <w:szCs w:val="24"/>
        </w:rPr>
        <w:t>[2007]</w:t>
      </w:r>
      <w:r>
        <w:rPr>
          <w:rFonts w:ascii="Times New Roman" w:eastAsia="宋体" w:hAnsi="Times New Roman"/>
          <w:sz w:val="24"/>
          <w:szCs w:val="24"/>
        </w:rPr>
        <w:t>第</w:t>
      </w:r>
      <w:r>
        <w:rPr>
          <w:rFonts w:ascii="Times New Roman" w:eastAsia="宋体" w:hAnsi="Times New Roman"/>
          <w:sz w:val="24"/>
          <w:szCs w:val="24"/>
        </w:rPr>
        <w:t>16</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《非煤矿矿山企业安全生产许可证实施办法》（国家安全生产监督管理总局令</w:t>
      </w:r>
      <w:r>
        <w:rPr>
          <w:rFonts w:ascii="Times New Roman" w:eastAsia="宋体" w:hAnsi="Times New Roman"/>
          <w:sz w:val="24"/>
          <w:szCs w:val="24"/>
        </w:rPr>
        <w:t>[2009]</w:t>
      </w:r>
      <w:r>
        <w:rPr>
          <w:rFonts w:ascii="Times New Roman" w:eastAsia="宋体" w:hAnsi="Times New Roman"/>
          <w:sz w:val="24"/>
          <w:szCs w:val="24"/>
        </w:rPr>
        <w:t>第</w:t>
      </w:r>
      <w:r>
        <w:rPr>
          <w:rFonts w:ascii="Times New Roman" w:eastAsia="宋体" w:hAnsi="Times New Roman"/>
          <w:sz w:val="24"/>
          <w:szCs w:val="24"/>
        </w:rPr>
        <w:t>20</w:t>
      </w:r>
      <w:r>
        <w:rPr>
          <w:rFonts w:ascii="Times New Roman" w:eastAsia="宋体" w:hAnsi="Times New Roman"/>
          <w:sz w:val="24"/>
          <w:szCs w:val="24"/>
        </w:rPr>
        <w:t>号，第</w:t>
      </w:r>
      <w:r>
        <w:rPr>
          <w:rFonts w:ascii="Times New Roman" w:eastAsia="宋体" w:hAnsi="Times New Roman"/>
          <w:sz w:val="24"/>
          <w:szCs w:val="24"/>
        </w:rPr>
        <w:t>78</w:t>
      </w:r>
      <w:r>
        <w:rPr>
          <w:rFonts w:ascii="Times New Roman" w:eastAsia="宋体" w:hAnsi="Times New Roman"/>
          <w:sz w:val="24"/>
          <w:szCs w:val="24"/>
        </w:rPr>
        <w:t>号</w:t>
      </w:r>
      <w:r>
        <w:rPr>
          <w:rFonts w:ascii="Times New Roman" w:eastAsia="宋体" w:hAnsi="Times New Roman" w:hint="eastAsia"/>
          <w:sz w:val="24"/>
          <w:szCs w:val="24"/>
        </w:rPr>
        <w:t>修订</w:t>
      </w:r>
      <w:r>
        <w:rPr>
          <w:rFonts w:ascii="Times New Roman" w:eastAsia="宋体" w:hAnsi="Times New Roman"/>
          <w:sz w:val="24"/>
          <w:szCs w:val="24"/>
        </w:rPr>
        <w:t>）</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《特种作业人员安全技术培训考核管理规定》（国家安全生产监督管理总局令</w:t>
      </w:r>
      <w:r>
        <w:rPr>
          <w:rFonts w:ascii="Times New Roman" w:eastAsia="宋体" w:hAnsi="Times New Roman"/>
          <w:sz w:val="24"/>
          <w:szCs w:val="24"/>
        </w:rPr>
        <w:t>[2010]</w:t>
      </w:r>
      <w:r>
        <w:rPr>
          <w:rFonts w:ascii="Times New Roman" w:eastAsia="宋体" w:hAnsi="Times New Roman"/>
          <w:sz w:val="24"/>
          <w:szCs w:val="24"/>
        </w:rPr>
        <w:t>第</w:t>
      </w:r>
      <w:r>
        <w:rPr>
          <w:rFonts w:ascii="Times New Roman" w:eastAsia="宋体" w:hAnsi="Times New Roman"/>
          <w:sz w:val="24"/>
          <w:szCs w:val="24"/>
        </w:rPr>
        <w:t>30</w:t>
      </w:r>
      <w:r>
        <w:rPr>
          <w:rFonts w:ascii="Times New Roman" w:eastAsia="宋体" w:hAnsi="Times New Roman"/>
          <w:sz w:val="24"/>
          <w:szCs w:val="24"/>
        </w:rPr>
        <w:t>号，</w:t>
      </w:r>
      <w:r>
        <w:rPr>
          <w:rFonts w:ascii="Times New Roman" w:eastAsia="宋体" w:hAnsi="Times New Roman" w:hint="eastAsia"/>
          <w:sz w:val="24"/>
          <w:szCs w:val="24"/>
        </w:rPr>
        <w:t>第</w:t>
      </w:r>
      <w:r>
        <w:rPr>
          <w:rFonts w:ascii="Times New Roman" w:eastAsia="宋体" w:hAnsi="Times New Roman" w:hint="eastAsia"/>
          <w:sz w:val="24"/>
          <w:szCs w:val="24"/>
        </w:rPr>
        <w:t>80</w:t>
      </w:r>
      <w:r>
        <w:rPr>
          <w:rFonts w:ascii="Times New Roman" w:eastAsia="宋体" w:hAnsi="Times New Roman" w:hint="eastAsia"/>
          <w:sz w:val="24"/>
          <w:szCs w:val="24"/>
        </w:rPr>
        <w:t>号修正</w:t>
      </w:r>
      <w:r>
        <w:rPr>
          <w:rFonts w:ascii="Times New Roman" w:eastAsia="宋体" w:hAnsi="Times New Roman"/>
          <w:sz w:val="24"/>
          <w:szCs w:val="24"/>
        </w:rPr>
        <w:t>）</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《危险化学品重大危险源监督管理暂行规定》（国家安全生产监督管理总局令</w:t>
      </w:r>
      <w:r>
        <w:rPr>
          <w:rFonts w:ascii="Times New Roman" w:eastAsia="宋体" w:hAnsi="Times New Roman"/>
          <w:sz w:val="24"/>
          <w:szCs w:val="24"/>
        </w:rPr>
        <w:t>[2011]</w:t>
      </w:r>
      <w:r>
        <w:rPr>
          <w:rFonts w:ascii="Times New Roman" w:eastAsia="宋体" w:hAnsi="Times New Roman"/>
          <w:sz w:val="24"/>
          <w:szCs w:val="24"/>
        </w:rPr>
        <w:t>第</w:t>
      </w:r>
      <w:r>
        <w:rPr>
          <w:rFonts w:ascii="Times New Roman" w:eastAsia="宋体" w:hAnsi="Times New Roman"/>
          <w:sz w:val="24"/>
          <w:szCs w:val="24"/>
        </w:rPr>
        <w:t>40</w:t>
      </w:r>
      <w:r>
        <w:rPr>
          <w:rFonts w:ascii="Times New Roman" w:eastAsia="宋体" w:hAnsi="Times New Roman"/>
          <w:sz w:val="24"/>
          <w:szCs w:val="24"/>
        </w:rPr>
        <w:t>号，</w:t>
      </w:r>
      <w:r>
        <w:rPr>
          <w:rFonts w:ascii="Times New Roman" w:eastAsia="宋体" w:hAnsi="Times New Roman" w:hint="eastAsia"/>
          <w:sz w:val="24"/>
          <w:szCs w:val="24"/>
        </w:rPr>
        <w:t>第</w:t>
      </w:r>
      <w:r>
        <w:rPr>
          <w:rFonts w:ascii="Times New Roman" w:eastAsia="宋体" w:hAnsi="Times New Roman" w:hint="eastAsia"/>
          <w:sz w:val="24"/>
          <w:szCs w:val="24"/>
        </w:rPr>
        <w:t>79</w:t>
      </w:r>
      <w:r>
        <w:rPr>
          <w:rFonts w:ascii="Times New Roman" w:eastAsia="宋体" w:hAnsi="Times New Roman" w:hint="eastAsia"/>
          <w:sz w:val="24"/>
          <w:szCs w:val="24"/>
        </w:rPr>
        <w:t>号修正</w:t>
      </w:r>
      <w:r>
        <w:rPr>
          <w:rFonts w:ascii="Times New Roman" w:eastAsia="宋体" w:hAnsi="Times New Roman"/>
          <w:sz w:val="24"/>
          <w:szCs w:val="24"/>
        </w:rPr>
        <w:t>）</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《安全生产培训管理办法》（国家安全生产监督管理总局令</w:t>
      </w:r>
      <w:r>
        <w:rPr>
          <w:rFonts w:ascii="Times New Roman" w:eastAsia="宋体" w:hAnsi="Times New Roman"/>
          <w:sz w:val="24"/>
          <w:szCs w:val="24"/>
        </w:rPr>
        <w:t>[2012]</w:t>
      </w:r>
      <w:r>
        <w:rPr>
          <w:rFonts w:ascii="Times New Roman" w:eastAsia="宋体" w:hAnsi="Times New Roman"/>
          <w:sz w:val="24"/>
          <w:szCs w:val="24"/>
        </w:rPr>
        <w:t>第</w:t>
      </w:r>
      <w:r>
        <w:rPr>
          <w:rFonts w:ascii="Times New Roman" w:eastAsia="宋体" w:hAnsi="Times New Roman"/>
          <w:sz w:val="24"/>
          <w:szCs w:val="24"/>
        </w:rPr>
        <w:t>44</w:t>
      </w:r>
      <w:r>
        <w:rPr>
          <w:rFonts w:ascii="Times New Roman" w:eastAsia="宋体" w:hAnsi="Times New Roman"/>
          <w:sz w:val="24"/>
          <w:szCs w:val="24"/>
        </w:rPr>
        <w:t>号，</w:t>
      </w:r>
      <w:r>
        <w:rPr>
          <w:rFonts w:ascii="Times New Roman" w:eastAsia="宋体" w:hAnsi="Times New Roman" w:hint="eastAsia"/>
          <w:sz w:val="24"/>
          <w:szCs w:val="24"/>
        </w:rPr>
        <w:t>第</w:t>
      </w:r>
      <w:r>
        <w:rPr>
          <w:rFonts w:ascii="Times New Roman" w:eastAsia="宋体" w:hAnsi="Times New Roman" w:hint="eastAsia"/>
          <w:sz w:val="24"/>
          <w:szCs w:val="24"/>
        </w:rPr>
        <w:t>80</w:t>
      </w:r>
      <w:r>
        <w:rPr>
          <w:rFonts w:ascii="Times New Roman" w:eastAsia="宋体" w:hAnsi="Times New Roman" w:hint="eastAsia"/>
          <w:sz w:val="24"/>
          <w:szCs w:val="24"/>
        </w:rPr>
        <w:t>号第二次修正</w:t>
      </w:r>
      <w:r>
        <w:rPr>
          <w:rFonts w:ascii="Times New Roman" w:eastAsia="宋体" w:hAnsi="Times New Roman"/>
          <w:sz w:val="24"/>
          <w:szCs w:val="24"/>
        </w:rPr>
        <w:t>）</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《非煤矿山外包工程安全管理暂行办法》（国家安全生产监督管理总局令</w:t>
      </w:r>
      <w:r>
        <w:rPr>
          <w:rFonts w:ascii="Times New Roman" w:eastAsia="宋体" w:hAnsi="Times New Roman"/>
          <w:sz w:val="24"/>
          <w:szCs w:val="24"/>
        </w:rPr>
        <w:t>[2013]</w:t>
      </w:r>
      <w:r>
        <w:rPr>
          <w:rFonts w:ascii="Times New Roman" w:eastAsia="宋体" w:hAnsi="Times New Roman"/>
          <w:sz w:val="24"/>
          <w:szCs w:val="24"/>
        </w:rPr>
        <w:t>第</w:t>
      </w:r>
      <w:r>
        <w:rPr>
          <w:rFonts w:ascii="Times New Roman" w:eastAsia="宋体" w:hAnsi="Times New Roman"/>
          <w:sz w:val="24"/>
          <w:szCs w:val="24"/>
        </w:rPr>
        <w:t>62</w:t>
      </w:r>
      <w:r>
        <w:rPr>
          <w:rFonts w:ascii="Times New Roman" w:eastAsia="宋体" w:hAnsi="Times New Roman"/>
          <w:sz w:val="24"/>
          <w:szCs w:val="24"/>
        </w:rPr>
        <w:t>号，第</w:t>
      </w:r>
      <w:r>
        <w:rPr>
          <w:rFonts w:ascii="Times New Roman" w:eastAsia="宋体" w:hAnsi="Times New Roman"/>
          <w:sz w:val="24"/>
          <w:szCs w:val="24"/>
        </w:rPr>
        <w:t>78</w:t>
      </w:r>
      <w:r>
        <w:rPr>
          <w:rFonts w:ascii="Times New Roman" w:eastAsia="宋体" w:hAnsi="Times New Roman"/>
          <w:sz w:val="24"/>
          <w:szCs w:val="24"/>
        </w:rPr>
        <w:t>号修正）</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《生产安全事故应急预案管理办法》（国家安全生产监督管理总局令</w:t>
      </w:r>
      <w:r>
        <w:rPr>
          <w:rFonts w:ascii="Times New Roman" w:eastAsia="宋体" w:hAnsi="Times New Roman"/>
          <w:sz w:val="24"/>
          <w:szCs w:val="24"/>
        </w:rPr>
        <w:t>[2016]</w:t>
      </w:r>
      <w:r>
        <w:rPr>
          <w:rFonts w:ascii="Times New Roman" w:eastAsia="宋体" w:hAnsi="Times New Roman"/>
          <w:sz w:val="24"/>
          <w:szCs w:val="24"/>
        </w:rPr>
        <w:t>第</w:t>
      </w:r>
      <w:r>
        <w:rPr>
          <w:rFonts w:ascii="Times New Roman" w:eastAsia="宋体" w:hAnsi="Times New Roman"/>
          <w:sz w:val="24"/>
          <w:szCs w:val="24"/>
        </w:rPr>
        <w:t>88</w:t>
      </w:r>
      <w:r>
        <w:rPr>
          <w:rFonts w:ascii="Times New Roman" w:eastAsia="宋体" w:hAnsi="Times New Roman"/>
          <w:sz w:val="24"/>
          <w:szCs w:val="24"/>
        </w:rPr>
        <w:t>号，应急管理部令</w:t>
      </w:r>
      <w:r>
        <w:rPr>
          <w:rFonts w:ascii="Times New Roman" w:eastAsia="宋体" w:hAnsi="Times New Roman"/>
          <w:sz w:val="24"/>
          <w:szCs w:val="24"/>
        </w:rPr>
        <w:t>[2019]</w:t>
      </w:r>
      <w:r>
        <w:rPr>
          <w:rFonts w:ascii="Times New Roman" w:eastAsia="宋体" w:hAnsi="Times New Roman"/>
          <w:sz w:val="24"/>
          <w:szCs w:val="24"/>
        </w:rPr>
        <w:t>第</w:t>
      </w:r>
      <w:r>
        <w:rPr>
          <w:rFonts w:ascii="Times New Roman" w:eastAsia="宋体" w:hAnsi="Times New Roman"/>
          <w:sz w:val="24"/>
          <w:szCs w:val="24"/>
        </w:rPr>
        <w:t>2</w:t>
      </w:r>
      <w:r>
        <w:rPr>
          <w:rFonts w:ascii="Times New Roman" w:eastAsia="宋体" w:hAnsi="Times New Roman"/>
          <w:sz w:val="24"/>
          <w:szCs w:val="24"/>
        </w:rPr>
        <w:t>号修改）</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《防雷减灾管理办法（修订）》（中国气象局</w:t>
      </w:r>
      <w:r>
        <w:rPr>
          <w:rFonts w:ascii="Times New Roman" w:eastAsia="宋体" w:hAnsi="Times New Roman"/>
          <w:sz w:val="24"/>
          <w:szCs w:val="24"/>
        </w:rPr>
        <w:t>[2013]</w:t>
      </w:r>
      <w:r>
        <w:rPr>
          <w:rFonts w:ascii="Times New Roman" w:eastAsia="宋体" w:hAnsi="Times New Roman"/>
          <w:sz w:val="24"/>
          <w:szCs w:val="24"/>
        </w:rPr>
        <w:t>第</w:t>
      </w:r>
      <w:r>
        <w:rPr>
          <w:rFonts w:ascii="Times New Roman" w:eastAsia="宋体" w:hAnsi="Times New Roman"/>
          <w:sz w:val="24"/>
          <w:szCs w:val="24"/>
        </w:rPr>
        <w:t>24</w:t>
      </w:r>
      <w:r>
        <w:rPr>
          <w:rFonts w:ascii="Times New Roman" w:eastAsia="宋体" w:hAnsi="Times New Roman"/>
          <w:sz w:val="24"/>
          <w:szCs w:val="24"/>
        </w:rPr>
        <w:t>号令）</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《危险化学品目录（</w:t>
      </w:r>
      <w:r>
        <w:rPr>
          <w:rFonts w:ascii="Times New Roman" w:eastAsia="宋体" w:hAnsi="Times New Roman"/>
          <w:sz w:val="24"/>
          <w:szCs w:val="24"/>
        </w:rPr>
        <w:t>2015</w:t>
      </w:r>
      <w:r>
        <w:rPr>
          <w:rFonts w:ascii="Times New Roman" w:eastAsia="宋体" w:hAnsi="Times New Roman"/>
          <w:sz w:val="24"/>
          <w:szCs w:val="24"/>
        </w:rPr>
        <w:t>版）》（安全监管总局、工业和信息化部、公安部、环境保护部、交通运输部、农业部、国家卫生计生委、质检总局、铁路局、民航局公告</w:t>
      </w:r>
      <w:r>
        <w:rPr>
          <w:rFonts w:ascii="Times New Roman" w:eastAsia="宋体" w:hAnsi="Times New Roman"/>
          <w:sz w:val="24"/>
          <w:szCs w:val="24"/>
        </w:rPr>
        <w:t>[2015]</w:t>
      </w:r>
      <w:r>
        <w:rPr>
          <w:rFonts w:ascii="Times New Roman" w:eastAsia="宋体" w:hAnsi="Times New Roman"/>
          <w:sz w:val="24"/>
          <w:szCs w:val="24"/>
        </w:rPr>
        <w:t>第</w:t>
      </w:r>
      <w:r>
        <w:rPr>
          <w:rFonts w:ascii="Times New Roman" w:eastAsia="宋体" w:hAnsi="Times New Roman"/>
          <w:sz w:val="24"/>
          <w:szCs w:val="24"/>
        </w:rPr>
        <w:t>5</w:t>
      </w:r>
      <w:r>
        <w:rPr>
          <w:rFonts w:ascii="Times New Roman" w:eastAsia="宋体" w:hAnsi="Times New Roman"/>
          <w:sz w:val="24"/>
          <w:szCs w:val="24"/>
        </w:rPr>
        <w:t>号</w:t>
      </w:r>
      <w:r>
        <w:rPr>
          <w:rFonts w:ascii="Times New Roman" w:eastAsia="宋体" w:hAnsi="Times New Roman" w:hint="eastAsia"/>
          <w:sz w:val="24"/>
          <w:szCs w:val="24"/>
        </w:rPr>
        <w:t>，</w:t>
      </w:r>
      <w:r>
        <w:rPr>
          <w:rFonts w:ascii="Times New Roman" w:eastAsia="宋体" w:hAnsi="Times New Roman" w:hint="eastAsia"/>
          <w:sz w:val="24"/>
          <w:szCs w:val="24"/>
        </w:rPr>
        <w:t>2022</w:t>
      </w:r>
      <w:r>
        <w:rPr>
          <w:rFonts w:ascii="Times New Roman" w:eastAsia="宋体" w:hAnsi="Times New Roman" w:hint="eastAsia"/>
          <w:sz w:val="24"/>
          <w:szCs w:val="24"/>
        </w:rPr>
        <w:t>第</w:t>
      </w:r>
      <w:r>
        <w:rPr>
          <w:rFonts w:ascii="Times New Roman" w:eastAsia="宋体" w:hAnsi="Times New Roman" w:hint="eastAsia"/>
          <w:sz w:val="24"/>
          <w:szCs w:val="24"/>
        </w:rPr>
        <w:t>8</w:t>
      </w:r>
      <w:r>
        <w:rPr>
          <w:rFonts w:ascii="Times New Roman" w:eastAsia="宋体" w:hAnsi="Times New Roman" w:hint="eastAsia"/>
          <w:sz w:val="24"/>
          <w:szCs w:val="24"/>
        </w:rPr>
        <w:t>号修正</w:t>
      </w:r>
      <w:r>
        <w:rPr>
          <w:rFonts w:ascii="Times New Roman" w:eastAsia="宋体" w:hAnsi="Times New Roman"/>
          <w:sz w:val="24"/>
          <w:szCs w:val="24"/>
        </w:rPr>
        <w:t>）</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《企业安全生产费用提取和使用管理办法》（财</w:t>
      </w:r>
      <w:r>
        <w:rPr>
          <w:rFonts w:ascii="Times New Roman" w:eastAsia="宋体" w:hAnsi="Times New Roman" w:hint="eastAsia"/>
          <w:sz w:val="24"/>
          <w:szCs w:val="24"/>
        </w:rPr>
        <w:t>资</w:t>
      </w:r>
      <w:r>
        <w:rPr>
          <w:rFonts w:ascii="Times New Roman" w:eastAsia="宋体" w:hAnsi="Times New Roman"/>
          <w:sz w:val="24"/>
          <w:szCs w:val="24"/>
        </w:rPr>
        <w:t>[20</w:t>
      </w:r>
      <w:r>
        <w:rPr>
          <w:rFonts w:ascii="Times New Roman" w:eastAsia="宋体" w:hAnsi="Times New Roman" w:hint="eastAsia"/>
          <w:sz w:val="24"/>
          <w:szCs w:val="24"/>
        </w:rPr>
        <w:t>2</w:t>
      </w:r>
      <w:r>
        <w:rPr>
          <w:rFonts w:ascii="Times New Roman" w:eastAsia="宋体" w:hAnsi="Times New Roman"/>
          <w:sz w:val="24"/>
          <w:szCs w:val="24"/>
        </w:rPr>
        <w:t>2]</w:t>
      </w:r>
      <w:r>
        <w:rPr>
          <w:rFonts w:ascii="Times New Roman" w:eastAsia="宋体" w:hAnsi="Times New Roman" w:hint="eastAsia"/>
          <w:sz w:val="24"/>
          <w:szCs w:val="24"/>
        </w:rPr>
        <w:t>136</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lastRenderedPageBreak/>
        <w:t>《安全生产责任保险实施办法》（安监总办</w:t>
      </w:r>
      <w:r>
        <w:rPr>
          <w:rFonts w:ascii="Times New Roman" w:eastAsia="宋体" w:hAnsi="Times New Roman"/>
          <w:sz w:val="24"/>
          <w:szCs w:val="24"/>
        </w:rPr>
        <w:t>[2017]140</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《关于印发用人单位劳动防护用品管理规范的通知》（安监总厅安健</w:t>
      </w:r>
      <w:r>
        <w:rPr>
          <w:rFonts w:ascii="Times New Roman" w:eastAsia="宋体" w:hAnsi="Times New Roman"/>
          <w:sz w:val="24"/>
          <w:szCs w:val="24"/>
        </w:rPr>
        <w:t>[2018]3</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《国务院安委会办公室关于全面加强企业全员安全生产责任制工作的通知》（安委办</w:t>
      </w:r>
      <w:r>
        <w:rPr>
          <w:rFonts w:ascii="Times New Roman" w:eastAsia="宋体" w:hAnsi="Times New Roman"/>
          <w:sz w:val="24"/>
          <w:szCs w:val="24"/>
        </w:rPr>
        <w:t>[2017]29</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《注册安全工程师分类管理办法》（安监总人事</w:t>
      </w:r>
      <w:r>
        <w:rPr>
          <w:rFonts w:ascii="Times New Roman" w:eastAsia="宋体" w:hAnsi="Times New Roman"/>
          <w:sz w:val="24"/>
          <w:szCs w:val="24"/>
        </w:rPr>
        <w:t>[2017]118</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《注册安全工程师职业资格制度规定》（应急</w:t>
      </w:r>
      <w:r>
        <w:rPr>
          <w:rFonts w:ascii="Times New Roman" w:eastAsia="宋体" w:hAnsi="Times New Roman"/>
          <w:sz w:val="24"/>
          <w:szCs w:val="24"/>
        </w:rPr>
        <w:t>[2019]8</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hAnsi="Times New Roman"/>
          <w:sz w:val="24"/>
          <w:szCs w:val="24"/>
        </w:rPr>
      </w:pPr>
      <w:r>
        <w:rPr>
          <w:rFonts w:ascii="Times New Roman" w:eastAsia="宋体" w:hAnsi="Times New Roman"/>
          <w:sz w:val="24"/>
          <w:szCs w:val="24"/>
        </w:rPr>
        <w:t>《企业安全生产标准化建设定级办法》（应急</w:t>
      </w:r>
      <w:r>
        <w:rPr>
          <w:rFonts w:ascii="Times New Roman" w:eastAsia="宋体" w:hAnsi="Times New Roman"/>
          <w:sz w:val="24"/>
          <w:szCs w:val="24"/>
        </w:rPr>
        <w:t>[2021]83</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《市场监管总局关于特种设备行政许可有关事项的公告》（市监管</w:t>
      </w:r>
      <w:r>
        <w:rPr>
          <w:rFonts w:ascii="Times New Roman" w:eastAsia="宋体" w:hAnsi="Times New Roman" w:hint="eastAsia"/>
          <w:sz w:val="24"/>
          <w:szCs w:val="24"/>
        </w:rPr>
        <w:t>公告</w:t>
      </w:r>
      <w:r>
        <w:rPr>
          <w:rFonts w:ascii="Times New Roman" w:eastAsia="宋体" w:hAnsi="Times New Roman"/>
          <w:snapToGrid w:val="0"/>
          <w:sz w:val="24"/>
          <w:szCs w:val="24"/>
        </w:rPr>
        <w:t>[202</w:t>
      </w:r>
      <w:r>
        <w:rPr>
          <w:rFonts w:ascii="Times New Roman" w:eastAsia="宋体" w:hAnsi="Times New Roman" w:hint="eastAsia"/>
          <w:snapToGrid w:val="0"/>
          <w:sz w:val="24"/>
          <w:szCs w:val="24"/>
        </w:rPr>
        <w:t>1</w:t>
      </w:r>
      <w:r>
        <w:rPr>
          <w:rFonts w:ascii="Times New Roman" w:eastAsia="宋体" w:hAnsi="Times New Roman"/>
          <w:snapToGrid w:val="0"/>
          <w:sz w:val="24"/>
          <w:szCs w:val="24"/>
        </w:rPr>
        <w:t>]</w:t>
      </w:r>
      <w:r>
        <w:rPr>
          <w:rFonts w:ascii="Times New Roman" w:eastAsia="宋体" w:hAnsi="Times New Roman"/>
          <w:sz w:val="24"/>
          <w:szCs w:val="24"/>
        </w:rPr>
        <w:t>第</w:t>
      </w:r>
      <w:r>
        <w:rPr>
          <w:rFonts w:ascii="Times New Roman" w:eastAsia="宋体" w:hAnsi="Times New Roman" w:hint="eastAsia"/>
          <w:sz w:val="24"/>
          <w:szCs w:val="24"/>
        </w:rPr>
        <w:t>41</w:t>
      </w:r>
      <w:r>
        <w:rPr>
          <w:rFonts w:ascii="Times New Roman" w:eastAsia="宋体" w:hAnsi="Times New Roman"/>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sz w:val="24"/>
          <w:szCs w:val="24"/>
        </w:rPr>
        <w:t>应急管理部危化监管二司关于印发《陆上石油天然气开采安全风险评估工作方案》的通知</w:t>
      </w:r>
      <w:r>
        <w:rPr>
          <w:rFonts w:ascii="Times New Roman" w:eastAsia="宋体" w:hAnsi="Times New Roman" w:hint="eastAsia"/>
          <w:sz w:val="24"/>
          <w:szCs w:val="24"/>
        </w:rPr>
        <w:t>（应急危化二</w:t>
      </w:r>
      <w:r>
        <w:rPr>
          <w:rFonts w:ascii="Times New Roman" w:eastAsia="宋体" w:hAnsi="Times New Roman"/>
          <w:sz w:val="24"/>
          <w:szCs w:val="24"/>
        </w:rPr>
        <w:t>[2022]</w:t>
      </w:r>
      <w:r>
        <w:rPr>
          <w:rFonts w:ascii="Times New Roman" w:eastAsia="宋体" w:hAnsi="Times New Roman" w:hint="eastAsia"/>
          <w:sz w:val="24"/>
          <w:szCs w:val="24"/>
        </w:rPr>
        <w:t>3</w:t>
      </w:r>
      <w:r>
        <w:rPr>
          <w:rFonts w:ascii="Times New Roman" w:eastAsia="宋体" w:hAnsi="Times New Roman" w:hint="eastAsia"/>
          <w:sz w:val="24"/>
          <w:szCs w:val="24"/>
        </w:rPr>
        <w:t>号）</w:t>
      </w:r>
    </w:p>
    <w:p w:rsidR="00F95F9B" w:rsidRDefault="00000000">
      <w:pPr>
        <w:pStyle w:val="19"/>
        <w:widowControl w:val="0"/>
        <w:numPr>
          <w:ilvl w:val="0"/>
          <w:numId w:val="8"/>
        </w:numPr>
        <w:spacing w:after="0"/>
        <w:ind w:left="0" w:firstLine="470"/>
        <w:jc w:val="both"/>
        <w:rPr>
          <w:rFonts w:ascii="Times New Roman" w:eastAsia="宋体" w:hAnsi="Times New Roman"/>
          <w:sz w:val="24"/>
          <w:szCs w:val="24"/>
        </w:rPr>
      </w:pPr>
      <w:r>
        <w:rPr>
          <w:rFonts w:ascii="Times New Roman" w:eastAsia="宋体" w:hAnsi="Times New Roman" w:hint="eastAsia"/>
          <w:sz w:val="24"/>
          <w:szCs w:val="24"/>
        </w:rPr>
        <w:t>《陆上石油安全风险专项整治工作实施方案》（应急厅〔</w:t>
      </w:r>
      <w:r>
        <w:rPr>
          <w:rFonts w:ascii="Times New Roman" w:eastAsia="宋体" w:hAnsi="Times New Roman" w:hint="eastAsia"/>
          <w:sz w:val="24"/>
          <w:szCs w:val="24"/>
        </w:rPr>
        <w:t>2023</w:t>
      </w:r>
      <w:r>
        <w:rPr>
          <w:rFonts w:ascii="Times New Roman" w:eastAsia="宋体" w:hAnsi="Times New Roman" w:hint="eastAsia"/>
          <w:sz w:val="24"/>
          <w:szCs w:val="24"/>
        </w:rPr>
        <w:t>〕</w:t>
      </w:r>
      <w:r>
        <w:rPr>
          <w:rFonts w:ascii="Times New Roman" w:eastAsia="宋体" w:hAnsi="Times New Roman" w:hint="eastAsia"/>
          <w:sz w:val="24"/>
          <w:szCs w:val="24"/>
        </w:rPr>
        <w:t>5</w:t>
      </w:r>
      <w:r>
        <w:rPr>
          <w:rFonts w:ascii="Times New Roman" w:eastAsia="宋体" w:hAnsi="Times New Roman" w:hint="eastAsia"/>
          <w:sz w:val="24"/>
          <w:szCs w:val="24"/>
        </w:rPr>
        <w:t>号）</w:t>
      </w:r>
    </w:p>
    <w:p w:rsidR="00F95F9B" w:rsidRDefault="00000000">
      <w:pPr>
        <w:pStyle w:val="3"/>
        <w:keepNext w:val="0"/>
        <w:keepLines w:val="0"/>
        <w:widowControl w:val="0"/>
        <w:adjustRightInd w:val="0"/>
        <w:snapToGrid w:val="0"/>
        <w:ind w:left="0"/>
        <w:rPr>
          <w:snapToGrid w:val="0"/>
          <w:kern w:val="0"/>
          <w:szCs w:val="24"/>
        </w:rPr>
      </w:pPr>
      <w:r>
        <w:rPr>
          <w:rFonts w:hint="eastAsia"/>
          <w:snapToGrid w:val="0"/>
          <w:kern w:val="0"/>
          <w:szCs w:val="24"/>
        </w:rPr>
        <w:t>地方性法规、规章和规范性文件</w:t>
      </w:r>
    </w:p>
    <w:p w:rsidR="00F95F9B" w:rsidRDefault="00000000">
      <w:pPr>
        <w:pStyle w:val="19"/>
        <w:widowControl w:val="0"/>
        <w:numPr>
          <w:ilvl w:val="0"/>
          <w:numId w:val="9"/>
        </w:numPr>
        <w:spacing w:after="0"/>
        <w:ind w:left="0" w:firstLineChars="0" w:firstLine="462"/>
        <w:jc w:val="both"/>
        <w:rPr>
          <w:rFonts w:ascii="Times New Roman" w:eastAsia="宋体" w:hAnsi="Times New Roman"/>
          <w:sz w:val="24"/>
          <w:szCs w:val="24"/>
        </w:rPr>
      </w:pPr>
      <w:r>
        <w:rPr>
          <w:rFonts w:ascii="Times New Roman" w:eastAsia="宋体" w:hAnsi="Times New Roman"/>
          <w:sz w:val="24"/>
          <w:szCs w:val="24"/>
        </w:rPr>
        <w:t>《山东省安全生产条例》（</w:t>
      </w:r>
      <w:r>
        <w:rPr>
          <w:rFonts w:ascii="Times New Roman" w:eastAsia="宋体" w:hAnsi="Times New Roman"/>
          <w:sz w:val="24"/>
          <w:szCs w:val="24"/>
        </w:rPr>
        <w:t>2021</w:t>
      </w:r>
      <w:r>
        <w:rPr>
          <w:rFonts w:ascii="Times New Roman" w:eastAsia="宋体" w:hAnsi="Times New Roman"/>
          <w:sz w:val="24"/>
          <w:szCs w:val="24"/>
        </w:rPr>
        <w:t>年</w:t>
      </w:r>
      <w:r>
        <w:rPr>
          <w:rFonts w:ascii="Times New Roman" w:eastAsia="宋体" w:hAnsi="Times New Roman"/>
          <w:sz w:val="24"/>
          <w:szCs w:val="24"/>
        </w:rPr>
        <w:t>12</w:t>
      </w:r>
      <w:r>
        <w:rPr>
          <w:rFonts w:ascii="Times New Roman" w:eastAsia="宋体" w:hAnsi="Times New Roman"/>
          <w:sz w:val="24"/>
          <w:szCs w:val="24"/>
        </w:rPr>
        <w:t>月</w:t>
      </w:r>
      <w:r>
        <w:rPr>
          <w:rFonts w:ascii="Times New Roman" w:eastAsia="宋体" w:hAnsi="Times New Roman"/>
          <w:sz w:val="24"/>
          <w:szCs w:val="24"/>
        </w:rPr>
        <w:t>3</w:t>
      </w:r>
      <w:r>
        <w:rPr>
          <w:rFonts w:ascii="Times New Roman" w:eastAsia="宋体" w:hAnsi="Times New Roman"/>
          <w:sz w:val="24"/>
          <w:szCs w:val="24"/>
        </w:rPr>
        <w:t>日山东省第十三届人民代表大会常务委员会第三十二次会议修订）</w:t>
      </w:r>
    </w:p>
    <w:p w:rsidR="00F95F9B" w:rsidRDefault="00000000">
      <w:pPr>
        <w:pStyle w:val="19"/>
        <w:widowControl w:val="0"/>
        <w:numPr>
          <w:ilvl w:val="0"/>
          <w:numId w:val="9"/>
        </w:numPr>
        <w:spacing w:after="0"/>
        <w:ind w:left="0" w:firstLineChars="0" w:firstLine="462"/>
        <w:jc w:val="both"/>
        <w:rPr>
          <w:rFonts w:ascii="Times New Roman" w:eastAsia="宋体" w:hAnsi="Times New Roman"/>
          <w:sz w:val="24"/>
          <w:szCs w:val="24"/>
        </w:rPr>
      </w:pPr>
      <w:r>
        <w:rPr>
          <w:rFonts w:ascii="Times New Roman" w:eastAsia="宋体" w:hAnsi="Times New Roman"/>
          <w:sz w:val="24"/>
          <w:szCs w:val="24"/>
        </w:rPr>
        <w:t>《山东省消防条例》（</w:t>
      </w:r>
      <w:r>
        <w:rPr>
          <w:rFonts w:ascii="Times New Roman" w:eastAsia="宋体" w:hAnsi="Times New Roman" w:hint="eastAsia"/>
          <w:sz w:val="24"/>
          <w:szCs w:val="24"/>
        </w:rPr>
        <w:t>山东省人民代表大会常务委员会公告第</w:t>
      </w:r>
      <w:r>
        <w:rPr>
          <w:rFonts w:ascii="Times New Roman" w:eastAsia="宋体" w:hAnsi="Times New Roman" w:hint="eastAsia"/>
          <w:sz w:val="24"/>
          <w:szCs w:val="24"/>
        </w:rPr>
        <w:t>70</w:t>
      </w:r>
      <w:r>
        <w:rPr>
          <w:rFonts w:ascii="Times New Roman" w:eastAsia="宋体" w:hAnsi="Times New Roman" w:hint="eastAsia"/>
          <w:sz w:val="24"/>
          <w:szCs w:val="24"/>
        </w:rPr>
        <w:t>号发布，山东省人民代表大会常务委员会公告第</w:t>
      </w:r>
      <w:r>
        <w:rPr>
          <w:rFonts w:ascii="Times New Roman" w:eastAsia="宋体" w:hAnsi="Times New Roman" w:hint="eastAsia"/>
          <w:sz w:val="24"/>
          <w:szCs w:val="24"/>
        </w:rPr>
        <w:t>100</w:t>
      </w:r>
      <w:r>
        <w:rPr>
          <w:rFonts w:ascii="Times New Roman" w:eastAsia="宋体" w:hAnsi="Times New Roman" w:hint="eastAsia"/>
          <w:sz w:val="24"/>
          <w:szCs w:val="24"/>
        </w:rPr>
        <w:t>号修正</w:t>
      </w:r>
      <w:r>
        <w:rPr>
          <w:rFonts w:ascii="Times New Roman" w:eastAsia="宋体" w:hAnsi="Times New Roman"/>
          <w:sz w:val="24"/>
          <w:szCs w:val="24"/>
        </w:rPr>
        <w:t>）</w:t>
      </w:r>
    </w:p>
    <w:p w:rsidR="00F95F9B" w:rsidRDefault="00000000">
      <w:pPr>
        <w:pStyle w:val="19"/>
        <w:widowControl w:val="0"/>
        <w:numPr>
          <w:ilvl w:val="0"/>
          <w:numId w:val="9"/>
        </w:numPr>
        <w:spacing w:after="0"/>
        <w:ind w:left="0" w:firstLineChars="0" w:firstLine="462"/>
        <w:jc w:val="both"/>
        <w:rPr>
          <w:rFonts w:ascii="Times New Roman" w:eastAsia="宋体" w:hAnsi="Times New Roman"/>
          <w:sz w:val="24"/>
          <w:szCs w:val="24"/>
        </w:rPr>
      </w:pPr>
      <w:r>
        <w:rPr>
          <w:rFonts w:ascii="Times New Roman" w:eastAsia="宋体" w:hAnsi="Times New Roman"/>
          <w:sz w:val="24"/>
          <w:szCs w:val="24"/>
        </w:rPr>
        <w:t>《山东省特种设备安全条例》（</w:t>
      </w:r>
      <w:r>
        <w:rPr>
          <w:rFonts w:ascii="Times New Roman" w:eastAsia="宋体" w:hAnsi="Times New Roman"/>
          <w:sz w:val="24"/>
          <w:szCs w:val="24"/>
        </w:rPr>
        <w:t>2015</w:t>
      </w:r>
      <w:r>
        <w:rPr>
          <w:rFonts w:ascii="Times New Roman" w:eastAsia="宋体" w:hAnsi="Times New Roman"/>
          <w:sz w:val="24"/>
          <w:szCs w:val="24"/>
        </w:rPr>
        <w:t>年</w:t>
      </w:r>
      <w:r>
        <w:rPr>
          <w:rFonts w:ascii="Times New Roman" w:eastAsia="宋体" w:hAnsi="Times New Roman"/>
          <w:sz w:val="24"/>
          <w:szCs w:val="24"/>
        </w:rPr>
        <w:t>12</w:t>
      </w:r>
      <w:r>
        <w:rPr>
          <w:rFonts w:ascii="Times New Roman" w:eastAsia="宋体" w:hAnsi="Times New Roman"/>
          <w:sz w:val="24"/>
          <w:szCs w:val="24"/>
        </w:rPr>
        <w:t>月</w:t>
      </w:r>
      <w:r>
        <w:rPr>
          <w:rFonts w:ascii="Times New Roman" w:eastAsia="宋体" w:hAnsi="Times New Roman"/>
          <w:sz w:val="24"/>
          <w:szCs w:val="24"/>
        </w:rPr>
        <w:t>3</w:t>
      </w:r>
      <w:r>
        <w:rPr>
          <w:rFonts w:ascii="Times New Roman" w:eastAsia="宋体" w:hAnsi="Times New Roman"/>
          <w:sz w:val="24"/>
          <w:szCs w:val="24"/>
        </w:rPr>
        <w:t>日山东省第十二届人民代表大会常务委员会第十七次会议通过）</w:t>
      </w:r>
    </w:p>
    <w:p w:rsidR="00F95F9B" w:rsidRDefault="00000000">
      <w:pPr>
        <w:pStyle w:val="19"/>
        <w:widowControl w:val="0"/>
        <w:numPr>
          <w:ilvl w:val="0"/>
          <w:numId w:val="9"/>
        </w:numPr>
        <w:spacing w:after="0"/>
        <w:ind w:left="0" w:firstLineChars="0" w:firstLine="462"/>
        <w:jc w:val="both"/>
        <w:rPr>
          <w:rFonts w:ascii="Times New Roman" w:eastAsia="宋体" w:hAnsi="Times New Roman"/>
          <w:sz w:val="24"/>
          <w:szCs w:val="24"/>
        </w:rPr>
      </w:pPr>
      <w:r>
        <w:rPr>
          <w:rFonts w:ascii="Times New Roman" w:eastAsia="宋体" w:hAnsi="Times New Roman"/>
          <w:sz w:val="24"/>
          <w:szCs w:val="24"/>
        </w:rPr>
        <w:t>《山东省生产经营单位安全生产主体责任规定》（</w:t>
      </w:r>
      <w:r>
        <w:rPr>
          <w:rFonts w:ascii="Times New Roman" w:eastAsia="宋体" w:hAnsi="Times New Roman"/>
          <w:sz w:val="24"/>
          <w:szCs w:val="24"/>
        </w:rPr>
        <w:t>2013</w:t>
      </w:r>
      <w:r>
        <w:rPr>
          <w:rFonts w:ascii="Times New Roman" w:eastAsia="宋体" w:hAnsi="Times New Roman"/>
          <w:sz w:val="24"/>
          <w:szCs w:val="24"/>
        </w:rPr>
        <w:t>年</w:t>
      </w:r>
      <w:r>
        <w:rPr>
          <w:rFonts w:ascii="Times New Roman" w:eastAsia="宋体" w:hAnsi="Times New Roman"/>
          <w:sz w:val="24"/>
          <w:szCs w:val="24"/>
        </w:rPr>
        <w:t>3</w:t>
      </w:r>
      <w:r>
        <w:rPr>
          <w:rFonts w:ascii="Times New Roman" w:eastAsia="宋体" w:hAnsi="Times New Roman"/>
          <w:sz w:val="24"/>
          <w:szCs w:val="24"/>
        </w:rPr>
        <w:t>月</w:t>
      </w:r>
      <w:r>
        <w:rPr>
          <w:rFonts w:ascii="Times New Roman" w:eastAsia="宋体" w:hAnsi="Times New Roman"/>
          <w:sz w:val="24"/>
          <w:szCs w:val="24"/>
        </w:rPr>
        <w:t>1</w:t>
      </w:r>
      <w:r>
        <w:rPr>
          <w:rFonts w:ascii="Times New Roman" w:eastAsia="宋体" w:hAnsi="Times New Roman"/>
          <w:sz w:val="24"/>
          <w:szCs w:val="24"/>
        </w:rPr>
        <w:t>日山东省人民政府令第</w:t>
      </w:r>
      <w:r>
        <w:rPr>
          <w:rFonts w:ascii="Times New Roman" w:eastAsia="宋体" w:hAnsi="Times New Roman"/>
          <w:sz w:val="24"/>
          <w:szCs w:val="24"/>
        </w:rPr>
        <w:t>260</w:t>
      </w:r>
      <w:r>
        <w:rPr>
          <w:rFonts w:ascii="Times New Roman" w:eastAsia="宋体" w:hAnsi="Times New Roman"/>
          <w:sz w:val="24"/>
          <w:szCs w:val="24"/>
        </w:rPr>
        <w:t>号；</w:t>
      </w:r>
      <w:r>
        <w:rPr>
          <w:rFonts w:ascii="Times New Roman" w:eastAsia="宋体" w:hAnsi="Times New Roman"/>
          <w:sz w:val="24"/>
          <w:szCs w:val="24"/>
        </w:rPr>
        <w:t>2016</w:t>
      </w:r>
      <w:r>
        <w:rPr>
          <w:rFonts w:ascii="Times New Roman" w:eastAsia="宋体" w:hAnsi="Times New Roman"/>
          <w:sz w:val="24"/>
          <w:szCs w:val="24"/>
        </w:rPr>
        <w:t>年</w:t>
      </w:r>
      <w:r>
        <w:rPr>
          <w:rFonts w:ascii="Times New Roman" w:eastAsia="宋体" w:hAnsi="Times New Roman"/>
          <w:sz w:val="24"/>
          <w:szCs w:val="24"/>
        </w:rPr>
        <w:t>6</w:t>
      </w:r>
      <w:r>
        <w:rPr>
          <w:rFonts w:ascii="Times New Roman" w:eastAsia="宋体" w:hAnsi="Times New Roman"/>
          <w:sz w:val="24"/>
          <w:szCs w:val="24"/>
        </w:rPr>
        <w:t>月</w:t>
      </w:r>
      <w:r>
        <w:rPr>
          <w:rFonts w:ascii="Times New Roman" w:eastAsia="宋体" w:hAnsi="Times New Roman"/>
          <w:sz w:val="24"/>
          <w:szCs w:val="24"/>
        </w:rPr>
        <w:t>7</w:t>
      </w:r>
      <w:r>
        <w:rPr>
          <w:rFonts w:ascii="Times New Roman" w:eastAsia="宋体" w:hAnsi="Times New Roman"/>
          <w:sz w:val="24"/>
          <w:szCs w:val="24"/>
        </w:rPr>
        <w:t>日山东省人民政府令第</w:t>
      </w:r>
      <w:r>
        <w:rPr>
          <w:rFonts w:ascii="Times New Roman" w:eastAsia="宋体" w:hAnsi="Times New Roman"/>
          <w:sz w:val="24"/>
          <w:szCs w:val="24"/>
        </w:rPr>
        <w:t>303</w:t>
      </w:r>
      <w:r>
        <w:rPr>
          <w:rFonts w:ascii="Times New Roman" w:eastAsia="宋体" w:hAnsi="Times New Roman"/>
          <w:sz w:val="24"/>
          <w:szCs w:val="24"/>
        </w:rPr>
        <w:t>号第一次修订；</w:t>
      </w:r>
      <w:r>
        <w:rPr>
          <w:rFonts w:ascii="Times New Roman" w:eastAsia="宋体" w:hAnsi="Times New Roman"/>
          <w:sz w:val="24"/>
          <w:szCs w:val="24"/>
        </w:rPr>
        <w:t>2018</w:t>
      </w:r>
      <w:r>
        <w:rPr>
          <w:rFonts w:ascii="Times New Roman" w:eastAsia="宋体" w:hAnsi="Times New Roman"/>
          <w:sz w:val="24"/>
          <w:szCs w:val="24"/>
        </w:rPr>
        <w:t>年</w:t>
      </w:r>
      <w:r>
        <w:rPr>
          <w:rFonts w:ascii="Times New Roman" w:eastAsia="宋体" w:hAnsi="Times New Roman"/>
          <w:sz w:val="24"/>
          <w:szCs w:val="24"/>
        </w:rPr>
        <w:t>1</w:t>
      </w:r>
      <w:r>
        <w:rPr>
          <w:rFonts w:ascii="Times New Roman" w:eastAsia="宋体" w:hAnsi="Times New Roman"/>
          <w:sz w:val="24"/>
          <w:szCs w:val="24"/>
        </w:rPr>
        <w:t>月</w:t>
      </w:r>
      <w:r>
        <w:rPr>
          <w:rFonts w:ascii="Times New Roman" w:eastAsia="宋体" w:hAnsi="Times New Roman"/>
          <w:sz w:val="24"/>
          <w:szCs w:val="24"/>
        </w:rPr>
        <w:t>24</w:t>
      </w:r>
      <w:r>
        <w:rPr>
          <w:rFonts w:ascii="Times New Roman" w:eastAsia="宋体" w:hAnsi="Times New Roman"/>
          <w:sz w:val="24"/>
          <w:szCs w:val="24"/>
        </w:rPr>
        <w:t>日山东省人民政府令第</w:t>
      </w:r>
      <w:r>
        <w:rPr>
          <w:rFonts w:ascii="Times New Roman" w:eastAsia="宋体" w:hAnsi="Times New Roman"/>
          <w:sz w:val="24"/>
          <w:szCs w:val="24"/>
        </w:rPr>
        <w:t>311</w:t>
      </w:r>
      <w:r>
        <w:rPr>
          <w:rFonts w:ascii="Times New Roman" w:eastAsia="宋体" w:hAnsi="Times New Roman"/>
          <w:sz w:val="24"/>
          <w:szCs w:val="24"/>
        </w:rPr>
        <w:t>号第二次修订）</w:t>
      </w:r>
    </w:p>
    <w:p w:rsidR="00F95F9B" w:rsidRDefault="00000000">
      <w:pPr>
        <w:pStyle w:val="19"/>
        <w:widowControl w:val="0"/>
        <w:numPr>
          <w:ilvl w:val="0"/>
          <w:numId w:val="9"/>
        </w:numPr>
        <w:spacing w:after="0"/>
        <w:ind w:left="0" w:firstLine="470"/>
        <w:jc w:val="both"/>
        <w:rPr>
          <w:rFonts w:ascii="Times New Roman" w:eastAsia="宋体" w:hAnsi="Times New Roman"/>
          <w:sz w:val="24"/>
          <w:szCs w:val="24"/>
        </w:rPr>
      </w:pPr>
      <w:r>
        <w:rPr>
          <w:rFonts w:ascii="Times New Roman" w:eastAsia="宋体" w:hAnsi="Times New Roman"/>
          <w:sz w:val="24"/>
          <w:szCs w:val="24"/>
        </w:rPr>
        <w:t>《硫化氢防护安全管理规定（试行）》</w:t>
      </w:r>
      <w:r>
        <w:rPr>
          <w:rFonts w:ascii="Times New Roman" w:eastAsia="宋体" w:hAnsi="Times New Roman" w:hint="eastAsia"/>
          <w:sz w:val="24"/>
          <w:szCs w:val="24"/>
        </w:rPr>
        <w:t>（</w:t>
      </w:r>
      <w:r>
        <w:rPr>
          <w:rFonts w:ascii="Times New Roman" w:eastAsia="宋体" w:hAnsi="Times New Roman"/>
          <w:sz w:val="24"/>
          <w:szCs w:val="24"/>
        </w:rPr>
        <w:t>鲁安监发</w:t>
      </w:r>
      <w:r>
        <w:rPr>
          <w:rFonts w:ascii="Times New Roman" w:eastAsia="宋体" w:hAnsi="Times New Roman"/>
          <w:sz w:val="24"/>
          <w:szCs w:val="24"/>
        </w:rPr>
        <w:t>[2008]51</w:t>
      </w:r>
      <w:r>
        <w:rPr>
          <w:rFonts w:ascii="Times New Roman" w:eastAsia="宋体" w:hAnsi="Times New Roman"/>
          <w:sz w:val="24"/>
          <w:szCs w:val="24"/>
        </w:rPr>
        <w:t>号</w:t>
      </w:r>
      <w:r>
        <w:rPr>
          <w:rFonts w:ascii="Times New Roman" w:eastAsia="宋体" w:hAnsi="Times New Roman" w:hint="eastAsia"/>
          <w:sz w:val="24"/>
          <w:szCs w:val="24"/>
        </w:rPr>
        <w:t>）</w:t>
      </w:r>
    </w:p>
    <w:p w:rsidR="00F95F9B" w:rsidRDefault="00000000">
      <w:pPr>
        <w:pStyle w:val="19"/>
        <w:widowControl w:val="0"/>
        <w:numPr>
          <w:ilvl w:val="0"/>
          <w:numId w:val="9"/>
        </w:numPr>
        <w:spacing w:after="0"/>
        <w:ind w:left="0" w:firstLine="470"/>
        <w:jc w:val="both"/>
        <w:rPr>
          <w:rFonts w:ascii="Times New Roman" w:eastAsia="宋体" w:hAnsi="Times New Roman"/>
          <w:sz w:val="24"/>
          <w:szCs w:val="24"/>
        </w:rPr>
      </w:pPr>
      <w:r>
        <w:rPr>
          <w:rFonts w:ascii="Times New Roman" w:eastAsia="宋体" w:hAnsi="Times New Roman"/>
          <w:sz w:val="24"/>
          <w:szCs w:val="24"/>
        </w:rPr>
        <w:t>《山东省非煤矿矿山企业安全生产许可证实施方案》（鲁安监发</w:t>
      </w:r>
      <w:r>
        <w:rPr>
          <w:rFonts w:ascii="Times New Roman" w:eastAsia="宋体" w:hAnsi="Times New Roman"/>
          <w:sz w:val="24"/>
          <w:szCs w:val="24"/>
        </w:rPr>
        <w:t>[2009]133</w:t>
      </w:r>
      <w:r>
        <w:rPr>
          <w:rFonts w:ascii="Times New Roman" w:eastAsia="宋体" w:hAnsi="Times New Roman"/>
          <w:sz w:val="24"/>
          <w:szCs w:val="24"/>
        </w:rPr>
        <w:t>号）</w:t>
      </w:r>
    </w:p>
    <w:p w:rsidR="00F95F9B" w:rsidRDefault="00000000">
      <w:pPr>
        <w:pStyle w:val="19"/>
        <w:widowControl w:val="0"/>
        <w:numPr>
          <w:ilvl w:val="0"/>
          <w:numId w:val="9"/>
        </w:numPr>
        <w:spacing w:after="0"/>
        <w:ind w:left="0" w:firstLine="470"/>
        <w:jc w:val="both"/>
        <w:rPr>
          <w:rFonts w:ascii="Times New Roman" w:eastAsia="宋体" w:hAnsi="Times New Roman"/>
          <w:sz w:val="24"/>
          <w:szCs w:val="24"/>
        </w:rPr>
      </w:pPr>
      <w:r>
        <w:rPr>
          <w:rFonts w:ascii="Times New Roman" w:eastAsia="宋体" w:hAnsi="Times New Roman"/>
          <w:sz w:val="24"/>
          <w:szCs w:val="24"/>
        </w:rPr>
        <w:t>《关于印发《山东省非煤矿山重特大生产安全事故应急预案》的通知》</w:t>
      </w:r>
      <w:r>
        <w:rPr>
          <w:rFonts w:ascii="Times New Roman" w:eastAsia="宋体" w:hAnsi="Times New Roman" w:hint="eastAsia"/>
          <w:sz w:val="24"/>
          <w:szCs w:val="24"/>
        </w:rPr>
        <w:t>（鲁安办发</w:t>
      </w:r>
      <w:r>
        <w:rPr>
          <w:rFonts w:ascii="Times New Roman" w:eastAsia="宋体" w:hAnsi="Times New Roman" w:hint="eastAsia"/>
          <w:sz w:val="24"/>
          <w:szCs w:val="24"/>
        </w:rPr>
        <w:t>[2022]12</w:t>
      </w:r>
      <w:r>
        <w:rPr>
          <w:rFonts w:ascii="Times New Roman" w:eastAsia="宋体" w:hAnsi="Times New Roman" w:hint="eastAsia"/>
          <w:sz w:val="24"/>
          <w:szCs w:val="24"/>
        </w:rPr>
        <w:t>号）</w:t>
      </w:r>
    </w:p>
    <w:p w:rsidR="00F95F9B" w:rsidRDefault="00000000">
      <w:pPr>
        <w:pStyle w:val="19"/>
        <w:widowControl w:val="0"/>
        <w:numPr>
          <w:ilvl w:val="0"/>
          <w:numId w:val="9"/>
        </w:numPr>
        <w:spacing w:after="0"/>
        <w:ind w:left="0" w:firstLine="470"/>
        <w:jc w:val="both"/>
        <w:rPr>
          <w:rFonts w:ascii="Times New Roman" w:eastAsia="宋体" w:hAnsi="Times New Roman"/>
          <w:sz w:val="24"/>
          <w:szCs w:val="24"/>
        </w:rPr>
      </w:pPr>
      <w:r>
        <w:rPr>
          <w:rFonts w:ascii="Times New Roman" w:eastAsia="宋体" w:hAnsi="Times New Roman"/>
          <w:sz w:val="24"/>
          <w:szCs w:val="24"/>
        </w:rPr>
        <w:t>《关于进一步加强非煤矿山安全生产标准化建设工作的通知》（鲁安监发</w:t>
      </w:r>
      <w:r>
        <w:rPr>
          <w:rFonts w:ascii="Times New Roman" w:eastAsia="宋体" w:hAnsi="Times New Roman"/>
          <w:sz w:val="24"/>
          <w:szCs w:val="24"/>
        </w:rPr>
        <w:t>[2011]146</w:t>
      </w:r>
      <w:r>
        <w:rPr>
          <w:rFonts w:ascii="Times New Roman" w:eastAsia="宋体" w:hAnsi="Times New Roman"/>
          <w:sz w:val="24"/>
          <w:szCs w:val="24"/>
        </w:rPr>
        <w:t>号，</w:t>
      </w:r>
      <w:r>
        <w:rPr>
          <w:rFonts w:ascii="Times New Roman" w:eastAsia="宋体" w:hAnsi="Times New Roman"/>
          <w:sz w:val="24"/>
          <w:szCs w:val="24"/>
        </w:rPr>
        <w:t>2015</w:t>
      </w:r>
      <w:r>
        <w:rPr>
          <w:rFonts w:ascii="Times New Roman" w:eastAsia="宋体" w:hAnsi="Times New Roman"/>
          <w:sz w:val="24"/>
          <w:szCs w:val="24"/>
        </w:rPr>
        <w:t>修订版）</w:t>
      </w:r>
    </w:p>
    <w:p w:rsidR="00F95F9B" w:rsidRDefault="00000000">
      <w:pPr>
        <w:pStyle w:val="19"/>
        <w:widowControl w:val="0"/>
        <w:numPr>
          <w:ilvl w:val="0"/>
          <w:numId w:val="9"/>
        </w:numPr>
        <w:spacing w:after="0"/>
        <w:ind w:left="0" w:firstLine="470"/>
        <w:jc w:val="both"/>
        <w:rPr>
          <w:rFonts w:ascii="Times New Roman" w:eastAsia="宋体" w:hAnsi="Times New Roman"/>
          <w:sz w:val="24"/>
          <w:szCs w:val="24"/>
        </w:rPr>
      </w:pPr>
      <w:r>
        <w:rPr>
          <w:rFonts w:ascii="Times New Roman" w:eastAsia="宋体" w:hAnsi="Times New Roman"/>
          <w:sz w:val="24"/>
          <w:szCs w:val="24"/>
        </w:rPr>
        <w:t>《关于印发山东省生产经营单位全员安全生产责任制的通知》（鲁安办发</w:t>
      </w:r>
      <w:r>
        <w:rPr>
          <w:rFonts w:ascii="Times New Roman" w:eastAsia="宋体" w:hAnsi="Times New Roman"/>
          <w:sz w:val="24"/>
          <w:szCs w:val="24"/>
        </w:rPr>
        <w:t>[2021]50</w:t>
      </w:r>
      <w:r>
        <w:rPr>
          <w:rFonts w:ascii="Times New Roman" w:eastAsia="宋体" w:hAnsi="Times New Roman"/>
          <w:sz w:val="24"/>
          <w:szCs w:val="24"/>
        </w:rPr>
        <w:t>号）</w:t>
      </w:r>
    </w:p>
    <w:p w:rsidR="00F95F9B" w:rsidRDefault="00000000">
      <w:pPr>
        <w:pStyle w:val="19"/>
        <w:widowControl w:val="0"/>
        <w:numPr>
          <w:ilvl w:val="0"/>
          <w:numId w:val="9"/>
        </w:numPr>
        <w:spacing w:after="0" w:line="490" w:lineRule="exact"/>
        <w:ind w:left="0" w:firstLine="470"/>
        <w:jc w:val="both"/>
        <w:rPr>
          <w:rFonts w:ascii="Times New Roman" w:eastAsia="宋体" w:hAnsi="Times New Roman"/>
          <w:sz w:val="24"/>
          <w:szCs w:val="24"/>
        </w:rPr>
      </w:pPr>
      <w:r>
        <w:rPr>
          <w:rFonts w:ascii="Times New Roman" w:eastAsia="宋体" w:hAnsi="Times New Roman"/>
          <w:sz w:val="24"/>
          <w:szCs w:val="24"/>
        </w:rPr>
        <w:lastRenderedPageBreak/>
        <w:t>《关于实施企业安全生产标准化建设定级办法的通知》（鲁应急发</w:t>
      </w:r>
      <w:r>
        <w:rPr>
          <w:rFonts w:ascii="Times New Roman" w:eastAsia="宋体" w:hAnsi="Times New Roman"/>
          <w:sz w:val="24"/>
          <w:szCs w:val="24"/>
        </w:rPr>
        <w:t>[2022]5</w:t>
      </w:r>
      <w:r>
        <w:rPr>
          <w:rFonts w:ascii="Times New Roman" w:eastAsia="宋体" w:hAnsi="Times New Roman"/>
          <w:sz w:val="24"/>
          <w:szCs w:val="24"/>
        </w:rPr>
        <w:t>号）</w:t>
      </w:r>
    </w:p>
    <w:p w:rsidR="00F95F9B" w:rsidRDefault="00000000">
      <w:pPr>
        <w:pStyle w:val="19"/>
        <w:widowControl w:val="0"/>
        <w:numPr>
          <w:ilvl w:val="0"/>
          <w:numId w:val="9"/>
        </w:numPr>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《山东省生产安全事故应急办法》（山东省人民政府令</w:t>
      </w:r>
      <w:r>
        <w:rPr>
          <w:rFonts w:ascii="Times New Roman" w:eastAsia="宋体" w:hAnsi="Times New Roman"/>
          <w:snapToGrid w:val="0"/>
          <w:sz w:val="24"/>
          <w:szCs w:val="24"/>
        </w:rPr>
        <w:t>[2021]</w:t>
      </w:r>
      <w:r>
        <w:rPr>
          <w:rFonts w:ascii="Times New Roman" w:eastAsia="宋体" w:hAnsi="Times New Roman"/>
          <w:snapToGrid w:val="0"/>
          <w:sz w:val="24"/>
          <w:szCs w:val="24"/>
        </w:rPr>
        <w:t>第</w:t>
      </w:r>
      <w:r>
        <w:rPr>
          <w:rFonts w:ascii="Times New Roman" w:eastAsia="宋体" w:hAnsi="Times New Roman"/>
          <w:snapToGrid w:val="0"/>
          <w:sz w:val="24"/>
          <w:szCs w:val="24"/>
        </w:rPr>
        <w:t>341</w:t>
      </w:r>
      <w:r>
        <w:rPr>
          <w:rFonts w:ascii="Times New Roman" w:eastAsia="宋体" w:hAnsi="Times New Roman"/>
          <w:snapToGrid w:val="0"/>
          <w:sz w:val="24"/>
          <w:szCs w:val="24"/>
        </w:rPr>
        <w:t>号）</w:t>
      </w:r>
    </w:p>
    <w:p w:rsidR="00F95F9B" w:rsidRDefault="00000000">
      <w:pPr>
        <w:pStyle w:val="19"/>
        <w:widowControl w:val="0"/>
        <w:numPr>
          <w:ilvl w:val="0"/>
          <w:numId w:val="9"/>
        </w:numPr>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z w:val="24"/>
          <w:szCs w:val="24"/>
        </w:rPr>
        <w:t>《山东省生产安全事故报告和调查处理办法》（山东省人民政府令</w:t>
      </w:r>
      <w:r>
        <w:rPr>
          <w:rFonts w:ascii="Times New Roman" w:eastAsia="宋体" w:hAnsi="Times New Roman"/>
          <w:snapToGrid w:val="0"/>
          <w:sz w:val="24"/>
          <w:szCs w:val="24"/>
        </w:rPr>
        <w:t>[2021]</w:t>
      </w:r>
      <w:r>
        <w:rPr>
          <w:rFonts w:ascii="Times New Roman" w:eastAsia="宋体" w:hAnsi="Times New Roman"/>
          <w:sz w:val="24"/>
          <w:szCs w:val="24"/>
        </w:rPr>
        <w:t>第</w:t>
      </w:r>
      <w:r>
        <w:rPr>
          <w:rFonts w:ascii="Times New Roman" w:eastAsia="宋体" w:hAnsi="Times New Roman"/>
          <w:sz w:val="24"/>
          <w:szCs w:val="24"/>
        </w:rPr>
        <w:t>342</w:t>
      </w:r>
      <w:r>
        <w:rPr>
          <w:rFonts w:ascii="Times New Roman" w:eastAsia="宋体" w:hAnsi="Times New Roman"/>
          <w:sz w:val="24"/>
          <w:szCs w:val="24"/>
        </w:rPr>
        <w:t>号；</w:t>
      </w:r>
      <w:r>
        <w:rPr>
          <w:rFonts w:ascii="Times New Roman" w:eastAsia="宋体" w:hAnsi="Times New Roman"/>
          <w:sz w:val="24"/>
          <w:szCs w:val="24"/>
        </w:rPr>
        <w:t>2022</w:t>
      </w:r>
      <w:r>
        <w:rPr>
          <w:rFonts w:ascii="Times New Roman" w:eastAsia="宋体" w:hAnsi="Times New Roman"/>
          <w:sz w:val="24"/>
          <w:szCs w:val="24"/>
        </w:rPr>
        <w:t>年</w:t>
      </w:r>
      <w:r>
        <w:rPr>
          <w:rFonts w:ascii="Times New Roman" w:eastAsia="宋体" w:hAnsi="Times New Roman"/>
          <w:sz w:val="24"/>
          <w:szCs w:val="24"/>
        </w:rPr>
        <w:t>4</w:t>
      </w:r>
      <w:r>
        <w:rPr>
          <w:rFonts w:ascii="Times New Roman" w:eastAsia="宋体" w:hAnsi="Times New Roman"/>
          <w:sz w:val="24"/>
          <w:szCs w:val="24"/>
        </w:rPr>
        <w:t>月</w:t>
      </w:r>
      <w:r>
        <w:rPr>
          <w:rFonts w:ascii="Times New Roman" w:eastAsia="宋体" w:hAnsi="Times New Roman"/>
          <w:sz w:val="24"/>
          <w:szCs w:val="24"/>
        </w:rPr>
        <w:t>25</w:t>
      </w:r>
      <w:r>
        <w:rPr>
          <w:rFonts w:ascii="Times New Roman" w:eastAsia="宋体" w:hAnsi="Times New Roman"/>
          <w:sz w:val="24"/>
          <w:szCs w:val="24"/>
        </w:rPr>
        <w:t>日，经山东省人民政府令第</w:t>
      </w:r>
      <w:r>
        <w:rPr>
          <w:rFonts w:ascii="Times New Roman" w:eastAsia="宋体" w:hAnsi="Times New Roman"/>
          <w:sz w:val="24"/>
          <w:szCs w:val="24"/>
        </w:rPr>
        <w:t>349</w:t>
      </w:r>
      <w:r>
        <w:rPr>
          <w:rFonts w:ascii="Times New Roman" w:eastAsia="宋体" w:hAnsi="Times New Roman"/>
          <w:sz w:val="24"/>
          <w:szCs w:val="24"/>
        </w:rPr>
        <w:t>号修订并实施。）</w:t>
      </w:r>
    </w:p>
    <w:p w:rsidR="00F95F9B" w:rsidRDefault="00000000">
      <w:pPr>
        <w:pStyle w:val="19"/>
        <w:widowControl w:val="0"/>
        <w:numPr>
          <w:ilvl w:val="0"/>
          <w:numId w:val="9"/>
        </w:numPr>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《山东省生产安全事故隐患排查治理办法》（山东省人民政府令</w:t>
      </w:r>
      <w:r>
        <w:rPr>
          <w:rFonts w:ascii="Times New Roman" w:eastAsia="宋体" w:hAnsi="Times New Roman"/>
          <w:snapToGrid w:val="0"/>
          <w:sz w:val="24"/>
          <w:szCs w:val="24"/>
        </w:rPr>
        <w:t>[2022]</w:t>
      </w:r>
      <w:r>
        <w:rPr>
          <w:rFonts w:ascii="Times New Roman" w:eastAsia="宋体" w:hAnsi="Times New Roman"/>
          <w:snapToGrid w:val="0"/>
          <w:sz w:val="24"/>
          <w:szCs w:val="24"/>
        </w:rPr>
        <w:t>第</w:t>
      </w:r>
      <w:r>
        <w:rPr>
          <w:rFonts w:ascii="Times New Roman" w:eastAsia="宋体" w:hAnsi="Times New Roman"/>
          <w:snapToGrid w:val="0"/>
          <w:sz w:val="24"/>
          <w:szCs w:val="24"/>
        </w:rPr>
        <w:t>347</w:t>
      </w:r>
      <w:r>
        <w:rPr>
          <w:rFonts w:ascii="Times New Roman" w:eastAsia="宋体" w:hAnsi="Times New Roman"/>
          <w:snapToGrid w:val="0"/>
          <w:sz w:val="24"/>
          <w:szCs w:val="24"/>
        </w:rPr>
        <w:t>号）</w:t>
      </w:r>
    </w:p>
    <w:p w:rsidR="00F95F9B" w:rsidRDefault="00000000">
      <w:pPr>
        <w:pStyle w:val="19"/>
        <w:widowControl w:val="0"/>
        <w:numPr>
          <w:ilvl w:val="0"/>
          <w:numId w:val="9"/>
        </w:numPr>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《山东省安全生产风险管控办法》（山东省</w:t>
      </w:r>
      <w:r>
        <w:rPr>
          <w:rFonts w:ascii="Times New Roman" w:eastAsia="宋体" w:hAnsi="Times New Roman" w:hint="eastAsia"/>
          <w:snapToGrid w:val="0"/>
          <w:sz w:val="24"/>
          <w:szCs w:val="24"/>
        </w:rPr>
        <w:t>人民</w:t>
      </w:r>
      <w:r>
        <w:rPr>
          <w:rFonts w:ascii="Times New Roman" w:eastAsia="宋体" w:hAnsi="Times New Roman"/>
          <w:snapToGrid w:val="0"/>
          <w:sz w:val="24"/>
          <w:szCs w:val="24"/>
        </w:rPr>
        <w:t>政府令</w:t>
      </w:r>
      <w:r>
        <w:rPr>
          <w:rFonts w:ascii="Times New Roman" w:eastAsia="宋体" w:hAnsi="Times New Roman"/>
          <w:snapToGrid w:val="0"/>
          <w:sz w:val="24"/>
          <w:szCs w:val="24"/>
        </w:rPr>
        <w:t>[2020]</w:t>
      </w:r>
      <w:r>
        <w:rPr>
          <w:rFonts w:ascii="Times New Roman" w:eastAsia="宋体" w:hAnsi="Times New Roman"/>
          <w:snapToGrid w:val="0"/>
          <w:sz w:val="24"/>
          <w:szCs w:val="24"/>
        </w:rPr>
        <w:t>第</w:t>
      </w:r>
      <w:r>
        <w:rPr>
          <w:rFonts w:ascii="Times New Roman" w:eastAsia="宋体" w:hAnsi="Times New Roman"/>
          <w:snapToGrid w:val="0"/>
          <w:sz w:val="24"/>
          <w:szCs w:val="24"/>
        </w:rPr>
        <w:t>331</w:t>
      </w:r>
      <w:r>
        <w:rPr>
          <w:rFonts w:ascii="Times New Roman" w:eastAsia="宋体" w:hAnsi="Times New Roman"/>
          <w:snapToGrid w:val="0"/>
          <w:sz w:val="24"/>
          <w:szCs w:val="24"/>
        </w:rPr>
        <w:t>号）</w:t>
      </w:r>
    </w:p>
    <w:p w:rsidR="00F95F9B" w:rsidRDefault="00000000">
      <w:pPr>
        <w:pStyle w:val="19"/>
        <w:widowControl w:val="0"/>
        <w:numPr>
          <w:ilvl w:val="0"/>
          <w:numId w:val="9"/>
        </w:numPr>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《关于印发</w:t>
      </w:r>
      <w:r>
        <w:rPr>
          <w:rFonts w:ascii="Times New Roman" w:eastAsia="宋体" w:hAnsi="Times New Roman"/>
          <w:snapToGrid w:val="0"/>
          <w:sz w:val="24"/>
          <w:szCs w:val="24"/>
        </w:rPr>
        <w:t>&lt;</w:t>
      </w:r>
      <w:r>
        <w:rPr>
          <w:rFonts w:ascii="Times New Roman" w:eastAsia="宋体" w:hAnsi="Times New Roman"/>
          <w:snapToGrid w:val="0"/>
          <w:sz w:val="24"/>
          <w:szCs w:val="24"/>
        </w:rPr>
        <w:t>山东省非煤矿山企业安全生产风险分级监管暂行办法</w:t>
      </w:r>
      <w:r>
        <w:rPr>
          <w:rFonts w:ascii="Times New Roman" w:eastAsia="宋体" w:hAnsi="Times New Roman"/>
          <w:snapToGrid w:val="0"/>
          <w:sz w:val="24"/>
          <w:szCs w:val="24"/>
        </w:rPr>
        <w:t>&gt;</w:t>
      </w:r>
      <w:r>
        <w:rPr>
          <w:rFonts w:ascii="Times New Roman" w:eastAsia="宋体" w:hAnsi="Times New Roman"/>
          <w:snapToGrid w:val="0"/>
          <w:sz w:val="24"/>
          <w:szCs w:val="24"/>
        </w:rPr>
        <w:t>和</w:t>
      </w:r>
      <w:r>
        <w:rPr>
          <w:rFonts w:ascii="Times New Roman" w:eastAsia="宋体" w:hAnsi="Times New Roman"/>
          <w:snapToGrid w:val="0"/>
          <w:sz w:val="24"/>
          <w:szCs w:val="24"/>
        </w:rPr>
        <w:t>&lt;</w:t>
      </w:r>
      <w:r>
        <w:rPr>
          <w:rFonts w:ascii="Times New Roman" w:eastAsia="宋体" w:hAnsi="Times New Roman"/>
          <w:snapToGrid w:val="0"/>
          <w:sz w:val="24"/>
          <w:szCs w:val="24"/>
        </w:rPr>
        <w:t>山东省非煤矿山企业安全生产风险分级标准（试行）</w:t>
      </w:r>
      <w:r>
        <w:rPr>
          <w:rFonts w:ascii="Times New Roman" w:eastAsia="宋体" w:hAnsi="Times New Roman"/>
          <w:snapToGrid w:val="0"/>
          <w:sz w:val="24"/>
          <w:szCs w:val="24"/>
        </w:rPr>
        <w:t>&gt;</w:t>
      </w:r>
      <w:r>
        <w:rPr>
          <w:rFonts w:ascii="Times New Roman" w:eastAsia="宋体" w:hAnsi="Times New Roman"/>
          <w:snapToGrid w:val="0"/>
          <w:sz w:val="24"/>
          <w:szCs w:val="24"/>
        </w:rPr>
        <w:t>的通知》（鲁安监发</w:t>
      </w:r>
      <w:r>
        <w:rPr>
          <w:rFonts w:ascii="Times New Roman" w:eastAsia="宋体" w:hAnsi="Times New Roman"/>
          <w:snapToGrid w:val="0"/>
          <w:sz w:val="24"/>
          <w:szCs w:val="24"/>
        </w:rPr>
        <w:t>[2015]151</w:t>
      </w:r>
      <w:r>
        <w:rPr>
          <w:rFonts w:ascii="Times New Roman" w:eastAsia="宋体" w:hAnsi="Times New Roman"/>
          <w:snapToGrid w:val="0"/>
          <w:sz w:val="24"/>
          <w:szCs w:val="24"/>
        </w:rPr>
        <w:t>号）</w:t>
      </w:r>
    </w:p>
    <w:p w:rsidR="00F95F9B" w:rsidRDefault="00000000">
      <w:pPr>
        <w:pStyle w:val="19"/>
        <w:widowControl w:val="0"/>
        <w:numPr>
          <w:ilvl w:val="0"/>
          <w:numId w:val="9"/>
        </w:numPr>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《关于强化企业安全生产主体责任落实的意见》（鲁应急发</w:t>
      </w:r>
      <w:r>
        <w:rPr>
          <w:rFonts w:ascii="Times New Roman" w:eastAsia="宋体" w:hAnsi="Times New Roman"/>
          <w:snapToGrid w:val="0"/>
          <w:sz w:val="24"/>
          <w:szCs w:val="24"/>
        </w:rPr>
        <w:t>[20</w:t>
      </w:r>
      <w:r>
        <w:rPr>
          <w:rFonts w:ascii="Times New Roman" w:eastAsia="宋体" w:hAnsi="Times New Roman" w:hint="eastAsia"/>
          <w:snapToGrid w:val="0"/>
          <w:sz w:val="24"/>
          <w:szCs w:val="24"/>
        </w:rPr>
        <w:t>19</w:t>
      </w:r>
      <w:r>
        <w:rPr>
          <w:rFonts w:ascii="Times New Roman" w:eastAsia="宋体" w:hAnsi="Times New Roman"/>
          <w:snapToGrid w:val="0"/>
          <w:sz w:val="24"/>
          <w:szCs w:val="24"/>
        </w:rPr>
        <w:t>]75</w:t>
      </w:r>
      <w:r>
        <w:rPr>
          <w:rFonts w:ascii="Times New Roman" w:eastAsia="宋体" w:hAnsi="Times New Roman"/>
          <w:snapToGrid w:val="0"/>
          <w:sz w:val="24"/>
          <w:szCs w:val="24"/>
        </w:rPr>
        <w:t>号）</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《山东省生产经营单位安全总监制度实施办法（试行）》（鲁政办字</w:t>
      </w:r>
      <w:r>
        <w:rPr>
          <w:rFonts w:ascii="Times New Roman" w:eastAsia="宋体" w:hAnsi="Times New Roman"/>
          <w:snapToGrid w:val="0"/>
          <w:sz w:val="24"/>
          <w:szCs w:val="24"/>
        </w:rPr>
        <w:t>[2021]60</w:t>
      </w:r>
      <w:r>
        <w:rPr>
          <w:rFonts w:ascii="Times New Roman" w:eastAsia="宋体" w:hAnsi="Times New Roman"/>
          <w:snapToGrid w:val="0"/>
          <w:sz w:val="24"/>
          <w:szCs w:val="24"/>
        </w:rPr>
        <w:t>号）</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《山东省企业安全生产</w:t>
      </w:r>
      <w:r>
        <w:rPr>
          <w:rFonts w:ascii="Times New Roman" w:eastAsia="宋体" w:hAnsi="Times New Roman"/>
          <w:snapToGrid w:val="0"/>
          <w:sz w:val="24"/>
          <w:szCs w:val="24"/>
        </w:rPr>
        <w:t>“</w:t>
      </w:r>
      <w:r>
        <w:rPr>
          <w:rFonts w:ascii="Times New Roman" w:eastAsia="宋体" w:hAnsi="Times New Roman"/>
          <w:snapToGrid w:val="0"/>
          <w:sz w:val="24"/>
          <w:szCs w:val="24"/>
        </w:rPr>
        <w:t>晨会</w:t>
      </w:r>
      <w:r>
        <w:rPr>
          <w:rFonts w:ascii="Times New Roman" w:eastAsia="宋体" w:hAnsi="Times New Roman"/>
          <w:snapToGrid w:val="0"/>
          <w:sz w:val="24"/>
          <w:szCs w:val="24"/>
        </w:rPr>
        <w:t>”</w:t>
      </w:r>
      <w:r>
        <w:rPr>
          <w:rFonts w:ascii="Times New Roman" w:eastAsia="宋体" w:hAnsi="Times New Roman"/>
          <w:snapToGrid w:val="0"/>
          <w:sz w:val="24"/>
          <w:szCs w:val="24"/>
        </w:rPr>
        <w:t>制度规范（试行）》（鲁安发</w:t>
      </w:r>
      <w:r>
        <w:rPr>
          <w:rFonts w:ascii="Times New Roman" w:eastAsia="宋体" w:hAnsi="Times New Roman"/>
          <w:snapToGrid w:val="0"/>
          <w:sz w:val="24"/>
          <w:szCs w:val="24"/>
        </w:rPr>
        <w:t>[2022]4</w:t>
      </w:r>
      <w:r>
        <w:rPr>
          <w:rFonts w:ascii="Times New Roman" w:eastAsia="宋体" w:hAnsi="Times New Roman"/>
          <w:snapToGrid w:val="0"/>
          <w:sz w:val="24"/>
          <w:szCs w:val="24"/>
        </w:rPr>
        <w:t>号）</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关于实施《企业安全生产标准化建设定级办法》的通知</w:t>
      </w:r>
      <w:r>
        <w:rPr>
          <w:rFonts w:ascii="Times New Roman" w:eastAsia="宋体" w:hAnsi="Times New Roman" w:hint="eastAsia"/>
          <w:snapToGrid w:val="0"/>
          <w:sz w:val="24"/>
          <w:szCs w:val="24"/>
        </w:rPr>
        <w:t>（</w:t>
      </w:r>
      <w:r>
        <w:rPr>
          <w:rFonts w:ascii="Times New Roman" w:eastAsia="宋体" w:hAnsi="Times New Roman"/>
          <w:snapToGrid w:val="0"/>
          <w:sz w:val="24"/>
          <w:szCs w:val="24"/>
        </w:rPr>
        <w:t>鲁应急发</w:t>
      </w:r>
      <w:r>
        <w:rPr>
          <w:rFonts w:ascii="Times New Roman" w:eastAsia="宋体" w:hAnsi="Times New Roman"/>
          <w:snapToGrid w:val="0"/>
          <w:sz w:val="24"/>
          <w:szCs w:val="24"/>
        </w:rPr>
        <w:t>[2022]5</w:t>
      </w:r>
      <w:r>
        <w:rPr>
          <w:rFonts w:ascii="Times New Roman" w:eastAsia="宋体" w:hAnsi="Times New Roman"/>
          <w:snapToGrid w:val="0"/>
          <w:sz w:val="24"/>
          <w:szCs w:val="24"/>
        </w:rPr>
        <w:t>号</w:t>
      </w:r>
      <w:r>
        <w:rPr>
          <w:rFonts w:ascii="Times New Roman" w:eastAsia="宋体" w:hAnsi="Times New Roman" w:hint="eastAsia"/>
          <w:snapToGrid w:val="0"/>
          <w:sz w:val="24"/>
          <w:szCs w:val="24"/>
        </w:rPr>
        <w:t>）</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关于印发《关于规范和加强安全生产安全生产培训考核工作的实施意见》的通知（鲁应急发</w:t>
      </w:r>
      <w:r>
        <w:rPr>
          <w:rFonts w:ascii="Times New Roman" w:eastAsia="宋体" w:hAnsi="Times New Roman"/>
          <w:snapToGrid w:val="0"/>
          <w:sz w:val="24"/>
          <w:szCs w:val="24"/>
        </w:rPr>
        <w:t>[2022]6</w:t>
      </w:r>
      <w:r>
        <w:rPr>
          <w:rFonts w:ascii="Times New Roman" w:eastAsia="宋体" w:hAnsi="Times New Roman"/>
          <w:snapToGrid w:val="0"/>
          <w:sz w:val="24"/>
          <w:szCs w:val="24"/>
        </w:rPr>
        <w:t>号）</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《山东省生产经营单位劳务派遣人员和灵活用工人员安全管理办法》（鲁应急发</w:t>
      </w:r>
      <w:r>
        <w:rPr>
          <w:rFonts w:ascii="Times New Roman" w:eastAsia="宋体" w:hAnsi="Times New Roman"/>
          <w:snapToGrid w:val="0"/>
          <w:sz w:val="24"/>
          <w:szCs w:val="24"/>
        </w:rPr>
        <w:t>[2022]7</w:t>
      </w:r>
      <w:r>
        <w:rPr>
          <w:rFonts w:ascii="Times New Roman" w:eastAsia="宋体" w:hAnsi="Times New Roman"/>
          <w:snapToGrid w:val="0"/>
          <w:sz w:val="24"/>
          <w:szCs w:val="24"/>
        </w:rPr>
        <w:t>号）</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关于印发《重点行业领域重大安全风险隐患清单》的通知（鲁安发</w:t>
      </w:r>
      <w:r>
        <w:rPr>
          <w:rFonts w:ascii="Times New Roman" w:eastAsia="宋体" w:hAnsi="Times New Roman"/>
          <w:snapToGrid w:val="0"/>
          <w:sz w:val="24"/>
          <w:szCs w:val="24"/>
        </w:rPr>
        <w:t>[2022]11</w:t>
      </w:r>
      <w:r>
        <w:rPr>
          <w:rFonts w:ascii="Times New Roman" w:eastAsia="宋体" w:hAnsi="Times New Roman"/>
          <w:snapToGrid w:val="0"/>
          <w:sz w:val="24"/>
          <w:szCs w:val="24"/>
        </w:rPr>
        <w:t>号）</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《山东省人民政府安全生产委员会关于开展全员定向安全生产大培训工作的实施意见》</w:t>
      </w:r>
      <w:r>
        <w:rPr>
          <w:rFonts w:ascii="Times New Roman" w:eastAsia="宋体" w:hAnsi="Times New Roman" w:hint="eastAsia"/>
          <w:snapToGrid w:val="0"/>
          <w:sz w:val="24"/>
          <w:szCs w:val="24"/>
        </w:rPr>
        <w:t>（</w:t>
      </w:r>
      <w:r>
        <w:rPr>
          <w:rFonts w:ascii="Times New Roman" w:eastAsia="宋体" w:hAnsi="Times New Roman"/>
          <w:snapToGrid w:val="0"/>
          <w:sz w:val="24"/>
          <w:szCs w:val="24"/>
        </w:rPr>
        <w:t>鲁安发</w:t>
      </w:r>
      <w:r>
        <w:rPr>
          <w:rFonts w:ascii="Times New Roman" w:eastAsia="宋体" w:hAnsi="Times New Roman"/>
          <w:snapToGrid w:val="0"/>
          <w:sz w:val="24"/>
          <w:szCs w:val="24"/>
        </w:rPr>
        <w:t>[2022]20</w:t>
      </w:r>
      <w:r>
        <w:rPr>
          <w:rFonts w:ascii="Times New Roman" w:eastAsia="宋体" w:hAnsi="Times New Roman"/>
          <w:snapToGrid w:val="0"/>
          <w:sz w:val="24"/>
          <w:szCs w:val="24"/>
        </w:rPr>
        <w:t>号</w:t>
      </w:r>
      <w:r>
        <w:rPr>
          <w:rFonts w:ascii="Times New Roman" w:eastAsia="宋体" w:hAnsi="Times New Roman" w:hint="eastAsia"/>
          <w:snapToGrid w:val="0"/>
          <w:sz w:val="24"/>
          <w:szCs w:val="24"/>
        </w:rPr>
        <w:t>）</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snapToGrid w:val="0"/>
          <w:sz w:val="24"/>
          <w:szCs w:val="24"/>
        </w:rPr>
        <w:t>山东省应急管理厅关于印发《山东省危险化学品生产经营单位重点生产安全行为负面清单》的通知</w:t>
      </w:r>
      <w:r>
        <w:rPr>
          <w:rFonts w:ascii="Times New Roman" w:eastAsia="宋体" w:hAnsi="Times New Roman" w:hint="eastAsia"/>
          <w:snapToGrid w:val="0"/>
          <w:sz w:val="24"/>
          <w:szCs w:val="24"/>
        </w:rPr>
        <w:t>（</w:t>
      </w:r>
      <w:r>
        <w:rPr>
          <w:rFonts w:ascii="Times New Roman" w:eastAsia="宋体" w:hAnsi="Times New Roman"/>
          <w:snapToGrid w:val="0"/>
          <w:sz w:val="24"/>
          <w:szCs w:val="24"/>
        </w:rPr>
        <w:t>鲁应急字</w:t>
      </w:r>
      <w:r>
        <w:rPr>
          <w:rFonts w:ascii="Times New Roman" w:eastAsia="宋体" w:hAnsi="Times New Roman"/>
          <w:snapToGrid w:val="0"/>
          <w:sz w:val="24"/>
          <w:szCs w:val="24"/>
        </w:rPr>
        <w:t>[2022]124</w:t>
      </w:r>
      <w:r>
        <w:rPr>
          <w:rFonts w:ascii="Times New Roman" w:eastAsia="宋体" w:hAnsi="Times New Roman"/>
          <w:snapToGrid w:val="0"/>
          <w:sz w:val="24"/>
          <w:szCs w:val="24"/>
        </w:rPr>
        <w:t>号</w:t>
      </w:r>
      <w:r>
        <w:rPr>
          <w:rFonts w:ascii="Times New Roman" w:eastAsia="宋体" w:hAnsi="Times New Roman" w:hint="eastAsia"/>
          <w:snapToGrid w:val="0"/>
          <w:sz w:val="24"/>
          <w:szCs w:val="24"/>
        </w:rPr>
        <w:t>）</w:t>
      </w:r>
    </w:p>
    <w:p w:rsidR="00F95F9B" w:rsidRDefault="00000000">
      <w:pPr>
        <w:pStyle w:val="19"/>
        <w:widowControl w:val="0"/>
        <w:numPr>
          <w:ilvl w:val="0"/>
          <w:numId w:val="9"/>
        </w:numPr>
        <w:kinsoku w:val="0"/>
        <w:overflowPunct w:val="0"/>
        <w:autoSpaceDE w:val="0"/>
        <w:autoSpaceDN w:val="0"/>
        <w:spacing w:after="0" w:line="490" w:lineRule="exact"/>
        <w:ind w:left="0" w:firstLine="470"/>
        <w:jc w:val="both"/>
        <w:rPr>
          <w:rFonts w:ascii="Times New Roman" w:eastAsia="宋体" w:hAnsi="Times New Roman"/>
          <w:snapToGrid w:val="0"/>
          <w:sz w:val="24"/>
          <w:szCs w:val="24"/>
        </w:rPr>
      </w:pPr>
      <w:r>
        <w:rPr>
          <w:rFonts w:ascii="Times New Roman" w:eastAsia="宋体" w:hAnsi="Times New Roman" w:hint="eastAsia"/>
          <w:snapToGrid w:val="0"/>
          <w:sz w:val="24"/>
          <w:szCs w:val="24"/>
        </w:rPr>
        <w:t>《关于扎实落实“开工第一课”制度加强企业复工复产期间安全防范的通知》（鲁安办字</w:t>
      </w:r>
      <w:r>
        <w:rPr>
          <w:rFonts w:ascii="Times New Roman" w:eastAsia="宋体" w:hAnsi="Times New Roman" w:hint="eastAsia"/>
          <w:snapToGrid w:val="0"/>
          <w:sz w:val="24"/>
          <w:szCs w:val="24"/>
        </w:rPr>
        <w:t>[2023]1</w:t>
      </w:r>
      <w:r>
        <w:rPr>
          <w:rFonts w:ascii="Times New Roman" w:eastAsia="宋体" w:hAnsi="Times New Roman" w:hint="eastAsia"/>
          <w:snapToGrid w:val="0"/>
          <w:sz w:val="24"/>
          <w:szCs w:val="24"/>
        </w:rPr>
        <w:t>号）</w:t>
      </w:r>
    </w:p>
    <w:p w:rsidR="00F95F9B" w:rsidRDefault="00000000">
      <w:pPr>
        <w:pStyle w:val="3"/>
        <w:keepNext w:val="0"/>
        <w:keepLines w:val="0"/>
        <w:widowControl w:val="0"/>
        <w:adjustRightInd w:val="0"/>
        <w:snapToGrid w:val="0"/>
        <w:spacing w:line="490" w:lineRule="exact"/>
        <w:ind w:left="0"/>
        <w:rPr>
          <w:snapToGrid w:val="0"/>
          <w:kern w:val="0"/>
          <w:szCs w:val="24"/>
        </w:rPr>
      </w:pPr>
      <w:r>
        <w:rPr>
          <w:snapToGrid w:val="0"/>
          <w:kern w:val="0"/>
          <w:szCs w:val="24"/>
        </w:rPr>
        <w:t>国家标准</w:t>
      </w:r>
    </w:p>
    <w:p w:rsidR="00F95F9B" w:rsidRDefault="00000000">
      <w:pPr>
        <w:pStyle w:val="19"/>
        <w:widowControl w:val="0"/>
        <w:numPr>
          <w:ilvl w:val="0"/>
          <w:numId w:val="10"/>
        </w:numPr>
        <w:spacing w:after="0" w:line="490" w:lineRule="exact"/>
        <w:ind w:left="0" w:firstLine="470"/>
        <w:jc w:val="both"/>
        <w:rPr>
          <w:rFonts w:ascii="Times New Roman" w:eastAsia="宋体" w:hAnsi="Times New Roman"/>
          <w:sz w:val="24"/>
          <w:szCs w:val="24"/>
        </w:rPr>
      </w:pPr>
      <w:r>
        <w:rPr>
          <w:rFonts w:ascii="Times New Roman" w:eastAsia="宋体" w:hAnsi="Times New Roman"/>
          <w:sz w:val="24"/>
          <w:szCs w:val="24"/>
        </w:rPr>
        <w:t>《安全色》（</w:t>
      </w:r>
      <w:r>
        <w:rPr>
          <w:rFonts w:ascii="Times New Roman" w:eastAsia="宋体" w:hAnsi="Times New Roman"/>
          <w:sz w:val="24"/>
          <w:szCs w:val="24"/>
        </w:rPr>
        <w:t>GB2893-2008</w:t>
      </w:r>
      <w:r>
        <w:rPr>
          <w:rFonts w:ascii="Times New Roman" w:eastAsia="宋体" w:hAnsi="Times New Roman"/>
          <w:sz w:val="24"/>
          <w:szCs w:val="24"/>
        </w:rPr>
        <w:t>）</w:t>
      </w:r>
    </w:p>
    <w:p w:rsidR="00F95F9B" w:rsidRDefault="00000000">
      <w:pPr>
        <w:pStyle w:val="19"/>
        <w:widowControl w:val="0"/>
        <w:numPr>
          <w:ilvl w:val="0"/>
          <w:numId w:val="10"/>
        </w:numPr>
        <w:spacing w:after="0" w:line="490" w:lineRule="exact"/>
        <w:ind w:left="0" w:firstLine="470"/>
        <w:jc w:val="both"/>
        <w:rPr>
          <w:rFonts w:ascii="Times New Roman" w:eastAsia="宋体" w:hAnsi="Times New Roman"/>
          <w:sz w:val="24"/>
          <w:szCs w:val="24"/>
        </w:rPr>
      </w:pPr>
      <w:r>
        <w:rPr>
          <w:rFonts w:ascii="Times New Roman" w:eastAsia="宋体" w:hAnsi="Times New Roman"/>
          <w:sz w:val="24"/>
          <w:szCs w:val="24"/>
        </w:rPr>
        <w:t>《安全标志及其使用导则》（</w:t>
      </w:r>
      <w:r>
        <w:rPr>
          <w:rFonts w:ascii="Times New Roman" w:eastAsia="宋体" w:hAnsi="Times New Roman"/>
          <w:sz w:val="24"/>
          <w:szCs w:val="24"/>
        </w:rPr>
        <w:t>GB2894-2008</w:t>
      </w:r>
      <w:r>
        <w:rPr>
          <w:rFonts w:ascii="Times New Roman" w:eastAsia="宋体" w:hAnsi="Times New Roman"/>
          <w:sz w:val="24"/>
          <w:szCs w:val="24"/>
        </w:rPr>
        <w:t>）</w:t>
      </w:r>
    </w:p>
    <w:p w:rsidR="00F95F9B" w:rsidRDefault="00000000">
      <w:pPr>
        <w:pStyle w:val="19"/>
        <w:widowControl w:val="0"/>
        <w:numPr>
          <w:ilvl w:val="0"/>
          <w:numId w:val="10"/>
        </w:numPr>
        <w:spacing w:after="0" w:line="490" w:lineRule="exact"/>
        <w:ind w:left="0" w:firstLine="470"/>
        <w:jc w:val="both"/>
        <w:rPr>
          <w:rFonts w:ascii="Times New Roman" w:eastAsia="宋体" w:hAnsi="Times New Roman"/>
          <w:sz w:val="24"/>
          <w:szCs w:val="24"/>
        </w:rPr>
      </w:pPr>
      <w:r>
        <w:rPr>
          <w:rFonts w:ascii="Times New Roman" w:eastAsia="宋体" w:hAnsi="Times New Roman"/>
          <w:sz w:val="24"/>
          <w:szCs w:val="24"/>
        </w:rPr>
        <w:t>《生产设备安全卫生设计总则》（</w:t>
      </w:r>
      <w:r>
        <w:rPr>
          <w:rFonts w:ascii="Times New Roman" w:eastAsia="宋体" w:hAnsi="Times New Roman"/>
          <w:sz w:val="24"/>
          <w:szCs w:val="24"/>
        </w:rPr>
        <w:t>GB5083-1999</w:t>
      </w:r>
      <w:r>
        <w:rPr>
          <w:rFonts w:ascii="Times New Roman" w:eastAsia="宋体" w:hAnsi="Times New Roman"/>
          <w:sz w:val="24"/>
          <w:szCs w:val="24"/>
        </w:rPr>
        <w:t>）</w:t>
      </w:r>
    </w:p>
    <w:p w:rsidR="00F95F9B" w:rsidRDefault="00000000">
      <w:pPr>
        <w:pStyle w:val="19"/>
        <w:widowControl w:val="0"/>
        <w:numPr>
          <w:ilvl w:val="0"/>
          <w:numId w:val="10"/>
        </w:numPr>
        <w:spacing w:after="0" w:line="490" w:lineRule="exact"/>
        <w:ind w:left="0" w:firstLine="470"/>
        <w:jc w:val="both"/>
        <w:rPr>
          <w:rFonts w:ascii="Times New Roman" w:eastAsia="宋体" w:hAnsi="Times New Roman"/>
          <w:sz w:val="24"/>
          <w:szCs w:val="24"/>
        </w:rPr>
      </w:pPr>
      <w:r>
        <w:rPr>
          <w:rFonts w:ascii="Times New Roman" w:eastAsia="宋体" w:hAnsi="Times New Roman"/>
          <w:sz w:val="24"/>
          <w:szCs w:val="24"/>
        </w:rPr>
        <w:t>《企业职工伤亡事故分类》（</w:t>
      </w:r>
      <w:r>
        <w:rPr>
          <w:rFonts w:ascii="Times New Roman" w:eastAsia="宋体" w:hAnsi="Times New Roman"/>
          <w:sz w:val="24"/>
          <w:szCs w:val="24"/>
        </w:rPr>
        <w:t>GB6441-1986</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lastRenderedPageBreak/>
        <w:t>《防止静电事故通用导则》（</w:t>
      </w:r>
      <w:r>
        <w:rPr>
          <w:rFonts w:ascii="Times New Roman" w:eastAsia="宋体" w:hAnsi="Times New Roman"/>
          <w:sz w:val="24"/>
          <w:szCs w:val="24"/>
        </w:rPr>
        <w:t>GB12158-2006</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《石油与石油设施雷电安全规范》（</w:t>
      </w:r>
      <w:r>
        <w:rPr>
          <w:rFonts w:ascii="Times New Roman" w:eastAsia="宋体" w:hAnsi="Times New Roman"/>
          <w:sz w:val="24"/>
          <w:szCs w:val="24"/>
        </w:rPr>
        <w:t>GB15599-2009</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《危险化学品重大危险源辨识》（</w:t>
      </w:r>
      <w:r>
        <w:rPr>
          <w:rFonts w:ascii="Times New Roman" w:eastAsia="宋体" w:hAnsi="Times New Roman"/>
          <w:sz w:val="24"/>
          <w:szCs w:val="24"/>
        </w:rPr>
        <w:t>GB18218-2018</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《爆炸危险环境电力装置设计规范》（</w:t>
      </w:r>
      <w:r>
        <w:rPr>
          <w:rFonts w:ascii="Times New Roman" w:eastAsia="宋体" w:hAnsi="Times New Roman"/>
          <w:sz w:val="24"/>
          <w:szCs w:val="24"/>
        </w:rPr>
        <w:t>GB50058-2014</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《个体防护装备配备规范</w:t>
      </w:r>
      <w:r>
        <w:rPr>
          <w:rFonts w:ascii="Times New Roman" w:eastAsia="宋体" w:hAnsi="Times New Roman"/>
          <w:sz w:val="24"/>
          <w:szCs w:val="24"/>
        </w:rPr>
        <w:t xml:space="preserve"> </w:t>
      </w:r>
      <w:r>
        <w:rPr>
          <w:rFonts w:ascii="Times New Roman" w:eastAsia="宋体" w:hAnsi="Times New Roman"/>
          <w:sz w:val="24"/>
          <w:szCs w:val="24"/>
        </w:rPr>
        <w:t>第</w:t>
      </w:r>
      <w:r>
        <w:rPr>
          <w:rFonts w:ascii="Times New Roman" w:eastAsia="宋体" w:hAnsi="Times New Roman"/>
          <w:sz w:val="24"/>
          <w:szCs w:val="24"/>
        </w:rPr>
        <w:t>1</w:t>
      </w:r>
      <w:r>
        <w:rPr>
          <w:rFonts w:ascii="Times New Roman" w:eastAsia="宋体" w:hAnsi="Times New Roman"/>
          <w:sz w:val="24"/>
          <w:szCs w:val="24"/>
        </w:rPr>
        <w:t>部分：总则》（</w:t>
      </w:r>
      <w:r>
        <w:rPr>
          <w:rFonts w:ascii="Times New Roman" w:eastAsia="宋体" w:hAnsi="Times New Roman"/>
          <w:sz w:val="24"/>
          <w:szCs w:val="24"/>
        </w:rPr>
        <w:t>GB39800.1-2020</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《个体防护装备配备规范</w:t>
      </w:r>
      <w:r>
        <w:rPr>
          <w:rFonts w:ascii="Times New Roman" w:eastAsia="宋体" w:hAnsi="Times New Roman"/>
          <w:sz w:val="24"/>
          <w:szCs w:val="24"/>
        </w:rPr>
        <w:t xml:space="preserve"> </w:t>
      </w:r>
      <w:r>
        <w:rPr>
          <w:rFonts w:ascii="Times New Roman" w:eastAsia="宋体" w:hAnsi="Times New Roman"/>
          <w:sz w:val="24"/>
          <w:szCs w:val="24"/>
        </w:rPr>
        <w:t>第</w:t>
      </w:r>
      <w:r>
        <w:rPr>
          <w:rFonts w:ascii="Times New Roman" w:eastAsia="宋体" w:hAnsi="Times New Roman"/>
          <w:sz w:val="24"/>
          <w:szCs w:val="24"/>
        </w:rPr>
        <w:t>2</w:t>
      </w:r>
      <w:r>
        <w:rPr>
          <w:rFonts w:ascii="Times New Roman" w:eastAsia="宋体" w:hAnsi="Times New Roman"/>
          <w:sz w:val="24"/>
          <w:szCs w:val="24"/>
        </w:rPr>
        <w:t>部分：石油、化工、天然气》（</w:t>
      </w:r>
      <w:r>
        <w:rPr>
          <w:rFonts w:ascii="Times New Roman" w:eastAsia="宋体" w:hAnsi="Times New Roman"/>
          <w:sz w:val="24"/>
          <w:szCs w:val="24"/>
        </w:rPr>
        <w:t>GB39800.2-2020</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《石油天然气工程设计防火规范》（</w:t>
      </w:r>
      <w:r>
        <w:rPr>
          <w:rFonts w:ascii="Times New Roman" w:eastAsia="宋体" w:hAnsi="Times New Roman"/>
          <w:sz w:val="24"/>
          <w:szCs w:val="24"/>
        </w:rPr>
        <w:t>GB50183-2004</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《供配电系统设计规范》（</w:t>
      </w:r>
      <w:r>
        <w:rPr>
          <w:rFonts w:ascii="Times New Roman" w:eastAsia="宋体" w:hAnsi="Times New Roman"/>
          <w:sz w:val="24"/>
          <w:szCs w:val="24"/>
        </w:rPr>
        <w:t>GB50052-2009</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w:t>
      </w:r>
      <w:r>
        <w:rPr>
          <w:rFonts w:ascii="Times New Roman" w:eastAsia="宋体" w:hAnsi="Times New Roman"/>
          <w:sz w:val="24"/>
          <w:szCs w:val="24"/>
        </w:rPr>
        <w:t>20kV</w:t>
      </w:r>
      <w:r>
        <w:rPr>
          <w:rFonts w:ascii="Times New Roman" w:eastAsia="宋体" w:hAnsi="Times New Roman"/>
          <w:sz w:val="24"/>
          <w:szCs w:val="24"/>
        </w:rPr>
        <w:t>及以下变电所设计规范》（</w:t>
      </w:r>
      <w:r>
        <w:rPr>
          <w:rFonts w:ascii="Times New Roman" w:eastAsia="宋体" w:hAnsi="Times New Roman"/>
          <w:sz w:val="24"/>
          <w:szCs w:val="24"/>
        </w:rPr>
        <w:t>GB5005</w:t>
      </w:r>
      <w:r>
        <w:rPr>
          <w:rFonts w:ascii="Times New Roman" w:eastAsia="宋体" w:hAnsi="Times New Roman" w:hint="eastAsia"/>
          <w:sz w:val="24"/>
          <w:szCs w:val="24"/>
        </w:rPr>
        <w:t>3</w:t>
      </w:r>
      <w:r>
        <w:rPr>
          <w:rFonts w:ascii="Times New Roman" w:eastAsia="宋体" w:hAnsi="Times New Roman"/>
          <w:sz w:val="24"/>
          <w:szCs w:val="24"/>
        </w:rPr>
        <w:t>-20</w:t>
      </w:r>
      <w:r>
        <w:rPr>
          <w:rFonts w:ascii="Times New Roman" w:eastAsia="宋体" w:hAnsi="Times New Roman" w:hint="eastAsia"/>
          <w:sz w:val="24"/>
          <w:szCs w:val="24"/>
        </w:rPr>
        <w:t>13</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《低压配电设计规范》（</w:t>
      </w:r>
      <w:r>
        <w:rPr>
          <w:rFonts w:ascii="Times New Roman" w:eastAsia="宋体" w:hAnsi="Times New Roman"/>
          <w:sz w:val="24"/>
          <w:szCs w:val="24"/>
        </w:rPr>
        <w:t>GB50054-2011</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《通用用电设备配电设计规范》</w:t>
      </w:r>
      <w:r>
        <w:rPr>
          <w:rFonts w:ascii="Times New Roman" w:eastAsia="宋体" w:hAnsi="Times New Roman" w:hint="eastAsia"/>
          <w:sz w:val="24"/>
          <w:szCs w:val="24"/>
        </w:rPr>
        <w:t>（</w:t>
      </w:r>
      <w:r>
        <w:rPr>
          <w:rFonts w:ascii="Times New Roman" w:eastAsia="宋体" w:hAnsi="Times New Roman"/>
          <w:sz w:val="24"/>
          <w:szCs w:val="24"/>
        </w:rPr>
        <w:t>GB50055-2011</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《建设工程施工现场供用电安全规范》（</w:t>
      </w:r>
      <w:r>
        <w:rPr>
          <w:rFonts w:ascii="Times New Roman" w:eastAsia="宋体" w:hAnsi="Times New Roman"/>
          <w:sz w:val="24"/>
          <w:szCs w:val="24"/>
        </w:rPr>
        <w:t>GB50194-2014</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《电力工程电缆设计标准》（</w:t>
      </w:r>
      <w:r>
        <w:rPr>
          <w:rFonts w:ascii="Times New Roman" w:eastAsia="宋体" w:hAnsi="Times New Roman"/>
          <w:sz w:val="24"/>
          <w:szCs w:val="24"/>
        </w:rPr>
        <w:t>GB50217-2018</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《建筑灭火器配置设计规范》（</w:t>
      </w:r>
      <w:r>
        <w:rPr>
          <w:rFonts w:ascii="Times New Roman" w:eastAsia="宋体" w:hAnsi="Times New Roman"/>
          <w:sz w:val="24"/>
          <w:szCs w:val="24"/>
        </w:rPr>
        <w:t>GB50140-2005</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《建筑设计防火规范（</w:t>
      </w:r>
      <w:r>
        <w:rPr>
          <w:rFonts w:ascii="Times New Roman" w:eastAsia="宋体" w:hAnsi="Times New Roman"/>
          <w:sz w:val="24"/>
          <w:szCs w:val="24"/>
        </w:rPr>
        <w:t>2018</w:t>
      </w:r>
      <w:r>
        <w:rPr>
          <w:rFonts w:ascii="Times New Roman" w:eastAsia="宋体" w:hAnsi="Times New Roman"/>
          <w:sz w:val="24"/>
          <w:szCs w:val="24"/>
        </w:rPr>
        <w:t>年版）》</w:t>
      </w:r>
      <w:r>
        <w:rPr>
          <w:rFonts w:ascii="Times New Roman" w:eastAsia="宋体" w:hAnsi="Times New Roman" w:hint="eastAsia"/>
          <w:sz w:val="24"/>
          <w:szCs w:val="24"/>
        </w:rPr>
        <w:t>（</w:t>
      </w:r>
      <w:r>
        <w:rPr>
          <w:rFonts w:ascii="Times New Roman" w:eastAsia="宋体" w:hAnsi="Times New Roman"/>
          <w:sz w:val="24"/>
          <w:szCs w:val="24"/>
        </w:rPr>
        <w:t>GB50016-2014</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《建筑抗震设计规范（</w:t>
      </w:r>
      <w:r>
        <w:rPr>
          <w:rFonts w:ascii="Times New Roman" w:eastAsia="宋体" w:hAnsi="Times New Roman"/>
          <w:sz w:val="24"/>
          <w:szCs w:val="24"/>
        </w:rPr>
        <w:t>2016</w:t>
      </w:r>
      <w:r>
        <w:rPr>
          <w:rFonts w:ascii="Times New Roman" w:eastAsia="宋体" w:hAnsi="Times New Roman"/>
          <w:sz w:val="24"/>
          <w:szCs w:val="24"/>
        </w:rPr>
        <w:t>年</w:t>
      </w:r>
      <w:r>
        <w:rPr>
          <w:rFonts w:ascii="Times New Roman" w:eastAsia="宋体" w:hAnsi="Times New Roman" w:hint="eastAsia"/>
          <w:sz w:val="24"/>
          <w:szCs w:val="24"/>
        </w:rPr>
        <w:t>版</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GB50011-2010</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《建筑工程抗震设防分类标准》</w:t>
      </w:r>
      <w:r>
        <w:rPr>
          <w:rFonts w:ascii="Times New Roman" w:eastAsia="宋体" w:hAnsi="Times New Roman" w:hint="eastAsia"/>
          <w:sz w:val="24"/>
          <w:szCs w:val="24"/>
        </w:rPr>
        <w:t>（</w:t>
      </w:r>
      <w:r>
        <w:rPr>
          <w:rFonts w:ascii="Times New Roman" w:eastAsia="宋体" w:hAnsi="Times New Roman"/>
          <w:sz w:val="24"/>
          <w:szCs w:val="24"/>
        </w:rPr>
        <w:t>GB50223-2008</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《中国地震动参数区划图》（</w:t>
      </w:r>
      <w:r>
        <w:rPr>
          <w:rFonts w:ascii="Times New Roman" w:eastAsia="宋体" w:hAnsi="Times New Roman"/>
          <w:sz w:val="24"/>
          <w:szCs w:val="24"/>
        </w:rPr>
        <w:t>GB18306-2015</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《建筑物防雷设计规范》</w:t>
      </w:r>
      <w:r>
        <w:rPr>
          <w:rFonts w:ascii="Times New Roman" w:eastAsia="宋体" w:hAnsi="Times New Roman" w:hint="eastAsia"/>
          <w:sz w:val="24"/>
          <w:szCs w:val="24"/>
        </w:rPr>
        <w:t>（</w:t>
      </w:r>
      <w:r>
        <w:rPr>
          <w:rFonts w:ascii="Times New Roman" w:eastAsia="宋体" w:hAnsi="Times New Roman"/>
          <w:sz w:val="24"/>
          <w:szCs w:val="24"/>
        </w:rPr>
        <w:t>GB50057-2010</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《立式圆筒形钢制焊接油罐设计规范》</w:t>
      </w:r>
      <w:r>
        <w:rPr>
          <w:rFonts w:ascii="Times New Roman" w:eastAsia="宋体" w:hAnsi="Times New Roman" w:hint="eastAsia"/>
          <w:sz w:val="24"/>
          <w:szCs w:val="24"/>
        </w:rPr>
        <w:t>（</w:t>
      </w:r>
      <w:r>
        <w:rPr>
          <w:rFonts w:ascii="Times New Roman" w:eastAsia="宋体" w:hAnsi="Times New Roman"/>
          <w:sz w:val="24"/>
          <w:szCs w:val="24"/>
        </w:rPr>
        <w:t>GB50341-2014</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《油田油气集输设计规范》</w:t>
      </w:r>
      <w:r>
        <w:rPr>
          <w:rFonts w:ascii="Times New Roman" w:eastAsia="宋体" w:hAnsi="Times New Roman" w:hint="eastAsia"/>
          <w:sz w:val="24"/>
          <w:szCs w:val="24"/>
        </w:rPr>
        <w:t>（</w:t>
      </w:r>
      <w:r>
        <w:rPr>
          <w:rFonts w:ascii="Times New Roman" w:eastAsia="宋体" w:hAnsi="Times New Roman"/>
          <w:sz w:val="24"/>
          <w:szCs w:val="24"/>
        </w:rPr>
        <w:t>GB50350-2015</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54"/>
        <w:jc w:val="both"/>
        <w:rPr>
          <w:rFonts w:ascii="Times New Roman" w:eastAsia="宋体" w:hAnsi="Times New Roman"/>
          <w:sz w:val="24"/>
          <w:szCs w:val="24"/>
        </w:rPr>
      </w:pPr>
      <w:r>
        <w:rPr>
          <w:rFonts w:ascii="Times New Roman" w:eastAsia="宋体" w:hAnsi="Times New Roman" w:hint="eastAsia"/>
          <w:bCs/>
          <w:spacing w:val="-4"/>
          <w:sz w:val="24"/>
          <w:szCs w:val="24"/>
        </w:rPr>
        <w:t>《气田集输设计规范》（</w:t>
      </w:r>
      <w:r>
        <w:rPr>
          <w:rFonts w:ascii="Times New Roman" w:eastAsia="宋体" w:hAnsi="Times New Roman" w:hint="eastAsia"/>
          <w:bCs/>
          <w:spacing w:val="-4"/>
          <w:sz w:val="24"/>
          <w:szCs w:val="24"/>
        </w:rPr>
        <w:t>GB 50349-2015</w:t>
      </w:r>
      <w:r>
        <w:rPr>
          <w:rFonts w:ascii="Times New Roman" w:eastAsia="宋体" w:hAnsi="Times New Roman" w:hint="eastAsia"/>
          <w:bCs/>
          <w:spacing w:val="-4"/>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《储罐区防火堤设计规范》</w:t>
      </w:r>
      <w:r>
        <w:rPr>
          <w:rFonts w:ascii="Times New Roman" w:eastAsia="宋体" w:hAnsi="Times New Roman" w:hint="eastAsia"/>
          <w:sz w:val="24"/>
          <w:szCs w:val="24"/>
        </w:rPr>
        <w:t>（</w:t>
      </w:r>
      <w:r>
        <w:rPr>
          <w:rFonts w:ascii="Times New Roman" w:eastAsia="宋体" w:hAnsi="Times New Roman"/>
          <w:sz w:val="24"/>
          <w:szCs w:val="24"/>
        </w:rPr>
        <w:t>GB50351-2014</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《油田注水工程设计规范》</w:t>
      </w:r>
      <w:r>
        <w:rPr>
          <w:rFonts w:ascii="Times New Roman" w:eastAsia="宋体" w:hAnsi="Times New Roman" w:hint="eastAsia"/>
          <w:sz w:val="24"/>
          <w:szCs w:val="24"/>
        </w:rPr>
        <w:t>（</w:t>
      </w:r>
      <w:r>
        <w:rPr>
          <w:rFonts w:ascii="Times New Roman" w:eastAsia="宋体" w:hAnsi="Times New Roman"/>
          <w:sz w:val="24"/>
          <w:szCs w:val="24"/>
        </w:rPr>
        <w:t>GB50391-2014</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《油气输送管道穿越工程设计规范》</w:t>
      </w:r>
      <w:r>
        <w:rPr>
          <w:rFonts w:ascii="Times New Roman" w:eastAsia="宋体" w:hAnsi="Times New Roman" w:hint="eastAsia"/>
          <w:sz w:val="24"/>
          <w:szCs w:val="24"/>
        </w:rPr>
        <w:t>（</w:t>
      </w:r>
      <w:r>
        <w:rPr>
          <w:rFonts w:ascii="Times New Roman" w:eastAsia="宋体" w:hAnsi="Times New Roman"/>
          <w:sz w:val="24"/>
          <w:szCs w:val="24"/>
        </w:rPr>
        <w:t>GB50423-2013</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《输油管道工程设计规范》（</w:t>
      </w:r>
      <w:r>
        <w:rPr>
          <w:rFonts w:ascii="Times New Roman" w:eastAsia="宋体" w:hAnsi="Times New Roman" w:hint="eastAsia"/>
          <w:sz w:val="24"/>
          <w:szCs w:val="24"/>
        </w:rPr>
        <w:t>G</w:t>
      </w:r>
      <w:r>
        <w:rPr>
          <w:rFonts w:ascii="Times New Roman" w:eastAsia="宋体" w:hAnsi="Times New Roman"/>
          <w:sz w:val="24"/>
          <w:szCs w:val="24"/>
        </w:rPr>
        <w:t>B50253-2014</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《输</w:t>
      </w:r>
      <w:r>
        <w:rPr>
          <w:rFonts w:ascii="Times New Roman" w:eastAsia="宋体" w:hAnsi="Times New Roman" w:hint="eastAsia"/>
          <w:sz w:val="24"/>
          <w:szCs w:val="24"/>
        </w:rPr>
        <w:t>气</w:t>
      </w:r>
      <w:r>
        <w:rPr>
          <w:rFonts w:ascii="Times New Roman" w:eastAsia="宋体" w:hAnsi="Times New Roman"/>
          <w:sz w:val="24"/>
          <w:szCs w:val="24"/>
        </w:rPr>
        <w:t>管道工程设计规范》（</w:t>
      </w:r>
      <w:r>
        <w:rPr>
          <w:rFonts w:ascii="Times New Roman" w:eastAsia="宋体" w:hAnsi="Times New Roman" w:hint="eastAsia"/>
          <w:sz w:val="24"/>
          <w:szCs w:val="24"/>
        </w:rPr>
        <w:t>G</w:t>
      </w:r>
      <w:r>
        <w:rPr>
          <w:rFonts w:ascii="Times New Roman" w:eastAsia="宋体" w:hAnsi="Times New Roman"/>
          <w:sz w:val="24"/>
          <w:szCs w:val="24"/>
        </w:rPr>
        <w:t>B5025</w:t>
      </w:r>
      <w:r>
        <w:rPr>
          <w:rFonts w:ascii="Times New Roman" w:eastAsia="宋体" w:hAnsi="Times New Roman" w:hint="eastAsia"/>
          <w:sz w:val="24"/>
          <w:szCs w:val="24"/>
        </w:rPr>
        <w:t>1</w:t>
      </w:r>
      <w:r>
        <w:rPr>
          <w:rFonts w:ascii="Times New Roman" w:eastAsia="宋体" w:hAnsi="Times New Roman"/>
          <w:sz w:val="24"/>
          <w:szCs w:val="24"/>
        </w:rPr>
        <w:t>-201</w:t>
      </w:r>
      <w:r>
        <w:rPr>
          <w:rFonts w:ascii="Times New Roman" w:eastAsia="宋体" w:hAnsi="Times New Roman" w:hint="eastAsia"/>
          <w:sz w:val="24"/>
          <w:szCs w:val="24"/>
        </w:rPr>
        <w:t>5</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《工业企业总平面设计规范》（</w:t>
      </w:r>
      <w:r>
        <w:rPr>
          <w:rFonts w:ascii="Times New Roman" w:eastAsia="宋体" w:hAnsi="Times New Roman" w:hint="eastAsia"/>
          <w:sz w:val="24"/>
          <w:szCs w:val="24"/>
        </w:rPr>
        <w:t>G</w:t>
      </w:r>
      <w:r>
        <w:rPr>
          <w:rFonts w:ascii="Times New Roman" w:eastAsia="宋体" w:hAnsi="Times New Roman"/>
          <w:sz w:val="24"/>
          <w:szCs w:val="24"/>
        </w:rPr>
        <w:t>B50</w:t>
      </w:r>
      <w:r>
        <w:rPr>
          <w:rFonts w:ascii="Times New Roman" w:eastAsia="宋体" w:hAnsi="Times New Roman" w:hint="eastAsia"/>
          <w:sz w:val="24"/>
          <w:szCs w:val="24"/>
        </w:rPr>
        <w:t>187</w:t>
      </w:r>
      <w:r>
        <w:rPr>
          <w:rFonts w:ascii="Times New Roman" w:eastAsia="宋体" w:hAnsi="Times New Roman"/>
          <w:sz w:val="24"/>
          <w:szCs w:val="24"/>
        </w:rPr>
        <w:t>-201</w:t>
      </w:r>
      <w:r>
        <w:rPr>
          <w:rFonts w:ascii="Times New Roman" w:eastAsia="宋体" w:hAnsi="Times New Roman" w:hint="eastAsia"/>
          <w:sz w:val="24"/>
          <w:szCs w:val="24"/>
        </w:rPr>
        <w:t>2</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54"/>
        <w:jc w:val="both"/>
        <w:rPr>
          <w:rFonts w:ascii="Times New Roman" w:eastAsia="宋体" w:hAnsi="Times New Roman"/>
          <w:sz w:val="24"/>
          <w:szCs w:val="24"/>
        </w:rPr>
      </w:pPr>
      <w:r>
        <w:rPr>
          <w:rFonts w:ascii="Times New Roman" w:eastAsia="宋体" w:hAnsi="Times New Roman" w:hint="eastAsia"/>
          <w:bCs/>
          <w:spacing w:val="-4"/>
          <w:sz w:val="24"/>
          <w:szCs w:val="24"/>
        </w:rPr>
        <w:t>《</w:t>
      </w:r>
      <w:r>
        <w:rPr>
          <w:rFonts w:ascii="Times New Roman" w:eastAsia="宋体" w:hAnsi="Times New Roman"/>
          <w:bCs/>
          <w:spacing w:val="-4"/>
          <w:sz w:val="24"/>
          <w:szCs w:val="24"/>
        </w:rPr>
        <w:t>水套加热炉通用技术要求</w:t>
      </w:r>
      <w:r>
        <w:rPr>
          <w:rFonts w:ascii="Times New Roman" w:eastAsia="宋体" w:hAnsi="Times New Roman" w:hint="eastAsia"/>
          <w:bCs/>
          <w:spacing w:val="-4"/>
          <w:sz w:val="24"/>
          <w:szCs w:val="24"/>
        </w:rPr>
        <w:t>》（</w:t>
      </w:r>
      <w:r>
        <w:rPr>
          <w:rFonts w:ascii="Times New Roman" w:eastAsia="宋体" w:hAnsi="Times New Roman"/>
          <w:bCs/>
          <w:spacing w:val="-4"/>
          <w:sz w:val="24"/>
          <w:szCs w:val="24"/>
        </w:rPr>
        <w:t>GB/T 33840-2017</w:t>
      </w:r>
      <w:r>
        <w:rPr>
          <w:rFonts w:ascii="Times New Roman" w:eastAsia="宋体" w:hAnsi="Times New Roman" w:hint="eastAsia"/>
          <w:bCs/>
          <w:spacing w:val="-4"/>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《石油化工可燃气体和有毒气体检测报警设计标准》</w:t>
      </w:r>
      <w:r>
        <w:rPr>
          <w:rFonts w:ascii="Times New Roman" w:eastAsia="宋体" w:hAnsi="Times New Roman" w:hint="eastAsia"/>
          <w:sz w:val="24"/>
          <w:szCs w:val="24"/>
        </w:rPr>
        <w:t>（</w:t>
      </w:r>
      <w:r>
        <w:rPr>
          <w:rFonts w:ascii="Times New Roman" w:eastAsia="宋体" w:hAnsi="Times New Roman"/>
          <w:sz w:val="24"/>
          <w:szCs w:val="24"/>
        </w:rPr>
        <w:t>GB/T50493-2019</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lastRenderedPageBreak/>
        <w:t>《油田采出水处理设计规范》</w:t>
      </w:r>
      <w:r>
        <w:rPr>
          <w:rFonts w:ascii="Times New Roman" w:eastAsia="宋体" w:hAnsi="Times New Roman" w:hint="eastAsia"/>
          <w:sz w:val="24"/>
          <w:szCs w:val="24"/>
        </w:rPr>
        <w:t>（</w:t>
      </w:r>
      <w:r>
        <w:rPr>
          <w:rFonts w:ascii="Times New Roman" w:eastAsia="宋体" w:hAnsi="Times New Roman"/>
          <w:sz w:val="24"/>
          <w:szCs w:val="24"/>
        </w:rPr>
        <w:t>GB50428-2015</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《泡沫灭火系统</w:t>
      </w:r>
      <w:r>
        <w:rPr>
          <w:rFonts w:ascii="Times New Roman" w:eastAsia="宋体" w:hAnsi="Times New Roman" w:hint="eastAsia"/>
          <w:sz w:val="24"/>
          <w:szCs w:val="24"/>
        </w:rPr>
        <w:t>技术标准</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GB50151-20</w:t>
      </w:r>
      <w:r>
        <w:rPr>
          <w:rFonts w:ascii="Times New Roman" w:eastAsia="宋体" w:hAnsi="Times New Roman" w:hint="eastAsia"/>
          <w:sz w:val="24"/>
          <w:szCs w:val="24"/>
        </w:rPr>
        <w:t>21</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《工业建筑供暖通风与空气调节设计规范》</w:t>
      </w:r>
      <w:r>
        <w:rPr>
          <w:rFonts w:ascii="Times New Roman" w:eastAsia="宋体" w:hAnsi="Times New Roman" w:hint="eastAsia"/>
          <w:sz w:val="24"/>
          <w:szCs w:val="24"/>
        </w:rPr>
        <w:t>（</w:t>
      </w:r>
      <w:r>
        <w:rPr>
          <w:rFonts w:ascii="Times New Roman" w:eastAsia="宋体" w:hAnsi="Times New Roman"/>
          <w:sz w:val="24"/>
          <w:szCs w:val="24"/>
        </w:rPr>
        <w:t>GB50019-2015</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w:t>
      </w:r>
      <w:r>
        <w:rPr>
          <w:rFonts w:ascii="Times New Roman" w:eastAsia="宋体" w:hAnsi="Times New Roman" w:hint="eastAsia"/>
          <w:sz w:val="24"/>
          <w:szCs w:val="24"/>
        </w:rPr>
        <w:t>消防安全标志设置要求</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GB</w:t>
      </w:r>
      <w:r>
        <w:rPr>
          <w:rFonts w:ascii="Times New Roman" w:eastAsia="宋体" w:hAnsi="Times New Roman" w:hint="eastAsia"/>
          <w:sz w:val="24"/>
          <w:szCs w:val="24"/>
        </w:rPr>
        <w:t>15630-1995</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w:t>
      </w:r>
      <w:r>
        <w:rPr>
          <w:rFonts w:ascii="Times New Roman" w:eastAsia="宋体" w:hAnsi="Times New Roman" w:hint="eastAsia"/>
          <w:sz w:val="24"/>
          <w:szCs w:val="24"/>
        </w:rPr>
        <w:t>推车式灭火器</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GB8109-2005</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《电气装置安装工程</w:t>
      </w:r>
      <w:r>
        <w:rPr>
          <w:rFonts w:ascii="Times New Roman" w:eastAsia="宋体" w:hAnsi="Times New Roman"/>
          <w:sz w:val="24"/>
          <w:szCs w:val="24"/>
        </w:rPr>
        <w:t xml:space="preserve"> </w:t>
      </w:r>
      <w:r>
        <w:rPr>
          <w:rFonts w:ascii="Times New Roman" w:eastAsia="宋体" w:hAnsi="Times New Roman"/>
          <w:sz w:val="24"/>
          <w:szCs w:val="24"/>
        </w:rPr>
        <w:t>接地装置施工及验收规范》（</w:t>
      </w:r>
      <w:r>
        <w:rPr>
          <w:rFonts w:ascii="Times New Roman" w:eastAsia="宋体" w:hAnsi="Times New Roman"/>
          <w:sz w:val="24"/>
          <w:szCs w:val="24"/>
        </w:rPr>
        <w:t>GB50169-2016</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《固定式钢梯及平台安全要求第</w:t>
      </w:r>
      <w:r>
        <w:rPr>
          <w:rFonts w:ascii="Times New Roman" w:eastAsia="宋体" w:hAnsi="Times New Roman"/>
          <w:sz w:val="24"/>
          <w:szCs w:val="24"/>
        </w:rPr>
        <w:t>3</w:t>
      </w:r>
      <w:r>
        <w:rPr>
          <w:rFonts w:ascii="Times New Roman" w:eastAsia="宋体" w:hAnsi="Times New Roman"/>
          <w:sz w:val="24"/>
          <w:szCs w:val="24"/>
        </w:rPr>
        <w:t>部分：工业防护栏杆及钢平台》</w:t>
      </w:r>
      <w:r>
        <w:rPr>
          <w:rFonts w:ascii="Times New Roman" w:eastAsia="宋体" w:hAnsi="Times New Roman" w:hint="eastAsia"/>
          <w:sz w:val="24"/>
          <w:szCs w:val="24"/>
        </w:rPr>
        <w:t>（</w:t>
      </w:r>
      <w:r>
        <w:rPr>
          <w:rFonts w:ascii="Times New Roman" w:eastAsia="宋体" w:hAnsi="Times New Roman"/>
          <w:sz w:val="24"/>
          <w:szCs w:val="24"/>
        </w:rPr>
        <w:t>GB4053.3-2009</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《危险货物品名表》（</w:t>
      </w:r>
      <w:r>
        <w:rPr>
          <w:rFonts w:ascii="Times New Roman" w:eastAsia="宋体" w:hAnsi="Times New Roman"/>
          <w:sz w:val="24"/>
          <w:szCs w:val="24"/>
        </w:rPr>
        <w:t>GB12268-2012</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《工业企业设计卫生标准》（</w:t>
      </w:r>
      <w:r>
        <w:rPr>
          <w:rFonts w:ascii="Times New Roman" w:eastAsia="宋体" w:hAnsi="Times New Roman"/>
          <w:sz w:val="24"/>
          <w:szCs w:val="24"/>
        </w:rPr>
        <w:t>GBZ1-2010</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《工作场所职业病危害警示标识》（</w:t>
      </w:r>
      <w:r>
        <w:rPr>
          <w:rFonts w:ascii="Times New Roman" w:eastAsia="宋体" w:hAnsi="Times New Roman"/>
          <w:sz w:val="24"/>
          <w:szCs w:val="24"/>
        </w:rPr>
        <w:t>GBZ158-2003</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《工作场所有害因素职业接触限值第</w:t>
      </w:r>
      <w:r>
        <w:rPr>
          <w:rFonts w:ascii="Times New Roman" w:eastAsia="宋体" w:hAnsi="Times New Roman"/>
          <w:sz w:val="24"/>
          <w:szCs w:val="24"/>
        </w:rPr>
        <w:t>1</w:t>
      </w:r>
      <w:r>
        <w:rPr>
          <w:rFonts w:ascii="Times New Roman" w:eastAsia="宋体" w:hAnsi="Times New Roman"/>
          <w:sz w:val="24"/>
          <w:szCs w:val="24"/>
        </w:rPr>
        <w:t>部分：化学有害因素》（</w:t>
      </w:r>
      <w:r>
        <w:rPr>
          <w:rFonts w:ascii="Times New Roman" w:eastAsia="宋体" w:hAnsi="Times New Roman"/>
          <w:sz w:val="24"/>
          <w:szCs w:val="24"/>
        </w:rPr>
        <w:t>GBZ2.1-2019</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《工作场所有害因素职业接触限值第</w:t>
      </w:r>
      <w:r>
        <w:rPr>
          <w:rFonts w:ascii="Times New Roman" w:eastAsia="宋体" w:hAnsi="Times New Roman"/>
          <w:sz w:val="24"/>
          <w:szCs w:val="24"/>
        </w:rPr>
        <w:t>2</w:t>
      </w:r>
      <w:r>
        <w:rPr>
          <w:rFonts w:ascii="Times New Roman" w:eastAsia="宋体" w:hAnsi="Times New Roman"/>
          <w:sz w:val="24"/>
          <w:szCs w:val="24"/>
        </w:rPr>
        <w:t>部分：物理因素》（</w:t>
      </w:r>
      <w:r>
        <w:rPr>
          <w:rFonts w:ascii="Times New Roman" w:eastAsia="宋体" w:hAnsi="Times New Roman"/>
          <w:sz w:val="24"/>
          <w:szCs w:val="24"/>
        </w:rPr>
        <w:t>GBZ2.2-2007</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《火灾分类》（</w:t>
      </w:r>
      <w:r>
        <w:rPr>
          <w:rFonts w:ascii="Times New Roman" w:eastAsia="宋体" w:hAnsi="Times New Roman"/>
          <w:sz w:val="24"/>
          <w:szCs w:val="24"/>
        </w:rPr>
        <w:t>GB/T4968-2008</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《生产过程安全卫生要求总则》（</w:t>
      </w:r>
      <w:r>
        <w:rPr>
          <w:rFonts w:ascii="Times New Roman" w:eastAsia="宋体" w:hAnsi="Times New Roman"/>
          <w:sz w:val="24"/>
          <w:szCs w:val="24"/>
        </w:rPr>
        <w:t>GB/T12801-2008</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《生产过程危险和有害因素分类与代码》（</w:t>
      </w:r>
      <w:r>
        <w:rPr>
          <w:rFonts w:ascii="Times New Roman" w:eastAsia="宋体" w:hAnsi="Times New Roman"/>
          <w:sz w:val="24"/>
          <w:szCs w:val="24"/>
        </w:rPr>
        <w:t>GB/T13861-2022</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《企业安全生产标准化基本规范》（</w:t>
      </w:r>
      <w:r>
        <w:rPr>
          <w:rFonts w:ascii="Times New Roman" w:eastAsia="宋体" w:hAnsi="Times New Roman"/>
          <w:sz w:val="24"/>
          <w:szCs w:val="24"/>
        </w:rPr>
        <w:t>GB/T33000-2016</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《生产经营单位生产安全事故应急预案编制导则》（</w:t>
      </w:r>
      <w:r>
        <w:rPr>
          <w:rFonts w:ascii="Times New Roman" w:eastAsia="宋体" w:hAnsi="Times New Roman"/>
          <w:sz w:val="24"/>
          <w:szCs w:val="24"/>
        </w:rPr>
        <w:t>GB/T29639-2020</w:t>
      </w:r>
      <w:r>
        <w:rPr>
          <w:rFonts w:ascii="Times New Roman" w:eastAsia="宋体" w:hAnsi="Times New Roman"/>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《油气田及管道工程仪表控制系统设计规范》（</w:t>
      </w:r>
      <w:r>
        <w:rPr>
          <w:rFonts w:ascii="Times New Roman" w:eastAsia="宋体" w:hAnsi="Times New Roman"/>
          <w:sz w:val="24"/>
          <w:szCs w:val="24"/>
        </w:rPr>
        <w:t>GB/T50892-2013</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《安全阀一般要求》（</w:t>
      </w:r>
      <w:r>
        <w:rPr>
          <w:rFonts w:ascii="Times New Roman" w:eastAsia="宋体" w:hAnsi="Times New Roman"/>
          <w:sz w:val="24"/>
          <w:szCs w:val="24"/>
        </w:rPr>
        <w:t>GB/T12241-2021</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《一般</w:t>
      </w:r>
      <w:r>
        <w:rPr>
          <w:rFonts w:ascii="Times New Roman" w:eastAsia="宋体" w:hAnsi="Times New Roman" w:hint="eastAsia"/>
          <w:sz w:val="24"/>
          <w:szCs w:val="24"/>
        </w:rPr>
        <w:t>压力表</w:t>
      </w:r>
      <w:r>
        <w:rPr>
          <w:rFonts w:ascii="Times New Roman" w:eastAsia="宋体" w:hAnsi="Times New Roman"/>
          <w:sz w:val="24"/>
          <w:szCs w:val="24"/>
        </w:rPr>
        <w:t>》（</w:t>
      </w:r>
      <w:r>
        <w:rPr>
          <w:rFonts w:ascii="Times New Roman" w:eastAsia="宋体" w:hAnsi="Times New Roman"/>
          <w:sz w:val="24"/>
          <w:szCs w:val="24"/>
        </w:rPr>
        <w:t>GB/T122</w:t>
      </w:r>
      <w:r>
        <w:rPr>
          <w:rFonts w:ascii="Times New Roman" w:eastAsia="宋体" w:hAnsi="Times New Roman" w:hint="eastAsia"/>
          <w:sz w:val="24"/>
          <w:szCs w:val="24"/>
        </w:rPr>
        <w:t>6</w:t>
      </w:r>
      <w:r>
        <w:rPr>
          <w:rFonts w:ascii="Times New Roman" w:eastAsia="宋体" w:hAnsi="Times New Roman"/>
          <w:sz w:val="24"/>
          <w:szCs w:val="24"/>
        </w:rPr>
        <w:t>-20</w:t>
      </w:r>
      <w:r>
        <w:rPr>
          <w:rFonts w:ascii="Times New Roman" w:eastAsia="宋体" w:hAnsi="Times New Roman" w:hint="eastAsia"/>
          <w:sz w:val="24"/>
          <w:szCs w:val="24"/>
        </w:rPr>
        <w:t>17</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《钢质石油储罐防腐蚀工程技术标准》（</w:t>
      </w:r>
      <w:r>
        <w:rPr>
          <w:rFonts w:ascii="Times New Roman" w:eastAsia="宋体" w:hAnsi="Times New Roman"/>
          <w:sz w:val="24"/>
          <w:szCs w:val="24"/>
        </w:rPr>
        <w:t>GB/T50393-2017</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《钢</w:t>
      </w:r>
      <w:r>
        <w:rPr>
          <w:rFonts w:ascii="Times New Roman" w:eastAsia="宋体" w:hAnsi="Times New Roman" w:hint="eastAsia"/>
          <w:sz w:val="24"/>
          <w:szCs w:val="24"/>
        </w:rPr>
        <w:t>质</w:t>
      </w:r>
      <w:r>
        <w:rPr>
          <w:rFonts w:ascii="Times New Roman" w:eastAsia="宋体" w:hAnsi="Times New Roman"/>
          <w:sz w:val="24"/>
          <w:szCs w:val="24"/>
        </w:rPr>
        <w:t>管道外腐蚀控制规范》</w:t>
      </w:r>
      <w:r>
        <w:rPr>
          <w:rFonts w:ascii="Times New Roman" w:eastAsia="宋体" w:hAnsi="Times New Roman" w:hint="eastAsia"/>
          <w:sz w:val="24"/>
          <w:szCs w:val="24"/>
        </w:rPr>
        <w:t>（</w:t>
      </w:r>
      <w:r>
        <w:rPr>
          <w:rFonts w:ascii="Times New Roman" w:eastAsia="宋体" w:hAnsi="Times New Roman"/>
          <w:sz w:val="24"/>
          <w:szCs w:val="24"/>
        </w:rPr>
        <w:t>GB/T21447-2018</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《钢</w:t>
      </w:r>
      <w:r>
        <w:rPr>
          <w:rFonts w:ascii="Times New Roman" w:eastAsia="宋体" w:hAnsi="Times New Roman" w:hint="eastAsia"/>
          <w:sz w:val="24"/>
          <w:szCs w:val="24"/>
        </w:rPr>
        <w:t>质</w:t>
      </w:r>
      <w:r>
        <w:rPr>
          <w:rFonts w:ascii="Times New Roman" w:eastAsia="宋体" w:hAnsi="Times New Roman"/>
          <w:sz w:val="24"/>
          <w:szCs w:val="24"/>
        </w:rPr>
        <w:t>管道内腐蚀控制规范》</w:t>
      </w:r>
      <w:r>
        <w:rPr>
          <w:rFonts w:ascii="Times New Roman" w:eastAsia="宋体" w:hAnsi="Times New Roman" w:hint="eastAsia"/>
          <w:sz w:val="24"/>
          <w:szCs w:val="24"/>
        </w:rPr>
        <w:t>（</w:t>
      </w:r>
      <w:r>
        <w:rPr>
          <w:rFonts w:ascii="Times New Roman" w:eastAsia="宋体" w:hAnsi="Times New Roman"/>
          <w:sz w:val="24"/>
          <w:szCs w:val="24"/>
        </w:rPr>
        <w:t>GB/T23258-20</w:t>
      </w:r>
      <w:r>
        <w:rPr>
          <w:rFonts w:ascii="Times New Roman" w:eastAsia="宋体" w:hAnsi="Times New Roman" w:hint="eastAsia"/>
          <w:sz w:val="24"/>
          <w:szCs w:val="24"/>
        </w:rPr>
        <w:t>20</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sz w:val="24"/>
          <w:szCs w:val="24"/>
        </w:rPr>
        <w:t>《交流电气装置的接地设计规范》</w:t>
      </w:r>
      <w:r>
        <w:rPr>
          <w:rFonts w:ascii="Times New Roman" w:eastAsia="宋体" w:hAnsi="Times New Roman" w:hint="eastAsia"/>
          <w:sz w:val="24"/>
          <w:szCs w:val="24"/>
        </w:rPr>
        <w:t>（</w:t>
      </w:r>
      <w:r>
        <w:rPr>
          <w:rFonts w:ascii="Times New Roman" w:eastAsia="宋体" w:hAnsi="Times New Roman" w:hint="eastAsia"/>
          <w:sz w:val="24"/>
          <w:szCs w:val="24"/>
        </w:rPr>
        <w:t>GB/T50065-2011</w:t>
      </w:r>
      <w:r>
        <w:rPr>
          <w:rFonts w:ascii="Times New Roman" w:eastAsia="宋体" w:hAnsi="Times New Roman" w:hint="eastAsia"/>
          <w:sz w:val="24"/>
          <w:szCs w:val="24"/>
        </w:rPr>
        <w:t>）</w:t>
      </w:r>
    </w:p>
    <w:p w:rsidR="00F95F9B" w:rsidRDefault="00000000">
      <w:pPr>
        <w:pStyle w:val="19"/>
        <w:widowControl w:val="0"/>
        <w:numPr>
          <w:ilvl w:val="0"/>
          <w:numId w:val="10"/>
        </w:numPr>
        <w:spacing w:after="0"/>
        <w:ind w:left="0" w:firstLine="470"/>
        <w:jc w:val="both"/>
        <w:rPr>
          <w:rFonts w:ascii="Times New Roman" w:eastAsia="宋体" w:hAnsi="Times New Roman"/>
          <w:sz w:val="24"/>
          <w:szCs w:val="24"/>
        </w:rPr>
      </w:pPr>
      <w:r>
        <w:rPr>
          <w:rFonts w:ascii="Times New Roman" w:eastAsia="宋体" w:hAnsi="Times New Roman" w:hint="eastAsia"/>
          <w:sz w:val="24"/>
          <w:szCs w:val="24"/>
        </w:rPr>
        <w:t>《消防设施通用规范》（</w:t>
      </w:r>
      <w:r>
        <w:rPr>
          <w:rFonts w:ascii="Times New Roman" w:eastAsia="宋体" w:hAnsi="Times New Roman"/>
          <w:sz w:val="24"/>
          <w:szCs w:val="24"/>
        </w:rPr>
        <w:t>GB</w:t>
      </w:r>
      <w:r>
        <w:rPr>
          <w:rFonts w:ascii="Times New Roman" w:eastAsia="宋体" w:hAnsi="Times New Roman" w:hint="eastAsia"/>
          <w:sz w:val="24"/>
          <w:szCs w:val="24"/>
        </w:rPr>
        <w:t>55036-2022</w:t>
      </w:r>
      <w:r>
        <w:rPr>
          <w:rFonts w:ascii="Times New Roman" w:eastAsia="宋体" w:hAnsi="Times New Roman" w:hint="eastAsia"/>
          <w:sz w:val="24"/>
          <w:szCs w:val="24"/>
        </w:rPr>
        <w:t>）</w:t>
      </w:r>
    </w:p>
    <w:p w:rsidR="00F95F9B" w:rsidRDefault="00000000">
      <w:pPr>
        <w:pStyle w:val="3"/>
        <w:keepNext w:val="0"/>
        <w:keepLines w:val="0"/>
        <w:widowControl w:val="0"/>
        <w:adjustRightInd w:val="0"/>
        <w:snapToGrid w:val="0"/>
        <w:ind w:left="0"/>
        <w:rPr>
          <w:snapToGrid w:val="0"/>
          <w:kern w:val="0"/>
          <w:szCs w:val="24"/>
        </w:rPr>
      </w:pPr>
      <w:r>
        <w:rPr>
          <w:snapToGrid w:val="0"/>
          <w:kern w:val="0"/>
          <w:szCs w:val="24"/>
        </w:rPr>
        <w:t>行业、地方标准</w:t>
      </w:r>
    </w:p>
    <w:p w:rsidR="00F95F9B" w:rsidRDefault="00000000">
      <w:pPr>
        <w:pStyle w:val="afff8"/>
        <w:widowControl w:val="0"/>
        <w:numPr>
          <w:ilvl w:val="0"/>
          <w:numId w:val="11"/>
        </w:numPr>
        <w:adjustRightInd w:val="0"/>
        <w:snapToGrid w:val="0"/>
        <w:ind w:left="0" w:firstLine="454"/>
        <w:rPr>
          <w:bCs/>
          <w:spacing w:val="-4"/>
          <w:szCs w:val="24"/>
        </w:rPr>
      </w:pPr>
      <w:r>
        <w:rPr>
          <w:bCs/>
          <w:spacing w:val="-4"/>
          <w:szCs w:val="24"/>
        </w:rPr>
        <w:t>《石油天然气安全规程》（</w:t>
      </w:r>
      <w:r>
        <w:rPr>
          <w:bCs/>
          <w:spacing w:val="-4"/>
          <w:szCs w:val="24"/>
        </w:rPr>
        <w:t>AQ2012-2007</w:t>
      </w:r>
      <w:r>
        <w:rPr>
          <w:bCs/>
          <w:spacing w:val="-4"/>
          <w:szCs w:val="24"/>
        </w:rPr>
        <w:t>）</w:t>
      </w:r>
    </w:p>
    <w:p w:rsidR="00F95F9B" w:rsidRDefault="00000000">
      <w:pPr>
        <w:pStyle w:val="afff8"/>
        <w:widowControl w:val="0"/>
        <w:numPr>
          <w:ilvl w:val="0"/>
          <w:numId w:val="11"/>
        </w:numPr>
        <w:adjustRightInd w:val="0"/>
        <w:snapToGrid w:val="0"/>
        <w:ind w:left="0" w:firstLine="454"/>
        <w:rPr>
          <w:bCs/>
          <w:spacing w:val="-4"/>
          <w:szCs w:val="24"/>
        </w:rPr>
      </w:pPr>
      <w:r>
        <w:rPr>
          <w:bCs/>
          <w:spacing w:val="-4"/>
          <w:szCs w:val="24"/>
        </w:rPr>
        <w:t>《石油行业安全生产标准化</w:t>
      </w:r>
      <w:r>
        <w:rPr>
          <w:bCs/>
          <w:spacing w:val="-4"/>
          <w:szCs w:val="24"/>
        </w:rPr>
        <w:t xml:space="preserve"> </w:t>
      </w:r>
      <w:r>
        <w:rPr>
          <w:bCs/>
          <w:spacing w:val="-4"/>
          <w:szCs w:val="24"/>
        </w:rPr>
        <w:t>陆上采油实施规范》（</w:t>
      </w:r>
      <w:r>
        <w:rPr>
          <w:bCs/>
          <w:spacing w:val="-4"/>
          <w:szCs w:val="24"/>
        </w:rPr>
        <w:t>AQ2042-2012</w:t>
      </w:r>
      <w:r>
        <w:rPr>
          <w:bCs/>
          <w:spacing w:val="-4"/>
          <w:szCs w:val="24"/>
        </w:rPr>
        <w:t>）</w:t>
      </w:r>
    </w:p>
    <w:p w:rsidR="00F95F9B" w:rsidRDefault="00000000">
      <w:pPr>
        <w:pStyle w:val="afff8"/>
        <w:widowControl w:val="0"/>
        <w:numPr>
          <w:ilvl w:val="0"/>
          <w:numId w:val="11"/>
        </w:numPr>
        <w:adjustRightInd w:val="0"/>
        <w:snapToGrid w:val="0"/>
        <w:ind w:left="0" w:firstLine="454"/>
        <w:rPr>
          <w:szCs w:val="24"/>
        </w:rPr>
      </w:pPr>
      <w:r>
        <w:rPr>
          <w:bCs/>
          <w:spacing w:val="-4"/>
          <w:szCs w:val="24"/>
        </w:rPr>
        <w:t>《石油行业安全生产标准化</w:t>
      </w:r>
      <w:r>
        <w:rPr>
          <w:bCs/>
          <w:spacing w:val="-4"/>
          <w:szCs w:val="24"/>
        </w:rPr>
        <w:t xml:space="preserve"> </w:t>
      </w:r>
      <w:r>
        <w:rPr>
          <w:bCs/>
          <w:spacing w:val="-4"/>
          <w:szCs w:val="24"/>
        </w:rPr>
        <w:t>陆上采气实施规范》（</w:t>
      </w:r>
      <w:r>
        <w:rPr>
          <w:bCs/>
          <w:spacing w:val="-4"/>
          <w:szCs w:val="24"/>
        </w:rPr>
        <w:t>AQ204</w:t>
      </w:r>
      <w:r>
        <w:rPr>
          <w:rFonts w:hint="eastAsia"/>
          <w:bCs/>
          <w:spacing w:val="-4"/>
          <w:szCs w:val="24"/>
        </w:rPr>
        <w:t>3</w:t>
      </w:r>
      <w:r>
        <w:rPr>
          <w:bCs/>
          <w:spacing w:val="-4"/>
          <w:szCs w:val="24"/>
        </w:rPr>
        <w:t>-2012</w:t>
      </w:r>
      <w:r>
        <w:rPr>
          <w:bCs/>
          <w:spacing w:val="-4"/>
          <w:szCs w:val="24"/>
        </w:rPr>
        <w:t>）</w:t>
      </w:r>
    </w:p>
    <w:p w:rsidR="00F95F9B" w:rsidRDefault="00000000">
      <w:pPr>
        <w:pStyle w:val="19"/>
        <w:widowControl w:val="0"/>
        <w:numPr>
          <w:ilvl w:val="0"/>
          <w:numId w:val="11"/>
        </w:numPr>
        <w:spacing w:after="0"/>
        <w:ind w:left="0" w:firstLine="470"/>
        <w:jc w:val="both"/>
        <w:rPr>
          <w:rFonts w:ascii="Times New Roman" w:eastAsia="宋体" w:hAnsi="Times New Roman"/>
          <w:sz w:val="24"/>
          <w:szCs w:val="24"/>
        </w:rPr>
      </w:pPr>
      <w:r>
        <w:rPr>
          <w:rFonts w:ascii="Times New Roman" w:eastAsia="宋体" w:hAnsi="Times New Roman"/>
          <w:sz w:val="24"/>
          <w:szCs w:val="24"/>
        </w:rPr>
        <w:lastRenderedPageBreak/>
        <w:t>《安全评价通则》（</w:t>
      </w:r>
      <w:r>
        <w:rPr>
          <w:rFonts w:ascii="Times New Roman" w:eastAsia="宋体" w:hAnsi="Times New Roman"/>
          <w:sz w:val="24"/>
          <w:szCs w:val="24"/>
        </w:rPr>
        <w:t>AQ8001-2007</w:t>
      </w:r>
      <w:r>
        <w:rPr>
          <w:rFonts w:ascii="Times New Roman" w:eastAsia="宋体" w:hAnsi="Times New Roman"/>
          <w:sz w:val="24"/>
          <w:szCs w:val="24"/>
        </w:rPr>
        <w:t>）</w:t>
      </w:r>
    </w:p>
    <w:p w:rsidR="00F95F9B" w:rsidRDefault="00000000">
      <w:pPr>
        <w:pStyle w:val="19"/>
        <w:widowControl w:val="0"/>
        <w:numPr>
          <w:ilvl w:val="0"/>
          <w:numId w:val="11"/>
        </w:numPr>
        <w:spacing w:after="0"/>
        <w:ind w:left="0" w:firstLine="470"/>
        <w:jc w:val="both"/>
        <w:rPr>
          <w:rFonts w:ascii="Times New Roman" w:eastAsia="宋体" w:hAnsi="Times New Roman"/>
          <w:sz w:val="24"/>
          <w:szCs w:val="24"/>
        </w:rPr>
      </w:pPr>
      <w:r>
        <w:rPr>
          <w:rFonts w:ascii="Times New Roman" w:eastAsia="宋体" w:hAnsi="Times New Roman"/>
          <w:sz w:val="24"/>
          <w:szCs w:val="24"/>
        </w:rPr>
        <w:t>《危险场所电气防爆安全规范》（</w:t>
      </w:r>
      <w:r>
        <w:rPr>
          <w:rFonts w:ascii="Times New Roman" w:eastAsia="宋体" w:hAnsi="Times New Roman"/>
          <w:sz w:val="24"/>
          <w:szCs w:val="24"/>
        </w:rPr>
        <w:t>AQ3009-2007</w:t>
      </w:r>
      <w:r>
        <w:rPr>
          <w:rFonts w:ascii="Times New Roman" w:eastAsia="宋体" w:hAnsi="Times New Roman"/>
          <w:sz w:val="24"/>
          <w:szCs w:val="24"/>
        </w:rPr>
        <w:t>）</w:t>
      </w:r>
    </w:p>
    <w:p w:rsidR="00F95F9B" w:rsidRDefault="00000000">
      <w:pPr>
        <w:pStyle w:val="19"/>
        <w:widowControl w:val="0"/>
        <w:numPr>
          <w:ilvl w:val="0"/>
          <w:numId w:val="11"/>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《生产安全事故应急演练基本规范》（</w:t>
      </w:r>
      <w:r>
        <w:rPr>
          <w:rFonts w:ascii="Times New Roman" w:eastAsia="宋体" w:hAnsi="Times New Roman"/>
          <w:sz w:val="24"/>
          <w:szCs w:val="24"/>
        </w:rPr>
        <w:t>AQ/T9007-2019</w:t>
      </w:r>
      <w:r>
        <w:rPr>
          <w:rFonts w:ascii="Times New Roman" w:eastAsia="宋体" w:hAnsi="Times New Roman"/>
          <w:sz w:val="24"/>
          <w:szCs w:val="24"/>
        </w:rPr>
        <w:t>）</w:t>
      </w:r>
    </w:p>
    <w:p w:rsidR="00F95F9B" w:rsidRDefault="00000000">
      <w:pPr>
        <w:pStyle w:val="19"/>
        <w:widowControl w:val="0"/>
        <w:numPr>
          <w:ilvl w:val="0"/>
          <w:numId w:val="11"/>
        </w:numPr>
        <w:spacing w:after="0"/>
        <w:ind w:left="0" w:firstLine="470"/>
        <w:jc w:val="both"/>
        <w:rPr>
          <w:rFonts w:ascii="Times New Roman" w:eastAsia="宋体" w:hAnsi="Times New Roman"/>
          <w:sz w:val="24"/>
          <w:szCs w:val="24"/>
        </w:rPr>
      </w:pPr>
      <w:r>
        <w:rPr>
          <w:rFonts w:ascii="Times New Roman" w:eastAsia="宋体" w:hAnsi="Times New Roman"/>
          <w:sz w:val="24"/>
          <w:szCs w:val="24"/>
        </w:rPr>
        <w:t>《生产安全事故应急演练评估规范》（</w:t>
      </w:r>
      <w:r>
        <w:rPr>
          <w:rFonts w:ascii="Times New Roman" w:eastAsia="宋体" w:hAnsi="Times New Roman"/>
          <w:sz w:val="24"/>
          <w:szCs w:val="24"/>
        </w:rPr>
        <w:t>AQ/T9009-2015</w:t>
      </w:r>
      <w:r>
        <w:rPr>
          <w:rFonts w:ascii="Times New Roman" w:eastAsia="宋体" w:hAnsi="Times New Roman"/>
          <w:sz w:val="24"/>
          <w:szCs w:val="24"/>
        </w:rPr>
        <w:t>）</w:t>
      </w:r>
    </w:p>
    <w:p w:rsidR="00F95F9B" w:rsidRDefault="00000000">
      <w:pPr>
        <w:pStyle w:val="19"/>
        <w:widowControl w:val="0"/>
        <w:numPr>
          <w:ilvl w:val="0"/>
          <w:numId w:val="11"/>
        </w:numPr>
        <w:spacing w:after="0"/>
        <w:ind w:left="0" w:firstLine="470"/>
        <w:jc w:val="both"/>
        <w:rPr>
          <w:rFonts w:ascii="Times New Roman" w:eastAsia="宋体" w:hAnsi="Times New Roman"/>
          <w:bCs/>
          <w:spacing w:val="-4"/>
          <w:sz w:val="24"/>
          <w:szCs w:val="24"/>
        </w:rPr>
      </w:pPr>
      <w:r>
        <w:rPr>
          <w:rFonts w:ascii="Times New Roman" w:eastAsia="宋体" w:hAnsi="Times New Roman"/>
          <w:sz w:val="24"/>
          <w:szCs w:val="24"/>
        </w:rPr>
        <w:t>《生产经营单位生产安全事故应急预案评估指南》（</w:t>
      </w:r>
      <w:r>
        <w:rPr>
          <w:rFonts w:ascii="Times New Roman" w:eastAsia="宋体" w:hAnsi="Times New Roman"/>
          <w:sz w:val="24"/>
          <w:szCs w:val="24"/>
        </w:rPr>
        <w:t>AQ/T9011-2019</w:t>
      </w:r>
      <w:r>
        <w:rPr>
          <w:rFonts w:ascii="Times New Roman" w:eastAsia="宋体" w:hAnsi="Times New Roman"/>
          <w:sz w:val="24"/>
          <w:szCs w:val="24"/>
        </w:rPr>
        <w:t>）</w:t>
      </w:r>
    </w:p>
    <w:p w:rsidR="00F95F9B" w:rsidRDefault="00000000">
      <w:pPr>
        <w:pStyle w:val="19"/>
        <w:widowControl w:val="0"/>
        <w:numPr>
          <w:ilvl w:val="0"/>
          <w:numId w:val="11"/>
        </w:numPr>
        <w:spacing w:after="0"/>
        <w:ind w:left="0" w:firstLine="470"/>
        <w:jc w:val="both"/>
        <w:rPr>
          <w:rFonts w:ascii="Times New Roman" w:eastAsia="宋体" w:hAnsi="Times New Roman"/>
          <w:sz w:val="24"/>
          <w:szCs w:val="24"/>
        </w:rPr>
      </w:pPr>
      <w:r>
        <w:rPr>
          <w:rFonts w:ascii="Times New Roman" w:eastAsia="宋体" w:hAnsi="Times New Roman"/>
          <w:sz w:val="24"/>
          <w:szCs w:val="24"/>
        </w:rPr>
        <w:t>《石油与天然气井井控安全技术考核管理规则》（</w:t>
      </w:r>
      <w:r>
        <w:rPr>
          <w:rFonts w:ascii="Times New Roman" w:eastAsia="宋体" w:hAnsi="Times New Roman"/>
          <w:sz w:val="24"/>
          <w:szCs w:val="24"/>
        </w:rPr>
        <w:t>SY/T5742-2019</w:t>
      </w:r>
      <w:r>
        <w:rPr>
          <w:rFonts w:ascii="Times New Roman" w:eastAsia="宋体" w:hAnsi="Times New Roman"/>
          <w:sz w:val="24"/>
          <w:szCs w:val="24"/>
        </w:rPr>
        <w:t>）</w:t>
      </w:r>
    </w:p>
    <w:p w:rsidR="00F95F9B" w:rsidRDefault="00000000">
      <w:pPr>
        <w:pStyle w:val="19"/>
        <w:widowControl w:val="0"/>
        <w:numPr>
          <w:ilvl w:val="0"/>
          <w:numId w:val="11"/>
        </w:numPr>
        <w:spacing w:after="0"/>
        <w:ind w:left="0" w:firstLine="470"/>
        <w:jc w:val="both"/>
        <w:rPr>
          <w:rFonts w:ascii="Times New Roman" w:eastAsia="宋体" w:hAnsi="Times New Roman"/>
          <w:bCs/>
          <w:spacing w:val="-4"/>
          <w:sz w:val="24"/>
          <w:szCs w:val="24"/>
        </w:rPr>
      </w:pPr>
      <w:r>
        <w:rPr>
          <w:rFonts w:ascii="Times New Roman" w:eastAsia="宋体" w:hAnsi="Times New Roman"/>
          <w:sz w:val="24"/>
          <w:szCs w:val="24"/>
        </w:rPr>
        <w:t>《</w:t>
      </w:r>
      <w:r>
        <w:rPr>
          <w:rFonts w:ascii="Times New Roman" w:eastAsia="宋体" w:hAnsi="Times New Roman"/>
          <w:bCs/>
          <w:spacing w:val="-4"/>
          <w:sz w:val="24"/>
          <w:szCs w:val="24"/>
        </w:rPr>
        <w:t>石油天然气钻井、开发、储运防火防爆安全生产技术规程》（</w:t>
      </w:r>
      <w:r>
        <w:rPr>
          <w:rFonts w:ascii="Times New Roman" w:eastAsia="宋体" w:hAnsi="Times New Roman"/>
          <w:bCs/>
          <w:spacing w:val="-4"/>
          <w:sz w:val="24"/>
          <w:szCs w:val="24"/>
        </w:rPr>
        <w:t>SY/T5225-2019</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70"/>
        <w:jc w:val="both"/>
        <w:rPr>
          <w:rFonts w:ascii="Times New Roman" w:eastAsia="宋体" w:hAnsi="Times New Roman"/>
          <w:bCs/>
          <w:spacing w:val="-4"/>
          <w:sz w:val="24"/>
          <w:szCs w:val="24"/>
        </w:rPr>
      </w:pPr>
      <w:r>
        <w:rPr>
          <w:rFonts w:ascii="Times New Roman" w:eastAsia="宋体" w:hAnsi="Times New Roman"/>
          <w:sz w:val="24"/>
          <w:szCs w:val="24"/>
        </w:rPr>
        <w:t>《</w:t>
      </w:r>
      <w:r>
        <w:rPr>
          <w:rFonts w:ascii="Times New Roman" w:eastAsia="宋体" w:hAnsi="Times New Roman"/>
          <w:bCs/>
          <w:spacing w:val="-4"/>
          <w:sz w:val="24"/>
          <w:szCs w:val="24"/>
        </w:rPr>
        <w:t>石油天然气工程建筑设计规范》</w:t>
      </w:r>
      <w:r>
        <w:rPr>
          <w:rFonts w:ascii="Times New Roman" w:eastAsia="宋体" w:hAnsi="Times New Roman" w:hint="eastAsia"/>
          <w:bCs/>
          <w:spacing w:val="-4"/>
          <w:sz w:val="24"/>
          <w:szCs w:val="24"/>
        </w:rPr>
        <w:t>（</w:t>
      </w:r>
      <w:r>
        <w:rPr>
          <w:rFonts w:ascii="Times New Roman" w:eastAsia="宋体" w:hAnsi="Times New Roman"/>
          <w:bCs/>
          <w:spacing w:val="-4"/>
          <w:sz w:val="24"/>
          <w:szCs w:val="24"/>
        </w:rPr>
        <w:t>SY</w:t>
      </w:r>
      <w:r>
        <w:rPr>
          <w:rFonts w:ascii="Times New Roman" w:eastAsia="宋体" w:hAnsi="Times New Roman" w:hint="eastAsia"/>
          <w:bCs/>
          <w:spacing w:val="-4"/>
          <w:sz w:val="24"/>
          <w:szCs w:val="24"/>
        </w:rPr>
        <w:t>/</w:t>
      </w:r>
      <w:r>
        <w:rPr>
          <w:rFonts w:ascii="Times New Roman" w:eastAsia="宋体" w:hAnsi="Times New Roman"/>
          <w:bCs/>
          <w:spacing w:val="-4"/>
          <w:sz w:val="24"/>
          <w:szCs w:val="24"/>
        </w:rPr>
        <w:t>T0021-2016</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《油气田变配电设计规范》（</w:t>
      </w:r>
      <w:r>
        <w:rPr>
          <w:rFonts w:ascii="Times New Roman" w:eastAsia="宋体" w:hAnsi="Times New Roman"/>
          <w:bCs/>
          <w:spacing w:val="-4"/>
          <w:sz w:val="24"/>
          <w:szCs w:val="24"/>
        </w:rPr>
        <w:t>SY/T0033-2020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《石油天然气工程管道和设备涂色规范》（</w:t>
      </w:r>
      <w:r>
        <w:rPr>
          <w:rFonts w:ascii="Times New Roman" w:eastAsia="宋体" w:hAnsi="Times New Roman"/>
          <w:bCs/>
          <w:spacing w:val="-4"/>
          <w:sz w:val="24"/>
          <w:szCs w:val="24"/>
        </w:rPr>
        <w:t>SY/T0043-2020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《石油天然气工程总图设计规范》（</w:t>
      </w:r>
      <w:r>
        <w:rPr>
          <w:rFonts w:ascii="Times New Roman" w:eastAsia="宋体" w:hAnsi="Times New Roman"/>
          <w:bCs/>
          <w:spacing w:val="-4"/>
          <w:sz w:val="24"/>
          <w:szCs w:val="24"/>
        </w:rPr>
        <w:t>SY/T0048-2016</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《油田地面工程建设规划设计规范》（</w:t>
      </w:r>
      <w:r>
        <w:rPr>
          <w:rFonts w:ascii="Times New Roman" w:eastAsia="宋体" w:hAnsi="Times New Roman"/>
          <w:bCs/>
          <w:spacing w:val="-4"/>
          <w:sz w:val="24"/>
          <w:szCs w:val="24"/>
        </w:rPr>
        <w:t>SY/T0049-2006</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《油气田防静电接地设计规范》（</w:t>
      </w:r>
      <w:r>
        <w:rPr>
          <w:rFonts w:ascii="Times New Roman" w:eastAsia="宋体" w:hAnsi="Times New Roman"/>
          <w:bCs/>
          <w:spacing w:val="-4"/>
          <w:sz w:val="24"/>
          <w:szCs w:val="24"/>
        </w:rPr>
        <w:t>SY/T0060-2017</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《原油热化学沉降脱水设计规范》（</w:t>
      </w:r>
      <w:r>
        <w:rPr>
          <w:rFonts w:ascii="Times New Roman" w:eastAsia="宋体" w:hAnsi="Times New Roman"/>
          <w:bCs/>
          <w:spacing w:val="-4"/>
          <w:sz w:val="24"/>
          <w:szCs w:val="24"/>
        </w:rPr>
        <w:t>SY/T</w:t>
      </w:r>
      <w:r>
        <w:rPr>
          <w:rFonts w:ascii="Times New Roman" w:eastAsia="宋体" w:hAnsi="Times New Roman" w:hint="eastAsia"/>
          <w:bCs/>
          <w:spacing w:val="-4"/>
          <w:sz w:val="24"/>
          <w:szCs w:val="24"/>
        </w:rPr>
        <w:t>0081</w:t>
      </w:r>
      <w:r>
        <w:rPr>
          <w:rFonts w:ascii="Times New Roman" w:eastAsia="宋体" w:hAnsi="Times New Roman"/>
          <w:bCs/>
          <w:spacing w:val="-4"/>
          <w:sz w:val="24"/>
          <w:szCs w:val="24"/>
        </w:rPr>
        <w:t>-201</w:t>
      </w:r>
      <w:r>
        <w:rPr>
          <w:rFonts w:ascii="Times New Roman" w:eastAsia="宋体" w:hAnsi="Times New Roman" w:hint="eastAsia"/>
          <w:bCs/>
          <w:spacing w:val="-4"/>
          <w:sz w:val="24"/>
          <w:szCs w:val="24"/>
        </w:rPr>
        <w:t>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《除油罐设计规范》（</w:t>
      </w:r>
      <w:r>
        <w:rPr>
          <w:rFonts w:ascii="Times New Roman" w:eastAsia="宋体" w:hAnsi="Times New Roman"/>
          <w:bCs/>
          <w:spacing w:val="-4"/>
          <w:sz w:val="24"/>
          <w:szCs w:val="24"/>
        </w:rPr>
        <w:t>SY/T</w:t>
      </w:r>
      <w:r>
        <w:rPr>
          <w:rFonts w:ascii="Times New Roman" w:eastAsia="宋体" w:hAnsi="Times New Roman" w:hint="eastAsia"/>
          <w:bCs/>
          <w:spacing w:val="-4"/>
          <w:sz w:val="24"/>
          <w:szCs w:val="24"/>
        </w:rPr>
        <w:t>0083</w:t>
      </w:r>
      <w:r>
        <w:rPr>
          <w:rFonts w:ascii="Times New Roman" w:eastAsia="宋体" w:hAnsi="Times New Roman"/>
          <w:bCs/>
          <w:spacing w:val="-4"/>
          <w:sz w:val="24"/>
          <w:szCs w:val="24"/>
        </w:rPr>
        <w:t>-20</w:t>
      </w:r>
      <w:r>
        <w:rPr>
          <w:rFonts w:ascii="Times New Roman" w:eastAsia="宋体" w:hAnsi="Times New Roman" w:hint="eastAsia"/>
          <w:bCs/>
          <w:spacing w:val="-4"/>
          <w:sz w:val="24"/>
          <w:szCs w:val="24"/>
        </w:rPr>
        <w:t>08</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《石油天然气工业</w:t>
      </w:r>
      <w:r>
        <w:rPr>
          <w:rFonts w:ascii="Times New Roman" w:eastAsia="宋体" w:hAnsi="Times New Roman"/>
          <w:bCs/>
          <w:spacing w:val="-4"/>
          <w:sz w:val="24"/>
          <w:szCs w:val="24"/>
        </w:rPr>
        <w:t xml:space="preserve"> </w:t>
      </w:r>
      <w:r>
        <w:rPr>
          <w:rFonts w:ascii="Times New Roman" w:eastAsia="宋体" w:hAnsi="Times New Roman"/>
          <w:bCs/>
          <w:spacing w:val="-4"/>
          <w:sz w:val="24"/>
          <w:szCs w:val="24"/>
        </w:rPr>
        <w:t>健康、安全与环境管理体系》（</w:t>
      </w:r>
      <w:r>
        <w:rPr>
          <w:rFonts w:ascii="Times New Roman" w:eastAsia="宋体" w:hAnsi="Times New Roman"/>
          <w:bCs/>
          <w:spacing w:val="-4"/>
          <w:sz w:val="24"/>
          <w:szCs w:val="24"/>
        </w:rPr>
        <w:t>SY/T6276-2014</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《陆上油气田油气集输安全规程》（</w:t>
      </w:r>
      <w:r>
        <w:rPr>
          <w:rFonts w:ascii="Times New Roman" w:eastAsia="宋体" w:hAnsi="Times New Roman"/>
          <w:sz w:val="24"/>
          <w:szCs w:val="24"/>
        </w:rPr>
        <w:t>SY/T</w:t>
      </w:r>
      <w:r>
        <w:rPr>
          <w:rFonts w:ascii="Times New Roman" w:eastAsia="宋体" w:hAnsi="Times New Roman" w:hint="eastAsia"/>
          <w:sz w:val="24"/>
          <w:szCs w:val="24"/>
        </w:rPr>
        <w:t>6320</w:t>
      </w:r>
      <w:r>
        <w:rPr>
          <w:rFonts w:ascii="Times New Roman" w:eastAsia="宋体" w:hAnsi="Times New Roman"/>
          <w:sz w:val="24"/>
          <w:szCs w:val="24"/>
        </w:rPr>
        <w:t>-</w:t>
      </w:r>
      <w:r>
        <w:rPr>
          <w:rFonts w:ascii="Times New Roman" w:eastAsia="宋体" w:hAnsi="Times New Roman" w:hint="eastAsia"/>
          <w:sz w:val="24"/>
          <w:szCs w:val="24"/>
        </w:rPr>
        <w:t>2022</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《防止静电、雷电和杂散电流引燃的措施》（</w:t>
      </w:r>
      <w:r>
        <w:rPr>
          <w:rFonts w:ascii="Times New Roman" w:eastAsia="宋体" w:hAnsi="Times New Roman"/>
          <w:bCs/>
          <w:spacing w:val="-4"/>
          <w:sz w:val="24"/>
          <w:szCs w:val="24"/>
        </w:rPr>
        <w:t>SY/T6319-2016</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《石油天然气工程可燃气体和有毒气体检测报警系统安全规范》（</w:t>
      </w:r>
      <w:r>
        <w:rPr>
          <w:rFonts w:ascii="Times New Roman" w:eastAsia="宋体" w:hAnsi="Times New Roman"/>
          <w:bCs/>
          <w:spacing w:val="-4"/>
          <w:sz w:val="24"/>
          <w:szCs w:val="24"/>
        </w:rPr>
        <w:t>SY/T6503-20</w:t>
      </w:r>
      <w:r>
        <w:rPr>
          <w:rFonts w:ascii="Times New Roman" w:eastAsia="宋体" w:hAnsi="Times New Roman" w:hint="eastAsia"/>
          <w:bCs/>
          <w:spacing w:val="-4"/>
          <w:sz w:val="24"/>
          <w:szCs w:val="24"/>
        </w:rPr>
        <w:t>22</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《石油天然气生产专用安全标志》（</w:t>
      </w:r>
      <w:r>
        <w:rPr>
          <w:rFonts w:ascii="Times New Roman" w:eastAsia="宋体" w:hAnsi="Times New Roman"/>
          <w:bCs/>
          <w:spacing w:val="-4"/>
          <w:sz w:val="24"/>
          <w:szCs w:val="24"/>
        </w:rPr>
        <w:t>SY/T6355-2017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《石油天然气作业场所劳动防护用品配备规范》（</w:t>
      </w:r>
      <w:r>
        <w:rPr>
          <w:rFonts w:ascii="Times New Roman" w:eastAsia="宋体" w:hAnsi="Times New Roman"/>
          <w:bCs/>
          <w:spacing w:val="-4"/>
          <w:sz w:val="24"/>
          <w:szCs w:val="24"/>
        </w:rPr>
        <w:t>SY/T6524-2017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《硫化氢环境人身防护规范》（</w:t>
      </w:r>
      <w:r>
        <w:rPr>
          <w:rFonts w:ascii="Times New Roman" w:eastAsia="宋体" w:hAnsi="Times New Roman"/>
          <w:bCs/>
          <w:spacing w:val="-4"/>
          <w:sz w:val="24"/>
          <w:szCs w:val="24"/>
        </w:rPr>
        <w:t>SY/T6277-2017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《油气井井喷着火抢险作法》（</w:t>
      </w:r>
      <w:r>
        <w:rPr>
          <w:rFonts w:ascii="Times New Roman" w:eastAsia="宋体" w:hAnsi="Times New Roman"/>
          <w:bCs/>
          <w:spacing w:val="-4"/>
          <w:sz w:val="24"/>
          <w:szCs w:val="24"/>
        </w:rPr>
        <w:t>SY/T6203-2014</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hint="eastAsia"/>
          <w:bCs/>
          <w:spacing w:val="-4"/>
          <w:sz w:val="24"/>
          <w:szCs w:val="24"/>
        </w:rPr>
        <w:t>《</w:t>
      </w:r>
      <w:r>
        <w:rPr>
          <w:rFonts w:ascii="Times New Roman" w:eastAsia="宋体" w:hAnsi="Times New Roman"/>
          <w:bCs/>
          <w:spacing w:val="-4"/>
          <w:sz w:val="24"/>
          <w:szCs w:val="24"/>
        </w:rPr>
        <w:t>油田注聚合物、碱液、表面活性剂安全规程</w:t>
      </w:r>
      <w:r>
        <w:rPr>
          <w:rFonts w:ascii="Times New Roman" w:eastAsia="宋体" w:hAnsi="Times New Roman" w:hint="eastAsia"/>
          <w:bCs/>
          <w:spacing w:val="-4"/>
          <w:sz w:val="24"/>
          <w:szCs w:val="24"/>
        </w:rPr>
        <w:t>》（</w:t>
      </w:r>
      <w:r>
        <w:rPr>
          <w:rFonts w:ascii="Times New Roman" w:eastAsia="宋体" w:hAnsi="Times New Roman" w:hint="eastAsia"/>
          <w:bCs/>
          <w:spacing w:val="-4"/>
          <w:sz w:val="24"/>
          <w:szCs w:val="24"/>
        </w:rPr>
        <w:t>SY/T 6360-2022</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《石油天然气工程项目安全现状评价报告编写规则》（</w:t>
      </w:r>
      <w:r>
        <w:rPr>
          <w:rFonts w:ascii="Times New Roman" w:eastAsia="宋体" w:hAnsi="Times New Roman"/>
          <w:bCs/>
          <w:spacing w:val="-4"/>
          <w:sz w:val="24"/>
          <w:szCs w:val="24"/>
        </w:rPr>
        <w:t>SY/T6778-2010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《硫化氢防护安全培训规范》（</w:t>
      </w:r>
      <w:r>
        <w:rPr>
          <w:rFonts w:ascii="Times New Roman" w:eastAsia="宋体" w:hAnsi="Times New Roman"/>
          <w:bCs/>
          <w:spacing w:val="-4"/>
          <w:sz w:val="24"/>
          <w:szCs w:val="24"/>
        </w:rPr>
        <w:t>SY/T7356-2017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《硫化氢环境应急救援规范》（</w:t>
      </w:r>
      <w:r>
        <w:rPr>
          <w:rFonts w:ascii="Times New Roman" w:eastAsia="宋体" w:hAnsi="Times New Roman"/>
          <w:bCs/>
          <w:spacing w:val="-4"/>
          <w:sz w:val="24"/>
          <w:szCs w:val="24"/>
        </w:rPr>
        <w:t>SY/T</w:t>
      </w:r>
      <w:r>
        <w:rPr>
          <w:rFonts w:ascii="Times New Roman" w:eastAsia="宋体" w:hAnsi="Times New Roman" w:hint="eastAsia"/>
          <w:bCs/>
          <w:spacing w:val="-4"/>
          <w:sz w:val="24"/>
          <w:szCs w:val="24"/>
        </w:rPr>
        <w:t>7357</w:t>
      </w:r>
      <w:r>
        <w:rPr>
          <w:rFonts w:ascii="Times New Roman" w:eastAsia="宋体" w:hAnsi="Times New Roman"/>
          <w:bCs/>
          <w:spacing w:val="-4"/>
          <w:sz w:val="24"/>
          <w:szCs w:val="24"/>
        </w:rPr>
        <w:t>-2017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hint="eastAsia"/>
          <w:bCs/>
          <w:spacing w:val="-4"/>
          <w:sz w:val="24"/>
          <w:szCs w:val="24"/>
        </w:rPr>
        <w:t>《</w:t>
      </w:r>
      <w:r>
        <w:rPr>
          <w:rFonts w:ascii="Times New Roman" w:eastAsia="宋体" w:hAnsi="Times New Roman"/>
          <w:bCs/>
          <w:spacing w:val="-4"/>
          <w:sz w:val="24"/>
          <w:szCs w:val="24"/>
        </w:rPr>
        <w:t>石油工业用加热炉安全规程</w:t>
      </w:r>
      <w:r>
        <w:rPr>
          <w:rFonts w:ascii="Times New Roman" w:eastAsia="宋体" w:hAnsi="Times New Roman" w:hint="eastAsia"/>
          <w:bCs/>
          <w:spacing w:val="-4"/>
          <w:sz w:val="24"/>
          <w:szCs w:val="24"/>
        </w:rPr>
        <w:t>》（</w:t>
      </w:r>
      <w:r>
        <w:rPr>
          <w:rFonts w:ascii="Times New Roman" w:eastAsia="宋体" w:hAnsi="Times New Roman" w:hint="eastAsia"/>
          <w:bCs/>
          <w:spacing w:val="-4"/>
          <w:sz w:val="24"/>
          <w:szCs w:val="24"/>
        </w:rPr>
        <w:t>SY 0031-2012</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《石油设施电气设备场所</w:t>
      </w:r>
      <w:r>
        <w:rPr>
          <w:rFonts w:ascii="Times New Roman" w:eastAsia="宋体" w:hAnsi="Times New Roman"/>
          <w:bCs/>
          <w:spacing w:val="-4"/>
          <w:sz w:val="24"/>
          <w:szCs w:val="24"/>
        </w:rPr>
        <w:t>Ⅰ</w:t>
      </w:r>
      <w:r>
        <w:rPr>
          <w:rFonts w:ascii="Times New Roman" w:eastAsia="宋体" w:hAnsi="Times New Roman"/>
          <w:bCs/>
          <w:spacing w:val="-4"/>
          <w:sz w:val="24"/>
          <w:szCs w:val="24"/>
        </w:rPr>
        <w:t>级</w:t>
      </w:r>
      <w:r>
        <w:rPr>
          <w:rFonts w:ascii="Times New Roman" w:eastAsia="宋体" w:hAnsi="Times New Roman"/>
          <w:bCs/>
          <w:spacing w:val="-4"/>
          <w:sz w:val="24"/>
          <w:szCs w:val="24"/>
        </w:rPr>
        <w:t>0</w:t>
      </w:r>
      <w:r>
        <w:rPr>
          <w:rFonts w:ascii="Times New Roman" w:eastAsia="宋体" w:hAnsi="Times New Roman"/>
          <w:bCs/>
          <w:spacing w:val="-4"/>
          <w:sz w:val="24"/>
          <w:szCs w:val="24"/>
        </w:rPr>
        <w:t>区、</w:t>
      </w:r>
      <w:r>
        <w:rPr>
          <w:rFonts w:ascii="Times New Roman" w:eastAsia="宋体" w:hAnsi="Times New Roman"/>
          <w:bCs/>
          <w:spacing w:val="-4"/>
          <w:sz w:val="24"/>
          <w:szCs w:val="24"/>
        </w:rPr>
        <w:t>1</w:t>
      </w:r>
      <w:r>
        <w:rPr>
          <w:rFonts w:ascii="Times New Roman" w:eastAsia="宋体" w:hAnsi="Times New Roman"/>
          <w:bCs/>
          <w:spacing w:val="-4"/>
          <w:sz w:val="24"/>
          <w:szCs w:val="24"/>
        </w:rPr>
        <w:t>区和</w:t>
      </w:r>
      <w:r>
        <w:rPr>
          <w:rFonts w:ascii="Times New Roman" w:eastAsia="宋体" w:hAnsi="Times New Roman"/>
          <w:bCs/>
          <w:spacing w:val="-4"/>
          <w:sz w:val="24"/>
          <w:szCs w:val="24"/>
        </w:rPr>
        <w:t>2</w:t>
      </w:r>
      <w:r>
        <w:rPr>
          <w:rFonts w:ascii="Times New Roman" w:eastAsia="宋体" w:hAnsi="Times New Roman"/>
          <w:bCs/>
          <w:spacing w:val="-4"/>
          <w:sz w:val="24"/>
          <w:szCs w:val="24"/>
        </w:rPr>
        <w:t>区的分类</w:t>
      </w:r>
      <w:r>
        <w:rPr>
          <w:rFonts w:ascii="Times New Roman" w:eastAsia="宋体" w:hAnsi="Times New Roman" w:hint="eastAsia"/>
          <w:bCs/>
          <w:spacing w:val="-4"/>
          <w:sz w:val="24"/>
          <w:szCs w:val="24"/>
        </w:rPr>
        <w:t>推荐作法</w:t>
      </w:r>
      <w:hyperlink r:id="rId28" w:tgtFrame="http://www.jianbiaoku.com/webarbs/book/65390/_self" w:history="1">
        <w:r>
          <w:rPr>
            <w:rFonts w:ascii="Times New Roman" w:eastAsia="宋体" w:hAnsi="Times New Roman"/>
            <w:bCs/>
            <w:spacing w:val="-4"/>
            <w:sz w:val="24"/>
            <w:szCs w:val="24"/>
          </w:rPr>
          <w:t>》（</w:t>
        </w:r>
        <w:r>
          <w:rPr>
            <w:rFonts w:ascii="Times New Roman" w:eastAsia="宋体" w:hAnsi="Times New Roman"/>
            <w:bCs/>
            <w:spacing w:val="-4"/>
            <w:sz w:val="24"/>
            <w:szCs w:val="24"/>
          </w:rPr>
          <w:t>SY/T</w:t>
        </w:r>
      </w:hyperlink>
      <w:r>
        <w:rPr>
          <w:rFonts w:ascii="Times New Roman" w:eastAsia="宋体" w:hAnsi="Times New Roman"/>
          <w:bCs/>
          <w:spacing w:val="-4"/>
          <w:sz w:val="24"/>
          <w:szCs w:val="24"/>
        </w:rPr>
        <w:t>6671-2017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《火筒式加热炉规范》（</w:t>
      </w:r>
      <w:r>
        <w:rPr>
          <w:rFonts w:ascii="Times New Roman" w:eastAsia="宋体" w:hAnsi="Times New Roman"/>
          <w:bCs/>
          <w:spacing w:val="-4"/>
          <w:sz w:val="24"/>
          <w:szCs w:val="24"/>
        </w:rPr>
        <w:t>SY/</w:t>
      </w:r>
      <w:r>
        <w:rPr>
          <w:rFonts w:ascii="Times New Roman" w:eastAsia="宋体" w:hAnsi="Times New Roman" w:hint="eastAsia"/>
          <w:bCs/>
          <w:spacing w:val="-4"/>
          <w:sz w:val="24"/>
          <w:szCs w:val="24"/>
        </w:rPr>
        <w:t>T</w:t>
      </w:r>
      <w:r>
        <w:rPr>
          <w:rFonts w:ascii="Times New Roman" w:eastAsia="宋体" w:hAnsi="Times New Roman"/>
          <w:bCs/>
          <w:spacing w:val="-4"/>
          <w:sz w:val="24"/>
          <w:szCs w:val="24"/>
        </w:rPr>
        <w:t>5262-2016</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lastRenderedPageBreak/>
        <w:t>《油气管道仪表及自动化系统运行技术规范》（</w:t>
      </w:r>
      <w:r>
        <w:rPr>
          <w:rFonts w:ascii="Times New Roman" w:eastAsia="宋体" w:hAnsi="Times New Roman"/>
          <w:bCs/>
          <w:spacing w:val="-4"/>
          <w:sz w:val="24"/>
          <w:szCs w:val="24"/>
        </w:rPr>
        <w:t>SY/T6069-2020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《油气管道安全预警系统技术规范》（</w:t>
      </w:r>
      <w:r>
        <w:rPr>
          <w:rFonts w:ascii="Times New Roman" w:eastAsia="宋体" w:hAnsi="Times New Roman"/>
          <w:bCs/>
          <w:spacing w:val="-4"/>
          <w:sz w:val="24"/>
          <w:szCs w:val="24"/>
        </w:rPr>
        <w:t>SY/T6827-2020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《输油气管道工程安全仪表系统设计规范》（</w:t>
      </w:r>
      <w:r>
        <w:rPr>
          <w:rFonts w:ascii="Times New Roman" w:eastAsia="宋体" w:hAnsi="Times New Roman"/>
          <w:bCs/>
          <w:spacing w:val="-4"/>
          <w:sz w:val="24"/>
          <w:szCs w:val="24"/>
        </w:rPr>
        <w:t>SY/T6966-2013</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《油气管道完整性管理等级评估规范》（</w:t>
      </w:r>
      <w:r>
        <w:rPr>
          <w:rFonts w:ascii="Times New Roman" w:eastAsia="宋体" w:hAnsi="Times New Roman"/>
          <w:bCs/>
          <w:spacing w:val="-4"/>
          <w:sz w:val="24"/>
          <w:szCs w:val="24"/>
        </w:rPr>
        <w:t>SY/T7472-2020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hint="eastAsia"/>
          <w:bCs/>
          <w:spacing w:val="-4"/>
          <w:sz w:val="24"/>
          <w:szCs w:val="24"/>
        </w:rPr>
        <w:t>《天然气管道运行规范》（</w:t>
      </w:r>
      <w:r>
        <w:rPr>
          <w:rFonts w:ascii="Times New Roman" w:eastAsia="宋体" w:hAnsi="Times New Roman" w:hint="eastAsia"/>
          <w:bCs/>
          <w:spacing w:val="-4"/>
          <w:sz w:val="24"/>
          <w:szCs w:val="24"/>
        </w:rPr>
        <w:t>SY/T 5922-2012</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《原油管道运行规范》（</w:t>
      </w:r>
      <w:r>
        <w:rPr>
          <w:rFonts w:ascii="Times New Roman" w:eastAsia="宋体" w:hAnsi="Times New Roman"/>
          <w:bCs/>
          <w:spacing w:val="-4"/>
          <w:sz w:val="24"/>
          <w:szCs w:val="24"/>
        </w:rPr>
        <w:t>SY/T5536-2016</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《本安型人体静电消除器安全规范》（</w:t>
      </w:r>
      <w:r>
        <w:rPr>
          <w:rFonts w:ascii="Times New Roman" w:eastAsia="宋体" w:hAnsi="Times New Roman"/>
          <w:bCs/>
          <w:spacing w:val="-4"/>
          <w:sz w:val="24"/>
          <w:szCs w:val="24"/>
        </w:rPr>
        <w:t>SY/T7354-2017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《油（气）田容器、管道和装卸设施接地装置安全规范》（</w:t>
      </w:r>
      <w:r>
        <w:rPr>
          <w:rFonts w:ascii="Times New Roman" w:eastAsia="宋体" w:hAnsi="Times New Roman"/>
          <w:bCs/>
          <w:spacing w:val="-4"/>
          <w:sz w:val="24"/>
          <w:szCs w:val="24"/>
        </w:rPr>
        <w:t>SY/T5984-2020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w:t>
      </w:r>
      <w:r>
        <w:rPr>
          <w:rFonts w:ascii="宋体" w:eastAsia="宋体" w:hAnsi="宋体" w:cs="宋体" w:hint="eastAsia"/>
          <w:sz w:val="24"/>
          <w:szCs w:val="24"/>
        </w:rPr>
        <w:t>抽油机防护推荐作法</w:t>
      </w:r>
      <w:r>
        <w:rPr>
          <w:rFonts w:ascii="Times New Roman" w:eastAsia="宋体" w:hAnsi="Times New Roman"/>
          <w:bCs/>
          <w:spacing w:val="-4"/>
          <w:sz w:val="24"/>
          <w:szCs w:val="24"/>
        </w:rPr>
        <w:t>》（</w:t>
      </w:r>
      <w:r>
        <w:rPr>
          <w:rFonts w:ascii="Times New Roman" w:eastAsia="宋体" w:hAnsi="Times New Roman"/>
          <w:bCs/>
          <w:spacing w:val="-4"/>
          <w:sz w:val="24"/>
          <w:szCs w:val="24"/>
        </w:rPr>
        <w:t>SY/T</w:t>
      </w:r>
      <w:r>
        <w:rPr>
          <w:rFonts w:ascii="Times New Roman" w:eastAsia="宋体" w:hAnsi="Times New Roman" w:hint="eastAsia"/>
          <w:bCs/>
          <w:spacing w:val="-4"/>
          <w:sz w:val="24"/>
          <w:szCs w:val="24"/>
        </w:rPr>
        <w:t>6518-2012</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《硫化氢环境天然气采集与处理安全规范》（</w:t>
      </w:r>
      <w:r>
        <w:rPr>
          <w:rFonts w:ascii="Times New Roman" w:eastAsia="宋体" w:hAnsi="Times New Roman"/>
          <w:bCs/>
          <w:spacing w:val="-4"/>
          <w:sz w:val="24"/>
          <w:szCs w:val="24"/>
        </w:rPr>
        <w:t>SY/T6137-2017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《石油天然气管道安全规范》（</w:t>
      </w:r>
      <w:r>
        <w:rPr>
          <w:rFonts w:ascii="Times New Roman" w:eastAsia="宋体" w:hAnsi="Times New Roman"/>
          <w:bCs/>
          <w:spacing w:val="-4"/>
          <w:sz w:val="24"/>
          <w:szCs w:val="24"/>
        </w:rPr>
        <w:t>SY/T6186-2020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《钢质原油储罐运行安全规范》（</w:t>
      </w:r>
      <w:r>
        <w:rPr>
          <w:rFonts w:ascii="Times New Roman" w:eastAsia="宋体" w:hAnsi="Times New Roman"/>
          <w:bCs/>
          <w:spacing w:val="-4"/>
          <w:sz w:val="24"/>
          <w:szCs w:val="24"/>
        </w:rPr>
        <w:t>SY/T6306-2020</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《硫化氢环境原油采集与处理安全规范》（</w:t>
      </w:r>
      <w:r>
        <w:rPr>
          <w:rFonts w:ascii="Times New Roman" w:eastAsia="宋体" w:hAnsi="Times New Roman"/>
          <w:bCs/>
          <w:spacing w:val="-4"/>
          <w:sz w:val="24"/>
          <w:szCs w:val="24"/>
        </w:rPr>
        <w:t>SY/T7358-2017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《防静电安全技术规范》（</w:t>
      </w:r>
      <w:r>
        <w:rPr>
          <w:rFonts w:ascii="Times New Roman" w:eastAsia="宋体" w:hAnsi="Times New Roman"/>
          <w:bCs/>
          <w:spacing w:val="-4"/>
          <w:sz w:val="24"/>
          <w:szCs w:val="24"/>
        </w:rPr>
        <w:t>SY/T7385-2017</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《原油及轻烃站（库）运行管理规范》</w:t>
      </w:r>
      <w:r>
        <w:rPr>
          <w:rFonts w:ascii="Times New Roman" w:eastAsia="宋体" w:hAnsi="Times New Roman" w:hint="eastAsia"/>
          <w:bCs/>
          <w:spacing w:val="-4"/>
          <w:sz w:val="24"/>
          <w:szCs w:val="24"/>
        </w:rPr>
        <w:t>（</w:t>
      </w:r>
      <w:r>
        <w:rPr>
          <w:rFonts w:ascii="Times New Roman" w:eastAsia="宋体" w:hAnsi="Times New Roman"/>
          <w:bCs/>
          <w:spacing w:val="-4"/>
          <w:sz w:val="24"/>
          <w:szCs w:val="24"/>
        </w:rPr>
        <w:t>SY/T5920-2007</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《油气厂、站、库给水排水设计规范》</w:t>
      </w:r>
      <w:r>
        <w:rPr>
          <w:rFonts w:ascii="Times New Roman" w:eastAsia="宋体" w:hAnsi="Times New Roman" w:hint="eastAsia"/>
          <w:bCs/>
          <w:spacing w:val="-4"/>
          <w:sz w:val="24"/>
          <w:szCs w:val="24"/>
        </w:rPr>
        <w:t>（</w:t>
      </w:r>
      <w:r>
        <w:rPr>
          <w:rFonts w:ascii="Times New Roman" w:eastAsia="宋体" w:hAnsi="Times New Roman"/>
          <w:bCs/>
          <w:spacing w:val="-4"/>
          <w:sz w:val="24"/>
          <w:szCs w:val="24"/>
        </w:rPr>
        <w:t>SY/T</w:t>
      </w:r>
      <w:r>
        <w:rPr>
          <w:rFonts w:ascii="Times New Roman" w:eastAsia="宋体" w:hAnsi="Times New Roman" w:hint="eastAsia"/>
          <w:bCs/>
          <w:spacing w:val="-4"/>
          <w:sz w:val="24"/>
          <w:szCs w:val="24"/>
        </w:rPr>
        <w:t>0089-2019</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《石油天然气站场管道及设备外防腐层技术规范》</w:t>
      </w:r>
      <w:r>
        <w:rPr>
          <w:rFonts w:ascii="Times New Roman" w:eastAsia="宋体" w:hAnsi="Times New Roman" w:hint="eastAsia"/>
          <w:bCs/>
          <w:spacing w:val="-4"/>
          <w:sz w:val="24"/>
          <w:szCs w:val="24"/>
        </w:rPr>
        <w:t>（</w:t>
      </w:r>
      <w:r>
        <w:rPr>
          <w:rFonts w:ascii="Times New Roman" w:eastAsia="宋体" w:hAnsi="Times New Roman"/>
          <w:bCs/>
          <w:spacing w:val="-4"/>
          <w:sz w:val="24"/>
          <w:szCs w:val="24"/>
        </w:rPr>
        <w:t>SY/T</w:t>
      </w:r>
      <w:r>
        <w:rPr>
          <w:rFonts w:ascii="Times New Roman" w:eastAsia="宋体" w:hAnsi="Times New Roman" w:hint="eastAsia"/>
          <w:bCs/>
          <w:spacing w:val="-4"/>
          <w:sz w:val="24"/>
          <w:szCs w:val="24"/>
        </w:rPr>
        <w:t>7036-2016</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《石油工程建设</w:t>
      </w:r>
      <w:r>
        <w:rPr>
          <w:rFonts w:ascii="Times New Roman" w:eastAsia="宋体" w:hAnsi="Times New Roman" w:hint="eastAsia"/>
          <w:bCs/>
          <w:spacing w:val="-4"/>
          <w:sz w:val="24"/>
          <w:szCs w:val="24"/>
        </w:rPr>
        <w:t>施工</w:t>
      </w:r>
      <w:r>
        <w:rPr>
          <w:rFonts w:ascii="Times New Roman" w:eastAsia="宋体" w:hAnsi="Times New Roman"/>
          <w:bCs/>
          <w:spacing w:val="-4"/>
          <w:sz w:val="24"/>
          <w:szCs w:val="24"/>
        </w:rPr>
        <w:t>安全规范》（</w:t>
      </w:r>
      <w:r>
        <w:rPr>
          <w:rFonts w:ascii="Times New Roman" w:eastAsia="宋体" w:hAnsi="Times New Roman"/>
          <w:bCs/>
          <w:spacing w:val="-4"/>
          <w:sz w:val="24"/>
          <w:szCs w:val="24"/>
        </w:rPr>
        <w:t>SY/T6444-2018</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《山东省劳动防护用品配备标准》（</w:t>
      </w:r>
      <w:r>
        <w:rPr>
          <w:rFonts w:ascii="Times New Roman" w:eastAsia="宋体" w:hAnsi="Times New Roman"/>
          <w:bCs/>
          <w:spacing w:val="-4"/>
          <w:sz w:val="24"/>
          <w:szCs w:val="24"/>
        </w:rPr>
        <w:t>DB37/1922-2011</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《安全生产风险分级管控体系通则》（</w:t>
      </w:r>
      <w:r>
        <w:rPr>
          <w:rFonts w:ascii="Times New Roman" w:eastAsia="宋体" w:hAnsi="Times New Roman"/>
          <w:bCs/>
          <w:spacing w:val="-4"/>
          <w:sz w:val="24"/>
          <w:szCs w:val="24"/>
        </w:rPr>
        <w:t>DB37/T 2882-2016</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《陆上石油和天然气开采企业安全生产风险分级管控体系建设实施指南》（</w:t>
      </w:r>
      <w:r>
        <w:rPr>
          <w:rFonts w:ascii="Times New Roman" w:eastAsia="宋体" w:hAnsi="Times New Roman"/>
          <w:bCs/>
          <w:spacing w:val="-4"/>
          <w:sz w:val="24"/>
          <w:szCs w:val="24"/>
        </w:rPr>
        <w:t>DB37/T 3331-2018</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《陆上石油和天然气开采企业生产安全事故隐患排查治理体系实施指南》（</w:t>
      </w:r>
      <w:r>
        <w:rPr>
          <w:rFonts w:ascii="Times New Roman" w:eastAsia="宋体" w:hAnsi="Times New Roman"/>
          <w:bCs/>
          <w:spacing w:val="-4"/>
          <w:sz w:val="24"/>
          <w:szCs w:val="24"/>
        </w:rPr>
        <w:t>DB37/T 3332-2018</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《电力安全工器具预防性试验规程》（</w:t>
      </w:r>
      <w:r>
        <w:rPr>
          <w:rStyle w:val="afff3"/>
          <w:rFonts w:ascii="Times New Roman" w:eastAsia="宋体" w:hAnsi="Times New Roman"/>
          <w:color w:val="auto"/>
          <w:sz w:val="24"/>
          <w:szCs w:val="24"/>
          <w:shd w:val="clear" w:color="auto" w:fill="FFFFFF"/>
        </w:rPr>
        <w:t>DL/T1476-2015</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《固定式压力容器安全技术监察规程》（</w:t>
      </w:r>
      <w:r>
        <w:rPr>
          <w:rFonts w:ascii="Times New Roman" w:eastAsia="宋体" w:hAnsi="Times New Roman"/>
          <w:bCs/>
          <w:spacing w:val="-4"/>
          <w:sz w:val="24"/>
          <w:szCs w:val="24"/>
        </w:rPr>
        <w:t>TSG 21-2016</w:t>
      </w:r>
      <w:r>
        <w:rPr>
          <w:rFonts w:ascii="Times New Roman" w:eastAsia="宋体" w:hAnsi="Times New Roman" w:hint="eastAsia"/>
          <w:bCs/>
          <w:spacing w:val="-4"/>
          <w:sz w:val="24"/>
          <w:szCs w:val="24"/>
        </w:rPr>
        <w:t xml:space="preserve">  </w:t>
      </w:r>
      <w:r>
        <w:rPr>
          <w:rFonts w:ascii="Times New Roman" w:eastAsia="宋体" w:hAnsi="Times New Roman" w:hint="eastAsia"/>
          <w:bCs/>
          <w:spacing w:val="-4"/>
          <w:sz w:val="24"/>
          <w:szCs w:val="24"/>
        </w:rPr>
        <w:t>第</w:t>
      </w:r>
      <w:r>
        <w:rPr>
          <w:rFonts w:ascii="Times New Roman" w:eastAsia="宋体" w:hAnsi="Times New Roman" w:hint="eastAsia"/>
          <w:bCs/>
          <w:spacing w:val="-4"/>
          <w:sz w:val="24"/>
          <w:szCs w:val="24"/>
        </w:rPr>
        <w:t>1</w:t>
      </w:r>
      <w:r>
        <w:rPr>
          <w:rFonts w:ascii="Times New Roman" w:eastAsia="宋体" w:hAnsi="Times New Roman" w:hint="eastAsia"/>
          <w:bCs/>
          <w:spacing w:val="-4"/>
          <w:sz w:val="24"/>
          <w:szCs w:val="24"/>
        </w:rPr>
        <w:t>号修改单</w:t>
      </w:r>
      <w:r>
        <w:rPr>
          <w:rFonts w:ascii="Times New Roman" w:eastAsia="宋体" w:hAnsi="Times New Roman"/>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《特种设备使用管理规则》（</w:t>
      </w:r>
      <w:r>
        <w:rPr>
          <w:rFonts w:ascii="Times New Roman" w:eastAsia="宋体" w:hAnsi="Times New Roman"/>
          <w:bCs/>
          <w:spacing w:val="-4"/>
          <w:sz w:val="24"/>
          <w:szCs w:val="24"/>
        </w:rPr>
        <w:t>TSG 08-2017</w:t>
      </w:r>
      <w:r>
        <w:rPr>
          <w:rFonts w:ascii="Times New Roman" w:eastAsia="宋体" w:hAnsi="Times New Roman" w:hint="eastAsia"/>
          <w:bCs/>
          <w:spacing w:val="-4"/>
          <w:sz w:val="24"/>
          <w:szCs w:val="24"/>
        </w:rPr>
        <w:t>）</w:t>
      </w:r>
    </w:p>
    <w:p w:rsidR="00F95F9B" w:rsidRDefault="00000000">
      <w:pPr>
        <w:pStyle w:val="19"/>
        <w:widowControl w:val="0"/>
        <w:numPr>
          <w:ilvl w:val="0"/>
          <w:numId w:val="11"/>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《安全阀安全技术监察规程》（</w:t>
      </w:r>
      <w:r>
        <w:rPr>
          <w:rFonts w:ascii="Times New Roman" w:eastAsia="宋体" w:hAnsi="Times New Roman"/>
          <w:bCs/>
          <w:spacing w:val="-4"/>
          <w:sz w:val="24"/>
          <w:szCs w:val="24"/>
        </w:rPr>
        <w:t>TSG ZF001-2006</w:t>
      </w:r>
      <w:r>
        <w:rPr>
          <w:rFonts w:ascii="Times New Roman" w:eastAsia="宋体" w:hAnsi="Times New Roman"/>
          <w:bCs/>
          <w:spacing w:val="-4"/>
          <w:sz w:val="24"/>
          <w:szCs w:val="24"/>
        </w:rPr>
        <w:t>）</w:t>
      </w:r>
    </w:p>
    <w:p w:rsidR="00F95F9B" w:rsidRDefault="00000000">
      <w:pPr>
        <w:pStyle w:val="3"/>
        <w:keepNext w:val="0"/>
        <w:keepLines w:val="0"/>
        <w:widowControl w:val="0"/>
        <w:adjustRightInd w:val="0"/>
        <w:snapToGrid w:val="0"/>
        <w:ind w:left="0"/>
      </w:pPr>
      <w:bookmarkStart w:id="21" w:name="_Toc46127846"/>
      <w:r>
        <w:rPr>
          <w:rFonts w:hint="eastAsia"/>
        </w:rPr>
        <w:t>其他支持性依据</w:t>
      </w:r>
      <w:bookmarkEnd w:id="21"/>
    </w:p>
    <w:p w:rsidR="00F95F9B" w:rsidRDefault="00000000">
      <w:pPr>
        <w:pStyle w:val="19"/>
        <w:widowControl w:val="0"/>
        <w:numPr>
          <w:ilvl w:val="0"/>
          <w:numId w:val="12"/>
        </w:numPr>
        <w:spacing w:after="0"/>
        <w:ind w:left="0" w:firstLine="430"/>
        <w:jc w:val="both"/>
        <w:rPr>
          <w:rFonts w:ascii="Times New Roman" w:eastAsia="宋体" w:hAnsi="Times New Roman"/>
          <w:bCs/>
          <w:spacing w:val="-4"/>
          <w:sz w:val="24"/>
          <w:szCs w:val="24"/>
        </w:rPr>
      </w:pPr>
      <w:r>
        <w:rPr>
          <w:rFonts w:hint="eastAsia"/>
        </w:rPr>
        <w:tab/>
      </w:r>
      <w:r>
        <w:rPr>
          <w:rFonts w:ascii="Times New Roman" w:eastAsia="宋体" w:hAnsi="Times New Roman" w:hint="eastAsia"/>
          <w:bCs/>
          <w:spacing w:val="-4"/>
          <w:sz w:val="24"/>
          <w:szCs w:val="24"/>
        </w:rPr>
        <w:t>胜利油田鲁明油气勘探开发有限公司安全现状评价技术服务合同。</w:t>
      </w:r>
    </w:p>
    <w:p w:rsidR="00F95F9B" w:rsidRDefault="00000000">
      <w:pPr>
        <w:pStyle w:val="19"/>
        <w:widowControl w:val="0"/>
        <w:numPr>
          <w:ilvl w:val="0"/>
          <w:numId w:val="12"/>
        </w:numPr>
        <w:spacing w:after="0"/>
        <w:ind w:left="0" w:firstLine="454"/>
        <w:jc w:val="both"/>
        <w:rPr>
          <w:rFonts w:ascii="Times New Roman" w:eastAsia="宋体" w:hAnsi="Times New Roman"/>
          <w:bCs/>
          <w:spacing w:val="-4"/>
          <w:sz w:val="24"/>
          <w:szCs w:val="24"/>
        </w:rPr>
      </w:pPr>
      <w:r>
        <w:rPr>
          <w:rFonts w:ascii="Times New Roman" w:eastAsia="宋体" w:hAnsi="Times New Roman" w:hint="eastAsia"/>
          <w:bCs/>
          <w:spacing w:val="-4"/>
          <w:sz w:val="24"/>
          <w:szCs w:val="24"/>
        </w:rPr>
        <w:lastRenderedPageBreak/>
        <w:t>胜利油田鲁明油气勘探开发有限公司</w:t>
      </w:r>
      <w:r>
        <w:rPr>
          <w:rFonts w:ascii="Times New Roman" w:eastAsia="宋体" w:hAnsi="Times New Roman"/>
          <w:bCs/>
          <w:spacing w:val="-4"/>
          <w:sz w:val="24"/>
          <w:szCs w:val="24"/>
        </w:rPr>
        <w:t>提供的有关文件、资料。</w:t>
      </w:r>
    </w:p>
    <w:p w:rsidR="00F95F9B" w:rsidRDefault="00000000">
      <w:pPr>
        <w:pStyle w:val="19"/>
        <w:widowControl w:val="0"/>
        <w:numPr>
          <w:ilvl w:val="0"/>
          <w:numId w:val="12"/>
        </w:numPr>
        <w:spacing w:after="0"/>
        <w:ind w:left="0" w:firstLine="454"/>
        <w:jc w:val="both"/>
        <w:rPr>
          <w:rFonts w:ascii="Times New Roman" w:eastAsia="宋体" w:hAnsi="Times New Roman"/>
          <w:bCs/>
          <w:spacing w:val="-4"/>
          <w:sz w:val="24"/>
          <w:szCs w:val="24"/>
        </w:rPr>
      </w:pPr>
      <w:r>
        <w:rPr>
          <w:rFonts w:ascii="Times New Roman" w:eastAsia="宋体" w:hAnsi="Times New Roman"/>
          <w:bCs/>
          <w:spacing w:val="-4"/>
          <w:sz w:val="24"/>
          <w:szCs w:val="24"/>
        </w:rPr>
        <w:t>其他与</w:t>
      </w:r>
      <w:r>
        <w:rPr>
          <w:rFonts w:ascii="Times New Roman" w:eastAsia="宋体" w:hAnsi="Times New Roman" w:hint="eastAsia"/>
          <w:bCs/>
          <w:spacing w:val="-4"/>
          <w:sz w:val="24"/>
          <w:szCs w:val="24"/>
        </w:rPr>
        <w:t>本次</w:t>
      </w:r>
      <w:r>
        <w:rPr>
          <w:rFonts w:ascii="Times New Roman" w:eastAsia="宋体" w:hAnsi="Times New Roman"/>
          <w:bCs/>
          <w:spacing w:val="-4"/>
          <w:sz w:val="24"/>
          <w:szCs w:val="24"/>
        </w:rPr>
        <w:t>安全评价有关的技术资料</w:t>
      </w:r>
      <w:r>
        <w:rPr>
          <w:rFonts w:ascii="Times New Roman" w:eastAsia="宋体" w:hAnsi="Times New Roman" w:hint="eastAsia"/>
          <w:bCs/>
          <w:spacing w:val="-4"/>
          <w:sz w:val="24"/>
          <w:szCs w:val="24"/>
        </w:rPr>
        <w:t>。</w:t>
      </w:r>
    </w:p>
    <w:p w:rsidR="00F95F9B" w:rsidRDefault="00000000">
      <w:pPr>
        <w:pStyle w:val="2"/>
        <w:keepNext w:val="0"/>
        <w:keepLines w:val="0"/>
        <w:adjustRightInd w:val="0"/>
        <w:snapToGrid w:val="0"/>
        <w:spacing w:before="170" w:after="170"/>
      </w:pPr>
      <w:bookmarkStart w:id="22" w:name="_Toc9051"/>
      <w:r>
        <w:rPr>
          <w:rFonts w:hint="eastAsia"/>
        </w:rPr>
        <w:t>评价程序</w:t>
      </w:r>
      <w:bookmarkEnd w:id="22"/>
    </w:p>
    <w:p w:rsidR="00F95F9B" w:rsidRDefault="00000000">
      <w:pPr>
        <w:pStyle w:val="afff8"/>
        <w:widowControl w:val="0"/>
        <w:adjustRightInd w:val="0"/>
        <w:snapToGrid w:val="0"/>
        <w:ind w:firstLine="470"/>
        <w:rPr>
          <w:rFonts w:ascii="宋体" w:hAnsi="宋体"/>
        </w:rPr>
      </w:pPr>
      <w:r>
        <w:rPr>
          <w:rFonts w:ascii="宋体" w:hAnsi="宋体" w:hint="eastAsia"/>
        </w:rPr>
        <w:t>评价报告的编制程序包括以下几个步骤。前期准备；辨识与分析危险、有害因素；划分评价单元、定性、定量分析与评价；提出安全对策措施建议；做出安全评价结论；编制安全评价报告；总结安全评价过程与结果，编制安全评价报告。本次评价工作程序如下图所示。</w:t>
      </w:r>
    </w:p>
    <w:p w:rsidR="00F95F9B" w:rsidRDefault="00000000">
      <w:pPr>
        <w:widowControl w:val="0"/>
        <w:adjustRightInd w:val="0"/>
        <w:snapToGrid w:val="0"/>
        <w:ind w:firstLineChars="0" w:firstLine="0"/>
        <w:jc w:val="center"/>
      </w:pPr>
      <w:r>
        <w:rPr>
          <w:rFonts w:hint="eastAsia"/>
          <w:noProof/>
        </w:rPr>
        <w:drawing>
          <wp:inline distT="0" distB="0" distL="114300" distR="114300">
            <wp:extent cx="1653540" cy="3543935"/>
            <wp:effectExtent l="0" t="0" r="7620" b="6985"/>
            <wp:docPr id="57" name="图片 5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1"/>
                    <pic:cNvPicPr>
                      <a:picLocks noChangeAspect="1"/>
                    </pic:cNvPicPr>
                  </pic:nvPicPr>
                  <pic:blipFill>
                    <a:blip r:embed="rId29"/>
                    <a:stretch>
                      <a:fillRect/>
                    </a:stretch>
                  </pic:blipFill>
                  <pic:spPr>
                    <a:xfrm>
                      <a:off x="0" y="0"/>
                      <a:ext cx="1653540" cy="3543935"/>
                    </a:xfrm>
                    <a:prstGeom prst="rect">
                      <a:avLst/>
                    </a:prstGeom>
                  </pic:spPr>
                </pic:pic>
              </a:graphicData>
            </a:graphic>
          </wp:inline>
        </w:drawing>
      </w:r>
    </w:p>
    <w:p w:rsidR="00F95F9B" w:rsidRDefault="00000000">
      <w:pPr>
        <w:pStyle w:val="af3"/>
        <w:widowControl w:val="0"/>
      </w:pPr>
      <w:r>
        <w:rPr>
          <w:rFonts w:hint="eastAsia"/>
        </w:rPr>
        <w:t>图</w:t>
      </w:r>
      <w:r>
        <w:rPr>
          <w:rFonts w:hint="eastAsia"/>
        </w:rPr>
        <w:t xml:space="preserve"> </w:t>
      </w:r>
      <w:r>
        <w:fldChar w:fldCharType="begin"/>
      </w:r>
      <w:r>
        <w:instrText xml:space="preserve"> </w:instrText>
      </w:r>
      <w:r>
        <w:rPr>
          <w:rFonts w:hint="eastAsia"/>
        </w:rPr>
        <w:instrText>STYLEREF 2 \s</w:instrText>
      </w:r>
      <w:r>
        <w:instrText xml:space="preserve"> </w:instrText>
      </w:r>
      <w:r>
        <w:fldChar w:fldCharType="separate"/>
      </w:r>
      <w:r>
        <w:t>1.4</w:t>
      </w:r>
      <w:r>
        <w:fldChar w:fldCharType="end"/>
      </w:r>
      <w:r>
        <w:noBreakHyphen/>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 \s 2</w:instrText>
      </w:r>
      <w:r>
        <w:instrText xml:space="preserve"> </w:instrText>
      </w:r>
      <w:r>
        <w:fldChar w:fldCharType="separate"/>
      </w:r>
      <w:r>
        <w:t>1</w:t>
      </w:r>
      <w:r>
        <w:fldChar w:fldCharType="end"/>
      </w:r>
      <w:r>
        <w:t xml:space="preserve"> </w:t>
      </w:r>
      <w:r>
        <w:rPr>
          <w:rFonts w:hint="eastAsia"/>
        </w:rPr>
        <w:t>安全现状评价程序框图</w:t>
      </w:r>
    </w:p>
    <w:bookmarkEnd w:id="20"/>
    <w:p w:rsidR="00F95F9B" w:rsidRDefault="00F95F9B">
      <w:pPr>
        <w:widowControl w:val="0"/>
        <w:adjustRightInd w:val="0"/>
        <w:ind w:firstLine="470"/>
      </w:pPr>
    </w:p>
    <w:p w:rsidR="00F95F9B" w:rsidRDefault="00F95F9B">
      <w:pPr>
        <w:widowControl w:val="0"/>
        <w:adjustRightInd w:val="0"/>
        <w:ind w:firstLineChars="0" w:firstLine="0"/>
        <w:sectPr w:rsidR="00F95F9B">
          <w:headerReference w:type="default" r:id="rId30"/>
          <w:footerReference w:type="default" r:id="rId31"/>
          <w:pgSz w:w="11906" w:h="16838"/>
          <w:pgMar w:top="1417" w:right="1134" w:bottom="1134" w:left="1587" w:header="850" w:footer="850" w:gutter="0"/>
          <w:pgNumType w:start="1"/>
          <w:cols w:space="0"/>
          <w:docGrid w:type="linesAndChars" w:linePitch="340" w:charSpace="-1024"/>
        </w:sectPr>
      </w:pPr>
    </w:p>
    <w:p w:rsidR="00F95F9B" w:rsidRDefault="00000000">
      <w:pPr>
        <w:pStyle w:val="1"/>
        <w:keepNext w:val="0"/>
        <w:keepLines w:val="0"/>
        <w:widowControl w:val="0"/>
        <w:adjustRightInd w:val="0"/>
        <w:snapToGrid w:val="0"/>
        <w:spacing w:before="340" w:after="340"/>
      </w:pPr>
      <w:bookmarkStart w:id="23" w:name="_Toc2448"/>
      <w:r>
        <w:rPr>
          <w:rFonts w:hint="eastAsia"/>
        </w:rPr>
        <w:lastRenderedPageBreak/>
        <w:t>项目概况</w:t>
      </w:r>
      <w:bookmarkEnd w:id="23"/>
    </w:p>
    <w:p w:rsidR="00F95F9B" w:rsidRDefault="00000000">
      <w:pPr>
        <w:pStyle w:val="2"/>
        <w:keepNext w:val="0"/>
        <w:keepLines w:val="0"/>
        <w:adjustRightInd w:val="0"/>
        <w:snapToGrid w:val="0"/>
        <w:spacing w:before="170" w:after="170"/>
      </w:pPr>
      <w:bookmarkStart w:id="24" w:name="_Toc13379"/>
      <w:r>
        <w:rPr>
          <w:rFonts w:hint="eastAsia"/>
        </w:rPr>
        <w:t>企业基本情况</w:t>
      </w:r>
      <w:bookmarkEnd w:id="24"/>
    </w:p>
    <w:p w:rsidR="00F95F9B" w:rsidRDefault="00000000">
      <w:pPr>
        <w:pStyle w:val="3"/>
        <w:keepNext w:val="0"/>
        <w:keepLines w:val="0"/>
        <w:widowControl w:val="0"/>
        <w:adjustRightInd w:val="0"/>
        <w:snapToGrid w:val="0"/>
        <w:ind w:left="0"/>
      </w:pPr>
      <w:r>
        <w:rPr>
          <w:rFonts w:hint="eastAsia"/>
        </w:rPr>
        <w:t>企业简介</w:t>
      </w:r>
    </w:p>
    <w:p w:rsidR="00F95F9B" w:rsidRDefault="00000000">
      <w:pPr>
        <w:widowControl w:val="0"/>
        <w:adjustRightInd w:val="0"/>
        <w:snapToGrid w:val="0"/>
        <w:ind w:firstLine="550"/>
        <w:jc w:val="left"/>
        <w:rPr>
          <w:color w:val="000000" w:themeColor="text1"/>
          <w:sz w:val="28"/>
          <w:szCs w:val="28"/>
        </w:rPr>
      </w:pPr>
      <w:r>
        <w:rPr>
          <w:rFonts w:hint="eastAsia"/>
          <w:color w:val="000000" w:themeColor="text1"/>
          <w:sz w:val="28"/>
          <w:szCs w:val="28"/>
        </w:rPr>
        <w:t>涉及企业机密，不予公开。</w:t>
      </w:r>
    </w:p>
    <w:p w:rsidR="00F95F9B" w:rsidRDefault="00000000">
      <w:pPr>
        <w:pStyle w:val="3"/>
        <w:keepNext w:val="0"/>
        <w:keepLines w:val="0"/>
        <w:widowControl w:val="0"/>
        <w:adjustRightInd w:val="0"/>
        <w:snapToGrid w:val="0"/>
        <w:spacing w:beforeLines="100" w:before="340"/>
        <w:ind w:left="0"/>
      </w:pPr>
      <w:r>
        <w:rPr>
          <w:rFonts w:hint="eastAsia"/>
        </w:rPr>
        <w:t>机构设置</w:t>
      </w:r>
    </w:p>
    <w:p w:rsidR="00F95F9B" w:rsidRDefault="00000000">
      <w:pPr>
        <w:widowControl w:val="0"/>
        <w:adjustRightInd w:val="0"/>
        <w:snapToGrid w:val="0"/>
        <w:ind w:firstLine="550"/>
        <w:jc w:val="left"/>
        <w:rPr>
          <w:color w:val="000000" w:themeColor="text1"/>
          <w:sz w:val="28"/>
          <w:szCs w:val="28"/>
        </w:rPr>
      </w:pPr>
      <w:r>
        <w:rPr>
          <w:rFonts w:hint="eastAsia"/>
          <w:color w:val="000000" w:themeColor="text1"/>
          <w:sz w:val="28"/>
          <w:szCs w:val="28"/>
        </w:rPr>
        <w:t>涉及企业机密，不予公开。</w:t>
      </w:r>
    </w:p>
    <w:p w:rsidR="00F95F9B" w:rsidRDefault="00F95F9B">
      <w:pPr>
        <w:pStyle w:val="Default"/>
        <w:snapToGrid w:val="0"/>
        <w:rPr>
          <w:color w:val="auto"/>
        </w:rPr>
      </w:pPr>
    </w:p>
    <w:p w:rsidR="00F95F9B" w:rsidRDefault="00000000">
      <w:pPr>
        <w:pStyle w:val="af3"/>
        <w:widowControl w:val="0"/>
        <w:adjustRightInd w:val="0"/>
        <w:snapToGrid w:val="0"/>
        <w:spacing w:afterLines="50" w:after="170"/>
      </w:pPr>
      <w:r>
        <w:rPr>
          <w:rFonts w:hint="eastAsia"/>
        </w:rPr>
        <w:t>图</w:t>
      </w:r>
      <w:r>
        <w:rPr>
          <w:rFonts w:hint="eastAsia"/>
        </w:rPr>
        <w:t xml:space="preserve"> </w:t>
      </w:r>
      <w:r>
        <w:fldChar w:fldCharType="begin"/>
      </w:r>
      <w:r>
        <w:instrText xml:space="preserve"> </w:instrText>
      </w:r>
      <w:r>
        <w:rPr>
          <w:rFonts w:hint="eastAsia"/>
        </w:rPr>
        <w:instrText>STYLEREF 2 \s</w:instrText>
      </w:r>
      <w:r>
        <w:instrText xml:space="preserve"> </w:instrText>
      </w:r>
      <w:r>
        <w:fldChar w:fldCharType="separate"/>
      </w:r>
      <w:r>
        <w:t>2.1</w:t>
      </w:r>
      <w:r>
        <w:fldChar w:fldCharType="end"/>
      </w:r>
      <w:r>
        <w:noBreakHyphen/>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 \s 2</w:instrText>
      </w:r>
      <w:r>
        <w:instrText xml:space="preserve"> </w:instrText>
      </w:r>
      <w:r>
        <w:fldChar w:fldCharType="separate"/>
      </w:r>
      <w:r>
        <w:t>1</w:t>
      </w:r>
      <w:r>
        <w:fldChar w:fldCharType="end"/>
      </w:r>
      <w:r>
        <w:t xml:space="preserve">  </w:t>
      </w:r>
      <w:r>
        <w:rPr>
          <w:rFonts w:hint="eastAsia"/>
        </w:rPr>
        <w:t>鲁明公司组织机构框图</w:t>
      </w:r>
    </w:p>
    <w:p w:rsidR="00F95F9B" w:rsidRDefault="00000000">
      <w:pPr>
        <w:pStyle w:val="3"/>
        <w:keepNext w:val="0"/>
        <w:keepLines w:val="0"/>
        <w:widowControl w:val="0"/>
        <w:adjustRightInd w:val="0"/>
        <w:snapToGrid w:val="0"/>
        <w:ind w:left="0"/>
      </w:pPr>
      <w:r>
        <w:rPr>
          <w:rFonts w:hint="eastAsia"/>
        </w:rPr>
        <w:t>地理位置</w:t>
      </w:r>
    </w:p>
    <w:p w:rsidR="00F95F9B" w:rsidRDefault="00000000">
      <w:pPr>
        <w:widowControl w:val="0"/>
        <w:adjustRightInd w:val="0"/>
        <w:snapToGrid w:val="0"/>
        <w:ind w:firstLine="470"/>
      </w:pPr>
      <w:r>
        <w:rPr>
          <w:rFonts w:hint="eastAsia"/>
        </w:rPr>
        <w:t>鲁明公司总部位于山东省东营市，下设</w:t>
      </w:r>
      <w:r>
        <w:rPr>
          <w:rFonts w:hint="eastAsia"/>
        </w:rPr>
        <w:t>6</w:t>
      </w:r>
      <w:r>
        <w:rPr>
          <w:rFonts w:hint="eastAsia"/>
        </w:rPr>
        <w:t>个采油（气）管理区：济北采油管理区、商河采油管理区、临邑采油管理区、青南采油管理区、滨南采油管理区、采气管理区。勘探开发区域分布在济南、德州、滨州、东营等</w:t>
      </w:r>
      <w:r>
        <w:rPr>
          <w:rFonts w:hint="eastAsia"/>
        </w:rPr>
        <w:t>4</w:t>
      </w:r>
      <w:r>
        <w:rPr>
          <w:rFonts w:hint="eastAsia"/>
        </w:rPr>
        <w:t>个地市</w:t>
      </w:r>
      <w:r>
        <w:rPr>
          <w:rFonts w:hint="eastAsia"/>
        </w:rPr>
        <w:t>8</w:t>
      </w:r>
      <w:r>
        <w:rPr>
          <w:rFonts w:hint="eastAsia"/>
        </w:rPr>
        <w:t>个县区。</w:t>
      </w:r>
    </w:p>
    <w:p w:rsidR="00F95F9B" w:rsidRDefault="00000000">
      <w:pPr>
        <w:widowControl w:val="0"/>
        <w:adjustRightInd w:val="0"/>
        <w:snapToGrid w:val="0"/>
        <w:ind w:firstLine="470"/>
      </w:pPr>
      <w:r>
        <w:rPr>
          <w:rFonts w:hint="eastAsia"/>
        </w:rPr>
        <w:t>区位资源优势明显，地下资源主要为石油、天然气等。区域内公路纵横交错，交通便利。鲁明公司</w:t>
      </w:r>
      <w:r>
        <w:rPr>
          <w:rFonts w:hint="eastAsia"/>
        </w:rPr>
        <w:t>6</w:t>
      </w:r>
      <w:r>
        <w:rPr>
          <w:rFonts w:hint="eastAsia"/>
        </w:rPr>
        <w:t>个采油（气）管理区分布情况如图</w:t>
      </w:r>
      <w:r>
        <w:rPr>
          <w:rFonts w:hint="eastAsia"/>
        </w:rPr>
        <w:t xml:space="preserve">2.1-2 </w:t>
      </w:r>
      <w:r>
        <w:rPr>
          <w:rFonts w:hint="eastAsia"/>
        </w:rPr>
        <w:t>鲁明公司采油（气）管理区地理位置图。</w:t>
      </w:r>
    </w:p>
    <w:p w:rsidR="00F95F9B" w:rsidRDefault="00000000">
      <w:pPr>
        <w:pStyle w:val="Default"/>
        <w:jc w:val="center"/>
        <w:rPr>
          <w:color w:val="auto"/>
        </w:rPr>
      </w:pPr>
      <w:r>
        <w:rPr>
          <w:noProof/>
          <w:color w:val="auto"/>
        </w:rPr>
        <w:drawing>
          <wp:inline distT="0" distB="0" distL="114300" distR="114300">
            <wp:extent cx="5691505" cy="3171825"/>
            <wp:effectExtent l="0" t="0" r="8255" b="13335"/>
            <wp:docPr id="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
                    <pic:cNvPicPr>
                      <a:picLocks noChangeAspect="1"/>
                    </pic:cNvPicPr>
                  </pic:nvPicPr>
                  <pic:blipFill>
                    <a:blip r:embed="rId32"/>
                    <a:srcRect t="5285"/>
                    <a:stretch>
                      <a:fillRect/>
                    </a:stretch>
                  </pic:blipFill>
                  <pic:spPr>
                    <a:xfrm>
                      <a:off x="0" y="0"/>
                      <a:ext cx="5691505" cy="3171825"/>
                    </a:xfrm>
                    <a:prstGeom prst="rect">
                      <a:avLst/>
                    </a:prstGeom>
                    <a:noFill/>
                    <a:ln>
                      <a:noFill/>
                    </a:ln>
                  </pic:spPr>
                </pic:pic>
              </a:graphicData>
            </a:graphic>
          </wp:inline>
        </w:drawing>
      </w:r>
    </w:p>
    <w:p w:rsidR="00F95F9B" w:rsidRDefault="00000000">
      <w:pPr>
        <w:widowControl w:val="0"/>
        <w:adjustRightInd w:val="0"/>
        <w:ind w:firstLineChars="0" w:firstLine="0"/>
        <w:jc w:val="center"/>
        <w:rPr>
          <w:rFonts w:eastAsia="黑体"/>
          <w:sz w:val="21"/>
          <w:szCs w:val="20"/>
        </w:rPr>
      </w:pPr>
      <w:r>
        <w:rPr>
          <w:rFonts w:eastAsia="黑体" w:hint="eastAsia"/>
          <w:sz w:val="21"/>
          <w:szCs w:val="20"/>
        </w:rPr>
        <w:t>图</w:t>
      </w:r>
      <w:r>
        <w:rPr>
          <w:rFonts w:eastAsia="黑体" w:hint="eastAsia"/>
          <w:sz w:val="21"/>
          <w:szCs w:val="20"/>
        </w:rPr>
        <w:t xml:space="preserve"> </w:t>
      </w:r>
      <w:r>
        <w:rPr>
          <w:rFonts w:eastAsia="黑体" w:hint="eastAsia"/>
          <w:sz w:val="21"/>
          <w:szCs w:val="20"/>
        </w:rPr>
        <w:fldChar w:fldCharType="begin"/>
      </w:r>
      <w:r>
        <w:rPr>
          <w:rFonts w:eastAsia="黑体" w:hint="eastAsia"/>
          <w:sz w:val="21"/>
          <w:szCs w:val="20"/>
        </w:rPr>
        <w:instrText xml:space="preserve"> STYLEREF 2 \s </w:instrText>
      </w:r>
      <w:r>
        <w:rPr>
          <w:rFonts w:eastAsia="黑体" w:hint="eastAsia"/>
          <w:sz w:val="21"/>
          <w:szCs w:val="20"/>
        </w:rPr>
        <w:fldChar w:fldCharType="separate"/>
      </w:r>
      <w:r>
        <w:rPr>
          <w:rFonts w:eastAsia="黑体" w:hint="eastAsia"/>
          <w:sz w:val="21"/>
          <w:szCs w:val="20"/>
        </w:rPr>
        <w:t>2.1</w:t>
      </w:r>
      <w:r>
        <w:rPr>
          <w:rFonts w:eastAsia="黑体" w:hint="eastAsia"/>
          <w:sz w:val="21"/>
          <w:szCs w:val="20"/>
        </w:rPr>
        <w:fldChar w:fldCharType="end"/>
      </w:r>
      <w:r>
        <w:rPr>
          <w:rFonts w:eastAsia="黑体" w:hint="eastAsia"/>
          <w:sz w:val="21"/>
          <w:szCs w:val="20"/>
        </w:rPr>
        <w:noBreakHyphen/>
        <w:t xml:space="preserve">2  </w:t>
      </w:r>
      <w:r>
        <w:rPr>
          <w:rFonts w:eastAsia="黑体" w:hint="eastAsia"/>
          <w:sz w:val="21"/>
          <w:szCs w:val="20"/>
        </w:rPr>
        <w:t>鲁明公司采油（气）管理区地理位置图</w:t>
      </w:r>
    </w:p>
    <w:p w:rsidR="00F95F9B" w:rsidRDefault="00000000">
      <w:pPr>
        <w:pStyle w:val="3"/>
        <w:keepNext w:val="0"/>
        <w:keepLines w:val="0"/>
        <w:widowControl w:val="0"/>
        <w:adjustRightInd w:val="0"/>
        <w:snapToGrid w:val="0"/>
        <w:ind w:left="0"/>
      </w:pPr>
      <w:bookmarkStart w:id="25" w:name="_Hlk104411051"/>
      <w:r>
        <w:rPr>
          <w:rFonts w:hint="eastAsia"/>
        </w:rPr>
        <w:lastRenderedPageBreak/>
        <w:t>自然环境</w:t>
      </w:r>
    </w:p>
    <w:p w:rsidR="00F95F9B" w:rsidRDefault="00000000">
      <w:pPr>
        <w:pStyle w:val="4"/>
        <w:keepNext w:val="0"/>
        <w:keepLines w:val="0"/>
        <w:widowControl w:val="0"/>
        <w:adjustRightInd w:val="0"/>
        <w:snapToGrid w:val="0"/>
      </w:pPr>
      <w:r>
        <w:rPr>
          <w:rFonts w:hint="eastAsia"/>
        </w:rPr>
        <w:t>地形地貌</w:t>
      </w:r>
    </w:p>
    <w:p w:rsidR="00F95F9B" w:rsidRDefault="00000000">
      <w:pPr>
        <w:numPr>
          <w:ilvl w:val="0"/>
          <w:numId w:val="13"/>
        </w:numPr>
        <w:adjustRightInd w:val="0"/>
        <w:snapToGrid w:val="0"/>
        <w:ind w:firstLine="470"/>
      </w:pPr>
      <w:r>
        <w:rPr>
          <w:rFonts w:hint="eastAsia"/>
        </w:rPr>
        <w:t>东营市</w:t>
      </w:r>
    </w:p>
    <w:p w:rsidR="00F95F9B" w:rsidRDefault="00000000">
      <w:pPr>
        <w:widowControl w:val="0"/>
        <w:shd w:val="clear" w:color="auto" w:fill="FFFFFF"/>
        <w:adjustRightInd w:val="0"/>
        <w:snapToGrid w:val="0"/>
        <w:ind w:firstLine="470"/>
        <w:jc w:val="left"/>
        <w:rPr>
          <w:kern w:val="0"/>
          <w:szCs w:val="24"/>
          <w:shd w:val="clear" w:color="auto" w:fill="FFFFFF"/>
        </w:rPr>
      </w:pPr>
      <w:r>
        <w:rPr>
          <w:kern w:val="0"/>
          <w:szCs w:val="24"/>
          <w:shd w:val="clear" w:color="auto" w:fill="FFFFFF"/>
        </w:rPr>
        <w:t>东营市地处华北坳陷区之济阳坳陷东端，地层自老至新有太古界泰山岩群，古生界</w:t>
      </w:r>
      <w:hyperlink r:id="rId33" w:tgtFrame="https://baike.baidu.com/item/%E4%B8%9C%E8%90%A5/_blank" w:history="1">
        <w:r>
          <w:rPr>
            <w:rStyle w:val="afff4"/>
            <w:color w:val="auto"/>
            <w:szCs w:val="24"/>
            <w:u w:val="none"/>
            <w:shd w:val="clear" w:color="auto" w:fill="FFFFFF"/>
          </w:rPr>
          <w:t>寒武系</w:t>
        </w:r>
      </w:hyperlink>
      <w:r>
        <w:rPr>
          <w:kern w:val="0"/>
          <w:szCs w:val="24"/>
          <w:shd w:val="clear" w:color="auto" w:fill="FFFFFF"/>
        </w:rPr>
        <w:t>、奥陶系、</w:t>
      </w:r>
      <w:hyperlink r:id="rId34" w:tgtFrame="https://baike.baidu.com/item/%E4%B8%9C%E8%90%A5/_blank" w:history="1">
        <w:r>
          <w:rPr>
            <w:rStyle w:val="afff4"/>
            <w:color w:val="auto"/>
            <w:szCs w:val="24"/>
            <w:u w:val="none"/>
            <w:shd w:val="clear" w:color="auto" w:fill="FFFFFF"/>
          </w:rPr>
          <w:t>石炭系</w:t>
        </w:r>
      </w:hyperlink>
      <w:r>
        <w:rPr>
          <w:kern w:val="0"/>
          <w:szCs w:val="24"/>
          <w:shd w:val="clear" w:color="auto" w:fill="FFFFFF"/>
        </w:rPr>
        <w:t>和</w:t>
      </w:r>
      <w:hyperlink r:id="rId35" w:tgtFrame="https://baike.baidu.com/item/%E4%B8%9C%E8%90%A5/_blank" w:history="1">
        <w:r>
          <w:rPr>
            <w:rStyle w:val="afff4"/>
            <w:color w:val="auto"/>
            <w:szCs w:val="24"/>
            <w:u w:val="none"/>
            <w:shd w:val="clear" w:color="auto" w:fill="FFFFFF"/>
          </w:rPr>
          <w:t>二叠系</w:t>
        </w:r>
      </w:hyperlink>
      <w:r>
        <w:rPr>
          <w:kern w:val="0"/>
          <w:szCs w:val="24"/>
          <w:shd w:val="clear" w:color="auto" w:fill="FFFFFF"/>
        </w:rPr>
        <w:t>，中生界侏罗系、</w:t>
      </w:r>
      <w:hyperlink r:id="rId36" w:tgtFrame="https://baike.baidu.com/item/%E4%B8%9C%E8%90%A5/_blank" w:history="1">
        <w:r>
          <w:rPr>
            <w:rStyle w:val="afff4"/>
            <w:color w:val="auto"/>
            <w:szCs w:val="24"/>
            <w:u w:val="none"/>
            <w:shd w:val="clear" w:color="auto" w:fill="FFFFFF"/>
          </w:rPr>
          <w:t>白垩系</w:t>
        </w:r>
      </w:hyperlink>
      <w:r>
        <w:rPr>
          <w:kern w:val="0"/>
          <w:szCs w:val="24"/>
          <w:shd w:val="clear" w:color="auto" w:fill="FFFFFF"/>
        </w:rPr>
        <w:t>，新生界第三系、第四系；缺失元古界，古生界上奥陶统、志留系、</w:t>
      </w:r>
      <w:hyperlink r:id="rId37" w:tgtFrame="https://baike.baidu.com/item/%E4%B8%9C%E8%90%A5/_blank" w:history="1">
        <w:r>
          <w:rPr>
            <w:rStyle w:val="afff4"/>
            <w:color w:val="auto"/>
            <w:szCs w:val="24"/>
            <w:u w:val="none"/>
            <w:shd w:val="clear" w:color="auto" w:fill="FFFFFF"/>
          </w:rPr>
          <w:t>泥盆系</w:t>
        </w:r>
      </w:hyperlink>
      <w:r>
        <w:rPr>
          <w:kern w:val="0"/>
          <w:szCs w:val="24"/>
          <w:shd w:val="clear" w:color="auto" w:fill="FFFFFF"/>
        </w:rPr>
        <w:t>、下古炭统及中生界三叠系。凹陷和凸起自北而南主要有：埕子口凸起（东端）、车镇凹陷（东部）、义和庄凸起（东部）、沾化凹陷（东部）、陈家庄凸起、东营凹陷（东半部）、广饶凸起（部分）等。</w:t>
      </w:r>
      <w:bookmarkStart w:id="26" w:name="ref_[6]_5460484"/>
    </w:p>
    <w:p w:rsidR="00F95F9B" w:rsidRDefault="00000000">
      <w:pPr>
        <w:shd w:val="clear" w:color="auto" w:fill="FFFFFF"/>
        <w:adjustRightInd w:val="0"/>
        <w:snapToGrid w:val="0"/>
        <w:ind w:firstLine="470"/>
        <w:rPr>
          <w:szCs w:val="24"/>
        </w:rPr>
      </w:pPr>
      <w:r>
        <w:rPr>
          <w:kern w:val="0"/>
          <w:szCs w:val="24"/>
          <w:shd w:val="clear" w:color="auto" w:fill="FFFFFF"/>
        </w:rPr>
        <w:t>东营市地势沿黄河走向自西南向东北倾斜。西南部最高高程为</w:t>
      </w:r>
      <w:r>
        <w:rPr>
          <w:kern w:val="0"/>
          <w:szCs w:val="24"/>
          <w:shd w:val="clear" w:color="auto" w:fill="FFFFFF"/>
        </w:rPr>
        <w:t>28m</w:t>
      </w:r>
      <w:r>
        <w:rPr>
          <w:kern w:val="0"/>
          <w:szCs w:val="24"/>
          <w:shd w:val="clear" w:color="auto" w:fill="FFFFFF"/>
        </w:rPr>
        <w:t>（大沽高程，下同），东北部最低高程</w:t>
      </w:r>
      <w:r>
        <w:rPr>
          <w:kern w:val="0"/>
          <w:szCs w:val="24"/>
          <w:shd w:val="clear" w:color="auto" w:fill="FFFFFF"/>
        </w:rPr>
        <w:t>1m</w:t>
      </w:r>
      <w:r>
        <w:rPr>
          <w:kern w:val="0"/>
          <w:szCs w:val="24"/>
          <w:shd w:val="clear" w:color="auto" w:fill="FFFFFF"/>
        </w:rPr>
        <w:t>，自然比降为</w:t>
      </w:r>
      <w:r>
        <w:rPr>
          <w:kern w:val="0"/>
          <w:szCs w:val="24"/>
          <w:shd w:val="clear" w:color="auto" w:fill="FFFFFF"/>
        </w:rPr>
        <w:t>1/8000</w:t>
      </w:r>
      <w:r>
        <w:rPr>
          <w:kern w:val="0"/>
          <w:szCs w:val="24"/>
          <w:shd w:val="clear" w:color="auto" w:fill="FFFFFF"/>
        </w:rPr>
        <w:t>～</w:t>
      </w:r>
      <w:r>
        <w:rPr>
          <w:kern w:val="0"/>
          <w:szCs w:val="24"/>
          <w:shd w:val="clear" w:color="auto" w:fill="FFFFFF"/>
        </w:rPr>
        <w:t>1/12000</w:t>
      </w:r>
      <w:r>
        <w:rPr>
          <w:kern w:val="0"/>
          <w:szCs w:val="24"/>
          <w:shd w:val="clear" w:color="auto" w:fill="FFFFFF"/>
        </w:rPr>
        <w:t>；西部最高高程为</w:t>
      </w:r>
      <w:r>
        <w:rPr>
          <w:kern w:val="0"/>
          <w:szCs w:val="24"/>
          <w:shd w:val="clear" w:color="auto" w:fill="FFFFFF"/>
        </w:rPr>
        <w:t>11m</w:t>
      </w:r>
      <w:r>
        <w:rPr>
          <w:kern w:val="0"/>
          <w:szCs w:val="24"/>
          <w:shd w:val="clear" w:color="auto" w:fill="FFFFFF"/>
        </w:rPr>
        <w:t>，东部最低高程</w:t>
      </w:r>
      <w:r>
        <w:rPr>
          <w:kern w:val="0"/>
          <w:szCs w:val="24"/>
          <w:shd w:val="clear" w:color="auto" w:fill="FFFFFF"/>
        </w:rPr>
        <w:t>1m</w:t>
      </w:r>
      <w:r>
        <w:rPr>
          <w:kern w:val="0"/>
          <w:szCs w:val="24"/>
          <w:shd w:val="clear" w:color="auto" w:fill="FFFFFF"/>
        </w:rPr>
        <w:t>，自然比降为</w:t>
      </w:r>
      <w:r>
        <w:rPr>
          <w:kern w:val="0"/>
          <w:szCs w:val="24"/>
          <w:shd w:val="clear" w:color="auto" w:fill="FFFFFF"/>
        </w:rPr>
        <w:t>1/7000</w:t>
      </w:r>
      <w:r>
        <w:rPr>
          <w:kern w:val="0"/>
          <w:szCs w:val="24"/>
          <w:shd w:val="clear" w:color="auto" w:fill="FFFFFF"/>
        </w:rPr>
        <w:t>。黄河穿境而过，背河方向近河高、远河低，背河自然比降为</w:t>
      </w:r>
      <w:r>
        <w:rPr>
          <w:kern w:val="0"/>
          <w:szCs w:val="24"/>
          <w:shd w:val="clear" w:color="auto" w:fill="FFFFFF"/>
        </w:rPr>
        <w:t>1/7000</w:t>
      </w:r>
      <w:r>
        <w:rPr>
          <w:kern w:val="0"/>
          <w:szCs w:val="24"/>
          <w:shd w:val="clear" w:color="auto" w:fill="FFFFFF"/>
        </w:rPr>
        <w:t>，河滩地高于背河地</w:t>
      </w:r>
      <w:r>
        <w:rPr>
          <w:kern w:val="0"/>
          <w:szCs w:val="24"/>
          <w:shd w:val="clear" w:color="auto" w:fill="FFFFFF"/>
        </w:rPr>
        <w:t>2</w:t>
      </w:r>
      <w:r>
        <w:rPr>
          <w:kern w:val="0"/>
          <w:szCs w:val="24"/>
          <w:shd w:val="clear" w:color="auto" w:fill="FFFFFF"/>
        </w:rPr>
        <w:t>～</w:t>
      </w:r>
      <w:r>
        <w:rPr>
          <w:kern w:val="0"/>
          <w:szCs w:val="24"/>
          <w:shd w:val="clear" w:color="auto" w:fill="FFFFFF"/>
        </w:rPr>
        <w:t>4m</w:t>
      </w:r>
      <w:r>
        <w:rPr>
          <w:kern w:val="0"/>
          <w:szCs w:val="24"/>
          <w:shd w:val="clear" w:color="auto" w:fill="FFFFFF"/>
        </w:rPr>
        <w:t>，形成</w:t>
      </w:r>
      <w:r>
        <w:rPr>
          <w:kern w:val="0"/>
          <w:szCs w:val="24"/>
          <w:shd w:val="clear" w:color="auto" w:fill="FFFFFF"/>
        </w:rPr>
        <w:t>“</w:t>
      </w:r>
      <w:r>
        <w:rPr>
          <w:kern w:val="0"/>
          <w:szCs w:val="24"/>
          <w:shd w:val="clear" w:color="auto" w:fill="FFFFFF"/>
        </w:rPr>
        <w:t>地上悬河</w:t>
      </w:r>
      <w:r>
        <w:rPr>
          <w:kern w:val="0"/>
          <w:szCs w:val="24"/>
          <w:shd w:val="clear" w:color="auto" w:fill="FFFFFF"/>
        </w:rPr>
        <w:t>”</w:t>
      </w:r>
      <w:r>
        <w:rPr>
          <w:kern w:val="0"/>
          <w:szCs w:val="24"/>
          <w:shd w:val="clear" w:color="auto" w:fill="FFFFFF"/>
        </w:rPr>
        <w:t>。东营市微地貌有</w:t>
      </w:r>
      <w:r>
        <w:rPr>
          <w:kern w:val="0"/>
          <w:szCs w:val="24"/>
          <w:shd w:val="clear" w:color="auto" w:fill="FFFFFF"/>
        </w:rPr>
        <w:t>5</w:t>
      </w:r>
      <w:r>
        <w:rPr>
          <w:kern w:val="0"/>
          <w:szCs w:val="24"/>
          <w:shd w:val="clear" w:color="auto" w:fill="FFFFFF"/>
        </w:rPr>
        <w:t>种类型：古河滩高地，占东营市总面积的</w:t>
      </w:r>
      <w:r>
        <w:rPr>
          <w:kern w:val="0"/>
          <w:szCs w:val="24"/>
          <w:shd w:val="clear" w:color="auto" w:fill="FFFFFF"/>
        </w:rPr>
        <w:t>4.15%</w:t>
      </w:r>
      <w:r>
        <w:rPr>
          <w:kern w:val="0"/>
          <w:szCs w:val="24"/>
          <w:shd w:val="clear" w:color="auto" w:fill="FFFFFF"/>
        </w:rPr>
        <w:t>，主要分布于黄河决口扇面上游；河滩高地，占东营市总面积的</w:t>
      </w:r>
      <w:r>
        <w:rPr>
          <w:kern w:val="0"/>
          <w:szCs w:val="24"/>
          <w:shd w:val="clear" w:color="auto" w:fill="FFFFFF"/>
        </w:rPr>
        <w:t>3.58%</w:t>
      </w:r>
      <w:r>
        <w:rPr>
          <w:kern w:val="0"/>
          <w:szCs w:val="24"/>
          <w:shd w:val="clear" w:color="auto" w:fill="FFFFFF"/>
        </w:rPr>
        <w:t>，主要分布于黄河河道至大堤之间；微斜平地，占东营市总面积的</w:t>
      </w:r>
      <w:r>
        <w:rPr>
          <w:kern w:val="0"/>
          <w:szCs w:val="24"/>
          <w:shd w:val="clear" w:color="auto" w:fill="FFFFFF"/>
        </w:rPr>
        <w:t>54.54%</w:t>
      </w:r>
      <w:r>
        <w:rPr>
          <w:kern w:val="0"/>
          <w:szCs w:val="24"/>
          <w:shd w:val="clear" w:color="auto" w:fill="FFFFFF"/>
        </w:rPr>
        <w:t>，是岗、洼过渡地带；浅平洼地，占东营市总面积的</w:t>
      </w:r>
      <w:r>
        <w:rPr>
          <w:kern w:val="0"/>
          <w:szCs w:val="24"/>
          <w:shd w:val="clear" w:color="auto" w:fill="FFFFFF"/>
        </w:rPr>
        <w:t>10.68%</w:t>
      </w:r>
      <w:r>
        <w:rPr>
          <w:kern w:val="0"/>
          <w:szCs w:val="24"/>
          <w:shd w:val="clear" w:color="auto" w:fill="FFFFFF"/>
        </w:rPr>
        <w:t>，小清河以南主要分布于古河滩高地之间，小清河以北主要分布于微斜平地之中、缓岗之间和黄河故道低洼处；海滩地，占东营市总面积的</w:t>
      </w:r>
      <w:r>
        <w:rPr>
          <w:kern w:val="0"/>
          <w:szCs w:val="24"/>
          <w:shd w:val="clear" w:color="auto" w:fill="FFFFFF"/>
        </w:rPr>
        <w:t>27.05%</w:t>
      </w:r>
      <w:r>
        <w:rPr>
          <w:kern w:val="0"/>
          <w:szCs w:val="24"/>
          <w:shd w:val="clear" w:color="auto" w:fill="FFFFFF"/>
        </w:rPr>
        <w:t>，与海岸线平行呈带状分布。</w:t>
      </w:r>
      <w:bookmarkEnd w:id="26"/>
    </w:p>
    <w:p w:rsidR="00F95F9B" w:rsidRDefault="00000000">
      <w:pPr>
        <w:numPr>
          <w:ilvl w:val="0"/>
          <w:numId w:val="13"/>
        </w:numPr>
        <w:adjustRightInd w:val="0"/>
        <w:snapToGrid w:val="0"/>
        <w:ind w:firstLine="470"/>
      </w:pPr>
      <w:r>
        <w:rPr>
          <w:rFonts w:hint="eastAsia"/>
        </w:rPr>
        <w:t>济南市</w:t>
      </w:r>
    </w:p>
    <w:p w:rsidR="00F95F9B" w:rsidRDefault="00000000">
      <w:pPr>
        <w:pStyle w:val="Char30"/>
        <w:widowControl w:val="0"/>
        <w:adjustRightInd w:val="0"/>
        <w:snapToGrid w:val="0"/>
        <w:spacing w:after="0" w:line="360" w:lineRule="auto"/>
        <w:ind w:firstLine="470"/>
        <w:jc w:val="both"/>
        <w:rPr>
          <w:kern w:val="0"/>
          <w:szCs w:val="24"/>
          <w:shd w:val="clear" w:color="auto" w:fill="FFFFFF"/>
        </w:rPr>
      </w:pPr>
      <w:r>
        <w:rPr>
          <w:kern w:val="0"/>
          <w:szCs w:val="24"/>
          <w:shd w:val="clear" w:color="auto" w:fill="FFFFFF"/>
        </w:rPr>
        <w:t>济南地形可分为三带：北部临黄带，中部山前平原带，南部丘陵山区带。境内主要山峰有</w:t>
      </w:r>
      <w:hyperlink r:id="rId38" w:tgtFrame="https://baike.baidu.com/item/%E6%B5%8E%E5%8D%97/_blank" w:history="1">
        <w:r>
          <w:rPr>
            <w:kern w:val="0"/>
            <w:szCs w:val="24"/>
            <w:shd w:val="clear" w:color="auto" w:fill="FFFFFF"/>
          </w:rPr>
          <w:t>长城岭</w:t>
        </w:r>
      </w:hyperlink>
      <w:r>
        <w:rPr>
          <w:kern w:val="0"/>
          <w:szCs w:val="24"/>
          <w:shd w:val="clear" w:color="auto" w:fill="FFFFFF"/>
        </w:rPr>
        <w:t>、</w:t>
      </w:r>
      <w:hyperlink r:id="rId39" w:tgtFrame="https://baike.baidu.com/item/%E6%B5%8E%E5%8D%97/_blank" w:history="1">
        <w:r>
          <w:rPr>
            <w:kern w:val="0"/>
            <w:szCs w:val="24"/>
            <w:shd w:val="clear" w:color="auto" w:fill="FFFFFF"/>
          </w:rPr>
          <w:t>跑马岭</w:t>
        </w:r>
      </w:hyperlink>
      <w:r>
        <w:rPr>
          <w:kern w:val="0"/>
          <w:szCs w:val="24"/>
          <w:shd w:val="clear" w:color="auto" w:fill="FFFFFF"/>
        </w:rPr>
        <w:t>、梯子山、黑牛寨等等。山地丘陵</w:t>
      </w:r>
      <w:r>
        <w:rPr>
          <w:kern w:val="0"/>
          <w:szCs w:val="24"/>
          <w:shd w:val="clear" w:color="auto" w:fill="FFFFFF"/>
        </w:rPr>
        <w:t>3000km</w:t>
      </w:r>
      <w:r>
        <w:rPr>
          <w:kern w:val="0"/>
          <w:szCs w:val="24"/>
          <w:shd w:val="clear" w:color="auto" w:fill="FFFFFF"/>
          <w:vertAlign w:val="superscript"/>
        </w:rPr>
        <w:t>2</w:t>
      </w:r>
      <w:r>
        <w:rPr>
          <w:kern w:val="0"/>
          <w:szCs w:val="24"/>
          <w:shd w:val="clear" w:color="auto" w:fill="FFFFFF"/>
        </w:rPr>
        <w:t>，平原</w:t>
      </w:r>
      <w:r>
        <w:rPr>
          <w:kern w:val="0"/>
          <w:szCs w:val="24"/>
          <w:shd w:val="clear" w:color="auto" w:fill="FFFFFF"/>
        </w:rPr>
        <w:t>5000km</w:t>
      </w:r>
      <w:r>
        <w:rPr>
          <w:kern w:val="0"/>
          <w:szCs w:val="24"/>
          <w:shd w:val="clear" w:color="auto" w:fill="FFFFFF"/>
          <w:vertAlign w:val="superscript"/>
        </w:rPr>
        <w:t>2</w:t>
      </w:r>
      <w:r>
        <w:rPr>
          <w:kern w:val="0"/>
          <w:szCs w:val="24"/>
          <w:shd w:val="clear" w:color="auto" w:fill="FFFFFF"/>
        </w:rPr>
        <w:t>。最高海拔</w:t>
      </w:r>
      <w:r>
        <w:rPr>
          <w:kern w:val="0"/>
          <w:szCs w:val="24"/>
          <w:shd w:val="clear" w:color="auto" w:fill="FFFFFF"/>
        </w:rPr>
        <w:t>1108.4m</w:t>
      </w:r>
      <w:r>
        <w:rPr>
          <w:kern w:val="0"/>
          <w:szCs w:val="24"/>
          <w:shd w:val="clear" w:color="auto" w:fill="FFFFFF"/>
        </w:rPr>
        <w:t>，最低海拔</w:t>
      </w:r>
      <w:r>
        <w:rPr>
          <w:kern w:val="0"/>
          <w:szCs w:val="24"/>
          <w:shd w:val="clear" w:color="auto" w:fill="FFFFFF"/>
        </w:rPr>
        <w:t>5m</w:t>
      </w:r>
      <w:r>
        <w:rPr>
          <w:kern w:val="0"/>
          <w:szCs w:val="24"/>
          <w:shd w:val="clear" w:color="auto" w:fill="FFFFFF"/>
        </w:rPr>
        <w:t>，南北高差多达</w:t>
      </w:r>
      <w:r>
        <w:rPr>
          <w:kern w:val="0"/>
          <w:szCs w:val="24"/>
          <w:shd w:val="clear" w:color="auto" w:fill="FFFFFF"/>
        </w:rPr>
        <w:t>1100m</w:t>
      </w:r>
      <w:r>
        <w:rPr>
          <w:kern w:val="0"/>
          <w:szCs w:val="24"/>
          <w:shd w:val="clear" w:color="auto" w:fill="FFFFFF"/>
        </w:rPr>
        <w:t>。</w:t>
      </w:r>
    </w:p>
    <w:p w:rsidR="00F95F9B" w:rsidRDefault="00000000">
      <w:pPr>
        <w:pStyle w:val="Char30"/>
        <w:widowControl w:val="0"/>
        <w:adjustRightInd w:val="0"/>
        <w:snapToGrid w:val="0"/>
        <w:spacing w:after="0" w:line="360" w:lineRule="auto"/>
        <w:ind w:firstLine="470"/>
        <w:jc w:val="both"/>
      </w:pPr>
      <w:r>
        <w:rPr>
          <w:kern w:val="0"/>
          <w:szCs w:val="24"/>
          <w:shd w:val="clear" w:color="auto" w:fill="FFFFFF"/>
        </w:rPr>
        <w:t>济南之所以</w:t>
      </w:r>
      <w:hyperlink r:id="rId40" w:tgtFrame="https://baike.baidu.com/item/%E6%B5%8E%E5%8D%97/_blank" w:history="1">
        <w:r>
          <w:rPr>
            <w:kern w:val="0"/>
            <w:szCs w:val="24"/>
            <w:shd w:val="clear" w:color="auto" w:fill="FFFFFF"/>
          </w:rPr>
          <w:t>泉水</w:t>
        </w:r>
      </w:hyperlink>
      <w:r>
        <w:rPr>
          <w:kern w:val="0"/>
          <w:szCs w:val="24"/>
          <w:shd w:val="clear" w:color="auto" w:fill="FFFFFF"/>
        </w:rPr>
        <w:t>众多，是因为它的独特地形地质构造。济南处在山东省的心脏地带，鲁中南低山丘陵与鲁西北冲积平原，正好把它夹在中间，为一平缓的</w:t>
      </w:r>
      <w:hyperlink r:id="rId41" w:tgtFrame="https://baike.baidu.com/item/%E6%B5%8E%E5%8D%97/_blank" w:history="1">
        <w:r>
          <w:rPr>
            <w:kern w:val="0"/>
            <w:szCs w:val="24"/>
            <w:shd w:val="clear" w:color="auto" w:fill="FFFFFF"/>
          </w:rPr>
          <w:t>单斜构造</w:t>
        </w:r>
      </w:hyperlink>
      <w:r>
        <w:rPr>
          <w:kern w:val="0"/>
          <w:szCs w:val="24"/>
          <w:shd w:val="clear" w:color="auto" w:fill="FFFFFF"/>
        </w:rPr>
        <w:t>，高差多达</w:t>
      </w:r>
      <w:r>
        <w:rPr>
          <w:kern w:val="0"/>
          <w:szCs w:val="24"/>
          <w:shd w:val="clear" w:color="auto" w:fill="FFFFFF"/>
        </w:rPr>
        <w:t>500m</w:t>
      </w:r>
      <w:r>
        <w:rPr>
          <w:kern w:val="0"/>
          <w:szCs w:val="24"/>
          <w:shd w:val="clear" w:color="auto" w:fill="FFFFFF"/>
        </w:rPr>
        <w:t>。</w:t>
      </w:r>
    </w:p>
    <w:p w:rsidR="00F95F9B" w:rsidRDefault="00000000">
      <w:pPr>
        <w:numPr>
          <w:ilvl w:val="0"/>
          <w:numId w:val="13"/>
        </w:numPr>
        <w:adjustRightInd w:val="0"/>
        <w:snapToGrid w:val="0"/>
        <w:ind w:firstLine="470"/>
      </w:pPr>
      <w:r>
        <w:rPr>
          <w:rFonts w:hint="eastAsia"/>
        </w:rPr>
        <w:t>德州市</w:t>
      </w:r>
    </w:p>
    <w:p w:rsidR="00F95F9B" w:rsidRDefault="00000000">
      <w:pPr>
        <w:pStyle w:val="Char30"/>
        <w:widowControl w:val="0"/>
        <w:adjustRightInd w:val="0"/>
        <w:snapToGrid w:val="0"/>
        <w:spacing w:after="0" w:line="360" w:lineRule="auto"/>
        <w:ind w:firstLine="470"/>
        <w:jc w:val="both"/>
        <w:rPr>
          <w:szCs w:val="24"/>
        </w:rPr>
      </w:pPr>
      <w:r>
        <w:rPr>
          <w:szCs w:val="24"/>
        </w:rPr>
        <w:t>德州市为</w:t>
      </w:r>
      <w:hyperlink r:id="rId42" w:tgtFrame="https://baike.baidu.com/item/%E5%BE%B7%E5%B7%9E/_blank" w:history="1">
        <w:r>
          <w:rPr>
            <w:szCs w:val="24"/>
          </w:rPr>
          <w:t>黄河</w:t>
        </w:r>
      </w:hyperlink>
      <w:r>
        <w:rPr>
          <w:szCs w:val="24"/>
        </w:rPr>
        <w:t>冲积平原，历史上境内曾有两次黄河大迁徙，上千次决口，造就了西南高、东北低的地形。由于泛道与流速所致，加之风力堆积之因素，形成了平原之中起伏不平，岗、坡、洼相间分布等特点。德州市地貌多象，大体可分三类：一是高地类，由河流、河床沉积而成，占土地总面积的</w:t>
      </w:r>
      <w:r>
        <w:rPr>
          <w:szCs w:val="24"/>
        </w:rPr>
        <w:t>34.3%</w:t>
      </w:r>
      <w:r>
        <w:rPr>
          <w:szCs w:val="24"/>
        </w:rPr>
        <w:t>；二是坡地类，由黄泛漫流沉积而成，占总土地面积的</w:t>
      </w:r>
      <w:r>
        <w:rPr>
          <w:szCs w:val="24"/>
        </w:rPr>
        <w:t>52.1%</w:t>
      </w:r>
      <w:r>
        <w:rPr>
          <w:szCs w:val="24"/>
        </w:rPr>
        <w:t>；三是洼地类，占</w:t>
      </w:r>
      <w:r>
        <w:rPr>
          <w:szCs w:val="24"/>
        </w:rPr>
        <w:t>13.6%</w:t>
      </w:r>
      <w:r>
        <w:rPr>
          <w:szCs w:val="24"/>
        </w:rPr>
        <w:t>。</w:t>
      </w:r>
    </w:p>
    <w:p w:rsidR="00F95F9B" w:rsidRDefault="00000000">
      <w:pPr>
        <w:numPr>
          <w:ilvl w:val="0"/>
          <w:numId w:val="13"/>
        </w:numPr>
        <w:adjustRightInd w:val="0"/>
        <w:snapToGrid w:val="0"/>
        <w:ind w:firstLine="470"/>
      </w:pPr>
      <w:r>
        <w:rPr>
          <w:rFonts w:hint="eastAsia"/>
        </w:rPr>
        <w:lastRenderedPageBreak/>
        <w:t>滨州市</w:t>
      </w:r>
    </w:p>
    <w:p w:rsidR="00F95F9B" w:rsidRDefault="00000000">
      <w:pPr>
        <w:pStyle w:val="Char30"/>
        <w:widowControl w:val="0"/>
        <w:adjustRightInd w:val="0"/>
        <w:snapToGrid w:val="0"/>
        <w:spacing w:after="0" w:line="360" w:lineRule="auto"/>
        <w:ind w:firstLine="470"/>
        <w:rPr>
          <w:szCs w:val="21"/>
        </w:rPr>
      </w:pPr>
      <w:r>
        <w:rPr>
          <w:szCs w:val="21"/>
        </w:rPr>
        <w:t>滨州市处于华北新生代沉降区东南部的济阳拗陷中。新生代的下覆基岩是古生代的沉积地层和前震旦纪变质岩系，由数条北东东向断裂分割成几个小的断块，基本无中生代地层，新生代地层直接覆盖于古生代地层之上，断块凹陷形成新生代凹陷盆地，沉积了全套巨厚的新生代地层，该地层为海相、湖相和冲积相碎屑的互层沉积，含大量有机物，有利于石油生成。除邹平南部山区外，全市表层大部为第四纪沉积覆盖，小清河以南处于鲁中山区北麓冲积平原的中尾部，是洪积和冲积平原的叠交地带，其洪积冲积地层厚度一般在</w:t>
      </w:r>
      <w:r>
        <w:rPr>
          <w:szCs w:val="21"/>
        </w:rPr>
        <w:t>100</w:t>
      </w:r>
      <w:r>
        <w:rPr>
          <w:szCs w:val="21"/>
        </w:rPr>
        <w:t>～</w:t>
      </w:r>
      <w:r>
        <w:rPr>
          <w:szCs w:val="21"/>
        </w:rPr>
        <w:t>200m</w:t>
      </w:r>
      <w:r>
        <w:rPr>
          <w:szCs w:val="21"/>
        </w:rPr>
        <w:t>。小清河以北属黄河冲积沉积，厚度多在</w:t>
      </w:r>
      <w:r>
        <w:rPr>
          <w:szCs w:val="21"/>
        </w:rPr>
        <w:t>200</w:t>
      </w:r>
      <w:r>
        <w:rPr>
          <w:szCs w:val="21"/>
        </w:rPr>
        <w:t>～</w:t>
      </w:r>
      <w:r>
        <w:rPr>
          <w:szCs w:val="21"/>
        </w:rPr>
        <w:t>400m</w:t>
      </w:r>
      <w:r>
        <w:rPr>
          <w:szCs w:val="21"/>
        </w:rPr>
        <w:t>之间，其中小清河与黄河之间最厚，达</w:t>
      </w:r>
      <w:r>
        <w:rPr>
          <w:szCs w:val="21"/>
        </w:rPr>
        <w:t>400m</w:t>
      </w:r>
      <w:r>
        <w:rPr>
          <w:szCs w:val="21"/>
        </w:rPr>
        <w:t>。长期以来，济阳拗陷区属沉降地带，地壳一直处在一面下陷，一面为河流冲积物填充的状态，尤其是黄河的多泥沙河流的冲积作用占优势，冲积速度大于地壳沉降速度，形成了广大的冲积平原。</w:t>
      </w:r>
    </w:p>
    <w:p w:rsidR="00F95F9B" w:rsidRDefault="00000000">
      <w:pPr>
        <w:pStyle w:val="Char30"/>
        <w:widowControl w:val="0"/>
        <w:adjustRightInd w:val="0"/>
        <w:snapToGrid w:val="0"/>
        <w:spacing w:after="0" w:line="360" w:lineRule="auto"/>
        <w:ind w:firstLine="470"/>
        <w:jc w:val="both"/>
        <w:rPr>
          <w:szCs w:val="21"/>
        </w:rPr>
      </w:pPr>
      <w:bookmarkStart w:id="27" w:name="sub19098_4_3"/>
      <w:bookmarkStart w:id="28" w:name="地形地貌"/>
      <w:bookmarkStart w:id="29" w:name="4-3"/>
      <w:bookmarkStart w:id="30" w:name="4_3"/>
      <w:bookmarkEnd w:id="27"/>
      <w:bookmarkEnd w:id="28"/>
      <w:bookmarkEnd w:id="29"/>
      <w:bookmarkEnd w:id="30"/>
      <w:r>
        <w:rPr>
          <w:szCs w:val="21"/>
        </w:rPr>
        <w:t>滨州市地势南高北低，大致上由西南向东北倾斜，渐次过渡到大海。以小清河为界，全境呈现南北两种不同类型的地貌特征。小清河以南的邹平南部长白山脉属泰沂山区北麓的低山丘陵区，地势高峻，其主峰摩诃顶海拔</w:t>
      </w:r>
      <w:r>
        <w:rPr>
          <w:szCs w:val="21"/>
        </w:rPr>
        <w:t>826.8m</w:t>
      </w:r>
      <w:r>
        <w:rPr>
          <w:szCs w:val="21"/>
        </w:rPr>
        <w:t>，是全市最高点，其余均为山前倾斜平原，地势平缓，间有缓岗与洼地，海拔高程一般在</w:t>
      </w:r>
      <w:r>
        <w:rPr>
          <w:szCs w:val="21"/>
        </w:rPr>
        <w:t>8</w:t>
      </w:r>
      <w:r>
        <w:rPr>
          <w:szCs w:val="21"/>
        </w:rPr>
        <w:t>～</w:t>
      </w:r>
      <w:r>
        <w:rPr>
          <w:szCs w:val="21"/>
        </w:rPr>
        <w:t>800m</w:t>
      </w:r>
      <w:r>
        <w:rPr>
          <w:szCs w:val="21"/>
        </w:rPr>
        <w:t>。小清河以北为黄河冲积平原，海拔高程一般在</w:t>
      </w:r>
      <w:r>
        <w:rPr>
          <w:szCs w:val="21"/>
        </w:rPr>
        <w:t>1</w:t>
      </w:r>
      <w:r>
        <w:rPr>
          <w:szCs w:val="21"/>
        </w:rPr>
        <w:t>～</w:t>
      </w:r>
      <w:r>
        <w:rPr>
          <w:szCs w:val="21"/>
        </w:rPr>
        <w:t>20m</w:t>
      </w:r>
      <w:r>
        <w:rPr>
          <w:szCs w:val="21"/>
        </w:rPr>
        <w:t>，总体上地势低平，由于历史上黄河多次改道和决口泛滥，造成沉积物交错分布，加上河流冲刷、海潮内浸、自然侵蚀和人类活动的影响，形成了低岗、缓坡、浅洼相间，微地貌差异明显的大平小不平的地貌特征。</w:t>
      </w:r>
    </w:p>
    <w:p w:rsidR="00F95F9B" w:rsidRDefault="00000000">
      <w:pPr>
        <w:pStyle w:val="4"/>
        <w:keepNext w:val="0"/>
        <w:keepLines w:val="0"/>
        <w:widowControl w:val="0"/>
        <w:adjustRightInd w:val="0"/>
        <w:snapToGrid w:val="0"/>
      </w:pPr>
      <w:r>
        <w:rPr>
          <w:rFonts w:hint="eastAsia"/>
        </w:rPr>
        <w:t>气象条件</w:t>
      </w:r>
    </w:p>
    <w:p w:rsidR="00F95F9B" w:rsidRDefault="00000000">
      <w:pPr>
        <w:widowControl w:val="0"/>
        <w:adjustRightInd w:val="0"/>
        <w:snapToGrid w:val="0"/>
        <w:ind w:firstLine="470"/>
      </w:pPr>
      <w:r>
        <w:rPr>
          <w:rFonts w:hint="eastAsia"/>
        </w:rPr>
        <w:t>1</w:t>
      </w:r>
      <w:r>
        <w:rPr>
          <w:rFonts w:hint="eastAsia"/>
        </w:rPr>
        <w:t>）东营市</w:t>
      </w:r>
    </w:p>
    <w:p w:rsidR="00F95F9B" w:rsidRDefault="00000000">
      <w:pPr>
        <w:widowControl w:val="0"/>
        <w:adjustRightInd w:val="0"/>
        <w:snapToGrid w:val="0"/>
        <w:ind w:firstLine="470"/>
      </w:pPr>
      <w:r>
        <w:t>1</w:t>
      </w:r>
      <w:r>
        <w:rPr>
          <w:rFonts w:hint="eastAsia"/>
        </w:rPr>
        <w:t>.</w:t>
      </w:r>
      <w:r>
        <w:t>气候特征</w:t>
      </w:r>
    </w:p>
    <w:p w:rsidR="00F95F9B" w:rsidRDefault="00000000">
      <w:pPr>
        <w:widowControl w:val="0"/>
        <w:adjustRightInd w:val="0"/>
        <w:snapToGrid w:val="0"/>
        <w:ind w:firstLine="470"/>
      </w:pPr>
      <w:r>
        <w:t>东营市地处中纬度，背陆面海，受亚欧大陆和西太平洋共同影响，属暖温带大陆性季风气候，气候温和，四季分明。春季回暖快，降水少，风速大，气候干燥；夏季气温高，湿度大，降水集中，有时受台风侵袭；秋季气温急降，雨量骤减，秋高气爽；冬季雨雪稀少，寒冷干燥。主要气象灾害有霜冻、干热风、大风、冰雹、干旱、涝灾、风暴潮灾害等。</w:t>
      </w:r>
    </w:p>
    <w:p w:rsidR="00F95F9B" w:rsidRDefault="00000000">
      <w:pPr>
        <w:widowControl w:val="0"/>
        <w:adjustRightInd w:val="0"/>
        <w:snapToGrid w:val="0"/>
        <w:ind w:firstLine="470"/>
      </w:pPr>
      <w:r>
        <w:t>2</w:t>
      </w:r>
      <w:r>
        <w:rPr>
          <w:rFonts w:hint="eastAsia"/>
        </w:rPr>
        <w:t>.</w:t>
      </w:r>
      <w:r>
        <w:t>气温</w:t>
      </w:r>
    </w:p>
    <w:p w:rsidR="00F95F9B" w:rsidRDefault="00000000">
      <w:pPr>
        <w:widowControl w:val="0"/>
        <w:adjustRightInd w:val="0"/>
        <w:snapToGrid w:val="0"/>
        <w:ind w:firstLine="470"/>
      </w:pPr>
      <w:r>
        <w:t>年平均气温</w:t>
      </w:r>
      <w:r>
        <w:t>12.6℃</w:t>
      </w:r>
      <w:r>
        <w:t>，一月份最冷，月平均气温为</w:t>
      </w:r>
      <w:r>
        <w:t>-3.4℃</w:t>
      </w:r>
      <w:r>
        <w:t>；七月份最热，月平均气温为</w:t>
      </w:r>
      <w:r>
        <w:t>26.5℃</w:t>
      </w:r>
      <w:r>
        <w:t>；历年极端最低气温</w:t>
      </w:r>
      <w:r>
        <w:t>-23.3℃</w:t>
      </w:r>
      <w:r>
        <w:t>，极端最高气温为</w:t>
      </w:r>
      <w:r>
        <w:t>41.3℃</w:t>
      </w:r>
      <w:r>
        <w:t>。</w:t>
      </w:r>
    </w:p>
    <w:p w:rsidR="00F95F9B" w:rsidRDefault="00000000">
      <w:pPr>
        <w:widowControl w:val="0"/>
        <w:adjustRightInd w:val="0"/>
        <w:snapToGrid w:val="0"/>
        <w:ind w:firstLine="470"/>
      </w:pPr>
      <w:r>
        <w:t>3</w:t>
      </w:r>
      <w:r>
        <w:rPr>
          <w:rFonts w:hint="eastAsia"/>
        </w:rPr>
        <w:t>.</w:t>
      </w:r>
      <w:r>
        <w:t>降水</w:t>
      </w:r>
    </w:p>
    <w:p w:rsidR="00F95F9B" w:rsidRDefault="00000000">
      <w:pPr>
        <w:widowControl w:val="0"/>
        <w:adjustRightInd w:val="0"/>
        <w:snapToGrid w:val="0"/>
        <w:ind w:firstLine="470"/>
      </w:pPr>
      <w:r>
        <w:t>评价区域年平均降雨量为</w:t>
      </w:r>
      <w:r>
        <w:t>544.4mm</w:t>
      </w:r>
      <w:r>
        <w:t>，年度变化幅度较大，降雨量最多的年份为</w:t>
      </w:r>
      <w:r>
        <w:lastRenderedPageBreak/>
        <w:t>1003.8mm</w:t>
      </w:r>
      <w:r>
        <w:t>，降雨量最小的年份为</w:t>
      </w:r>
      <w:r>
        <w:t>322.7mm</w:t>
      </w:r>
      <w:r>
        <w:t>，属降雨不稳定地区。全年降雪量偏少，历年各月平均降雨量最多的是七月，为</w:t>
      </w:r>
      <w:r>
        <w:t>183.4mm</w:t>
      </w:r>
      <w:r>
        <w:t>，最少的是</w:t>
      </w:r>
      <w:r>
        <w:t>1</w:t>
      </w:r>
      <w:r>
        <w:t>月为</w:t>
      </w:r>
      <w:r>
        <w:t>3.4mm</w:t>
      </w:r>
      <w:r>
        <w:t>。</w:t>
      </w:r>
    </w:p>
    <w:p w:rsidR="00F95F9B" w:rsidRDefault="00000000">
      <w:pPr>
        <w:widowControl w:val="0"/>
        <w:adjustRightInd w:val="0"/>
        <w:snapToGrid w:val="0"/>
        <w:ind w:firstLine="470"/>
      </w:pPr>
      <w:r>
        <w:t>4</w:t>
      </w:r>
      <w:r>
        <w:rPr>
          <w:rFonts w:hint="eastAsia"/>
        </w:rPr>
        <w:t>.</w:t>
      </w:r>
      <w:r>
        <w:t>风况</w:t>
      </w:r>
    </w:p>
    <w:p w:rsidR="00F95F9B" w:rsidRDefault="00000000">
      <w:pPr>
        <w:widowControl w:val="0"/>
        <w:adjustRightInd w:val="0"/>
        <w:snapToGrid w:val="0"/>
        <w:ind w:firstLine="470"/>
      </w:pPr>
      <w:r>
        <w:t>本区是多风和较大风区，年平均风速</w:t>
      </w:r>
      <w:r>
        <w:t>3.7m/s</w:t>
      </w:r>
      <w:r>
        <w:t>，全年以</w:t>
      </w:r>
      <w:r>
        <w:t>3~6</w:t>
      </w:r>
      <w:r>
        <w:t>月较大，其中四月最大，九月份最小。风向随季节性有明显变化。夏季盛行</w:t>
      </w:r>
      <w:r>
        <w:t>SE</w:t>
      </w:r>
      <w:r>
        <w:t>风，冬季盛行</w:t>
      </w:r>
      <w:r>
        <w:t>NW</w:t>
      </w:r>
      <w:r>
        <w:t>风。</w:t>
      </w:r>
    </w:p>
    <w:p w:rsidR="00F95F9B" w:rsidRDefault="00000000">
      <w:pPr>
        <w:widowControl w:val="0"/>
        <w:adjustRightInd w:val="0"/>
        <w:snapToGrid w:val="0"/>
        <w:ind w:firstLine="470"/>
      </w:pPr>
      <w:r>
        <w:t>5</w:t>
      </w:r>
      <w:r>
        <w:rPr>
          <w:rFonts w:hint="eastAsia"/>
        </w:rPr>
        <w:t>.</w:t>
      </w:r>
      <w:r>
        <w:t>地温和霜冻</w:t>
      </w:r>
    </w:p>
    <w:p w:rsidR="00F95F9B" w:rsidRDefault="00000000">
      <w:pPr>
        <w:widowControl w:val="0"/>
        <w:adjustRightInd w:val="0"/>
        <w:snapToGrid w:val="0"/>
        <w:ind w:firstLine="470"/>
      </w:pPr>
      <w:r>
        <w:t>评价区域地面温度年平均为</w:t>
      </w:r>
      <w:r>
        <w:t>14.9℃</w:t>
      </w:r>
      <w:r>
        <w:t>，年均无霜期</w:t>
      </w:r>
      <w:r>
        <w:t>206</w:t>
      </w:r>
      <w:r>
        <w:t>天，最长</w:t>
      </w:r>
      <w:r>
        <w:t>228</w:t>
      </w:r>
      <w:r>
        <w:t>天，最短</w:t>
      </w:r>
      <w:r>
        <w:t>168</w:t>
      </w:r>
      <w:r>
        <w:t>天。累年最大冻深</w:t>
      </w:r>
      <w:r>
        <w:t>60cm</w:t>
      </w:r>
      <w:r>
        <w:t>，初冻期一般在</w:t>
      </w:r>
      <w:r>
        <w:t>12</w:t>
      </w:r>
      <w:r>
        <w:t>月上旬，解冻期一般在二月末，解冻日一般在</w:t>
      </w:r>
      <w:r>
        <w:t>30~40</w:t>
      </w:r>
      <w:r>
        <w:t>天左右。</w:t>
      </w:r>
    </w:p>
    <w:p w:rsidR="00F95F9B" w:rsidRDefault="00000000">
      <w:pPr>
        <w:widowControl w:val="0"/>
        <w:adjustRightInd w:val="0"/>
        <w:snapToGrid w:val="0"/>
        <w:ind w:firstLine="470"/>
      </w:pPr>
      <w:r>
        <w:rPr>
          <w:rFonts w:hint="eastAsia"/>
        </w:rPr>
        <w:t>2</w:t>
      </w:r>
      <w:r>
        <w:rPr>
          <w:rFonts w:hint="eastAsia"/>
        </w:rPr>
        <w:t>）</w:t>
      </w:r>
      <w:r>
        <w:rPr>
          <w:lang w:val="zh-CN"/>
        </w:rPr>
        <w:t>济南市</w:t>
      </w:r>
    </w:p>
    <w:p w:rsidR="00F95F9B" w:rsidRDefault="00000000">
      <w:pPr>
        <w:widowControl w:val="0"/>
        <w:adjustRightInd w:val="0"/>
        <w:snapToGrid w:val="0"/>
        <w:ind w:firstLine="470"/>
        <w:rPr>
          <w:lang w:val="zh-CN"/>
        </w:rPr>
      </w:pPr>
      <w:r>
        <w:rPr>
          <w:lang w:val="zh-CN"/>
        </w:rPr>
        <w:t>1</w:t>
      </w:r>
      <w:r>
        <w:rPr>
          <w:rFonts w:hint="eastAsia"/>
          <w:lang w:val="zh-CN"/>
        </w:rPr>
        <w:t>.</w:t>
      </w:r>
      <w:r>
        <w:rPr>
          <w:lang w:val="zh-CN"/>
        </w:rPr>
        <w:t>气候特征</w:t>
      </w:r>
    </w:p>
    <w:p w:rsidR="00F95F9B" w:rsidRDefault="00000000">
      <w:pPr>
        <w:widowControl w:val="0"/>
        <w:adjustRightInd w:val="0"/>
        <w:snapToGrid w:val="0"/>
        <w:ind w:firstLine="470"/>
        <w:rPr>
          <w:lang w:val="zh-CN"/>
        </w:rPr>
      </w:pPr>
      <w:r>
        <w:rPr>
          <w:lang w:val="zh-CN"/>
        </w:rPr>
        <w:t>济南市地处中纬度地带，由于受太阳辐射、</w:t>
      </w:r>
      <w:hyperlink r:id="rId43" w:tgtFrame="https://baike.baidu.com/item/%E6%B5%8E%E5%8D%97/_blank" w:history="1">
        <w:r>
          <w:rPr>
            <w:lang w:val="zh-CN"/>
          </w:rPr>
          <w:t>大气环流</w:t>
        </w:r>
      </w:hyperlink>
      <w:r>
        <w:rPr>
          <w:lang w:val="zh-CN"/>
        </w:rPr>
        <w:t>和地理环境的影响，属于暖温带大陆性季风气候区</w:t>
      </w:r>
      <w:bookmarkStart w:id="31" w:name="ref_[153]_18842517"/>
      <w:r>
        <w:rPr>
          <w:lang w:val="zh-CN"/>
        </w:rPr>
        <w:t>。其特点是</w:t>
      </w:r>
      <w:hyperlink r:id="rId44" w:tgtFrame="https://baike.baidu.com/item/%E6%B5%8E%E5%8D%97/_blank" w:history="1">
        <w:r>
          <w:rPr>
            <w:lang w:val="zh-CN"/>
          </w:rPr>
          <w:t>季风</w:t>
        </w:r>
      </w:hyperlink>
      <w:r>
        <w:rPr>
          <w:lang w:val="zh-CN"/>
        </w:rPr>
        <w:t>明显，四季分明，</w:t>
      </w:r>
      <w:hyperlink r:id="rId45" w:tgtFrame="https://baike.baidu.com/item/%E6%B5%8E%E5%8D%97/_blank" w:history="1">
        <w:r>
          <w:rPr>
            <w:lang w:val="zh-CN"/>
          </w:rPr>
          <w:t>春季</w:t>
        </w:r>
      </w:hyperlink>
      <w:r>
        <w:rPr>
          <w:lang w:val="zh-CN"/>
        </w:rPr>
        <w:t>干旱少雨，</w:t>
      </w:r>
      <w:hyperlink r:id="rId46" w:tgtFrame="https://baike.baidu.com/item/%E6%B5%8E%E5%8D%97/_blank" w:history="1">
        <w:r>
          <w:rPr>
            <w:lang w:val="zh-CN"/>
          </w:rPr>
          <w:t>夏季</w:t>
        </w:r>
      </w:hyperlink>
      <w:r>
        <w:rPr>
          <w:lang w:val="zh-CN"/>
        </w:rPr>
        <w:t>温热多雨，</w:t>
      </w:r>
      <w:hyperlink r:id="rId47" w:tgtFrame="https://baike.baidu.com/item/%E6%B5%8E%E5%8D%97/_blank" w:history="1">
        <w:r>
          <w:rPr>
            <w:lang w:val="zh-CN"/>
          </w:rPr>
          <w:t>秋季</w:t>
        </w:r>
      </w:hyperlink>
      <w:r>
        <w:rPr>
          <w:lang w:val="zh-CN"/>
        </w:rPr>
        <w:t>凉爽干燥，</w:t>
      </w:r>
      <w:hyperlink r:id="rId48" w:tgtFrame="https://baike.baidu.com/item/%E6%B5%8E%E5%8D%97/_blank" w:history="1">
        <w:r>
          <w:rPr>
            <w:lang w:val="zh-CN"/>
          </w:rPr>
          <w:t>冬季</w:t>
        </w:r>
      </w:hyperlink>
      <w:r>
        <w:rPr>
          <w:lang w:val="zh-CN"/>
        </w:rPr>
        <w:t>寒冷少雪。</w:t>
      </w:r>
      <w:bookmarkEnd w:id="31"/>
    </w:p>
    <w:p w:rsidR="00F95F9B" w:rsidRDefault="00000000">
      <w:pPr>
        <w:widowControl w:val="0"/>
        <w:adjustRightInd w:val="0"/>
        <w:snapToGrid w:val="0"/>
        <w:ind w:firstLine="470"/>
        <w:rPr>
          <w:lang w:val="zh-CN"/>
        </w:rPr>
      </w:pPr>
      <w:r>
        <w:rPr>
          <w:lang w:val="zh-CN"/>
        </w:rPr>
        <w:t>2</w:t>
      </w:r>
      <w:r>
        <w:rPr>
          <w:rFonts w:hint="eastAsia"/>
          <w:lang w:val="zh-CN"/>
        </w:rPr>
        <w:t>.</w:t>
      </w:r>
      <w:r>
        <w:rPr>
          <w:lang w:val="zh-CN"/>
        </w:rPr>
        <w:t>气温</w:t>
      </w:r>
    </w:p>
    <w:p w:rsidR="00F95F9B" w:rsidRDefault="00000000">
      <w:pPr>
        <w:widowControl w:val="0"/>
        <w:adjustRightInd w:val="0"/>
        <w:snapToGrid w:val="0"/>
        <w:ind w:firstLine="470"/>
        <w:rPr>
          <w:lang w:val="zh-CN"/>
        </w:rPr>
      </w:pPr>
      <w:r>
        <w:rPr>
          <w:lang w:val="zh-CN"/>
        </w:rPr>
        <w:t>年平均气温</w:t>
      </w:r>
      <w:r>
        <w:rPr>
          <w:lang w:val="zh-CN"/>
        </w:rPr>
        <w:t>13.6℃  </w:t>
      </w:r>
      <w:r>
        <w:rPr>
          <w:lang w:val="zh-CN"/>
        </w:rPr>
        <w:t>，无霜期</w:t>
      </w:r>
      <w:r>
        <w:rPr>
          <w:lang w:val="zh-CN"/>
        </w:rPr>
        <w:t>235</w:t>
      </w:r>
      <w:r>
        <w:rPr>
          <w:lang w:val="zh-CN"/>
        </w:rPr>
        <w:t>天</w:t>
      </w:r>
      <w:r>
        <w:rPr>
          <w:lang w:val="zh-CN"/>
        </w:rPr>
        <w:t> </w:t>
      </w:r>
      <w:r>
        <w:rPr>
          <w:lang w:val="zh-CN"/>
        </w:rPr>
        <w:t>，气温最高</w:t>
      </w:r>
      <w:r>
        <w:rPr>
          <w:lang w:val="zh-CN"/>
        </w:rPr>
        <w:t>42.5℃</w:t>
      </w:r>
      <w:r>
        <w:rPr>
          <w:lang w:val="zh-CN"/>
        </w:rPr>
        <w:t>（</w:t>
      </w:r>
      <w:r>
        <w:rPr>
          <w:lang w:val="zh-CN"/>
        </w:rPr>
        <w:t>1955</w:t>
      </w:r>
      <w:r>
        <w:rPr>
          <w:lang w:val="zh-CN"/>
        </w:rPr>
        <w:t>年</w:t>
      </w:r>
      <w:r>
        <w:rPr>
          <w:lang w:val="zh-CN"/>
        </w:rPr>
        <w:t>7</w:t>
      </w:r>
      <w:r>
        <w:rPr>
          <w:lang w:val="zh-CN"/>
        </w:rPr>
        <w:t>月</w:t>
      </w:r>
      <w:r>
        <w:rPr>
          <w:lang w:val="zh-CN"/>
        </w:rPr>
        <w:t>24</w:t>
      </w:r>
      <w:r>
        <w:rPr>
          <w:lang w:val="zh-CN"/>
        </w:rPr>
        <w:t>日），最低气温零下</w:t>
      </w:r>
      <w:r>
        <w:rPr>
          <w:lang w:val="zh-CN"/>
        </w:rPr>
        <w:t>19.7℃</w:t>
      </w:r>
      <w:r>
        <w:rPr>
          <w:lang w:val="zh-CN"/>
        </w:rPr>
        <w:t>（</w:t>
      </w:r>
      <w:r>
        <w:rPr>
          <w:lang w:val="zh-CN"/>
        </w:rPr>
        <w:t>1953</w:t>
      </w:r>
      <w:r>
        <w:rPr>
          <w:lang w:val="zh-CN"/>
        </w:rPr>
        <w:t>年</w:t>
      </w:r>
      <w:r>
        <w:rPr>
          <w:lang w:val="zh-CN"/>
        </w:rPr>
        <w:t>1</w:t>
      </w:r>
      <w:r>
        <w:rPr>
          <w:lang w:val="zh-CN"/>
        </w:rPr>
        <w:t>月</w:t>
      </w:r>
      <w:r>
        <w:rPr>
          <w:lang w:val="zh-CN"/>
        </w:rPr>
        <w:t>17</w:t>
      </w:r>
      <w:r>
        <w:rPr>
          <w:lang w:val="zh-CN"/>
        </w:rPr>
        <w:t>日）。最高月均温</w:t>
      </w:r>
      <w:r>
        <w:rPr>
          <w:lang w:val="zh-CN"/>
        </w:rPr>
        <w:t>27.2℃</w:t>
      </w:r>
      <w:r>
        <w:rPr>
          <w:lang w:val="zh-CN"/>
        </w:rPr>
        <w:t>（</w:t>
      </w:r>
      <w:r>
        <w:rPr>
          <w:lang w:val="zh-CN"/>
        </w:rPr>
        <w:t>7</w:t>
      </w:r>
      <w:r>
        <w:rPr>
          <w:lang w:val="zh-CN"/>
        </w:rPr>
        <w:t>月），最低月均温</w:t>
      </w:r>
      <w:r>
        <w:rPr>
          <w:lang w:val="zh-CN"/>
        </w:rPr>
        <w:t>-3.2℃</w:t>
      </w:r>
      <w:r>
        <w:rPr>
          <w:lang w:val="zh-CN"/>
        </w:rPr>
        <w:t>（</w:t>
      </w:r>
      <w:r>
        <w:rPr>
          <w:lang w:val="zh-CN"/>
        </w:rPr>
        <w:t>1</w:t>
      </w:r>
      <w:r>
        <w:rPr>
          <w:lang w:val="zh-CN"/>
        </w:rPr>
        <w:t>月）。</w:t>
      </w:r>
    </w:p>
    <w:p w:rsidR="00F95F9B" w:rsidRDefault="00000000">
      <w:pPr>
        <w:widowControl w:val="0"/>
        <w:adjustRightInd w:val="0"/>
        <w:snapToGrid w:val="0"/>
        <w:ind w:firstLine="470"/>
      </w:pPr>
      <w:r>
        <w:rPr>
          <w:rFonts w:hint="eastAsia"/>
        </w:rPr>
        <w:t>3.</w:t>
      </w:r>
      <w:r>
        <w:rPr>
          <w:rFonts w:hint="eastAsia"/>
        </w:rPr>
        <w:t>降水</w:t>
      </w:r>
    </w:p>
    <w:p w:rsidR="00F95F9B" w:rsidRDefault="00000000">
      <w:pPr>
        <w:pStyle w:val="Default"/>
        <w:snapToGrid w:val="0"/>
        <w:spacing w:line="360" w:lineRule="auto"/>
        <w:ind w:firstLineChars="200" w:firstLine="470"/>
        <w:rPr>
          <w:rFonts w:eastAsia="宋体"/>
          <w:color w:val="auto"/>
          <w:lang w:val="es-MX"/>
        </w:rPr>
      </w:pPr>
      <w:r>
        <w:rPr>
          <w:rFonts w:eastAsia="宋体"/>
          <w:color w:val="auto"/>
          <w:lang w:val="zh-CN"/>
        </w:rPr>
        <w:t>年平均降水</w:t>
      </w:r>
      <w:r>
        <w:rPr>
          <w:rFonts w:ascii="Times New Roman" w:eastAsia="宋体" w:cs="Times New Roman"/>
          <w:color w:val="auto"/>
          <w:kern w:val="2"/>
          <w:szCs w:val="21"/>
          <w:lang w:val="zh-CN"/>
        </w:rPr>
        <w:t>量</w:t>
      </w:r>
      <w:r>
        <w:rPr>
          <w:rFonts w:ascii="Times New Roman" w:eastAsia="宋体" w:cs="Times New Roman"/>
          <w:color w:val="auto"/>
          <w:kern w:val="2"/>
          <w:szCs w:val="21"/>
          <w:lang w:val="zh-CN"/>
        </w:rPr>
        <w:t>614.0mm</w:t>
      </w:r>
      <w:r>
        <w:rPr>
          <w:rFonts w:ascii="Times New Roman" w:eastAsia="宋体" w:cs="Times New Roman" w:hint="eastAsia"/>
          <w:color w:val="auto"/>
          <w:kern w:val="2"/>
          <w:szCs w:val="21"/>
          <w:lang w:val="zh-CN"/>
        </w:rPr>
        <w:t>，</w:t>
      </w:r>
      <w:r>
        <w:rPr>
          <w:rFonts w:ascii="Times New Roman" w:eastAsia="宋体" w:cs="Times New Roman"/>
          <w:color w:val="auto"/>
          <w:kern w:val="2"/>
          <w:szCs w:val="21"/>
          <w:lang w:val="zh-CN"/>
        </w:rPr>
        <w:t>年日照时数</w:t>
      </w:r>
      <w:r>
        <w:rPr>
          <w:rFonts w:ascii="Times New Roman" w:eastAsia="宋体" w:cs="Times New Roman"/>
          <w:color w:val="auto"/>
          <w:kern w:val="2"/>
          <w:szCs w:val="21"/>
          <w:lang w:val="zh-CN"/>
        </w:rPr>
        <w:t>2616.8h</w:t>
      </w:r>
      <w:r>
        <w:rPr>
          <w:rFonts w:ascii="Times New Roman" w:eastAsia="宋体" w:cs="Times New Roman" w:hint="eastAsia"/>
          <w:color w:val="auto"/>
          <w:kern w:val="2"/>
          <w:szCs w:val="21"/>
          <w:lang w:val="zh-CN"/>
        </w:rPr>
        <w:t>。</w:t>
      </w:r>
    </w:p>
    <w:p w:rsidR="00F95F9B" w:rsidRPr="00B6229E" w:rsidRDefault="00000000">
      <w:pPr>
        <w:widowControl w:val="0"/>
        <w:adjustRightInd w:val="0"/>
        <w:snapToGrid w:val="0"/>
        <w:ind w:firstLine="470"/>
        <w:rPr>
          <w:lang w:val="es-MX"/>
        </w:rPr>
      </w:pPr>
      <w:r w:rsidRPr="00B6229E">
        <w:rPr>
          <w:rFonts w:hint="eastAsia"/>
          <w:lang w:val="es-MX"/>
        </w:rPr>
        <w:t>4.</w:t>
      </w:r>
      <w:r>
        <w:rPr>
          <w:lang w:val="zh-CN"/>
        </w:rPr>
        <w:t>风况</w:t>
      </w:r>
    </w:p>
    <w:p w:rsidR="00F95F9B" w:rsidRPr="00B6229E" w:rsidRDefault="00000000">
      <w:pPr>
        <w:widowControl w:val="0"/>
        <w:adjustRightInd w:val="0"/>
        <w:snapToGrid w:val="0"/>
        <w:ind w:firstLine="470"/>
        <w:rPr>
          <w:lang w:val="es-MX"/>
        </w:rPr>
      </w:pPr>
      <w:r>
        <w:rPr>
          <w:lang w:val="zh-CN"/>
        </w:rPr>
        <w:t>常年平均风速</w:t>
      </w:r>
      <w:r w:rsidRPr="00B6229E">
        <w:rPr>
          <w:lang w:val="es-MX"/>
        </w:rPr>
        <w:tab/>
        <w:t xml:space="preserve">            </w:t>
      </w:r>
      <w:r>
        <w:rPr>
          <w:lang w:val="es-MX"/>
        </w:rPr>
        <w:t xml:space="preserve">      </w:t>
      </w:r>
      <w:r w:rsidRPr="00B6229E">
        <w:rPr>
          <w:lang w:val="es-MX"/>
        </w:rPr>
        <w:t>2.7m/s</w:t>
      </w:r>
    </w:p>
    <w:p w:rsidR="00F95F9B" w:rsidRPr="00B6229E" w:rsidRDefault="00000000">
      <w:pPr>
        <w:widowControl w:val="0"/>
        <w:adjustRightInd w:val="0"/>
        <w:snapToGrid w:val="0"/>
        <w:ind w:firstLine="470"/>
        <w:rPr>
          <w:lang w:val="es-MX"/>
        </w:rPr>
      </w:pPr>
      <w:r>
        <w:rPr>
          <w:lang w:val="zh-CN"/>
        </w:rPr>
        <w:t>夏季平均风速</w:t>
      </w:r>
      <w:r w:rsidRPr="00B6229E">
        <w:rPr>
          <w:lang w:val="es-MX"/>
        </w:rPr>
        <w:tab/>
        <w:t xml:space="preserve">            </w:t>
      </w:r>
      <w:r>
        <w:rPr>
          <w:lang w:val="es-MX"/>
        </w:rPr>
        <w:t xml:space="preserve">      </w:t>
      </w:r>
      <w:r w:rsidRPr="00B6229E">
        <w:rPr>
          <w:lang w:val="es-MX"/>
        </w:rPr>
        <w:t>3.39m/s</w:t>
      </w:r>
    </w:p>
    <w:p w:rsidR="00F95F9B" w:rsidRPr="00B6229E" w:rsidRDefault="00000000">
      <w:pPr>
        <w:widowControl w:val="0"/>
        <w:adjustRightInd w:val="0"/>
        <w:snapToGrid w:val="0"/>
        <w:ind w:firstLine="470"/>
        <w:rPr>
          <w:lang w:val="es-MX"/>
        </w:rPr>
      </w:pPr>
      <w:r>
        <w:rPr>
          <w:lang w:val="zh-CN"/>
        </w:rPr>
        <w:t>冬季平均风速</w:t>
      </w:r>
      <w:r w:rsidRPr="00B6229E">
        <w:rPr>
          <w:lang w:val="es-MX"/>
        </w:rPr>
        <w:tab/>
        <w:t xml:space="preserve">            </w:t>
      </w:r>
      <w:r>
        <w:rPr>
          <w:lang w:val="es-MX"/>
        </w:rPr>
        <w:t xml:space="preserve">      </w:t>
      </w:r>
      <w:r w:rsidRPr="00B6229E">
        <w:rPr>
          <w:lang w:val="es-MX"/>
        </w:rPr>
        <w:t>3.47m/s</w:t>
      </w:r>
    </w:p>
    <w:p w:rsidR="00F95F9B" w:rsidRPr="00B6229E" w:rsidRDefault="00000000">
      <w:pPr>
        <w:widowControl w:val="0"/>
        <w:adjustRightInd w:val="0"/>
        <w:snapToGrid w:val="0"/>
        <w:ind w:firstLine="470"/>
        <w:rPr>
          <w:lang w:val="es-MX"/>
        </w:rPr>
      </w:pPr>
      <w:r>
        <w:rPr>
          <w:lang w:val="zh-CN"/>
        </w:rPr>
        <w:t>常年主导风向</w:t>
      </w:r>
      <w:r w:rsidRPr="00B6229E">
        <w:rPr>
          <w:lang w:val="es-MX"/>
        </w:rPr>
        <w:tab/>
        <w:t xml:space="preserve">            </w:t>
      </w:r>
      <w:r>
        <w:rPr>
          <w:lang w:val="es-MX"/>
        </w:rPr>
        <w:t xml:space="preserve">      </w:t>
      </w:r>
      <w:r>
        <w:rPr>
          <w:lang w:val="zh-CN"/>
        </w:rPr>
        <w:t>西偏南</w:t>
      </w:r>
      <w:r w:rsidRPr="00B6229E">
        <w:rPr>
          <w:lang w:val="es-MX"/>
        </w:rPr>
        <w:t>（</w:t>
      </w:r>
      <w:r w:rsidRPr="00B6229E">
        <w:rPr>
          <w:lang w:val="es-MX"/>
        </w:rPr>
        <w:t>SSW</w:t>
      </w:r>
      <w:r w:rsidRPr="00B6229E">
        <w:rPr>
          <w:lang w:val="es-MX"/>
        </w:rPr>
        <w:t>）</w:t>
      </w:r>
    </w:p>
    <w:p w:rsidR="00F95F9B" w:rsidRDefault="00000000">
      <w:pPr>
        <w:widowControl w:val="0"/>
        <w:adjustRightInd w:val="0"/>
        <w:snapToGrid w:val="0"/>
        <w:ind w:firstLine="470"/>
        <w:rPr>
          <w:lang w:val="zh-CN"/>
        </w:rPr>
      </w:pPr>
      <w:r>
        <w:rPr>
          <w:lang w:val="zh-CN"/>
        </w:rPr>
        <w:t>全年最小频率风向</w:t>
      </w:r>
      <w:r>
        <w:rPr>
          <w:lang w:val="zh-CN"/>
        </w:rPr>
        <w:tab/>
        <w:t xml:space="preserve">        </w:t>
      </w:r>
      <w:r>
        <w:rPr>
          <w:lang w:val="es-MX"/>
        </w:rPr>
        <w:t xml:space="preserve">      </w:t>
      </w:r>
      <w:r>
        <w:rPr>
          <w:lang w:val="zh-CN"/>
        </w:rPr>
        <w:t>南偏东（</w:t>
      </w:r>
      <w:r>
        <w:rPr>
          <w:lang w:val="zh-CN"/>
        </w:rPr>
        <w:t>SSE</w:t>
      </w:r>
      <w:r>
        <w:rPr>
          <w:lang w:val="zh-CN"/>
        </w:rPr>
        <w:t>）</w:t>
      </w:r>
    </w:p>
    <w:p w:rsidR="00F95F9B" w:rsidRDefault="00000000">
      <w:pPr>
        <w:widowControl w:val="0"/>
        <w:adjustRightInd w:val="0"/>
        <w:snapToGrid w:val="0"/>
        <w:ind w:firstLine="470"/>
        <w:rPr>
          <w:lang w:val="zh-CN"/>
        </w:rPr>
      </w:pPr>
      <w:r>
        <w:rPr>
          <w:lang w:val="zh-CN"/>
        </w:rPr>
        <w:t>夏季主导风向</w:t>
      </w:r>
      <w:r>
        <w:rPr>
          <w:lang w:val="zh-CN"/>
        </w:rPr>
        <w:tab/>
        <w:t xml:space="preserve">            </w:t>
      </w:r>
      <w:r>
        <w:rPr>
          <w:lang w:val="es-MX"/>
        </w:rPr>
        <w:t xml:space="preserve">      </w:t>
      </w:r>
      <w:r>
        <w:rPr>
          <w:lang w:val="zh-CN"/>
        </w:rPr>
        <w:t>南偏西（</w:t>
      </w:r>
      <w:r>
        <w:rPr>
          <w:lang w:val="zh-CN"/>
        </w:rPr>
        <w:t>SSW</w:t>
      </w:r>
      <w:r>
        <w:rPr>
          <w:lang w:val="zh-CN"/>
        </w:rPr>
        <w:t>）</w:t>
      </w:r>
    </w:p>
    <w:p w:rsidR="00F95F9B" w:rsidRDefault="00000000">
      <w:pPr>
        <w:widowControl w:val="0"/>
        <w:adjustRightInd w:val="0"/>
        <w:snapToGrid w:val="0"/>
        <w:ind w:firstLine="470"/>
        <w:rPr>
          <w:lang w:val="zh-CN"/>
        </w:rPr>
      </w:pPr>
      <w:r>
        <w:rPr>
          <w:lang w:val="zh-CN"/>
        </w:rPr>
        <w:t>夏季最小频率风向</w:t>
      </w:r>
      <w:r>
        <w:rPr>
          <w:lang w:val="zh-CN"/>
        </w:rPr>
        <w:tab/>
        <w:t xml:space="preserve">        </w:t>
      </w:r>
      <w:r>
        <w:rPr>
          <w:lang w:val="es-MX"/>
        </w:rPr>
        <w:t xml:space="preserve">      </w:t>
      </w:r>
      <w:r>
        <w:rPr>
          <w:lang w:val="zh-CN"/>
        </w:rPr>
        <w:t>东偏南（</w:t>
      </w:r>
      <w:r>
        <w:rPr>
          <w:lang w:val="zh-CN"/>
        </w:rPr>
        <w:t>ESE</w:t>
      </w:r>
      <w:r>
        <w:rPr>
          <w:lang w:val="zh-CN"/>
        </w:rPr>
        <w:t>）</w:t>
      </w:r>
    </w:p>
    <w:p w:rsidR="00F95F9B" w:rsidRDefault="00000000">
      <w:pPr>
        <w:widowControl w:val="0"/>
        <w:adjustRightInd w:val="0"/>
        <w:snapToGrid w:val="0"/>
        <w:ind w:firstLineChars="0" w:firstLine="0"/>
        <w:jc w:val="center"/>
        <w:rPr>
          <w:lang w:val="zh-CN"/>
        </w:rPr>
      </w:pPr>
      <w:r>
        <w:rPr>
          <w:noProof/>
          <w:lang w:val="zh-CN"/>
        </w:rPr>
        <w:lastRenderedPageBreak/>
        <w:drawing>
          <wp:inline distT="0" distB="0" distL="0" distR="0">
            <wp:extent cx="4593590" cy="2315845"/>
            <wp:effectExtent l="0" t="0" r="8890" b="635"/>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pic:cNvPicPr>
                      <a:picLocks noChangeAspect="1" noChangeArrowheads="1"/>
                    </pic:cNvPicPr>
                  </pic:nvPicPr>
                  <pic:blipFill>
                    <a:blip r:embed="rId49">
                      <a:extLst>
                        <a:ext uri="{28A0092B-C50C-407E-A947-70E740481C1C}">
                          <a14:useLocalDpi xmlns:a14="http://schemas.microsoft.com/office/drawing/2010/main" val="0"/>
                        </a:ext>
                      </a:extLst>
                    </a:blip>
                    <a:srcRect t="3820" b="4067"/>
                    <a:stretch>
                      <a:fillRect/>
                    </a:stretch>
                  </pic:blipFill>
                  <pic:spPr>
                    <a:xfrm>
                      <a:off x="0" y="0"/>
                      <a:ext cx="4630041" cy="2315845"/>
                    </a:xfrm>
                    <a:prstGeom prst="rect">
                      <a:avLst/>
                    </a:prstGeom>
                    <a:noFill/>
                    <a:ln>
                      <a:noFill/>
                    </a:ln>
                  </pic:spPr>
                </pic:pic>
              </a:graphicData>
            </a:graphic>
          </wp:inline>
        </w:drawing>
      </w:r>
    </w:p>
    <w:p w:rsidR="00F95F9B" w:rsidRDefault="00000000">
      <w:pPr>
        <w:widowControl w:val="0"/>
        <w:adjustRightInd w:val="0"/>
        <w:snapToGrid w:val="0"/>
        <w:ind w:firstLineChars="0" w:firstLine="0"/>
        <w:jc w:val="center"/>
        <w:rPr>
          <w:rFonts w:eastAsia="黑体"/>
          <w:sz w:val="21"/>
          <w:szCs w:val="20"/>
        </w:rPr>
      </w:pPr>
      <w:r>
        <w:rPr>
          <w:rFonts w:eastAsia="黑体" w:hint="eastAsia"/>
          <w:sz w:val="21"/>
          <w:szCs w:val="20"/>
        </w:rPr>
        <w:t>图</w:t>
      </w:r>
      <w:r>
        <w:rPr>
          <w:rFonts w:eastAsia="黑体" w:hint="eastAsia"/>
          <w:sz w:val="21"/>
          <w:szCs w:val="20"/>
        </w:rPr>
        <w:t xml:space="preserve">2.1-3  </w:t>
      </w:r>
      <w:r>
        <w:rPr>
          <w:rFonts w:eastAsia="黑体" w:hint="eastAsia"/>
          <w:sz w:val="21"/>
          <w:szCs w:val="20"/>
        </w:rPr>
        <w:t>济南地区夏季及全年风频玫瑰图</w:t>
      </w:r>
    </w:p>
    <w:p w:rsidR="00F95F9B" w:rsidRDefault="00000000">
      <w:pPr>
        <w:widowControl w:val="0"/>
        <w:numPr>
          <w:ilvl w:val="0"/>
          <w:numId w:val="14"/>
        </w:numPr>
        <w:adjustRightInd w:val="0"/>
        <w:snapToGrid w:val="0"/>
        <w:ind w:firstLine="470"/>
        <w:rPr>
          <w:lang w:val="zh-CN"/>
        </w:rPr>
      </w:pPr>
      <w:r>
        <w:rPr>
          <w:lang w:val="zh-CN"/>
        </w:rPr>
        <w:t>德州市</w:t>
      </w:r>
    </w:p>
    <w:p w:rsidR="00F95F9B" w:rsidRDefault="00000000">
      <w:pPr>
        <w:pStyle w:val="Default"/>
        <w:snapToGrid w:val="0"/>
        <w:spacing w:line="360" w:lineRule="auto"/>
        <w:ind w:firstLineChars="200" w:firstLine="470"/>
        <w:rPr>
          <w:rFonts w:ascii="Times New Roman" w:eastAsia="宋体" w:cs="Times New Roman"/>
          <w:color w:val="auto"/>
          <w:kern w:val="2"/>
          <w:szCs w:val="21"/>
        </w:rPr>
      </w:pPr>
      <w:r>
        <w:rPr>
          <w:rFonts w:ascii="Times New Roman" w:eastAsia="宋体" w:cs="Times New Roman" w:hint="eastAsia"/>
          <w:color w:val="auto"/>
          <w:kern w:val="2"/>
          <w:szCs w:val="21"/>
        </w:rPr>
        <w:t>1.</w:t>
      </w:r>
      <w:r>
        <w:rPr>
          <w:rFonts w:ascii="Times New Roman" w:eastAsia="宋体" w:cs="Times New Roman" w:hint="eastAsia"/>
          <w:color w:val="auto"/>
          <w:kern w:val="2"/>
          <w:szCs w:val="21"/>
        </w:rPr>
        <w:t>气候特征</w:t>
      </w:r>
    </w:p>
    <w:p w:rsidR="00F95F9B" w:rsidRDefault="00000000">
      <w:pPr>
        <w:widowControl w:val="0"/>
        <w:adjustRightInd w:val="0"/>
        <w:snapToGrid w:val="0"/>
        <w:ind w:firstLine="470"/>
      </w:pPr>
      <w:r>
        <w:rPr>
          <w:rFonts w:hint="eastAsia"/>
        </w:rPr>
        <w:t>德州市基本气候特点是季风影响显著，四季分明、冷热干湿界限明显，春季干旱多风回暖快，夏季炎热多雨，秋季凉爽多晴天，冬季寒冷少雪多干燥，具有显著的大陆性气候特征。光照资源丰富。日照时数长，光照强度大；年平均日照时数</w:t>
      </w:r>
      <w:r>
        <w:rPr>
          <w:rFonts w:hint="eastAsia"/>
        </w:rPr>
        <w:t>2592</w:t>
      </w:r>
      <w:r>
        <w:rPr>
          <w:rFonts w:hint="eastAsia"/>
        </w:rPr>
        <w:t>小时，日照率为</w:t>
      </w:r>
      <w:r>
        <w:rPr>
          <w:rFonts w:hint="eastAsia"/>
        </w:rPr>
        <w:t>60%</w:t>
      </w:r>
      <w:r>
        <w:rPr>
          <w:rFonts w:hint="eastAsia"/>
        </w:rPr>
        <w:t>。</w:t>
      </w:r>
    </w:p>
    <w:p w:rsidR="00F95F9B" w:rsidRDefault="00000000">
      <w:pPr>
        <w:pStyle w:val="Default"/>
        <w:snapToGrid w:val="0"/>
        <w:spacing w:line="360" w:lineRule="auto"/>
        <w:ind w:firstLineChars="200" w:firstLine="470"/>
        <w:rPr>
          <w:rFonts w:ascii="Times New Roman" w:eastAsia="宋体" w:cs="Times New Roman"/>
          <w:color w:val="auto"/>
          <w:kern w:val="2"/>
          <w:szCs w:val="21"/>
        </w:rPr>
      </w:pPr>
      <w:r>
        <w:rPr>
          <w:rFonts w:ascii="Times New Roman" w:eastAsia="宋体" w:cs="Times New Roman" w:hint="eastAsia"/>
          <w:color w:val="auto"/>
          <w:kern w:val="2"/>
          <w:szCs w:val="21"/>
        </w:rPr>
        <w:t>2.</w:t>
      </w:r>
      <w:r>
        <w:rPr>
          <w:rFonts w:ascii="Times New Roman" w:eastAsia="宋体" w:cs="Times New Roman" w:hint="eastAsia"/>
          <w:color w:val="auto"/>
          <w:kern w:val="2"/>
          <w:szCs w:val="21"/>
        </w:rPr>
        <w:t>气温</w:t>
      </w:r>
      <w:r>
        <w:rPr>
          <w:rFonts w:ascii="Times New Roman" w:eastAsia="宋体" w:cs="Times New Roman" w:hint="eastAsia"/>
          <w:color w:val="auto"/>
          <w:kern w:val="2"/>
          <w:szCs w:val="21"/>
        </w:rPr>
        <w:t xml:space="preserve"> </w:t>
      </w:r>
    </w:p>
    <w:p w:rsidR="00F95F9B" w:rsidRDefault="00000000">
      <w:pPr>
        <w:pStyle w:val="Default"/>
        <w:snapToGrid w:val="0"/>
        <w:spacing w:line="360" w:lineRule="auto"/>
        <w:ind w:firstLineChars="200" w:firstLine="470"/>
        <w:rPr>
          <w:rFonts w:ascii="Times New Roman" w:eastAsia="宋体" w:cs="Times New Roman"/>
          <w:color w:val="auto"/>
          <w:kern w:val="2"/>
          <w:szCs w:val="21"/>
        </w:rPr>
      </w:pPr>
      <w:r>
        <w:rPr>
          <w:rFonts w:ascii="Times New Roman" w:eastAsia="宋体" w:cs="Times New Roman" w:hint="eastAsia"/>
          <w:color w:val="auto"/>
          <w:kern w:val="2"/>
          <w:szCs w:val="21"/>
        </w:rPr>
        <w:t>德州市年平均气温</w:t>
      </w:r>
      <w:r>
        <w:rPr>
          <w:rFonts w:ascii="Times New Roman" w:eastAsia="宋体" w:cs="Times New Roman" w:hint="eastAsia"/>
          <w:color w:val="auto"/>
          <w:kern w:val="2"/>
          <w:szCs w:val="21"/>
        </w:rPr>
        <w:t>12.9</w:t>
      </w:r>
      <w:r>
        <w:rPr>
          <w:rFonts w:ascii="Times New Roman" w:eastAsia="宋体" w:cs="Times New Roman" w:hint="eastAsia"/>
          <w:color w:val="auto"/>
          <w:kern w:val="2"/>
          <w:szCs w:val="21"/>
        </w:rPr>
        <w:t>℃。极端最高气温</w:t>
      </w:r>
      <w:r>
        <w:rPr>
          <w:rFonts w:ascii="Times New Roman" w:eastAsia="宋体" w:cs="Times New Roman" w:hint="eastAsia"/>
          <w:color w:val="auto"/>
          <w:kern w:val="2"/>
          <w:szCs w:val="21"/>
        </w:rPr>
        <w:t>43.4</w:t>
      </w:r>
      <w:r>
        <w:rPr>
          <w:rFonts w:ascii="Times New Roman" w:eastAsia="宋体" w:cs="Times New Roman" w:hint="eastAsia"/>
          <w:color w:val="auto"/>
          <w:kern w:val="2"/>
          <w:szCs w:val="21"/>
        </w:rPr>
        <w:t>℃（</w:t>
      </w:r>
      <w:r>
        <w:rPr>
          <w:rFonts w:ascii="Times New Roman" w:eastAsia="宋体" w:cs="Times New Roman" w:hint="eastAsia"/>
          <w:color w:val="auto"/>
          <w:kern w:val="2"/>
          <w:szCs w:val="21"/>
        </w:rPr>
        <w:t>1955</w:t>
      </w:r>
      <w:r>
        <w:rPr>
          <w:rFonts w:ascii="Times New Roman" w:eastAsia="宋体" w:cs="Times New Roman" w:hint="eastAsia"/>
          <w:color w:val="auto"/>
          <w:kern w:val="2"/>
          <w:szCs w:val="21"/>
        </w:rPr>
        <w:t>年</w:t>
      </w:r>
      <w:r>
        <w:rPr>
          <w:rFonts w:ascii="Times New Roman" w:eastAsia="宋体" w:cs="Times New Roman" w:hint="eastAsia"/>
          <w:color w:val="auto"/>
          <w:kern w:val="2"/>
          <w:szCs w:val="21"/>
        </w:rPr>
        <w:t>7</w:t>
      </w:r>
      <w:r>
        <w:rPr>
          <w:rFonts w:ascii="Times New Roman" w:eastAsia="宋体" w:cs="Times New Roman" w:hint="eastAsia"/>
          <w:color w:val="auto"/>
          <w:kern w:val="2"/>
          <w:szCs w:val="21"/>
        </w:rPr>
        <w:t>月</w:t>
      </w:r>
      <w:r>
        <w:rPr>
          <w:rFonts w:ascii="Times New Roman" w:eastAsia="宋体" w:cs="Times New Roman" w:hint="eastAsia"/>
          <w:color w:val="auto"/>
          <w:kern w:val="2"/>
          <w:szCs w:val="21"/>
        </w:rPr>
        <w:t>23</w:t>
      </w:r>
      <w:r>
        <w:rPr>
          <w:rFonts w:ascii="Times New Roman" w:eastAsia="宋体" w:cs="Times New Roman" w:hint="eastAsia"/>
          <w:color w:val="auto"/>
          <w:kern w:val="2"/>
          <w:szCs w:val="21"/>
        </w:rPr>
        <w:t>日德城区），极端最低气温</w:t>
      </w:r>
      <w:r>
        <w:rPr>
          <w:rFonts w:ascii="Times New Roman" w:eastAsia="宋体" w:cs="Times New Roman" w:hint="eastAsia"/>
          <w:color w:val="auto"/>
          <w:kern w:val="2"/>
          <w:szCs w:val="21"/>
        </w:rPr>
        <w:t>-27</w:t>
      </w:r>
      <w:r>
        <w:rPr>
          <w:rFonts w:ascii="Times New Roman" w:eastAsia="宋体" w:cs="Times New Roman" w:hint="eastAsia"/>
          <w:color w:val="auto"/>
          <w:kern w:val="2"/>
          <w:szCs w:val="21"/>
        </w:rPr>
        <w:t>℃（</w:t>
      </w:r>
      <w:r>
        <w:rPr>
          <w:rFonts w:ascii="Times New Roman" w:eastAsia="宋体" w:cs="Times New Roman" w:hint="eastAsia"/>
          <w:color w:val="auto"/>
          <w:kern w:val="2"/>
          <w:szCs w:val="21"/>
        </w:rPr>
        <w:t>1958</w:t>
      </w:r>
      <w:r>
        <w:rPr>
          <w:rFonts w:ascii="Times New Roman" w:eastAsia="宋体" w:cs="Times New Roman" w:hint="eastAsia"/>
          <w:color w:val="auto"/>
          <w:kern w:val="2"/>
          <w:szCs w:val="21"/>
        </w:rPr>
        <w:t>年</w:t>
      </w:r>
      <w:r>
        <w:rPr>
          <w:rFonts w:ascii="Times New Roman" w:eastAsia="宋体" w:cs="Times New Roman" w:hint="eastAsia"/>
          <w:color w:val="auto"/>
          <w:kern w:val="2"/>
          <w:szCs w:val="21"/>
        </w:rPr>
        <w:t>1</w:t>
      </w:r>
      <w:r>
        <w:rPr>
          <w:rFonts w:ascii="Times New Roman" w:eastAsia="宋体" w:cs="Times New Roman" w:hint="eastAsia"/>
          <w:color w:val="auto"/>
          <w:kern w:val="2"/>
          <w:szCs w:val="21"/>
        </w:rPr>
        <w:t>月</w:t>
      </w:r>
      <w:r>
        <w:rPr>
          <w:rFonts w:ascii="Times New Roman" w:eastAsia="宋体" w:cs="Times New Roman" w:hint="eastAsia"/>
          <w:color w:val="auto"/>
          <w:kern w:val="2"/>
          <w:szCs w:val="21"/>
        </w:rPr>
        <w:t>15</w:t>
      </w:r>
      <w:r>
        <w:rPr>
          <w:rFonts w:ascii="Times New Roman" w:eastAsia="宋体" w:cs="Times New Roman" w:hint="eastAsia"/>
          <w:color w:val="auto"/>
          <w:kern w:val="2"/>
          <w:szCs w:val="21"/>
        </w:rPr>
        <w:t>日德城区）。</w:t>
      </w:r>
    </w:p>
    <w:p w:rsidR="00F95F9B" w:rsidRDefault="00000000">
      <w:pPr>
        <w:pStyle w:val="Default"/>
        <w:snapToGrid w:val="0"/>
        <w:spacing w:line="360" w:lineRule="auto"/>
        <w:ind w:firstLineChars="200" w:firstLine="470"/>
        <w:rPr>
          <w:rFonts w:ascii="Times New Roman" w:eastAsia="宋体" w:cs="Times New Roman"/>
          <w:color w:val="auto"/>
          <w:kern w:val="2"/>
          <w:szCs w:val="21"/>
        </w:rPr>
      </w:pPr>
      <w:r>
        <w:rPr>
          <w:rFonts w:ascii="Times New Roman" w:eastAsia="宋体" w:cs="Times New Roman" w:hint="eastAsia"/>
          <w:color w:val="auto"/>
          <w:kern w:val="2"/>
          <w:szCs w:val="21"/>
        </w:rPr>
        <w:t>3.</w:t>
      </w:r>
      <w:r>
        <w:rPr>
          <w:rFonts w:ascii="Times New Roman" w:eastAsia="宋体" w:cs="Times New Roman" w:hint="eastAsia"/>
          <w:color w:val="auto"/>
          <w:kern w:val="2"/>
          <w:szCs w:val="21"/>
        </w:rPr>
        <w:t>降雨</w:t>
      </w:r>
    </w:p>
    <w:p w:rsidR="00F95F9B" w:rsidRDefault="00000000">
      <w:pPr>
        <w:pStyle w:val="Default"/>
        <w:snapToGrid w:val="0"/>
        <w:spacing w:line="360" w:lineRule="auto"/>
        <w:ind w:firstLineChars="200" w:firstLine="470"/>
        <w:rPr>
          <w:rFonts w:ascii="Times New Roman" w:eastAsia="宋体" w:cs="Times New Roman"/>
          <w:color w:val="auto"/>
          <w:kern w:val="2"/>
          <w:szCs w:val="21"/>
        </w:rPr>
      </w:pPr>
      <w:r>
        <w:rPr>
          <w:rFonts w:ascii="Times New Roman" w:eastAsia="宋体" w:cs="Times New Roman" w:hint="eastAsia"/>
          <w:color w:val="auto"/>
          <w:kern w:val="2"/>
          <w:szCs w:val="21"/>
        </w:rPr>
        <w:t>德州市平均无霜期长达</w:t>
      </w:r>
      <w:r>
        <w:rPr>
          <w:rFonts w:ascii="Times New Roman" w:eastAsia="宋体" w:cs="Times New Roman" w:hint="eastAsia"/>
          <w:color w:val="auto"/>
          <w:kern w:val="2"/>
          <w:szCs w:val="21"/>
        </w:rPr>
        <w:t>208</w:t>
      </w:r>
      <w:r>
        <w:rPr>
          <w:rFonts w:ascii="Times New Roman" w:eastAsia="宋体" w:cs="Times New Roman" w:hint="eastAsia"/>
          <w:color w:val="auto"/>
          <w:kern w:val="2"/>
          <w:szCs w:val="21"/>
        </w:rPr>
        <w:t>天。年内降水偏少且过分集中，降水主要集中在夏季。全市年平均降水量</w:t>
      </w:r>
      <w:r>
        <w:rPr>
          <w:rFonts w:ascii="Times New Roman" w:eastAsia="宋体" w:cs="Times New Roman" w:hint="eastAsia"/>
          <w:color w:val="auto"/>
          <w:kern w:val="2"/>
          <w:szCs w:val="21"/>
        </w:rPr>
        <w:t xml:space="preserve"> 535.87mm</w:t>
      </w:r>
      <w:r>
        <w:rPr>
          <w:rFonts w:ascii="Times New Roman" w:eastAsia="宋体" w:cs="Times New Roman" w:hint="eastAsia"/>
          <w:color w:val="auto"/>
          <w:kern w:val="2"/>
          <w:szCs w:val="21"/>
        </w:rPr>
        <w:t>。</w:t>
      </w:r>
    </w:p>
    <w:p w:rsidR="00F95F9B" w:rsidRDefault="00000000">
      <w:pPr>
        <w:widowControl w:val="0"/>
        <w:adjustRightInd w:val="0"/>
        <w:snapToGrid w:val="0"/>
        <w:ind w:firstLine="470"/>
      </w:pPr>
      <w:r>
        <w:rPr>
          <w:rFonts w:hint="eastAsia"/>
        </w:rPr>
        <w:t>4.</w:t>
      </w:r>
      <w:r>
        <w:rPr>
          <w:rFonts w:hint="eastAsia"/>
        </w:rPr>
        <w:t>风况</w:t>
      </w:r>
    </w:p>
    <w:p w:rsidR="00F95F9B" w:rsidRDefault="00000000">
      <w:pPr>
        <w:widowControl w:val="0"/>
        <w:adjustRightInd w:val="0"/>
        <w:snapToGrid w:val="0"/>
        <w:ind w:firstLine="470"/>
      </w:pPr>
      <w:r>
        <w:rPr>
          <w:rFonts w:hint="eastAsia"/>
        </w:rPr>
        <w:t>常年平均风速</w:t>
      </w:r>
      <w:r>
        <w:rPr>
          <w:rFonts w:hint="eastAsia"/>
        </w:rPr>
        <w:tab/>
        <w:t xml:space="preserve">            3.2m/s</w:t>
      </w:r>
    </w:p>
    <w:p w:rsidR="00F95F9B" w:rsidRDefault="00000000">
      <w:pPr>
        <w:widowControl w:val="0"/>
        <w:adjustRightInd w:val="0"/>
        <w:snapToGrid w:val="0"/>
        <w:ind w:firstLine="470"/>
      </w:pPr>
      <w:r>
        <w:rPr>
          <w:rFonts w:hint="eastAsia"/>
        </w:rPr>
        <w:t>常年主导风向</w:t>
      </w:r>
      <w:r>
        <w:rPr>
          <w:rFonts w:hint="eastAsia"/>
        </w:rPr>
        <w:tab/>
        <w:t xml:space="preserve">            </w:t>
      </w:r>
      <w:r>
        <w:rPr>
          <w:rFonts w:hint="eastAsia"/>
        </w:rPr>
        <w:t>南偏西（</w:t>
      </w:r>
      <w:r>
        <w:rPr>
          <w:rFonts w:hint="eastAsia"/>
        </w:rPr>
        <w:t>SSW</w:t>
      </w:r>
      <w:r>
        <w:rPr>
          <w:rFonts w:hint="eastAsia"/>
        </w:rPr>
        <w:t>）</w:t>
      </w:r>
    </w:p>
    <w:p w:rsidR="00F95F9B" w:rsidRDefault="00000000">
      <w:pPr>
        <w:widowControl w:val="0"/>
        <w:adjustRightInd w:val="0"/>
        <w:snapToGrid w:val="0"/>
        <w:ind w:firstLine="470"/>
      </w:pPr>
      <w:r>
        <w:rPr>
          <w:rFonts w:hint="eastAsia"/>
        </w:rPr>
        <w:t>全年最小频率风向</w:t>
      </w:r>
      <w:r>
        <w:rPr>
          <w:rFonts w:hint="eastAsia"/>
        </w:rPr>
        <w:tab/>
        <w:t xml:space="preserve">         </w:t>
      </w:r>
      <w:r>
        <w:rPr>
          <w:rFonts w:hint="eastAsia"/>
        </w:rPr>
        <w:t>西（</w:t>
      </w:r>
      <w:r>
        <w:rPr>
          <w:rFonts w:hint="eastAsia"/>
        </w:rPr>
        <w:t>W</w:t>
      </w:r>
      <w:r>
        <w:rPr>
          <w:rFonts w:hint="eastAsia"/>
        </w:rPr>
        <w:t>）</w:t>
      </w:r>
    </w:p>
    <w:p w:rsidR="00F95F9B" w:rsidRDefault="00000000">
      <w:pPr>
        <w:widowControl w:val="0"/>
        <w:adjustRightInd w:val="0"/>
        <w:snapToGrid w:val="0"/>
        <w:ind w:firstLine="470"/>
      </w:pPr>
      <w:r>
        <w:rPr>
          <w:rFonts w:hint="eastAsia"/>
        </w:rPr>
        <w:t>夏季主导风向</w:t>
      </w:r>
      <w:r>
        <w:rPr>
          <w:rFonts w:hint="eastAsia"/>
        </w:rPr>
        <w:tab/>
        <w:t xml:space="preserve">            </w:t>
      </w:r>
      <w:r>
        <w:rPr>
          <w:rFonts w:hint="eastAsia"/>
        </w:rPr>
        <w:t>南偏西（</w:t>
      </w:r>
      <w:r>
        <w:rPr>
          <w:rFonts w:hint="eastAsia"/>
        </w:rPr>
        <w:t>SSW</w:t>
      </w:r>
      <w:r>
        <w:rPr>
          <w:rFonts w:hint="eastAsia"/>
        </w:rPr>
        <w:t>）</w:t>
      </w:r>
    </w:p>
    <w:p w:rsidR="00F95F9B" w:rsidRDefault="00000000">
      <w:pPr>
        <w:widowControl w:val="0"/>
        <w:adjustRightInd w:val="0"/>
        <w:snapToGrid w:val="0"/>
        <w:ind w:firstLine="470"/>
      </w:pPr>
      <w:r>
        <w:rPr>
          <w:rFonts w:hint="eastAsia"/>
        </w:rPr>
        <w:t>夏季最小频率风向</w:t>
      </w:r>
      <w:r>
        <w:rPr>
          <w:rFonts w:hint="eastAsia"/>
        </w:rPr>
        <w:tab/>
        <w:t xml:space="preserve">         </w:t>
      </w:r>
      <w:r>
        <w:rPr>
          <w:rFonts w:hint="eastAsia"/>
        </w:rPr>
        <w:t>西偏北（</w:t>
      </w:r>
      <w:r>
        <w:rPr>
          <w:rFonts w:hint="eastAsia"/>
        </w:rPr>
        <w:t>WNW</w:t>
      </w:r>
      <w:r>
        <w:rPr>
          <w:rFonts w:hint="eastAsia"/>
        </w:rPr>
        <w:t>）</w:t>
      </w:r>
    </w:p>
    <w:p w:rsidR="00F95F9B" w:rsidRDefault="00000000">
      <w:pPr>
        <w:pStyle w:val="af9"/>
        <w:ind w:firstLineChars="0" w:firstLine="0"/>
        <w:jc w:val="center"/>
        <w:rPr>
          <w:rFonts w:eastAsia="黑体"/>
          <w:sz w:val="21"/>
          <w:szCs w:val="20"/>
        </w:rPr>
      </w:pPr>
      <w:r>
        <w:rPr>
          <w:rFonts w:eastAsia="仿宋_GB2312"/>
          <w:b/>
          <w:noProof/>
          <w:sz w:val="28"/>
          <w:szCs w:val="28"/>
        </w:rPr>
        <w:lastRenderedPageBreak/>
        <w:drawing>
          <wp:anchor distT="0" distB="0" distL="0" distR="0" simplePos="0" relativeHeight="251669504" behindDoc="0" locked="0" layoutInCell="1" allowOverlap="1">
            <wp:simplePos x="0" y="0"/>
            <wp:positionH relativeFrom="column">
              <wp:posOffset>563880</wp:posOffset>
            </wp:positionH>
            <wp:positionV relativeFrom="page">
              <wp:posOffset>4179570</wp:posOffset>
            </wp:positionV>
            <wp:extent cx="4597400" cy="2439670"/>
            <wp:effectExtent l="0" t="0" r="5080" b="13970"/>
            <wp:wrapTopAndBottom/>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referRelativeResize="0">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4598323" cy="2439670"/>
                    </a:xfrm>
                    <a:prstGeom prst="rect">
                      <a:avLst/>
                    </a:prstGeom>
                    <a:noFill/>
                  </pic:spPr>
                </pic:pic>
              </a:graphicData>
            </a:graphic>
          </wp:anchor>
        </w:drawing>
      </w:r>
      <w:r>
        <w:rPr>
          <w:rFonts w:eastAsia="黑体" w:hint="eastAsia"/>
          <w:sz w:val="21"/>
          <w:szCs w:val="20"/>
        </w:rPr>
        <w:t>图</w:t>
      </w:r>
      <w:r>
        <w:rPr>
          <w:rFonts w:eastAsia="黑体"/>
          <w:sz w:val="21"/>
          <w:szCs w:val="20"/>
        </w:rPr>
        <w:t>2.1-</w:t>
      </w:r>
      <w:r>
        <w:rPr>
          <w:sz w:val="21"/>
          <w:szCs w:val="20"/>
        </w:rPr>
        <w:t>4</w:t>
      </w:r>
      <w:r>
        <w:rPr>
          <w:rFonts w:eastAsia="黑体"/>
          <w:sz w:val="21"/>
          <w:szCs w:val="20"/>
        </w:rPr>
        <w:t xml:space="preserve"> </w:t>
      </w:r>
      <w:r>
        <w:rPr>
          <w:rFonts w:eastAsia="黑体" w:hint="eastAsia"/>
          <w:sz w:val="21"/>
          <w:szCs w:val="20"/>
        </w:rPr>
        <w:t xml:space="preserve"> </w:t>
      </w:r>
      <w:r>
        <w:rPr>
          <w:rFonts w:eastAsia="黑体" w:hint="eastAsia"/>
          <w:sz w:val="21"/>
          <w:szCs w:val="20"/>
        </w:rPr>
        <w:t>德州地区夏季及全年风频玫瑰图</w:t>
      </w:r>
    </w:p>
    <w:p w:rsidR="00F95F9B" w:rsidRDefault="00000000">
      <w:pPr>
        <w:widowControl w:val="0"/>
        <w:numPr>
          <w:ilvl w:val="0"/>
          <w:numId w:val="14"/>
        </w:numPr>
        <w:adjustRightInd w:val="0"/>
        <w:snapToGrid w:val="0"/>
        <w:ind w:firstLine="470"/>
      </w:pPr>
      <w:r>
        <w:rPr>
          <w:rFonts w:hint="eastAsia"/>
        </w:rPr>
        <w:t>滨州市</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1</w:t>
      </w:r>
      <w:r>
        <w:rPr>
          <w:rFonts w:ascii="Times New Roman" w:eastAsia="宋体" w:cs="Times New Roman"/>
          <w:color w:val="auto"/>
          <w:kern w:val="2"/>
          <w:szCs w:val="21"/>
          <w:lang w:val="es-MX"/>
        </w:rPr>
        <w:t>.</w:t>
      </w:r>
      <w:r>
        <w:rPr>
          <w:rFonts w:ascii="Times New Roman" w:eastAsia="宋体" w:cs="Times New Roman" w:hint="eastAsia"/>
          <w:color w:val="auto"/>
          <w:kern w:val="2"/>
          <w:szCs w:val="21"/>
          <w:lang w:val="zh-CN"/>
        </w:rPr>
        <w:t>气候特征</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滨州市位于山东省北部、黄河三角洲腹地、渤海湾西南岸，北通大海、东临东营市、南连淄博市、西南与济南市交界、西与德州市接壤、西北隔漳卫新河与河北省海兴县、黄骅市相望。该区域属暖温带大陆性季风气候区，冬寒夏炎，四季分明，气候适中，光照充足，雨热同期，降水量小于蒸发量。</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2</w:t>
      </w:r>
      <w:r>
        <w:rPr>
          <w:rFonts w:ascii="Times New Roman" w:eastAsia="宋体" w:cs="Times New Roman"/>
          <w:color w:val="auto"/>
          <w:kern w:val="2"/>
          <w:szCs w:val="21"/>
          <w:lang w:val="es-MX"/>
        </w:rPr>
        <w:t>.</w:t>
      </w:r>
      <w:r>
        <w:rPr>
          <w:rFonts w:ascii="Times New Roman" w:eastAsia="宋体" w:cs="Times New Roman" w:hint="eastAsia"/>
          <w:color w:val="auto"/>
          <w:kern w:val="2"/>
          <w:szCs w:val="21"/>
          <w:lang w:val="zh-CN"/>
        </w:rPr>
        <w:t>气温</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历年年平均气温</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12.5</w:t>
      </w:r>
      <w:r>
        <w:rPr>
          <w:rFonts w:ascii="Times New Roman" w:eastAsia="宋体" w:cs="Times New Roman" w:hint="eastAsia"/>
          <w:color w:val="auto"/>
          <w:kern w:val="2"/>
          <w:szCs w:val="21"/>
          <w:lang w:val="zh-CN"/>
        </w:rPr>
        <w:t>℃</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历年月平均最低气温</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-8.7</w:t>
      </w:r>
      <w:r>
        <w:rPr>
          <w:rFonts w:ascii="Times New Roman" w:eastAsia="宋体" w:cs="Times New Roman" w:hint="eastAsia"/>
          <w:color w:val="auto"/>
          <w:kern w:val="2"/>
          <w:szCs w:val="21"/>
          <w:lang w:val="zh-CN"/>
        </w:rPr>
        <w:t>℃（</w:t>
      </w:r>
      <w:r>
        <w:rPr>
          <w:rFonts w:ascii="Times New Roman" w:eastAsia="宋体" w:cs="Times New Roman" w:hint="eastAsia"/>
          <w:color w:val="auto"/>
          <w:kern w:val="2"/>
          <w:szCs w:val="21"/>
          <w:lang w:val="zh-CN"/>
        </w:rPr>
        <w:t>1</w:t>
      </w:r>
      <w:r>
        <w:rPr>
          <w:rFonts w:ascii="Times New Roman" w:eastAsia="宋体" w:cs="Times New Roman" w:hint="eastAsia"/>
          <w:color w:val="auto"/>
          <w:kern w:val="2"/>
          <w:szCs w:val="21"/>
          <w:lang w:val="zh-CN"/>
        </w:rPr>
        <w:t>月）</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历年月平均最高气温</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26.6</w:t>
      </w:r>
      <w:r>
        <w:rPr>
          <w:rFonts w:ascii="Times New Roman" w:eastAsia="宋体" w:cs="Times New Roman" w:hint="eastAsia"/>
          <w:color w:val="auto"/>
          <w:kern w:val="2"/>
          <w:szCs w:val="21"/>
          <w:lang w:val="zh-CN"/>
        </w:rPr>
        <w:t>℃（</w:t>
      </w:r>
      <w:r>
        <w:rPr>
          <w:rFonts w:ascii="Times New Roman" w:eastAsia="宋体" w:cs="Times New Roman" w:hint="eastAsia"/>
          <w:color w:val="auto"/>
          <w:kern w:val="2"/>
          <w:szCs w:val="21"/>
          <w:lang w:val="zh-CN"/>
        </w:rPr>
        <w:t>7</w:t>
      </w:r>
      <w:r>
        <w:rPr>
          <w:rFonts w:ascii="Times New Roman" w:eastAsia="宋体" w:cs="Times New Roman" w:hint="eastAsia"/>
          <w:color w:val="auto"/>
          <w:kern w:val="2"/>
          <w:szCs w:val="21"/>
          <w:lang w:val="zh-CN"/>
        </w:rPr>
        <w:t>月）</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历年极端最高气温</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41.5</w:t>
      </w:r>
      <w:r>
        <w:rPr>
          <w:rFonts w:ascii="Times New Roman" w:eastAsia="宋体" w:cs="Times New Roman" w:hint="eastAsia"/>
          <w:color w:val="auto"/>
          <w:kern w:val="2"/>
          <w:szCs w:val="21"/>
          <w:lang w:val="zh-CN"/>
        </w:rPr>
        <w:t>℃</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历年极端最低气温</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 xml:space="preserve"> -23.4</w:t>
      </w:r>
      <w:r>
        <w:rPr>
          <w:rFonts w:ascii="Times New Roman" w:eastAsia="宋体" w:cs="Times New Roman" w:hint="eastAsia"/>
          <w:color w:val="auto"/>
          <w:kern w:val="2"/>
          <w:szCs w:val="21"/>
          <w:lang w:val="zh-CN"/>
        </w:rPr>
        <w:t>℃</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3</w:t>
      </w:r>
      <w:r>
        <w:rPr>
          <w:rFonts w:ascii="Times New Roman" w:eastAsia="宋体" w:cs="Times New Roman"/>
          <w:color w:val="auto"/>
          <w:kern w:val="2"/>
          <w:szCs w:val="21"/>
          <w:lang w:val="es-MX"/>
        </w:rPr>
        <w:t>.</w:t>
      </w:r>
      <w:r>
        <w:rPr>
          <w:rFonts w:ascii="Times New Roman" w:eastAsia="宋体" w:cs="Times New Roman" w:hint="eastAsia"/>
          <w:color w:val="auto"/>
          <w:kern w:val="2"/>
          <w:szCs w:val="21"/>
          <w:lang w:val="zh-CN"/>
        </w:rPr>
        <w:t>降水</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历年平均年降水量</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601.4mm</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历年最大降水量</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1073.1mm</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历年平均降雪量</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19.2mm</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历年最大降雪量</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 xml:space="preserve"> 44.6mm</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4</w:t>
      </w:r>
      <w:r>
        <w:rPr>
          <w:rFonts w:ascii="Times New Roman" w:eastAsia="宋体" w:cs="Times New Roman"/>
          <w:color w:val="auto"/>
          <w:kern w:val="2"/>
          <w:szCs w:val="21"/>
          <w:lang w:val="es-MX"/>
        </w:rPr>
        <w:t>.</w:t>
      </w:r>
      <w:r>
        <w:rPr>
          <w:rFonts w:ascii="Times New Roman" w:eastAsia="宋体" w:cs="Times New Roman" w:hint="eastAsia"/>
          <w:color w:val="auto"/>
          <w:kern w:val="2"/>
          <w:szCs w:val="21"/>
          <w:lang w:val="zh-CN"/>
        </w:rPr>
        <w:t>风况</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历年平均风速</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3.2m/s</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常年主导风向</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东偏南（</w:t>
      </w:r>
      <w:r>
        <w:rPr>
          <w:rFonts w:ascii="Times New Roman" w:eastAsia="宋体" w:cs="Times New Roman" w:hint="eastAsia"/>
          <w:color w:val="auto"/>
          <w:kern w:val="2"/>
          <w:szCs w:val="21"/>
          <w:lang w:val="zh-CN"/>
        </w:rPr>
        <w:t>ESE</w:t>
      </w:r>
      <w:r>
        <w:rPr>
          <w:rFonts w:ascii="Times New Roman" w:eastAsia="宋体" w:cs="Times New Roman" w:hint="eastAsia"/>
          <w:color w:val="auto"/>
          <w:kern w:val="2"/>
          <w:szCs w:val="21"/>
          <w:lang w:val="zh-CN"/>
        </w:rPr>
        <w:t>）</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t>全年最小频率方向</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北（</w:t>
      </w:r>
      <w:r>
        <w:rPr>
          <w:rFonts w:ascii="Times New Roman" w:eastAsia="宋体" w:cs="Times New Roman" w:hint="eastAsia"/>
          <w:color w:val="auto"/>
          <w:kern w:val="2"/>
          <w:szCs w:val="21"/>
          <w:lang w:val="zh-CN"/>
        </w:rPr>
        <w:t>N</w:t>
      </w:r>
      <w:r>
        <w:rPr>
          <w:rFonts w:ascii="Times New Roman" w:eastAsia="宋体" w:cs="Times New Roman" w:hint="eastAsia"/>
          <w:color w:val="auto"/>
          <w:kern w:val="2"/>
          <w:szCs w:val="21"/>
          <w:lang w:val="zh-CN"/>
        </w:rPr>
        <w:t>）</w:t>
      </w:r>
    </w:p>
    <w:p w:rsidR="00F95F9B" w:rsidRDefault="00000000">
      <w:pPr>
        <w:pStyle w:val="Default"/>
        <w:snapToGrid w:val="0"/>
        <w:spacing w:line="360" w:lineRule="auto"/>
        <w:ind w:firstLineChars="200" w:firstLine="470"/>
        <w:rPr>
          <w:rFonts w:ascii="Times New Roman" w:eastAsia="宋体" w:cs="Times New Roman"/>
          <w:color w:val="auto"/>
          <w:kern w:val="2"/>
          <w:szCs w:val="21"/>
          <w:lang w:val="zh-CN"/>
        </w:rPr>
      </w:pPr>
      <w:r>
        <w:rPr>
          <w:rFonts w:ascii="Times New Roman" w:eastAsia="宋体" w:cs="Times New Roman" w:hint="eastAsia"/>
          <w:color w:val="auto"/>
          <w:kern w:val="2"/>
          <w:szCs w:val="21"/>
          <w:lang w:val="zh-CN"/>
        </w:rPr>
        <w:lastRenderedPageBreak/>
        <w:t>夏季主导风向</w:t>
      </w:r>
      <w:r>
        <w:rPr>
          <w:rFonts w:ascii="Times New Roman" w:eastAsia="宋体" w:cs="Times New Roman" w:hint="eastAsia"/>
          <w:color w:val="auto"/>
          <w:kern w:val="2"/>
          <w:szCs w:val="21"/>
          <w:lang w:val="zh-CN"/>
        </w:rPr>
        <w:tab/>
        <w:t xml:space="preserve">            </w:t>
      </w:r>
      <w:r>
        <w:rPr>
          <w:rFonts w:ascii="Times New Roman" w:eastAsia="宋体" w:cs="Times New Roman"/>
          <w:color w:val="auto"/>
          <w:kern w:val="2"/>
          <w:szCs w:val="21"/>
          <w:lang w:val="es-MX"/>
        </w:rPr>
        <w:t xml:space="preserve"> </w:t>
      </w:r>
      <w:r>
        <w:rPr>
          <w:rFonts w:ascii="Times New Roman" w:eastAsia="宋体" w:cs="Times New Roman" w:hint="eastAsia"/>
          <w:color w:val="auto"/>
          <w:kern w:val="2"/>
          <w:szCs w:val="21"/>
          <w:lang w:val="zh-CN"/>
        </w:rPr>
        <w:t>东偏南（</w:t>
      </w:r>
      <w:r>
        <w:rPr>
          <w:rFonts w:ascii="Times New Roman" w:eastAsia="宋体" w:cs="Times New Roman" w:hint="eastAsia"/>
          <w:color w:val="auto"/>
          <w:kern w:val="2"/>
          <w:szCs w:val="21"/>
          <w:lang w:val="zh-CN"/>
        </w:rPr>
        <w:t>ESE</w:t>
      </w:r>
      <w:r>
        <w:rPr>
          <w:rFonts w:ascii="Times New Roman" w:eastAsia="宋体" w:cs="Times New Roman" w:hint="eastAsia"/>
          <w:color w:val="auto"/>
          <w:kern w:val="2"/>
          <w:szCs w:val="21"/>
          <w:lang w:val="zh-CN"/>
        </w:rPr>
        <w:t>）</w:t>
      </w:r>
    </w:p>
    <w:p w:rsidR="00F95F9B" w:rsidRDefault="00000000">
      <w:pPr>
        <w:pStyle w:val="Default"/>
        <w:snapToGrid w:val="0"/>
        <w:spacing w:line="360" w:lineRule="auto"/>
        <w:ind w:firstLineChars="200" w:firstLine="470"/>
        <w:rPr>
          <w:color w:val="auto"/>
          <w:lang w:val="zh-CN"/>
        </w:rPr>
      </w:pPr>
      <w:r>
        <w:rPr>
          <w:rFonts w:ascii="Times New Roman" w:eastAsia="宋体" w:cs="Times New Roman" w:hint="eastAsia"/>
          <w:color w:val="auto"/>
          <w:kern w:val="2"/>
          <w:szCs w:val="21"/>
          <w:lang w:val="zh-CN"/>
        </w:rPr>
        <w:t>夏季最小频率方向</w:t>
      </w:r>
      <w:r>
        <w:rPr>
          <w:rFonts w:ascii="Times New Roman" w:eastAsia="宋体" w:cs="Times New Roman" w:hint="eastAsia"/>
          <w:color w:val="auto"/>
          <w:kern w:val="2"/>
          <w:szCs w:val="21"/>
          <w:lang w:val="zh-CN"/>
        </w:rPr>
        <w:tab/>
        <w:t xml:space="preserve">         </w:t>
      </w:r>
      <w:r>
        <w:rPr>
          <w:rFonts w:ascii="Times New Roman" w:eastAsia="宋体" w:cs="Times New Roman" w:hint="eastAsia"/>
          <w:color w:val="auto"/>
          <w:kern w:val="2"/>
          <w:szCs w:val="21"/>
          <w:lang w:val="zh-CN"/>
        </w:rPr>
        <w:t>北偏西（</w:t>
      </w:r>
      <w:r>
        <w:rPr>
          <w:rFonts w:ascii="Times New Roman" w:eastAsia="宋体" w:cs="Times New Roman" w:hint="eastAsia"/>
          <w:color w:val="auto"/>
          <w:kern w:val="2"/>
          <w:szCs w:val="21"/>
          <w:lang w:val="zh-CN"/>
        </w:rPr>
        <w:t>NW</w:t>
      </w:r>
      <w:r>
        <w:rPr>
          <w:rFonts w:ascii="Times New Roman" w:eastAsia="宋体" w:cs="Times New Roman" w:hint="eastAsia"/>
          <w:color w:val="auto"/>
          <w:kern w:val="2"/>
          <w:szCs w:val="21"/>
          <w:lang w:val="zh-CN"/>
        </w:rPr>
        <w:t>）</w:t>
      </w:r>
    </w:p>
    <w:p w:rsidR="00F95F9B" w:rsidRDefault="00000000">
      <w:pPr>
        <w:pStyle w:val="Default"/>
        <w:jc w:val="center"/>
        <w:rPr>
          <w:color w:val="auto"/>
          <w:lang w:val="zh-CN"/>
        </w:rPr>
      </w:pPr>
      <w:r>
        <w:rPr>
          <w:color w:val="auto"/>
          <w:lang w:val="zh-CN"/>
        </w:rPr>
        <w:object w:dxaOrig="7123" w:dyaOrig="38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15pt;height:190.2pt" o:ole="">
            <v:imagedata r:id="rId51" o:title="" croptop="20260f" cropbottom="16230f" cropleft="21440f" cropright="22395f"/>
          </v:shape>
          <o:OLEObject Type="Embed" ProgID="AutoCAD.Drawing.18" ShapeID="_x0000_i1025" DrawAspect="Content" ObjectID="_1753599528" r:id="rId52"/>
        </w:object>
      </w:r>
    </w:p>
    <w:p w:rsidR="00F95F9B" w:rsidRDefault="00000000">
      <w:pPr>
        <w:widowControl w:val="0"/>
        <w:adjustRightInd w:val="0"/>
        <w:snapToGrid w:val="0"/>
        <w:ind w:firstLineChars="0" w:firstLine="0"/>
        <w:jc w:val="center"/>
        <w:rPr>
          <w:rFonts w:eastAsia="黑体"/>
          <w:sz w:val="21"/>
          <w:szCs w:val="20"/>
          <w:lang w:val="zh-CN"/>
        </w:rPr>
      </w:pPr>
      <w:r>
        <w:rPr>
          <w:rFonts w:eastAsia="黑体" w:hint="eastAsia"/>
          <w:sz w:val="21"/>
          <w:szCs w:val="20"/>
          <w:lang w:val="zh-CN"/>
        </w:rPr>
        <w:t>图</w:t>
      </w:r>
      <w:r>
        <w:rPr>
          <w:rFonts w:eastAsia="黑体" w:hint="eastAsia"/>
          <w:sz w:val="21"/>
          <w:szCs w:val="20"/>
          <w:lang w:val="zh-CN"/>
        </w:rPr>
        <w:t>2.</w:t>
      </w:r>
      <w:r>
        <w:rPr>
          <w:rFonts w:eastAsia="黑体" w:hint="eastAsia"/>
          <w:sz w:val="21"/>
          <w:szCs w:val="20"/>
        </w:rPr>
        <w:t>1</w:t>
      </w:r>
      <w:r>
        <w:rPr>
          <w:rFonts w:eastAsia="黑体" w:hint="eastAsia"/>
          <w:sz w:val="21"/>
          <w:szCs w:val="20"/>
          <w:lang w:val="zh-CN"/>
        </w:rPr>
        <w:t>-</w:t>
      </w:r>
      <w:r>
        <w:rPr>
          <w:rFonts w:eastAsia="黑体" w:hint="eastAsia"/>
          <w:sz w:val="21"/>
          <w:szCs w:val="20"/>
        </w:rPr>
        <w:t>5</w:t>
      </w:r>
      <w:r>
        <w:rPr>
          <w:rFonts w:ascii="宋体" w:hAnsi="宋体" w:cs="宋体" w:hint="eastAsia"/>
          <w:sz w:val="21"/>
          <w:szCs w:val="20"/>
        </w:rPr>
        <w:t xml:space="preserve">  </w:t>
      </w:r>
      <w:r>
        <w:rPr>
          <w:rFonts w:eastAsia="黑体" w:hint="eastAsia"/>
          <w:sz w:val="21"/>
          <w:szCs w:val="20"/>
          <w:lang w:val="zh-CN"/>
        </w:rPr>
        <w:t>滨州地区夏季及全年风频玫瑰图</w:t>
      </w:r>
    </w:p>
    <w:p w:rsidR="00F95F9B" w:rsidRDefault="00000000">
      <w:pPr>
        <w:pStyle w:val="4"/>
        <w:keepNext w:val="0"/>
        <w:keepLines w:val="0"/>
        <w:widowControl w:val="0"/>
      </w:pPr>
      <w:r>
        <w:rPr>
          <w:rFonts w:hint="eastAsia"/>
        </w:rPr>
        <w:t>地震及抗震设防烈度</w:t>
      </w:r>
    </w:p>
    <w:p w:rsidR="00F95F9B" w:rsidRDefault="00000000">
      <w:pPr>
        <w:widowControl w:val="0"/>
        <w:ind w:firstLine="470"/>
      </w:pPr>
      <w:r>
        <w:rPr>
          <w:rFonts w:hint="eastAsia"/>
        </w:rPr>
        <w:t>经过地区的地震动反应谱特征周期、地震动峰加速度分布、抗震设防烈度见下表</w:t>
      </w:r>
      <w:r>
        <w:rPr>
          <w:rFonts w:hint="eastAsia"/>
        </w:rPr>
        <w:t>2.1-2</w:t>
      </w:r>
      <w:r>
        <w:rPr>
          <w:rFonts w:hint="eastAsia"/>
        </w:rPr>
        <w:t>。地震动反应谱特征周期、地震动峰加速度分布数据来源为《中国地震动参数区划图》（</w:t>
      </w:r>
      <w:r>
        <w:rPr>
          <w:rFonts w:hint="eastAsia"/>
        </w:rPr>
        <w:t>GB18306-2015</w:t>
      </w:r>
      <w:r>
        <w:rPr>
          <w:rFonts w:hint="eastAsia"/>
        </w:rPr>
        <w:t>）。</w:t>
      </w:r>
    </w:p>
    <w:p w:rsidR="00F95F9B" w:rsidRDefault="00000000">
      <w:pPr>
        <w:pStyle w:val="af3"/>
        <w:widowControl w:val="0"/>
        <w:spacing w:line="240" w:lineRule="auto"/>
      </w:pPr>
      <w:r>
        <w:rPr>
          <w:rFonts w:hint="eastAsia"/>
        </w:rPr>
        <w:t>表</w:t>
      </w:r>
      <w:r>
        <w:rPr>
          <w:rFonts w:hint="eastAsia"/>
        </w:rPr>
        <w:t xml:space="preserve"> </w:t>
      </w:r>
      <w:r>
        <w:fldChar w:fldCharType="begin"/>
      </w:r>
      <w:r>
        <w:instrText xml:space="preserve"> </w:instrText>
      </w:r>
      <w:r>
        <w:rPr>
          <w:rFonts w:hint="eastAsia"/>
        </w:rPr>
        <w:instrText>STYLEREF 2 \s</w:instrText>
      </w:r>
      <w:r>
        <w:instrText xml:space="preserve"> </w:instrText>
      </w:r>
      <w:r>
        <w:fldChar w:fldCharType="separate"/>
      </w:r>
      <w:r>
        <w:t>2.1</w:t>
      </w:r>
      <w:r>
        <w:fldChar w:fldCharType="end"/>
      </w:r>
      <w:r>
        <w:noBreakHyphen/>
      </w:r>
      <w:r>
        <w:rPr>
          <w:rFonts w:hint="eastAsia"/>
        </w:rPr>
        <w:t>2</w:t>
      </w:r>
      <w:r>
        <w:t xml:space="preserve">  </w:t>
      </w:r>
      <w:r>
        <w:rPr>
          <w:rFonts w:hint="eastAsia"/>
        </w:rPr>
        <w:t>地震动反应谱特征周期及地震动峰加速度分布表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27"/>
        <w:gridCol w:w="710"/>
        <w:gridCol w:w="996"/>
        <w:gridCol w:w="1703"/>
        <w:gridCol w:w="1844"/>
        <w:gridCol w:w="1705"/>
        <w:gridCol w:w="1370"/>
      </w:tblGrid>
      <w:tr w:rsidR="00F95F9B">
        <w:trPr>
          <w:tblHeader/>
        </w:trPr>
        <w:tc>
          <w:tcPr>
            <w:tcW w:w="452" w:type="pct"/>
            <w:vAlign w:val="center"/>
          </w:tcPr>
          <w:p w:rsidR="00F95F9B" w:rsidRDefault="00000000">
            <w:pPr>
              <w:pStyle w:val="afffc"/>
              <w:snapToGrid w:val="0"/>
              <w:spacing w:line="240" w:lineRule="auto"/>
              <w:ind w:firstLineChars="0" w:firstLine="0"/>
              <w:jc w:val="center"/>
              <w:rPr>
                <w:b/>
                <w:bCs/>
              </w:rPr>
            </w:pPr>
            <w:r>
              <w:rPr>
                <w:b/>
                <w:bCs/>
              </w:rPr>
              <w:t>序号</w:t>
            </w:r>
          </w:p>
        </w:tc>
        <w:tc>
          <w:tcPr>
            <w:tcW w:w="931" w:type="pct"/>
            <w:gridSpan w:val="2"/>
            <w:vAlign w:val="center"/>
          </w:tcPr>
          <w:p w:rsidR="00F95F9B" w:rsidRDefault="00000000">
            <w:pPr>
              <w:pStyle w:val="afffc"/>
              <w:snapToGrid w:val="0"/>
              <w:spacing w:line="240" w:lineRule="auto"/>
              <w:ind w:firstLineChars="0" w:firstLine="0"/>
              <w:jc w:val="center"/>
              <w:rPr>
                <w:b/>
                <w:bCs/>
              </w:rPr>
            </w:pPr>
            <w:r>
              <w:rPr>
                <w:b/>
                <w:bCs/>
              </w:rPr>
              <w:t>行政区划</w:t>
            </w:r>
          </w:p>
        </w:tc>
        <w:tc>
          <w:tcPr>
            <w:tcW w:w="929" w:type="pct"/>
            <w:vAlign w:val="center"/>
          </w:tcPr>
          <w:p w:rsidR="00F95F9B" w:rsidRDefault="00000000">
            <w:pPr>
              <w:pStyle w:val="afffc"/>
              <w:snapToGrid w:val="0"/>
              <w:spacing w:line="240" w:lineRule="auto"/>
              <w:ind w:firstLineChars="0" w:firstLine="0"/>
              <w:jc w:val="center"/>
              <w:rPr>
                <w:b/>
                <w:bCs/>
              </w:rPr>
            </w:pPr>
            <w:r>
              <w:rPr>
                <w:b/>
                <w:bCs/>
              </w:rPr>
              <w:t>峰值加速度</w:t>
            </w:r>
            <w:r>
              <w:rPr>
                <w:b/>
                <w:bCs/>
              </w:rPr>
              <w:t>/g</w:t>
            </w:r>
          </w:p>
        </w:tc>
        <w:tc>
          <w:tcPr>
            <w:tcW w:w="1006" w:type="pct"/>
            <w:vAlign w:val="center"/>
          </w:tcPr>
          <w:p w:rsidR="00F95F9B" w:rsidRDefault="00000000">
            <w:pPr>
              <w:pStyle w:val="afffc"/>
              <w:snapToGrid w:val="0"/>
              <w:spacing w:line="240" w:lineRule="auto"/>
              <w:ind w:firstLineChars="0" w:firstLine="0"/>
              <w:jc w:val="center"/>
              <w:rPr>
                <w:b/>
                <w:bCs/>
              </w:rPr>
            </w:pPr>
            <w:r>
              <w:rPr>
                <w:b/>
                <w:bCs/>
              </w:rPr>
              <w:t>反应谱特征周期</w:t>
            </w:r>
            <w:r>
              <w:rPr>
                <w:b/>
                <w:bCs/>
              </w:rPr>
              <w:t>/s</w:t>
            </w:r>
          </w:p>
        </w:tc>
        <w:tc>
          <w:tcPr>
            <w:tcW w:w="930" w:type="pct"/>
            <w:vAlign w:val="center"/>
          </w:tcPr>
          <w:p w:rsidR="00F95F9B" w:rsidRDefault="00000000">
            <w:pPr>
              <w:pStyle w:val="afffc"/>
              <w:snapToGrid w:val="0"/>
              <w:spacing w:line="240" w:lineRule="auto"/>
              <w:ind w:firstLineChars="0" w:firstLine="0"/>
              <w:jc w:val="center"/>
              <w:rPr>
                <w:b/>
                <w:bCs/>
              </w:rPr>
            </w:pPr>
            <w:r>
              <w:rPr>
                <w:b/>
                <w:bCs/>
              </w:rPr>
              <w:t>抗震设防烈度</w:t>
            </w:r>
          </w:p>
        </w:tc>
        <w:tc>
          <w:tcPr>
            <w:tcW w:w="747" w:type="pct"/>
            <w:vAlign w:val="center"/>
          </w:tcPr>
          <w:p w:rsidR="00F95F9B" w:rsidRDefault="00000000">
            <w:pPr>
              <w:pStyle w:val="afffc"/>
              <w:snapToGrid w:val="0"/>
              <w:spacing w:line="240" w:lineRule="auto"/>
              <w:ind w:firstLineChars="0" w:firstLine="0"/>
              <w:jc w:val="center"/>
              <w:rPr>
                <w:b/>
                <w:bCs/>
              </w:rPr>
            </w:pPr>
            <w:r>
              <w:rPr>
                <w:b/>
                <w:bCs/>
              </w:rPr>
              <w:t>备注</w:t>
            </w:r>
          </w:p>
        </w:tc>
      </w:tr>
      <w:tr w:rsidR="00F95F9B">
        <w:tc>
          <w:tcPr>
            <w:tcW w:w="452" w:type="pct"/>
            <w:vMerge w:val="restart"/>
            <w:vAlign w:val="center"/>
          </w:tcPr>
          <w:p w:rsidR="00F95F9B" w:rsidRDefault="00000000">
            <w:pPr>
              <w:pStyle w:val="afffc"/>
              <w:snapToGrid w:val="0"/>
              <w:spacing w:line="240" w:lineRule="auto"/>
              <w:ind w:firstLineChars="0" w:firstLine="0"/>
              <w:jc w:val="center"/>
            </w:pPr>
            <w:r>
              <w:t>1</w:t>
            </w:r>
          </w:p>
        </w:tc>
        <w:tc>
          <w:tcPr>
            <w:tcW w:w="388" w:type="pct"/>
            <w:vMerge w:val="restart"/>
            <w:vAlign w:val="center"/>
          </w:tcPr>
          <w:p w:rsidR="00F95F9B" w:rsidRDefault="00000000">
            <w:pPr>
              <w:pStyle w:val="afffc"/>
              <w:snapToGrid w:val="0"/>
              <w:spacing w:line="240" w:lineRule="auto"/>
              <w:ind w:firstLineChars="0" w:firstLine="0"/>
              <w:jc w:val="center"/>
            </w:pPr>
            <w:r>
              <w:rPr>
                <w:rFonts w:hint="eastAsia"/>
              </w:rPr>
              <w:t>东营</w:t>
            </w:r>
          </w:p>
        </w:tc>
        <w:tc>
          <w:tcPr>
            <w:tcW w:w="543" w:type="pct"/>
            <w:vAlign w:val="center"/>
          </w:tcPr>
          <w:p w:rsidR="00F95F9B" w:rsidRDefault="00000000">
            <w:pPr>
              <w:pStyle w:val="afffc"/>
              <w:snapToGrid w:val="0"/>
              <w:spacing w:line="240" w:lineRule="auto"/>
              <w:ind w:firstLineChars="0" w:firstLine="0"/>
              <w:jc w:val="center"/>
            </w:pPr>
            <w:r>
              <w:rPr>
                <w:rFonts w:hint="eastAsia"/>
              </w:rPr>
              <w:t>东营区</w:t>
            </w:r>
          </w:p>
        </w:tc>
        <w:tc>
          <w:tcPr>
            <w:tcW w:w="929" w:type="pct"/>
            <w:vAlign w:val="center"/>
          </w:tcPr>
          <w:p w:rsidR="00F95F9B" w:rsidRDefault="00000000">
            <w:pPr>
              <w:pStyle w:val="afffc"/>
              <w:snapToGrid w:val="0"/>
              <w:spacing w:line="240" w:lineRule="auto"/>
              <w:ind w:firstLineChars="0" w:firstLine="0"/>
              <w:jc w:val="center"/>
            </w:pPr>
            <w:r>
              <w:t>0.1</w:t>
            </w:r>
          </w:p>
        </w:tc>
        <w:tc>
          <w:tcPr>
            <w:tcW w:w="1006" w:type="pct"/>
            <w:vAlign w:val="center"/>
          </w:tcPr>
          <w:p w:rsidR="00F95F9B" w:rsidRDefault="00000000">
            <w:pPr>
              <w:pStyle w:val="afffc"/>
              <w:snapToGrid w:val="0"/>
              <w:spacing w:line="240" w:lineRule="auto"/>
              <w:ind w:firstLineChars="0" w:firstLine="0"/>
              <w:jc w:val="center"/>
            </w:pPr>
            <w:r>
              <w:t>0.</w:t>
            </w:r>
            <w:r>
              <w:rPr>
                <w:rFonts w:hint="eastAsia"/>
              </w:rPr>
              <w:t>4</w:t>
            </w:r>
            <w:r>
              <w:t>5</w:t>
            </w:r>
          </w:p>
        </w:tc>
        <w:tc>
          <w:tcPr>
            <w:tcW w:w="930" w:type="pct"/>
            <w:vAlign w:val="center"/>
          </w:tcPr>
          <w:p w:rsidR="00F95F9B" w:rsidRDefault="00000000">
            <w:pPr>
              <w:pStyle w:val="afffc"/>
              <w:snapToGrid w:val="0"/>
              <w:spacing w:line="240" w:lineRule="auto"/>
              <w:ind w:firstLineChars="0" w:firstLine="0"/>
              <w:jc w:val="center"/>
            </w:pPr>
            <w:r>
              <w:rPr>
                <w:rFonts w:hint="eastAsia"/>
              </w:rPr>
              <w:t>7</w:t>
            </w:r>
            <w:r>
              <w:rPr>
                <w:rFonts w:hint="eastAsia"/>
              </w:rPr>
              <w:t>度</w:t>
            </w:r>
          </w:p>
        </w:tc>
        <w:tc>
          <w:tcPr>
            <w:tcW w:w="747" w:type="pct"/>
            <w:vAlign w:val="center"/>
          </w:tcPr>
          <w:p w:rsidR="00F95F9B" w:rsidRDefault="00F95F9B">
            <w:pPr>
              <w:pStyle w:val="afffc"/>
              <w:snapToGrid w:val="0"/>
              <w:spacing w:line="240" w:lineRule="auto"/>
              <w:ind w:firstLineChars="0" w:firstLine="0"/>
              <w:jc w:val="center"/>
            </w:pPr>
          </w:p>
        </w:tc>
      </w:tr>
      <w:tr w:rsidR="00F95F9B">
        <w:tc>
          <w:tcPr>
            <w:tcW w:w="452" w:type="pct"/>
            <w:vMerge/>
            <w:vAlign w:val="center"/>
          </w:tcPr>
          <w:p w:rsidR="00F95F9B" w:rsidRDefault="00F95F9B">
            <w:pPr>
              <w:pStyle w:val="afffc"/>
              <w:snapToGrid w:val="0"/>
              <w:spacing w:line="240" w:lineRule="auto"/>
              <w:ind w:firstLineChars="0" w:firstLine="0"/>
              <w:jc w:val="center"/>
            </w:pPr>
          </w:p>
        </w:tc>
        <w:tc>
          <w:tcPr>
            <w:tcW w:w="388" w:type="pct"/>
            <w:vMerge/>
            <w:vAlign w:val="center"/>
          </w:tcPr>
          <w:p w:rsidR="00F95F9B" w:rsidRDefault="00F95F9B">
            <w:pPr>
              <w:pStyle w:val="afffc"/>
              <w:snapToGrid w:val="0"/>
              <w:spacing w:line="240" w:lineRule="auto"/>
              <w:ind w:firstLineChars="0" w:firstLine="0"/>
              <w:jc w:val="center"/>
            </w:pPr>
          </w:p>
        </w:tc>
        <w:tc>
          <w:tcPr>
            <w:tcW w:w="543" w:type="pct"/>
            <w:vAlign w:val="center"/>
          </w:tcPr>
          <w:p w:rsidR="00F95F9B" w:rsidRDefault="00000000">
            <w:pPr>
              <w:pStyle w:val="afffc"/>
              <w:snapToGrid w:val="0"/>
              <w:spacing w:line="240" w:lineRule="auto"/>
              <w:ind w:firstLineChars="0" w:firstLine="0"/>
              <w:jc w:val="center"/>
            </w:pPr>
            <w:r>
              <w:rPr>
                <w:rFonts w:hint="eastAsia"/>
              </w:rPr>
              <w:t>广饶县</w:t>
            </w:r>
          </w:p>
        </w:tc>
        <w:tc>
          <w:tcPr>
            <w:tcW w:w="929" w:type="pct"/>
            <w:shd w:val="clear" w:color="auto" w:fill="auto"/>
            <w:vAlign w:val="center"/>
          </w:tcPr>
          <w:p w:rsidR="00F95F9B" w:rsidRDefault="00000000">
            <w:pPr>
              <w:pStyle w:val="afffc"/>
              <w:snapToGrid w:val="0"/>
              <w:spacing w:line="240" w:lineRule="auto"/>
              <w:ind w:firstLineChars="0" w:firstLine="0"/>
              <w:jc w:val="center"/>
            </w:pPr>
            <w:r>
              <w:rPr>
                <w:rFonts w:hint="eastAsia"/>
              </w:rPr>
              <w:t>0.1</w:t>
            </w:r>
          </w:p>
        </w:tc>
        <w:tc>
          <w:tcPr>
            <w:tcW w:w="1006" w:type="pct"/>
            <w:shd w:val="clear" w:color="auto" w:fill="auto"/>
            <w:vAlign w:val="center"/>
          </w:tcPr>
          <w:p w:rsidR="00F95F9B" w:rsidRDefault="00000000">
            <w:pPr>
              <w:pStyle w:val="afffc"/>
              <w:snapToGrid w:val="0"/>
              <w:spacing w:line="240" w:lineRule="auto"/>
              <w:ind w:firstLineChars="0" w:firstLine="0"/>
              <w:jc w:val="center"/>
            </w:pPr>
            <w:r>
              <w:t>0.</w:t>
            </w:r>
            <w:r>
              <w:rPr>
                <w:rFonts w:hint="eastAsia"/>
              </w:rPr>
              <w:t>4</w:t>
            </w:r>
            <w:r>
              <w:t>5</w:t>
            </w:r>
          </w:p>
        </w:tc>
        <w:tc>
          <w:tcPr>
            <w:tcW w:w="930" w:type="pct"/>
            <w:shd w:val="clear" w:color="auto" w:fill="auto"/>
            <w:vAlign w:val="center"/>
          </w:tcPr>
          <w:p w:rsidR="00F95F9B" w:rsidRDefault="00000000">
            <w:pPr>
              <w:pStyle w:val="afffc"/>
              <w:snapToGrid w:val="0"/>
              <w:spacing w:line="240" w:lineRule="auto"/>
              <w:ind w:firstLineChars="0" w:firstLine="0"/>
              <w:jc w:val="center"/>
            </w:pPr>
            <w:r>
              <w:rPr>
                <w:rFonts w:hint="eastAsia"/>
              </w:rPr>
              <w:t>7</w:t>
            </w:r>
            <w:r>
              <w:rPr>
                <w:rFonts w:hint="eastAsia"/>
              </w:rPr>
              <w:t>度</w:t>
            </w:r>
          </w:p>
        </w:tc>
        <w:tc>
          <w:tcPr>
            <w:tcW w:w="747" w:type="pct"/>
            <w:shd w:val="clear" w:color="auto" w:fill="auto"/>
            <w:vAlign w:val="center"/>
          </w:tcPr>
          <w:p w:rsidR="00F95F9B" w:rsidRDefault="00F95F9B">
            <w:pPr>
              <w:pStyle w:val="afffc"/>
              <w:snapToGrid w:val="0"/>
              <w:spacing w:line="240" w:lineRule="auto"/>
              <w:ind w:firstLineChars="0" w:firstLine="0"/>
              <w:jc w:val="center"/>
            </w:pPr>
          </w:p>
        </w:tc>
      </w:tr>
      <w:tr w:rsidR="00F95F9B">
        <w:trPr>
          <w:trHeight w:val="90"/>
        </w:trPr>
        <w:tc>
          <w:tcPr>
            <w:tcW w:w="452" w:type="pct"/>
            <w:vMerge w:val="restart"/>
            <w:vAlign w:val="center"/>
          </w:tcPr>
          <w:p w:rsidR="00F95F9B" w:rsidRDefault="00000000">
            <w:pPr>
              <w:pStyle w:val="afffc"/>
              <w:snapToGrid w:val="0"/>
              <w:spacing w:line="240" w:lineRule="auto"/>
              <w:ind w:firstLineChars="0" w:firstLine="0"/>
              <w:jc w:val="center"/>
            </w:pPr>
            <w:r>
              <w:rPr>
                <w:rFonts w:hint="eastAsia"/>
              </w:rPr>
              <w:t>2</w:t>
            </w:r>
          </w:p>
        </w:tc>
        <w:tc>
          <w:tcPr>
            <w:tcW w:w="388" w:type="pct"/>
            <w:vMerge w:val="restart"/>
            <w:vAlign w:val="center"/>
          </w:tcPr>
          <w:p w:rsidR="00F95F9B" w:rsidRDefault="00000000">
            <w:pPr>
              <w:pStyle w:val="afffc"/>
              <w:snapToGrid w:val="0"/>
              <w:spacing w:line="240" w:lineRule="auto"/>
              <w:ind w:firstLineChars="0" w:firstLine="0"/>
              <w:jc w:val="center"/>
            </w:pPr>
            <w:r>
              <w:rPr>
                <w:rFonts w:hint="eastAsia"/>
              </w:rPr>
              <w:t>滨州</w:t>
            </w:r>
          </w:p>
        </w:tc>
        <w:tc>
          <w:tcPr>
            <w:tcW w:w="543" w:type="pct"/>
            <w:vAlign w:val="center"/>
          </w:tcPr>
          <w:p w:rsidR="00F95F9B" w:rsidRDefault="00000000">
            <w:pPr>
              <w:pStyle w:val="afffc"/>
              <w:snapToGrid w:val="0"/>
              <w:spacing w:line="240" w:lineRule="auto"/>
              <w:ind w:firstLineChars="0" w:firstLine="0"/>
              <w:jc w:val="center"/>
            </w:pPr>
            <w:r>
              <w:rPr>
                <w:rFonts w:hint="eastAsia"/>
              </w:rPr>
              <w:t>滨城区</w:t>
            </w:r>
          </w:p>
        </w:tc>
        <w:tc>
          <w:tcPr>
            <w:tcW w:w="929" w:type="pct"/>
            <w:vAlign w:val="center"/>
          </w:tcPr>
          <w:p w:rsidR="00F95F9B" w:rsidRDefault="00000000">
            <w:pPr>
              <w:pStyle w:val="afffc"/>
              <w:snapToGrid w:val="0"/>
              <w:spacing w:line="240" w:lineRule="auto"/>
              <w:ind w:firstLineChars="0" w:firstLine="0"/>
              <w:jc w:val="center"/>
            </w:pPr>
            <w:r>
              <w:t>0.</w:t>
            </w:r>
            <w:r>
              <w:rPr>
                <w:rFonts w:hint="eastAsia"/>
              </w:rPr>
              <w:t>1</w:t>
            </w:r>
          </w:p>
        </w:tc>
        <w:tc>
          <w:tcPr>
            <w:tcW w:w="1006" w:type="pct"/>
            <w:vAlign w:val="center"/>
          </w:tcPr>
          <w:p w:rsidR="00F95F9B" w:rsidRDefault="00000000">
            <w:pPr>
              <w:pStyle w:val="afffc"/>
              <w:snapToGrid w:val="0"/>
              <w:spacing w:line="240" w:lineRule="auto"/>
              <w:ind w:firstLineChars="0" w:firstLine="0"/>
              <w:jc w:val="center"/>
            </w:pPr>
            <w:r>
              <w:t>0.</w:t>
            </w:r>
            <w:r>
              <w:rPr>
                <w:rFonts w:hint="eastAsia"/>
              </w:rPr>
              <w:t>4</w:t>
            </w:r>
            <w:r>
              <w:t>5</w:t>
            </w:r>
          </w:p>
        </w:tc>
        <w:tc>
          <w:tcPr>
            <w:tcW w:w="930" w:type="pct"/>
            <w:vAlign w:val="center"/>
          </w:tcPr>
          <w:p w:rsidR="00F95F9B" w:rsidRDefault="00000000">
            <w:pPr>
              <w:pStyle w:val="afffc"/>
              <w:snapToGrid w:val="0"/>
              <w:spacing w:line="240" w:lineRule="auto"/>
              <w:ind w:firstLineChars="0" w:firstLine="0"/>
              <w:jc w:val="center"/>
            </w:pPr>
            <w:r>
              <w:rPr>
                <w:rFonts w:hint="eastAsia"/>
              </w:rPr>
              <w:t>7</w:t>
            </w:r>
            <w:r>
              <w:rPr>
                <w:rFonts w:hint="eastAsia"/>
              </w:rPr>
              <w:t>度</w:t>
            </w:r>
          </w:p>
        </w:tc>
        <w:tc>
          <w:tcPr>
            <w:tcW w:w="747" w:type="pct"/>
            <w:vAlign w:val="center"/>
          </w:tcPr>
          <w:p w:rsidR="00F95F9B" w:rsidRDefault="00F95F9B">
            <w:pPr>
              <w:pStyle w:val="afffc"/>
              <w:snapToGrid w:val="0"/>
              <w:spacing w:line="240" w:lineRule="auto"/>
              <w:ind w:firstLineChars="0" w:firstLine="0"/>
              <w:jc w:val="center"/>
            </w:pPr>
          </w:p>
        </w:tc>
      </w:tr>
      <w:tr w:rsidR="00F95F9B">
        <w:tc>
          <w:tcPr>
            <w:tcW w:w="452" w:type="pct"/>
            <w:vMerge/>
            <w:vAlign w:val="center"/>
          </w:tcPr>
          <w:p w:rsidR="00F95F9B" w:rsidRDefault="00F95F9B">
            <w:pPr>
              <w:pStyle w:val="afffc"/>
              <w:snapToGrid w:val="0"/>
              <w:spacing w:line="240" w:lineRule="auto"/>
              <w:ind w:firstLineChars="0" w:firstLine="0"/>
              <w:jc w:val="center"/>
            </w:pPr>
          </w:p>
        </w:tc>
        <w:tc>
          <w:tcPr>
            <w:tcW w:w="388" w:type="pct"/>
            <w:vMerge/>
            <w:vAlign w:val="center"/>
          </w:tcPr>
          <w:p w:rsidR="00F95F9B" w:rsidRDefault="00F95F9B">
            <w:pPr>
              <w:pStyle w:val="afffc"/>
              <w:snapToGrid w:val="0"/>
              <w:spacing w:line="240" w:lineRule="auto"/>
              <w:ind w:firstLineChars="0" w:firstLine="0"/>
              <w:jc w:val="center"/>
            </w:pPr>
          </w:p>
        </w:tc>
        <w:tc>
          <w:tcPr>
            <w:tcW w:w="543" w:type="pct"/>
            <w:vAlign w:val="center"/>
          </w:tcPr>
          <w:p w:rsidR="00F95F9B" w:rsidRDefault="00000000">
            <w:pPr>
              <w:pStyle w:val="afffc"/>
              <w:snapToGrid w:val="0"/>
              <w:spacing w:line="240" w:lineRule="auto"/>
              <w:ind w:firstLineChars="0" w:firstLine="0"/>
              <w:jc w:val="center"/>
            </w:pPr>
            <w:r>
              <w:rPr>
                <w:rFonts w:hint="eastAsia"/>
              </w:rPr>
              <w:t>惠民县</w:t>
            </w:r>
          </w:p>
        </w:tc>
        <w:tc>
          <w:tcPr>
            <w:tcW w:w="929" w:type="pct"/>
            <w:vAlign w:val="center"/>
          </w:tcPr>
          <w:p w:rsidR="00F95F9B" w:rsidRDefault="00000000">
            <w:pPr>
              <w:pStyle w:val="afffc"/>
              <w:snapToGrid w:val="0"/>
              <w:spacing w:line="240" w:lineRule="auto"/>
              <w:ind w:firstLineChars="0" w:firstLine="0"/>
              <w:jc w:val="center"/>
            </w:pPr>
            <w:r>
              <w:rPr>
                <w:rFonts w:hint="eastAsia"/>
              </w:rPr>
              <w:t>0.1</w:t>
            </w:r>
          </w:p>
        </w:tc>
        <w:tc>
          <w:tcPr>
            <w:tcW w:w="1006" w:type="pct"/>
            <w:vAlign w:val="center"/>
          </w:tcPr>
          <w:p w:rsidR="00F95F9B" w:rsidRDefault="00000000">
            <w:pPr>
              <w:pStyle w:val="afffc"/>
              <w:snapToGrid w:val="0"/>
              <w:spacing w:line="240" w:lineRule="auto"/>
              <w:ind w:firstLineChars="0" w:firstLine="0"/>
              <w:jc w:val="center"/>
            </w:pPr>
            <w:r>
              <w:t>0.</w:t>
            </w:r>
            <w:r>
              <w:rPr>
                <w:rFonts w:hint="eastAsia"/>
              </w:rPr>
              <w:t>4</w:t>
            </w:r>
            <w:r>
              <w:t>5</w:t>
            </w:r>
          </w:p>
        </w:tc>
        <w:tc>
          <w:tcPr>
            <w:tcW w:w="930" w:type="pct"/>
            <w:vAlign w:val="center"/>
          </w:tcPr>
          <w:p w:rsidR="00F95F9B" w:rsidRDefault="00000000">
            <w:pPr>
              <w:pStyle w:val="afffc"/>
              <w:snapToGrid w:val="0"/>
              <w:spacing w:line="240" w:lineRule="auto"/>
              <w:ind w:firstLineChars="0" w:firstLine="0"/>
              <w:jc w:val="center"/>
            </w:pPr>
            <w:r>
              <w:rPr>
                <w:rFonts w:hint="eastAsia"/>
              </w:rPr>
              <w:t>6</w:t>
            </w:r>
            <w:r>
              <w:rPr>
                <w:rFonts w:hint="eastAsia"/>
              </w:rPr>
              <w:t>度</w:t>
            </w:r>
          </w:p>
        </w:tc>
        <w:tc>
          <w:tcPr>
            <w:tcW w:w="747" w:type="pct"/>
            <w:vAlign w:val="center"/>
          </w:tcPr>
          <w:p w:rsidR="00F95F9B" w:rsidRDefault="00F95F9B">
            <w:pPr>
              <w:pStyle w:val="afffc"/>
              <w:snapToGrid w:val="0"/>
              <w:spacing w:line="240" w:lineRule="auto"/>
              <w:ind w:firstLineChars="0" w:firstLine="0"/>
              <w:jc w:val="center"/>
            </w:pPr>
          </w:p>
        </w:tc>
      </w:tr>
      <w:tr w:rsidR="00F95F9B">
        <w:tc>
          <w:tcPr>
            <w:tcW w:w="452" w:type="pct"/>
            <w:vMerge/>
            <w:vAlign w:val="center"/>
          </w:tcPr>
          <w:p w:rsidR="00F95F9B" w:rsidRDefault="00F95F9B">
            <w:pPr>
              <w:pStyle w:val="afffc"/>
              <w:snapToGrid w:val="0"/>
              <w:spacing w:line="240" w:lineRule="auto"/>
              <w:ind w:firstLineChars="0" w:firstLine="0"/>
              <w:jc w:val="center"/>
            </w:pPr>
          </w:p>
        </w:tc>
        <w:tc>
          <w:tcPr>
            <w:tcW w:w="388" w:type="pct"/>
            <w:vMerge/>
            <w:vAlign w:val="center"/>
          </w:tcPr>
          <w:p w:rsidR="00F95F9B" w:rsidRDefault="00F95F9B">
            <w:pPr>
              <w:pStyle w:val="afffc"/>
              <w:snapToGrid w:val="0"/>
              <w:spacing w:line="240" w:lineRule="auto"/>
              <w:ind w:firstLineChars="0" w:firstLine="0"/>
              <w:jc w:val="center"/>
            </w:pPr>
          </w:p>
        </w:tc>
        <w:tc>
          <w:tcPr>
            <w:tcW w:w="543" w:type="pct"/>
            <w:vAlign w:val="center"/>
          </w:tcPr>
          <w:p w:rsidR="00F95F9B" w:rsidRDefault="00000000">
            <w:pPr>
              <w:pStyle w:val="afffc"/>
              <w:snapToGrid w:val="0"/>
              <w:spacing w:line="240" w:lineRule="auto"/>
              <w:ind w:firstLineChars="0" w:firstLine="0"/>
              <w:jc w:val="center"/>
            </w:pPr>
            <w:r>
              <w:rPr>
                <w:rFonts w:hint="eastAsia"/>
              </w:rPr>
              <w:t>沾化县</w:t>
            </w:r>
          </w:p>
        </w:tc>
        <w:tc>
          <w:tcPr>
            <w:tcW w:w="929" w:type="pct"/>
            <w:vAlign w:val="center"/>
          </w:tcPr>
          <w:p w:rsidR="00F95F9B" w:rsidRDefault="00000000">
            <w:pPr>
              <w:pStyle w:val="afffc"/>
              <w:snapToGrid w:val="0"/>
              <w:spacing w:line="240" w:lineRule="auto"/>
              <w:ind w:firstLineChars="0" w:firstLine="0"/>
              <w:jc w:val="center"/>
            </w:pPr>
            <w:r>
              <w:rPr>
                <w:rFonts w:hint="eastAsia"/>
              </w:rPr>
              <w:t>0.05</w:t>
            </w:r>
          </w:p>
        </w:tc>
        <w:tc>
          <w:tcPr>
            <w:tcW w:w="1006" w:type="pct"/>
            <w:vAlign w:val="center"/>
          </w:tcPr>
          <w:p w:rsidR="00F95F9B" w:rsidRDefault="00000000">
            <w:pPr>
              <w:pStyle w:val="afffc"/>
              <w:snapToGrid w:val="0"/>
              <w:spacing w:line="240" w:lineRule="auto"/>
              <w:ind w:firstLineChars="0" w:firstLine="0"/>
              <w:jc w:val="center"/>
            </w:pPr>
            <w:r>
              <w:t>0.</w:t>
            </w:r>
            <w:r>
              <w:rPr>
                <w:rFonts w:hint="eastAsia"/>
              </w:rPr>
              <w:t>4</w:t>
            </w:r>
            <w:r>
              <w:t>5</w:t>
            </w:r>
          </w:p>
        </w:tc>
        <w:tc>
          <w:tcPr>
            <w:tcW w:w="930" w:type="pct"/>
            <w:vAlign w:val="center"/>
          </w:tcPr>
          <w:p w:rsidR="00F95F9B" w:rsidRDefault="00000000">
            <w:pPr>
              <w:pStyle w:val="afffc"/>
              <w:snapToGrid w:val="0"/>
              <w:spacing w:line="240" w:lineRule="auto"/>
              <w:ind w:firstLineChars="0" w:firstLine="0"/>
              <w:jc w:val="center"/>
            </w:pPr>
            <w:r>
              <w:rPr>
                <w:rFonts w:hint="eastAsia"/>
              </w:rPr>
              <w:t>6</w:t>
            </w:r>
            <w:r>
              <w:rPr>
                <w:rFonts w:hint="eastAsia"/>
              </w:rPr>
              <w:t>度</w:t>
            </w:r>
          </w:p>
        </w:tc>
        <w:tc>
          <w:tcPr>
            <w:tcW w:w="747" w:type="pct"/>
            <w:vAlign w:val="center"/>
          </w:tcPr>
          <w:p w:rsidR="00F95F9B" w:rsidRDefault="00F95F9B">
            <w:pPr>
              <w:pStyle w:val="afffc"/>
              <w:snapToGrid w:val="0"/>
              <w:spacing w:line="240" w:lineRule="auto"/>
              <w:ind w:firstLineChars="0" w:firstLine="0"/>
              <w:jc w:val="center"/>
            </w:pPr>
          </w:p>
        </w:tc>
      </w:tr>
      <w:tr w:rsidR="00F95F9B">
        <w:tc>
          <w:tcPr>
            <w:tcW w:w="452" w:type="pct"/>
            <w:vMerge w:val="restart"/>
            <w:vAlign w:val="center"/>
          </w:tcPr>
          <w:p w:rsidR="00F95F9B" w:rsidRDefault="00000000">
            <w:pPr>
              <w:pStyle w:val="afffc"/>
              <w:snapToGrid w:val="0"/>
              <w:spacing w:line="240" w:lineRule="auto"/>
              <w:ind w:firstLineChars="0" w:firstLine="0"/>
              <w:jc w:val="center"/>
            </w:pPr>
            <w:r>
              <w:rPr>
                <w:rFonts w:hint="eastAsia"/>
              </w:rPr>
              <w:t>3</w:t>
            </w:r>
          </w:p>
        </w:tc>
        <w:tc>
          <w:tcPr>
            <w:tcW w:w="388" w:type="pct"/>
            <w:vMerge w:val="restart"/>
            <w:vAlign w:val="center"/>
          </w:tcPr>
          <w:p w:rsidR="00F95F9B" w:rsidRDefault="00000000">
            <w:pPr>
              <w:pStyle w:val="afffc"/>
              <w:snapToGrid w:val="0"/>
              <w:spacing w:line="240" w:lineRule="auto"/>
              <w:ind w:firstLineChars="0" w:firstLine="0"/>
              <w:jc w:val="center"/>
            </w:pPr>
            <w:r>
              <w:rPr>
                <w:rFonts w:hint="eastAsia"/>
              </w:rPr>
              <w:t>济南</w:t>
            </w:r>
          </w:p>
        </w:tc>
        <w:tc>
          <w:tcPr>
            <w:tcW w:w="543" w:type="pct"/>
            <w:vAlign w:val="center"/>
          </w:tcPr>
          <w:p w:rsidR="00F95F9B" w:rsidRDefault="00000000">
            <w:pPr>
              <w:pStyle w:val="afffc"/>
              <w:snapToGrid w:val="0"/>
              <w:spacing w:line="240" w:lineRule="auto"/>
              <w:ind w:firstLineChars="0" w:firstLine="0"/>
              <w:jc w:val="center"/>
            </w:pPr>
            <w:r>
              <w:rPr>
                <w:rFonts w:hint="eastAsia"/>
              </w:rPr>
              <w:t>济阳区</w:t>
            </w:r>
          </w:p>
        </w:tc>
        <w:tc>
          <w:tcPr>
            <w:tcW w:w="929" w:type="pct"/>
            <w:vAlign w:val="center"/>
          </w:tcPr>
          <w:p w:rsidR="00F95F9B" w:rsidRDefault="00000000">
            <w:pPr>
              <w:pStyle w:val="afffc"/>
              <w:snapToGrid w:val="0"/>
              <w:spacing w:line="240" w:lineRule="auto"/>
              <w:ind w:firstLineChars="0" w:firstLine="0"/>
              <w:jc w:val="center"/>
            </w:pPr>
            <w:r>
              <w:rPr>
                <w:rFonts w:hint="eastAsia"/>
              </w:rPr>
              <w:t>0.05</w:t>
            </w:r>
          </w:p>
        </w:tc>
        <w:tc>
          <w:tcPr>
            <w:tcW w:w="1006" w:type="pct"/>
            <w:vAlign w:val="center"/>
          </w:tcPr>
          <w:p w:rsidR="00F95F9B" w:rsidRDefault="00000000">
            <w:pPr>
              <w:pStyle w:val="afffc"/>
              <w:snapToGrid w:val="0"/>
              <w:spacing w:line="240" w:lineRule="auto"/>
              <w:ind w:firstLineChars="0" w:firstLine="0"/>
              <w:jc w:val="center"/>
            </w:pPr>
            <w:r>
              <w:t>0.</w:t>
            </w:r>
            <w:r>
              <w:rPr>
                <w:rFonts w:hint="eastAsia"/>
              </w:rPr>
              <w:t>4</w:t>
            </w:r>
            <w:r>
              <w:t>5</w:t>
            </w:r>
          </w:p>
        </w:tc>
        <w:tc>
          <w:tcPr>
            <w:tcW w:w="930" w:type="pct"/>
            <w:vAlign w:val="center"/>
          </w:tcPr>
          <w:p w:rsidR="00F95F9B" w:rsidRDefault="00000000">
            <w:pPr>
              <w:pStyle w:val="afffc"/>
              <w:snapToGrid w:val="0"/>
              <w:spacing w:line="240" w:lineRule="auto"/>
              <w:ind w:firstLineChars="0" w:firstLine="0"/>
              <w:jc w:val="center"/>
            </w:pPr>
            <w:r>
              <w:rPr>
                <w:rFonts w:hint="eastAsia"/>
              </w:rPr>
              <w:t>6</w:t>
            </w:r>
            <w:r>
              <w:rPr>
                <w:rFonts w:hint="eastAsia"/>
              </w:rPr>
              <w:t>度</w:t>
            </w:r>
          </w:p>
        </w:tc>
        <w:tc>
          <w:tcPr>
            <w:tcW w:w="747" w:type="pct"/>
            <w:vAlign w:val="center"/>
          </w:tcPr>
          <w:p w:rsidR="00F95F9B" w:rsidRDefault="00F95F9B">
            <w:pPr>
              <w:pStyle w:val="afffc"/>
              <w:snapToGrid w:val="0"/>
              <w:spacing w:line="240" w:lineRule="auto"/>
              <w:ind w:firstLineChars="0" w:firstLine="0"/>
              <w:jc w:val="center"/>
            </w:pPr>
          </w:p>
        </w:tc>
      </w:tr>
      <w:tr w:rsidR="00F95F9B">
        <w:tc>
          <w:tcPr>
            <w:tcW w:w="452" w:type="pct"/>
            <w:vMerge/>
            <w:vAlign w:val="center"/>
          </w:tcPr>
          <w:p w:rsidR="00F95F9B" w:rsidRDefault="00F95F9B">
            <w:pPr>
              <w:pStyle w:val="afffc"/>
              <w:snapToGrid w:val="0"/>
              <w:spacing w:line="240" w:lineRule="auto"/>
              <w:ind w:firstLineChars="0" w:firstLine="0"/>
              <w:jc w:val="center"/>
            </w:pPr>
          </w:p>
        </w:tc>
        <w:tc>
          <w:tcPr>
            <w:tcW w:w="388" w:type="pct"/>
            <w:vMerge/>
            <w:vAlign w:val="center"/>
          </w:tcPr>
          <w:p w:rsidR="00F95F9B" w:rsidRDefault="00F95F9B">
            <w:pPr>
              <w:pStyle w:val="afffc"/>
              <w:snapToGrid w:val="0"/>
              <w:spacing w:line="240" w:lineRule="auto"/>
              <w:ind w:firstLineChars="0" w:firstLine="0"/>
              <w:jc w:val="center"/>
            </w:pPr>
          </w:p>
        </w:tc>
        <w:tc>
          <w:tcPr>
            <w:tcW w:w="543" w:type="pct"/>
            <w:vAlign w:val="center"/>
          </w:tcPr>
          <w:p w:rsidR="00F95F9B" w:rsidRDefault="00000000">
            <w:pPr>
              <w:pStyle w:val="afffc"/>
              <w:snapToGrid w:val="0"/>
              <w:spacing w:line="240" w:lineRule="auto"/>
              <w:ind w:firstLineChars="0" w:firstLine="0"/>
              <w:jc w:val="center"/>
            </w:pPr>
            <w:r>
              <w:rPr>
                <w:rFonts w:hint="eastAsia"/>
              </w:rPr>
              <w:t>商河县</w:t>
            </w:r>
          </w:p>
        </w:tc>
        <w:tc>
          <w:tcPr>
            <w:tcW w:w="929" w:type="pct"/>
            <w:vAlign w:val="center"/>
          </w:tcPr>
          <w:p w:rsidR="00F95F9B" w:rsidRDefault="00000000">
            <w:pPr>
              <w:pStyle w:val="afffc"/>
              <w:snapToGrid w:val="0"/>
              <w:spacing w:line="240" w:lineRule="auto"/>
              <w:ind w:firstLineChars="0" w:firstLine="0"/>
              <w:jc w:val="center"/>
            </w:pPr>
            <w:r>
              <w:rPr>
                <w:rFonts w:hint="eastAsia"/>
              </w:rPr>
              <w:t>0.05</w:t>
            </w:r>
          </w:p>
        </w:tc>
        <w:tc>
          <w:tcPr>
            <w:tcW w:w="1006" w:type="pct"/>
            <w:vAlign w:val="center"/>
          </w:tcPr>
          <w:p w:rsidR="00F95F9B" w:rsidRDefault="00000000">
            <w:pPr>
              <w:pStyle w:val="afffc"/>
              <w:snapToGrid w:val="0"/>
              <w:spacing w:line="240" w:lineRule="auto"/>
              <w:ind w:firstLineChars="0" w:firstLine="0"/>
              <w:jc w:val="center"/>
            </w:pPr>
            <w:r>
              <w:t>0.</w:t>
            </w:r>
            <w:r>
              <w:rPr>
                <w:rFonts w:hint="eastAsia"/>
              </w:rPr>
              <w:t>4</w:t>
            </w:r>
            <w:r>
              <w:t>5</w:t>
            </w:r>
          </w:p>
        </w:tc>
        <w:tc>
          <w:tcPr>
            <w:tcW w:w="930" w:type="pct"/>
            <w:vAlign w:val="center"/>
          </w:tcPr>
          <w:p w:rsidR="00F95F9B" w:rsidRDefault="00000000">
            <w:pPr>
              <w:pStyle w:val="afffc"/>
              <w:snapToGrid w:val="0"/>
              <w:spacing w:line="240" w:lineRule="auto"/>
              <w:ind w:firstLineChars="0" w:firstLine="0"/>
              <w:jc w:val="center"/>
            </w:pPr>
            <w:r>
              <w:rPr>
                <w:rFonts w:hint="eastAsia"/>
              </w:rPr>
              <w:t>6</w:t>
            </w:r>
            <w:r>
              <w:rPr>
                <w:rFonts w:hint="eastAsia"/>
              </w:rPr>
              <w:t>度</w:t>
            </w:r>
          </w:p>
        </w:tc>
        <w:tc>
          <w:tcPr>
            <w:tcW w:w="747" w:type="pct"/>
            <w:vAlign w:val="center"/>
          </w:tcPr>
          <w:p w:rsidR="00F95F9B" w:rsidRDefault="00F95F9B">
            <w:pPr>
              <w:pStyle w:val="afffc"/>
              <w:snapToGrid w:val="0"/>
              <w:spacing w:line="240" w:lineRule="auto"/>
              <w:ind w:firstLineChars="0" w:firstLine="0"/>
              <w:jc w:val="center"/>
            </w:pPr>
          </w:p>
        </w:tc>
      </w:tr>
      <w:tr w:rsidR="00F95F9B">
        <w:tc>
          <w:tcPr>
            <w:tcW w:w="452" w:type="pct"/>
            <w:vAlign w:val="center"/>
          </w:tcPr>
          <w:p w:rsidR="00F95F9B" w:rsidRDefault="00000000">
            <w:pPr>
              <w:pStyle w:val="afffc"/>
              <w:snapToGrid w:val="0"/>
              <w:spacing w:line="240" w:lineRule="auto"/>
              <w:ind w:firstLineChars="0" w:firstLine="0"/>
              <w:jc w:val="center"/>
            </w:pPr>
            <w:r>
              <w:rPr>
                <w:rFonts w:hint="eastAsia"/>
              </w:rPr>
              <w:t>4</w:t>
            </w:r>
          </w:p>
        </w:tc>
        <w:tc>
          <w:tcPr>
            <w:tcW w:w="388" w:type="pct"/>
            <w:vAlign w:val="center"/>
          </w:tcPr>
          <w:p w:rsidR="00F95F9B" w:rsidRDefault="00000000">
            <w:pPr>
              <w:pStyle w:val="afffc"/>
              <w:snapToGrid w:val="0"/>
              <w:spacing w:line="240" w:lineRule="auto"/>
              <w:ind w:firstLineChars="0" w:firstLine="0"/>
              <w:jc w:val="center"/>
            </w:pPr>
            <w:r>
              <w:rPr>
                <w:rFonts w:hint="eastAsia"/>
              </w:rPr>
              <w:t>德州</w:t>
            </w:r>
          </w:p>
        </w:tc>
        <w:tc>
          <w:tcPr>
            <w:tcW w:w="543" w:type="pct"/>
            <w:vAlign w:val="center"/>
          </w:tcPr>
          <w:p w:rsidR="00F95F9B" w:rsidRDefault="00000000">
            <w:pPr>
              <w:pStyle w:val="afffc"/>
              <w:snapToGrid w:val="0"/>
              <w:spacing w:line="240" w:lineRule="auto"/>
              <w:ind w:firstLineChars="0" w:firstLine="0"/>
              <w:jc w:val="center"/>
            </w:pPr>
            <w:r>
              <w:rPr>
                <w:rFonts w:hint="eastAsia"/>
              </w:rPr>
              <w:t>临邑县</w:t>
            </w:r>
          </w:p>
        </w:tc>
        <w:tc>
          <w:tcPr>
            <w:tcW w:w="929" w:type="pct"/>
            <w:vAlign w:val="center"/>
          </w:tcPr>
          <w:p w:rsidR="00F95F9B" w:rsidRDefault="00000000">
            <w:pPr>
              <w:pStyle w:val="afffc"/>
              <w:snapToGrid w:val="0"/>
              <w:spacing w:line="240" w:lineRule="auto"/>
              <w:ind w:firstLineChars="0" w:firstLine="0"/>
              <w:jc w:val="center"/>
            </w:pPr>
            <w:r>
              <w:rPr>
                <w:rFonts w:hint="eastAsia"/>
              </w:rPr>
              <w:t>0.05</w:t>
            </w:r>
          </w:p>
        </w:tc>
        <w:tc>
          <w:tcPr>
            <w:tcW w:w="1006" w:type="pct"/>
            <w:vAlign w:val="center"/>
          </w:tcPr>
          <w:p w:rsidR="00F95F9B" w:rsidRDefault="00000000">
            <w:pPr>
              <w:pStyle w:val="afffc"/>
              <w:snapToGrid w:val="0"/>
              <w:spacing w:line="240" w:lineRule="auto"/>
              <w:ind w:firstLineChars="0" w:firstLine="0"/>
              <w:jc w:val="center"/>
            </w:pPr>
            <w:r>
              <w:t>0.</w:t>
            </w:r>
            <w:r>
              <w:rPr>
                <w:rFonts w:hint="eastAsia"/>
              </w:rPr>
              <w:t>4</w:t>
            </w:r>
            <w:r>
              <w:t>5</w:t>
            </w:r>
          </w:p>
        </w:tc>
        <w:tc>
          <w:tcPr>
            <w:tcW w:w="930" w:type="pct"/>
            <w:vAlign w:val="center"/>
          </w:tcPr>
          <w:p w:rsidR="00F95F9B" w:rsidRDefault="00000000">
            <w:pPr>
              <w:pStyle w:val="afffc"/>
              <w:snapToGrid w:val="0"/>
              <w:spacing w:line="240" w:lineRule="auto"/>
              <w:ind w:firstLineChars="0" w:firstLine="0"/>
              <w:jc w:val="center"/>
            </w:pPr>
            <w:r>
              <w:rPr>
                <w:rFonts w:hint="eastAsia"/>
              </w:rPr>
              <w:t>6</w:t>
            </w:r>
            <w:r>
              <w:rPr>
                <w:rFonts w:hint="eastAsia"/>
              </w:rPr>
              <w:t>度</w:t>
            </w:r>
          </w:p>
        </w:tc>
        <w:tc>
          <w:tcPr>
            <w:tcW w:w="747" w:type="pct"/>
            <w:vAlign w:val="center"/>
          </w:tcPr>
          <w:p w:rsidR="00F95F9B" w:rsidRDefault="00F95F9B">
            <w:pPr>
              <w:pStyle w:val="afffc"/>
              <w:snapToGrid w:val="0"/>
              <w:spacing w:line="240" w:lineRule="auto"/>
              <w:ind w:firstLineChars="0" w:firstLine="0"/>
              <w:jc w:val="center"/>
            </w:pPr>
          </w:p>
        </w:tc>
      </w:tr>
    </w:tbl>
    <w:p w:rsidR="00F95F9B" w:rsidRDefault="00000000">
      <w:pPr>
        <w:pStyle w:val="3"/>
        <w:keepNext w:val="0"/>
        <w:keepLines w:val="0"/>
        <w:widowControl w:val="0"/>
        <w:adjustRightInd w:val="0"/>
        <w:snapToGrid w:val="0"/>
        <w:spacing w:beforeLines="50" w:before="170"/>
        <w:ind w:left="0"/>
      </w:pPr>
      <w:r>
        <w:rPr>
          <w:rFonts w:hint="eastAsia"/>
        </w:rPr>
        <w:t>社会环境</w:t>
      </w:r>
    </w:p>
    <w:p w:rsidR="00F95F9B" w:rsidRDefault="00000000">
      <w:pPr>
        <w:widowControl w:val="0"/>
        <w:adjustRightInd w:val="0"/>
        <w:snapToGrid w:val="0"/>
        <w:ind w:firstLine="470"/>
        <w:rPr>
          <w:szCs w:val="24"/>
        </w:rPr>
      </w:pPr>
      <w:r>
        <w:rPr>
          <w:rFonts w:hint="eastAsia"/>
          <w:szCs w:val="24"/>
        </w:rPr>
        <w:t>鲁明公司机关位于东营市东营区，管理着曲堤、商河、玉皇庙、临南、青南、滨南等</w:t>
      </w:r>
      <w:r>
        <w:rPr>
          <w:rFonts w:hint="eastAsia"/>
          <w:szCs w:val="24"/>
        </w:rPr>
        <w:t xml:space="preserve"> 12</w:t>
      </w:r>
      <w:r>
        <w:rPr>
          <w:rFonts w:hint="eastAsia"/>
          <w:szCs w:val="24"/>
        </w:rPr>
        <w:t>个油气田，开发区块分布于</w:t>
      </w:r>
      <w:r>
        <w:rPr>
          <w:rFonts w:hint="eastAsia"/>
          <w:szCs w:val="24"/>
          <w:lang w:val="zh-CN"/>
        </w:rPr>
        <w:t>济南、德州、滨州、东营等</w:t>
      </w:r>
      <w:r>
        <w:rPr>
          <w:rFonts w:hint="eastAsia"/>
          <w:szCs w:val="24"/>
          <w:lang w:val="zh-CN"/>
        </w:rPr>
        <w:t>4</w:t>
      </w:r>
      <w:r>
        <w:rPr>
          <w:rFonts w:hint="eastAsia"/>
          <w:szCs w:val="24"/>
          <w:lang w:val="zh-CN"/>
        </w:rPr>
        <w:t>个地市</w:t>
      </w:r>
      <w:r>
        <w:rPr>
          <w:rFonts w:hint="eastAsia"/>
          <w:szCs w:val="24"/>
          <w:lang w:val="zh-CN"/>
        </w:rPr>
        <w:t>8</w:t>
      </w:r>
      <w:r>
        <w:rPr>
          <w:rFonts w:hint="eastAsia"/>
          <w:szCs w:val="24"/>
          <w:lang w:val="zh-CN"/>
        </w:rPr>
        <w:t>个县（区）</w:t>
      </w:r>
      <w:r>
        <w:rPr>
          <w:rFonts w:hint="eastAsia"/>
          <w:szCs w:val="24"/>
        </w:rPr>
        <w:t>。井场、站场及管线主要分布于农田和荒地中，周围分布有居民区、厂矿企业、公路、铁路、河流等。近几年随着城区的扩建，部分管线、站场被城区包围。</w:t>
      </w:r>
    </w:p>
    <w:p w:rsidR="00F95F9B" w:rsidRDefault="00000000">
      <w:pPr>
        <w:widowControl w:val="0"/>
        <w:adjustRightInd w:val="0"/>
        <w:snapToGrid w:val="0"/>
        <w:ind w:firstLine="470"/>
        <w:rPr>
          <w:szCs w:val="24"/>
        </w:rPr>
      </w:pPr>
      <w:r>
        <w:rPr>
          <w:rFonts w:hint="eastAsia"/>
          <w:szCs w:val="24"/>
        </w:rPr>
        <w:t>东营地处中国华东地区、山东东北部、黄河入海口的三角洲地带，东临渤海，与日本、韩国隔海相望，北靠京津唐经济区，南连山东半岛蓝色经济区，向西辐射广大内陆地区，是环渤海经济区的重要节点、山东半岛城市群的重要组成部分，处于连接中原经济区与东</w:t>
      </w:r>
      <w:r>
        <w:rPr>
          <w:rFonts w:hint="eastAsia"/>
          <w:szCs w:val="24"/>
        </w:rPr>
        <w:lastRenderedPageBreak/>
        <w:t>北经济区、京津唐经济区与胶东半岛经济区的枢纽位置。交通便利，社会环境良好。</w:t>
      </w:r>
    </w:p>
    <w:p w:rsidR="00F95F9B" w:rsidRDefault="00000000">
      <w:pPr>
        <w:widowControl w:val="0"/>
        <w:adjustRightInd w:val="0"/>
        <w:snapToGrid w:val="0"/>
        <w:ind w:firstLine="470"/>
        <w:rPr>
          <w:szCs w:val="24"/>
        </w:rPr>
      </w:pPr>
      <w:r>
        <w:rPr>
          <w:rFonts w:hint="eastAsia"/>
          <w:szCs w:val="24"/>
        </w:rPr>
        <w:t>滨州历史悠久，是黄河文化和齐文化的发祥地之一，是渤海革命老区中心区、渤海区党委机关驻地。滨州依河傍海，是连接苏、鲁、京、津的重要通道，是国家级交通运输的枢纽城市之一。交通便利，社会环境良好。</w:t>
      </w:r>
    </w:p>
    <w:p w:rsidR="00F95F9B" w:rsidRDefault="00000000">
      <w:pPr>
        <w:widowControl w:val="0"/>
        <w:adjustRightInd w:val="0"/>
        <w:snapToGrid w:val="0"/>
        <w:ind w:firstLine="470"/>
        <w:rPr>
          <w:szCs w:val="24"/>
        </w:rPr>
      </w:pPr>
      <w:r>
        <w:rPr>
          <w:rFonts w:hint="eastAsia"/>
          <w:szCs w:val="24"/>
        </w:rPr>
        <w:t>济南地处中国</w:t>
      </w:r>
      <w:hyperlink r:id="rId53" w:tgtFrame="https://baike.baidu.com/item/%E6%B5%8E%E5%8D%97/_blank" w:history="1">
        <w:r>
          <w:rPr>
            <w:rFonts w:hint="eastAsia"/>
            <w:szCs w:val="24"/>
          </w:rPr>
          <w:t>华东地区</w:t>
        </w:r>
      </w:hyperlink>
      <w:r>
        <w:rPr>
          <w:rFonts w:hint="eastAsia"/>
          <w:szCs w:val="24"/>
        </w:rPr>
        <w:t>、山东中西部、</w:t>
      </w:r>
      <w:hyperlink r:id="rId54" w:tgtFrame="https://baike.baidu.com/item/%E6%B5%8E%E5%8D%97/_blank" w:history="1">
        <w:r>
          <w:rPr>
            <w:rFonts w:hint="eastAsia"/>
            <w:szCs w:val="24"/>
          </w:rPr>
          <w:t>华北平原</w:t>
        </w:r>
      </w:hyperlink>
      <w:r>
        <w:rPr>
          <w:rFonts w:hint="eastAsia"/>
          <w:szCs w:val="24"/>
        </w:rPr>
        <w:t>东南部边缘，北连</w:t>
      </w:r>
      <w:hyperlink r:id="rId55" w:tgtFrame="https://baike.baidu.com/item/%E6%B5%8E%E5%8D%97/_blank" w:history="1">
        <w:r>
          <w:rPr>
            <w:rFonts w:hint="eastAsia"/>
            <w:szCs w:val="24"/>
          </w:rPr>
          <w:t>京津冀</w:t>
        </w:r>
      </w:hyperlink>
      <w:r>
        <w:rPr>
          <w:rFonts w:hint="eastAsia"/>
          <w:szCs w:val="24"/>
        </w:rPr>
        <w:t>、南接</w:t>
      </w:r>
      <w:hyperlink r:id="rId56" w:tgtFrame="https://baike.baidu.com/item/%E6%B5%8E%E5%8D%97/_blank" w:history="1">
        <w:r>
          <w:rPr>
            <w:rFonts w:hint="eastAsia"/>
            <w:szCs w:val="24"/>
          </w:rPr>
          <w:t>长江三角洲地区</w:t>
        </w:r>
      </w:hyperlink>
      <w:r>
        <w:rPr>
          <w:rFonts w:hint="eastAsia"/>
          <w:szCs w:val="24"/>
        </w:rPr>
        <w:t>，是</w:t>
      </w:r>
      <w:hyperlink r:id="rId57" w:tgtFrame="https://baike.baidu.com/item/%E6%B5%8E%E5%8D%97/_blank" w:history="1">
        <w:r>
          <w:rPr>
            <w:rFonts w:hint="eastAsia"/>
            <w:szCs w:val="24"/>
          </w:rPr>
          <w:t>中国人民解放军北部战区</w:t>
        </w:r>
      </w:hyperlink>
      <w:r>
        <w:rPr>
          <w:rFonts w:hint="eastAsia"/>
          <w:szCs w:val="24"/>
        </w:rPr>
        <w:t>陆军机关驻地、</w:t>
      </w:r>
      <w:hyperlink r:id="rId58" w:tgtFrame="https://baike.baidu.com/item/%E6%B5%8E%E5%8D%97/_blank" w:history="1">
        <w:r>
          <w:rPr>
            <w:rFonts w:hint="eastAsia"/>
            <w:szCs w:val="24"/>
          </w:rPr>
          <w:t>环渤海经济区</w:t>
        </w:r>
      </w:hyperlink>
      <w:r>
        <w:rPr>
          <w:rFonts w:hint="eastAsia"/>
          <w:szCs w:val="24"/>
        </w:rPr>
        <w:t>和京沪经济轴上的重要交汇点，</w:t>
      </w:r>
      <w:hyperlink r:id="rId59" w:tgtFrame="https://baike.baidu.com/item/%E6%B5%8E%E5%8D%97/_blank" w:history="1">
        <w:r>
          <w:rPr>
            <w:rFonts w:hint="eastAsia"/>
            <w:szCs w:val="24"/>
          </w:rPr>
          <w:t>华东地区</w:t>
        </w:r>
      </w:hyperlink>
      <w:r>
        <w:rPr>
          <w:rFonts w:hint="eastAsia"/>
          <w:szCs w:val="24"/>
        </w:rPr>
        <w:t>重要的交通枢纽之一。</w:t>
      </w:r>
    </w:p>
    <w:p w:rsidR="00F95F9B" w:rsidRDefault="00000000">
      <w:pPr>
        <w:widowControl w:val="0"/>
        <w:adjustRightInd w:val="0"/>
        <w:snapToGrid w:val="0"/>
        <w:ind w:firstLine="470"/>
      </w:pPr>
      <w:r>
        <w:rPr>
          <w:rFonts w:hint="eastAsia"/>
        </w:rPr>
        <w:t>德州市位于山东省西北部，黄河下游北侧，北以漳卫新河为界，与河北省沧州市为邻；西以卫运河为界，与河北省衡水市毗连；西南与聊城市接壤；南隔黄河与济南市相望；东临滨州市。德州自古就有“九达天衢”“神京门户”之称，是全国重要的交通枢纽。</w:t>
      </w:r>
    </w:p>
    <w:p w:rsidR="00F95F9B" w:rsidRDefault="00000000">
      <w:pPr>
        <w:pStyle w:val="2"/>
        <w:keepNext w:val="0"/>
        <w:keepLines w:val="0"/>
        <w:adjustRightInd w:val="0"/>
        <w:snapToGrid w:val="0"/>
        <w:spacing w:before="170" w:after="170"/>
      </w:pPr>
      <w:bookmarkStart w:id="32" w:name="_Toc4904"/>
      <w:r>
        <w:rPr>
          <w:rFonts w:hint="eastAsia"/>
        </w:rPr>
        <w:t>油气田基本情况</w:t>
      </w:r>
      <w:bookmarkEnd w:id="32"/>
    </w:p>
    <w:p w:rsidR="00F95F9B" w:rsidRDefault="00000000">
      <w:pPr>
        <w:pStyle w:val="3"/>
        <w:keepNext w:val="0"/>
        <w:keepLines w:val="0"/>
        <w:widowControl w:val="0"/>
        <w:adjustRightInd w:val="0"/>
        <w:snapToGrid w:val="0"/>
        <w:ind w:left="0"/>
      </w:pPr>
      <w:r>
        <w:rPr>
          <w:rFonts w:hint="eastAsia"/>
        </w:rPr>
        <w:t>油气藏基本情况</w:t>
      </w:r>
    </w:p>
    <w:p w:rsidR="00F95F9B" w:rsidRDefault="00000000">
      <w:pPr>
        <w:pStyle w:val="afff8"/>
        <w:widowControl w:val="0"/>
        <w:adjustRightInd w:val="0"/>
        <w:snapToGrid w:val="0"/>
        <w:ind w:firstLine="470"/>
      </w:pPr>
      <w:r>
        <w:rPr>
          <w:rFonts w:hint="eastAsia"/>
        </w:rPr>
        <w:t>鲁明公司工区面积</w:t>
      </w:r>
      <w:r>
        <w:rPr>
          <w:rFonts w:hint="eastAsia"/>
        </w:rPr>
        <w:t>5415km</w:t>
      </w:r>
      <w:r>
        <w:rPr>
          <w:rFonts w:hint="eastAsia"/>
          <w:vertAlign w:val="superscript"/>
        </w:rPr>
        <w:t>2</w:t>
      </w:r>
      <w:r>
        <w:rPr>
          <w:rFonts w:hint="eastAsia"/>
        </w:rPr>
        <w:t>，分为东、中、西以及外围四个区域，分布在</w:t>
      </w:r>
      <w:r>
        <w:rPr>
          <w:rFonts w:hint="eastAsia"/>
        </w:rPr>
        <w:t>4</w:t>
      </w:r>
      <w:r>
        <w:rPr>
          <w:rFonts w:hint="eastAsia"/>
        </w:rPr>
        <w:t>个地市</w:t>
      </w:r>
      <w:r>
        <w:rPr>
          <w:rFonts w:hint="eastAsia"/>
        </w:rPr>
        <w:t>8</w:t>
      </w:r>
      <w:r>
        <w:rPr>
          <w:rFonts w:hint="eastAsia"/>
        </w:rPr>
        <w:t>个县区，具有面积大、分布广，外围占比高（</w:t>
      </w:r>
      <w:r>
        <w:rPr>
          <w:rFonts w:hint="eastAsia"/>
        </w:rPr>
        <w:t>80.7%</w:t>
      </w:r>
      <w:r>
        <w:rPr>
          <w:rFonts w:hint="eastAsia"/>
        </w:rPr>
        <w:t>）的特点。鲁明公司采矿许可证涉及</w:t>
      </w:r>
      <w:r>
        <w:rPr>
          <w:rFonts w:hint="eastAsia"/>
        </w:rPr>
        <w:t>12</w:t>
      </w:r>
      <w:r>
        <w:rPr>
          <w:rFonts w:hint="eastAsia"/>
        </w:rPr>
        <w:t>个油气田，情况如表</w:t>
      </w:r>
      <w:r>
        <w:rPr>
          <w:rFonts w:hint="eastAsia"/>
        </w:rPr>
        <w:t>2.2-1</w:t>
      </w:r>
      <w:r>
        <w:rPr>
          <w:rFonts w:hint="eastAsia"/>
        </w:rPr>
        <w:t>所示。</w:t>
      </w:r>
    </w:p>
    <w:p w:rsidR="00F95F9B" w:rsidRDefault="00F95F9B">
      <w:pPr>
        <w:pStyle w:val="af3"/>
        <w:widowControl w:val="0"/>
        <w:adjustRightInd w:val="0"/>
        <w:snapToGrid w:val="0"/>
        <w:spacing w:line="240" w:lineRule="auto"/>
      </w:pPr>
    </w:p>
    <w:p w:rsidR="00F95F9B" w:rsidRDefault="00000000">
      <w:pPr>
        <w:pStyle w:val="af3"/>
        <w:widowControl w:val="0"/>
        <w:adjustRightInd w:val="0"/>
        <w:snapToGrid w:val="0"/>
        <w:spacing w:line="240" w:lineRule="auto"/>
      </w:pPr>
      <w:r>
        <w:rPr>
          <w:rFonts w:hint="eastAsia"/>
        </w:rPr>
        <w:t>表</w:t>
      </w:r>
      <w:r>
        <w:rPr>
          <w:rFonts w:hint="eastAsia"/>
        </w:rPr>
        <w:t xml:space="preserve"> </w:t>
      </w:r>
      <w:r>
        <w:fldChar w:fldCharType="begin"/>
      </w:r>
      <w:r>
        <w:instrText xml:space="preserve"> </w:instrText>
      </w:r>
      <w:r>
        <w:rPr>
          <w:rFonts w:hint="eastAsia"/>
        </w:rPr>
        <w:instrText>STYLEREF 2 \s</w:instrText>
      </w:r>
      <w:r>
        <w:instrText xml:space="preserve"> </w:instrText>
      </w:r>
      <w:r>
        <w:fldChar w:fldCharType="separate"/>
      </w:r>
      <w:r>
        <w:t>2.</w:t>
      </w:r>
      <w:r>
        <w:rPr>
          <w:rFonts w:hint="eastAsia"/>
        </w:rPr>
        <w:t>2</w:t>
      </w:r>
      <w:r>
        <w:fldChar w:fldCharType="end"/>
      </w:r>
      <w:r>
        <w:noBreakHyphen/>
      </w:r>
      <w:r>
        <w:rPr>
          <w:rFonts w:hint="eastAsia"/>
        </w:rPr>
        <w:t>1</w:t>
      </w:r>
      <w:r>
        <w:t xml:space="preserve"> </w:t>
      </w:r>
      <w:r>
        <w:rPr>
          <w:rFonts w:hint="eastAsia"/>
        </w:rPr>
        <w:t xml:space="preserve"> </w:t>
      </w:r>
      <w:r>
        <w:rPr>
          <w:rFonts w:hint="eastAsia"/>
        </w:rPr>
        <w:t>鲁明公司油田开发现状表</w:t>
      </w:r>
    </w:p>
    <w:p w:rsidR="00F95F9B" w:rsidRDefault="00000000">
      <w:pPr>
        <w:widowControl w:val="0"/>
        <w:adjustRightInd w:val="0"/>
        <w:snapToGrid w:val="0"/>
        <w:ind w:firstLine="550"/>
        <w:jc w:val="left"/>
        <w:rPr>
          <w:color w:val="000000" w:themeColor="text1"/>
          <w:sz w:val="28"/>
          <w:szCs w:val="28"/>
        </w:rPr>
      </w:pPr>
      <w:r>
        <w:rPr>
          <w:rFonts w:hint="eastAsia"/>
          <w:color w:val="000000" w:themeColor="text1"/>
          <w:sz w:val="28"/>
          <w:szCs w:val="28"/>
        </w:rPr>
        <w:t>涉及企业机密，不予公开。</w:t>
      </w:r>
    </w:p>
    <w:p w:rsidR="00F95F9B" w:rsidRDefault="00000000">
      <w:pPr>
        <w:pStyle w:val="afff8"/>
        <w:widowControl w:val="0"/>
        <w:adjustRightInd w:val="0"/>
        <w:snapToGrid w:val="0"/>
        <w:spacing w:beforeLines="50" w:before="170"/>
        <w:ind w:firstLine="470"/>
      </w:pPr>
      <w:r>
        <w:rPr>
          <w:rFonts w:hint="eastAsia"/>
        </w:rPr>
        <w:t>鲁明公司按照采矿许可证范围进行石油天然气开采活动，未超范围超时限开采。</w:t>
      </w:r>
    </w:p>
    <w:p w:rsidR="00F95F9B" w:rsidRDefault="00000000">
      <w:pPr>
        <w:widowControl w:val="0"/>
        <w:adjustRightInd w:val="0"/>
        <w:snapToGrid w:val="0"/>
        <w:spacing w:beforeLines="50" w:before="170" w:line="240" w:lineRule="auto"/>
        <w:ind w:firstLineChars="0" w:firstLine="0"/>
        <w:jc w:val="center"/>
      </w:pPr>
      <w:r>
        <w:rPr>
          <w:noProof/>
        </w:rPr>
        <w:lastRenderedPageBreak/>
        <w:drawing>
          <wp:inline distT="0" distB="0" distL="114300" distR="114300">
            <wp:extent cx="5988050" cy="3322320"/>
            <wp:effectExtent l="0" t="0" r="1270"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60"/>
                    <a:stretch>
                      <a:fillRect/>
                    </a:stretch>
                  </pic:blipFill>
                  <pic:spPr>
                    <a:xfrm>
                      <a:off x="0" y="0"/>
                      <a:ext cx="5988050" cy="3322320"/>
                    </a:xfrm>
                    <a:prstGeom prst="rect">
                      <a:avLst/>
                    </a:prstGeom>
                    <a:noFill/>
                    <a:ln>
                      <a:noFill/>
                    </a:ln>
                  </pic:spPr>
                </pic:pic>
              </a:graphicData>
            </a:graphic>
          </wp:inline>
        </w:drawing>
      </w:r>
    </w:p>
    <w:p w:rsidR="00F95F9B" w:rsidRDefault="00000000">
      <w:pPr>
        <w:widowControl w:val="0"/>
        <w:adjustRightInd w:val="0"/>
        <w:snapToGrid w:val="0"/>
        <w:ind w:firstLineChars="0" w:firstLine="0"/>
        <w:jc w:val="center"/>
        <w:rPr>
          <w:rFonts w:eastAsia="黑体"/>
          <w:sz w:val="21"/>
          <w:szCs w:val="20"/>
        </w:rPr>
      </w:pPr>
      <w:r>
        <w:rPr>
          <w:rFonts w:eastAsia="黑体" w:hint="eastAsia"/>
          <w:sz w:val="21"/>
          <w:szCs w:val="20"/>
          <w:lang w:val="zh-CN"/>
        </w:rPr>
        <w:t>图</w:t>
      </w:r>
      <w:r>
        <w:rPr>
          <w:rFonts w:eastAsia="黑体" w:hint="eastAsia"/>
          <w:sz w:val="21"/>
          <w:szCs w:val="20"/>
          <w:lang w:val="zh-CN"/>
        </w:rPr>
        <w:t>2.</w:t>
      </w:r>
      <w:r>
        <w:rPr>
          <w:rFonts w:eastAsia="黑体" w:hint="eastAsia"/>
          <w:sz w:val="21"/>
          <w:szCs w:val="20"/>
        </w:rPr>
        <w:t>2</w:t>
      </w:r>
      <w:r>
        <w:rPr>
          <w:rFonts w:eastAsia="黑体" w:hint="eastAsia"/>
          <w:sz w:val="21"/>
          <w:szCs w:val="20"/>
          <w:lang w:val="zh-CN"/>
        </w:rPr>
        <w:t>-</w:t>
      </w:r>
      <w:r>
        <w:rPr>
          <w:rFonts w:eastAsia="黑体" w:hint="eastAsia"/>
          <w:sz w:val="21"/>
          <w:szCs w:val="20"/>
        </w:rPr>
        <w:t>1</w:t>
      </w:r>
      <w:r>
        <w:rPr>
          <w:rFonts w:eastAsia="黑体" w:hint="eastAsia"/>
          <w:sz w:val="21"/>
          <w:szCs w:val="20"/>
          <w:lang w:val="zh-CN"/>
        </w:rPr>
        <w:t xml:space="preserve">   </w:t>
      </w:r>
      <w:r>
        <w:rPr>
          <w:rFonts w:eastAsia="黑体" w:hint="eastAsia"/>
          <w:sz w:val="21"/>
          <w:szCs w:val="20"/>
        </w:rPr>
        <w:t>鲁明公司胜利油田区块分布图</w:t>
      </w:r>
    </w:p>
    <w:p w:rsidR="00F95F9B" w:rsidRDefault="00000000">
      <w:pPr>
        <w:pStyle w:val="3"/>
        <w:widowControl w:val="0"/>
        <w:ind w:left="0"/>
      </w:pPr>
      <w:r>
        <w:rPr>
          <w:rFonts w:hint="eastAsia"/>
        </w:rPr>
        <w:t>原油天然气产量</w:t>
      </w:r>
    </w:p>
    <w:p w:rsidR="00F95F9B" w:rsidRDefault="00000000">
      <w:pPr>
        <w:ind w:firstLine="470"/>
      </w:pPr>
      <w:r>
        <w:rPr>
          <w:rFonts w:hint="eastAsia"/>
        </w:rPr>
        <w:t>鲁明公司主要生产原油和天然气，其产量见下表。</w:t>
      </w:r>
    </w:p>
    <w:p w:rsidR="00F95F9B" w:rsidRDefault="00000000">
      <w:pPr>
        <w:autoSpaceDE w:val="0"/>
        <w:autoSpaceDN w:val="0"/>
        <w:adjustRightInd w:val="0"/>
        <w:spacing w:line="240" w:lineRule="auto"/>
        <w:ind w:firstLineChars="0" w:firstLine="0"/>
        <w:jc w:val="center"/>
        <w:rPr>
          <w:rFonts w:eastAsia="黑体"/>
          <w:sz w:val="21"/>
        </w:rPr>
      </w:pPr>
      <w:r>
        <w:rPr>
          <w:rFonts w:eastAsia="黑体"/>
          <w:sz w:val="21"/>
        </w:rPr>
        <w:t>表</w:t>
      </w:r>
      <w:r>
        <w:rPr>
          <w:rFonts w:eastAsia="黑体"/>
          <w:sz w:val="21"/>
        </w:rPr>
        <w:t>2.2-</w:t>
      </w:r>
      <w:r>
        <w:rPr>
          <w:rFonts w:eastAsia="黑体" w:hint="eastAsia"/>
          <w:sz w:val="21"/>
        </w:rPr>
        <w:t xml:space="preserve">2  </w:t>
      </w:r>
      <w:r>
        <w:rPr>
          <w:rFonts w:eastAsia="黑体"/>
          <w:sz w:val="21"/>
        </w:rPr>
        <w:t>近三年</w:t>
      </w:r>
      <w:r>
        <w:rPr>
          <w:rFonts w:eastAsia="黑体" w:hint="eastAsia"/>
          <w:sz w:val="21"/>
        </w:rPr>
        <w:t>原油天然气产量</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3"/>
        <w:keepNext w:val="0"/>
        <w:keepLines w:val="0"/>
        <w:widowControl w:val="0"/>
        <w:adjustRightInd w:val="0"/>
        <w:snapToGrid w:val="0"/>
        <w:spacing w:beforeLines="50" w:before="170"/>
        <w:ind w:left="0"/>
      </w:pPr>
      <w:r>
        <w:rPr>
          <w:rFonts w:hint="eastAsia"/>
        </w:rPr>
        <w:t>地面设施基本情况</w:t>
      </w:r>
    </w:p>
    <w:p w:rsidR="00F95F9B" w:rsidRDefault="00000000">
      <w:pPr>
        <w:widowControl w:val="0"/>
        <w:adjustRightInd w:val="0"/>
        <w:snapToGrid w:val="0"/>
        <w:ind w:firstLine="470"/>
      </w:pPr>
      <w:r>
        <w:rPr>
          <w:rFonts w:hint="eastAsia"/>
        </w:rPr>
        <w:t>截止到</w:t>
      </w:r>
      <w:r>
        <w:rPr>
          <w:rFonts w:hint="eastAsia"/>
        </w:rPr>
        <w:t>2023</w:t>
      </w:r>
      <w:r>
        <w:rPr>
          <w:rFonts w:hint="eastAsia"/>
        </w:rPr>
        <w:t>年</w:t>
      </w:r>
      <w:r>
        <w:rPr>
          <w:rFonts w:hint="eastAsia"/>
        </w:rPr>
        <w:t>2</w:t>
      </w:r>
      <w:r>
        <w:rPr>
          <w:rFonts w:hint="eastAsia"/>
        </w:rPr>
        <w:t>月份，鲁明公司共有联合站</w:t>
      </w:r>
      <w:r>
        <w:rPr>
          <w:rFonts w:hint="eastAsia"/>
        </w:rPr>
        <w:t>1</w:t>
      </w:r>
      <w:r>
        <w:rPr>
          <w:rFonts w:hint="eastAsia"/>
        </w:rPr>
        <w:t>座、集输站</w:t>
      </w:r>
      <w:r>
        <w:rPr>
          <w:rFonts w:hint="eastAsia"/>
        </w:rPr>
        <w:t>4</w:t>
      </w:r>
      <w:r>
        <w:rPr>
          <w:rFonts w:hint="eastAsia"/>
        </w:rPr>
        <w:t>座，注水站</w:t>
      </w:r>
      <w:r>
        <w:rPr>
          <w:rFonts w:hint="eastAsia"/>
        </w:rPr>
        <w:t>31</w:t>
      </w:r>
      <w:r>
        <w:rPr>
          <w:rFonts w:hint="eastAsia"/>
        </w:rPr>
        <w:t>座，注聚（入）站</w:t>
      </w:r>
      <w:r>
        <w:rPr>
          <w:rFonts w:hint="eastAsia"/>
        </w:rPr>
        <w:t>4</w:t>
      </w:r>
      <w:r>
        <w:rPr>
          <w:rFonts w:hint="eastAsia"/>
        </w:rPr>
        <w:t>座，计量站</w:t>
      </w:r>
      <w:r>
        <w:rPr>
          <w:rFonts w:hint="eastAsia"/>
        </w:rPr>
        <w:t>/</w:t>
      </w:r>
      <w:r>
        <w:rPr>
          <w:rFonts w:hint="eastAsia"/>
        </w:rPr>
        <w:t>阀组</w:t>
      </w:r>
      <w:r>
        <w:rPr>
          <w:rFonts w:hint="eastAsia"/>
        </w:rPr>
        <w:t>157</w:t>
      </w:r>
      <w:r>
        <w:rPr>
          <w:rFonts w:hint="eastAsia"/>
        </w:rPr>
        <w:t>座、配水间</w:t>
      </w:r>
      <w:r>
        <w:rPr>
          <w:rFonts w:hint="eastAsia"/>
        </w:rPr>
        <w:t>119</w:t>
      </w:r>
      <w:r>
        <w:rPr>
          <w:rFonts w:hint="eastAsia"/>
        </w:rPr>
        <w:t>座，各类油水管线</w:t>
      </w:r>
      <w:r>
        <w:rPr>
          <w:rFonts w:hint="eastAsia"/>
        </w:rPr>
        <w:t>1214</w:t>
      </w:r>
      <w:r>
        <w:t>km</w:t>
      </w:r>
      <w:r>
        <w:rPr>
          <w:rFonts w:hint="eastAsia"/>
        </w:rPr>
        <w:t>，气管线</w:t>
      </w:r>
      <w:r>
        <w:rPr>
          <w:rFonts w:hint="eastAsia"/>
        </w:rPr>
        <w:t>124</w:t>
      </w:r>
      <w:r>
        <w:rPr>
          <w:rFonts w:hint="eastAsia"/>
        </w:rPr>
        <w:t>千米。油水井总数</w:t>
      </w:r>
      <w:r>
        <w:rPr>
          <w:rFonts w:hint="eastAsia"/>
        </w:rPr>
        <w:t>2399</w:t>
      </w:r>
      <w:r>
        <w:rPr>
          <w:rFonts w:hint="eastAsia"/>
        </w:rPr>
        <w:t>口，其中油井</w:t>
      </w:r>
      <w:r>
        <w:rPr>
          <w:rFonts w:hint="eastAsia"/>
        </w:rPr>
        <w:t>1671</w:t>
      </w:r>
      <w:r>
        <w:rPr>
          <w:rFonts w:hint="eastAsia"/>
        </w:rPr>
        <w:t>口、水井</w:t>
      </w:r>
      <w:r>
        <w:rPr>
          <w:rFonts w:hint="eastAsia"/>
        </w:rPr>
        <w:t>672</w:t>
      </w:r>
      <w:r>
        <w:rPr>
          <w:rFonts w:hint="eastAsia"/>
        </w:rPr>
        <w:t>口、气井</w:t>
      </w:r>
      <w:r>
        <w:rPr>
          <w:rFonts w:hint="eastAsia"/>
        </w:rPr>
        <w:t>56</w:t>
      </w:r>
      <w:r>
        <w:rPr>
          <w:rFonts w:hint="eastAsia"/>
        </w:rPr>
        <w:t>口。鲁明公司主要生产设施见表</w:t>
      </w:r>
      <w:r>
        <w:rPr>
          <w:rFonts w:hint="eastAsia"/>
        </w:rPr>
        <w:t>2.</w:t>
      </w:r>
      <w:r>
        <w:t>2</w:t>
      </w:r>
      <w:r>
        <w:rPr>
          <w:rFonts w:hint="eastAsia"/>
        </w:rPr>
        <w:t>-3</w:t>
      </w:r>
      <w:r>
        <w:rPr>
          <w:rFonts w:hint="eastAsia"/>
        </w:rPr>
        <w:t>。</w:t>
      </w:r>
    </w:p>
    <w:p w:rsidR="00F95F9B" w:rsidRDefault="00000000">
      <w:pPr>
        <w:widowControl w:val="0"/>
        <w:adjustRightInd w:val="0"/>
        <w:snapToGrid w:val="0"/>
        <w:spacing w:line="240" w:lineRule="auto"/>
        <w:ind w:firstLineChars="0" w:firstLine="0"/>
        <w:jc w:val="center"/>
        <w:rPr>
          <w:rFonts w:eastAsia="黑体"/>
          <w:sz w:val="21"/>
          <w:szCs w:val="20"/>
        </w:rPr>
      </w:pPr>
      <w:r>
        <w:rPr>
          <w:rFonts w:eastAsia="黑体" w:hint="eastAsia"/>
          <w:sz w:val="21"/>
          <w:szCs w:val="20"/>
        </w:rPr>
        <w:t>表</w:t>
      </w:r>
      <w:r>
        <w:rPr>
          <w:rFonts w:eastAsia="黑体" w:hint="eastAsia"/>
          <w:sz w:val="21"/>
          <w:szCs w:val="20"/>
          <w:lang w:val="zh-CN"/>
        </w:rPr>
        <w:t>2.</w:t>
      </w:r>
      <w:r>
        <w:rPr>
          <w:rFonts w:eastAsia="黑体" w:hint="eastAsia"/>
          <w:sz w:val="21"/>
          <w:szCs w:val="20"/>
        </w:rPr>
        <w:t>2</w:t>
      </w:r>
      <w:r>
        <w:rPr>
          <w:rFonts w:eastAsia="黑体" w:hint="eastAsia"/>
          <w:sz w:val="21"/>
          <w:szCs w:val="20"/>
          <w:lang w:val="zh-CN"/>
        </w:rPr>
        <w:t>-</w:t>
      </w:r>
      <w:r>
        <w:rPr>
          <w:rFonts w:eastAsia="黑体" w:hint="eastAsia"/>
          <w:sz w:val="21"/>
          <w:szCs w:val="20"/>
        </w:rPr>
        <w:t xml:space="preserve">3  </w:t>
      </w:r>
      <w:r>
        <w:rPr>
          <w:rFonts w:eastAsia="黑体" w:hint="eastAsia"/>
          <w:sz w:val="21"/>
          <w:szCs w:val="20"/>
        </w:rPr>
        <w:t>鲁明公司地面设施情况统计表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3"/>
        <w:gridCol w:w="2043"/>
        <w:gridCol w:w="2030"/>
        <w:gridCol w:w="1767"/>
        <w:gridCol w:w="2232"/>
      </w:tblGrid>
      <w:tr w:rsidR="00F95F9B">
        <w:trPr>
          <w:trHeight w:hRule="exact" w:val="283"/>
          <w:tblHeader/>
          <w:jc w:val="center"/>
        </w:trPr>
        <w:tc>
          <w:tcPr>
            <w:tcW w:w="591" w:type="pct"/>
            <w:tcBorders>
              <w:top w:val="single" w:sz="12" w:space="0" w:color="auto"/>
              <w:left w:val="single" w:sz="12"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b/>
                <w:sz w:val="21"/>
              </w:rPr>
            </w:pPr>
            <w:r>
              <w:rPr>
                <w:rFonts w:hint="eastAsia"/>
                <w:b/>
                <w:sz w:val="21"/>
              </w:rPr>
              <w:t>序号</w:t>
            </w:r>
          </w:p>
        </w:tc>
        <w:tc>
          <w:tcPr>
            <w:tcW w:w="1115" w:type="pct"/>
            <w:tcBorders>
              <w:top w:val="single" w:sz="12"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b/>
                <w:sz w:val="21"/>
              </w:rPr>
            </w:pPr>
            <w:r>
              <w:rPr>
                <w:rFonts w:hint="eastAsia"/>
                <w:b/>
                <w:sz w:val="21"/>
              </w:rPr>
              <w:t>名称</w:t>
            </w:r>
          </w:p>
        </w:tc>
        <w:tc>
          <w:tcPr>
            <w:tcW w:w="1108" w:type="pct"/>
            <w:tcBorders>
              <w:top w:val="single" w:sz="12"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b/>
                <w:sz w:val="21"/>
              </w:rPr>
            </w:pPr>
            <w:r>
              <w:rPr>
                <w:rFonts w:hint="eastAsia"/>
                <w:b/>
                <w:sz w:val="21"/>
              </w:rPr>
              <w:t>单位</w:t>
            </w:r>
          </w:p>
        </w:tc>
        <w:tc>
          <w:tcPr>
            <w:tcW w:w="965" w:type="pct"/>
            <w:tcBorders>
              <w:top w:val="single" w:sz="12"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b/>
                <w:sz w:val="21"/>
              </w:rPr>
            </w:pPr>
            <w:r>
              <w:rPr>
                <w:rFonts w:hint="eastAsia"/>
                <w:b/>
                <w:sz w:val="21"/>
              </w:rPr>
              <w:t>数量</w:t>
            </w:r>
          </w:p>
        </w:tc>
        <w:tc>
          <w:tcPr>
            <w:tcW w:w="1219" w:type="pct"/>
            <w:tcBorders>
              <w:top w:val="single" w:sz="12" w:space="0" w:color="auto"/>
              <w:left w:val="single" w:sz="4" w:space="0" w:color="auto"/>
              <w:bottom w:val="single" w:sz="4" w:space="0" w:color="auto"/>
              <w:right w:val="single" w:sz="12" w:space="0" w:color="auto"/>
            </w:tcBorders>
            <w:vAlign w:val="center"/>
          </w:tcPr>
          <w:p w:rsidR="00F95F9B" w:rsidRDefault="00000000">
            <w:pPr>
              <w:adjustRightInd w:val="0"/>
              <w:snapToGrid w:val="0"/>
              <w:spacing w:line="240" w:lineRule="auto"/>
              <w:ind w:firstLineChars="0" w:firstLine="0"/>
              <w:jc w:val="center"/>
              <w:rPr>
                <w:b/>
                <w:sz w:val="21"/>
              </w:rPr>
            </w:pPr>
            <w:r>
              <w:rPr>
                <w:rFonts w:hint="eastAsia"/>
                <w:b/>
                <w:sz w:val="21"/>
              </w:rPr>
              <w:t>备注</w:t>
            </w: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油井</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口</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kern w:val="0"/>
                <w:sz w:val="21"/>
              </w:rPr>
              <w:t>1671</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水井</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口</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kern w:val="0"/>
                <w:sz w:val="21"/>
              </w:rPr>
              <w:t>672</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气井</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口</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kern w:val="0"/>
                <w:sz w:val="21"/>
              </w:rPr>
            </w:pPr>
            <w:r>
              <w:rPr>
                <w:rFonts w:hint="eastAsia"/>
                <w:kern w:val="0"/>
                <w:sz w:val="21"/>
              </w:rPr>
              <w:t>56</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计量站</w:t>
            </w:r>
            <w:r>
              <w:rPr>
                <w:rFonts w:hint="eastAsia"/>
                <w:sz w:val="21"/>
              </w:rPr>
              <w:t>/</w:t>
            </w:r>
            <w:r>
              <w:rPr>
                <w:rFonts w:hint="eastAsia"/>
                <w:sz w:val="21"/>
              </w:rPr>
              <w:t>阀组</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座</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kern w:val="0"/>
                <w:sz w:val="21"/>
              </w:rPr>
              <w:t>157</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采出水处理站</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座</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sz w:val="21"/>
              </w:rPr>
              <w:t>4</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与联合站</w:t>
            </w:r>
            <w:r>
              <w:rPr>
                <w:rFonts w:hint="eastAsia"/>
                <w:sz w:val="21"/>
              </w:rPr>
              <w:t>/</w:t>
            </w:r>
            <w:r>
              <w:rPr>
                <w:rFonts w:hint="eastAsia"/>
                <w:sz w:val="21"/>
              </w:rPr>
              <w:t>集输站合建</w:t>
            </w: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注聚（入）站</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座</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4</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注水站</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座</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31</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配水间</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座</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119</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集输站</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座</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4</w:t>
            </w:r>
          </w:p>
        </w:tc>
        <w:tc>
          <w:tcPr>
            <w:tcW w:w="1219" w:type="pct"/>
            <w:vMerge w:val="restart"/>
            <w:tcBorders>
              <w:top w:val="single" w:sz="4" w:space="0" w:color="auto"/>
              <w:left w:val="single" w:sz="4" w:space="0" w:color="auto"/>
              <w:right w:val="single" w:sz="12"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含采出水处理站（除滨</w:t>
            </w:r>
            <w:r>
              <w:rPr>
                <w:rFonts w:hint="eastAsia"/>
                <w:sz w:val="21"/>
              </w:rPr>
              <w:t>425</w:t>
            </w:r>
            <w:r>
              <w:rPr>
                <w:rFonts w:hint="eastAsia"/>
                <w:sz w:val="21"/>
              </w:rPr>
              <w:t>集输站外）</w:t>
            </w: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联合站</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座</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1</w:t>
            </w:r>
          </w:p>
        </w:tc>
        <w:tc>
          <w:tcPr>
            <w:tcW w:w="1219" w:type="pct"/>
            <w:vMerge/>
            <w:tcBorders>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4"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油水管线</w:t>
            </w:r>
          </w:p>
        </w:tc>
        <w:tc>
          <w:tcPr>
            <w:tcW w:w="1108"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sz w:val="21"/>
              </w:rPr>
              <w:t>km</w:t>
            </w:r>
          </w:p>
        </w:tc>
        <w:tc>
          <w:tcPr>
            <w:tcW w:w="965" w:type="pct"/>
            <w:tcBorders>
              <w:top w:val="single" w:sz="4" w:space="0" w:color="auto"/>
              <w:left w:val="single" w:sz="4" w:space="0" w:color="auto"/>
              <w:bottom w:val="single" w:sz="4"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1214</w:t>
            </w:r>
          </w:p>
        </w:tc>
        <w:tc>
          <w:tcPr>
            <w:tcW w:w="1219" w:type="pct"/>
            <w:tcBorders>
              <w:top w:val="single" w:sz="4" w:space="0" w:color="auto"/>
              <w:left w:val="single" w:sz="4" w:space="0" w:color="auto"/>
              <w:bottom w:val="single" w:sz="4"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r w:rsidR="00F95F9B">
        <w:trPr>
          <w:trHeight w:hRule="exact" w:val="283"/>
          <w:jc w:val="center"/>
        </w:trPr>
        <w:tc>
          <w:tcPr>
            <w:tcW w:w="591" w:type="pct"/>
            <w:tcBorders>
              <w:top w:val="single" w:sz="4" w:space="0" w:color="auto"/>
              <w:left w:val="single" w:sz="12" w:space="0" w:color="auto"/>
              <w:bottom w:val="single" w:sz="12" w:space="0" w:color="auto"/>
              <w:right w:val="single" w:sz="4" w:space="0" w:color="auto"/>
            </w:tcBorders>
            <w:vAlign w:val="center"/>
          </w:tcPr>
          <w:p w:rsidR="00F95F9B" w:rsidRDefault="00F95F9B">
            <w:pPr>
              <w:widowControl w:val="0"/>
              <w:numPr>
                <w:ilvl w:val="0"/>
                <w:numId w:val="15"/>
              </w:numPr>
              <w:adjustRightInd w:val="0"/>
              <w:snapToGrid w:val="0"/>
              <w:spacing w:line="240" w:lineRule="auto"/>
              <w:ind w:left="0" w:firstLineChars="0" w:hanging="130"/>
              <w:jc w:val="center"/>
              <w:rPr>
                <w:kern w:val="0"/>
                <w:sz w:val="21"/>
              </w:rPr>
            </w:pPr>
          </w:p>
        </w:tc>
        <w:tc>
          <w:tcPr>
            <w:tcW w:w="1115" w:type="pct"/>
            <w:tcBorders>
              <w:top w:val="single" w:sz="4" w:space="0" w:color="auto"/>
              <w:left w:val="single" w:sz="4" w:space="0" w:color="auto"/>
              <w:bottom w:val="single" w:sz="12"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气管线</w:t>
            </w:r>
          </w:p>
        </w:tc>
        <w:tc>
          <w:tcPr>
            <w:tcW w:w="1108" w:type="pct"/>
            <w:tcBorders>
              <w:top w:val="single" w:sz="4" w:space="0" w:color="auto"/>
              <w:left w:val="single" w:sz="4" w:space="0" w:color="auto"/>
              <w:bottom w:val="single" w:sz="12"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km</w:t>
            </w:r>
          </w:p>
        </w:tc>
        <w:tc>
          <w:tcPr>
            <w:tcW w:w="965" w:type="pct"/>
            <w:tcBorders>
              <w:top w:val="single" w:sz="4" w:space="0" w:color="auto"/>
              <w:left w:val="single" w:sz="4" w:space="0" w:color="auto"/>
              <w:bottom w:val="single" w:sz="12" w:space="0" w:color="auto"/>
              <w:right w:val="single" w:sz="4" w:space="0" w:color="auto"/>
            </w:tcBorders>
            <w:vAlign w:val="center"/>
          </w:tcPr>
          <w:p w:rsidR="00F95F9B" w:rsidRDefault="00000000">
            <w:pPr>
              <w:adjustRightInd w:val="0"/>
              <w:snapToGrid w:val="0"/>
              <w:spacing w:line="240" w:lineRule="auto"/>
              <w:ind w:firstLineChars="0" w:firstLine="0"/>
              <w:jc w:val="center"/>
              <w:rPr>
                <w:sz w:val="21"/>
              </w:rPr>
            </w:pPr>
            <w:r>
              <w:rPr>
                <w:rFonts w:hint="eastAsia"/>
                <w:sz w:val="21"/>
              </w:rPr>
              <w:t>124</w:t>
            </w:r>
          </w:p>
        </w:tc>
        <w:tc>
          <w:tcPr>
            <w:tcW w:w="1219" w:type="pct"/>
            <w:tcBorders>
              <w:top w:val="single" w:sz="4" w:space="0" w:color="auto"/>
              <w:left w:val="single" w:sz="4" w:space="0" w:color="auto"/>
              <w:bottom w:val="single" w:sz="12" w:space="0" w:color="auto"/>
              <w:right w:val="single" w:sz="12" w:space="0" w:color="auto"/>
            </w:tcBorders>
            <w:vAlign w:val="center"/>
          </w:tcPr>
          <w:p w:rsidR="00F95F9B" w:rsidRDefault="00F95F9B">
            <w:pPr>
              <w:adjustRightInd w:val="0"/>
              <w:snapToGrid w:val="0"/>
              <w:spacing w:line="240" w:lineRule="auto"/>
              <w:ind w:firstLineChars="0" w:firstLine="0"/>
              <w:jc w:val="center"/>
              <w:rPr>
                <w:sz w:val="21"/>
              </w:rPr>
            </w:pPr>
          </w:p>
        </w:tc>
      </w:tr>
    </w:tbl>
    <w:p w:rsidR="00F95F9B" w:rsidRDefault="00000000">
      <w:pPr>
        <w:pStyle w:val="2"/>
        <w:keepNext w:val="0"/>
        <w:keepLines w:val="0"/>
        <w:spacing w:before="170" w:after="170"/>
      </w:pPr>
      <w:bookmarkStart w:id="33" w:name="_Toc13489"/>
      <w:r>
        <w:rPr>
          <w:rFonts w:hint="eastAsia"/>
        </w:rPr>
        <w:lastRenderedPageBreak/>
        <w:t>设备设施及生产作业现状</w:t>
      </w:r>
      <w:bookmarkEnd w:id="33"/>
    </w:p>
    <w:p w:rsidR="00F95F9B" w:rsidRDefault="00000000">
      <w:pPr>
        <w:pStyle w:val="3"/>
        <w:keepNext w:val="0"/>
        <w:keepLines w:val="0"/>
        <w:widowControl w:val="0"/>
        <w:adjustRightInd w:val="0"/>
        <w:snapToGrid w:val="0"/>
        <w:ind w:left="0"/>
      </w:pPr>
      <w:r>
        <w:rPr>
          <w:rFonts w:hint="eastAsia"/>
        </w:rPr>
        <w:t>采油</w:t>
      </w:r>
      <w:r>
        <w:t>系统</w:t>
      </w:r>
    </w:p>
    <w:p w:rsidR="00F95F9B" w:rsidRDefault="00000000">
      <w:pPr>
        <w:widowControl w:val="0"/>
        <w:adjustRightInd w:val="0"/>
        <w:snapToGrid w:val="0"/>
        <w:ind w:firstLine="470"/>
      </w:pPr>
      <w:r>
        <w:rPr>
          <w:rFonts w:hint="eastAsia"/>
        </w:rPr>
        <w:t>鲁明公司</w:t>
      </w:r>
      <w:r>
        <w:t>原油的开采，主要以机械采油为主。</w:t>
      </w:r>
    </w:p>
    <w:p w:rsidR="00F95F9B" w:rsidRDefault="00000000">
      <w:pPr>
        <w:widowControl w:val="0"/>
        <w:adjustRightInd w:val="0"/>
        <w:snapToGrid w:val="0"/>
        <w:ind w:firstLine="470"/>
      </w:pPr>
      <w:r>
        <w:rPr>
          <w:rFonts w:hint="eastAsia"/>
        </w:rPr>
        <w:t>1</w:t>
      </w:r>
      <w:r>
        <w:rPr>
          <w:rFonts w:hint="eastAsia"/>
        </w:rPr>
        <w:t>）</w:t>
      </w:r>
      <w:r>
        <w:t xml:space="preserve"> </w:t>
      </w:r>
      <w:r>
        <w:t>机械采油</w:t>
      </w:r>
    </w:p>
    <w:p w:rsidR="00F95F9B" w:rsidRDefault="00000000">
      <w:pPr>
        <w:widowControl w:val="0"/>
        <w:adjustRightInd w:val="0"/>
        <w:snapToGrid w:val="0"/>
        <w:ind w:firstLine="470"/>
      </w:pPr>
      <w:r>
        <w:t>原油的开采主要以机械采油为主，采用游梁式抽油机和皮带式抽油机。</w:t>
      </w:r>
    </w:p>
    <w:p w:rsidR="00F95F9B" w:rsidRDefault="00000000">
      <w:pPr>
        <w:widowControl w:val="0"/>
        <w:adjustRightInd w:val="0"/>
        <w:snapToGrid w:val="0"/>
        <w:ind w:firstLine="470"/>
      </w:pPr>
      <w:r>
        <w:rPr>
          <w:rFonts w:hint="eastAsia"/>
        </w:rPr>
        <w:t>1.</w:t>
      </w:r>
      <w:r>
        <w:t>游梁式抽油机</w:t>
      </w:r>
    </w:p>
    <w:p w:rsidR="00F95F9B" w:rsidRDefault="00000000">
      <w:pPr>
        <w:widowControl w:val="0"/>
        <w:adjustRightInd w:val="0"/>
        <w:snapToGrid w:val="0"/>
        <w:ind w:firstLine="470"/>
      </w:pPr>
      <w:r>
        <w:t>游梁式抽油机，也称梁式抽油机、游梁式曲柄平衡抽油机，指含有游梁，通过连杆机构换向，曲柄重块平衡的抽油机，俗称磕头机。从采油方式上为有杆类采油设备（从采油方式上可分为两类，即有杆类采油设备和无杆类采油设备）。</w:t>
      </w:r>
    </w:p>
    <w:p w:rsidR="00F95F9B" w:rsidRDefault="00000000">
      <w:pPr>
        <w:widowControl w:val="0"/>
        <w:adjustRightInd w:val="0"/>
        <w:snapToGrid w:val="0"/>
        <w:ind w:firstLine="470"/>
      </w:pPr>
      <w:r>
        <w:t>游梁式抽油机主要由游梁</w:t>
      </w:r>
      <w:r>
        <w:rPr>
          <w:rFonts w:hint="eastAsia"/>
        </w:rPr>
        <w:t>—</w:t>
      </w:r>
      <w:r>
        <w:t>连杆</w:t>
      </w:r>
      <w:r>
        <w:rPr>
          <w:rFonts w:hint="eastAsia"/>
        </w:rPr>
        <w:t>—</w:t>
      </w:r>
      <w:r>
        <w:t>曲柄机构、减速箱、动力设备和辅助装备等四大部分组成。</w:t>
      </w:r>
    </w:p>
    <w:p w:rsidR="00F95F9B" w:rsidRDefault="00000000">
      <w:pPr>
        <w:widowControl w:val="0"/>
        <w:adjustRightInd w:val="0"/>
        <w:snapToGrid w:val="0"/>
        <w:ind w:firstLine="470"/>
      </w:pPr>
      <w:r>
        <w:t>工作时，电动机的传动经变速箱、曲柄连杆机构变成驴头的上下运动，驴头经光杆、抽油杆带动井下深井泵的柱塞作上下运动，从而不断地把井中的原油抽出井筒。</w:t>
      </w:r>
    </w:p>
    <w:p w:rsidR="00F95F9B" w:rsidRDefault="00F95F9B">
      <w:pPr>
        <w:tabs>
          <w:tab w:val="left" w:pos="3240"/>
        </w:tabs>
        <w:adjustRightInd w:val="0"/>
        <w:snapToGrid w:val="0"/>
        <w:ind w:firstLineChars="0" w:firstLine="0"/>
        <w:jc w:val="center"/>
        <w:rPr>
          <w:bCs/>
          <w:sz w:val="28"/>
          <w:szCs w:val="28"/>
        </w:rPr>
      </w:pPr>
    </w:p>
    <w:p w:rsidR="00F95F9B" w:rsidRDefault="00000000">
      <w:pPr>
        <w:pStyle w:val="afffd"/>
        <w:tabs>
          <w:tab w:val="left" w:pos="3240"/>
        </w:tabs>
        <w:snapToGrid w:val="0"/>
        <w:rPr>
          <w:szCs w:val="21"/>
        </w:rPr>
      </w:pPr>
      <w:bookmarkStart w:id="34" w:name="_Hlk34168350"/>
      <w:r>
        <w:rPr>
          <w:szCs w:val="21"/>
        </w:rPr>
        <w:t>图</w:t>
      </w:r>
      <w:r>
        <w:rPr>
          <w:rFonts w:hint="eastAsia"/>
          <w:szCs w:val="21"/>
        </w:rPr>
        <w:t xml:space="preserve">2.3-1 </w:t>
      </w:r>
      <w:r>
        <w:rPr>
          <w:szCs w:val="21"/>
        </w:rPr>
        <w:t xml:space="preserve"> </w:t>
      </w:r>
      <w:r>
        <w:rPr>
          <w:szCs w:val="21"/>
          <w:lang w:bidi="en-US"/>
        </w:rPr>
        <w:t>抽油装置示意图</w:t>
      </w:r>
      <w:bookmarkEnd w:id="34"/>
    </w:p>
    <w:p w:rsidR="00F95F9B" w:rsidRDefault="00000000">
      <w:pPr>
        <w:tabs>
          <w:tab w:val="left" w:pos="3240"/>
        </w:tabs>
        <w:adjustRightInd w:val="0"/>
        <w:snapToGrid w:val="0"/>
        <w:ind w:firstLine="410"/>
        <w:rPr>
          <w:bCs/>
          <w:sz w:val="21"/>
          <w:lang w:bidi="en-US"/>
        </w:rPr>
      </w:pPr>
      <w:r>
        <w:rPr>
          <w:rFonts w:hint="eastAsia"/>
          <w:bCs/>
          <w:sz w:val="21"/>
          <w:lang w:bidi="en-US"/>
        </w:rPr>
        <w:t>注：</w:t>
      </w:r>
      <w:r>
        <w:rPr>
          <w:bCs/>
          <w:sz w:val="21"/>
          <w:lang w:bidi="en-US"/>
        </w:rPr>
        <w:t>1-</w:t>
      </w:r>
      <w:r>
        <w:rPr>
          <w:bCs/>
          <w:sz w:val="21"/>
          <w:lang w:bidi="en-US"/>
        </w:rPr>
        <w:t>吸入阀；</w:t>
      </w:r>
      <w:r>
        <w:rPr>
          <w:bCs/>
          <w:sz w:val="21"/>
          <w:lang w:bidi="en-US"/>
        </w:rPr>
        <w:t>2-</w:t>
      </w:r>
      <w:r>
        <w:rPr>
          <w:bCs/>
          <w:sz w:val="21"/>
          <w:lang w:bidi="en-US"/>
        </w:rPr>
        <w:t>泵筒；</w:t>
      </w:r>
      <w:r>
        <w:rPr>
          <w:bCs/>
          <w:sz w:val="21"/>
          <w:lang w:bidi="en-US"/>
        </w:rPr>
        <w:t>3-</w:t>
      </w:r>
      <w:r>
        <w:rPr>
          <w:bCs/>
          <w:sz w:val="21"/>
          <w:lang w:bidi="en-US"/>
        </w:rPr>
        <w:t>柱塞；</w:t>
      </w:r>
      <w:r>
        <w:rPr>
          <w:bCs/>
          <w:sz w:val="21"/>
          <w:lang w:bidi="en-US"/>
        </w:rPr>
        <w:t>4-</w:t>
      </w:r>
      <w:r>
        <w:rPr>
          <w:bCs/>
          <w:sz w:val="21"/>
          <w:lang w:bidi="en-US"/>
        </w:rPr>
        <w:t>排出阀；</w:t>
      </w:r>
      <w:r>
        <w:rPr>
          <w:bCs/>
          <w:sz w:val="21"/>
          <w:lang w:bidi="en-US"/>
        </w:rPr>
        <w:t>5-</w:t>
      </w:r>
      <w:r>
        <w:rPr>
          <w:bCs/>
          <w:sz w:val="21"/>
          <w:lang w:bidi="en-US"/>
        </w:rPr>
        <w:t>抽油；</w:t>
      </w:r>
      <w:r>
        <w:rPr>
          <w:bCs/>
          <w:sz w:val="21"/>
          <w:lang w:bidi="en-US"/>
        </w:rPr>
        <w:t>6-</w:t>
      </w:r>
      <w:r>
        <w:rPr>
          <w:bCs/>
          <w:sz w:val="21"/>
          <w:lang w:bidi="en-US"/>
        </w:rPr>
        <w:t>油管；</w:t>
      </w:r>
      <w:r>
        <w:rPr>
          <w:bCs/>
          <w:sz w:val="21"/>
          <w:lang w:bidi="en-US"/>
        </w:rPr>
        <w:t>7-</w:t>
      </w:r>
      <w:r>
        <w:rPr>
          <w:bCs/>
          <w:sz w:val="21"/>
          <w:lang w:bidi="en-US"/>
        </w:rPr>
        <w:t>套管；</w:t>
      </w:r>
      <w:r>
        <w:rPr>
          <w:bCs/>
          <w:sz w:val="21"/>
          <w:lang w:bidi="en-US"/>
        </w:rPr>
        <w:t>8-</w:t>
      </w:r>
      <w:r>
        <w:rPr>
          <w:bCs/>
          <w:sz w:val="21"/>
          <w:lang w:bidi="en-US"/>
        </w:rPr>
        <w:t>三通；</w:t>
      </w:r>
      <w:r>
        <w:rPr>
          <w:bCs/>
          <w:sz w:val="21"/>
          <w:lang w:bidi="en-US"/>
        </w:rPr>
        <w:t>9-</w:t>
      </w:r>
      <w:r>
        <w:rPr>
          <w:bCs/>
          <w:sz w:val="21"/>
          <w:lang w:bidi="en-US"/>
        </w:rPr>
        <w:t>盘根盒；</w:t>
      </w:r>
      <w:r>
        <w:rPr>
          <w:bCs/>
          <w:sz w:val="21"/>
          <w:lang w:bidi="en-US"/>
        </w:rPr>
        <w:t>10-</w:t>
      </w:r>
      <w:r>
        <w:rPr>
          <w:bCs/>
          <w:sz w:val="21"/>
          <w:lang w:bidi="en-US"/>
        </w:rPr>
        <w:t>驴头；</w:t>
      </w:r>
      <w:r>
        <w:rPr>
          <w:bCs/>
          <w:sz w:val="21"/>
          <w:lang w:bidi="en-US"/>
        </w:rPr>
        <w:t>11-</w:t>
      </w:r>
      <w:r>
        <w:rPr>
          <w:bCs/>
          <w:sz w:val="21"/>
          <w:lang w:bidi="en-US"/>
        </w:rPr>
        <w:t>游梁；</w:t>
      </w:r>
      <w:r>
        <w:rPr>
          <w:bCs/>
          <w:sz w:val="21"/>
          <w:lang w:bidi="en-US"/>
        </w:rPr>
        <w:t>12-</w:t>
      </w:r>
      <w:r>
        <w:rPr>
          <w:bCs/>
          <w:sz w:val="21"/>
          <w:lang w:bidi="en-US"/>
        </w:rPr>
        <w:t>连杆；</w:t>
      </w:r>
      <w:r>
        <w:rPr>
          <w:bCs/>
          <w:sz w:val="21"/>
          <w:lang w:bidi="en-US"/>
        </w:rPr>
        <w:t>13-</w:t>
      </w:r>
      <w:r>
        <w:rPr>
          <w:bCs/>
          <w:sz w:val="21"/>
          <w:lang w:bidi="en-US"/>
        </w:rPr>
        <w:t>曲柄；</w:t>
      </w:r>
      <w:r>
        <w:rPr>
          <w:bCs/>
          <w:sz w:val="21"/>
          <w:lang w:bidi="en-US"/>
        </w:rPr>
        <w:t>14-</w:t>
      </w:r>
      <w:r>
        <w:rPr>
          <w:bCs/>
          <w:sz w:val="21"/>
          <w:lang w:bidi="en-US"/>
        </w:rPr>
        <w:t>减速箱；</w:t>
      </w:r>
      <w:r>
        <w:rPr>
          <w:bCs/>
          <w:sz w:val="21"/>
          <w:lang w:bidi="en-US"/>
        </w:rPr>
        <w:t>15-</w:t>
      </w:r>
      <w:r>
        <w:rPr>
          <w:bCs/>
          <w:sz w:val="21"/>
          <w:lang w:bidi="en-US"/>
        </w:rPr>
        <w:t>动力机。</w:t>
      </w:r>
    </w:p>
    <w:p w:rsidR="00F95F9B" w:rsidRDefault="00000000">
      <w:pPr>
        <w:tabs>
          <w:tab w:val="left" w:pos="3240"/>
        </w:tabs>
        <w:adjustRightInd w:val="0"/>
        <w:snapToGrid w:val="0"/>
        <w:spacing w:line="348" w:lineRule="auto"/>
        <w:ind w:firstLineChars="0" w:firstLine="0"/>
        <w:jc w:val="center"/>
        <w:rPr>
          <w:rFonts w:eastAsia="黑体"/>
          <w:bCs/>
          <w:sz w:val="21"/>
        </w:rPr>
      </w:pPr>
      <w:bookmarkStart w:id="35" w:name="_Hlk34168388"/>
      <w:r>
        <w:rPr>
          <w:rFonts w:eastAsia="黑体"/>
          <w:bCs/>
          <w:sz w:val="21"/>
        </w:rPr>
        <w:t>图</w:t>
      </w:r>
      <w:r>
        <w:rPr>
          <w:rFonts w:eastAsia="黑体" w:hint="eastAsia"/>
          <w:bCs/>
          <w:sz w:val="21"/>
        </w:rPr>
        <w:t>2.3-</w:t>
      </w:r>
      <w:r>
        <w:rPr>
          <w:rFonts w:eastAsia="黑体"/>
          <w:bCs/>
          <w:sz w:val="21"/>
        </w:rPr>
        <w:t>2</w:t>
      </w:r>
      <w:r>
        <w:rPr>
          <w:rFonts w:eastAsia="黑体" w:hint="eastAsia"/>
          <w:bCs/>
          <w:sz w:val="21"/>
        </w:rPr>
        <w:t xml:space="preserve">  </w:t>
      </w:r>
      <w:r>
        <w:rPr>
          <w:rFonts w:eastAsia="黑体" w:hint="eastAsia"/>
          <w:bCs/>
          <w:sz w:val="21"/>
        </w:rPr>
        <w:t>游梁式</w:t>
      </w:r>
      <w:r>
        <w:rPr>
          <w:rFonts w:eastAsia="黑体"/>
          <w:bCs/>
          <w:sz w:val="21"/>
        </w:rPr>
        <w:t>抽油装置示意图</w:t>
      </w:r>
    </w:p>
    <w:bookmarkEnd w:id="35"/>
    <w:p w:rsidR="00F95F9B" w:rsidRDefault="00000000">
      <w:pPr>
        <w:tabs>
          <w:tab w:val="left" w:pos="3240"/>
        </w:tabs>
        <w:adjustRightInd w:val="0"/>
        <w:snapToGrid w:val="0"/>
        <w:spacing w:line="348" w:lineRule="auto"/>
        <w:ind w:firstLine="410"/>
        <w:rPr>
          <w:bCs/>
          <w:sz w:val="21"/>
          <w:lang w:bidi="en-US"/>
        </w:rPr>
      </w:pPr>
      <w:r>
        <w:rPr>
          <w:rFonts w:hint="eastAsia"/>
          <w:bCs/>
          <w:sz w:val="21"/>
          <w:lang w:bidi="en-US"/>
        </w:rPr>
        <w:t>注：</w:t>
      </w:r>
      <w:r>
        <w:rPr>
          <w:bCs/>
          <w:sz w:val="21"/>
          <w:lang w:bidi="en-US"/>
        </w:rPr>
        <w:t>1-</w:t>
      </w:r>
      <w:r>
        <w:rPr>
          <w:bCs/>
          <w:sz w:val="21"/>
          <w:lang w:bidi="en-US"/>
        </w:rPr>
        <w:t>刹车装置；</w:t>
      </w:r>
      <w:r>
        <w:rPr>
          <w:bCs/>
          <w:sz w:val="21"/>
          <w:lang w:bidi="en-US"/>
        </w:rPr>
        <w:t>2-</w:t>
      </w:r>
      <w:r>
        <w:rPr>
          <w:bCs/>
          <w:sz w:val="21"/>
          <w:lang w:bidi="en-US"/>
        </w:rPr>
        <w:t>电动机；</w:t>
      </w:r>
      <w:r>
        <w:rPr>
          <w:bCs/>
          <w:sz w:val="21"/>
          <w:lang w:bidi="en-US"/>
        </w:rPr>
        <w:t>3-</w:t>
      </w:r>
      <w:r>
        <w:rPr>
          <w:bCs/>
          <w:sz w:val="21"/>
          <w:lang w:bidi="en-US"/>
        </w:rPr>
        <w:t>减速箱皮带轮；</w:t>
      </w:r>
      <w:r>
        <w:rPr>
          <w:bCs/>
          <w:sz w:val="21"/>
          <w:lang w:bidi="en-US"/>
        </w:rPr>
        <w:t>4-</w:t>
      </w:r>
      <w:r>
        <w:rPr>
          <w:bCs/>
          <w:sz w:val="21"/>
          <w:lang w:bidi="en-US"/>
        </w:rPr>
        <w:t>减速箱；</w:t>
      </w:r>
      <w:r>
        <w:rPr>
          <w:bCs/>
          <w:sz w:val="21"/>
          <w:lang w:bidi="en-US"/>
        </w:rPr>
        <w:t>5-</w:t>
      </w:r>
      <w:r>
        <w:rPr>
          <w:bCs/>
          <w:sz w:val="21"/>
          <w:lang w:bidi="en-US"/>
        </w:rPr>
        <w:t>输入轴；</w:t>
      </w:r>
      <w:r>
        <w:rPr>
          <w:bCs/>
          <w:sz w:val="21"/>
          <w:lang w:bidi="en-US"/>
        </w:rPr>
        <w:t>6-</w:t>
      </w:r>
      <w:r>
        <w:rPr>
          <w:bCs/>
          <w:sz w:val="21"/>
          <w:lang w:bidi="en-US"/>
        </w:rPr>
        <w:t>中间轴；</w:t>
      </w:r>
      <w:r>
        <w:rPr>
          <w:bCs/>
          <w:sz w:val="21"/>
          <w:lang w:bidi="en-US"/>
        </w:rPr>
        <w:t>7-</w:t>
      </w:r>
      <w:r>
        <w:rPr>
          <w:bCs/>
          <w:sz w:val="21"/>
          <w:lang w:bidi="en-US"/>
        </w:rPr>
        <w:t>输出轴；</w:t>
      </w:r>
      <w:r>
        <w:rPr>
          <w:bCs/>
          <w:sz w:val="21"/>
          <w:lang w:bidi="en-US"/>
        </w:rPr>
        <w:t>8-</w:t>
      </w:r>
      <w:r>
        <w:rPr>
          <w:bCs/>
          <w:sz w:val="21"/>
          <w:lang w:bidi="en-US"/>
        </w:rPr>
        <w:t>曲柄；</w:t>
      </w:r>
      <w:r>
        <w:rPr>
          <w:bCs/>
          <w:sz w:val="21"/>
          <w:lang w:bidi="en-US"/>
        </w:rPr>
        <w:t>9-</w:t>
      </w:r>
      <w:r>
        <w:rPr>
          <w:bCs/>
          <w:sz w:val="21"/>
          <w:lang w:bidi="en-US"/>
        </w:rPr>
        <w:t>连杆轴；</w:t>
      </w:r>
      <w:r>
        <w:rPr>
          <w:bCs/>
          <w:sz w:val="21"/>
          <w:lang w:bidi="en-US"/>
        </w:rPr>
        <w:t>10-</w:t>
      </w:r>
      <w:r>
        <w:rPr>
          <w:bCs/>
          <w:sz w:val="21"/>
          <w:lang w:bidi="en-US"/>
        </w:rPr>
        <w:t>支架；</w:t>
      </w:r>
      <w:r>
        <w:rPr>
          <w:bCs/>
          <w:sz w:val="21"/>
          <w:lang w:bidi="en-US"/>
        </w:rPr>
        <w:t>11-</w:t>
      </w:r>
      <w:r>
        <w:rPr>
          <w:bCs/>
          <w:sz w:val="21"/>
          <w:lang w:bidi="en-US"/>
        </w:rPr>
        <w:t>曲柄平衡块；</w:t>
      </w:r>
      <w:r>
        <w:rPr>
          <w:bCs/>
          <w:sz w:val="21"/>
          <w:lang w:bidi="en-US"/>
        </w:rPr>
        <w:t>12-</w:t>
      </w:r>
      <w:r>
        <w:rPr>
          <w:bCs/>
          <w:sz w:val="21"/>
          <w:lang w:bidi="en-US"/>
        </w:rPr>
        <w:t>连杆；</w:t>
      </w:r>
      <w:r>
        <w:rPr>
          <w:bCs/>
          <w:sz w:val="21"/>
          <w:lang w:bidi="en-US"/>
        </w:rPr>
        <w:t>13-</w:t>
      </w:r>
      <w:r>
        <w:rPr>
          <w:bCs/>
          <w:sz w:val="21"/>
          <w:lang w:bidi="en-US"/>
        </w:rPr>
        <w:t>横梁轴；</w:t>
      </w:r>
      <w:r>
        <w:rPr>
          <w:bCs/>
          <w:sz w:val="21"/>
          <w:lang w:bidi="en-US"/>
        </w:rPr>
        <w:t>14-</w:t>
      </w:r>
      <w:r>
        <w:rPr>
          <w:bCs/>
          <w:sz w:val="21"/>
          <w:lang w:bidi="en-US"/>
        </w:rPr>
        <w:t>横梁；</w:t>
      </w:r>
      <w:r>
        <w:rPr>
          <w:bCs/>
          <w:sz w:val="21"/>
          <w:lang w:bidi="en-US"/>
        </w:rPr>
        <w:t>15-</w:t>
      </w:r>
      <w:r>
        <w:rPr>
          <w:bCs/>
          <w:sz w:val="21"/>
          <w:lang w:bidi="en-US"/>
        </w:rPr>
        <w:t>游梁平衡块；</w:t>
      </w:r>
      <w:r>
        <w:rPr>
          <w:bCs/>
          <w:sz w:val="21"/>
          <w:lang w:bidi="en-US"/>
        </w:rPr>
        <w:t>16-</w:t>
      </w:r>
      <w:r>
        <w:rPr>
          <w:bCs/>
          <w:sz w:val="21"/>
          <w:lang w:bidi="en-US"/>
        </w:rPr>
        <w:t>游梁；</w:t>
      </w:r>
      <w:r>
        <w:rPr>
          <w:bCs/>
          <w:sz w:val="21"/>
          <w:lang w:bidi="en-US"/>
        </w:rPr>
        <w:t>17-</w:t>
      </w:r>
      <w:r>
        <w:rPr>
          <w:bCs/>
          <w:sz w:val="21"/>
          <w:lang w:bidi="en-US"/>
        </w:rPr>
        <w:t>游梁轴；</w:t>
      </w:r>
      <w:r>
        <w:rPr>
          <w:bCs/>
          <w:sz w:val="21"/>
          <w:lang w:bidi="en-US"/>
        </w:rPr>
        <w:t>18-</w:t>
      </w:r>
      <w:r>
        <w:rPr>
          <w:bCs/>
          <w:sz w:val="21"/>
          <w:lang w:bidi="en-US"/>
        </w:rPr>
        <w:t>驴头；</w:t>
      </w:r>
      <w:r>
        <w:rPr>
          <w:bCs/>
          <w:sz w:val="21"/>
          <w:lang w:bidi="en-US"/>
        </w:rPr>
        <w:t>19-</w:t>
      </w:r>
      <w:r>
        <w:rPr>
          <w:bCs/>
          <w:sz w:val="21"/>
          <w:lang w:bidi="en-US"/>
        </w:rPr>
        <w:t>悬绳器；</w:t>
      </w:r>
      <w:r>
        <w:rPr>
          <w:bCs/>
          <w:sz w:val="21"/>
          <w:lang w:bidi="en-US"/>
        </w:rPr>
        <w:t>20-</w:t>
      </w:r>
      <w:r>
        <w:rPr>
          <w:bCs/>
          <w:sz w:val="21"/>
          <w:lang w:bidi="en-US"/>
        </w:rPr>
        <w:t>底座</w:t>
      </w:r>
    </w:p>
    <w:p w:rsidR="00F95F9B" w:rsidRDefault="00000000">
      <w:pPr>
        <w:ind w:firstLine="470"/>
      </w:pPr>
      <w:r>
        <w:rPr>
          <w:rFonts w:hint="eastAsia"/>
        </w:rPr>
        <w:t>2.</w:t>
      </w:r>
      <w:r>
        <w:t>皮带式抽油机</w:t>
      </w:r>
    </w:p>
    <w:p w:rsidR="00F95F9B" w:rsidRDefault="00000000">
      <w:pPr>
        <w:ind w:firstLine="470"/>
      </w:pPr>
      <w:r>
        <w:t>常用的链条式抽油机，主要由六大系统组成：动力传动系统、换向系统、平衡系统、悬重系统、润滑系统、电控系统。</w:t>
      </w:r>
    </w:p>
    <w:p w:rsidR="00F95F9B" w:rsidRDefault="00F95F9B">
      <w:pPr>
        <w:tabs>
          <w:tab w:val="left" w:pos="3240"/>
        </w:tabs>
        <w:adjustRightInd w:val="0"/>
        <w:snapToGrid w:val="0"/>
        <w:spacing w:line="348" w:lineRule="auto"/>
        <w:ind w:firstLineChars="0" w:firstLine="0"/>
        <w:jc w:val="center"/>
        <w:rPr>
          <w:rFonts w:eastAsia="黑体"/>
          <w:bCs/>
          <w:sz w:val="21"/>
        </w:rPr>
      </w:pPr>
    </w:p>
    <w:p w:rsidR="00F95F9B" w:rsidRDefault="00000000">
      <w:pPr>
        <w:tabs>
          <w:tab w:val="left" w:pos="3240"/>
        </w:tabs>
        <w:adjustRightInd w:val="0"/>
        <w:snapToGrid w:val="0"/>
        <w:spacing w:line="348" w:lineRule="auto"/>
        <w:ind w:firstLineChars="0" w:firstLine="0"/>
        <w:jc w:val="center"/>
        <w:rPr>
          <w:rFonts w:eastAsia="黑体"/>
          <w:bCs/>
          <w:sz w:val="21"/>
          <w:lang w:val="zh-CN"/>
        </w:rPr>
      </w:pPr>
      <w:r>
        <w:rPr>
          <w:rFonts w:eastAsia="黑体"/>
          <w:bCs/>
          <w:sz w:val="21"/>
          <w:lang w:val="zh-CN"/>
        </w:rPr>
        <w:t>图</w:t>
      </w:r>
      <w:r>
        <w:rPr>
          <w:rFonts w:eastAsia="黑体"/>
          <w:bCs/>
          <w:sz w:val="21"/>
          <w:lang w:val="zh-CN"/>
        </w:rPr>
        <w:t>2.</w:t>
      </w:r>
      <w:r>
        <w:rPr>
          <w:rFonts w:eastAsia="黑体" w:hint="eastAsia"/>
          <w:bCs/>
          <w:sz w:val="21"/>
        </w:rPr>
        <w:t>3</w:t>
      </w:r>
      <w:r>
        <w:rPr>
          <w:rFonts w:eastAsia="黑体"/>
          <w:bCs/>
          <w:sz w:val="21"/>
          <w:lang w:val="zh-CN"/>
        </w:rPr>
        <w:t>-</w:t>
      </w:r>
      <w:r>
        <w:rPr>
          <w:rFonts w:eastAsia="黑体" w:hint="eastAsia"/>
          <w:bCs/>
          <w:sz w:val="21"/>
        </w:rPr>
        <w:t>3</w:t>
      </w:r>
      <w:r>
        <w:rPr>
          <w:rFonts w:eastAsia="黑体"/>
          <w:bCs/>
          <w:sz w:val="21"/>
          <w:lang w:val="zh-CN"/>
        </w:rPr>
        <w:t xml:space="preserve">  </w:t>
      </w:r>
      <w:r>
        <w:rPr>
          <w:rFonts w:eastAsia="黑体"/>
          <w:bCs/>
          <w:sz w:val="21"/>
          <w:lang w:val="zh-CN"/>
        </w:rPr>
        <w:t>皮带式抽油机结构图</w:t>
      </w:r>
    </w:p>
    <w:p w:rsidR="00F95F9B" w:rsidRDefault="00000000">
      <w:pPr>
        <w:widowControl w:val="0"/>
        <w:adjustRightInd w:val="0"/>
        <w:snapToGrid w:val="0"/>
        <w:ind w:firstLine="470"/>
      </w:pPr>
      <w:r>
        <w:rPr>
          <w:rFonts w:hint="eastAsia"/>
        </w:rPr>
        <w:t>2</w:t>
      </w:r>
      <w:r>
        <w:rPr>
          <w:rFonts w:hint="eastAsia"/>
        </w:rPr>
        <w:t>）</w:t>
      </w:r>
      <w:r>
        <w:t xml:space="preserve"> </w:t>
      </w:r>
      <w:r>
        <w:t>油气计量</w:t>
      </w:r>
    </w:p>
    <w:p w:rsidR="00F95F9B" w:rsidRDefault="00000000">
      <w:pPr>
        <w:widowControl w:val="0"/>
        <w:adjustRightInd w:val="0"/>
        <w:snapToGrid w:val="0"/>
        <w:ind w:firstLine="470"/>
      </w:pPr>
      <w:r>
        <w:rPr>
          <w:rFonts w:hint="eastAsia"/>
        </w:rPr>
        <w:t>鲁明公司</w:t>
      </w:r>
      <w:r>
        <w:t>油井计量方式</w:t>
      </w:r>
      <w:r>
        <w:rPr>
          <w:rFonts w:hint="eastAsia"/>
        </w:rPr>
        <w:t>为</w:t>
      </w:r>
      <w:r>
        <w:t>示功图计量。</w:t>
      </w:r>
    </w:p>
    <w:p w:rsidR="00F95F9B" w:rsidRDefault="00000000">
      <w:pPr>
        <w:widowControl w:val="0"/>
        <w:kinsoku w:val="0"/>
        <w:autoSpaceDE w:val="0"/>
        <w:autoSpaceDN w:val="0"/>
        <w:adjustRightInd w:val="0"/>
        <w:snapToGrid w:val="0"/>
        <w:ind w:firstLine="470"/>
        <w:jc w:val="left"/>
      </w:pPr>
      <w:r>
        <w:t>示功图计量分析系统是以油井抽油机泵体为计量器具，以示功图量液仪为数据采集、处理和显示仪表的油井产量计量方法，是计算机软件技术在油井产量计量上的成功应用。利用示功图中有效冲程计算每个冲程产液体积，利用油管内混合液密度换算出油井产</w:t>
      </w:r>
      <w:r>
        <w:rPr>
          <w:rFonts w:hint="eastAsia"/>
        </w:rPr>
        <w:t>液量</w:t>
      </w:r>
      <w:r>
        <w:rPr>
          <w:rFonts w:hint="eastAsia"/>
        </w:rPr>
        <w:lastRenderedPageBreak/>
        <w:t>。</w:t>
      </w:r>
    </w:p>
    <w:p w:rsidR="00F95F9B" w:rsidRDefault="00000000">
      <w:pPr>
        <w:spacing w:line="520" w:lineRule="exact"/>
        <w:ind w:firstLineChars="0" w:firstLine="0"/>
        <w:jc w:val="center"/>
        <w:rPr>
          <w:rFonts w:eastAsia="黑体"/>
          <w:bCs/>
          <w:szCs w:val="32"/>
        </w:rPr>
      </w:pPr>
      <w:r>
        <w:rPr>
          <w:rFonts w:eastAsia="黑体" w:hint="eastAsia"/>
          <w:sz w:val="21"/>
        </w:rPr>
        <w:t>图</w:t>
      </w:r>
      <w:r>
        <w:rPr>
          <w:rFonts w:eastAsia="黑体" w:hint="eastAsia"/>
          <w:sz w:val="21"/>
        </w:rPr>
        <w:t>2.</w:t>
      </w:r>
      <w:r>
        <w:rPr>
          <w:rFonts w:eastAsia="黑体"/>
          <w:sz w:val="21"/>
        </w:rPr>
        <w:t>3</w:t>
      </w:r>
      <w:r>
        <w:rPr>
          <w:rFonts w:eastAsia="黑体" w:hint="eastAsia"/>
          <w:sz w:val="21"/>
        </w:rPr>
        <w:t xml:space="preserve">-4  </w:t>
      </w:r>
      <w:r>
        <w:rPr>
          <w:rFonts w:eastAsia="黑体" w:hint="eastAsia"/>
          <w:sz w:val="21"/>
        </w:rPr>
        <w:t>示功图计量分析系统</w:t>
      </w:r>
    </w:p>
    <w:p w:rsidR="00F95F9B" w:rsidRDefault="00000000">
      <w:pPr>
        <w:pStyle w:val="3"/>
        <w:keepNext w:val="0"/>
        <w:keepLines w:val="0"/>
        <w:widowControl w:val="0"/>
        <w:ind w:left="0"/>
      </w:pPr>
      <w:r>
        <w:rPr>
          <w:rFonts w:hint="eastAsia"/>
        </w:rPr>
        <w:t>采气系统</w:t>
      </w:r>
    </w:p>
    <w:p w:rsidR="00F95F9B" w:rsidRDefault="00000000">
      <w:pPr>
        <w:ind w:firstLine="470"/>
      </w:pPr>
      <w:r>
        <w:rPr>
          <w:rFonts w:hint="eastAsia"/>
        </w:rPr>
        <w:t>气井地面生产设备设施有：采气树、加热炉、分离器和流量计等组成。采出气从井口通过管线到加热炉，加热炉出口接气嘴套，气嘴套内装</w:t>
      </w:r>
      <w:r>
        <w:rPr>
          <w:rFonts w:hint="eastAsia"/>
        </w:rPr>
        <w:t>1-3mm</w:t>
      </w:r>
      <w:r>
        <w:rPr>
          <w:rFonts w:hint="eastAsia"/>
        </w:rPr>
        <w:t>气嘴，并依此减压至</w:t>
      </w:r>
      <w:r>
        <w:rPr>
          <w:rFonts w:hint="eastAsia"/>
        </w:rPr>
        <w:t>1MPa</w:t>
      </w:r>
      <w:r>
        <w:rPr>
          <w:rFonts w:hint="eastAsia"/>
        </w:rPr>
        <w:t>以内，经分离器脱水、流量计计量后进燃气公司输气管线就地销售。</w:t>
      </w:r>
    </w:p>
    <w:p w:rsidR="00F95F9B" w:rsidRDefault="00000000">
      <w:pPr>
        <w:ind w:firstLine="470"/>
      </w:pPr>
      <w:r>
        <w:rPr>
          <w:rFonts w:hint="eastAsia"/>
        </w:rPr>
        <w:t>采气树采用双翼结构，装有温度、压力传感器，实现无线远传。采气树、加热炉、分离器和流量计等设备设施均有防护网，实现隔离与防护。</w:t>
      </w:r>
    </w:p>
    <w:p w:rsidR="00F95F9B" w:rsidRDefault="00000000">
      <w:pPr>
        <w:pStyle w:val="Default"/>
        <w:snapToGrid w:val="0"/>
        <w:spacing w:line="360" w:lineRule="auto"/>
        <w:jc w:val="center"/>
        <w:rPr>
          <w:color w:val="auto"/>
        </w:rPr>
      </w:pPr>
      <w:r>
        <w:rPr>
          <w:noProof/>
          <w:color w:val="auto"/>
        </w:rPr>
        <mc:AlternateContent>
          <mc:Choice Requires="wps">
            <w:drawing>
              <wp:anchor distT="0" distB="0" distL="114300" distR="114300" simplePos="0" relativeHeight="251671552" behindDoc="0" locked="0" layoutInCell="1" allowOverlap="1">
                <wp:simplePos x="0" y="0"/>
                <wp:positionH relativeFrom="column">
                  <wp:posOffset>3770630</wp:posOffset>
                </wp:positionH>
                <wp:positionV relativeFrom="paragraph">
                  <wp:posOffset>1109980</wp:posOffset>
                </wp:positionV>
                <wp:extent cx="566420" cy="412115"/>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566420" cy="412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ind w:firstLine="550"/>
                              <w:rPr>
                                <w:rFonts w:ascii="黑体" w:eastAsia="黑体" w:hAnsi="黑体" w:cs="黑体"/>
                                <w:sz w:val="28"/>
                                <w:szCs w:val="28"/>
                              </w:rPr>
                            </w:pPr>
                            <w:r>
                              <w:rPr>
                                <w:rFonts w:ascii="黑体" w:eastAsia="黑体" w:hAnsi="黑体" w:cs="黑体" w:hint="eastAsia"/>
                                <w:sz w:val="28"/>
                                <w:szCs w:val="28"/>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69" o:spid="_x0000_s1026" type="#_x0000_t202" style="position:absolute;left:0;text-align:left;margin-left:296.9pt;margin-top:87.4pt;width:44.6pt;height:32.4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" filled="f" stroked="f" strokeweight=".5pt">
                <v:textbox>
                  <w:txbxContent>
                    <w:p w:rsidR="00F95F9B" w:rsidRDefault="00000000">
                      <w:pPr>
                        <w:ind w:firstLine="550"/>
                        <w:rPr>
                          <w:rFonts w:ascii="黑体" w:eastAsia="黑体" w:hAnsi="黑体" w:cs="黑体"/>
                          <w:sz w:val="28"/>
                          <w:szCs w:val="28"/>
                        </w:rPr>
                      </w:pPr>
                      <w:r>
                        <w:rPr>
                          <w:rFonts w:ascii="黑体" w:eastAsia="黑体" w:hAnsi="黑体" w:cs="黑体" w:hint="eastAsia"/>
                          <w:sz w:val="28"/>
                          <w:szCs w:val="28"/>
                        </w:rPr>
                        <w:t>3</w:t>
                      </w:r>
                    </w:p>
                  </w:txbxContent>
                </v:textbox>
              </v:shape>
            </w:pict>
          </mc:Fallback>
        </mc:AlternateContent>
      </w:r>
      <w:r>
        <w:rPr>
          <w:noProof/>
          <w:color w:val="auto"/>
        </w:rPr>
        <mc:AlternateContent>
          <mc:Choice Requires="wpg">
            <w:drawing>
              <wp:anchor distT="0" distB="0" distL="114300" distR="114300" simplePos="0" relativeHeight="251674624" behindDoc="0" locked="0" layoutInCell="1" allowOverlap="1">
                <wp:simplePos x="0" y="0"/>
                <wp:positionH relativeFrom="column">
                  <wp:posOffset>1804670</wp:posOffset>
                </wp:positionH>
                <wp:positionV relativeFrom="paragraph">
                  <wp:posOffset>175895</wp:posOffset>
                </wp:positionV>
                <wp:extent cx="2504440" cy="2305050"/>
                <wp:effectExtent l="1270" t="0" r="0" b="11430"/>
                <wp:wrapNone/>
                <wp:docPr id="80" name="组合 80"/>
                <wp:cNvGraphicFramePr/>
                <a:graphic xmlns:a="http://schemas.openxmlformats.org/drawingml/2006/main">
                  <a:graphicData uri="http://schemas.microsoft.com/office/word/2010/wordprocessingGroup">
                    <wpg:wgp>
                      <wpg:cNvGrpSpPr/>
                      <wpg:grpSpPr>
                        <a:xfrm>
                          <a:off x="0" y="0"/>
                          <a:ext cx="2504440" cy="2305050"/>
                          <a:chOff x="7621" y="652575"/>
                          <a:chExt cx="3944" cy="3630"/>
                        </a:xfrm>
                      </wpg:grpSpPr>
                      <wps:wsp>
                        <wps:cNvPr id="28" name="文本框 28"/>
                        <wps:cNvSpPr txBox="1"/>
                        <wps:spPr>
                          <a:xfrm>
                            <a:off x="10203" y="652575"/>
                            <a:ext cx="892" cy="64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ind w:firstLine="552"/>
                                <w:rPr>
                                  <w:rFonts w:ascii="黑体" w:eastAsia="黑体" w:hAnsi="黑体" w:cs="黑体"/>
                                  <w:sz w:val="28"/>
                                  <w:szCs w:val="28"/>
                                </w:rPr>
                              </w:pPr>
                              <w:r>
                                <w:rPr>
                                  <w:rFonts w:ascii="黑体" w:eastAsia="黑体" w:hAnsi="黑体" w:cs="黑体" w:hint="eastAsia"/>
                                  <w:b/>
                                  <w:bCs/>
                                  <w:sz w:val="28"/>
                                  <w:szCs w:val="28"/>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7" name="文本框 47"/>
                        <wps:cNvSpPr txBox="1"/>
                        <wps:spPr>
                          <a:xfrm>
                            <a:off x="10673" y="652836"/>
                            <a:ext cx="892" cy="64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ind w:firstLine="550"/>
                                <w:rPr>
                                  <w:rFonts w:ascii="黑体" w:eastAsia="黑体" w:hAnsi="黑体" w:cs="黑体"/>
                                  <w:sz w:val="28"/>
                                  <w:szCs w:val="28"/>
                                </w:rPr>
                              </w:pPr>
                              <w:r>
                                <w:rPr>
                                  <w:rFonts w:ascii="黑体" w:eastAsia="黑体" w:hAnsi="黑体" w:cs="黑体" w:hint="eastAsia"/>
                                  <w:sz w:val="28"/>
                                  <w:szCs w:val="28"/>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79" name="组合 79"/>
                        <wpg:cNvGrpSpPr/>
                        <wpg:grpSpPr>
                          <a:xfrm>
                            <a:off x="7621" y="653043"/>
                            <a:ext cx="3780" cy="3162"/>
                            <a:chOff x="7621" y="653043"/>
                            <a:chExt cx="3780" cy="3162"/>
                          </a:xfrm>
                        </wpg:grpSpPr>
                        <wps:wsp>
                          <wps:cNvPr id="25" name="直接连接符 25"/>
                          <wps:cNvCnPr/>
                          <wps:spPr>
                            <a:xfrm flipV="1">
                              <a:off x="7987" y="653297"/>
                              <a:ext cx="3203" cy="663"/>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5" name="直接连接符 45"/>
                          <wps:cNvCnPr/>
                          <wps:spPr>
                            <a:xfrm flipV="1">
                              <a:off x="11025" y="653307"/>
                              <a:ext cx="155" cy="416"/>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9" name="直接连接符 49"/>
                          <wps:cNvCnPr/>
                          <wps:spPr>
                            <a:xfrm flipV="1">
                              <a:off x="9864" y="653043"/>
                              <a:ext cx="941" cy="373"/>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50" name="直接连接符 50"/>
                          <wps:cNvCnPr/>
                          <wps:spPr>
                            <a:xfrm>
                              <a:off x="9000" y="654244"/>
                              <a:ext cx="2246" cy="205"/>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60" name="直接连接符 60"/>
                          <wps:cNvCnPr/>
                          <wps:spPr>
                            <a:xfrm>
                              <a:off x="10314" y="654261"/>
                              <a:ext cx="943" cy="188"/>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70" name="直接连接符 70"/>
                          <wps:cNvCnPr/>
                          <wps:spPr>
                            <a:xfrm>
                              <a:off x="9844" y="654731"/>
                              <a:ext cx="1443" cy="376"/>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71" name="直接连接符 71"/>
                          <wps:cNvCnPr/>
                          <wps:spPr>
                            <a:xfrm flipV="1">
                              <a:off x="9875" y="655107"/>
                              <a:ext cx="1412" cy="208"/>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74" name="直接连接符 74"/>
                          <wps:cNvCnPr/>
                          <wps:spPr>
                            <a:xfrm flipV="1">
                              <a:off x="7621" y="655639"/>
                              <a:ext cx="3752" cy="485"/>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75" name="直接连接符 75"/>
                          <wps:cNvCnPr/>
                          <wps:spPr>
                            <a:xfrm flipV="1">
                              <a:off x="8854" y="655617"/>
                              <a:ext cx="2547" cy="588"/>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76" name="直接连接符 76"/>
                          <wps:cNvCnPr/>
                          <wps:spPr>
                            <a:xfrm flipV="1">
                              <a:off x="10574" y="655642"/>
                              <a:ext cx="778" cy="446"/>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77" name="直接连接符 77"/>
                          <wps:cNvCnPr/>
                          <wps:spPr>
                            <a:xfrm flipH="1" flipV="1">
                              <a:off x="11368" y="655610"/>
                              <a:ext cx="16" cy="526"/>
                            </a:xfrm>
                            <a:prstGeom prst="line">
                              <a:avLst/>
                            </a:prstGeom>
                            <a:ln w="22225"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组合 80" o:spid="_x0000_s1027" style="position:absolute;left:0;text-align:left;margin-left:142.1pt;margin-top:13.85pt;width:197.2pt;height:181.5pt;z-index:251674624" coordorigin="76,6525" coordsize="3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">
                <v:shape id="文本框 28" o:spid="_x0000_s1028" type="#_x0000_t202" style="position:absolute;left:102;top:6525;width:8;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rsidR="00F95F9B" w:rsidRDefault="00000000">
                        <w:pPr>
                          <w:ind w:firstLine="552"/>
                          <w:rPr>
                            <w:rFonts w:ascii="黑体" w:eastAsia="黑体" w:hAnsi="黑体" w:cs="黑体"/>
                            <w:sz w:val="28"/>
                            <w:szCs w:val="28"/>
                          </w:rPr>
                        </w:pPr>
                        <w:r>
                          <w:rPr>
                            <w:rFonts w:ascii="黑体" w:eastAsia="黑体" w:hAnsi="黑体" w:cs="黑体" w:hint="eastAsia"/>
                            <w:b/>
                            <w:bCs/>
                            <w:sz w:val="28"/>
                            <w:szCs w:val="28"/>
                          </w:rPr>
                          <w:t>1</w:t>
                        </w:r>
                      </w:p>
                    </w:txbxContent>
                  </v:textbox>
                </v:shape>
                <v:shape id="文本框 47" o:spid="_x0000_s1029" type="#_x0000_t202" style="position:absolute;left:106;top:6528;width:9;height: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rsidR="00F95F9B" w:rsidRDefault="00000000">
                        <w:pPr>
                          <w:ind w:firstLine="550"/>
                          <w:rPr>
                            <w:rFonts w:ascii="黑体" w:eastAsia="黑体" w:hAnsi="黑体" w:cs="黑体"/>
                            <w:sz w:val="28"/>
                            <w:szCs w:val="28"/>
                          </w:rPr>
                        </w:pPr>
                        <w:r>
                          <w:rPr>
                            <w:rFonts w:ascii="黑体" w:eastAsia="黑体" w:hAnsi="黑体" w:cs="黑体" w:hint="eastAsia"/>
                            <w:sz w:val="28"/>
                            <w:szCs w:val="28"/>
                          </w:rPr>
                          <w:t>2</w:t>
                        </w:r>
                      </w:p>
                    </w:txbxContent>
                  </v:textbox>
                </v:shape>
                <v:group id="组合 79" o:spid="_x0000_s1030" style="position:absolute;left:76;top:6530;width:38;height:32" coordorigin="76,6530" coordsize="3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line id="直接连接符 25" o:spid="_x0000_s1031" style="position:absolute;flip:y;visibility:visible;mso-wrap-style:square" from="79,6532" to="111,6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" strokecolor="black [3213]" strokeweight="1.75pt">
                    <v:stroke joinstyle="miter"/>
                  </v:line>
                  <v:line id="直接连接符 45" o:spid="_x0000_s1032" style="position:absolute;flip:y;visibility:visible;mso-wrap-style:square" from="110,6533" to="111,6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" strokecolor="black [3213]" strokeweight="1.75pt">
                    <v:stroke joinstyle="miter"/>
                  </v:line>
                  <v:line id="直接连接符 49" o:spid="_x0000_s1033" style="position:absolute;flip:y;visibility:visible;mso-wrap-style:square" from="98,6530" to="108,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" strokecolor="black [3213]" strokeweight="1.75pt">
                    <v:stroke joinstyle="miter"/>
                  </v:line>
                  <v:line id="直接连接符 50" o:spid="_x0000_s1034" style="position:absolute;visibility:visible;mso-wrap-style:square" from="90,6542" to="112,6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" strokecolor="black [3213]" strokeweight="1.75pt">
                    <v:stroke joinstyle="miter"/>
                  </v:line>
                  <v:line id="直接连接符 60" o:spid="_x0000_s1035" style="position:absolute;visibility:visible;mso-wrap-style:square" from="103,6542" to="112,6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" strokecolor="black [3213]" strokeweight="1.75pt">
                    <v:stroke joinstyle="miter"/>
                  </v:line>
                  <v:line id="直接连接符 70" o:spid="_x0000_s1036" style="position:absolute;visibility:visible;mso-wrap-style:square" from="98,6547" to="112,6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" strokecolor="black [3213]" strokeweight="1.75pt">
                    <v:stroke joinstyle="miter"/>
                  </v:line>
                  <v:line id="直接连接符 71" o:spid="_x0000_s1037" style="position:absolute;flip:y;visibility:visible;mso-wrap-style:square" from="98,6551" to="112,6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" strokecolor="black [3213]" strokeweight="1.75pt">
                    <v:stroke joinstyle="miter"/>
                  </v:line>
                  <v:line id="直接连接符 74" o:spid="_x0000_s1038" style="position:absolute;flip:y;visibility:visible;mso-wrap-style:square" from="76,6556" to="113,65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" strokecolor="black [3213]" strokeweight="1.75pt">
                    <v:stroke joinstyle="miter"/>
                  </v:line>
                  <v:line id="直接连接符 75" o:spid="_x0000_s1039" style="position:absolute;flip:y;visibility:visible;mso-wrap-style:square" from="88,6556" to="114,6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" strokecolor="black [3213]" strokeweight="1.75pt">
                    <v:stroke joinstyle="miter"/>
                  </v:line>
                  <v:line id="直接连接符 76" o:spid="_x0000_s1040" style="position:absolute;flip:y;visibility:visible;mso-wrap-style:square" from="105,6556" to="113,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" strokecolor="black [3213]" strokeweight="1.75pt">
                    <v:stroke joinstyle="miter"/>
                  </v:line>
                  <v:line id="直接连接符 77" o:spid="_x0000_s1041" style="position:absolute;flip:x y;visibility:visible;mso-wrap-style:square" from="113,6556" to="113,65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" strokecolor="black [3213]" strokeweight="1.75pt">
                    <v:stroke joinstyle="miter"/>
                  </v:line>
                </v:group>
              </v:group>
            </w:pict>
          </mc:Fallback>
        </mc:AlternateContent>
      </w:r>
      <w:r>
        <w:rPr>
          <w:noProof/>
          <w:color w:val="auto"/>
        </w:rPr>
        <mc:AlternateContent>
          <mc:Choice Requires="wps">
            <w:drawing>
              <wp:anchor distT="0" distB="0" distL="114300" distR="114300" simplePos="0" relativeHeight="251673600" behindDoc="0" locked="0" layoutInCell="1" allowOverlap="1">
                <wp:simplePos x="0" y="0"/>
                <wp:positionH relativeFrom="column">
                  <wp:posOffset>3834765</wp:posOffset>
                </wp:positionH>
                <wp:positionV relativeFrom="paragraph">
                  <wp:posOffset>1793240</wp:posOffset>
                </wp:positionV>
                <wp:extent cx="566420" cy="412115"/>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566420" cy="412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ind w:firstLine="550"/>
                              <w:rPr>
                                <w:rFonts w:ascii="黑体" w:eastAsia="黑体" w:hAnsi="黑体" w:cs="黑体"/>
                                <w:sz w:val="28"/>
                                <w:szCs w:val="28"/>
                              </w:rPr>
                            </w:pPr>
                            <w:r>
                              <w:rPr>
                                <w:rFonts w:ascii="黑体" w:eastAsia="黑体" w:hAnsi="黑体" w:cs="黑体" w:hint="eastAsia"/>
                                <w:sz w:val="28"/>
                                <w:szCs w:val="28"/>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78" o:spid="_x0000_s1042" type="#_x0000_t202" style="position:absolute;left:0;text-align:left;margin-left:301.95pt;margin-top:141.2pt;width:44.6pt;height:32.4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" filled="f" stroked="f" strokeweight=".5pt">
                <v:textbox>
                  <w:txbxContent>
                    <w:p w:rsidR="00F95F9B" w:rsidRDefault="00000000">
                      <w:pPr>
                        <w:ind w:firstLine="550"/>
                        <w:rPr>
                          <w:rFonts w:ascii="黑体" w:eastAsia="黑体" w:hAnsi="黑体" w:cs="黑体"/>
                          <w:sz w:val="28"/>
                          <w:szCs w:val="28"/>
                        </w:rPr>
                      </w:pPr>
                      <w:r>
                        <w:rPr>
                          <w:rFonts w:ascii="黑体" w:eastAsia="黑体" w:hAnsi="黑体" w:cs="黑体" w:hint="eastAsia"/>
                          <w:sz w:val="28"/>
                          <w:szCs w:val="28"/>
                        </w:rPr>
                        <w:t>5</w:t>
                      </w:r>
                    </w:p>
                  </w:txbxContent>
                </v:textbox>
              </v:shape>
            </w:pict>
          </mc:Fallback>
        </mc:AlternateContent>
      </w:r>
      <w:r>
        <w:rPr>
          <w:noProof/>
          <w:color w:val="auto"/>
        </w:rPr>
        <mc:AlternateContent>
          <mc:Choice Requires="wps">
            <w:drawing>
              <wp:anchor distT="0" distB="0" distL="114300" distR="114300" simplePos="0" relativeHeight="251672576" behindDoc="0" locked="0" layoutInCell="1" allowOverlap="1">
                <wp:simplePos x="0" y="0"/>
                <wp:positionH relativeFrom="column">
                  <wp:posOffset>3814445</wp:posOffset>
                </wp:positionH>
                <wp:positionV relativeFrom="paragraph">
                  <wp:posOffset>1496695</wp:posOffset>
                </wp:positionV>
                <wp:extent cx="566420" cy="412115"/>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566420" cy="412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ind w:firstLine="550"/>
                              <w:rPr>
                                <w:rFonts w:ascii="黑体" w:eastAsia="黑体" w:hAnsi="黑体" w:cs="黑体"/>
                                <w:sz w:val="28"/>
                                <w:szCs w:val="28"/>
                              </w:rPr>
                            </w:pPr>
                            <w:r>
                              <w:rPr>
                                <w:rFonts w:ascii="黑体" w:eastAsia="黑体" w:hAnsi="黑体" w:cs="黑体" w:hint="eastAsia"/>
                                <w:sz w:val="28"/>
                                <w:szCs w:val="28"/>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72" o:spid="_x0000_s1043" type="#_x0000_t202" style="position:absolute;left:0;text-align:left;margin-left:300.35pt;margin-top:117.85pt;width:44.6pt;height:32.4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" filled="f" stroked="f" strokeweight=".5pt">
                <v:textbox>
                  <w:txbxContent>
                    <w:p w:rsidR="00F95F9B" w:rsidRDefault="00000000">
                      <w:pPr>
                        <w:ind w:firstLine="550"/>
                        <w:rPr>
                          <w:rFonts w:ascii="黑体" w:eastAsia="黑体" w:hAnsi="黑体" w:cs="黑体"/>
                          <w:sz w:val="28"/>
                          <w:szCs w:val="28"/>
                        </w:rPr>
                      </w:pPr>
                      <w:r>
                        <w:rPr>
                          <w:rFonts w:ascii="黑体" w:eastAsia="黑体" w:hAnsi="黑体" w:cs="黑体" w:hint="eastAsia"/>
                          <w:sz w:val="28"/>
                          <w:szCs w:val="28"/>
                        </w:rPr>
                        <w:t>4</w:t>
                      </w:r>
                    </w:p>
                  </w:txbxContent>
                </v:textbox>
              </v:shape>
            </w:pict>
          </mc:Fallback>
        </mc:AlternateContent>
      </w:r>
    </w:p>
    <w:p w:rsidR="00F95F9B" w:rsidRDefault="00000000">
      <w:pPr>
        <w:pStyle w:val="Default"/>
        <w:snapToGrid w:val="0"/>
        <w:spacing w:line="360" w:lineRule="auto"/>
        <w:jc w:val="center"/>
        <w:rPr>
          <w:color w:val="auto"/>
          <w:sz w:val="21"/>
        </w:rPr>
      </w:pPr>
      <w:r>
        <w:rPr>
          <w:rFonts w:hint="eastAsia"/>
          <w:color w:val="auto"/>
          <w:sz w:val="21"/>
        </w:rPr>
        <w:t>图</w:t>
      </w:r>
      <w:r>
        <w:rPr>
          <w:rFonts w:ascii="Times New Roman" w:cs="Times New Roman"/>
          <w:color w:val="auto"/>
          <w:sz w:val="21"/>
        </w:rPr>
        <w:t>2.3-</w:t>
      </w:r>
      <w:r>
        <w:rPr>
          <w:rFonts w:ascii="Times New Roman" w:cs="Times New Roman" w:hint="eastAsia"/>
          <w:color w:val="auto"/>
          <w:sz w:val="21"/>
        </w:rPr>
        <w:t>5</w:t>
      </w:r>
      <w:r>
        <w:rPr>
          <w:rFonts w:hint="eastAsia"/>
          <w:color w:val="auto"/>
          <w:sz w:val="21"/>
        </w:rPr>
        <w:t xml:space="preserve">  采气树结构</w:t>
      </w:r>
    </w:p>
    <w:p w:rsidR="00F95F9B" w:rsidRDefault="00000000">
      <w:pPr>
        <w:pStyle w:val="Default"/>
        <w:snapToGrid w:val="0"/>
        <w:spacing w:line="360" w:lineRule="auto"/>
        <w:ind w:firstLineChars="200" w:firstLine="410"/>
        <w:jc w:val="both"/>
        <w:rPr>
          <w:rFonts w:ascii="Times New Roman" w:eastAsia="宋体" w:cs="Times New Roman"/>
          <w:bCs/>
          <w:color w:val="auto"/>
          <w:kern w:val="2"/>
          <w:sz w:val="21"/>
          <w:szCs w:val="21"/>
          <w:lang w:bidi="en-US"/>
        </w:rPr>
      </w:pPr>
      <w:r>
        <w:rPr>
          <w:rFonts w:ascii="Times New Roman" w:eastAsia="宋体" w:cs="Times New Roman" w:hint="eastAsia"/>
          <w:bCs/>
          <w:color w:val="auto"/>
          <w:kern w:val="2"/>
          <w:sz w:val="21"/>
          <w:szCs w:val="21"/>
          <w:lang w:bidi="en-US"/>
        </w:rPr>
        <w:t>注：</w:t>
      </w:r>
      <w:r>
        <w:rPr>
          <w:rFonts w:ascii="Times New Roman" w:eastAsia="宋体" w:cs="Times New Roman" w:hint="eastAsia"/>
          <w:bCs/>
          <w:color w:val="auto"/>
          <w:kern w:val="2"/>
          <w:sz w:val="21"/>
          <w:szCs w:val="21"/>
          <w:lang w:bidi="en-US"/>
        </w:rPr>
        <w:t>1-</w:t>
      </w:r>
      <w:r>
        <w:rPr>
          <w:rFonts w:ascii="Times New Roman" w:eastAsia="宋体" w:cs="Times New Roman" w:hint="eastAsia"/>
          <w:bCs/>
          <w:color w:val="auto"/>
          <w:kern w:val="2"/>
          <w:sz w:val="21"/>
          <w:szCs w:val="21"/>
          <w:lang w:bidi="en-US"/>
        </w:rPr>
        <w:t>测压闸门</w:t>
      </w:r>
      <w:r>
        <w:rPr>
          <w:rFonts w:ascii="Times New Roman" w:eastAsia="宋体" w:cs="Times New Roman" w:hint="eastAsia"/>
          <w:bCs/>
          <w:color w:val="auto"/>
          <w:kern w:val="2"/>
          <w:sz w:val="21"/>
          <w:szCs w:val="21"/>
          <w:lang w:bidi="en-US"/>
        </w:rPr>
        <w:t xml:space="preserve">  2-</w:t>
      </w:r>
      <w:r>
        <w:rPr>
          <w:rFonts w:ascii="Times New Roman" w:eastAsia="宋体" w:cs="Times New Roman" w:hint="eastAsia"/>
          <w:bCs/>
          <w:color w:val="auto"/>
          <w:kern w:val="2"/>
          <w:sz w:val="21"/>
          <w:szCs w:val="21"/>
          <w:lang w:bidi="en-US"/>
        </w:rPr>
        <w:t>针型闸门</w:t>
      </w:r>
      <w:r>
        <w:rPr>
          <w:rFonts w:ascii="Times New Roman" w:eastAsia="宋体" w:cs="Times New Roman" w:hint="eastAsia"/>
          <w:bCs/>
          <w:color w:val="auto"/>
          <w:kern w:val="2"/>
          <w:sz w:val="21"/>
          <w:szCs w:val="21"/>
          <w:lang w:bidi="en-US"/>
        </w:rPr>
        <w:t xml:space="preserve">  3-</w:t>
      </w:r>
      <w:r>
        <w:rPr>
          <w:rFonts w:ascii="Times New Roman" w:eastAsia="宋体" w:cs="Times New Roman" w:hint="eastAsia"/>
          <w:bCs/>
          <w:color w:val="auto"/>
          <w:kern w:val="2"/>
          <w:sz w:val="21"/>
          <w:szCs w:val="21"/>
          <w:lang w:bidi="en-US"/>
        </w:rPr>
        <w:t>油管闸门</w:t>
      </w:r>
      <w:r>
        <w:rPr>
          <w:rFonts w:ascii="Times New Roman" w:eastAsia="宋体" w:cs="Times New Roman" w:hint="eastAsia"/>
          <w:bCs/>
          <w:color w:val="auto"/>
          <w:kern w:val="2"/>
          <w:sz w:val="21"/>
          <w:szCs w:val="21"/>
          <w:lang w:bidi="en-US"/>
        </w:rPr>
        <w:t xml:space="preserve">  4-</w:t>
      </w:r>
      <w:r>
        <w:rPr>
          <w:rFonts w:ascii="Times New Roman" w:eastAsia="宋体" w:cs="Times New Roman" w:hint="eastAsia"/>
          <w:bCs/>
          <w:color w:val="auto"/>
          <w:kern w:val="2"/>
          <w:sz w:val="21"/>
          <w:szCs w:val="21"/>
          <w:lang w:bidi="en-US"/>
        </w:rPr>
        <w:t>总闸门</w:t>
      </w:r>
      <w:r>
        <w:rPr>
          <w:rFonts w:ascii="Times New Roman" w:eastAsia="宋体" w:cs="Times New Roman" w:hint="eastAsia"/>
          <w:bCs/>
          <w:color w:val="auto"/>
          <w:kern w:val="2"/>
          <w:sz w:val="21"/>
          <w:szCs w:val="21"/>
          <w:lang w:bidi="en-US"/>
        </w:rPr>
        <w:t xml:space="preserve">  5-</w:t>
      </w:r>
      <w:r>
        <w:rPr>
          <w:rFonts w:ascii="Times New Roman" w:eastAsia="宋体" w:cs="Times New Roman" w:hint="eastAsia"/>
          <w:bCs/>
          <w:color w:val="auto"/>
          <w:kern w:val="2"/>
          <w:sz w:val="21"/>
          <w:szCs w:val="21"/>
          <w:lang w:bidi="en-US"/>
        </w:rPr>
        <w:t>套管闸门</w:t>
      </w:r>
    </w:p>
    <w:p w:rsidR="00F95F9B" w:rsidRDefault="00000000">
      <w:pPr>
        <w:pStyle w:val="3"/>
        <w:keepNext w:val="0"/>
        <w:keepLines w:val="0"/>
        <w:widowControl w:val="0"/>
        <w:ind w:left="0"/>
      </w:pPr>
      <w:r>
        <w:rPr>
          <w:rFonts w:hint="eastAsia"/>
        </w:rPr>
        <w:t>采出水处理及注入</w:t>
      </w:r>
      <w:r>
        <w:rPr>
          <w:rFonts w:hint="eastAsia"/>
        </w:rPr>
        <w:tab/>
      </w:r>
    </w:p>
    <w:p w:rsidR="00F95F9B" w:rsidRDefault="00000000">
      <w:pPr>
        <w:pStyle w:val="4"/>
        <w:widowControl w:val="0"/>
      </w:pPr>
      <w:r>
        <w:rPr>
          <w:rFonts w:hint="eastAsia"/>
        </w:rPr>
        <w:t>采出水处理</w:t>
      </w:r>
      <w:r>
        <w:t>系统</w:t>
      </w:r>
    </w:p>
    <w:p w:rsidR="00F95F9B" w:rsidRDefault="00000000">
      <w:pPr>
        <w:ind w:firstLine="470"/>
      </w:pPr>
      <w:r>
        <w:rPr>
          <w:rFonts w:ascii="宋体" w:hAnsi="宋体" w:cs="宋体"/>
          <w:szCs w:val="24"/>
        </w:rPr>
        <w:t>采出水处理是利用重力进行油水分离，去除浮油；混凝（或气浮）阶段进一步去除浮油和部分乳化油；经过这两个阶段后采出水中含油量较低，可进行过滤操作，在过滤阶段主要去除采出水中的悬浮物和微量油类，从而得到符合要求的油层注入水。</w:t>
      </w:r>
    </w:p>
    <w:p w:rsidR="00F95F9B" w:rsidRDefault="00000000">
      <w:pPr>
        <w:pStyle w:val="4"/>
      </w:pPr>
      <w:r>
        <w:rPr>
          <w:rFonts w:hint="eastAsia"/>
        </w:rPr>
        <w:t>注入系统</w:t>
      </w:r>
    </w:p>
    <w:p w:rsidR="00F95F9B" w:rsidRDefault="00000000">
      <w:pPr>
        <w:ind w:firstLine="470"/>
      </w:pPr>
      <w:r>
        <w:t>通过注水井向油层注水补充能量，保持油层压力，是在依靠天然能量进行采油之后或油田开发早期为了提高采收率和采油速度而被广泛采用的一项重要的开发措施。</w:t>
      </w:r>
    </w:p>
    <w:p w:rsidR="00F95F9B" w:rsidRDefault="00000000">
      <w:pPr>
        <w:widowControl w:val="0"/>
        <w:ind w:firstLine="470"/>
      </w:pPr>
      <w:r>
        <w:t>油田注水工艺，根据油田不同开发阶段的需要，在分层注水方面主要采取固定配水管柱、偏芯配水管柱和空芯配水管柱等工艺技术；在水井解堵增注方面主要采取化学解堵增注和物理解堵增注工艺技术。</w:t>
      </w:r>
    </w:p>
    <w:p w:rsidR="00F95F9B" w:rsidRDefault="00000000">
      <w:pPr>
        <w:ind w:firstLine="470"/>
      </w:pPr>
      <w:r>
        <w:t>1</w:t>
      </w:r>
      <w:r>
        <w:t>）注水（聚）站</w:t>
      </w:r>
    </w:p>
    <w:p w:rsidR="00F95F9B" w:rsidRDefault="00000000">
      <w:pPr>
        <w:ind w:firstLine="470"/>
      </w:pPr>
      <w:r>
        <w:t>注水站是注水系统的核心部分，其主要作用是将来水升压，以满足注水井对注水压力的要求。站内注水工艺流程主要考虑满足注水水质、计量、操作管理及分层注水等方面的要求。</w:t>
      </w:r>
    </w:p>
    <w:p w:rsidR="00F95F9B" w:rsidRDefault="00000000">
      <w:pPr>
        <w:ind w:firstLine="470"/>
      </w:pPr>
      <w:r>
        <w:t>注水站的主要设备有储水罐及水处理设备、高压泵组、流量计和分水器。</w:t>
      </w:r>
    </w:p>
    <w:p w:rsidR="00F95F9B" w:rsidRDefault="00000000">
      <w:pPr>
        <w:ind w:firstLine="470"/>
      </w:pPr>
      <w:r>
        <w:lastRenderedPageBreak/>
        <w:t>注聚站担负着聚驱后复合驱井的注入任务。其主要设施为熟化罐、搅拌机、分散装置、外输泵，以及清水罐、离心泵等。</w:t>
      </w:r>
    </w:p>
    <w:p w:rsidR="00F95F9B" w:rsidRDefault="00000000">
      <w:pPr>
        <w:ind w:firstLine="470"/>
      </w:pPr>
      <w:r>
        <w:t>2</w:t>
      </w:r>
      <w:r>
        <w:t>）配水间</w:t>
      </w:r>
    </w:p>
    <w:p w:rsidR="00F95F9B" w:rsidRDefault="00000000">
      <w:pPr>
        <w:ind w:firstLine="470"/>
      </w:pPr>
      <w:r>
        <w:t>配水间用来调节、控制和计量注水井的注水的注水量，分为单井配水间和多井配水间两种。其主要设施为分水器、正常注水和旁通备用管汇、压力表和流量计。</w:t>
      </w:r>
    </w:p>
    <w:p w:rsidR="00F95F9B" w:rsidRDefault="00000000">
      <w:pPr>
        <w:ind w:firstLine="470"/>
      </w:pPr>
      <w:r>
        <w:t>3</w:t>
      </w:r>
      <w:r>
        <w:t>）注水（聚）井</w:t>
      </w:r>
    </w:p>
    <w:p w:rsidR="00F95F9B" w:rsidRDefault="00000000">
      <w:pPr>
        <w:ind w:firstLine="470"/>
      </w:pPr>
      <w:r>
        <w:t>注入水从地面进入地层的通道，井口装置与自喷井相似；不同点是无清蜡闸门，不装油嘴，同时承高压。除井口装置外，注水井内还根据注水要求下有相应的注水管柱。</w:t>
      </w:r>
    </w:p>
    <w:p w:rsidR="00F95F9B" w:rsidRDefault="00000000">
      <w:pPr>
        <w:ind w:firstLine="470"/>
      </w:pPr>
      <w:r>
        <w:t>4</w:t>
      </w:r>
      <w:r>
        <w:t>）注水（聚）管道</w:t>
      </w:r>
    </w:p>
    <w:p w:rsidR="00F95F9B" w:rsidRDefault="00000000">
      <w:pPr>
        <w:ind w:firstLine="470"/>
      </w:pPr>
      <w:r>
        <w:t>注水（聚）管道有无缝钢管和玻璃钢管。管网以枝状为主。</w:t>
      </w:r>
    </w:p>
    <w:p w:rsidR="00F95F9B" w:rsidRDefault="00000000">
      <w:pPr>
        <w:pStyle w:val="3"/>
        <w:keepNext w:val="0"/>
        <w:keepLines w:val="0"/>
        <w:widowControl w:val="0"/>
        <w:adjustRightInd w:val="0"/>
        <w:snapToGrid w:val="0"/>
        <w:spacing w:beforeLines="50" w:before="170"/>
        <w:ind w:left="0"/>
      </w:pPr>
      <w:r>
        <w:rPr>
          <w:rFonts w:hint="eastAsia"/>
        </w:rPr>
        <w:t>油气集输</w:t>
      </w:r>
    </w:p>
    <w:p w:rsidR="00F95F9B" w:rsidRDefault="00000000">
      <w:pPr>
        <w:widowControl w:val="0"/>
        <w:adjustRightInd w:val="0"/>
        <w:snapToGrid w:val="0"/>
        <w:ind w:firstLine="550"/>
        <w:jc w:val="left"/>
        <w:rPr>
          <w:color w:val="000000" w:themeColor="text1"/>
          <w:sz w:val="28"/>
          <w:szCs w:val="28"/>
        </w:rPr>
      </w:pPr>
      <w:r>
        <w:rPr>
          <w:rFonts w:hint="eastAsia"/>
          <w:color w:val="000000" w:themeColor="text1"/>
          <w:sz w:val="28"/>
          <w:szCs w:val="28"/>
        </w:rPr>
        <w:t>涉及企业机密，不予公开。</w:t>
      </w:r>
    </w:p>
    <w:p w:rsidR="00F95F9B" w:rsidRDefault="00000000">
      <w:pPr>
        <w:widowControl w:val="0"/>
        <w:adjustRightInd w:val="0"/>
        <w:snapToGrid w:val="0"/>
        <w:ind w:firstLineChars="0" w:firstLine="0"/>
        <w:jc w:val="center"/>
        <w:rPr>
          <w:rFonts w:eastAsia="黑体"/>
          <w:sz w:val="21"/>
          <w:szCs w:val="20"/>
        </w:rPr>
      </w:pPr>
      <w:r>
        <w:rPr>
          <w:rFonts w:eastAsia="黑体" w:hint="eastAsia"/>
          <w:sz w:val="21"/>
          <w:szCs w:val="20"/>
          <w:lang w:val="zh-CN"/>
        </w:rPr>
        <w:t>图</w:t>
      </w:r>
      <w:r>
        <w:rPr>
          <w:rFonts w:eastAsia="黑体" w:hint="eastAsia"/>
          <w:sz w:val="21"/>
          <w:szCs w:val="20"/>
          <w:lang w:val="zh-CN"/>
        </w:rPr>
        <w:t>2.</w:t>
      </w:r>
      <w:r>
        <w:rPr>
          <w:rFonts w:eastAsia="黑体" w:hint="eastAsia"/>
          <w:sz w:val="21"/>
          <w:szCs w:val="20"/>
        </w:rPr>
        <w:t>3</w:t>
      </w:r>
      <w:r>
        <w:rPr>
          <w:rFonts w:eastAsia="黑体" w:hint="eastAsia"/>
          <w:sz w:val="21"/>
          <w:szCs w:val="20"/>
          <w:lang w:val="zh-CN"/>
        </w:rPr>
        <w:t>-</w:t>
      </w:r>
      <w:r>
        <w:rPr>
          <w:rFonts w:eastAsia="黑体" w:hint="eastAsia"/>
          <w:sz w:val="21"/>
          <w:szCs w:val="20"/>
        </w:rPr>
        <w:t xml:space="preserve">6  </w:t>
      </w:r>
      <w:r>
        <w:rPr>
          <w:rFonts w:eastAsia="黑体" w:hint="eastAsia"/>
          <w:sz w:val="21"/>
          <w:szCs w:val="20"/>
        </w:rPr>
        <w:t>鲁明公司主要站场分布图</w:t>
      </w:r>
    </w:p>
    <w:p w:rsidR="00F95F9B" w:rsidRDefault="00000000">
      <w:pPr>
        <w:adjustRightInd w:val="0"/>
        <w:snapToGrid w:val="0"/>
        <w:ind w:firstLine="470"/>
      </w:pPr>
      <w:r>
        <w:rPr>
          <w:rFonts w:hint="eastAsia"/>
        </w:rPr>
        <w:t xml:space="preserve"> </w:t>
      </w:r>
      <w:r>
        <w:t>联合站（集输站）负责油井采出的油、水、气混合物的收集、计量、暂存和初步处理。每座联合站（集输站）一般包括油气分离、原油沉降脱水、加热、化学脱水、原油存储外输、污水处理、天然气初步处理等</w:t>
      </w:r>
      <w:r>
        <w:t>7</w:t>
      </w:r>
      <w:r>
        <w:t>大部分。主要设备有油气分离器、采出水处理设备、沉降罐、原油储罐、输油泵等。</w:t>
      </w:r>
    </w:p>
    <w:p w:rsidR="00F95F9B" w:rsidRDefault="00000000">
      <w:pPr>
        <w:pStyle w:val="4"/>
        <w:keepNext w:val="0"/>
        <w:keepLines w:val="0"/>
        <w:widowControl w:val="0"/>
        <w:adjustRightInd w:val="0"/>
        <w:snapToGrid w:val="0"/>
        <w:rPr>
          <w:rFonts w:ascii="宋体" w:hAnsi="宋体" w:cs="宋体"/>
        </w:rPr>
      </w:pPr>
      <w:r>
        <w:rPr>
          <w:rFonts w:ascii="宋体" w:hAnsi="宋体" w:cs="宋体" w:hint="eastAsia"/>
        </w:rPr>
        <w:t>济北集输站</w:t>
      </w:r>
    </w:p>
    <w:p w:rsidR="00F95F9B" w:rsidRDefault="00000000">
      <w:pPr>
        <w:adjustRightInd w:val="0"/>
        <w:snapToGrid w:val="0"/>
        <w:ind w:firstLine="470"/>
      </w:pPr>
      <w:r>
        <w:rPr>
          <w:rFonts w:hint="eastAsia"/>
        </w:rPr>
        <w:t>1</w:t>
      </w:r>
      <w:r>
        <w:rPr>
          <w:rFonts w:hint="eastAsia"/>
        </w:rPr>
        <w:t>）简介</w:t>
      </w:r>
    </w:p>
    <w:p w:rsidR="00F95F9B" w:rsidRDefault="00000000">
      <w:pPr>
        <w:adjustRightInd w:val="0"/>
        <w:snapToGrid w:val="0"/>
        <w:ind w:firstLine="470"/>
      </w:pPr>
      <w:r>
        <w:rPr>
          <w:rFonts w:hint="eastAsia"/>
        </w:rPr>
        <w:t>2</w:t>
      </w:r>
      <w:r>
        <w:rPr>
          <w:rFonts w:hint="eastAsia"/>
        </w:rPr>
        <w:t>）地理位置</w:t>
      </w:r>
    </w:p>
    <w:p w:rsidR="00F95F9B" w:rsidRDefault="00000000">
      <w:pPr>
        <w:adjustRightInd w:val="0"/>
        <w:snapToGrid w:val="0"/>
        <w:ind w:firstLine="470"/>
      </w:pPr>
      <w:r>
        <w:rPr>
          <w:rFonts w:hint="eastAsia"/>
        </w:rPr>
        <w:t>3</w:t>
      </w:r>
      <w:r>
        <w:rPr>
          <w:rFonts w:hint="eastAsia"/>
        </w:rPr>
        <w:t>）平面布置</w:t>
      </w:r>
    </w:p>
    <w:p w:rsidR="00F95F9B" w:rsidRDefault="00000000">
      <w:pPr>
        <w:adjustRightInd w:val="0"/>
        <w:snapToGrid w:val="0"/>
        <w:ind w:firstLine="470"/>
      </w:pPr>
      <w:r>
        <w:rPr>
          <w:rFonts w:hint="eastAsia"/>
        </w:rPr>
        <w:t>4</w:t>
      </w:r>
      <w:r>
        <w:rPr>
          <w:rFonts w:hint="eastAsia"/>
        </w:rPr>
        <w:t>）工艺流程</w:t>
      </w:r>
    </w:p>
    <w:p w:rsidR="00F95F9B" w:rsidRDefault="00000000">
      <w:pPr>
        <w:adjustRightInd w:val="0"/>
        <w:snapToGrid w:val="0"/>
        <w:ind w:firstLine="470"/>
      </w:pPr>
      <w:r>
        <w:rPr>
          <w:rFonts w:hint="eastAsia"/>
        </w:rPr>
        <w:t>5</w:t>
      </w:r>
      <w:r>
        <w:rPr>
          <w:rFonts w:hint="eastAsia"/>
        </w:rPr>
        <w:t>）主要设备设施</w:t>
      </w:r>
    </w:p>
    <w:p w:rsidR="00F95F9B" w:rsidRDefault="00000000">
      <w:pPr>
        <w:adjustRightInd w:val="0"/>
        <w:snapToGrid w:val="0"/>
        <w:ind w:firstLine="470"/>
      </w:pPr>
      <w:r>
        <w:rPr>
          <w:rFonts w:hint="eastAsia"/>
        </w:rPr>
        <w:t>6</w:t>
      </w:r>
      <w:r>
        <w:rPr>
          <w:rFonts w:hint="eastAsia"/>
        </w:rPr>
        <w:t>）站场公用工程及辅助生产设施</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adjustRightInd w:val="0"/>
        <w:snapToGrid w:val="0"/>
      </w:pPr>
      <w:r>
        <w:rPr>
          <w:rFonts w:hint="eastAsia"/>
        </w:rPr>
        <w:t>临南联合站</w:t>
      </w:r>
    </w:p>
    <w:p w:rsidR="00F95F9B" w:rsidRDefault="00000000">
      <w:pPr>
        <w:adjustRightInd w:val="0"/>
        <w:snapToGrid w:val="0"/>
        <w:ind w:firstLine="470"/>
      </w:pPr>
      <w:r>
        <w:rPr>
          <w:rFonts w:hint="eastAsia"/>
        </w:rPr>
        <w:t>1</w:t>
      </w:r>
      <w:r>
        <w:rPr>
          <w:rFonts w:hint="eastAsia"/>
        </w:rPr>
        <w:t>）简介</w:t>
      </w:r>
    </w:p>
    <w:p w:rsidR="00F95F9B" w:rsidRDefault="00000000">
      <w:pPr>
        <w:adjustRightInd w:val="0"/>
        <w:snapToGrid w:val="0"/>
        <w:ind w:firstLine="470"/>
      </w:pPr>
      <w:r>
        <w:rPr>
          <w:rFonts w:hint="eastAsia"/>
        </w:rPr>
        <w:t>2</w:t>
      </w:r>
      <w:r>
        <w:rPr>
          <w:rFonts w:hint="eastAsia"/>
        </w:rPr>
        <w:t>）地理位置</w:t>
      </w:r>
    </w:p>
    <w:p w:rsidR="00F95F9B" w:rsidRDefault="00000000">
      <w:pPr>
        <w:adjustRightInd w:val="0"/>
        <w:snapToGrid w:val="0"/>
        <w:ind w:firstLine="470"/>
      </w:pPr>
      <w:r>
        <w:rPr>
          <w:rFonts w:hint="eastAsia"/>
        </w:rPr>
        <w:t>3</w:t>
      </w:r>
      <w:r>
        <w:rPr>
          <w:rFonts w:hint="eastAsia"/>
        </w:rPr>
        <w:t>）平面布置</w:t>
      </w:r>
    </w:p>
    <w:p w:rsidR="00F95F9B" w:rsidRDefault="00000000">
      <w:pPr>
        <w:adjustRightInd w:val="0"/>
        <w:snapToGrid w:val="0"/>
        <w:ind w:firstLine="470"/>
      </w:pPr>
      <w:r>
        <w:rPr>
          <w:rFonts w:hint="eastAsia"/>
        </w:rPr>
        <w:lastRenderedPageBreak/>
        <w:t>4</w:t>
      </w:r>
      <w:r>
        <w:rPr>
          <w:rFonts w:hint="eastAsia"/>
        </w:rPr>
        <w:t>）工艺流程</w:t>
      </w:r>
    </w:p>
    <w:p w:rsidR="00F95F9B" w:rsidRDefault="00000000">
      <w:pPr>
        <w:adjustRightInd w:val="0"/>
        <w:snapToGrid w:val="0"/>
        <w:ind w:firstLine="470"/>
      </w:pPr>
      <w:r>
        <w:rPr>
          <w:rFonts w:hint="eastAsia"/>
        </w:rPr>
        <w:t>5</w:t>
      </w:r>
      <w:r>
        <w:rPr>
          <w:rFonts w:hint="eastAsia"/>
        </w:rPr>
        <w:t>）主要设备设施</w:t>
      </w:r>
    </w:p>
    <w:p w:rsidR="00F95F9B" w:rsidRDefault="00000000">
      <w:pPr>
        <w:adjustRightInd w:val="0"/>
        <w:snapToGrid w:val="0"/>
        <w:ind w:firstLine="470"/>
      </w:pPr>
      <w:r>
        <w:rPr>
          <w:rFonts w:hint="eastAsia"/>
        </w:rPr>
        <w:t>6</w:t>
      </w:r>
      <w:r>
        <w:rPr>
          <w:rFonts w:hint="eastAsia"/>
        </w:rPr>
        <w:t>）站场公用工程及辅助生产设施</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adjustRightInd w:val="0"/>
        <w:snapToGrid w:val="0"/>
      </w:pPr>
      <w:r>
        <w:rPr>
          <w:rFonts w:hint="eastAsia"/>
        </w:rPr>
        <w:t>商</w:t>
      </w:r>
      <w:r>
        <w:rPr>
          <w:rFonts w:hint="eastAsia"/>
        </w:rPr>
        <w:t>56</w:t>
      </w:r>
      <w:r>
        <w:rPr>
          <w:rFonts w:hint="eastAsia"/>
        </w:rPr>
        <w:t>集输站</w:t>
      </w:r>
    </w:p>
    <w:p w:rsidR="00F95F9B" w:rsidRDefault="00000000">
      <w:pPr>
        <w:adjustRightInd w:val="0"/>
        <w:snapToGrid w:val="0"/>
        <w:ind w:firstLine="470"/>
      </w:pPr>
      <w:r>
        <w:rPr>
          <w:rFonts w:hint="eastAsia"/>
        </w:rPr>
        <w:t>1</w:t>
      </w:r>
      <w:r>
        <w:rPr>
          <w:rFonts w:hint="eastAsia"/>
        </w:rPr>
        <w:t>）简介</w:t>
      </w:r>
    </w:p>
    <w:p w:rsidR="00F95F9B" w:rsidRDefault="00000000">
      <w:pPr>
        <w:adjustRightInd w:val="0"/>
        <w:snapToGrid w:val="0"/>
        <w:ind w:firstLine="470"/>
      </w:pPr>
      <w:r>
        <w:rPr>
          <w:rFonts w:hint="eastAsia"/>
        </w:rPr>
        <w:t>2</w:t>
      </w:r>
      <w:r>
        <w:rPr>
          <w:rFonts w:hint="eastAsia"/>
        </w:rPr>
        <w:t>）地理位置</w:t>
      </w:r>
    </w:p>
    <w:p w:rsidR="00F95F9B" w:rsidRDefault="00000000">
      <w:pPr>
        <w:adjustRightInd w:val="0"/>
        <w:snapToGrid w:val="0"/>
        <w:ind w:firstLine="470"/>
      </w:pPr>
      <w:r>
        <w:rPr>
          <w:rFonts w:hint="eastAsia"/>
        </w:rPr>
        <w:t>3</w:t>
      </w:r>
      <w:r>
        <w:rPr>
          <w:rFonts w:hint="eastAsia"/>
        </w:rPr>
        <w:t>）平面布置</w:t>
      </w:r>
    </w:p>
    <w:p w:rsidR="00F95F9B" w:rsidRDefault="00000000">
      <w:pPr>
        <w:adjustRightInd w:val="0"/>
        <w:snapToGrid w:val="0"/>
        <w:ind w:firstLine="470"/>
      </w:pPr>
      <w:r>
        <w:rPr>
          <w:rFonts w:hint="eastAsia"/>
        </w:rPr>
        <w:t>4</w:t>
      </w:r>
      <w:r>
        <w:rPr>
          <w:rFonts w:hint="eastAsia"/>
        </w:rPr>
        <w:t>）工艺流程</w:t>
      </w:r>
    </w:p>
    <w:p w:rsidR="00F95F9B" w:rsidRDefault="00000000">
      <w:pPr>
        <w:adjustRightInd w:val="0"/>
        <w:snapToGrid w:val="0"/>
        <w:ind w:firstLine="470"/>
      </w:pPr>
      <w:r>
        <w:rPr>
          <w:rFonts w:hint="eastAsia"/>
        </w:rPr>
        <w:t>5</w:t>
      </w:r>
      <w:r>
        <w:rPr>
          <w:rFonts w:hint="eastAsia"/>
        </w:rPr>
        <w:t>）主要设备设施</w:t>
      </w:r>
    </w:p>
    <w:p w:rsidR="00F95F9B" w:rsidRDefault="00000000">
      <w:pPr>
        <w:widowControl w:val="0"/>
        <w:adjustRightInd w:val="0"/>
        <w:snapToGrid w:val="0"/>
        <w:ind w:firstLine="470"/>
        <w:jc w:val="left"/>
      </w:pPr>
      <w:r>
        <w:rPr>
          <w:rFonts w:hint="eastAsia"/>
        </w:rPr>
        <w:t>6</w:t>
      </w:r>
      <w:r>
        <w:rPr>
          <w:rFonts w:hint="eastAsia"/>
        </w:rPr>
        <w:t>）站场公用工程及辅助生产设施</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F95F9B">
      <w:pPr>
        <w:adjustRightInd w:val="0"/>
        <w:snapToGrid w:val="0"/>
        <w:ind w:firstLine="470"/>
      </w:pPr>
    </w:p>
    <w:p w:rsidR="00F95F9B" w:rsidRDefault="00000000">
      <w:pPr>
        <w:pStyle w:val="4"/>
        <w:keepNext w:val="0"/>
        <w:keepLines w:val="0"/>
        <w:widowControl w:val="0"/>
        <w:adjustRightInd w:val="0"/>
        <w:snapToGrid w:val="0"/>
      </w:pPr>
      <w:r>
        <w:rPr>
          <w:rFonts w:hint="eastAsia"/>
        </w:rPr>
        <w:t>青南集输站</w:t>
      </w:r>
    </w:p>
    <w:p w:rsidR="00F95F9B" w:rsidRDefault="00000000">
      <w:pPr>
        <w:adjustRightInd w:val="0"/>
        <w:snapToGrid w:val="0"/>
        <w:ind w:firstLine="470"/>
      </w:pPr>
      <w:r>
        <w:rPr>
          <w:rFonts w:hint="eastAsia"/>
        </w:rPr>
        <w:t>1</w:t>
      </w:r>
      <w:r>
        <w:rPr>
          <w:rFonts w:hint="eastAsia"/>
        </w:rPr>
        <w:t>）简介</w:t>
      </w:r>
    </w:p>
    <w:p w:rsidR="00F95F9B" w:rsidRDefault="00000000">
      <w:pPr>
        <w:adjustRightInd w:val="0"/>
        <w:snapToGrid w:val="0"/>
        <w:ind w:firstLine="470"/>
      </w:pPr>
      <w:r>
        <w:rPr>
          <w:rFonts w:hint="eastAsia"/>
        </w:rPr>
        <w:t>2</w:t>
      </w:r>
      <w:r>
        <w:rPr>
          <w:rFonts w:hint="eastAsia"/>
        </w:rPr>
        <w:t>）地理位置</w:t>
      </w:r>
    </w:p>
    <w:p w:rsidR="00F95F9B" w:rsidRDefault="00000000">
      <w:pPr>
        <w:adjustRightInd w:val="0"/>
        <w:snapToGrid w:val="0"/>
        <w:ind w:firstLine="470"/>
      </w:pPr>
      <w:r>
        <w:rPr>
          <w:rFonts w:hint="eastAsia"/>
        </w:rPr>
        <w:t>3</w:t>
      </w:r>
      <w:r>
        <w:rPr>
          <w:rFonts w:hint="eastAsia"/>
        </w:rPr>
        <w:t>）平面布置</w:t>
      </w:r>
    </w:p>
    <w:p w:rsidR="00F95F9B" w:rsidRDefault="00000000">
      <w:pPr>
        <w:adjustRightInd w:val="0"/>
        <w:snapToGrid w:val="0"/>
        <w:ind w:firstLine="470"/>
      </w:pPr>
      <w:r>
        <w:rPr>
          <w:rFonts w:hint="eastAsia"/>
        </w:rPr>
        <w:t>4</w:t>
      </w:r>
      <w:r>
        <w:rPr>
          <w:rFonts w:hint="eastAsia"/>
        </w:rPr>
        <w:t>）工艺流程</w:t>
      </w:r>
    </w:p>
    <w:p w:rsidR="00F95F9B" w:rsidRDefault="00000000">
      <w:pPr>
        <w:adjustRightInd w:val="0"/>
        <w:snapToGrid w:val="0"/>
        <w:ind w:firstLine="470"/>
      </w:pPr>
      <w:r>
        <w:rPr>
          <w:rFonts w:hint="eastAsia"/>
        </w:rPr>
        <w:t>5</w:t>
      </w:r>
      <w:r>
        <w:rPr>
          <w:rFonts w:hint="eastAsia"/>
        </w:rPr>
        <w:t>）主要设备设施</w:t>
      </w:r>
    </w:p>
    <w:p w:rsidR="00F95F9B" w:rsidRDefault="00000000">
      <w:pPr>
        <w:adjustRightInd w:val="0"/>
        <w:snapToGrid w:val="0"/>
        <w:ind w:firstLine="470"/>
      </w:pPr>
      <w:r>
        <w:rPr>
          <w:rFonts w:hint="eastAsia"/>
        </w:rPr>
        <w:t>6</w:t>
      </w:r>
      <w:r>
        <w:rPr>
          <w:rFonts w:hint="eastAsia"/>
        </w:rPr>
        <w:t>）站场公用工程及辅助生产设施</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adjustRightInd w:val="0"/>
        <w:snapToGrid w:val="0"/>
      </w:pPr>
      <w:r>
        <w:rPr>
          <w:rFonts w:hint="eastAsia"/>
        </w:rPr>
        <w:t>滨</w:t>
      </w:r>
      <w:r>
        <w:rPr>
          <w:rFonts w:hint="eastAsia"/>
        </w:rPr>
        <w:t>425</w:t>
      </w:r>
      <w:r>
        <w:rPr>
          <w:rFonts w:hint="eastAsia"/>
        </w:rPr>
        <w:t>集输站</w:t>
      </w:r>
    </w:p>
    <w:p w:rsidR="00F95F9B" w:rsidRDefault="00000000">
      <w:pPr>
        <w:adjustRightInd w:val="0"/>
        <w:snapToGrid w:val="0"/>
        <w:ind w:firstLine="470"/>
      </w:pPr>
      <w:r>
        <w:rPr>
          <w:rFonts w:hint="eastAsia"/>
        </w:rPr>
        <w:t>1</w:t>
      </w:r>
      <w:r>
        <w:rPr>
          <w:rFonts w:hint="eastAsia"/>
        </w:rPr>
        <w:t>）简介</w:t>
      </w:r>
    </w:p>
    <w:p w:rsidR="00F95F9B" w:rsidRDefault="00000000">
      <w:pPr>
        <w:adjustRightInd w:val="0"/>
        <w:snapToGrid w:val="0"/>
        <w:ind w:firstLine="470"/>
      </w:pPr>
      <w:r>
        <w:rPr>
          <w:rFonts w:hint="eastAsia"/>
        </w:rPr>
        <w:t>2</w:t>
      </w:r>
      <w:r>
        <w:rPr>
          <w:rFonts w:hint="eastAsia"/>
        </w:rPr>
        <w:t>）地理位置</w:t>
      </w:r>
    </w:p>
    <w:p w:rsidR="00F95F9B" w:rsidRDefault="00000000">
      <w:pPr>
        <w:adjustRightInd w:val="0"/>
        <w:snapToGrid w:val="0"/>
        <w:ind w:firstLine="470"/>
      </w:pPr>
      <w:r>
        <w:rPr>
          <w:rFonts w:hint="eastAsia"/>
        </w:rPr>
        <w:t>3</w:t>
      </w:r>
      <w:r>
        <w:rPr>
          <w:rFonts w:hint="eastAsia"/>
        </w:rPr>
        <w:t>）平面布置</w:t>
      </w:r>
    </w:p>
    <w:p w:rsidR="00F95F9B" w:rsidRDefault="00000000">
      <w:pPr>
        <w:adjustRightInd w:val="0"/>
        <w:snapToGrid w:val="0"/>
        <w:ind w:firstLine="470"/>
      </w:pPr>
      <w:r>
        <w:rPr>
          <w:rFonts w:hint="eastAsia"/>
        </w:rPr>
        <w:t>4</w:t>
      </w:r>
      <w:r>
        <w:rPr>
          <w:rFonts w:hint="eastAsia"/>
        </w:rPr>
        <w:t>）工艺流程</w:t>
      </w:r>
    </w:p>
    <w:p w:rsidR="00F95F9B" w:rsidRDefault="00000000">
      <w:pPr>
        <w:adjustRightInd w:val="0"/>
        <w:snapToGrid w:val="0"/>
        <w:ind w:firstLine="470"/>
      </w:pPr>
      <w:r>
        <w:rPr>
          <w:rFonts w:hint="eastAsia"/>
        </w:rPr>
        <w:t>5</w:t>
      </w:r>
      <w:r>
        <w:rPr>
          <w:rFonts w:hint="eastAsia"/>
        </w:rPr>
        <w:t>）主要设备设施</w:t>
      </w:r>
    </w:p>
    <w:p w:rsidR="00F95F9B" w:rsidRDefault="00000000">
      <w:pPr>
        <w:adjustRightInd w:val="0"/>
        <w:snapToGrid w:val="0"/>
        <w:ind w:firstLine="470"/>
      </w:pPr>
      <w:r>
        <w:rPr>
          <w:rFonts w:hint="eastAsia"/>
        </w:rPr>
        <w:t>6</w:t>
      </w:r>
      <w:r>
        <w:rPr>
          <w:rFonts w:hint="eastAsia"/>
        </w:rPr>
        <w:t>）站场公用工程及辅助生产设施</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adjustRightInd w:val="0"/>
        <w:snapToGrid w:val="0"/>
      </w:pPr>
      <w:r>
        <w:rPr>
          <w:rFonts w:hint="eastAsia"/>
        </w:rPr>
        <w:t>集输管道</w:t>
      </w:r>
    </w:p>
    <w:p w:rsidR="00F95F9B" w:rsidRDefault="00000000">
      <w:pPr>
        <w:widowControl w:val="0"/>
        <w:adjustRightInd w:val="0"/>
        <w:snapToGrid w:val="0"/>
        <w:ind w:firstLine="470"/>
      </w:pPr>
      <w:r>
        <w:rPr>
          <w:rFonts w:hint="eastAsia"/>
        </w:rPr>
        <w:lastRenderedPageBreak/>
        <w:t>鲁明公司油水管线共计</w:t>
      </w:r>
      <w:r>
        <w:rPr>
          <w:rFonts w:hint="eastAsia"/>
        </w:rPr>
        <w:t>1214</w:t>
      </w:r>
      <w:r>
        <w:t>km</w:t>
      </w:r>
      <w:r>
        <w:rPr>
          <w:rFonts w:hint="eastAsia"/>
        </w:rPr>
        <w:t>，气管线</w:t>
      </w:r>
      <w:r>
        <w:rPr>
          <w:rFonts w:hint="eastAsia"/>
        </w:rPr>
        <w:t>124km</w:t>
      </w:r>
      <w:r>
        <w:rPr>
          <w:rFonts w:hint="eastAsia"/>
        </w:rPr>
        <w:t>，主要包括单井管线、计量站到集输站</w:t>
      </w:r>
      <w:r>
        <w:rPr>
          <w:rFonts w:hint="eastAsia"/>
        </w:rPr>
        <w:t>/</w:t>
      </w:r>
      <w:r>
        <w:rPr>
          <w:rFonts w:hint="eastAsia"/>
        </w:rPr>
        <w:t>联合站集输管线、集输站原油外输管线。青南集输站、临南联合站、滨</w:t>
      </w:r>
      <w:r>
        <w:rPr>
          <w:rFonts w:hint="eastAsia"/>
        </w:rPr>
        <w:t>425</w:t>
      </w:r>
      <w:r>
        <w:rPr>
          <w:rFonts w:hint="eastAsia"/>
        </w:rPr>
        <w:t>集输站无原油外输管线，站场内设原油装车系统，通过汽车拉运实现原油运输。鲁明公司各管理区主要油气集输管道情况如下表：</w:t>
      </w:r>
    </w:p>
    <w:p w:rsidR="00F95F9B" w:rsidRDefault="00000000">
      <w:pPr>
        <w:pStyle w:val="afff7"/>
        <w:spacing w:line="240" w:lineRule="auto"/>
        <w:ind w:firstLineChars="0" w:firstLine="0"/>
        <w:jc w:val="center"/>
        <w:rPr>
          <w:rFonts w:ascii="黑体" w:eastAsia="黑体"/>
          <w:color w:val="auto"/>
          <w:sz w:val="21"/>
          <w:szCs w:val="21"/>
        </w:rPr>
      </w:pPr>
      <w:r>
        <w:rPr>
          <w:rFonts w:ascii="黑体" w:eastAsia="黑体" w:hint="eastAsia"/>
          <w:color w:val="auto"/>
          <w:sz w:val="21"/>
          <w:szCs w:val="21"/>
        </w:rPr>
        <w:t>表</w:t>
      </w:r>
      <w:r>
        <w:rPr>
          <w:rFonts w:eastAsia="黑体"/>
          <w:color w:val="auto"/>
          <w:sz w:val="21"/>
          <w:szCs w:val="21"/>
        </w:rPr>
        <w:t>2.3</w:t>
      </w:r>
      <w:r>
        <w:rPr>
          <w:rFonts w:eastAsia="黑体"/>
          <w:color w:val="auto"/>
          <w:sz w:val="21"/>
          <w:szCs w:val="21"/>
        </w:rPr>
        <w:noBreakHyphen/>
      </w:r>
      <w:r>
        <w:rPr>
          <w:rFonts w:eastAsia="黑体" w:hint="eastAsia"/>
          <w:color w:val="auto"/>
          <w:sz w:val="21"/>
          <w:szCs w:val="21"/>
        </w:rPr>
        <w:t>16</w:t>
      </w:r>
      <w:r>
        <w:rPr>
          <w:rFonts w:ascii="黑体" w:eastAsia="黑体" w:hint="eastAsia"/>
          <w:color w:val="auto"/>
          <w:sz w:val="21"/>
          <w:szCs w:val="21"/>
        </w:rPr>
        <w:t xml:space="preserve">  各采油管理区主要油气集输干线一览表</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2"/>
        <w:keepNext w:val="0"/>
        <w:keepLines w:val="0"/>
        <w:spacing w:beforeLines="0" w:before="0" w:afterLines="0" w:after="0"/>
      </w:pPr>
      <w:bookmarkStart w:id="36" w:name="_Toc17370"/>
      <w:bookmarkEnd w:id="25"/>
      <w:r>
        <w:rPr>
          <w:rFonts w:hint="eastAsia"/>
        </w:rPr>
        <w:t>安全管理现状</w:t>
      </w:r>
      <w:bookmarkEnd w:id="36"/>
    </w:p>
    <w:p w:rsidR="00F95F9B" w:rsidRDefault="00000000">
      <w:pPr>
        <w:widowControl w:val="0"/>
        <w:adjustRightInd w:val="0"/>
        <w:snapToGrid w:val="0"/>
        <w:ind w:firstLine="470"/>
      </w:pPr>
      <w:r>
        <w:rPr>
          <w:rFonts w:hint="eastAsia"/>
        </w:rPr>
        <w:t>鲁明公司</w:t>
      </w:r>
      <w:r>
        <w:rPr>
          <w:rFonts w:hint="eastAsia"/>
        </w:rPr>
        <w:t>2008</w:t>
      </w:r>
      <w:r>
        <w:rPr>
          <w:rFonts w:hint="eastAsia"/>
        </w:rPr>
        <w:t>年</w:t>
      </w:r>
      <w:r>
        <w:rPr>
          <w:rFonts w:hint="eastAsia"/>
        </w:rPr>
        <w:t>7</w:t>
      </w:r>
      <w:r>
        <w:rPr>
          <w:rFonts w:hint="eastAsia"/>
        </w:rPr>
        <w:t>月</w:t>
      </w:r>
      <w:r>
        <w:rPr>
          <w:rFonts w:hint="eastAsia"/>
        </w:rPr>
        <w:t>18</w:t>
      </w:r>
      <w:r>
        <w:rPr>
          <w:rFonts w:hint="eastAsia"/>
        </w:rPr>
        <w:t>日取得了非煤矿山企业安全生产许可证，并于</w:t>
      </w:r>
      <w:r>
        <w:rPr>
          <w:rFonts w:hint="eastAsia"/>
        </w:rPr>
        <w:t>2011</w:t>
      </w:r>
      <w:r>
        <w:rPr>
          <w:rFonts w:hint="eastAsia"/>
        </w:rPr>
        <w:t>年、</w:t>
      </w:r>
      <w:r>
        <w:rPr>
          <w:rFonts w:hint="eastAsia"/>
        </w:rPr>
        <w:t>2014</w:t>
      </w:r>
      <w:r>
        <w:rPr>
          <w:rFonts w:hint="eastAsia"/>
        </w:rPr>
        <w:t>年、</w:t>
      </w:r>
      <w:r>
        <w:rPr>
          <w:rFonts w:hint="eastAsia"/>
        </w:rPr>
        <w:t>2017</w:t>
      </w:r>
      <w:r>
        <w:rPr>
          <w:rFonts w:hint="eastAsia"/>
        </w:rPr>
        <w:t>年、</w:t>
      </w:r>
      <w:r>
        <w:rPr>
          <w:rFonts w:hint="eastAsia"/>
        </w:rPr>
        <w:t>2020</w:t>
      </w:r>
      <w:r>
        <w:rPr>
          <w:rFonts w:hint="eastAsia"/>
        </w:rPr>
        <w:t>年进行延期换证，</w:t>
      </w:r>
      <w:r>
        <w:rPr>
          <w:rFonts w:hint="eastAsia"/>
        </w:rPr>
        <w:t>2020</w:t>
      </w:r>
      <w:r>
        <w:rPr>
          <w:rFonts w:hint="eastAsia"/>
        </w:rPr>
        <w:t>年、</w:t>
      </w:r>
      <w:r>
        <w:rPr>
          <w:rFonts w:hint="eastAsia"/>
        </w:rPr>
        <w:t>2022</w:t>
      </w:r>
      <w:r>
        <w:rPr>
          <w:rFonts w:hint="eastAsia"/>
        </w:rPr>
        <w:t>年分别进行了法人变更。安全生产许可证编号：（鲁）</w:t>
      </w:r>
      <w:r>
        <w:rPr>
          <w:rFonts w:hint="eastAsia"/>
        </w:rPr>
        <w:t>FM</w:t>
      </w:r>
      <w:r>
        <w:rPr>
          <w:rFonts w:hint="eastAsia"/>
        </w:rPr>
        <w:t>安许证字</w:t>
      </w:r>
      <w:r>
        <w:rPr>
          <w:rFonts w:hint="eastAsia"/>
        </w:rPr>
        <w:t>[2020]00-0086</w:t>
      </w:r>
      <w:r>
        <w:rPr>
          <w:rFonts w:hint="eastAsia"/>
        </w:rPr>
        <w:t>，有效期至</w:t>
      </w:r>
      <w:r>
        <w:rPr>
          <w:rFonts w:hint="eastAsia"/>
        </w:rPr>
        <w:t>2023</w:t>
      </w:r>
      <w:r>
        <w:rPr>
          <w:rFonts w:hint="eastAsia"/>
        </w:rPr>
        <w:t>年</w:t>
      </w:r>
      <w:r>
        <w:rPr>
          <w:rFonts w:hint="eastAsia"/>
        </w:rPr>
        <w:t>7</w:t>
      </w:r>
      <w:r>
        <w:rPr>
          <w:rFonts w:hint="eastAsia"/>
        </w:rPr>
        <w:t>月</w:t>
      </w:r>
      <w:r>
        <w:rPr>
          <w:rFonts w:hint="eastAsia"/>
        </w:rPr>
        <w:t>18</w:t>
      </w:r>
      <w:r>
        <w:rPr>
          <w:rFonts w:hint="eastAsia"/>
        </w:rPr>
        <w:t>日。</w:t>
      </w:r>
    </w:p>
    <w:p w:rsidR="00F95F9B" w:rsidRDefault="00000000">
      <w:pPr>
        <w:widowControl w:val="0"/>
        <w:adjustRightInd w:val="0"/>
        <w:snapToGrid w:val="0"/>
        <w:ind w:firstLine="470"/>
        <w:rPr>
          <w:szCs w:val="28"/>
        </w:rPr>
      </w:pPr>
      <w:r>
        <w:rPr>
          <w:rFonts w:hint="eastAsia"/>
          <w:szCs w:val="28"/>
          <w:lang w:val="zh-CN"/>
        </w:rPr>
        <w:t>鲁明公司成立了安全生产（</w:t>
      </w:r>
      <w:r>
        <w:rPr>
          <w:rFonts w:hint="eastAsia"/>
          <w:szCs w:val="28"/>
          <w:lang w:val="zh-CN"/>
        </w:rPr>
        <w:t>QHSE</w:t>
      </w:r>
      <w:r>
        <w:rPr>
          <w:rFonts w:hint="eastAsia"/>
          <w:szCs w:val="28"/>
          <w:lang w:val="zh-CN"/>
        </w:rPr>
        <w:t>）委员会，设</w:t>
      </w:r>
      <w:r>
        <w:rPr>
          <w:rFonts w:hint="eastAsia"/>
          <w:szCs w:val="28"/>
        </w:rPr>
        <w:t>安全（</w:t>
      </w:r>
      <w:r>
        <w:rPr>
          <w:rFonts w:hint="eastAsia"/>
          <w:szCs w:val="28"/>
          <w:lang w:val="zh-CN"/>
        </w:rPr>
        <w:t>QHSE</w:t>
      </w:r>
      <w:r>
        <w:rPr>
          <w:rFonts w:hint="eastAsia"/>
          <w:szCs w:val="28"/>
        </w:rPr>
        <w:t>）</w:t>
      </w:r>
      <w:r>
        <w:rPr>
          <w:rFonts w:hint="eastAsia"/>
          <w:szCs w:val="28"/>
          <w:lang w:val="zh-CN"/>
        </w:rPr>
        <w:t>管理部、</w:t>
      </w:r>
      <w:r>
        <w:rPr>
          <w:rFonts w:hint="eastAsia"/>
          <w:snapToGrid w:val="0"/>
          <w:kern w:val="0"/>
          <w:szCs w:val="32"/>
        </w:rPr>
        <w:t>QHSE</w:t>
      </w:r>
      <w:r>
        <w:rPr>
          <w:rFonts w:hint="eastAsia"/>
          <w:snapToGrid w:val="0"/>
          <w:kern w:val="0"/>
          <w:szCs w:val="32"/>
        </w:rPr>
        <w:t>监督中心</w:t>
      </w:r>
      <w:r>
        <w:rPr>
          <w:rFonts w:hint="eastAsia"/>
          <w:szCs w:val="28"/>
          <w:lang w:val="zh-CN"/>
        </w:rPr>
        <w:t>为安全管理机构，配备专职安全管理人员负责公司的安全工作。专职安全管理人员</w:t>
      </w:r>
      <w:r>
        <w:rPr>
          <w:rFonts w:hint="eastAsia"/>
          <w:szCs w:val="28"/>
        </w:rPr>
        <w:t>均持有安全管理人员合格证，并每年参加安全管理人员培训。</w:t>
      </w:r>
    </w:p>
    <w:p w:rsidR="00F95F9B" w:rsidRDefault="00000000">
      <w:pPr>
        <w:widowControl w:val="0"/>
        <w:adjustRightInd w:val="0"/>
        <w:snapToGrid w:val="0"/>
        <w:ind w:firstLine="470"/>
        <w:rPr>
          <w:szCs w:val="28"/>
          <w:lang w:val="zh-CN"/>
        </w:rPr>
      </w:pPr>
      <w:r>
        <w:rPr>
          <w:rFonts w:hint="eastAsia"/>
          <w:szCs w:val="28"/>
        </w:rPr>
        <w:t>鲁明公司制定了从厂领导、职能部门到基层单位和基层员工的安全生产责任制，明确了每个员工、每个岗位的安全生产（</w:t>
      </w:r>
      <w:r>
        <w:rPr>
          <w:rFonts w:hint="eastAsia"/>
          <w:szCs w:val="28"/>
        </w:rPr>
        <w:t>HSE</w:t>
      </w:r>
      <w:r>
        <w:rPr>
          <w:rFonts w:hint="eastAsia"/>
          <w:szCs w:val="28"/>
        </w:rPr>
        <w:t>）职责和个人行动计划，并按计划进行修订和完善</w:t>
      </w:r>
      <w:r>
        <w:rPr>
          <w:rFonts w:hint="eastAsia"/>
          <w:szCs w:val="28"/>
          <w:lang w:val="zh-CN"/>
        </w:rPr>
        <w:t>。</w:t>
      </w:r>
    </w:p>
    <w:p w:rsidR="00F95F9B" w:rsidRDefault="00000000">
      <w:pPr>
        <w:widowControl w:val="0"/>
        <w:adjustRightInd w:val="0"/>
        <w:snapToGrid w:val="0"/>
        <w:ind w:firstLine="470"/>
        <w:rPr>
          <w:rFonts w:ascii="宋体" w:hAnsi="宋体" w:cs="宋体"/>
          <w:szCs w:val="28"/>
        </w:rPr>
      </w:pPr>
      <w:r>
        <w:rPr>
          <w:rFonts w:hint="eastAsia"/>
          <w:szCs w:val="28"/>
          <w:lang w:val="zh-CN"/>
        </w:rPr>
        <w:t>鲁明公司</w:t>
      </w:r>
      <w:r>
        <w:rPr>
          <w:rFonts w:hint="eastAsia"/>
          <w:szCs w:val="28"/>
        </w:rPr>
        <w:t>根据国家、山东省有关法律法规和要求，执行并参考中石化、胜利油田分公司的有关规定，修订完善了</w:t>
      </w:r>
      <w:r>
        <w:rPr>
          <w:rFonts w:ascii="宋体" w:hAnsi="宋体" w:cs="宋体" w:hint="eastAsia"/>
          <w:szCs w:val="28"/>
        </w:rPr>
        <w:t>《胜利油田鲁明油气勘探开发有限公司安全生产管理制度汇编》，管理运行良好。</w:t>
      </w:r>
    </w:p>
    <w:p w:rsidR="00F95F9B" w:rsidRDefault="00000000">
      <w:pPr>
        <w:widowControl w:val="0"/>
        <w:adjustRightInd w:val="0"/>
        <w:snapToGrid w:val="0"/>
        <w:ind w:firstLine="470"/>
        <w:rPr>
          <w:rFonts w:ascii="宋体" w:hAnsi="宋体" w:cs="宋体"/>
          <w:szCs w:val="28"/>
        </w:rPr>
      </w:pPr>
      <w:r>
        <w:rPr>
          <w:rFonts w:ascii="宋体" w:hAnsi="宋体" w:cs="宋体" w:hint="eastAsia"/>
          <w:szCs w:val="28"/>
        </w:rPr>
        <w:t>鲁明公司按照岗位操作与规程相适应的原则，积极组织宣贯和培训，严格执行《胜利油田采油工程操作规程汇编（</w:t>
      </w:r>
      <w:r>
        <w:rPr>
          <w:szCs w:val="28"/>
        </w:rPr>
        <w:t>2022</w:t>
      </w:r>
      <w:r>
        <w:rPr>
          <w:rFonts w:ascii="宋体" w:hAnsi="宋体" w:cs="宋体" w:hint="eastAsia"/>
          <w:szCs w:val="28"/>
        </w:rPr>
        <w:t>版）》。</w:t>
      </w:r>
    </w:p>
    <w:p w:rsidR="00F95F9B" w:rsidRDefault="00000000">
      <w:pPr>
        <w:widowControl w:val="0"/>
        <w:adjustRightInd w:val="0"/>
        <w:snapToGrid w:val="0"/>
        <w:ind w:firstLine="470"/>
        <w:rPr>
          <w:rFonts w:ascii="宋体" w:hAnsi="宋体" w:cs="宋体"/>
          <w:szCs w:val="28"/>
        </w:rPr>
      </w:pPr>
      <w:r>
        <w:rPr>
          <w:rFonts w:ascii="宋体" w:hAnsi="宋体" w:cs="宋体" w:hint="eastAsia"/>
          <w:szCs w:val="28"/>
        </w:rPr>
        <w:t>鲁明公司始终严格执行安全教育培训制度，本着“培训指导于生产，培训服务于生产”的指导思想，坚持“立足实际、突出重点、讲求实效”的工作原则，积极采取各种措施，分层次、分专业有效的开展一系列安全教育培训工作。</w:t>
      </w:r>
    </w:p>
    <w:p w:rsidR="00F95F9B" w:rsidRDefault="00000000">
      <w:pPr>
        <w:widowControl w:val="0"/>
        <w:adjustRightInd w:val="0"/>
        <w:snapToGrid w:val="0"/>
        <w:ind w:firstLine="470"/>
        <w:rPr>
          <w:szCs w:val="28"/>
        </w:rPr>
      </w:pPr>
      <w:r>
        <w:rPr>
          <w:rFonts w:ascii="宋体" w:hAnsi="宋体" w:cs="宋体" w:hint="eastAsia"/>
          <w:szCs w:val="28"/>
        </w:rPr>
        <w:t>三年来，鲁明公司按比例提取安全生产费用，专款专用，确保安全方面的资金投入。安全生产费用主要用于完善、改造和维护安全防护设施设备和安全隐患治理支出；完善应急救援技术装备、设施配置及维护保养支出，事故逃生和应急演练支出；安全生产检查、评价、咨询、标准化建设支出；配备和更新现场作业人员安全防护用品支出；安全生产宣传、教育、培训支出；安全设施检测检验支出；应急器械、应急药品支出；安全生产责任保险支出及其他与安全生产直接相关的支出。</w:t>
      </w:r>
    </w:p>
    <w:p w:rsidR="00F95F9B" w:rsidRDefault="00000000">
      <w:pPr>
        <w:widowControl w:val="0"/>
        <w:adjustRightInd w:val="0"/>
        <w:snapToGrid w:val="0"/>
        <w:ind w:firstLine="470"/>
        <w:rPr>
          <w:szCs w:val="28"/>
        </w:rPr>
      </w:pPr>
      <w:r>
        <w:rPr>
          <w:rFonts w:hint="eastAsia"/>
          <w:szCs w:val="28"/>
        </w:rPr>
        <w:lastRenderedPageBreak/>
        <w:t>鲁明公司制定有</w:t>
      </w:r>
      <w:r>
        <w:rPr>
          <w:rFonts w:ascii="宋体" w:hAnsi="宋体" w:cs="宋体" w:hint="eastAsia"/>
          <w:szCs w:val="28"/>
        </w:rPr>
        <w:t>《生产安全事故应急预案》，</w:t>
      </w:r>
      <w:r>
        <w:rPr>
          <w:szCs w:val="28"/>
        </w:rPr>
        <w:t>并根据制定的事故应急预案演练要求和计划进行了事故应急演练，并对演练过程进行了记录，演练完成后进行了演练效果评价。</w:t>
      </w:r>
    </w:p>
    <w:p w:rsidR="00F95F9B" w:rsidRDefault="00000000">
      <w:pPr>
        <w:widowControl w:val="0"/>
        <w:adjustRightInd w:val="0"/>
        <w:snapToGrid w:val="0"/>
        <w:ind w:firstLine="470"/>
        <w:rPr>
          <w:szCs w:val="28"/>
          <w:lang w:val="zh-CN"/>
        </w:rPr>
      </w:pPr>
      <w:r>
        <w:rPr>
          <w:rFonts w:hint="eastAsia"/>
          <w:szCs w:val="28"/>
          <w:lang w:val="zh-CN"/>
        </w:rPr>
        <w:t>鲁明公司</w:t>
      </w:r>
      <w:r>
        <w:rPr>
          <w:szCs w:val="28"/>
          <w:lang w:val="zh-CN"/>
        </w:rPr>
        <w:t>积极贯彻落实国家、山东省、中石化和胜利油田安全生产工作部署，依法合规治企，开展风险分级管控和隐患排查</w:t>
      </w:r>
      <w:r>
        <w:rPr>
          <w:rFonts w:hint="eastAsia"/>
          <w:szCs w:val="28"/>
          <w:lang w:val="zh-CN"/>
        </w:rPr>
        <w:t>治理</w:t>
      </w:r>
      <w:r>
        <w:rPr>
          <w:szCs w:val="28"/>
          <w:lang w:val="zh-CN"/>
        </w:rPr>
        <w:t>工作、持续推进现场标准化管理，严格落实安全生产主体责任，提升全员安全素质和应急处置能力。</w:t>
      </w:r>
      <w:r>
        <w:rPr>
          <w:szCs w:val="28"/>
          <w:lang w:val="zh-CN"/>
        </w:rPr>
        <w:t>20</w:t>
      </w:r>
      <w:r>
        <w:rPr>
          <w:rFonts w:hint="eastAsia"/>
          <w:szCs w:val="28"/>
        </w:rPr>
        <w:t>20</w:t>
      </w:r>
      <w:r>
        <w:rPr>
          <w:szCs w:val="28"/>
          <w:lang w:val="zh-CN"/>
        </w:rPr>
        <w:t>年至今未发生一般及以上生产安全事故。</w:t>
      </w:r>
    </w:p>
    <w:p w:rsidR="00F95F9B" w:rsidRDefault="00000000">
      <w:pPr>
        <w:pStyle w:val="2"/>
        <w:keepNext w:val="0"/>
        <w:keepLines w:val="0"/>
        <w:adjustRightInd w:val="0"/>
        <w:snapToGrid w:val="0"/>
        <w:spacing w:before="170" w:after="170"/>
        <w:jc w:val="left"/>
      </w:pPr>
      <w:bookmarkStart w:id="37" w:name="_Toc28607"/>
      <w:r>
        <w:rPr>
          <w:rFonts w:hint="eastAsia"/>
        </w:rPr>
        <w:t>变更情况</w:t>
      </w:r>
      <w:bookmarkEnd w:id="37"/>
    </w:p>
    <w:p w:rsidR="00F95F9B" w:rsidRDefault="00000000">
      <w:pPr>
        <w:pStyle w:val="3"/>
        <w:keepNext w:val="0"/>
        <w:keepLines w:val="0"/>
        <w:widowControl w:val="0"/>
        <w:adjustRightInd w:val="0"/>
        <w:snapToGrid w:val="0"/>
        <w:ind w:left="0"/>
      </w:pPr>
      <w:r>
        <w:rPr>
          <w:rFonts w:hint="eastAsia"/>
        </w:rPr>
        <w:t>主要负责人变更</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组织机构变更</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主要设施及工艺变更</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F95F9B">
      <w:pPr>
        <w:pStyle w:val="af9"/>
        <w:ind w:firstLine="470"/>
        <w:rPr>
          <w:lang w:val="zh-CN"/>
        </w:rPr>
      </w:pPr>
    </w:p>
    <w:p w:rsidR="00F95F9B" w:rsidRDefault="00F95F9B">
      <w:pPr>
        <w:pStyle w:val="af9"/>
        <w:ind w:firstLineChars="0" w:firstLine="0"/>
        <w:sectPr w:rsidR="00F95F9B">
          <w:footerReference w:type="default" r:id="rId61"/>
          <w:footnotePr>
            <w:numFmt w:val="decimalEnclosedCircleChinese"/>
          </w:footnotePr>
          <w:pgSz w:w="11906" w:h="16838"/>
          <w:pgMar w:top="1417" w:right="1134" w:bottom="1134" w:left="1587" w:header="850" w:footer="850" w:gutter="0"/>
          <w:cols w:space="0"/>
          <w:docGrid w:type="linesAndChars" w:linePitch="340" w:charSpace="-1024"/>
        </w:sectPr>
      </w:pPr>
    </w:p>
    <w:p w:rsidR="00F95F9B" w:rsidRDefault="00000000">
      <w:pPr>
        <w:pStyle w:val="1"/>
        <w:keepNext w:val="0"/>
        <w:keepLines w:val="0"/>
        <w:widowControl w:val="0"/>
        <w:spacing w:before="340" w:after="340"/>
      </w:pPr>
      <w:bookmarkStart w:id="38" w:name="_Toc481"/>
      <w:r>
        <w:rPr>
          <w:rFonts w:hint="eastAsia"/>
        </w:rPr>
        <w:lastRenderedPageBreak/>
        <w:t>主要危险、有害因素辨识与分析</w:t>
      </w:r>
      <w:bookmarkEnd w:id="38"/>
    </w:p>
    <w:p w:rsidR="00F95F9B" w:rsidRDefault="00000000">
      <w:pPr>
        <w:keepNext/>
        <w:numPr>
          <w:ilvl w:val="1"/>
          <w:numId w:val="1"/>
        </w:numPr>
        <w:adjustRightInd w:val="0"/>
        <w:snapToGrid w:val="0"/>
        <w:spacing w:beforeLines="50" w:before="170" w:afterLines="50" w:after="170"/>
        <w:ind w:firstLineChars="0"/>
        <w:outlineLvl w:val="1"/>
        <w:rPr>
          <w:rFonts w:eastAsia="黑体"/>
          <w:bCs/>
          <w:sz w:val="28"/>
          <w:szCs w:val="32"/>
        </w:rPr>
      </w:pPr>
      <w:bookmarkStart w:id="39" w:name="_Toc25656"/>
      <w:r>
        <w:rPr>
          <w:rFonts w:eastAsia="黑体" w:hint="eastAsia"/>
          <w:bCs/>
          <w:sz w:val="28"/>
          <w:szCs w:val="32"/>
        </w:rPr>
        <w:t>主要物质危险有害因素分析</w:t>
      </w:r>
      <w:bookmarkEnd w:id="39"/>
    </w:p>
    <w:p w:rsidR="00F95F9B" w:rsidRDefault="00000000">
      <w:pPr>
        <w:autoSpaceDE w:val="0"/>
        <w:adjustRightInd w:val="0"/>
        <w:snapToGrid w:val="0"/>
        <w:ind w:firstLine="470"/>
        <w:rPr>
          <w:szCs w:val="24"/>
        </w:rPr>
      </w:pPr>
      <w:r>
        <w:rPr>
          <w:rFonts w:ascii="宋体" w:hAnsi="宋体" w:hint="eastAsia"/>
          <w:kern w:val="0"/>
          <w:szCs w:val="24"/>
        </w:rPr>
        <w:t>根据鲁明公司油气开采、集输生产工艺过程分析，公司涉及到主要危险、有害物质为原油、天然气、硫化氢、柴油（柴油消防泵）、化学药剂（破乳剂、降黏剂、缓蚀剂、阻垢剂）、聚丙烯酰胺（注聚剂）、高压水等。</w:t>
      </w:r>
    </w:p>
    <w:p w:rsidR="00F95F9B" w:rsidRDefault="00000000">
      <w:pPr>
        <w:pStyle w:val="3"/>
        <w:keepNext w:val="0"/>
        <w:keepLines w:val="0"/>
        <w:widowControl w:val="0"/>
        <w:adjustRightInd w:val="0"/>
        <w:snapToGrid w:val="0"/>
        <w:ind w:left="0"/>
      </w:pPr>
      <w:r>
        <w:rPr>
          <w:rFonts w:hint="eastAsia"/>
        </w:rPr>
        <w:t>原油</w:t>
      </w:r>
    </w:p>
    <w:p w:rsidR="00F95F9B" w:rsidRDefault="00000000">
      <w:pPr>
        <w:autoSpaceDE w:val="0"/>
        <w:adjustRightInd w:val="0"/>
        <w:snapToGrid w:val="0"/>
        <w:ind w:firstLine="470"/>
        <w:rPr>
          <w:szCs w:val="24"/>
        </w:rPr>
      </w:pPr>
      <w:r>
        <w:rPr>
          <w:rFonts w:ascii="宋体" w:hAnsi="宋体"/>
          <w:szCs w:val="24"/>
        </w:rPr>
        <w:t>原油的主要危险有害特性见附</w:t>
      </w:r>
      <w:r>
        <w:rPr>
          <w:rFonts w:ascii="宋体" w:hAnsi="宋体" w:hint="eastAsia"/>
          <w:szCs w:val="24"/>
        </w:rPr>
        <w:t>录</w:t>
      </w:r>
      <w:r>
        <w:rPr>
          <w:rFonts w:hint="eastAsia"/>
          <w:szCs w:val="24"/>
        </w:rPr>
        <w:t>2</w:t>
      </w:r>
      <w:r>
        <w:rPr>
          <w:rFonts w:ascii="宋体" w:hAnsi="宋体"/>
          <w:szCs w:val="24"/>
        </w:rPr>
        <w:t>。</w:t>
      </w:r>
    </w:p>
    <w:p w:rsidR="00F95F9B" w:rsidRDefault="00000000">
      <w:pPr>
        <w:autoSpaceDE w:val="0"/>
        <w:adjustRightInd w:val="0"/>
        <w:snapToGrid w:val="0"/>
        <w:ind w:firstLine="470"/>
        <w:rPr>
          <w:szCs w:val="24"/>
        </w:rPr>
      </w:pPr>
      <w:r>
        <w:rPr>
          <w:rFonts w:ascii="宋体" w:hAnsi="宋体"/>
          <w:szCs w:val="24"/>
        </w:rPr>
        <w:t>原油是由各种烃类组成的一种复杂混合物，含有少量硫、氮、氧有机物及微量金属。外观是一种流动和半流动的粘稠液体，颜色大部分是暗色的（从褐色至深黑色）。</w:t>
      </w:r>
    </w:p>
    <w:p w:rsidR="00F95F9B" w:rsidRDefault="00000000">
      <w:pPr>
        <w:autoSpaceDE w:val="0"/>
        <w:adjustRightInd w:val="0"/>
        <w:snapToGrid w:val="0"/>
        <w:ind w:firstLine="470"/>
        <w:rPr>
          <w:szCs w:val="24"/>
        </w:rPr>
      </w:pPr>
      <w:r>
        <w:rPr>
          <w:rFonts w:ascii="宋体" w:hAnsi="宋体"/>
          <w:szCs w:val="24"/>
        </w:rPr>
        <w:t>原油的主要危险性分析：</w:t>
      </w:r>
    </w:p>
    <w:p w:rsidR="00F95F9B" w:rsidRDefault="00000000">
      <w:pPr>
        <w:autoSpaceDE w:val="0"/>
        <w:adjustRightInd w:val="0"/>
        <w:snapToGrid w:val="0"/>
        <w:ind w:firstLine="470"/>
        <w:rPr>
          <w:szCs w:val="24"/>
        </w:rPr>
      </w:pPr>
      <w:r>
        <w:rPr>
          <w:szCs w:val="24"/>
        </w:rPr>
        <w:t>1</w:t>
      </w:r>
      <w:r>
        <w:rPr>
          <w:rFonts w:hint="eastAsia"/>
          <w:szCs w:val="24"/>
        </w:rPr>
        <w:t>）</w:t>
      </w:r>
      <w:r>
        <w:rPr>
          <w:rFonts w:ascii="宋体" w:hAnsi="宋体"/>
          <w:szCs w:val="24"/>
        </w:rPr>
        <w:t>易燃、易爆性</w:t>
      </w:r>
    </w:p>
    <w:p w:rsidR="00F95F9B" w:rsidRDefault="00000000">
      <w:pPr>
        <w:autoSpaceDE w:val="0"/>
        <w:adjustRightInd w:val="0"/>
        <w:snapToGrid w:val="0"/>
        <w:ind w:firstLine="470"/>
        <w:rPr>
          <w:szCs w:val="24"/>
        </w:rPr>
      </w:pPr>
      <w:r>
        <w:rPr>
          <w:rFonts w:ascii="宋体" w:hAnsi="宋体"/>
          <w:szCs w:val="24"/>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rsidR="00F95F9B" w:rsidRDefault="00000000">
      <w:pPr>
        <w:autoSpaceDE w:val="0"/>
        <w:adjustRightInd w:val="0"/>
        <w:snapToGrid w:val="0"/>
        <w:ind w:firstLine="470"/>
        <w:rPr>
          <w:szCs w:val="24"/>
        </w:rPr>
      </w:pPr>
      <w:r>
        <w:rPr>
          <w:rFonts w:ascii="宋体" w:hAnsi="宋体"/>
          <w:szCs w:val="24"/>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rsidR="00F95F9B" w:rsidRDefault="00000000">
      <w:pPr>
        <w:autoSpaceDE w:val="0"/>
        <w:adjustRightInd w:val="0"/>
        <w:snapToGrid w:val="0"/>
        <w:ind w:firstLine="470"/>
        <w:rPr>
          <w:szCs w:val="24"/>
        </w:rPr>
      </w:pPr>
      <w:r>
        <w:rPr>
          <w:szCs w:val="24"/>
        </w:rPr>
        <w:t>2</w:t>
      </w:r>
      <w:r>
        <w:rPr>
          <w:rFonts w:hint="eastAsia"/>
          <w:szCs w:val="24"/>
        </w:rPr>
        <w:t>）</w:t>
      </w:r>
      <w:r>
        <w:rPr>
          <w:rFonts w:ascii="宋体" w:hAnsi="宋体"/>
          <w:szCs w:val="24"/>
        </w:rPr>
        <w:t>毒性</w:t>
      </w:r>
    </w:p>
    <w:p w:rsidR="00F95F9B" w:rsidRDefault="00000000">
      <w:pPr>
        <w:autoSpaceDE w:val="0"/>
        <w:adjustRightInd w:val="0"/>
        <w:snapToGrid w:val="0"/>
        <w:ind w:firstLine="470"/>
        <w:rPr>
          <w:szCs w:val="24"/>
        </w:rPr>
      </w:pPr>
      <w:r>
        <w:rPr>
          <w:rFonts w:ascii="宋体" w:hAnsi="宋体"/>
          <w:szCs w:val="24"/>
        </w:rPr>
        <w:t>原油及其蒸气具有一定的毒性，特别是含硫原油的毒性更大。油气若经口、鼻进入呼吸系统，能使人体器官受害而产生急性和慢性中毒。</w:t>
      </w:r>
    </w:p>
    <w:p w:rsidR="00F95F9B" w:rsidRDefault="00000000">
      <w:pPr>
        <w:autoSpaceDE w:val="0"/>
        <w:adjustRightInd w:val="0"/>
        <w:snapToGrid w:val="0"/>
        <w:ind w:firstLine="470"/>
        <w:rPr>
          <w:szCs w:val="24"/>
        </w:rPr>
      </w:pPr>
      <w:r>
        <w:rPr>
          <w:rFonts w:ascii="宋体" w:hAnsi="宋体"/>
          <w:szCs w:val="24"/>
        </w:rPr>
        <w:t>如空气油气含量达到</w:t>
      </w:r>
      <w:r>
        <w:rPr>
          <w:szCs w:val="24"/>
        </w:rPr>
        <w:t>0.28%</w:t>
      </w:r>
      <w:r>
        <w:rPr>
          <w:rFonts w:ascii="宋体" w:hAnsi="宋体"/>
          <w:szCs w:val="24"/>
        </w:rPr>
        <w:t>时，经过</w:t>
      </w:r>
      <w:r>
        <w:rPr>
          <w:szCs w:val="24"/>
        </w:rPr>
        <w:t>12</w:t>
      </w:r>
      <w:r>
        <w:rPr>
          <w:rFonts w:ascii="宋体" w:hAnsi="宋体"/>
          <w:szCs w:val="24"/>
        </w:rPr>
        <w:t>～</w:t>
      </w:r>
      <w:r>
        <w:rPr>
          <w:szCs w:val="24"/>
        </w:rPr>
        <w:t>14min</w:t>
      </w:r>
      <w:r>
        <w:rPr>
          <w:rFonts w:ascii="宋体" w:hAnsi="宋体"/>
          <w:szCs w:val="24"/>
        </w:rPr>
        <w:t>，人便会感到头晕；如含量达</w:t>
      </w:r>
      <w:r>
        <w:rPr>
          <w:szCs w:val="24"/>
        </w:rPr>
        <w:t>1.13</w:t>
      </w:r>
      <w:r>
        <w:rPr>
          <w:rFonts w:ascii="宋体" w:hAnsi="宋体"/>
          <w:szCs w:val="24"/>
        </w:rPr>
        <w:t>～</w:t>
      </w:r>
      <w:r>
        <w:rPr>
          <w:szCs w:val="24"/>
        </w:rPr>
        <w:t>2.22%</w:t>
      </w:r>
      <w:r>
        <w:rPr>
          <w:rFonts w:ascii="宋体" w:hAnsi="宋体"/>
          <w:szCs w:val="24"/>
        </w:rPr>
        <w:t>时，便会发生急性中毒，使人难于支持；当油气含量更高时，会使人立即昏倒，丧失知觉。</w:t>
      </w:r>
    </w:p>
    <w:p w:rsidR="00F95F9B" w:rsidRDefault="00000000">
      <w:pPr>
        <w:autoSpaceDE w:val="0"/>
        <w:adjustRightInd w:val="0"/>
        <w:snapToGrid w:val="0"/>
        <w:ind w:firstLine="470"/>
        <w:rPr>
          <w:szCs w:val="24"/>
        </w:rPr>
      </w:pPr>
      <w:r>
        <w:rPr>
          <w:rFonts w:ascii="宋体" w:hAnsi="宋体"/>
          <w:szCs w:val="24"/>
        </w:rPr>
        <w:t>油气慢性中毒的结果会使人患慢性病，产生头昏、疲倦、想睡等症状。若皮肤经常与原油接触，会产生脱脂、干燥、裂口、皮炎和局部神经麻木。原油落入口腔、眼睛时，会使粘膜枯萎，有时会出血。</w:t>
      </w:r>
    </w:p>
    <w:p w:rsidR="00F95F9B" w:rsidRDefault="00000000">
      <w:pPr>
        <w:autoSpaceDE w:val="0"/>
        <w:adjustRightInd w:val="0"/>
        <w:snapToGrid w:val="0"/>
        <w:ind w:firstLine="470"/>
        <w:rPr>
          <w:szCs w:val="24"/>
        </w:rPr>
      </w:pPr>
      <w:r>
        <w:rPr>
          <w:szCs w:val="24"/>
        </w:rPr>
        <w:lastRenderedPageBreak/>
        <w:t>3</w:t>
      </w:r>
      <w:r>
        <w:rPr>
          <w:rFonts w:hint="eastAsia"/>
          <w:szCs w:val="24"/>
        </w:rPr>
        <w:t>）</w:t>
      </w:r>
      <w:r>
        <w:rPr>
          <w:rFonts w:ascii="宋体" w:hAnsi="宋体"/>
          <w:szCs w:val="24"/>
        </w:rPr>
        <w:t>静电荷积聚性</w:t>
      </w:r>
    </w:p>
    <w:p w:rsidR="00F95F9B" w:rsidRDefault="00000000">
      <w:pPr>
        <w:autoSpaceDE w:val="0"/>
        <w:adjustRightInd w:val="0"/>
        <w:snapToGrid w:val="0"/>
        <w:ind w:firstLine="470"/>
        <w:rPr>
          <w:szCs w:val="24"/>
        </w:rPr>
      </w:pPr>
      <w:r>
        <w:rPr>
          <w:rFonts w:ascii="宋体" w:hAnsi="宋体"/>
          <w:szCs w:val="24"/>
        </w:rPr>
        <w:t>原油的电阻率一般大于</w:t>
      </w:r>
      <w:r>
        <w:rPr>
          <w:szCs w:val="24"/>
        </w:rPr>
        <w:t>1012Ω·m</w:t>
      </w:r>
      <w:r>
        <w:rPr>
          <w:rFonts w:ascii="宋体" w:hAnsi="宋体"/>
          <w:szCs w:val="24"/>
        </w:rPr>
        <w:t>。原油在输转、储运过程中，当沿管道流动与管壁摩擦，在运输过程中与罐壁的冲击，或泵送时，都会产生静电，且不易消除。</w:t>
      </w:r>
    </w:p>
    <w:p w:rsidR="00F95F9B" w:rsidRDefault="00000000">
      <w:pPr>
        <w:autoSpaceDE w:val="0"/>
        <w:adjustRightInd w:val="0"/>
        <w:snapToGrid w:val="0"/>
        <w:ind w:firstLine="470"/>
        <w:rPr>
          <w:szCs w:val="24"/>
        </w:rPr>
      </w:pPr>
      <w:r>
        <w:rPr>
          <w:rFonts w:ascii="宋体" w:hAnsi="宋体"/>
          <w:szCs w:val="24"/>
        </w:rPr>
        <w:t>静电的危害主要是静电放电。如果静电放电产生的电火花能量达到或大于油气的最小点火能且油气浓度处在燃烧、爆炸极限范围内时，就会立即引起火灾、爆炸事故的发生。</w:t>
      </w:r>
    </w:p>
    <w:p w:rsidR="00F95F9B" w:rsidRDefault="00000000">
      <w:pPr>
        <w:autoSpaceDE w:val="0"/>
        <w:adjustRightInd w:val="0"/>
        <w:snapToGrid w:val="0"/>
        <w:ind w:firstLine="470"/>
        <w:rPr>
          <w:szCs w:val="24"/>
        </w:rPr>
      </w:pPr>
      <w:r>
        <w:rPr>
          <w:szCs w:val="24"/>
        </w:rPr>
        <w:t>4</w:t>
      </w:r>
      <w:r>
        <w:rPr>
          <w:rFonts w:hint="eastAsia"/>
          <w:szCs w:val="24"/>
        </w:rPr>
        <w:t>）</w:t>
      </w:r>
      <w:r>
        <w:rPr>
          <w:rFonts w:ascii="宋体" w:hAnsi="宋体"/>
          <w:szCs w:val="24"/>
        </w:rPr>
        <w:t>原油的热膨胀性</w:t>
      </w:r>
    </w:p>
    <w:p w:rsidR="00F95F9B" w:rsidRDefault="00000000">
      <w:pPr>
        <w:autoSpaceDE w:val="0"/>
        <w:adjustRightInd w:val="0"/>
        <w:snapToGrid w:val="0"/>
        <w:ind w:firstLine="470"/>
        <w:rPr>
          <w:szCs w:val="24"/>
        </w:rPr>
      </w:pPr>
      <w:r>
        <w:rPr>
          <w:rFonts w:ascii="宋体" w:hAnsi="宋体"/>
          <w:szCs w:val="24"/>
        </w:rP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rsidR="00F95F9B" w:rsidRDefault="00000000">
      <w:pPr>
        <w:autoSpaceDE w:val="0"/>
        <w:adjustRightInd w:val="0"/>
        <w:snapToGrid w:val="0"/>
        <w:ind w:firstLine="470"/>
        <w:rPr>
          <w:szCs w:val="24"/>
        </w:rPr>
      </w:pPr>
      <w:r>
        <w:rPr>
          <w:rFonts w:ascii="宋体" w:hAnsi="宋体"/>
          <w:szCs w:val="24"/>
        </w:rPr>
        <w:t>另外，在着火现场附近，容器内原油受到火焰辐射高热时，如不及时冷却，可能因膨胀爆裂增加火势，扩大灾害范围。</w:t>
      </w:r>
    </w:p>
    <w:p w:rsidR="00F95F9B" w:rsidRDefault="00000000">
      <w:pPr>
        <w:autoSpaceDE w:val="0"/>
        <w:adjustRightInd w:val="0"/>
        <w:snapToGrid w:val="0"/>
        <w:ind w:firstLine="470"/>
        <w:rPr>
          <w:szCs w:val="24"/>
        </w:rPr>
      </w:pPr>
      <w:r>
        <w:rPr>
          <w:szCs w:val="24"/>
        </w:rPr>
        <w:t>5</w:t>
      </w:r>
      <w:r>
        <w:rPr>
          <w:rFonts w:hint="eastAsia"/>
          <w:szCs w:val="24"/>
        </w:rPr>
        <w:t>）</w:t>
      </w:r>
      <w:r>
        <w:rPr>
          <w:rFonts w:ascii="宋体" w:hAnsi="宋体"/>
          <w:szCs w:val="24"/>
        </w:rPr>
        <w:t>低温凝结性</w:t>
      </w:r>
    </w:p>
    <w:p w:rsidR="00F95F9B" w:rsidRDefault="00000000">
      <w:pPr>
        <w:autoSpaceDE w:val="0"/>
        <w:adjustRightInd w:val="0"/>
        <w:snapToGrid w:val="0"/>
        <w:ind w:firstLine="470"/>
        <w:rPr>
          <w:szCs w:val="24"/>
        </w:rPr>
      </w:pPr>
      <w:r>
        <w:rPr>
          <w:rFonts w:ascii="宋体" w:hAnsi="宋体"/>
          <w:szCs w:val="24"/>
        </w:rPr>
        <w:t>原油凝固点较低，若在事故状态下抢修不及时，就有可能造成原油集输管道内部的原油凝固而造成管道凝管。</w:t>
      </w:r>
    </w:p>
    <w:p w:rsidR="00F95F9B" w:rsidRDefault="00000000">
      <w:pPr>
        <w:autoSpaceDE w:val="0"/>
        <w:adjustRightInd w:val="0"/>
        <w:snapToGrid w:val="0"/>
        <w:ind w:firstLine="470"/>
        <w:rPr>
          <w:szCs w:val="24"/>
        </w:rPr>
      </w:pPr>
      <w:r>
        <w:rPr>
          <w:szCs w:val="24"/>
        </w:rPr>
        <w:t>6</w:t>
      </w:r>
      <w:r>
        <w:rPr>
          <w:rFonts w:hint="eastAsia"/>
          <w:szCs w:val="24"/>
        </w:rPr>
        <w:t>）</w:t>
      </w:r>
      <w:r>
        <w:rPr>
          <w:rFonts w:ascii="宋体" w:hAnsi="宋体"/>
          <w:szCs w:val="24"/>
        </w:rPr>
        <w:t>易沸溢性</w:t>
      </w:r>
    </w:p>
    <w:p w:rsidR="00F95F9B" w:rsidRDefault="00000000">
      <w:pPr>
        <w:autoSpaceDE w:val="0"/>
        <w:adjustRightInd w:val="0"/>
        <w:snapToGrid w:val="0"/>
        <w:ind w:firstLine="470"/>
        <w:rPr>
          <w:szCs w:val="24"/>
        </w:rPr>
      </w:pPr>
      <w:r>
        <w:rPr>
          <w:rFonts w:ascii="宋体" w:hAnsi="宋体"/>
          <w:szCs w:val="24"/>
        </w:rPr>
        <w:t>含有水分的原油着火燃烧时，可能产生沸腾突溢，向容器外喷溅，在空中形成火柱，扩大灾情。形成沸腾突溢的原因，一是热辐射作用，二是热液的作用，三是水蒸汽的影响。因此，严格控制储运油品的含水量十分重要。</w:t>
      </w:r>
    </w:p>
    <w:p w:rsidR="00F95F9B" w:rsidRDefault="00000000">
      <w:pPr>
        <w:autoSpaceDE w:val="0"/>
        <w:adjustRightInd w:val="0"/>
        <w:snapToGrid w:val="0"/>
        <w:ind w:firstLine="470"/>
        <w:rPr>
          <w:szCs w:val="24"/>
        </w:rPr>
      </w:pPr>
      <w:r>
        <w:rPr>
          <w:szCs w:val="24"/>
        </w:rPr>
        <w:t>7</w:t>
      </w:r>
      <w:r>
        <w:rPr>
          <w:rFonts w:hint="eastAsia"/>
          <w:szCs w:val="24"/>
        </w:rPr>
        <w:t>）</w:t>
      </w:r>
      <w:r>
        <w:rPr>
          <w:rFonts w:ascii="宋体" w:hAnsi="宋体"/>
          <w:szCs w:val="24"/>
        </w:rPr>
        <w:t>易扩散、流淌性</w:t>
      </w:r>
    </w:p>
    <w:p w:rsidR="00F95F9B" w:rsidRDefault="00000000">
      <w:pPr>
        <w:autoSpaceDE w:val="0"/>
        <w:adjustRightInd w:val="0"/>
        <w:snapToGrid w:val="0"/>
        <w:ind w:firstLine="470"/>
        <w:rPr>
          <w:szCs w:val="24"/>
        </w:rPr>
      </w:pPr>
      <w:r>
        <w:rPr>
          <w:rFonts w:ascii="宋体" w:hAnsi="宋体"/>
          <w:szCs w:val="24"/>
        </w:rPr>
        <w:t>除高粘、高腊、高凝原油外，原油的粘度一般较小，泄漏后易流淌扩散。随着流淌面积的扩大，油品蒸发速度加快，油蒸汽与空气混合后，遇点火源，极易发生火灾、爆炸事故。</w:t>
      </w:r>
    </w:p>
    <w:p w:rsidR="00F95F9B" w:rsidRDefault="00000000">
      <w:pPr>
        <w:pStyle w:val="3"/>
        <w:keepNext w:val="0"/>
        <w:keepLines w:val="0"/>
        <w:widowControl w:val="0"/>
        <w:adjustRightInd w:val="0"/>
        <w:snapToGrid w:val="0"/>
        <w:ind w:left="0"/>
      </w:pPr>
      <w:r>
        <w:rPr>
          <w:rFonts w:hint="eastAsia"/>
        </w:rPr>
        <w:t>天然气</w:t>
      </w:r>
    </w:p>
    <w:p w:rsidR="00F95F9B" w:rsidRDefault="00000000">
      <w:pPr>
        <w:autoSpaceDE w:val="0"/>
        <w:adjustRightInd w:val="0"/>
        <w:snapToGrid w:val="0"/>
        <w:ind w:firstLine="470"/>
        <w:rPr>
          <w:szCs w:val="24"/>
        </w:rPr>
      </w:pPr>
      <w:r>
        <w:rPr>
          <w:rFonts w:ascii="宋体" w:hAnsi="宋体"/>
          <w:szCs w:val="24"/>
        </w:rPr>
        <w:t>天然气的主要危险有害特性表见附</w:t>
      </w:r>
      <w:r>
        <w:rPr>
          <w:rFonts w:ascii="宋体" w:hAnsi="宋体" w:hint="eastAsia"/>
          <w:szCs w:val="24"/>
        </w:rPr>
        <w:t>录</w:t>
      </w:r>
      <w:r>
        <w:rPr>
          <w:szCs w:val="24"/>
        </w:rPr>
        <w:t>2</w:t>
      </w:r>
      <w:r>
        <w:rPr>
          <w:rFonts w:ascii="宋体" w:hAnsi="宋体"/>
          <w:szCs w:val="24"/>
        </w:rPr>
        <w:t>。</w:t>
      </w:r>
    </w:p>
    <w:p w:rsidR="00F95F9B" w:rsidRDefault="00000000">
      <w:pPr>
        <w:autoSpaceDE w:val="0"/>
        <w:adjustRightInd w:val="0"/>
        <w:snapToGrid w:val="0"/>
        <w:ind w:firstLine="470"/>
        <w:rPr>
          <w:szCs w:val="24"/>
        </w:rPr>
      </w:pPr>
      <w:r>
        <w:rPr>
          <w:rFonts w:ascii="宋体" w:hAnsi="宋体" w:hint="eastAsia"/>
          <w:szCs w:val="24"/>
        </w:rPr>
        <w:t>鲁明公司</w:t>
      </w:r>
      <w:r>
        <w:rPr>
          <w:rFonts w:ascii="宋体" w:hAnsi="宋体"/>
          <w:szCs w:val="24"/>
        </w:rPr>
        <w:t>的天然气主要为</w:t>
      </w:r>
      <w:r>
        <w:rPr>
          <w:rFonts w:ascii="宋体" w:hAnsi="宋体" w:hint="eastAsia"/>
          <w:szCs w:val="24"/>
        </w:rPr>
        <w:t>采气管理区采出气及</w:t>
      </w:r>
      <w:r>
        <w:rPr>
          <w:rFonts w:ascii="宋体" w:hAnsi="宋体"/>
          <w:szCs w:val="24"/>
        </w:rPr>
        <w:t>采出液的伴生气，为易燃易爆气体，和空气混合后，天然气浓度达到</w:t>
      </w:r>
      <w:r>
        <w:rPr>
          <w:szCs w:val="24"/>
        </w:rPr>
        <w:t>5%~15%</w:t>
      </w:r>
      <w:r>
        <w:rPr>
          <w:rFonts w:ascii="宋体" w:hAnsi="宋体"/>
          <w:szCs w:val="24"/>
        </w:rPr>
        <w:t>就会爆炸。</w:t>
      </w:r>
    </w:p>
    <w:p w:rsidR="00F95F9B" w:rsidRDefault="00000000">
      <w:pPr>
        <w:autoSpaceDE w:val="0"/>
        <w:adjustRightInd w:val="0"/>
        <w:snapToGrid w:val="0"/>
        <w:ind w:firstLine="470"/>
        <w:rPr>
          <w:szCs w:val="24"/>
        </w:rPr>
      </w:pPr>
      <w:r>
        <w:rPr>
          <w:rFonts w:ascii="宋体" w:hAnsi="宋体"/>
          <w:szCs w:val="24"/>
        </w:rPr>
        <w:t>天然气是一种无色气体，比空气轻，具有以下危险特性：</w:t>
      </w:r>
    </w:p>
    <w:p w:rsidR="00F95F9B" w:rsidRDefault="00000000">
      <w:pPr>
        <w:autoSpaceDE w:val="0"/>
        <w:adjustRightInd w:val="0"/>
        <w:snapToGrid w:val="0"/>
        <w:ind w:firstLine="470"/>
        <w:rPr>
          <w:szCs w:val="24"/>
        </w:rPr>
      </w:pPr>
      <w:r>
        <w:rPr>
          <w:rFonts w:hint="eastAsia"/>
          <w:szCs w:val="24"/>
        </w:rPr>
        <w:t>1</w:t>
      </w:r>
      <w:r>
        <w:rPr>
          <w:rFonts w:hint="eastAsia"/>
          <w:szCs w:val="24"/>
        </w:rPr>
        <w:t>）</w:t>
      </w:r>
      <w:r>
        <w:rPr>
          <w:rFonts w:ascii="宋体" w:hAnsi="宋体"/>
          <w:szCs w:val="24"/>
        </w:rPr>
        <w:t>易燃性</w:t>
      </w:r>
    </w:p>
    <w:p w:rsidR="00F95F9B" w:rsidRDefault="00000000">
      <w:pPr>
        <w:widowControl w:val="0"/>
        <w:autoSpaceDE w:val="0"/>
        <w:adjustRightInd w:val="0"/>
        <w:snapToGrid w:val="0"/>
        <w:ind w:firstLine="470"/>
        <w:rPr>
          <w:szCs w:val="24"/>
        </w:rPr>
      </w:pPr>
      <w:r>
        <w:rPr>
          <w:rFonts w:ascii="宋体" w:hAnsi="宋体"/>
          <w:szCs w:val="24"/>
        </w:rPr>
        <w:t>天然气具有易燃性，燃烧速度很快，并散发出大量的热量，产生的高热可致人员烧伤、</w:t>
      </w:r>
      <w:r>
        <w:rPr>
          <w:rFonts w:ascii="宋体" w:hAnsi="宋体"/>
          <w:szCs w:val="24"/>
        </w:rPr>
        <w:lastRenderedPageBreak/>
        <w:t>设备、建筑物损坏、引燃周边可燃物及其他次生灾害。</w:t>
      </w:r>
    </w:p>
    <w:p w:rsidR="00F95F9B" w:rsidRDefault="00000000">
      <w:pPr>
        <w:autoSpaceDE w:val="0"/>
        <w:adjustRightInd w:val="0"/>
        <w:snapToGrid w:val="0"/>
        <w:ind w:firstLine="470"/>
        <w:rPr>
          <w:szCs w:val="24"/>
        </w:rPr>
      </w:pPr>
      <w:r>
        <w:rPr>
          <w:rFonts w:hint="eastAsia"/>
          <w:szCs w:val="24"/>
        </w:rPr>
        <w:t>2</w:t>
      </w:r>
      <w:r>
        <w:rPr>
          <w:rFonts w:hint="eastAsia"/>
          <w:szCs w:val="24"/>
        </w:rPr>
        <w:t>）</w:t>
      </w:r>
      <w:r>
        <w:rPr>
          <w:rFonts w:ascii="宋体" w:hAnsi="宋体"/>
          <w:szCs w:val="24"/>
        </w:rPr>
        <w:t>易爆性</w:t>
      </w:r>
    </w:p>
    <w:p w:rsidR="00F95F9B" w:rsidRDefault="00000000">
      <w:pPr>
        <w:autoSpaceDE w:val="0"/>
        <w:adjustRightInd w:val="0"/>
        <w:snapToGrid w:val="0"/>
        <w:ind w:firstLine="470"/>
        <w:rPr>
          <w:szCs w:val="24"/>
        </w:rPr>
      </w:pPr>
      <w:r>
        <w:rPr>
          <w:rFonts w:ascii="宋体" w:hAnsi="宋体"/>
          <w:szCs w:val="24"/>
        </w:rPr>
        <w:t>天然气具有易爆性，与空气混合形成可燃性混合物，当其浓度达到</w:t>
      </w:r>
      <w:r>
        <w:rPr>
          <w:szCs w:val="24"/>
        </w:rPr>
        <w:t>“</w:t>
      </w:r>
      <w:r>
        <w:rPr>
          <w:rFonts w:ascii="宋体" w:hAnsi="宋体"/>
          <w:szCs w:val="24"/>
        </w:rPr>
        <w:t>爆炸浓度极限</w:t>
      </w:r>
      <w:r>
        <w:rPr>
          <w:szCs w:val="24"/>
        </w:rPr>
        <w:t>”</w:t>
      </w:r>
      <w:r>
        <w:rPr>
          <w:rFonts w:ascii="宋体" w:hAnsi="宋体"/>
          <w:szCs w:val="24"/>
        </w:rPr>
        <w:t>时（在空气中的爆炸极限约为</w:t>
      </w:r>
      <w:r>
        <w:rPr>
          <w:szCs w:val="24"/>
        </w:rPr>
        <w:t>5%~15%</w:t>
      </w:r>
      <w:r>
        <w:rPr>
          <w:rFonts w:ascii="宋体" w:hAnsi="宋体"/>
          <w:szCs w:val="24"/>
        </w:rPr>
        <w:t>（</w:t>
      </w:r>
      <w:r>
        <w:rPr>
          <w:szCs w:val="24"/>
        </w:rPr>
        <w:t>V</w:t>
      </w:r>
      <w:r>
        <w:rPr>
          <w:rFonts w:ascii="宋体" w:hAnsi="宋体"/>
          <w:szCs w:val="24"/>
        </w:rPr>
        <w:t>）），遇到点火源发生爆炸，明火、撞击、摩擦、静电火花、雷电等都可构成点火源。爆炸可瞬间产生高温、高压，造成很大的破坏。</w:t>
      </w:r>
    </w:p>
    <w:p w:rsidR="00F95F9B" w:rsidRDefault="00000000">
      <w:pPr>
        <w:autoSpaceDE w:val="0"/>
        <w:adjustRightInd w:val="0"/>
        <w:snapToGrid w:val="0"/>
        <w:ind w:firstLine="470"/>
        <w:rPr>
          <w:szCs w:val="24"/>
        </w:rPr>
      </w:pPr>
      <w:r>
        <w:rPr>
          <w:rFonts w:hint="eastAsia"/>
          <w:szCs w:val="24"/>
        </w:rPr>
        <w:t>3</w:t>
      </w:r>
      <w:r>
        <w:rPr>
          <w:rFonts w:hint="eastAsia"/>
          <w:szCs w:val="24"/>
        </w:rPr>
        <w:t>）</w:t>
      </w:r>
      <w:r>
        <w:rPr>
          <w:rFonts w:ascii="宋体" w:hAnsi="宋体"/>
          <w:szCs w:val="24"/>
        </w:rPr>
        <w:t>静电集聚性</w:t>
      </w:r>
    </w:p>
    <w:p w:rsidR="00F95F9B" w:rsidRDefault="00000000">
      <w:pPr>
        <w:autoSpaceDE w:val="0"/>
        <w:adjustRightInd w:val="0"/>
        <w:snapToGrid w:val="0"/>
        <w:ind w:firstLine="470"/>
        <w:rPr>
          <w:szCs w:val="24"/>
        </w:rPr>
      </w:pPr>
      <w:r>
        <w:rPr>
          <w:rFonts w:ascii="宋体" w:hAnsi="宋体"/>
          <w:szCs w:val="24"/>
        </w:rPr>
        <w:t>天然气和管道、容器设备等发生碰撞、摩擦，会产生静电，静电得不到释放，则会集聚，达到一定量后，产生火花放电，引发火灾、爆炸事故。</w:t>
      </w:r>
    </w:p>
    <w:p w:rsidR="00F95F9B" w:rsidRDefault="00000000">
      <w:pPr>
        <w:autoSpaceDE w:val="0"/>
        <w:adjustRightInd w:val="0"/>
        <w:snapToGrid w:val="0"/>
        <w:ind w:firstLine="470"/>
        <w:rPr>
          <w:szCs w:val="24"/>
        </w:rPr>
      </w:pPr>
      <w:r>
        <w:rPr>
          <w:rFonts w:hint="eastAsia"/>
          <w:szCs w:val="24"/>
        </w:rPr>
        <w:t>4</w:t>
      </w:r>
      <w:r>
        <w:rPr>
          <w:rFonts w:hint="eastAsia"/>
          <w:szCs w:val="24"/>
        </w:rPr>
        <w:t>）</w:t>
      </w:r>
      <w:r>
        <w:rPr>
          <w:rFonts w:ascii="宋体" w:hAnsi="宋体"/>
          <w:szCs w:val="24"/>
        </w:rPr>
        <w:t>毒性</w:t>
      </w:r>
    </w:p>
    <w:p w:rsidR="00F95F9B" w:rsidRDefault="00000000">
      <w:pPr>
        <w:autoSpaceDE w:val="0"/>
        <w:adjustRightInd w:val="0"/>
        <w:snapToGrid w:val="0"/>
        <w:ind w:firstLine="470"/>
        <w:rPr>
          <w:szCs w:val="24"/>
        </w:rPr>
      </w:pPr>
      <w:r>
        <w:rPr>
          <w:rFonts w:ascii="宋体" w:hAnsi="宋体"/>
          <w:szCs w:val="24"/>
        </w:rPr>
        <w:t>天然气属低毒物质，当其经口、鼻进入人的呼吸系统，能使人体器官受损害而产生中毒。当空气中天然气含量过高时，还会造成急性中毒、缺氧窒息等。</w:t>
      </w:r>
    </w:p>
    <w:p w:rsidR="00F95F9B" w:rsidRDefault="00000000">
      <w:pPr>
        <w:autoSpaceDE w:val="0"/>
        <w:adjustRightInd w:val="0"/>
        <w:snapToGrid w:val="0"/>
        <w:ind w:firstLine="470"/>
        <w:rPr>
          <w:szCs w:val="24"/>
        </w:rPr>
      </w:pPr>
      <w:r>
        <w:rPr>
          <w:rFonts w:hint="eastAsia"/>
          <w:szCs w:val="24"/>
        </w:rPr>
        <w:t>5</w:t>
      </w:r>
      <w:r>
        <w:rPr>
          <w:rFonts w:hint="eastAsia"/>
          <w:szCs w:val="24"/>
        </w:rPr>
        <w:t>）</w:t>
      </w:r>
      <w:r>
        <w:rPr>
          <w:rFonts w:ascii="宋体" w:hAnsi="宋体"/>
          <w:szCs w:val="24"/>
        </w:rPr>
        <w:t>易扩散性</w:t>
      </w:r>
    </w:p>
    <w:p w:rsidR="00F95F9B" w:rsidRDefault="00000000">
      <w:pPr>
        <w:autoSpaceDE w:val="0"/>
        <w:adjustRightInd w:val="0"/>
        <w:snapToGrid w:val="0"/>
        <w:ind w:firstLine="470"/>
        <w:rPr>
          <w:szCs w:val="24"/>
        </w:rPr>
      </w:pPr>
      <w:r>
        <w:rPr>
          <w:rFonts w:ascii="宋体" w:hAnsi="宋体"/>
          <w:szCs w:val="24"/>
        </w:rPr>
        <w:t>天然气泄漏后容易扩散与空气形成爆炸性混合气体，并可顺风飘移，增加了爆炸的危险性；其中比空气重的组分，漂流在地面、沟渠等低洼处，长时间集聚不散，一旦遇火源可能燃烧和爆炸。</w:t>
      </w:r>
    </w:p>
    <w:p w:rsidR="00F95F9B" w:rsidRDefault="00000000">
      <w:pPr>
        <w:autoSpaceDE w:val="0"/>
        <w:adjustRightInd w:val="0"/>
        <w:snapToGrid w:val="0"/>
        <w:ind w:firstLine="470"/>
        <w:rPr>
          <w:szCs w:val="24"/>
        </w:rPr>
      </w:pPr>
      <w:r>
        <w:rPr>
          <w:rFonts w:hint="eastAsia"/>
          <w:szCs w:val="24"/>
        </w:rPr>
        <w:t>6</w:t>
      </w:r>
      <w:r>
        <w:rPr>
          <w:rFonts w:hint="eastAsia"/>
          <w:szCs w:val="24"/>
        </w:rPr>
        <w:t>）</w:t>
      </w:r>
      <w:r>
        <w:rPr>
          <w:rFonts w:ascii="宋体" w:hAnsi="宋体"/>
          <w:szCs w:val="24"/>
        </w:rPr>
        <w:t>腐蚀性</w:t>
      </w:r>
    </w:p>
    <w:p w:rsidR="00F95F9B" w:rsidRDefault="00000000">
      <w:pPr>
        <w:autoSpaceDE w:val="0"/>
        <w:adjustRightInd w:val="0"/>
        <w:snapToGrid w:val="0"/>
        <w:ind w:firstLine="470"/>
        <w:rPr>
          <w:szCs w:val="24"/>
        </w:rPr>
      </w:pPr>
      <w:r>
        <w:rPr>
          <w:rFonts w:ascii="宋体" w:hAnsi="宋体"/>
          <w:szCs w:val="24"/>
        </w:rPr>
        <w:t>伴生气中所含的</w:t>
      </w:r>
      <w:r>
        <w:rPr>
          <w:szCs w:val="24"/>
        </w:rPr>
        <w:t>CO</w:t>
      </w:r>
      <w:r>
        <w:rPr>
          <w:szCs w:val="24"/>
          <w:vertAlign w:val="subscript"/>
        </w:rPr>
        <w:t>2</w:t>
      </w:r>
      <w:r>
        <w:rPr>
          <w:rFonts w:ascii="宋体" w:hAnsi="宋体"/>
          <w:szCs w:val="24"/>
        </w:rPr>
        <w:t>和采出原油中的</w:t>
      </w:r>
      <w:r>
        <w:rPr>
          <w:szCs w:val="24"/>
        </w:rPr>
        <w:t>H</w:t>
      </w:r>
      <w:r>
        <w:rPr>
          <w:szCs w:val="24"/>
          <w:vertAlign w:val="subscript"/>
        </w:rPr>
        <w:t>2</w:t>
      </w:r>
      <w:r>
        <w:rPr>
          <w:szCs w:val="24"/>
        </w:rPr>
        <w:t>O</w:t>
      </w:r>
      <w:r>
        <w:rPr>
          <w:rFonts w:ascii="宋体" w:hAnsi="宋体"/>
          <w:szCs w:val="24"/>
        </w:rPr>
        <w:t>形成酸性水溶液，对集输管道的内壁产生腐蚀，造成管道破坏，在氧气存在的情况下，腐蚀会加剧。腐蚀到一定程度后，可引起设备和管道穿孔，造成泄漏。</w:t>
      </w:r>
    </w:p>
    <w:p w:rsidR="00F95F9B" w:rsidRDefault="00000000">
      <w:pPr>
        <w:pStyle w:val="3"/>
        <w:keepNext w:val="0"/>
        <w:keepLines w:val="0"/>
        <w:widowControl w:val="0"/>
        <w:adjustRightInd w:val="0"/>
        <w:snapToGrid w:val="0"/>
        <w:ind w:left="0"/>
      </w:pPr>
      <w:r>
        <w:rPr>
          <w:rFonts w:hint="eastAsia"/>
        </w:rPr>
        <w:t>硫化氢</w:t>
      </w:r>
    </w:p>
    <w:p w:rsidR="00F95F9B" w:rsidRDefault="00000000">
      <w:pPr>
        <w:autoSpaceDE w:val="0"/>
        <w:adjustRightInd w:val="0"/>
        <w:snapToGrid w:val="0"/>
        <w:ind w:firstLine="470"/>
        <w:rPr>
          <w:szCs w:val="24"/>
        </w:rPr>
      </w:pPr>
      <w:r>
        <w:rPr>
          <w:rFonts w:ascii="宋体" w:hAnsi="宋体" w:hint="eastAsia"/>
          <w:szCs w:val="24"/>
        </w:rPr>
        <w:t>硫化氢</w:t>
      </w:r>
      <w:r>
        <w:rPr>
          <w:rFonts w:ascii="宋体" w:hAnsi="宋体"/>
          <w:szCs w:val="24"/>
        </w:rPr>
        <w:t>的主要危险有害特性见附</w:t>
      </w:r>
      <w:r>
        <w:rPr>
          <w:rFonts w:ascii="宋体" w:hAnsi="宋体" w:hint="eastAsia"/>
          <w:szCs w:val="24"/>
        </w:rPr>
        <w:t>录</w:t>
      </w:r>
      <w:r>
        <w:rPr>
          <w:rFonts w:hint="eastAsia"/>
          <w:szCs w:val="24"/>
        </w:rPr>
        <w:t>2</w:t>
      </w:r>
      <w:r>
        <w:rPr>
          <w:rFonts w:ascii="宋体" w:hAnsi="宋体"/>
          <w:szCs w:val="24"/>
        </w:rPr>
        <w:t>。</w:t>
      </w:r>
    </w:p>
    <w:p w:rsidR="00F95F9B" w:rsidRDefault="00000000">
      <w:pPr>
        <w:autoSpaceDE w:val="0"/>
        <w:adjustRightInd w:val="0"/>
        <w:snapToGrid w:val="0"/>
        <w:ind w:firstLine="470"/>
        <w:rPr>
          <w:szCs w:val="24"/>
        </w:rPr>
      </w:pPr>
      <w:r>
        <w:rPr>
          <w:rFonts w:ascii="宋体" w:hAnsi="宋体"/>
          <w:szCs w:val="24"/>
        </w:rPr>
        <w:t>硫化氢，分子式为</w:t>
      </w:r>
      <w:r>
        <w:rPr>
          <w:szCs w:val="24"/>
        </w:rPr>
        <w:t>H</w:t>
      </w:r>
      <w:r>
        <w:rPr>
          <w:szCs w:val="24"/>
          <w:vertAlign w:val="subscript"/>
        </w:rPr>
        <w:t>2</w:t>
      </w:r>
      <w:r>
        <w:rPr>
          <w:szCs w:val="24"/>
        </w:rPr>
        <w:t>S</w:t>
      </w:r>
      <w:r>
        <w:rPr>
          <w:rFonts w:ascii="宋体" w:hAnsi="宋体"/>
          <w:szCs w:val="24"/>
        </w:rPr>
        <w:t>，标准状况下是一种易燃的酸性气体，无色，低浓度时有臭鸡蛋气味，浓度极低时便有硫磺味，有剧毒（</w:t>
      </w:r>
      <w:r>
        <w:rPr>
          <w:szCs w:val="24"/>
        </w:rPr>
        <w:t>LC</w:t>
      </w:r>
      <w:r>
        <w:rPr>
          <w:szCs w:val="24"/>
          <w:vertAlign w:val="subscript"/>
        </w:rPr>
        <w:t>50</w:t>
      </w:r>
      <w:r>
        <w:rPr>
          <w:szCs w:val="24"/>
        </w:rPr>
        <w:t>=444ppm&lt;500ppm</w:t>
      </w:r>
      <w:r>
        <w:rPr>
          <w:rFonts w:ascii="宋体" w:hAnsi="宋体"/>
          <w:szCs w:val="24"/>
        </w:rPr>
        <w:t>）。其水溶液为氢硫酸。分子量为</w:t>
      </w:r>
      <w:r>
        <w:rPr>
          <w:szCs w:val="24"/>
        </w:rPr>
        <w:t>34.08</w:t>
      </w:r>
      <w:r>
        <w:rPr>
          <w:rFonts w:ascii="宋体" w:hAnsi="宋体"/>
          <w:szCs w:val="24"/>
        </w:rPr>
        <w:t>，蒸汽压为</w:t>
      </w:r>
      <w:r>
        <w:rPr>
          <w:szCs w:val="24"/>
        </w:rPr>
        <w:t>2026.5kPa/25.5℃</w:t>
      </w:r>
      <w:r>
        <w:rPr>
          <w:rFonts w:ascii="宋体" w:hAnsi="宋体"/>
          <w:szCs w:val="24"/>
        </w:rPr>
        <w:t>，闪点为</w:t>
      </w:r>
      <w:r>
        <w:rPr>
          <w:szCs w:val="24"/>
        </w:rPr>
        <w:t>&lt;-50℃</w:t>
      </w:r>
      <w:r>
        <w:rPr>
          <w:rFonts w:ascii="宋体" w:hAnsi="宋体"/>
          <w:szCs w:val="24"/>
        </w:rPr>
        <w:t>，熔点是</w:t>
      </w:r>
      <w:r>
        <w:rPr>
          <w:szCs w:val="24"/>
        </w:rPr>
        <w:t>-85.5℃</w:t>
      </w:r>
      <w:r>
        <w:rPr>
          <w:rFonts w:ascii="宋体" w:hAnsi="宋体"/>
          <w:szCs w:val="24"/>
        </w:rPr>
        <w:t>，沸点是</w:t>
      </w:r>
      <w:r>
        <w:rPr>
          <w:rFonts w:hint="eastAsia"/>
          <w:szCs w:val="24"/>
        </w:rPr>
        <w:t xml:space="preserve">         -</w:t>
      </w:r>
      <w:r>
        <w:rPr>
          <w:szCs w:val="24"/>
        </w:rPr>
        <w:t>60.4℃</w:t>
      </w:r>
      <w:r>
        <w:rPr>
          <w:rFonts w:ascii="宋体" w:hAnsi="宋体"/>
          <w:szCs w:val="24"/>
        </w:rPr>
        <w:t>，相对密度为（空气</w:t>
      </w:r>
      <w:r>
        <w:rPr>
          <w:szCs w:val="24"/>
        </w:rPr>
        <w:t>=1</w:t>
      </w:r>
      <w:r>
        <w:rPr>
          <w:rFonts w:ascii="宋体" w:hAnsi="宋体"/>
          <w:szCs w:val="24"/>
        </w:rPr>
        <w:t>）</w:t>
      </w:r>
      <w:r>
        <w:rPr>
          <w:szCs w:val="24"/>
        </w:rPr>
        <w:t>1.19</w:t>
      </w:r>
      <w:r>
        <w:rPr>
          <w:rFonts w:ascii="宋体" w:hAnsi="宋体"/>
          <w:szCs w:val="24"/>
        </w:rPr>
        <w:t>。能溶于水，易溶于醇类、石油溶剂和原油。燃点为</w:t>
      </w:r>
      <w:r>
        <w:rPr>
          <w:szCs w:val="24"/>
        </w:rPr>
        <w:t>292℃</w:t>
      </w:r>
      <w:r>
        <w:rPr>
          <w:rFonts w:ascii="宋体" w:hAnsi="宋体"/>
          <w:szCs w:val="24"/>
        </w:rPr>
        <w:t>。硫化氢为易燃危化品，与空气混合能形成爆炸性混合物，遇明火、高热能引起燃烧爆炸。硫化氢是一种重要的化学原料。</w:t>
      </w:r>
    </w:p>
    <w:p w:rsidR="00F95F9B" w:rsidRDefault="00000000">
      <w:pPr>
        <w:autoSpaceDE w:val="0"/>
        <w:adjustRightInd w:val="0"/>
        <w:snapToGrid w:val="0"/>
        <w:ind w:firstLine="470"/>
        <w:rPr>
          <w:szCs w:val="24"/>
        </w:rPr>
      </w:pPr>
      <w:r>
        <w:rPr>
          <w:rFonts w:ascii="宋体" w:hAnsi="宋体"/>
          <w:szCs w:val="24"/>
        </w:rPr>
        <w:t>硫化氢水溶液对钢材具有强烈的腐蚀作用，如果溶液中同时含有二氧化碳或氧，其腐蚀速度会迅速增加。若生产设备设施存在材料问题、设计问题和制造质量问题等，由于硫化物应力腐蚀破裂（</w:t>
      </w:r>
      <w:r>
        <w:rPr>
          <w:szCs w:val="24"/>
        </w:rPr>
        <w:t>SSCC</w:t>
      </w:r>
      <w:r>
        <w:rPr>
          <w:rFonts w:ascii="宋体" w:hAnsi="宋体"/>
          <w:szCs w:val="24"/>
        </w:rPr>
        <w:t>），易引起设备设施焊缝区出现裂纹，造成泄漏事故。</w:t>
      </w:r>
    </w:p>
    <w:p w:rsidR="00F95F9B" w:rsidRDefault="00000000">
      <w:pPr>
        <w:autoSpaceDE w:val="0"/>
        <w:adjustRightInd w:val="0"/>
        <w:snapToGrid w:val="0"/>
        <w:ind w:firstLine="470"/>
        <w:rPr>
          <w:szCs w:val="24"/>
        </w:rPr>
      </w:pPr>
      <w:r>
        <w:rPr>
          <w:rFonts w:ascii="宋体" w:hAnsi="宋体"/>
          <w:szCs w:val="24"/>
        </w:rPr>
        <w:lastRenderedPageBreak/>
        <w:t>硫化氢是强烈的神经毒物，对粘膜有强烈刺激作用。急性中毒：短期内吸入高浓度硫化氢后出现流泪、眼痛、眼内异物感、畏光、视物模糊、流涕、咽喉部灼热感、咳嗽、胸闷、头痛、头晕、乏力、意识模糊等。部分患者可有心肌损害。重者可出现脑水肿、肺水肿。极高浓度</w:t>
      </w:r>
      <w:r>
        <w:rPr>
          <w:szCs w:val="24"/>
        </w:rPr>
        <w:t>(1000mg/m</w:t>
      </w:r>
      <w:r>
        <w:rPr>
          <w:szCs w:val="24"/>
          <w:vertAlign w:val="superscript"/>
        </w:rPr>
        <w:t>3</w:t>
      </w:r>
      <w:r>
        <w:rPr>
          <w:rFonts w:ascii="宋体" w:hAnsi="宋体"/>
          <w:szCs w:val="24"/>
        </w:rPr>
        <w:t>以上</w:t>
      </w:r>
      <w:r>
        <w:rPr>
          <w:szCs w:val="24"/>
        </w:rPr>
        <w:t>)</w:t>
      </w:r>
      <w:r>
        <w:rPr>
          <w:rFonts w:ascii="宋体" w:hAnsi="宋体"/>
          <w:szCs w:val="24"/>
        </w:rPr>
        <w:t>时可在数秒钟内突然昏迷，呼吸和心跳骤停，发生闪电型死亡。高浓度接触眼结膜发生水肿和角膜溃疡。长期低浓度接触，引起神经衰弱综合症和植物神经功能紊乱。</w:t>
      </w:r>
    </w:p>
    <w:p w:rsidR="00F95F9B" w:rsidRDefault="00000000">
      <w:pPr>
        <w:pStyle w:val="3"/>
        <w:keepNext w:val="0"/>
        <w:keepLines w:val="0"/>
        <w:widowControl w:val="0"/>
        <w:adjustRightInd w:val="0"/>
        <w:snapToGrid w:val="0"/>
        <w:ind w:left="0"/>
      </w:pPr>
      <w:r>
        <w:rPr>
          <w:rFonts w:hint="eastAsia"/>
        </w:rPr>
        <w:t>柴油</w:t>
      </w:r>
    </w:p>
    <w:p w:rsidR="00F95F9B" w:rsidRDefault="00000000">
      <w:pPr>
        <w:autoSpaceDE w:val="0"/>
        <w:adjustRightInd w:val="0"/>
        <w:snapToGrid w:val="0"/>
        <w:ind w:firstLine="470"/>
        <w:rPr>
          <w:szCs w:val="24"/>
        </w:rPr>
      </w:pPr>
      <w:r>
        <w:rPr>
          <w:rFonts w:ascii="宋体" w:hAnsi="宋体"/>
          <w:szCs w:val="24"/>
        </w:rPr>
        <w:t>柴油是稍有粘性的棕色液体。</w:t>
      </w:r>
    </w:p>
    <w:p w:rsidR="00F95F9B" w:rsidRDefault="00000000">
      <w:pPr>
        <w:autoSpaceDE w:val="0"/>
        <w:adjustRightInd w:val="0"/>
        <w:snapToGrid w:val="0"/>
        <w:ind w:firstLine="470"/>
        <w:rPr>
          <w:szCs w:val="24"/>
        </w:rPr>
      </w:pPr>
      <w:r>
        <w:rPr>
          <w:rFonts w:ascii="宋体" w:hAnsi="宋体"/>
          <w:szCs w:val="24"/>
        </w:rPr>
        <w:t>健康危害：皮肤接触可为主要吸收途径，可致急性肾脏损害。柴油可引起接触性皮炎、油性痤疮。吸入其雾滴或液体呛入可引起吸入性肺炎。能经胎盘进入到胎儿血中。柴油废气可引起眼、鼻刺激症状，头晕及头痛。</w:t>
      </w:r>
    </w:p>
    <w:p w:rsidR="00F95F9B" w:rsidRDefault="00000000">
      <w:pPr>
        <w:autoSpaceDE w:val="0"/>
        <w:adjustRightInd w:val="0"/>
        <w:snapToGrid w:val="0"/>
        <w:ind w:firstLine="470"/>
        <w:rPr>
          <w:szCs w:val="24"/>
        </w:rPr>
      </w:pPr>
      <w:r>
        <w:rPr>
          <w:rFonts w:ascii="宋体" w:hAnsi="宋体"/>
          <w:szCs w:val="24"/>
        </w:rPr>
        <w:t>侵入途径：吸入、食入、经皮吸收。</w:t>
      </w:r>
    </w:p>
    <w:p w:rsidR="00F95F9B" w:rsidRDefault="00000000">
      <w:pPr>
        <w:autoSpaceDE w:val="0"/>
        <w:adjustRightInd w:val="0"/>
        <w:snapToGrid w:val="0"/>
        <w:ind w:firstLine="470"/>
        <w:rPr>
          <w:szCs w:val="24"/>
        </w:rPr>
      </w:pPr>
      <w:r>
        <w:rPr>
          <w:rFonts w:ascii="宋体" w:hAnsi="宋体"/>
          <w:szCs w:val="24"/>
        </w:rPr>
        <w:t>环境危害：对环境有危害，对水体和大气可造成污染。</w:t>
      </w:r>
    </w:p>
    <w:p w:rsidR="00F95F9B" w:rsidRDefault="00000000">
      <w:pPr>
        <w:autoSpaceDE w:val="0"/>
        <w:adjustRightInd w:val="0"/>
        <w:snapToGrid w:val="0"/>
        <w:ind w:firstLine="470"/>
        <w:rPr>
          <w:szCs w:val="24"/>
        </w:rPr>
      </w:pPr>
      <w:r>
        <w:rPr>
          <w:rFonts w:ascii="宋体" w:hAnsi="宋体"/>
          <w:szCs w:val="24"/>
        </w:rPr>
        <w:t>燃爆危险：本品易燃，具刺激性。</w:t>
      </w:r>
    </w:p>
    <w:p w:rsidR="00F95F9B" w:rsidRDefault="00000000">
      <w:pPr>
        <w:autoSpaceDE w:val="0"/>
        <w:adjustRightInd w:val="0"/>
        <w:snapToGrid w:val="0"/>
        <w:ind w:firstLine="470"/>
        <w:rPr>
          <w:szCs w:val="24"/>
        </w:rPr>
      </w:pPr>
      <w:r>
        <w:rPr>
          <w:rFonts w:ascii="宋体" w:hAnsi="宋体"/>
          <w:szCs w:val="24"/>
        </w:rPr>
        <w:t>危险特性：遇明火、高热或与氧化剂接触，有引起燃烧爆炸的危险。若遇高热，容器内压增大，有开裂和爆炸的危险。</w:t>
      </w:r>
    </w:p>
    <w:p w:rsidR="00F95F9B" w:rsidRDefault="00000000">
      <w:pPr>
        <w:autoSpaceDE w:val="0"/>
        <w:adjustRightInd w:val="0"/>
        <w:snapToGrid w:val="0"/>
        <w:ind w:firstLine="470"/>
        <w:rPr>
          <w:szCs w:val="24"/>
        </w:rPr>
      </w:pPr>
      <w:r>
        <w:rPr>
          <w:rFonts w:ascii="宋体" w:hAnsi="宋体"/>
          <w:szCs w:val="24"/>
        </w:rPr>
        <w:t>其他有害作用</w:t>
      </w:r>
      <w:r>
        <w:rPr>
          <w:rFonts w:ascii="宋体" w:hAnsi="宋体" w:hint="eastAsia"/>
          <w:szCs w:val="24"/>
        </w:rPr>
        <w:t>：</w:t>
      </w:r>
      <w:r>
        <w:rPr>
          <w:rFonts w:ascii="宋体" w:hAnsi="宋体"/>
          <w:szCs w:val="24"/>
        </w:rPr>
        <w:t>该物质对环境有危害，建议不要让其进入环境。对水体和大气可造成污染，破坏水生生物呼吸系统。对海藻应给予特别注意。</w:t>
      </w:r>
    </w:p>
    <w:p w:rsidR="00F95F9B" w:rsidRDefault="00000000">
      <w:pPr>
        <w:pStyle w:val="3"/>
        <w:keepNext w:val="0"/>
        <w:keepLines w:val="0"/>
        <w:widowControl w:val="0"/>
        <w:adjustRightInd w:val="0"/>
        <w:snapToGrid w:val="0"/>
        <w:ind w:left="0"/>
      </w:pPr>
      <w:r>
        <w:rPr>
          <w:rFonts w:hint="eastAsia"/>
        </w:rPr>
        <w:t>化学药剂</w:t>
      </w:r>
    </w:p>
    <w:p w:rsidR="00F95F9B" w:rsidRDefault="00000000">
      <w:pPr>
        <w:adjustRightInd w:val="0"/>
        <w:snapToGrid w:val="0"/>
        <w:ind w:firstLine="470"/>
        <w:rPr>
          <w:szCs w:val="24"/>
        </w:rPr>
      </w:pPr>
      <w:r>
        <w:rPr>
          <w:rFonts w:ascii="宋体" w:hAnsi="宋体"/>
          <w:szCs w:val="24"/>
        </w:rPr>
        <w:t>破乳剂在油水分离过程中起到表面活性、润湿吸附和聚结作用，一般在各转油站和脱水站来油阀组人口处连续投加。破乳剂为液态，产品种类繁多，但大多数破乳剂的主要化学成分是嵌段高分子聚醚。破乳剂的毒性与成份相关，</w:t>
      </w:r>
      <w:r>
        <w:rPr>
          <w:rFonts w:ascii="宋体" w:hAnsi="宋体" w:hint="eastAsia"/>
          <w:szCs w:val="24"/>
        </w:rPr>
        <w:t>鲁明公司</w:t>
      </w:r>
      <w:r>
        <w:rPr>
          <w:rFonts w:ascii="宋体" w:hAnsi="宋体"/>
          <w:szCs w:val="24"/>
        </w:rPr>
        <w:t>现选用低毒的破乳剂。</w:t>
      </w:r>
    </w:p>
    <w:p w:rsidR="00F95F9B" w:rsidRDefault="00000000">
      <w:pPr>
        <w:autoSpaceDE w:val="0"/>
        <w:adjustRightInd w:val="0"/>
        <w:snapToGrid w:val="0"/>
        <w:ind w:firstLine="470"/>
        <w:rPr>
          <w:szCs w:val="24"/>
        </w:rPr>
      </w:pPr>
      <w:r>
        <w:rPr>
          <w:rFonts w:ascii="宋体" w:hAnsi="宋体"/>
          <w:szCs w:val="24"/>
        </w:rPr>
        <w:t>杀菌剂的主要作用是杀死采出水中的菌类（铁细菌、腐生菌、硫酸还原菌等），主要以季铵盐、</w:t>
      </w:r>
      <w:r>
        <w:rPr>
          <w:szCs w:val="24"/>
        </w:rPr>
        <w:t>7</w:t>
      </w:r>
      <w:r>
        <w:rPr>
          <w:rFonts w:ascii="宋体" w:hAnsi="宋体"/>
          <w:szCs w:val="24"/>
        </w:rPr>
        <w:t>异噻唑啉酮和戊二醛为代表，可保障油田注入水水质。该类药剂低毒，对设备有一定的腐蚀性。</w:t>
      </w:r>
    </w:p>
    <w:p w:rsidR="00F95F9B" w:rsidRDefault="00000000">
      <w:pPr>
        <w:widowControl w:val="0"/>
        <w:autoSpaceDE w:val="0"/>
        <w:adjustRightInd w:val="0"/>
        <w:snapToGrid w:val="0"/>
        <w:ind w:firstLine="470"/>
        <w:rPr>
          <w:szCs w:val="24"/>
        </w:rPr>
      </w:pPr>
      <w:r>
        <w:rPr>
          <w:rFonts w:ascii="宋体" w:hAnsi="宋体"/>
          <w:szCs w:val="24"/>
        </w:rPr>
        <w:t>在油气开采过程中，还使用降黏剂、缓蚀剂、阻垢剂、堵水剂等化学药剂，药剂中一般含有一定量的甲醇、乙醇、乙醚等有毒有害成分，有可能刺激呼吸系统。如破乳剂自身毒性较小，但配用一定浓度的有机溶剂，如水溶性破乳剂一般加入</w:t>
      </w:r>
      <w:r>
        <w:rPr>
          <w:szCs w:val="24"/>
        </w:rPr>
        <w:t>35%</w:t>
      </w:r>
      <w:r>
        <w:rPr>
          <w:rFonts w:ascii="宋体" w:hAnsi="宋体"/>
          <w:szCs w:val="24"/>
        </w:rPr>
        <w:t>的甲醛做溶剂，油溶性破乳剂加入</w:t>
      </w:r>
      <w:r>
        <w:rPr>
          <w:szCs w:val="24"/>
        </w:rPr>
        <w:t>50%</w:t>
      </w:r>
      <w:r>
        <w:rPr>
          <w:rFonts w:ascii="宋体" w:hAnsi="宋体"/>
          <w:szCs w:val="24"/>
        </w:rPr>
        <w:t>的二甲苯做溶剂，因此具有低毒，可对作业人员产生一定的危害。阻垢剂一般呈酸性，对皮肤有腐蚀性。</w:t>
      </w:r>
    </w:p>
    <w:p w:rsidR="00F95F9B" w:rsidRDefault="00000000">
      <w:pPr>
        <w:pStyle w:val="3"/>
        <w:keepNext w:val="0"/>
        <w:keepLines w:val="0"/>
        <w:widowControl w:val="0"/>
        <w:adjustRightInd w:val="0"/>
        <w:snapToGrid w:val="0"/>
        <w:ind w:left="0"/>
      </w:pPr>
      <w:r>
        <w:rPr>
          <w:rFonts w:hint="eastAsia"/>
        </w:rPr>
        <w:lastRenderedPageBreak/>
        <w:t>聚丙烯酰胺（注聚剂）</w:t>
      </w:r>
    </w:p>
    <w:p w:rsidR="00F95F9B" w:rsidRDefault="00000000">
      <w:pPr>
        <w:widowControl w:val="0"/>
        <w:autoSpaceDE w:val="0"/>
        <w:adjustRightInd w:val="0"/>
        <w:snapToGrid w:val="0"/>
        <w:ind w:firstLine="470"/>
        <w:rPr>
          <w:szCs w:val="24"/>
        </w:rPr>
      </w:pPr>
      <w:r>
        <w:rPr>
          <w:szCs w:val="24"/>
        </w:rPr>
        <w:t>聚丙烯酰胺为白色粉末或者小颗粒状物，密度为</w:t>
      </w:r>
      <w:r>
        <w:rPr>
          <w:szCs w:val="24"/>
        </w:rPr>
        <w:t>1.302g/cm</w:t>
      </w:r>
      <w:r>
        <w:rPr>
          <w:szCs w:val="24"/>
          <w:vertAlign w:val="superscript"/>
        </w:rPr>
        <w:t>3</w:t>
      </w:r>
      <w:r>
        <w:rPr>
          <w:szCs w:val="24"/>
        </w:rPr>
        <w:t>（</w:t>
      </w:r>
      <w:r>
        <w:rPr>
          <w:szCs w:val="24"/>
        </w:rPr>
        <w:t>23℃</w:t>
      </w:r>
      <w:r>
        <w:rPr>
          <w:szCs w:val="24"/>
        </w:rPr>
        <w:t>），玻璃化温度为</w:t>
      </w:r>
      <w:r>
        <w:rPr>
          <w:szCs w:val="24"/>
        </w:rPr>
        <w:t>153℃</w:t>
      </w:r>
      <w:r>
        <w:rPr>
          <w:szCs w:val="24"/>
        </w:rPr>
        <w:t>，软化温度</w:t>
      </w:r>
      <w:r>
        <w:rPr>
          <w:szCs w:val="24"/>
        </w:rPr>
        <w:t>210℃ </w:t>
      </w:r>
      <w:r>
        <w:rPr>
          <w:szCs w:val="24"/>
        </w:rPr>
        <w:t>，可燃但不易引燃，根据《建筑设计防火规范》的分类，其火灾危险性类别为丙类。</w:t>
      </w:r>
    </w:p>
    <w:p w:rsidR="00F95F9B" w:rsidRDefault="00000000">
      <w:pPr>
        <w:widowControl w:val="0"/>
        <w:autoSpaceDE w:val="0"/>
        <w:adjustRightInd w:val="0"/>
        <w:snapToGrid w:val="0"/>
        <w:ind w:firstLine="470"/>
        <w:rPr>
          <w:szCs w:val="24"/>
        </w:rPr>
      </w:pPr>
      <w:r>
        <w:rPr>
          <w:szCs w:val="24"/>
        </w:rPr>
        <w:t>聚丙烯酰胺易溶于水，几乎不溶于有机溶液，配置的稀溶液易发生降解。聚丙烯酰胺本身没有腐蚀性，但其水溶液对金属有一定的腐蚀作用。另外聚丙烯酰胺易吸附空气中的水分并保留水分。</w:t>
      </w:r>
    </w:p>
    <w:p w:rsidR="00F95F9B" w:rsidRDefault="00000000">
      <w:pPr>
        <w:widowControl w:val="0"/>
        <w:autoSpaceDE w:val="0"/>
        <w:adjustRightInd w:val="0"/>
        <w:snapToGrid w:val="0"/>
        <w:ind w:firstLine="470"/>
        <w:rPr>
          <w:rFonts w:ascii="宋体" w:hAnsi="宋体"/>
          <w:szCs w:val="24"/>
        </w:rPr>
      </w:pPr>
      <w:r>
        <w:rPr>
          <w:rFonts w:ascii="宋体" w:hAnsi="宋体"/>
          <w:szCs w:val="24"/>
        </w:rPr>
        <w:t>聚丙烯酰胺本身无毒，只有当食入量大于</w:t>
      </w:r>
      <w:r>
        <w:rPr>
          <w:szCs w:val="24"/>
        </w:rPr>
        <w:t>5‰</w:t>
      </w:r>
      <w:r>
        <w:rPr>
          <w:rFonts w:ascii="宋体" w:hAnsi="宋体"/>
          <w:szCs w:val="24"/>
        </w:rPr>
        <w:t>时，因肠胃粘膜对营养的吸收被粘阻而有害。聚丙烯酰胺中残留的丙烯酰胺单体有毒，属中等毒类物质。还有聚丙烯酰胺在温度超过</w:t>
      </w:r>
      <w:r>
        <w:rPr>
          <w:szCs w:val="24"/>
        </w:rPr>
        <w:t>120℃</w:t>
      </w:r>
      <w:r>
        <w:rPr>
          <w:rFonts w:ascii="宋体" w:hAnsi="宋体"/>
          <w:szCs w:val="24"/>
        </w:rPr>
        <w:t>时易分解而释放出有毒单体</w:t>
      </w:r>
      <w:r>
        <w:rPr>
          <w:rFonts w:hint="eastAsia"/>
          <w:szCs w:val="24"/>
        </w:rPr>
        <w:t>-</w:t>
      </w:r>
      <w:r>
        <w:rPr>
          <w:rFonts w:ascii="宋体" w:hAnsi="宋体"/>
          <w:szCs w:val="24"/>
        </w:rPr>
        <w:t>丙烯酰胺。</w:t>
      </w:r>
    </w:p>
    <w:p w:rsidR="00F95F9B" w:rsidRDefault="00000000">
      <w:pPr>
        <w:pStyle w:val="3"/>
        <w:keepNext w:val="0"/>
        <w:keepLines w:val="0"/>
        <w:widowControl w:val="0"/>
        <w:adjustRightInd w:val="0"/>
        <w:snapToGrid w:val="0"/>
        <w:ind w:left="0"/>
      </w:pPr>
      <w:r>
        <w:rPr>
          <w:rFonts w:hint="eastAsia"/>
        </w:rPr>
        <w:t>高压水</w:t>
      </w:r>
    </w:p>
    <w:p w:rsidR="00F95F9B" w:rsidRDefault="00000000">
      <w:pPr>
        <w:adjustRightInd w:val="0"/>
        <w:snapToGrid w:val="0"/>
        <w:ind w:firstLine="470"/>
        <w:rPr>
          <w:rFonts w:ascii="宋体" w:hAnsi="宋体"/>
          <w:szCs w:val="24"/>
        </w:rPr>
      </w:pPr>
      <w:r>
        <w:rPr>
          <w:rFonts w:ascii="宋体" w:hAnsi="宋体" w:hint="eastAsia"/>
          <w:szCs w:val="24"/>
        </w:rPr>
        <w:t>设备及管线内的高压水如果因设备缺陷或人员操作失误等原因会造成设备及管线内憋压，设备内压力超出其承压极限，会对设备造成损坏和人员伤害。同时，由于管线长时间运行，管线、压力表、泵体、法兰、阀门等腐蚀穿孔造成高压水刺漏，可能对周围人员造成伤害。埋地注水管线穿孔后高压水可将地下土壤掏空，形成地下空洞或导致地面塌陷，人员经过可能坠落其中，导致淹溺、摔伤甚至死亡。</w:t>
      </w:r>
    </w:p>
    <w:p w:rsidR="00F95F9B" w:rsidRDefault="00000000">
      <w:pPr>
        <w:pStyle w:val="2"/>
        <w:keepNext w:val="0"/>
        <w:keepLines w:val="0"/>
        <w:adjustRightInd w:val="0"/>
        <w:snapToGrid w:val="0"/>
        <w:spacing w:before="170" w:after="170"/>
      </w:pPr>
      <w:bookmarkStart w:id="40" w:name="_Toc9324"/>
      <w:r>
        <w:rPr>
          <w:rFonts w:hint="eastAsia"/>
        </w:rPr>
        <w:t>生产作业危险、有害因素分析</w:t>
      </w:r>
      <w:bookmarkEnd w:id="40"/>
    </w:p>
    <w:p w:rsidR="00F95F9B" w:rsidRDefault="00000000">
      <w:pPr>
        <w:pStyle w:val="3"/>
        <w:keepNext w:val="0"/>
        <w:keepLines w:val="0"/>
        <w:widowControl w:val="0"/>
        <w:adjustRightInd w:val="0"/>
        <w:snapToGrid w:val="0"/>
        <w:ind w:left="0"/>
      </w:pPr>
      <w:r>
        <w:rPr>
          <w:rFonts w:hint="eastAsia"/>
        </w:rPr>
        <w:t>采油（采气）工艺过程</w:t>
      </w:r>
    </w:p>
    <w:p w:rsidR="00F95F9B" w:rsidRDefault="00000000">
      <w:pPr>
        <w:adjustRightInd w:val="0"/>
        <w:snapToGrid w:val="0"/>
        <w:ind w:firstLine="470"/>
        <w:rPr>
          <w:szCs w:val="24"/>
        </w:rPr>
      </w:pPr>
      <w:r>
        <w:rPr>
          <w:rFonts w:ascii="宋体" w:hAnsi="宋体" w:hint="eastAsia"/>
          <w:szCs w:val="24"/>
        </w:rPr>
        <w:t>抽油机将油气从井底采出地面，抽油机运行过程中，若操作人员违章操作或操作监护不当，有发生机电设备伤及人员的等机械伤害、触电、高处坠落、物体打击等事故。同时还将造成设备、设施损坏。抽油机运转时，其运动部位若没有防护设施，有可能对靠近设备的人员造成机械伤害事故，常见的有抽油机电机皮带伤人、螺杆卷入衣物等。</w:t>
      </w:r>
    </w:p>
    <w:p w:rsidR="00F95F9B" w:rsidRDefault="00000000">
      <w:pPr>
        <w:widowControl w:val="0"/>
        <w:autoSpaceDE w:val="0"/>
        <w:adjustRightInd w:val="0"/>
        <w:snapToGrid w:val="0"/>
        <w:ind w:firstLine="470"/>
        <w:rPr>
          <w:szCs w:val="24"/>
        </w:rPr>
      </w:pPr>
      <w:r>
        <w:rPr>
          <w:rFonts w:ascii="宋体" w:hAnsi="宋体" w:hint="eastAsia"/>
          <w:szCs w:val="24"/>
        </w:rPr>
        <w:t>井场主要危险因素是原油、天然气、硫化氢泄漏引起的火灾、爆炸。若井口采油树、采气树存在质量问题，阀门、法兰等损坏发生刺漏，抽油杆密封器失效，人为破坏井口或操作不当等均可能引起油气泄漏。甚至有可能使井内压力失控，造成井喷。</w:t>
      </w:r>
    </w:p>
    <w:p w:rsidR="00F95F9B" w:rsidRDefault="00000000">
      <w:pPr>
        <w:autoSpaceDE w:val="0"/>
        <w:adjustRightInd w:val="0"/>
        <w:snapToGrid w:val="0"/>
        <w:ind w:firstLine="470"/>
        <w:rPr>
          <w:szCs w:val="24"/>
        </w:rPr>
      </w:pPr>
      <w:r>
        <w:rPr>
          <w:rFonts w:ascii="宋体" w:hAnsi="宋体" w:hint="eastAsia"/>
          <w:szCs w:val="24"/>
        </w:rPr>
        <w:t>采油（采气）井口有一定的压力，存在开关套管、阀门等带压操作，有可能造成闸板、丝杆脱扣打出伤人事故。高压造成的设备、管道物理破坏是井场的主要危险因素。此外，放空、井口操作、量油测气等过程中，人站在下风侧，可能会发生中毒和窒息。</w:t>
      </w:r>
    </w:p>
    <w:p w:rsidR="00F95F9B" w:rsidRDefault="00000000">
      <w:pPr>
        <w:autoSpaceDE w:val="0"/>
        <w:adjustRightInd w:val="0"/>
        <w:snapToGrid w:val="0"/>
        <w:ind w:firstLine="470"/>
        <w:rPr>
          <w:szCs w:val="24"/>
        </w:rPr>
      </w:pPr>
      <w:r>
        <w:rPr>
          <w:rFonts w:ascii="宋体" w:hAnsi="宋体" w:hint="eastAsia"/>
          <w:szCs w:val="24"/>
        </w:rPr>
        <w:t>采油（采气）工艺过程涉及的危险、有害因素主要包括：</w:t>
      </w:r>
    </w:p>
    <w:p w:rsidR="00F95F9B" w:rsidRDefault="00000000">
      <w:pPr>
        <w:adjustRightInd w:val="0"/>
        <w:snapToGrid w:val="0"/>
        <w:ind w:firstLine="470"/>
        <w:jc w:val="left"/>
      </w:pPr>
      <w:r>
        <w:rPr>
          <w:rFonts w:hint="eastAsia"/>
        </w:rPr>
        <w:t>1</w:t>
      </w:r>
      <w:r>
        <w:rPr>
          <w:rFonts w:hint="eastAsia"/>
        </w:rPr>
        <w:t>）井喷及井喷失控</w:t>
      </w:r>
    </w:p>
    <w:p w:rsidR="00F95F9B" w:rsidRDefault="00000000">
      <w:pPr>
        <w:adjustRightInd w:val="0"/>
        <w:snapToGrid w:val="0"/>
        <w:ind w:firstLine="470"/>
        <w:jc w:val="left"/>
      </w:pPr>
      <w:r>
        <w:rPr>
          <w:rFonts w:hint="eastAsia"/>
        </w:rPr>
        <w:lastRenderedPageBreak/>
        <w:t>由于地层能量充足，井口承受较高的压力，流程和井口憋刺导致溢油的风险更大，甚至可能导致井喷。</w:t>
      </w:r>
    </w:p>
    <w:p w:rsidR="00F95F9B" w:rsidRDefault="00000000">
      <w:pPr>
        <w:autoSpaceDE w:val="0"/>
        <w:adjustRightInd w:val="0"/>
        <w:snapToGrid w:val="0"/>
        <w:ind w:firstLine="470"/>
        <w:rPr>
          <w:kern w:val="0"/>
          <w:szCs w:val="24"/>
        </w:rPr>
      </w:pPr>
      <w:r>
        <w:rPr>
          <w:rFonts w:hint="eastAsia"/>
          <w:kern w:val="0"/>
          <w:szCs w:val="24"/>
        </w:rPr>
        <w:t>2</w:t>
      </w:r>
      <w:r>
        <w:rPr>
          <w:rFonts w:hint="eastAsia"/>
          <w:kern w:val="0"/>
          <w:szCs w:val="24"/>
        </w:rPr>
        <w:t>）</w:t>
      </w:r>
      <w:r>
        <w:rPr>
          <w:rFonts w:ascii="宋体" w:hAnsi="宋体"/>
          <w:kern w:val="0"/>
          <w:szCs w:val="24"/>
        </w:rPr>
        <w:t>火灾、爆炸</w:t>
      </w:r>
    </w:p>
    <w:p w:rsidR="00F95F9B" w:rsidRDefault="00000000">
      <w:pPr>
        <w:autoSpaceDE w:val="0"/>
        <w:adjustRightInd w:val="0"/>
        <w:snapToGrid w:val="0"/>
        <w:ind w:firstLine="470"/>
        <w:rPr>
          <w:szCs w:val="24"/>
        </w:rPr>
      </w:pPr>
      <w:r>
        <w:rPr>
          <w:rFonts w:ascii="宋体" w:hAnsi="宋体" w:hint="eastAsia"/>
          <w:szCs w:val="24"/>
        </w:rPr>
        <w:t>井喷、管线或设备泄漏，遇明火、火花或静电引起着火；切割或焊接油气管线和设备时，安全措施不当，引燃管道或设备内的油气，导致火灾、爆炸；电气设备损坏、导线短路引起火灾。</w:t>
      </w:r>
    </w:p>
    <w:p w:rsidR="00F95F9B" w:rsidRDefault="00000000">
      <w:pPr>
        <w:widowControl w:val="0"/>
        <w:autoSpaceDE w:val="0"/>
        <w:adjustRightInd w:val="0"/>
        <w:snapToGrid w:val="0"/>
        <w:ind w:firstLine="470"/>
        <w:rPr>
          <w:szCs w:val="24"/>
        </w:rPr>
      </w:pPr>
      <w:r>
        <w:rPr>
          <w:rFonts w:ascii="宋体" w:hAnsi="宋体" w:hint="eastAsia"/>
          <w:szCs w:val="24"/>
        </w:rPr>
        <w:t>井口装置的操作压力大于设计工作压力。如：采油树、采气树设计工作压力不合理等致使井口爆炸；井口装置腐蚀，壁厚减薄，或因氢脆使设备的实际承压能力远远低于设计工作压力等致使井口爆炸。</w:t>
      </w:r>
    </w:p>
    <w:p w:rsidR="00F95F9B" w:rsidRDefault="00000000">
      <w:pPr>
        <w:autoSpaceDE w:val="0"/>
        <w:adjustRightInd w:val="0"/>
        <w:snapToGrid w:val="0"/>
        <w:ind w:firstLine="470"/>
        <w:rPr>
          <w:szCs w:val="24"/>
        </w:rPr>
      </w:pPr>
      <w:r>
        <w:rPr>
          <w:rFonts w:hint="eastAsia"/>
          <w:szCs w:val="24"/>
        </w:rPr>
        <w:t>3</w:t>
      </w:r>
      <w:r>
        <w:rPr>
          <w:rFonts w:hint="eastAsia"/>
          <w:szCs w:val="24"/>
        </w:rPr>
        <w:t>）</w:t>
      </w:r>
      <w:r>
        <w:rPr>
          <w:rFonts w:ascii="宋体" w:hAnsi="宋体" w:hint="eastAsia"/>
          <w:szCs w:val="24"/>
        </w:rPr>
        <w:t>物体打击</w:t>
      </w:r>
    </w:p>
    <w:p w:rsidR="00F95F9B" w:rsidRDefault="00000000">
      <w:pPr>
        <w:autoSpaceDE w:val="0"/>
        <w:adjustRightInd w:val="0"/>
        <w:snapToGrid w:val="0"/>
        <w:ind w:firstLine="470"/>
        <w:rPr>
          <w:szCs w:val="24"/>
        </w:rPr>
      </w:pPr>
      <w:r>
        <w:rPr>
          <w:rFonts w:ascii="宋体" w:hAnsi="宋体" w:hint="eastAsia"/>
          <w:szCs w:val="24"/>
        </w:rPr>
        <w:t>在井口进行卸堵丝、上卸压力表、检查油嘴、开关闸门等作业时，若未进行放空，违章带压操作，身体正对闸阀或孔板阀顶部等，设备零部件飞出可导致操作人员遭受物体打击。</w:t>
      </w:r>
    </w:p>
    <w:p w:rsidR="00F95F9B" w:rsidRDefault="00000000">
      <w:pPr>
        <w:autoSpaceDE w:val="0"/>
        <w:adjustRightInd w:val="0"/>
        <w:snapToGrid w:val="0"/>
        <w:ind w:firstLine="470"/>
        <w:rPr>
          <w:szCs w:val="24"/>
        </w:rPr>
      </w:pPr>
      <w:r>
        <w:rPr>
          <w:rFonts w:ascii="宋体" w:hAnsi="宋体" w:hint="eastAsia"/>
          <w:szCs w:val="24"/>
        </w:rPr>
        <w:t>在对抽油机进行调整时，抽油机突然转动，游梁、平衡块翻倒滑脱，都可致人员伤亡。巡查抽油机时，意外接触转动的皮带轮、电动机轴、抽油机平衡块，也可导致人员伤亡。若抽油机安装时，基础不牢固，地基未夯实、基础倾斜或安装不当，有可能造成抽油机整体倾斜、倾覆甚至侧翻的事故。抽油机整体倾倒、部件掉落，检维修等作业过程中工具掉落等可致人员物体打击事故。</w:t>
      </w:r>
    </w:p>
    <w:p w:rsidR="00F95F9B" w:rsidRDefault="00000000">
      <w:pPr>
        <w:autoSpaceDE w:val="0"/>
        <w:adjustRightInd w:val="0"/>
        <w:snapToGrid w:val="0"/>
        <w:ind w:firstLine="470"/>
        <w:rPr>
          <w:szCs w:val="24"/>
        </w:rPr>
      </w:pPr>
      <w:r>
        <w:rPr>
          <w:rFonts w:hint="eastAsia"/>
          <w:szCs w:val="24"/>
        </w:rPr>
        <w:t>4</w:t>
      </w:r>
      <w:r>
        <w:rPr>
          <w:rFonts w:hint="eastAsia"/>
          <w:szCs w:val="24"/>
        </w:rPr>
        <w:t>）</w:t>
      </w:r>
      <w:r>
        <w:rPr>
          <w:rFonts w:ascii="宋体" w:hAnsi="宋体" w:hint="eastAsia"/>
          <w:szCs w:val="24"/>
        </w:rPr>
        <w:t>中毒和窒息</w:t>
      </w:r>
    </w:p>
    <w:p w:rsidR="00F95F9B" w:rsidRDefault="00000000">
      <w:pPr>
        <w:autoSpaceDE w:val="0"/>
        <w:adjustRightInd w:val="0"/>
        <w:snapToGrid w:val="0"/>
        <w:ind w:firstLine="470"/>
        <w:rPr>
          <w:szCs w:val="24"/>
        </w:rPr>
      </w:pPr>
      <w:r>
        <w:rPr>
          <w:rFonts w:ascii="宋体" w:hAnsi="宋体" w:hint="eastAsia"/>
          <w:szCs w:val="24"/>
        </w:rPr>
        <w:t>在生产运行过程中，毒性危害主要来源于原油、天然气以及其伴生气等。原油对人体的危害作用主要取决于原油的组成，原油成份大体上以烷烃、环烷烃和芳香烃为主。我国石油多属于石蜡基原油，以烷烃为主。原油及其蒸气具有一定的毒性，经口、鼻进入人体，超过一定量时，可导致急性或慢性中毒，人接触较高浓度的原油蒸气后有头痛、精神迟钝、呼吸急促等症状。当原油粘附在皮肤上，会刺激皮肤或引起不同程度的中毒症状。原油蒸气比空气重，易在低洼、封闭或通风不良的作业场所聚集，中毒和窒息危害多易发生在设备检修、巡检作业的过程中。</w:t>
      </w:r>
    </w:p>
    <w:p w:rsidR="00F95F9B" w:rsidRDefault="00000000">
      <w:pPr>
        <w:widowControl w:val="0"/>
        <w:autoSpaceDE w:val="0"/>
        <w:adjustRightInd w:val="0"/>
        <w:snapToGrid w:val="0"/>
        <w:ind w:firstLine="470"/>
        <w:rPr>
          <w:szCs w:val="24"/>
        </w:rPr>
      </w:pPr>
      <w:r>
        <w:rPr>
          <w:rFonts w:ascii="宋体" w:hAnsi="宋体" w:hint="eastAsia"/>
          <w:szCs w:val="24"/>
        </w:rPr>
        <w:t>在油气开采、收集、输送过程中，操作人员可能接触到天然气。天然气的基本组成为低分子烷烃，为低毒物质。接触高浓度天然气时，早期常伴有头昏、头痛、恶心、呕吐、无力、精力不集中、呼吸和心率加速、不能做精细动作等症状，严重时可出现缺氧窒息、昏迷、呼吸困难，以至脑水肿、肺水肿等，醒后可有运动性失语及偏瘫。长期接触一定浓</w:t>
      </w:r>
      <w:r>
        <w:rPr>
          <w:rFonts w:ascii="宋体" w:hAnsi="宋体" w:hint="eastAsia"/>
          <w:szCs w:val="24"/>
        </w:rPr>
        <w:lastRenderedPageBreak/>
        <w:t>度的天然气，可有头昏、头痛、失眼、记忆力减退、恶心、食欲不振、疲劳无力等症状。</w:t>
      </w:r>
    </w:p>
    <w:p w:rsidR="00F95F9B" w:rsidRDefault="00000000">
      <w:pPr>
        <w:autoSpaceDE w:val="0"/>
        <w:adjustRightInd w:val="0"/>
        <w:snapToGrid w:val="0"/>
        <w:ind w:firstLine="470"/>
        <w:rPr>
          <w:szCs w:val="24"/>
        </w:rPr>
      </w:pPr>
      <w:r>
        <w:rPr>
          <w:rFonts w:ascii="宋体" w:hAnsi="宋体" w:hint="eastAsia"/>
          <w:szCs w:val="24"/>
        </w:rPr>
        <w:t>若井口、管道、容器等处有大量油气泄漏或不合理排放，计量间通排风较差，空气中油气浓度过高，可能造成局部缺氧，有引发作业人员中毒和窒息的危险。含硫井场若未设置风向标、安全警示标志等，硫化氢气体泄漏后，人员向下风向撤离或撤离不及时，可导致中毒。</w:t>
      </w:r>
    </w:p>
    <w:p w:rsidR="00F95F9B" w:rsidRDefault="00000000">
      <w:pPr>
        <w:autoSpaceDE w:val="0"/>
        <w:adjustRightInd w:val="0"/>
        <w:snapToGrid w:val="0"/>
        <w:ind w:firstLine="470"/>
        <w:rPr>
          <w:szCs w:val="24"/>
        </w:rPr>
      </w:pPr>
      <w:r>
        <w:rPr>
          <w:rFonts w:hint="eastAsia"/>
          <w:szCs w:val="24"/>
        </w:rPr>
        <w:t>5</w:t>
      </w:r>
      <w:r>
        <w:rPr>
          <w:rFonts w:hint="eastAsia"/>
          <w:szCs w:val="24"/>
        </w:rPr>
        <w:t>）</w:t>
      </w:r>
      <w:r>
        <w:rPr>
          <w:rFonts w:ascii="宋体" w:hAnsi="宋体" w:hint="eastAsia"/>
          <w:szCs w:val="24"/>
        </w:rPr>
        <w:t>高处坠落</w:t>
      </w:r>
    </w:p>
    <w:p w:rsidR="00F95F9B" w:rsidRDefault="00000000">
      <w:pPr>
        <w:widowControl w:val="0"/>
        <w:autoSpaceDE w:val="0"/>
        <w:adjustRightInd w:val="0"/>
        <w:snapToGrid w:val="0"/>
        <w:ind w:firstLine="470"/>
        <w:rPr>
          <w:szCs w:val="24"/>
        </w:rPr>
      </w:pPr>
      <w:r>
        <w:rPr>
          <w:rFonts w:ascii="宋体" w:hAnsi="宋体" w:hint="eastAsia"/>
          <w:szCs w:val="24"/>
        </w:rPr>
        <w:t>工作人员在高处作业过程中可能发生高处坠落事故，如：抽油机、气井分离器、监控立杆的安装调整、检维修、保养作业过程中，人员攀爬上抽油机违章作业、精力不集中、操作不慎等都有发生高处坠落的危险。</w:t>
      </w:r>
    </w:p>
    <w:p w:rsidR="00F95F9B" w:rsidRDefault="00000000">
      <w:pPr>
        <w:autoSpaceDE w:val="0"/>
        <w:adjustRightInd w:val="0"/>
        <w:snapToGrid w:val="0"/>
        <w:ind w:firstLine="470"/>
        <w:rPr>
          <w:szCs w:val="24"/>
        </w:rPr>
      </w:pPr>
      <w:r>
        <w:rPr>
          <w:rFonts w:ascii="宋体" w:hAnsi="宋体" w:hint="eastAsia"/>
          <w:szCs w:val="24"/>
        </w:rPr>
        <w:t>检修井上杆式变压器及线路时，作业人员未采取防坠落措施，可能发生高处坠落事故。</w:t>
      </w:r>
    </w:p>
    <w:p w:rsidR="00F95F9B" w:rsidRDefault="00000000">
      <w:pPr>
        <w:autoSpaceDE w:val="0"/>
        <w:adjustRightInd w:val="0"/>
        <w:snapToGrid w:val="0"/>
        <w:ind w:firstLine="470"/>
        <w:rPr>
          <w:szCs w:val="24"/>
        </w:rPr>
      </w:pPr>
      <w:r>
        <w:rPr>
          <w:rFonts w:hint="eastAsia"/>
          <w:szCs w:val="24"/>
        </w:rPr>
        <w:t>6</w:t>
      </w:r>
      <w:r>
        <w:rPr>
          <w:rFonts w:hint="eastAsia"/>
          <w:szCs w:val="24"/>
        </w:rPr>
        <w:t>）</w:t>
      </w:r>
      <w:r>
        <w:rPr>
          <w:rFonts w:ascii="宋体" w:hAnsi="宋体" w:hint="eastAsia"/>
          <w:szCs w:val="24"/>
        </w:rPr>
        <w:t>机械伤害</w:t>
      </w:r>
    </w:p>
    <w:p w:rsidR="00F95F9B" w:rsidRDefault="00000000">
      <w:pPr>
        <w:autoSpaceDE w:val="0"/>
        <w:adjustRightInd w:val="0"/>
        <w:snapToGrid w:val="0"/>
        <w:ind w:firstLine="470"/>
        <w:rPr>
          <w:szCs w:val="24"/>
        </w:rPr>
      </w:pPr>
      <w:r>
        <w:rPr>
          <w:rFonts w:ascii="宋体" w:hAnsi="宋体" w:hint="eastAsia"/>
          <w:szCs w:val="24"/>
        </w:rPr>
        <w:t>抽油机电机动力由皮带传送到减速器的皮带轮上，在抽油机运行的状态下，井场职工巡回检查和外部其他人员靠近、接触旋转的皮带轮或皮带，易造成皮带挤手或皮带轮绞住工作服进而把人绞伤事故，女职工的长发绞入皮带轮会造成伤亡事故等。</w:t>
      </w:r>
    </w:p>
    <w:p w:rsidR="00F95F9B" w:rsidRDefault="00000000">
      <w:pPr>
        <w:autoSpaceDE w:val="0"/>
        <w:adjustRightInd w:val="0"/>
        <w:snapToGrid w:val="0"/>
        <w:ind w:firstLine="470"/>
        <w:rPr>
          <w:szCs w:val="24"/>
        </w:rPr>
      </w:pPr>
      <w:r>
        <w:rPr>
          <w:rFonts w:ascii="宋体" w:hAnsi="宋体" w:hint="eastAsia"/>
          <w:szCs w:val="24"/>
        </w:rPr>
        <w:t>因防护设施不到位，人员在抽油机危险范围内活动，抽油机平衡块对人员可能造成机械伤害。抽油机安装、保养、维修过程中，由于操作者需要近距离接触设备，也容易引发机械伤害事故。抽油机发生故障时，则容易出现皮带断伤人、抽油机倾翻伤人等机械伤害事故。</w:t>
      </w:r>
    </w:p>
    <w:p w:rsidR="00F95F9B" w:rsidRDefault="00000000">
      <w:pPr>
        <w:autoSpaceDE w:val="0"/>
        <w:adjustRightInd w:val="0"/>
        <w:snapToGrid w:val="0"/>
        <w:ind w:firstLine="470"/>
        <w:rPr>
          <w:szCs w:val="24"/>
        </w:rPr>
      </w:pPr>
      <w:r>
        <w:rPr>
          <w:rFonts w:hint="eastAsia"/>
          <w:szCs w:val="24"/>
        </w:rPr>
        <w:t>7</w:t>
      </w:r>
      <w:r>
        <w:rPr>
          <w:rFonts w:hint="eastAsia"/>
          <w:szCs w:val="24"/>
        </w:rPr>
        <w:t>）</w:t>
      </w:r>
      <w:r>
        <w:rPr>
          <w:rFonts w:ascii="宋体" w:hAnsi="宋体" w:hint="eastAsia"/>
          <w:szCs w:val="24"/>
        </w:rPr>
        <w:t>触电</w:t>
      </w:r>
    </w:p>
    <w:p w:rsidR="00F95F9B" w:rsidRDefault="00000000">
      <w:pPr>
        <w:autoSpaceDE w:val="0"/>
        <w:adjustRightInd w:val="0"/>
        <w:snapToGrid w:val="0"/>
        <w:ind w:firstLine="470"/>
        <w:rPr>
          <w:szCs w:val="24"/>
        </w:rPr>
      </w:pPr>
      <w:r>
        <w:rPr>
          <w:rFonts w:ascii="宋体" w:hAnsi="宋体" w:hint="eastAsia"/>
          <w:szCs w:val="24"/>
        </w:rPr>
        <w:t>井场的变压器、铁壳开关、电控制箱以及照明设备等电气设备，启动和停止抽油机时不戴绝缘手套，电气设备接地不良，维护保养电气设备时，带电作业且无人监护，可触电伤人。</w:t>
      </w:r>
    </w:p>
    <w:p w:rsidR="00F95F9B" w:rsidRDefault="00000000">
      <w:pPr>
        <w:autoSpaceDE w:val="0"/>
        <w:adjustRightInd w:val="0"/>
        <w:snapToGrid w:val="0"/>
        <w:ind w:firstLine="470"/>
      </w:pPr>
      <w:r>
        <w:rPr>
          <w:rFonts w:ascii="宋体" w:hAnsi="宋体" w:hint="eastAsia"/>
          <w:szCs w:val="24"/>
        </w:rPr>
        <w:t>抽油机电机内部绝缘损坏、绝缘能力降低和电机接线损坏等会使电机漏电产生危险；电缆的老化、轧伤、碰损等都会产生漏电危险，漏电电缆接触地面有造成跨步电压触电危险；控制箱内的电气线路老化、损坏和绝缘能力降低等原因，可能造成其外壳或操作的开关部分带电产生危险。采油井场职工和外部其他人员一旦接触带电部位，易发生电击和电伤事故，重则造成触电死亡。</w:t>
      </w:r>
    </w:p>
    <w:p w:rsidR="00F95F9B" w:rsidRDefault="00000000">
      <w:pPr>
        <w:autoSpaceDE w:val="0"/>
        <w:adjustRightInd w:val="0"/>
        <w:snapToGrid w:val="0"/>
        <w:ind w:leftChars="200" w:left="470" w:firstLineChars="0" w:firstLine="0"/>
      </w:pPr>
      <w:r>
        <w:rPr>
          <w:rFonts w:hint="eastAsia"/>
          <w:szCs w:val="24"/>
        </w:rPr>
        <w:t>8</w:t>
      </w:r>
      <w:r>
        <w:rPr>
          <w:rFonts w:hint="eastAsia"/>
          <w:szCs w:val="24"/>
        </w:rPr>
        <w:t>）容器爆炸</w:t>
      </w:r>
    </w:p>
    <w:p w:rsidR="00F95F9B" w:rsidRDefault="00000000">
      <w:pPr>
        <w:widowControl w:val="0"/>
        <w:autoSpaceDE w:val="0"/>
        <w:adjustRightInd w:val="0"/>
        <w:snapToGrid w:val="0"/>
        <w:ind w:firstLine="470"/>
        <w:rPr>
          <w:szCs w:val="24"/>
        </w:rPr>
      </w:pPr>
      <w:r>
        <w:rPr>
          <w:rFonts w:ascii="宋体" w:hAnsi="宋体" w:hint="eastAsia"/>
          <w:szCs w:val="24"/>
        </w:rPr>
        <w:t>鲁明公司油气井场设有分离器、多功能罐等承压设备，属于压力容器。这些设备设施在设计制造过程中未按照规范进行设计，如设备壳体所用材质强度未满足要求或者未考虑</w:t>
      </w:r>
      <w:r>
        <w:rPr>
          <w:rFonts w:ascii="宋体" w:hAnsi="宋体" w:hint="eastAsia"/>
          <w:szCs w:val="24"/>
        </w:rPr>
        <w:lastRenderedPageBreak/>
        <w:t>壳体开孔后的强度削弱因素等造成壳体承压能力不足，易引起超压容器爆炸事故。</w:t>
      </w:r>
    </w:p>
    <w:p w:rsidR="00F95F9B" w:rsidRDefault="00000000">
      <w:pPr>
        <w:widowControl w:val="0"/>
        <w:autoSpaceDE w:val="0"/>
        <w:adjustRightInd w:val="0"/>
        <w:snapToGrid w:val="0"/>
        <w:ind w:firstLine="470"/>
        <w:rPr>
          <w:szCs w:val="24"/>
        </w:rPr>
      </w:pPr>
      <w:r>
        <w:rPr>
          <w:rFonts w:ascii="宋体" w:hAnsi="宋体" w:hint="eastAsia"/>
          <w:szCs w:val="24"/>
        </w:rPr>
        <w:t>若安全阀失效、安全阀压力整定错误或失效，会造成容器超压时，不能及时泄压，导致超压爆炸事故；井场分离器、多功能罐等设备在使用过程中，未定期检测或者检测不合格，因腐蚀老化等原因导致设备超压引起容器爆炸事故。</w:t>
      </w:r>
    </w:p>
    <w:p w:rsidR="00F95F9B" w:rsidRDefault="00000000">
      <w:pPr>
        <w:pStyle w:val="3"/>
        <w:keepNext w:val="0"/>
        <w:keepLines w:val="0"/>
        <w:widowControl w:val="0"/>
        <w:adjustRightInd w:val="0"/>
        <w:snapToGrid w:val="0"/>
        <w:ind w:left="0"/>
      </w:pPr>
      <w:r>
        <w:rPr>
          <w:rFonts w:hint="eastAsia"/>
        </w:rPr>
        <w:t>注入（注聚和注水）工艺过程</w:t>
      </w:r>
    </w:p>
    <w:p w:rsidR="00F95F9B" w:rsidRDefault="00000000">
      <w:pPr>
        <w:autoSpaceDE w:val="0"/>
        <w:adjustRightInd w:val="0"/>
        <w:snapToGrid w:val="0"/>
        <w:ind w:firstLine="470"/>
        <w:rPr>
          <w:szCs w:val="24"/>
        </w:rPr>
      </w:pPr>
      <w:r>
        <w:rPr>
          <w:szCs w:val="24"/>
        </w:rPr>
        <w:t>1</w:t>
      </w:r>
      <w:r>
        <w:rPr>
          <w:rFonts w:hint="eastAsia"/>
          <w:szCs w:val="24"/>
        </w:rPr>
        <w:t>）</w:t>
      </w:r>
      <w:r>
        <w:rPr>
          <w:rFonts w:ascii="宋体" w:hAnsi="宋体"/>
          <w:szCs w:val="24"/>
        </w:rPr>
        <w:t>物体打击</w:t>
      </w:r>
    </w:p>
    <w:p w:rsidR="00F95F9B" w:rsidRDefault="00000000">
      <w:pPr>
        <w:autoSpaceDE w:val="0"/>
        <w:adjustRightInd w:val="0"/>
        <w:snapToGrid w:val="0"/>
        <w:ind w:firstLine="470"/>
        <w:rPr>
          <w:szCs w:val="24"/>
        </w:rPr>
      </w:pPr>
      <w:r>
        <w:rPr>
          <w:rFonts w:ascii="宋体" w:hAnsi="宋体"/>
          <w:szCs w:val="24"/>
        </w:rPr>
        <w:t>注水</w:t>
      </w:r>
      <w:r>
        <w:rPr>
          <w:rFonts w:ascii="宋体" w:hAnsi="宋体" w:hint="eastAsia"/>
          <w:szCs w:val="24"/>
        </w:rPr>
        <w:t>（聚）</w:t>
      </w:r>
      <w:r>
        <w:rPr>
          <w:rFonts w:ascii="宋体" w:hAnsi="宋体"/>
          <w:szCs w:val="24"/>
        </w:rPr>
        <w:t>泵启动时无人监护，</w:t>
      </w:r>
      <w:r>
        <w:rPr>
          <w:rFonts w:ascii="宋体" w:hAnsi="宋体" w:hint="eastAsia"/>
          <w:szCs w:val="24"/>
        </w:rPr>
        <w:t>非</w:t>
      </w:r>
      <w:r>
        <w:rPr>
          <w:rFonts w:ascii="宋体" w:hAnsi="宋体"/>
          <w:szCs w:val="24"/>
        </w:rPr>
        <w:t>操作人员</w:t>
      </w:r>
      <w:r>
        <w:rPr>
          <w:rFonts w:ascii="宋体" w:hAnsi="宋体" w:hint="eastAsia"/>
          <w:szCs w:val="24"/>
        </w:rPr>
        <w:t>距离</w:t>
      </w:r>
      <w:r>
        <w:rPr>
          <w:rFonts w:ascii="宋体" w:hAnsi="宋体"/>
          <w:szCs w:val="24"/>
        </w:rPr>
        <w:t>机泵近</w:t>
      </w:r>
      <w:r>
        <w:rPr>
          <w:rFonts w:ascii="宋体" w:hAnsi="宋体" w:hint="eastAsia"/>
          <w:szCs w:val="24"/>
        </w:rPr>
        <w:t>，</w:t>
      </w:r>
      <w:r>
        <w:rPr>
          <w:rFonts w:ascii="宋体" w:hAnsi="宋体"/>
          <w:szCs w:val="24"/>
        </w:rPr>
        <w:t>在通高压</w:t>
      </w:r>
      <w:r>
        <w:rPr>
          <w:rFonts w:ascii="宋体" w:hAnsi="宋体" w:hint="eastAsia"/>
          <w:szCs w:val="24"/>
        </w:rPr>
        <w:t>注入物质</w:t>
      </w:r>
      <w:r>
        <w:rPr>
          <w:rFonts w:ascii="宋体" w:hAnsi="宋体"/>
          <w:szCs w:val="24"/>
        </w:rPr>
        <w:t>运行后，没有全面检查，法兰、盘根及连头焊口发现刺、渗、漏</w:t>
      </w:r>
      <w:r>
        <w:rPr>
          <w:rFonts w:ascii="宋体" w:hAnsi="宋体" w:hint="eastAsia"/>
          <w:szCs w:val="24"/>
        </w:rPr>
        <w:t>等，易造成物体打击；</w:t>
      </w:r>
      <w:r>
        <w:rPr>
          <w:rFonts w:ascii="宋体" w:hAnsi="宋体"/>
          <w:szCs w:val="24"/>
        </w:rPr>
        <w:t>操作管道阀门时站位不对（一定要站在手轮或操作杆的侧面），丝杠手轮打出伤人。</w:t>
      </w:r>
    </w:p>
    <w:p w:rsidR="00F95F9B" w:rsidRDefault="00000000">
      <w:pPr>
        <w:widowControl w:val="0"/>
        <w:autoSpaceDE w:val="0"/>
        <w:adjustRightInd w:val="0"/>
        <w:snapToGrid w:val="0"/>
        <w:ind w:firstLine="470"/>
        <w:rPr>
          <w:szCs w:val="24"/>
        </w:rPr>
      </w:pPr>
      <w:r>
        <w:rPr>
          <w:rFonts w:ascii="宋体" w:hAnsi="宋体"/>
          <w:szCs w:val="24"/>
        </w:rPr>
        <w:t>倒错流程，注</w:t>
      </w:r>
      <w:r>
        <w:rPr>
          <w:rFonts w:ascii="宋体" w:hAnsi="宋体" w:hint="eastAsia"/>
          <w:szCs w:val="24"/>
        </w:rPr>
        <w:t>入</w:t>
      </w:r>
      <w:r>
        <w:rPr>
          <w:rFonts w:ascii="宋体" w:hAnsi="宋体"/>
          <w:szCs w:val="24"/>
        </w:rPr>
        <w:t>泵出口阀门闸板脱落，启泵时憋压，洗井、扫线流程未倒通造成憋压，注</w:t>
      </w:r>
      <w:r>
        <w:rPr>
          <w:rFonts w:ascii="宋体" w:hAnsi="宋体" w:hint="eastAsia"/>
          <w:szCs w:val="24"/>
        </w:rPr>
        <w:t>入</w:t>
      </w:r>
      <w:r>
        <w:rPr>
          <w:rFonts w:ascii="宋体" w:hAnsi="宋体"/>
          <w:szCs w:val="24"/>
        </w:rPr>
        <w:t>泵及流程憋压，闸门质量不合格，可能导致高压</w:t>
      </w:r>
      <w:r>
        <w:rPr>
          <w:rFonts w:ascii="宋体" w:hAnsi="宋体" w:hint="eastAsia"/>
          <w:szCs w:val="24"/>
        </w:rPr>
        <w:t>水、注聚剂</w:t>
      </w:r>
      <w:r>
        <w:rPr>
          <w:rFonts w:ascii="宋体" w:hAnsi="宋体"/>
          <w:szCs w:val="24"/>
        </w:rPr>
        <w:t>伤人。</w:t>
      </w:r>
    </w:p>
    <w:p w:rsidR="00F95F9B" w:rsidRDefault="00000000">
      <w:pPr>
        <w:autoSpaceDE w:val="0"/>
        <w:adjustRightInd w:val="0"/>
        <w:snapToGrid w:val="0"/>
        <w:ind w:firstLine="470"/>
        <w:rPr>
          <w:szCs w:val="24"/>
        </w:rPr>
      </w:pPr>
      <w:r>
        <w:rPr>
          <w:rFonts w:ascii="宋体" w:hAnsi="宋体"/>
          <w:szCs w:val="24"/>
        </w:rPr>
        <w:t>更换压力表时未放空或阀门失灵，装压力表前未检查丝扣，装好压力表后压力表打出伤人，开关关不严时采取加大压力杆负荷，造成阀件损坏等，都有物体打击的危险。</w:t>
      </w:r>
    </w:p>
    <w:p w:rsidR="00F95F9B" w:rsidRDefault="00000000">
      <w:pPr>
        <w:autoSpaceDE w:val="0"/>
        <w:adjustRightInd w:val="0"/>
        <w:snapToGrid w:val="0"/>
        <w:ind w:firstLine="470"/>
        <w:rPr>
          <w:szCs w:val="24"/>
        </w:rPr>
      </w:pPr>
      <w:r>
        <w:rPr>
          <w:rFonts w:ascii="宋体" w:hAnsi="宋体"/>
          <w:szCs w:val="24"/>
        </w:rPr>
        <w:t>注</w:t>
      </w:r>
      <w:r>
        <w:rPr>
          <w:rFonts w:ascii="宋体" w:hAnsi="宋体" w:hint="eastAsia"/>
          <w:szCs w:val="24"/>
        </w:rPr>
        <w:t>入</w:t>
      </w:r>
      <w:r>
        <w:rPr>
          <w:rFonts w:ascii="宋体" w:hAnsi="宋体"/>
          <w:szCs w:val="24"/>
        </w:rPr>
        <w:t>泵房内的泵长时间运行，其端面密封装置及阀门、法兰、管线连接处可能会被磨损而引起泄漏。泵房管线内水</w:t>
      </w:r>
      <w:r>
        <w:rPr>
          <w:rFonts w:ascii="宋体" w:hAnsi="宋体" w:hint="eastAsia"/>
          <w:szCs w:val="24"/>
        </w:rPr>
        <w:t>、注聚剂</w:t>
      </w:r>
      <w:r>
        <w:rPr>
          <w:rFonts w:ascii="宋体" w:hAnsi="宋体"/>
          <w:szCs w:val="24"/>
        </w:rPr>
        <w:t>的压力很大。若在泵运行中，阀门、管线、法兰、丝扣等发生异常，导致设备刺漏或阀门打出，则有可能有打击人体，造成人员伤亡事故。</w:t>
      </w:r>
    </w:p>
    <w:p w:rsidR="00F95F9B" w:rsidRDefault="00000000">
      <w:pPr>
        <w:autoSpaceDE w:val="0"/>
        <w:adjustRightInd w:val="0"/>
        <w:snapToGrid w:val="0"/>
        <w:ind w:firstLine="470"/>
        <w:rPr>
          <w:szCs w:val="24"/>
        </w:rPr>
      </w:pPr>
      <w:r>
        <w:rPr>
          <w:rFonts w:ascii="宋体" w:hAnsi="宋体"/>
          <w:szCs w:val="24"/>
        </w:rPr>
        <w:t>配水间是接受注水站的来水，经控制、计量分配到所辖注水井的操作间。配水间内的配水阀组、流量计均要承受很大的压力。若存在设备选材、试压、检查、安装、固定不当，或操作人员操作维护有误，则会造成阀门、闸阀刺漏，设备阀门等打出对周围人员造成冲击，打击人员会造成人员伤亡事故，严重时还会损毁房屋设备。</w:t>
      </w:r>
    </w:p>
    <w:p w:rsidR="00F95F9B" w:rsidRDefault="00000000">
      <w:pPr>
        <w:autoSpaceDE w:val="0"/>
        <w:adjustRightInd w:val="0"/>
        <w:snapToGrid w:val="0"/>
        <w:ind w:firstLine="470"/>
        <w:rPr>
          <w:szCs w:val="24"/>
        </w:rPr>
      </w:pPr>
      <w:r>
        <w:rPr>
          <w:rFonts w:ascii="宋体" w:hAnsi="宋体"/>
          <w:szCs w:val="24"/>
        </w:rPr>
        <w:t>注</w:t>
      </w:r>
      <w:r>
        <w:rPr>
          <w:rFonts w:ascii="宋体" w:hAnsi="宋体" w:hint="eastAsia"/>
          <w:szCs w:val="24"/>
        </w:rPr>
        <w:t>入</w:t>
      </w:r>
      <w:r>
        <w:rPr>
          <w:rFonts w:ascii="宋体" w:hAnsi="宋体"/>
          <w:szCs w:val="24"/>
        </w:rPr>
        <w:t>管网因腐蚀、老化等原因，承压能力下降，可能发生穿孔，造成高压流体对周围人员的物体打击；管网附件本身存在质量缺陷、安装质量差或维护保养不到位，可能飞出，造成对周围人员的物体打击。</w:t>
      </w:r>
    </w:p>
    <w:p w:rsidR="00F95F9B" w:rsidRDefault="00000000">
      <w:pPr>
        <w:autoSpaceDE w:val="0"/>
        <w:adjustRightInd w:val="0"/>
        <w:snapToGrid w:val="0"/>
        <w:ind w:firstLine="470"/>
        <w:rPr>
          <w:szCs w:val="24"/>
        </w:rPr>
      </w:pPr>
      <w:r>
        <w:rPr>
          <w:szCs w:val="24"/>
        </w:rPr>
        <w:t>2</w:t>
      </w:r>
      <w:r>
        <w:rPr>
          <w:rFonts w:hint="eastAsia"/>
          <w:szCs w:val="24"/>
        </w:rPr>
        <w:t>）</w:t>
      </w:r>
      <w:r>
        <w:rPr>
          <w:rFonts w:ascii="宋体" w:hAnsi="宋体"/>
          <w:szCs w:val="24"/>
        </w:rPr>
        <w:t>机械伤害</w:t>
      </w:r>
    </w:p>
    <w:p w:rsidR="00F95F9B" w:rsidRDefault="00000000">
      <w:pPr>
        <w:autoSpaceDE w:val="0"/>
        <w:adjustRightInd w:val="0"/>
        <w:snapToGrid w:val="0"/>
        <w:ind w:firstLine="470"/>
        <w:rPr>
          <w:szCs w:val="24"/>
        </w:rPr>
      </w:pPr>
      <w:r>
        <w:rPr>
          <w:rFonts w:ascii="宋体" w:hAnsi="宋体"/>
          <w:szCs w:val="24"/>
        </w:rPr>
        <w:t>注水泵、</w:t>
      </w:r>
      <w:r>
        <w:rPr>
          <w:rFonts w:ascii="宋体" w:hAnsi="宋体" w:hint="eastAsia"/>
          <w:szCs w:val="24"/>
        </w:rPr>
        <w:t>注聚</w:t>
      </w:r>
      <w:r>
        <w:rPr>
          <w:rFonts w:ascii="宋体" w:hAnsi="宋体"/>
          <w:szCs w:val="24"/>
        </w:rPr>
        <w:t>泵、提升泵以及电机等，设备运行与维修时由于人员操作不当或意外，没有按规定穿戴劳保用品，设备未加防护设施或防护设施损坏，人员触及其运动部位，可能会发生机械伤害。注</w:t>
      </w:r>
      <w:r>
        <w:rPr>
          <w:rFonts w:ascii="宋体" w:hAnsi="宋体" w:hint="eastAsia"/>
          <w:szCs w:val="24"/>
        </w:rPr>
        <w:t>入</w:t>
      </w:r>
      <w:r>
        <w:rPr>
          <w:rFonts w:ascii="宋体" w:hAnsi="宋体"/>
          <w:szCs w:val="24"/>
        </w:rPr>
        <w:t>设备运转部位护罩损坏，更换大轴时重物砸伤人，更换皮带时挤伤手，卸螺丝时加力杠打滑伤人，更换凡尔时未放完压力凡尔打出伤人，卸针型阀时压力未放净阀芯打出伤人。</w:t>
      </w:r>
    </w:p>
    <w:p w:rsidR="00F95F9B" w:rsidRDefault="00000000">
      <w:pPr>
        <w:autoSpaceDE w:val="0"/>
        <w:adjustRightInd w:val="0"/>
        <w:snapToGrid w:val="0"/>
        <w:ind w:firstLine="470"/>
        <w:rPr>
          <w:szCs w:val="24"/>
          <w:lang w:val="es-MX"/>
        </w:rPr>
      </w:pPr>
      <w:r>
        <w:rPr>
          <w:rFonts w:hint="eastAsia"/>
          <w:szCs w:val="24"/>
        </w:rPr>
        <w:t>3</w:t>
      </w:r>
      <w:r>
        <w:rPr>
          <w:rFonts w:hint="eastAsia"/>
          <w:szCs w:val="24"/>
        </w:rPr>
        <w:t>）</w:t>
      </w:r>
      <w:r>
        <w:rPr>
          <w:rFonts w:ascii="宋体" w:hAnsi="宋体"/>
          <w:szCs w:val="24"/>
        </w:rPr>
        <w:t>高处坠落</w:t>
      </w:r>
    </w:p>
    <w:p w:rsidR="00F95F9B" w:rsidRDefault="00000000">
      <w:pPr>
        <w:autoSpaceDE w:val="0"/>
        <w:adjustRightInd w:val="0"/>
        <w:snapToGrid w:val="0"/>
        <w:ind w:firstLine="470"/>
        <w:rPr>
          <w:szCs w:val="24"/>
        </w:rPr>
      </w:pPr>
      <w:r>
        <w:rPr>
          <w:rFonts w:ascii="宋体" w:hAnsi="宋体"/>
          <w:szCs w:val="24"/>
        </w:rPr>
        <w:lastRenderedPageBreak/>
        <w:t>在注水</w:t>
      </w:r>
      <w:r>
        <w:rPr>
          <w:rFonts w:ascii="宋体" w:hAnsi="宋体" w:hint="eastAsia"/>
          <w:szCs w:val="24"/>
        </w:rPr>
        <w:t>（聚）</w:t>
      </w:r>
      <w:r>
        <w:rPr>
          <w:rFonts w:ascii="宋体" w:hAnsi="宋体"/>
          <w:szCs w:val="24"/>
        </w:rPr>
        <w:t>罐</w:t>
      </w:r>
      <w:r>
        <w:rPr>
          <w:rFonts w:ascii="宋体" w:hAnsi="宋体" w:hint="eastAsia"/>
          <w:szCs w:val="24"/>
        </w:rPr>
        <w:t>、采出水罐</w:t>
      </w:r>
      <w:r>
        <w:rPr>
          <w:rFonts w:ascii="宋体" w:hAnsi="宋体"/>
          <w:szCs w:val="24"/>
        </w:rPr>
        <w:t>等高处检查或检修时，不系安全带，或防护措施不当，在大风、雨雪天时，工作人员如果疏忽大意，就有可能从高处坠落，发生人身伤害。在对泵房内起吊设备进行检查时，若防护措施不到位，操作人员安全意识淡薄，易造成高处坠落事故。操作人员在上下吊车时，若护栏松脱，注意力不集中，可能会造成高处坠落事故。</w:t>
      </w:r>
    </w:p>
    <w:p w:rsidR="00F95F9B" w:rsidRDefault="00000000">
      <w:pPr>
        <w:autoSpaceDE w:val="0"/>
        <w:adjustRightInd w:val="0"/>
        <w:snapToGrid w:val="0"/>
        <w:ind w:firstLine="470"/>
        <w:rPr>
          <w:szCs w:val="24"/>
        </w:rPr>
      </w:pPr>
      <w:r>
        <w:rPr>
          <w:szCs w:val="24"/>
        </w:rPr>
        <w:t>4</w:t>
      </w:r>
      <w:r>
        <w:rPr>
          <w:rFonts w:hint="eastAsia"/>
          <w:szCs w:val="24"/>
        </w:rPr>
        <w:t>）</w:t>
      </w:r>
      <w:r>
        <w:rPr>
          <w:rFonts w:ascii="宋体" w:hAnsi="宋体"/>
          <w:szCs w:val="24"/>
        </w:rPr>
        <w:t>淹溺</w:t>
      </w:r>
    </w:p>
    <w:p w:rsidR="00F95F9B" w:rsidRDefault="00000000">
      <w:pPr>
        <w:autoSpaceDE w:val="0"/>
        <w:adjustRightInd w:val="0"/>
        <w:snapToGrid w:val="0"/>
        <w:ind w:firstLine="470"/>
        <w:rPr>
          <w:szCs w:val="24"/>
        </w:rPr>
      </w:pPr>
      <w:r>
        <w:rPr>
          <w:rFonts w:ascii="宋体" w:hAnsi="宋体"/>
          <w:szCs w:val="24"/>
        </w:rPr>
        <w:t>注水管线若发生刺漏，巨大压力的水会冲击地层，在地面形成暗坑或明坑。若工作人员发现不及时，未能及时采取有效的防护措施，就有可能发生过往人员淹溺事故。</w:t>
      </w:r>
    </w:p>
    <w:p w:rsidR="00F95F9B" w:rsidRDefault="00000000">
      <w:pPr>
        <w:autoSpaceDE w:val="0"/>
        <w:adjustRightInd w:val="0"/>
        <w:snapToGrid w:val="0"/>
        <w:ind w:firstLine="470"/>
        <w:rPr>
          <w:szCs w:val="24"/>
        </w:rPr>
      </w:pPr>
      <w:r>
        <w:rPr>
          <w:szCs w:val="24"/>
        </w:rPr>
        <w:t>5</w:t>
      </w:r>
      <w:r>
        <w:rPr>
          <w:rFonts w:hint="eastAsia"/>
          <w:szCs w:val="24"/>
        </w:rPr>
        <w:t>）</w:t>
      </w:r>
      <w:r>
        <w:rPr>
          <w:rFonts w:ascii="宋体" w:hAnsi="宋体"/>
          <w:szCs w:val="24"/>
        </w:rPr>
        <w:t>触电</w:t>
      </w:r>
    </w:p>
    <w:p w:rsidR="00F95F9B" w:rsidRDefault="00000000">
      <w:pPr>
        <w:widowControl w:val="0"/>
        <w:autoSpaceDE w:val="0"/>
        <w:adjustRightInd w:val="0"/>
        <w:snapToGrid w:val="0"/>
        <w:ind w:firstLine="470"/>
        <w:rPr>
          <w:szCs w:val="24"/>
        </w:rPr>
      </w:pPr>
      <w:r>
        <w:rPr>
          <w:rFonts w:ascii="宋体" w:hAnsi="宋体"/>
          <w:szCs w:val="24"/>
        </w:rPr>
        <w:t>注水</w:t>
      </w:r>
      <w:r>
        <w:rPr>
          <w:rFonts w:ascii="宋体" w:hAnsi="宋体" w:hint="eastAsia"/>
          <w:szCs w:val="24"/>
        </w:rPr>
        <w:t>（聚）</w:t>
      </w:r>
      <w:r>
        <w:rPr>
          <w:rFonts w:ascii="宋体" w:hAnsi="宋体"/>
          <w:szCs w:val="24"/>
        </w:rPr>
        <w:t>泵房内存在柱塞泵等电气设备。在供电线路和用电设备中，如果防触电保护失效，工作人员由于疏忽或违章操作，碰到了带电导体，可能会产生触电伤亡事故。</w:t>
      </w:r>
    </w:p>
    <w:p w:rsidR="00F95F9B" w:rsidRDefault="00000000">
      <w:pPr>
        <w:widowControl w:val="0"/>
        <w:autoSpaceDE w:val="0"/>
        <w:adjustRightInd w:val="0"/>
        <w:snapToGrid w:val="0"/>
        <w:ind w:firstLine="470"/>
        <w:rPr>
          <w:szCs w:val="24"/>
        </w:rPr>
      </w:pPr>
      <w:r>
        <w:rPr>
          <w:rFonts w:hint="eastAsia"/>
          <w:szCs w:val="24"/>
        </w:rPr>
        <w:t>6</w:t>
      </w:r>
      <w:r>
        <w:rPr>
          <w:rFonts w:hint="eastAsia"/>
          <w:szCs w:val="24"/>
        </w:rPr>
        <w:t>）</w:t>
      </w:r>
      <w:r>
        <w:rPr>
          <w:rFonts w:ascii="宋体" w:hAnsi="宋体"/>
          <w:szCs w:val="24"/>
        </w:rPr>
        <w:t>火灾</w:t>
      </w:r>
    </w:p>
    <w:p w:rsidR="00F95F9B" w:rsidRDefault="00000000">
      <w:pPr>
        <w:widowControl w:val="0"/>
        <w:autoSpaceDE w:val="0"/>
        <w:adjustRightInd w:val="0"/>
        <w:snapToGrid w:val="0"/>
        <w:ind w:firstLine="470"/>
        <w:rPr>
          <w:szCs w:val="24"/>
        </w:rPr>
      </w:pPr>
      <w:r>
        <w:rPr>
          <w:rFonts w:ascii="宋体" w:hAnsi="宋体"/>
          <w:szCs w:val="24"/>
        </w:rPr>
        <w:t>由于聚丙烯酰胺</w:t>
      </w:r>
      <w:r>
        <w:rPr>
          <w:rFonts w:ascii="宋体" w:hAnsi="宋体" w:hint="eastAsia"/>
          <w:szCs w:val="24"/>
        </w:rPr>
        <w:t>具有可燃性</w:t>
      </w:r>
      <w:r>
        <w:rPr>
          <w:rFonts w:ascii="宋体" w:hAnsi="宋体"/>
          <w:szCs w:val="24"/>
        </w:rPr>
        <w:t>，遇明火、高温能引起燃烧。生产过程中使用的油料</w:t>
      </w:r>
      <w:r>
        <w:rPr>
          <w:rFonts w:ascii="宋体" w:hAnsi="宋体" w:hint="eastAsia"/>
          <w:szCs w:val="24"/>
        </w:rPr>
        <w:t>（如机油）</w:t>
      </w:r>
      <w:r>
        <w:rPr>
          <w:rFonts w:ascii="宋体" w:hAnsi="宋体"/>
          <w:szCs w:val="24"/>
        </w:rPr>
        <w:t>也会发生火灾事故。</w:t>
      </w:r>
    </w:p>
    <w:p w:rsidR="00F95F9B" w:rsidRDefault="00000000">
      <w:pPr>
        <w:widowControl w:val="0"/>
        <w:autoSpaceDE w:val="0"/>
        <w:adjustRightInd w:val="0"/>
        <w:snapToGrid w:val="0"/>
        <w:ind w:firstLine="470"/>
        <w:rPr>
          <w:szCs w:val="24"/>
        </w:rPr>
      </w:pPr>
      <w:r>
        <w:rPr>
          <w:rFonts w:hint="eastAsia"/>
          <w:szCs w:val="24"/>
        </w:rPr>
        <w:t>7</w:t>
      </w:r>
      <w:r>
        <w:rPr>
          <w:rFonts w:hint="eastAsia"/>
          <w:szCs w:val="24"/>
        </w:rPr>
        <w:t>）</w:t>
      </w:r>
      <w:r>
        <w:rPr>
          <w:rFonts w:ascii="宋体" w:hAnsi="宋体"/>
          <w:szCs w:val="24"/>
        </w:rPr>
        <w:t>中毒和窒息</w:t>
      </w:r>
    </w:p>
    <w:p w:rsidR="00F95F9B" w:rsidRDefault="00000000">
      <w:pPr>
        <w:widowControl w:val="0"/>
        <w:autoSpaceDE w:val="0"/>
        <w:adjustRightInd w:val="0"/>
        <w:snapToGrid w:val="0"/>
        <w:ind w:firstLine="470"/>
        <w:rPr>
          <w:rFonts w:ascii="宋体" w:hAnsi="宋体"/>
          <w:szCs w:val="24"/>
        </w:rPr>
      </w:pPr>
      <w:r>
        <w:rPr>
          <w:rFonts w:ascii="宋体" w:hAnsi="宋体"/>
          <w:szCs w:val="24"/>
        </w:rPr>
        <w:t>聚丙烯酰胺在温度超过</w:t>
      </w:r>
      <w:r>
        <w:rPr>
          <w:szCs w:val="24"/>
        </w:rPr>
        <w:t>120℃</w:t>
      </w:r>
      <w:r>
        <w:rPr>
          <w:rFonts w:ascii="宋体" w:hAnsi="宋体"/>
          <w:szCs w:val="24"/>
        </w:rPr>
        <w:t>时易分解而并且释放出有毒单体丙烯酰胺，对操作人员有一定的毒性危害，若操作间内通风较差，有可能引起中毒事故的发生。</w:t>
      </w:r>
    </w:p>
    <w:p w:rsidR="00F95F9B" w:rsidRDefault="00000000">
      <w:pPr>
        <w:widowControl w:val="0"/>
        <w:autoSpaceDE w:val="0"/>
        <w:adjustRightInd w:val="0"/>
        <w:snapToGrid w:val="0"/>
        <w:ind w:firstLine="470"/>
        <w:rPr>
          <w:szCs w:val="24"/>
        </w:rPr>
      </w:pPr>
      <w:r>
        <w:rPr>
          <w:rFonts w:hint="eastAsia"/>
          <w:szCs w:val="24"/>
        </w:rPr>
        <w:t>8</w:t>
      </w:r>
      <w:r>
        <w:rPr>
          <w:rFonts w:hint="eastAsia"/>
          <w:szCs w:val="24"/>
        </w:rPr>
        <w:t>）</w:t>
      </w:r>
      <w:r>
        <w:rPr>
          <w:rFonts w:ascii="宋体" w:hAnsi="宋体"/>
          <w:szCs w:val="24"/>
        </w:rPr>
        <w:t>噪声</w:t>
      </w:r>
    </w:p>
    <w:p w:rsidR="00F95F9B" w:rsidRDefault="00000000">
      <w:pPr>
        <w:widowControl w:val="0"/>
        <w:autoSpaceDE w:val="0"/>
        <w:adjustRightInd w:val="0"/>
        <w:snapToGrid w:val="0"/>
        <w:ind w:firstLine="470"/>
        <w:rPr>
          <w:rFonts w:ascii="宋体" w:hAnsi="宋体"/>
          <w:szCs w:val="24"/>
        </w:rPr>
      </w:pPr>
      <w:r>
        <w:rPr>
          <w:rFonts w:ascii="宋体" w:hAnsi="宋体"/>
          <w:szCs w:val="24"/>
        </w:rPr>
        <w:t>各类泵、电机等动力设备会产生噪声危害，且产生的噪声多为工作性连续噪声。如果无有效防护措施，在高噪声环境中长时间工作，就会产生恶心、头晕、呕吐、听力损伤等症状，严重者导致听力下降甚至失聪。</w:t>
      </w:r>
    </w:p>
    <w:p w:rsidR="00F95F9B" w:rsidRDefault="00000000">
      <w:pPr>
        <w:widowControl w:val="0"/>
        <w:autoSpaceDE w:val="0"/>
        <w:adjustRightInd w:val="0"/>
        <w:snapToGrid w:val="0"/>
        <w:ind w:leftChars="200" w:left="470" w:firstLineChars="0" w:firstLine="0"/>
        <w:rPr>
          <w:szCs w:val="24"/>
        </w:rPr>
      </w:pPr>
      <w:r>
        <w:rPr>
          <w:rFonts w:hint="eastAsia"/>
          <w:szCs w:val="24"/>
        </w:rPr>
        <w:t>9</w:t>
      </w:r>
      <w:r>
        <w:rPr>
          <w:rFonts w:hint="eastAsia"/>
          <w:szCs w:val="24"/>
        </w:rPr>
        <w:t>）其他</w:t>
      </w:r>
    </w:p>
    <w:p w:rsidR="00F95F9B" w:rsidRDefault="00000000">
      <w:pPr>
        <w:widowControl w:val="0"/>
        <w:autoSpaceDE w:val="0"/>
        <w:adjustRightInd w:val="0"/>
        <w:snapToGrid w:val="0"/>
        <w:ind w:firstLine="470"/>
        <w:rPr>
          <w:rFonts w:ascii="宋体" w:hAnsi="宋体"/>
          <w:szCs w:val="24"/>
        </w:rPr>
      </w:pPr>
      <w:r>
        <w:rPr>
          <w:rFonts w:ascii="宋体" w:hAnsi="宋体" w:hint="eastAsia"/>
          <w:szCs w:val="24"/>
        </w:rPr>
        <w:t>分层注水是根据油田开采区域油层构造和油质物性及井下压力温度等特点，按照开采要求划分实施注水层，通过井下封隔器实现注水井分隔，形成多个独立的注水层段，配水器在每个层段都有配置，因每层都被封隔器分隔为独立的层段，注水、测试互不干扰，有效解决了层间矛盾，根据层间吸水力能力差异，进行合理配注，对吸水力强的层段减量注水，对吸水力弱层段加强注水，科学合理调节层间注水量，实现驱油产量的提高。若封隔器故障，可导致分层注水不合理，油层压力失控，严重时可导致井涌，甚至井喷事故发生。</w:t>
      </w:r>
    </w:p>
    <w:p w:rsidR="00F95F9B" w:rsidRDefault="00000000">
      <w:pPr>
        <w:widowControl w:val="0"/>
        <w:adjustRightInd w:val="0"/>
        <w:snapToGrid w:val="0"/>
        <w:ind w:firstLine="470"/>
        <w:rPr>
          <w:rFonts w:ascii="宋体" w:hAnsi="宋体"/>
          <w:sz w:val="28"/>
          <w:szCs w:val="28"/>
          <w:shd w:val="clear" w:color="auto" w:fill="FFFFFF"/>
        </w:rPr>
      </w:pPr>
      <w:r>
        <w:rPr>
          <w:rFonts w:ascii="宋体" w:hAnsi="宋体" w:hint="eastAsia"/>
          <w:szCs w:val="24"/>
        </w:rPr>
        <w:t>油层解堵的技术主要有活性酸解堵技术、缓速酸解堵技术、分层解堵技术、深部解堵技术等。由此可知：油层解堵需要使用活性酸等，一旦泄漏并喷溅至人身无防护处，可致化学性灼伤。如果所用的酸强度大，反应快，控制不好规模和用量可造成骨架砂破坏，造</w:t>
      </w:r>
      <w:r>
        <w:rPr>
          <w:rFonts w:ascii="宋体" w:hAnsi="宋体" w:hint="eastAsia"/>
          <w:szCs w:val="24"/>
        </w:rPr>
        <w:lastRenderedPageBreak/>
        <w:t>成新的堵塞或者油井不出油。</w:t>
      </w:r>
    </w:p>
    <w:p w:rsidR="00F95F9B" w:rsidRDefault="00000000">
      <w:pPr>
        <w:pStyle w:val="3"/>
        <w:keepNext w:val="0"/>
        <w:keepLines w:val="0"/>
        <w:widowControl w:val="0"/>
        <w:adjustRightInd w:val="0"/>
        <w:snapToGrid w:val="0"/>
        <w:ind w:left="0"/>
      </w:pPr>
      <w:r>
        <w:rPr>
          <w:rFonts w:hint="eastAsia"/>
        </w:rPr>
        <w:t>集输工艺过程</w:t>
      </w:r>
    </w:p>
    <w:p w:rsidR="00F95F9B" w:rsidRDefault="00000000">
      <w:pPr>
        <w:adjustRightInd w:val="0"/>
        <w:snapToGrid w:val="0"/>
        <w:ind w:firstLine="470"/>
        <w:rPr>
          <w:szCs w:val="24"/>
        </w:rPr>
      </w:pPr>
      <w:r>
        <w:rPr>
          <w:rFonts w:ascii="宋体" w:hAnsi="宋体"/>
          <w:szCs w:val="24"/>
        </w:rPr>
        <w:t>该工艺过程中主要危险、有害因素有火灾</w:t>
      </w:r>
      <w:r>
        <w:rPr>
          <w:rFonts w:ascii="宋体" w:hAnsi="宋体" w:hint="eastAsia"/>
          <w:szCs w:val="24"/>
        </w:rPr>
        <w:t>、</w:t>
      </w:r>
      <w:r>
        <w:rPr>
          <w:rFonts w:ascii="宋体" w:hAnsi="宋体"/>
          <w:szCs w:val="24"/>
        </w:rPr>
        <w:t>爆炸、容器爆炸、中毒和窒息、物体打击、机械伤害、触电、高处坠落</w:t>
      </w:r>
      <w:r>
        <w:rPr>
          <w:rFonts w:ascii="宋体" w:hAnsi="宋体" w:hint="eastAsia"/>
          <w:szCs w:val="24"/>
        </w:rPr>
        <w:t>、车辆伤害</w:t>
      </w:r>
      <w:r>
        <w:rPr>
          <w:rFonts w:ascii="宋体" w:hAnsi="宋体"/>
          <w:szCs w:val="24"/>
        </w:rPr>
        <w:t>等。</w:t>
      </w:r>
    </w:p>
    <w:p w:rsidR="00F95F9B" w:rsidRDefault="00000000">
      <w:pPr>
        <w:autoSpaceDE w:val="0"/>
        <w:adjustRightInd w:val="0"/>
        <w:snapToGrid w:val="0"/>
        <w:ind w:firstLine="470"/>
        <w:rPr>
          <w:szCs w:val="24"/>
        </w:rPr>
      </w:pPr>
      <w:r>
        <w:rPr>
          <w:rFonts w:hint="eastAsia"/>
          <w:szCs w:val="24"/>
        </w:rPr>
        <w:t>1</w:t>
      </w:r>
      <w:r>
        <w:rPr>
          <w:rFonts w:hint="eastAsia"/>
          <w:szCs w:val="24"/>
        </w:rPr>
        <w:t>）</w:t>
      </w:r>
      <w:r>
        <w:rPr>
          <w:rFonts w:ascii="宋体" w:hAnsi="宋体" w:hint="eastAsia"/>
          <w:szCs w:val="24"/>
        </w:rPr>
        <w:t>火灾、爆炸</w:t>
      </w:r>
    </w:p>
    <w:p w:rsidR="00F95F9B" w:rsidRDefault="00000000">
      <w:pPr>
        <w:autoSpaceDE w:val="0"/>
        <w:adjustRightInd w:val="0"/>
        <w:snapToGrid w:val="0"/>
        <w:ind w:firstLine="470"/>
        <w:rPr>
          <w:szCs w:val="24"/>
        </w:rPr>
      </w:pPr>
      <w:r>
        <w:rPr>
          <w:rFonts w:ascii="宋体" w:hAnsi="宋体" w:hint="eastAsia"/>
          <w:szCs w:val="24"/>
        </w:rPr>
        <w:t>发生火灾、爆炸是油气集输过程原油、天然气等发生泄漏引起的，原油和天然气均具有易燃、易爆性，泄漏后遇点火源，可能发生火灾事故，若泄漏的原油蒸气、天然气与空气混合后，达到爆炸极限，形成爆炸性混合气体，遇点火源可能发生爆炸事故。</w:t>
      </w:r>
    </w:p>
    <w:p w:rsidR="00F95F9B" w:rsidRDefault="00000000">
      <w:pPr>
        <w:widowControl w:val="0"/>
        <w:autoSpaceDE w:val="0"/>
        <w:adjustRightInd w:val="0"/>
        <w:snapToGrid w:val="0"/>
        <w:ind w:firstLine="470"/>
        <w:rPr>
          <w:szCs w:val="24"/>
        </w:rPr>
      </w:pPr>
      <w:r>
        <w:rPr>
          <w:rFonts w:ascii="宋体" w:hAnsi="宋体" w:hint="eastAsia"/>
          <w:szCs w:val="24"/>
        </w:rPr>
        <w:t>在异常情况下，设备或管道、阀门、法兰等连接处腐蚀穿孔、破裂泄漏或操作失误将导致油气释放，切割或焊接油气管道或设备时安全措施不当、电气设备损坏或导线短路遇明火、火花或静电可能引起火灾、爆炸事故。</w:t>
      </w:r>
    </w:p>
    <w:p w:rsidR="00F95F9B" w:rsidRDefault="00000000">
      <w:pPr>
        <w:autoSpaceDE w:val="0"/>
        <w:adjustRightInd w:val="0"/>
        <w:snapToGrid w:val="0"/>
        <w:ind w:firstLine="470"/>
        <w:rPr>
          <w:szCs w:val="24"/>
        </w:rPr>
      </w:pPr>
      <w:r>
        <w:rPr>
          <w:rFonts w:ascii="宋体" w:hAnsi="宋体" w:hint="eastAsia"/>
          <w:szCs w:val="24"/>
        </w:rPr>
        <w:t>油气水中的硫化物可与铁反应生产硫化亚铁，硫化亚铁暴露与空气中可发生自燃，引起火灾、爆炸。</w:t>
      </w:r>
    </w:p>
    <w:p w:rsidR="00F95F9B" w:rsidRDefault="00000000">
      <w:pPr>
        <w:autoSpaceDE w:val="0"/>
        <w:adjustRightInd w:val="0"/>
        <w:snapToGrid w:val="0"/>
        <w:ind w:firstLine="470"/>
        <w:rPr>
          <w:szCs w:val="24"/>
        </w:rPr>
      </w:pPr>
      <w:r>
        <w:rPr>
          <w:rFonts w:ascii="宋体" w:hAnsi="宋体" w:hint="eastAsia"/>
          <w:szCs w:val="24"/>
        </w:rPr>
        <w:t>管线输送原油输送温度低于原油的凝固点时，原油会附着在管线内壁，导致管径变小，造成管线憋压，严重时会将法兰接口、阀门垫片处憋漏，进而有产生火灾、爆炸事故的可能。</w:t>
      </w:r>
    </w:p>
    <w:p w:rsidR="00F95F9B" w:rsidRDefault="00000000">
      <w:pPr>
        <w:autoSpaceDE w:val="0"/>
        <w:adjustRightInd w:val="0"/>
        <w:snapToGrid w:val="0"/>
        <w:ind w:firstLine="470"/>
        <w:rPr>
          <w:szCs w:val="24"/>
        </w:rPr>
      </w:pPr>
      <w:r>
        <w:rPr>
          <w:rFonts w:ascii="宋体" w:hAnsi="宋体" w:hint="eastAsia"/>
          <w:szCs w:val="24"/>
        </w:rPr>
        <w:t>此外，静电积聚在不导电的物质上，或者管道、设备和容器的某些部位。发生静电放电现象时产生的电火花，成为油气场所的引燃源。当油蒸气、天然气泄漏与空气形成爆炸性混合气体时，将发生爆炸和火灾事故。</w:t>
      </w:r>
    </w:p>
    <w:p w:rsidR="00F95F9B" w:rsidRDefault="00000000">
      <w:pPr>
        <w:autoSpaceDE w:val="0"/>
        <w:adjustRightInd w:val="0"/>
        <w:snapToGrid w:val="0"/>
        <w:ind w:firstLine="470"/>
        <w:rPr>
          <w:szCs w:val="24"/>
        </w:rPr>
      </w:pPr>
      <w:r>
        <w:rPr>
          <w:rFonts w:hint="eastAsia"/>
          <w:szCs w:val="24"/>
        </w:rPr>
        <w:t>2</w:t>
      </w:r>
      <w:r>
        <w:rPr>
          <w:rFonts w:hint="eastAsia"/>
          <w:szCs w:val="24"/>
        </w:rPr>
        <w:t>）</w:t>
      </w:r>
      <w:r>
        <w:rPr>
          <w:rFonts w:ascii="宋体" w:hAnsi="宋体" w:hint="eastAsia"/>
          <w:szCs w:val="24"/>
        </w:rPr>
        <w:t>容器爆炸</w:t>
      </w:r>
    </w:p>
    <w:p w:rsidR="00F95F9B" w:rsidRDefault="00000000">
      <w:pPr>
        <w:autoSpaceDE w:val="0"/>
        <w:adjustRightInd w:val="0"/>
        <w:snapToGrid w:val="0"/>
        <w:ind w:firstLine="470"/>
        <w:rPr>
          <w:szCs w:val="24"/>
        </w:rPr>
      </w:pPr>
      <w:r>
        <w:rPr>
          <w:rFonts w:ascii="宋体" w:hAnsi="宋体" w:hint="eastAsia"/>
          <w:szCs w:val="24"/>
        </w:rPr>
        <w:t>鲁明公司压力容器主要有油气分离器、脱硫塔等。在下列情况下，可能发生压力容器爆炸事故：</w:t>
      </w:r>
    </w:p>
    <w:p w:rsidR="00F95F9B" w:rsidRDefault="00000000">
      <w:pPr>
        <w:autoSpaceDE w:val="0"/>
        <w:adjustRightInd w:val="0"/>
        <w:snapToGrid w:val="0"/>
        <w:ind w:firstLine="470"/>
        <w:rPr>
          <w:szCs w:val="24"/>
        </w:rPr>
      </w:pPr>
      <w:r>
        <w:rPr>
          <w:rFonts w:ascii="宋体" w:hAnsi="宋体" w:hint="eastAsia"/>
          <w:szCs w:val="24"/>
        </w:rPr>
        <w:t>压力容器壁厚设计不足，使容器在压力的作用下，产生过度的弹性变形和塑性变形，最终导致容器破坏；</w:t>
      </w:r>
    </w:p>
    <w:p w:rsidR="00F95F9B" w:rsidRDefault="00000000">
      <w:pPr>
        <w:autoSpaceDE w:val="0"/>
        <w:adjustRightInd w:val="0"/>
        <w:snapToGrid w:val="0"/>
        <w:ind w:firstLine="470"/>
        <w:rPr>
          <w:szCs w:val="24"/>
        </w:rPr>
      </w:pPr>
      <w:r>
        <w:rPr>
          <w:rFonts w:ascii="宋体" w:hAnsi="宋体" w:hint="eastAsia"/>
          <w:szCs w:val="24"/>
        </w:rPr>
        <w:t>压力容器选材不当，即便具有足够的壁厚，也可能在操作条件下，因为材料塑性的降低而发生脆性断裂。或因选材不当，由于介质的影响而产生过度腐蚀使容器遭到破坏；</w:t>
      </w:r>
    </w:p>
    <w:p w:rsidR="00F95F9B" w:rsidRDefault="00000000">
      <w:pPr>
        <w:autoSpaceDE w:val="0"/>
        <w:adjustRightInd w:val="0"/>
        <w:snapToGrid w:val="0"/>
        <w:ind w:firstLine="470"/>
        <w:rPr>
          <w:szCs w:val="24"/>
        </w:rPr>
      </w:pPr>
      <w:r>
        <w:rPr>
          <w:rFonts w:ascii="宋体" w:hAnsi="宋体" w:hint="eastAsia"/>
          <w:szCs w:val="24"/>
        </w:rPr>
        <w:t>压力容器的结构不合理，往往产生过大的局部应力，在应力集中的部位因压力波动产生疲劳应力导致容器损坏；</w:t>
      </w:r>
    </w:p>
    <w:p w:rsidR="00F95F9B" w:rsidRDefault="00000000">
      <w:pPr>
        <w:autoSpaceDE w:val="0"/>
        <w:adjustRightInd w:val="0"/>
        <w:snapToGrid w:val="0"/>
        <w:ind w:firstLine="470"/>
        <w:rPr>
          <w:szCs w:val="24"/>
        </w:rPr>
      </w:pPr>
      <w:r>
        <w:rPr>
          <w:rFonts w:ascii="宋体" w:hAnsi="宋体" w:hint="eastAsia"/>
          <w:szCs w:val="24"/>
        </w:rPr>
        <w:t>安全附件选用不当或失效，当压力超过额定工作压力时不能及时、迅速地进行报警或泄压，致使容器超压而遭到破坏；</w:t>
      </w:r>
    </w:p>
    <w:p w:rsidR="00F95F9B" w:rsidRDefault="00000000">
      <w:pPr>
        <w:autoSpaceDE w:val="0"/>
        <w:adjustRightInd w:val="0"/>
        <w:snapToGrid w:val="0"/>
        <w:ind w:firstLine="470"/>
        <w:rPr>
          <w:szCs w:val="24"/>
        </w:rPr>
      </w:pPr>
      <w:r>
        <w:rPr>
          <w:rFonts w:ascii="宋体" w:hAnsi="宋体" w:hint="eastAsia"/>
          <w:szCs w:val="24"/>
        </w:rPr>
        <w:lastRenderedPageBreak/>
        <w:t>日常管理维护不到位，如内外防腐措施不到位，压力容器在运行寿命期限内，产生过度腐蚀，壁厚减薄甚至局部穿孔，强度降低；或者未按规定进行强制性检验，压力容器存在缺陷未及时发现，致使设备带病运行；或者未按规定对其安全附件定期进行维护、校验或标定，安全附件失灵；</w:t>
      </w:r>
    </w:p>
    <w:p w:rsidR="00F95F9B" w:rsidRDefault="00000000">
      <w:pPr>
        <w:autoSpaceDE w:val="0"/>
        <w:adjustRightInd w:val="0"/>
        <w:snapToGrid w:val="0"/>
        <w:ind w:firstLine="470"/>
        <w:rPr>
          <w:szCs w:val="24"/>
        </w:rPr>
      </w:pPr>
      <w:r>
        <w:rPr>
          <w:rFonts w:ascii="宋体" w:hAnsi="宋体" w:hint="eastAsia"/>
          <w:szCs w:val="24"/>
        </w:rPr>
        <w:t>违章操作，在压力容器进口阀门未关闭的情况下，误关出口阀门，出现超压；上游流程压力波动，出现超压状况。</w:t>
      </w:r>
    </w:p>
    <w:p w:rsidR="00F95F9B" w:rsidRDefault="00000000">
      <w:pPr>
        <w:autoSpaceDE w:val="0"/>
        <w:adjustRightInd w:val="0"/>
        <w:snapToGrid w:val="0"/>
        <w:ind w:firstLine="470"/>
        <w:rPr>
          <w:szCs w:val="24"/>
        </w:rPr>
      </w:pPr>
      <w:r>
        <w:rPr>
          <w:rFonts w:hint="eastAsia"/>
          <w:szCs w:val="24"/>
        </w:rPr>
        <w:t>3</w:t>
      </w:r>
      <w:r>
        <w:rPr>
          <w:rFonts w:hint="eastAsia"/>
          <w:szCs w:val="24"/>
        </w:rPr>
        <w:t>）</w:t>
      </w:r>
      <w:r>
        <w:rPr>
          <w:rFonts w:ascii="宋体" w:hAnsi="宋体" w:hint="eastAsia"/>
          <w:szCs w:val="24"/>
        </w:rPr>
        <w:t>中毒和窒息</w:t>
      </w:r>
    </w:p>
    <w:p w:rsidR="00F95F9B" w:rsidRDefault="00000000">
      <w:pPr>
        <w:widowControl w:val="0"/>
        <w:autoSpaceDE w:val="0"/>
        <w:adjustRightInd w:val="0"/>
        <w:snapToGrid w:val="0"/>
        <w:ind w:firstLine="470"/>
        <w:rPr>
          <w:szCs w:val="24"/>
        </w:rPr>
      </w:pPr>
      <w:r>
        <w:rPr>
          <w:rFonts w:ascii="宋体" w:hAnsi="宋体" w:hint="eastAsia"/>
          <w:szCs w:val="24"/>
        </w:rPr>
        <w:t>因意外原因导致站内设备破坏，大量泄漏的天然气使空气中的氧分含量减少较多时，抢险人员若没有可靠的预防措施就直接进入抢险时，将造成人员缺氧窒息。</w:t>
      </w:r>
    </w:p>
    <w:p w:rsidR="00F95F9B" w:rsidRDefault="00000000">
      <w:pPr>
        <w:autoSpaceDE w:val="0"/>
        <w:adjustRightInd w:val="0"/>
        <w:snapToGrid w:val="0"/>
        <w:ind w:firstLine="470"/>
        <w:rPr>
          <w:szCs w:val="24"/>
        </w:rPr>
      </w:pPr>
      <w:r>
        <w:rPr>
          <w:rFonts w:ascii="宋体" w:hAnsi="宋体" w:hint="eastAsia"/>
          <w:szCs w:val="24"/>
        </w:rPr>
        <w:t>天然气中硫化氢含量随油田开发不同区块、不同阶段而异。若天然气中含硫化氢达到一定浓度则可导致人员中毒。</w:t>
      </w:r>
    </w:p>
    <w:p w:rsidR="00F95F9B" w:rsidRDefault="00000000">
      <w:pPr>
        <w:autoSpaceDE w:val="0"/>
        <w:adjustRightInd w:val="0"/>
        <w:snapToGrid w:val="0"/>
        <w:ind w:firstLine="470"/>
        <w:rPr>
          <w:szCs w:val="24"/>
        </w:rPr>
      </w:pPr>
      <w:r>
        <w:rPr>
          <w:rFonts w:ascii="宋体" w:hAnsi="宋体" w:hint="eastAsia"/>
          <w:szCs w:val="24"/>
        </w:rPr>
        <w:t>若化验室不排风，化验员长期接触一定浓度的油蒸气，可引起慢性中毒职业危害。污水处理过程中需要用到化学药剂。这些药剂具有一定的腐蚀性和毒性，操作人员的皮肤长期接触此类药剂，不及时清洗，或随意乱倒乱放，经皮肤、口、鼻进入人体，可引起接触皮炎或中毒。</w:t>
      </w:r>
    </w:p>
    <w:p w:rsidR="00F95F9B" w:rsidRDefault="00000000">
      <w:pPr>
        <w:autoSpaceDE w:val="0"/>
        <w:adjustRightInd w:val="0"/>
        <w:snapToGrid w:val="0"/>
        <w:ind w:firstLine="470"/>
        <w:rPr>
          <w:szCs w:val="24"/>
        </w:rPr>
      </w:pPr>
      <w:r>
        <w:rPr>
          <w:rFonts w:ascii="宋体" w:hAnsi="宋体" w:hint="eastAsia"/>
          <w:szCs w:val="24"/>
        </w:rPr>
        <w:t>在进罐检修时，如果没按要求进行清罐处理，或清罐不彻底，且未进行强制通风，就冒然进罐，而进罐作业人员又未采取佩带防毒面具、呼吸器等必要的防护措施，则有发生缺氧窒息的危险。</w:t>
      </w:r>
    </w:p>
    <w:p w:rsidR="00F95F9B" w:rsidRDefault="00000000">
      <w:pPr>
        <w:autoSpaceDE w:val="0"/>
        <w:adjustRightInd w:val="0"/>
        <w:snapToGrid w:val="0"/>
        <w:ind w:firstLine="470"/>
        <w:rPr>
          <w:szCs w:val="24"/>
        </w:rPr>
      </w:pPr>
      <w:r>
        <w:rPr>
          <w:rFonts w:hint="eastAsia"/>
          <w:szCs w:val="24"/>
        </w:rPr>
        <w:t>4</w:t>
      </w:r>
      <w:r>
        <w:rPr>
          <w:rFonts w:hint="eastAsia"/>
          <w:szCs w:val="24"/>
        </w:rPr>
        <w:t>）</w:t>
      </w:r>
      <w:r>
        <w:rPr>
          <w:rFonts w:ascii="宋体" w:hAnsi="宋体" w:hint="eastAsia"/>
          <w:szCs w:val="24"/>
        </w:rPr>
        <w:t>物体打击</w:t>
      </w:r>
    </w:p>
    <w:p w:rsidR="00F95F9B" w:rsidRDefault="00000000">
      <w:pPr>
        <w:autoSpaceDE w:val="0"/>
        <w:adjustRightInd w:val="0"/>
        <w:snapToGrid w:val="0"/>
        <w:ind w:firstLine="470"/>
        <w:rPr>
          <w:szCs w:val="24"/>
        </w:rPr>
      </w:pPr>
      <w:r>
        <w:rPr>
          <w:rFonts w:ascii="宋体" w:hAnsi="宋体" w:hint="eastAsia"/>
          <w:szCs w:val="24"/>
        </w:rPr>
        <w:t>操作人员若违章操作或操作不当发生意外，易发生物体打击事故。集输油气管道带压管道，对油气集输过程各设备进行带压检修操作时，如带压更换压力表、拆装阀门、安全阀等过程，使用的工具或跟换的部件在压力的作用下可能飞出，打到人体会造成物体打击伤害。</w:t>
      </w:r>
    </w:p>
    <w:p w:rsidR="00F95F9B" w:rsidRDefault="00000000">
      <w:pPr>
        <w:autoSpaceDE w:val="0"/>
        <w:adjustRightInd w:val="0"/>
        <w:snapToGrid w:val="0"/>
        <w:ind w:firstLine="470"/>
        <w:rPr>
          <w:szCs w:val="24"/>
        </w:rPr>
      </w:pPr>
      <w:r>
        <w:rPr>
          <w:rFonts w:ascii="宋体" w:hAnsi="宋体" w:hint="eastAsia"/>
          <w:szCs w:val="24"/>
        </w:rPr>
        <w:t>在承压设备处，如果设备上的零部件固定不牢或设备超压也可能导致部件飞出，造成人员物体打击伤害。</w:t>
      </w:r>
    </w:p>
    <w:p w:rsidR="00F95F9B" w:rsidRDefault="00000000">
      <w:pPr>
        <w:autoSpaceDE w:val="0"/>
        <w:adjustRightInd w:val="0"/>
        <w:snapToGrid w:val="0"/>
        <w:ind w:firstLine="470"/>
        <w:rPr>
          <w:szCs w:val="24"/>
        </w:rPr>
      </w:pPr>
      <w:r>
        <w:rPr>
          <w:rFonts w:ascii="宋体" w:hAnsi="宋体" w:hint="eastAsia"/>
          <w:szCs w:val="24"/>
        </w:rPr>
        <w:t>操作人员在储油罐顶、油气分离器平台作业时，工具和配件易从上面坠落砸伤下面配合作业的人员。</w:t>
      </w:r>
    </w:p>
    <w:p w:rsidR="00F95F9B" w:rsidRDefault="00000000">
      <w:pPr>
        <w:autoSpaceDE w:val="0"/>
        <w:adjustRightInd w:val="0"/>
        <w:snapToGrid w:val="0"/>
        <w:ind w:firstLine="470"/>
        <w:rPr>
          <w:szCs w:val="24"/>
        </w:rPr>
      </w:pPr>
      <w:r>
        <w:rPr>
          <w:rFonts w:hint="eastAsia"/>
          <w:szCs w:val="24"/>
        </w:rPr>
        <w:t>5</w:t>
      </w:r>
      <w:r>
        <w:rPr>
          <w:rFonts w:hint="eastAsia"/>
          <w:szCs w:val="24"/>
        </w:rPr>
        <w:t>）</w:t>
      </w:r>
      <w:r>
        <w:rPr>
          <w:rFonts w:ascii="宋体" w:hAnsi="宋体" w:hint="eastAsia"/>
          <w:szCs w:val="24"/>
        </w:rPr>
        <w:t>机械伤害</w:t>
      </w:r>
    </w:p>
    <w:p w:rsidR="00F95F9B" w:rsidRDefault="00000000">
      <w:pPr>
        <w:autoSpaceDE w:val="0"/>
        <w:adjustRightInd w:val="0"/>
        <w:snapToGrid w:val="0"/>
        <w:ind w:firstLine="470"/>
        <w:rPr>
          <w:szCs w:val="24"/>
        </w:rPr>
      </w:pPr>
      <w:r>
        <w:rPr>
          <w:rFonts w:ascii="宋体" w:hAnsi="宋体" w:hint="eastAsia"/>
          <w:szCs w:val="24"/>
        </w:rPr>
        <w:lastRenderedPageBreak/>
        <w:t>机泵类机械外露的运转部件若防护罩缺损或不符合规范，有可能发生机械伤害事故。对机械设备进行检修时，若设备未可靠停死、刹车失灵、误操作、未可靠断电、违章送电等，发生机械设备意外启动，引发机械伤害。</w:t>
      </w:r>
    </w:p>
    <w:p w:rsidR="00F95F9B" w:rsidRDefault="00000000">
      <w:pPr>
        <w:widowControl w:val="0"/>
        <w:autoSpaceDE w:val="0"/>
        <w:adjustRightInd w:val="0"/>
        <w:snapToGrid w:val="0"/>
        <w:ind w:firstLine="470"/>
        <w:rPr>
          <w:szCs w:val="24"/>
        </w:rPr>
      </w:pPr>
      <w:r>
        <w:rPr>
          <w:rFonts w:ascii="宋体" w:hAnsi="宋体" w:hint="eastAsia"/>
          <w:szCs w:val="24"/>
        </w:rPr>
        <w:t>作业人员没有按照设备操作规程来操作，或者设备操作规程不完善，作业人员作业时，也会导致机械伤害的发生。</w:t>
      </w:r>
    </w:p>
    <w:p w:rsidR="00F95F9B" w:rsidRDefault="00000000">
      <w:pPr>
        <w:autoSpaceDE w:val="0"/>
        <w:adjustRightInd w:val="0"/>
        <w:snapToGrid w:val="0"/>
        <w:ind w:firstLine="470"/>
        <w:rPr>
          <w:szCs w:val="24"/>
        </w:rPr>
      </w:pPr>
      <w:r>
        <w:rPr>
          <w:rFonts w:ascii="宋体" w:hAnsi="宋体" w:hint="eastAsia"/>
          <w:szCs w:val="24"/>
        </w:rPr>
        <w:t>若操作的地点、行走的通道等处存在光线黑暗、视野模糊、地面湿滑等不良作业环境，也容易诱发机械伤害事故的发生。</w:t>
      </w:r>
    </w:p>
    <w:p w:rsidR="00F95F9B" w:rsidRDefault="00000000">
      <w:pPr>
        <w:autoSpaceDE w:val="0"/>
        <w:adjustRightInd w:val="0"/>
        <w:snapToGrid w:val="0"/>
        <w:ind w:firstLine="470"/>
        <w:rPr>
          <w:szCs w:val="24"/>
        </w:rPr>
      </w:pPr>
      <w:r>
        <w:rPr>
          <w:rFonts w:hint="eastAsia"/>
          <w:szCs w:val="24"/>
        </w:rPr>
        <w:t>6</w:t>
      </w:r>
      <w:r>
        <w:rPr>
          <w:rFonts w:hint="eastAsia"/>
          <w:szCs w:val="24"/>
        </w:rPr>
        <w:t>）</w:t>
      </w:r>
      <w:r>
        <w:rPr>
          <w:rFonts w:ascii="宋体" w:hAnsi="宋体" w:hint="eastAsia"/>
          <w:szCs w:val="24"/>
        </w:rPr>
        <w:t>高处坠落</w:t>
      </w:r>
    </w:p>
    <w:p w:rsidR="00F95F9B" w:rsidRDefault="00000000">
      <w:pPr>
        <w:widowControl w:val="0"/>
        <w:autoSpaceDE w:val="0"/>
        <w:adjustRightInd w:val="0"/>
        <w:snapToGrid w:val="0"/>
        <w:ind w:firstLine="470"/>
        <w:rPr>
          <w:szCs w:val="24"/>
        </w:rPr>
      </w:pPr>
      <w:r>
        <w:rPr>
          <w:rFonts w:ascii="宋体" w:hAnsi="宋体" w:hint="eastAsia"/>
          <w:szCs w:val="24"/>
        </w:rPr>
        <w:t>在日常工作中，操作人员常常需要登上各类容器储罐进行巡检采样等。若梯子扶手、栏杆由于日久失修、损坏或因腐蚀而失去了防护作用，特别在大风、雨雪天登高时，工作人员如果疏忽大意，就有可能发生高处坠落事故。</w:t>
      </w:r>
    </w:p>
    <w:p w:rsidR="00F95F9B" w:rsidRDefault="00000000">
      <w:pPr>
        <w:autoSpaceDE w:val="0"/>
        <w:adjustRightInd w:val="0"/>
        <w:snapToGrid w:val="0"/>
        <w:ind w:firstLine="470"/>
        <w:rPr>
          <w:szCs w:val="24"/>
        </w:rPr>
      </w:pPr>
      <w:r>
        <w:rPr>
          <w:rFonts w:hint="eastAsia"/>
          <w:szCs w:val="24"/>
        </w:rPr>
        <w:t>7</w:t>
      </w:r>
      <w:r>
        <w:rPr>
          <w:rFonts w:hint="eastAsia"/>
          <w:szCs w:val="24"/>
        </w:rPr>
        <w:t>）</w:t>
      </w:r>
      <w:r>
        <w:rPr>
          <w:rFonts w:ascii="宋体" w:hAnsi="宋体" w:hint="eastAsia"/>
          <w:szCs w:val="24"/>
        </w:rPr>
        <w:t>触电</w:t>
      </w:r>
    </w:p>
    <w:p w:rsidR="00F95F9B" w:rsidRDefault="00000000">
      <w:pPr>
        <w:widowControl w:val="0"/>
        <w:autoSpaceDE w:val="0"/>
        <w:adjustRightInd w:val="0"/>
        <w:snapToGrid w:val="0"/>
        <w:ind w:firstLine="470"/>
        <w:rPr>
          <w:szCs w:val="24"/>
        </w:rPr>
      </w:pPr>
      <w:r>
        <w:rPr>
          <w:rFonts w:ascii="宋体" w:hAnsi="宋体"/>
          <w:szCs w:val="24"/>
        </w:rPr>
        <w:t>集输泵站内存在大量的电气设备。在供电线路和用电设备中，如果防触电保护失效，工作人员由于疏忽或违章操作，碰到了带电导体，可能会产生触电伤亡事故。</w:t>
      </w:r>
    </w:p>
    <w:p w:rsidR="00F95F9B" w:rsidRDefault="00000000">
      <w:pPr>
        <w:autoSpaceDE w:val="0"/>
        <w:adjustRightInd w:val="0"/>
        <w:snapToGrid w:val="0"/>
        <w:ind w:firstLine="470"/>
        <w:rPr>
          <w:szCs w:val="24"/>
        </w:rPr>
      </w:pPr>
      <w:r>
        <w:rPr>
          <w:rFonts w:ascii="宋体" w:hAnsi="宋体"/>
          <w:szCs w:val="24"/>
        </w:rPr>
        <w:t>电气系统中的设备和线路，如变压器、配电装置、电动机、电力线路、电缆等，电气设备老化、绝缘等级不够、绝缘失效、屏护失效、障碍失效、间距不足、防护措施失效、维护不良，或人员缺乏安全意识和知识，违反操作规程操作、失误、现场监护不力等，电气设备或线路的带电体直接或间接与人体接触，会造成人体的触电伤害。</w:t>
      </w:r>
    </w:p>
    <w:p w:rsidR="00F95F9B" w:rsidRDefault="00000000">
      <w:pPr>
        <w:autoSpaceDE w:val="0"/>
        <w:adjustRightInd w:val="0"/>
        <w:snapToGrid w:val="0"/>
        <w:ind w:firstLine="470"/>
        <w:rPr>
          <w:szCs w:val="24"/>
        </w:rPr>
      </w:pPr>
      <w:r>
        <w:rPr>
          <w:rFonts w:ascii="宋体" w:hAnsi="宋体"/>
          <w:szCs w:val="24"/>
        </w:rPr>
        <w:t>在雷雨天气下，进行室外作业时，有可能导致雷电击伤事故。</w:t>
      </w:r>
    </w:p>
    <w:p w:rsidR="00F95F9B" w:rsidRDefault="00000000">
      <w:pPr>
        <w:autoSpaceDE w:val="0"/>
        <w:adjustRightInd w:val="0"/>
        <w:snapToGrid w:val="0"/>
        <w:ind w:firstLine="470"/>
        <w:rPr>
          <w:szCs w:val="24"/>
        </w:rPr>
      </w:pPr>
      <w:r>
        <w:rPr>
          <w:rFonts w:hint="eastAsia"/>
          <w:szCs w:val="24"/>
        </w:rPr>
        <w:t>8</w:t>
      </w:r>
      <w:r>
        <w:rPr>
          <w:rFonts w:hint="eastAsia"/>
          <w:szCs w:val="24"/>
        </w:rPr>
        <w:t>）车辆伤害（</w:t>
      </w:r>
      <w:r>
        <w:rPr>
          <w:rFonts w:ascii="宋体" w:hAnsi="宋体" w:hint="eastAsia"/>
          <w:szCs w:val="24"/>
        </w:rPr>
        <w:t>单井拉油装卸车及拉运过程的危险性分析）</w:t>
      </w:r>
    </w:p>
    <w:p w:rsidR="00F95F9B" w:rsidRDefault="00000000">
      <w:pPr>
        <w:widowControl w:val="0"/>
        <w:autoSpaceDE w:val="0"/>
        <w:adjustRightInd w:val="0"/>
        <w:snapToGrid w:val="0"/>
        <w:ind w:firstLine="470"/>
        <w:rPr>
          <w:szCs w:val="24"/>
        </w:rPr>
      </w:pPr>
      <w:r>
        <w:rPr>
          <w:rFonts w:ascii="宋体" w:hAnsi="宋体" w:hint="eastAsia"/>
          <w:szCs w:val="24"/>
        </w:rPr>
        <w:t>进入井场内的汽车油罐车若无防火帽，有引发火灾爆炸的危险。</w:t>
      </w:r>
    </w:p>
    <w:p w:rsidR="00F95F9B" w:rsidRDefault="00000000">
      <w:pPr>
        <w:widowControl w:val="0"/>
        <w:autoSpaceDE w:val="0"/>
        <w:adjustRightInd w:val="0"/>
        <w:snapToGrid w:val="0"/>
        <w:ind w:firstLine="470"/>
        <w:rPr>
          <w:szCs w:val="24"/>
        </w:rPr>
      </w:pPr>
      <w:r>
        <w:rPr>
          <w:rFonts w:ascii="宋体" w:hAnsi="宋体" w:hint="eastAsia"/>
          <w:szCs w:val="24"/>
        </w:rPr>
        <w:t>油品装卸车易产生静电，若无防静电专用接地线，或接地不良，可造成静电积累，产生放电火花，从而引起火灾、爆炸事故。</w:t>
      </w:r>
    </w:p>
    <w:p w:rsidR="00F95F9B" w:rsidRDefault="00000000">
      <w:pPr>
        <w:widowControl w:val="0"/>
        <w:autoSpaceDE w:val="0"/>
        <w:adjustRightInd w:val="0"/>
        <w:snapToGrid w:val="0"/>
        <w:ind w:firstLine="470"/>
        <w:rPr>
          <w:szCs w:val="24"/>
        </w:rPr>
      </w:pPr>
      <w:r>
        <w:rPr>
          <w:rFonts w:ascii="宋体" w:hAnsi="宋体" w:hint="eastAsia"/>
          <w:szCs w:val="24"/>
        </w:rPr>
        <w:t>油品的装卸过程中，因违章操作或操作失误导致汽车油罐满溢、泄漏，遇点火源会引发火灾、爆炸。</w:t>
      </w:r>
    </w:p>
    <w:p w:rsidR="00F95F9B" w:rsidRDefault="00000000">
      <w:pPr>
        <w:autoSpaceDE w:val="0"/>
        <w:adjustRightInd w:val="0"/>
        <w:snapToGrid w:val="0"/>
        <w:ind w:firstLine="470"/>
        <w:rPr>
          <w:szCs w:val="24"/>
        </w:rPr>
      </w:pPr>
      <w:r>
        <w:rPr>
          <w:rFonts w:ascii="宋体" w:hAnsi="宋体" w:hint="eastAsia"/>
          <w:szCs w:val="24"/>
        </w:rPr>
        <w:t>装车是非密闭式罐装作业，在罐装作业时都有一定量的原油蒸汽从汽车槽车的罐口挥发逸出，如果四周通风不良，很难及时扩散，在车体周围弥漫，低洼死角处积累，如遇到点火源很有可能发生火灾、爆炸。在油罐车顶部的人员还可能发生高处坠落的危险。</w:t>
      </w:r>
    </w:p>
    <w:p w:rsidR="00F95F9B" w:rsidRDefault="00000000">
      <w:pPr>
        <w:autoSpaceDE w:val="0"/>
        <w:adjustRightInd w:val="0"/>
        <w:snapToGrid w:val="0"/>
        <w:ind w:firstLine="470"/>
        <w:rPr>
          <w:szCs w:val="24"/>
        </w:rPr>
      </w:pPr>
      <w:r>
        <w:rPr>
          <w:rFonts w:ascii="宋体" w:hAnsi="宋体" w:hint="eastAsia"/>
          <w:szCs w:val="24"/>
        </w:rPr>
        <w:t>运送原油的车辆，因车辆故障、违章驾驶或驾驶员操作失误等，可导致车辆伤害。</w:t>
      </w:r>
    </w:p>
    <w:p w:rsidR="00F95F9B" w:rsidRDefault="00000000">
      <w:pPr>
        <w:pStyle w:val="3"/>
        <w:keepNext w:val="0"/>
        <w:keepLines w:val="0"/>
        <w:widowControl w:val="0"/>
        <w:adjustRightInd w:val="0"/>
        <w:snapToGrid w:val="0"/>
        <w:ind w:left="0"/>
        <w:rPr>
          <w:rFonts w:eastAsia="宋体"/>
          <w:b/>
          <w:szCs w:val="24"/>
        </w:rPr>
      </w:pPr>
      <w:r>
        <w:rPr>
          <w:rFonts w:hint="eastAsia"/>
        </w:rPr>
        <w:t>特殊作业</w:t>
      </w:r>
    </w:p>
    <w:p w:rsidR="00F95F9B" w:rsidRDefault="00000000">
      <w:pPr>
        <w:autoSpaceDE w:val="0"/>
        <w:adjustRightInd w:val="0"/>
        <w:snapToGrid w:val="0"/>
        <w:ind w:firstLine="470"/>
        <w:rPr>
          <w:szCs w:val="24"/>
        </w:rPr>
      </w:pPr>
      <w:r>
        <w:rPr>
          <w:rFonts w:ascii="宋体" w:hAnsi="宋体" w:hint="eastAsia"/>
          <w:szCs w:val="24"/>
        </w:rPr>
        <w:lastRenderedPageBreak/>
        <w:t>鲁明公司涉及的直接作业环节作业主要有动火、临时用电、动土、高处作业、受限空间、起重作业、抽堵盲板等。</w:t>
      </w:r>
    </w:p>
    <w:p w:rsidR="00F95F9B" w:rsidRDefault="00000000">
      <w:pPr>
        <w:autoSpaceDE w:val="0"/>
        <w:adjustRightInd w:val="0"/>
        <w:snapToGrid w:val="0"/>
        <w:ind w:firstLine="470"/>
        <w:rPr>
          <w:szCs w:val="24"/>
        </w:rPr>
      </w:pPr>
      <w:r>
        <w:rPr>
          <w:rFonts w:ascii="宋体" w:hAnsi="宋体" w:hint="eastAsia"/>
          <w:szCs w:val="24"/>
        </w:rPr>
        <w:t>鲁明公司涉及的受限空间形式主要有储罐、容器、地下电缆沟、水池等的检维修。对于新建、改造、生产和维检修的作业中，由于受限空间作业环境复杂、危险有害因素多、作业条件易变化且容易发生中毒和窒息、火灾爆炸等安全事故。作业人员遇险时救助难度大、救助的方法不得当或盲目救援又会造成事故伤亡的扩大。</w:t>
      </w:r>
    </w:p>
    <w:p w:rsidR="00F95F9B" w:rsidRDefault="00000000">
      <w:pPr>
        <w:autoSpaceDE w:val="0"/>
        <w:adjustRightInd w:val="0"/>
        <w:snapToGrid w:val="0"/>
        <w:ind w:firstLine="470"/>
        <w:rPr>
          <w:szCs w:val="24"/>
        </w:rPr>
      </w:pPr>
      <w:r>
        <w:rPr>
          <w:rFonts w:ascii="宋体" w:hAnsi="宋体" w:hint="eastAsia"/>
          <w:szCs w:val="24"/>
        </w:rPr>
        <w:t>若临时用电设备安装、使用不合理，人员违章操作等，可能引发电气设备事故、触电事故的发生；火灾爆炸危险环境中的临时用电还可能导致火灾爆炸事故。</w:t>
      </w:r>
    </w:p>
    <w:p w:rsidR="00F95F9B" w:rsidRDefault="00000000">
      <w:pPr>
        <w:widowControl w:val="0"/>
        <w:autoSpaceDE w:val="0"/>
        <w:adjustRightInd w:val="0"/>
        <w:snapToGrid w:val="0"/>
        <w:ind w:firstLine="470"/>
        <w:rPr>
          <w:szCs w:val="24"/>
        </w:rPr>
      </w:pPr>
      <w:r>
        <w:rPr>
          <w:rFonts w:ascii="宋体" w:hAnsi="宋体" w:hint="eastAsia"/>
          <w:szCs w:val="24"/>
        </w:rPr>
        <w:t>动火作业前未将动火设备、管道内的物料清理、置换完全，与动火设备连通的设备、管道隔离不良，周围有可燃物，氧气瓶、乙炔瓶间距及与动火点的间距不足，动火时不采取防护措施等，都可能引发火灾爆炸事故；飞溅的焊渣、高温的切割物可导致人员灼伤。</w:t>
      </w:r>
      <w:r>
        <w:rPr>
          <w:rFonts w:hint="eastAsia"/>
          <w:szCs w:val="24"/>
        </w:rPr>
        <w:t xml:space="preserve"> </w:t>
      </w:r>
    </w:p>
    <w:p w:rsidR="00F95F9B" w:rsidRDefault="00000000">
      <w:pPr>
        <w:widowControl w:val="0"/>
        <w:autoSpaceDE w:val="0"/>
        <w:adjustRightInd w:val="0"/>
        <w:snapToGrid w:val="0"/>
        <w:ind w:firstLine="470"/>
        <w:rPr>
          <w:szCs w:val="24"/>
        </w:rPr>
      </w:pPr>
      <w:r>
        <w:rPr>
          <w:rFonts w:ascii="宋体" w:hAnsi="宋体" w:hint="eastAsia"/>
          <w:szCs w:val="24"/>
        </w:rPr>
        <w:t>动土作业因不按规定放坡、开挖、回填或因积水浸泡等原因，可能引起坍塌事故的发生。未对地下电缆、管线等埋地设备设施进行排查，施工过程中可能对油气管道、电力电缆、注水管道造成破坏，并可能继而导致火灾爆炸、触电、物体打击等事故的发生。</w:t>
      </w:r>
    </w:p>
    <w:p w:rsidR="00F95F9B" w:rsidRDefault="00000000">
      <w:pPr>
        <w:autoSpaceDE w:val="0"/>
        <w:adjustRightInd w:val="0"/>
        <w:snapToGrid w:val="0"/>
        <w:ind w:firstLine="470"/>
        <w:rPr>
          <w:szCs w:val="24"/>
        </w:rPr>
      </w:pPr>
      <w:r>
        <w:rPr>
          <w:rFonts w:ascii="宋体" w:hAnsi="宋体" w:hint="eastAsia"/>
          <w:szCs w:val="24"/>
        </w:rPr>
        <w:t>高处维修作业时因脚手架、护栏、梯子安装不规范、不牢，或作业人员未系安全带，可能发生高处坠落；坠落的工具、材料或零件从空中掉落，会对下方人员造成物体打击。</w:t>
      </w:r>
    </w:p>
    <w:p w:rsidR="00F95F9B" w:rsidRDefault="00000000">
      <w:pPr>
        <w:autoSpaceDE w:val="0"/>
        <w:adjustRightInd w:val="0"/>
        <w:snapToGrid w:val="0"/>
        <w:ind w:firstLine="470"/>
        <w:rPr>
          <w:szCs w:val="24"/>
        </w:rPr>
      </w:pPr>
      <w:r>
        <w:rPr>
          <w:rFonts w:ascii="宋体" w:hAnsi="宋体" w:hint="eastAsia"/>
          <w:szCs w:val="24"/>
        </w:rPr>
        <w:t>起重作业过程中由于起重作业人员、指挥人员和司索之间配合不好，或违章、过载，导致起重机倾覆或吊装物掉落，造成人员伤亡；周边环境危险分析不全面，如邻近高压线吊装作业，可能会引起人员触电等危险。</w:t>
      </w:r>
    </w:p>
    <w:p w:rsidR="00F95F9B" w:rsidRDefault="00000000">
      <w:pPr>
        <w:widowControl w:val="0"/>
        <w:autoSpaceDE w:val="0"/>
        <w:adjustRightInd w:val="0"/>
        <w:snapToGrid w:val="0"/>
        <w:ind w:firstLine="470"/>
        <w:rPr>
          <w:szCs w:val="24"/>
        </w:rPr>
      </w:pPr>
      <w:r>
        <w:rPr>
          <w:rFonts w:ascii="宋体" w:hAnsi="宋体" w:hint="eastAsia"/>
          <w:szCs w:val="24"/>
        </w:rPr>
        <w:t>抽堵盲板作业，如盲板有缺陷、易燃易爆或有毒物质突出、通风不良、操作失误、监护不当，以及易燃易爆场所作业时存在动火作业、使用非防爆灯具、工具等，可造成火灾爆炸、中毒和窒息事故。</w:t>
      </w:r>
    </w:p>
    <w:p w:rsidR="00F95F9B" w:rsidRDefault="00000000">
      <w:pPr>
        <w:pStyle w:val="2"/>
        <w:keepNext w:val="0"/>
        <w:keepLines w:val="0"/>
        <w:adjustRightInd w:val="0"/>
        <w:snapToGrid w:val="0"/>
        <w:spacing w:before="170" w:after="170"/>
      </w:pPr>
      <w:bookmarkStart w:id="41" w:name="_Toc23001"/>
      <w:r>
        <w:rPr>
          <w:rFonts w:hint="eastAsia"/>
        </w:rPr>
        <w:t>设备设施危险、有害因素分析</w:t>
      </w:r>
      <w:bookmarkEnd w:id="41"/>
    </w:p>
    <w:p w:rsidR="00F95F9B" w:rsidRDefault="00000000">
      <w:pPr>
        <w:pStyle w:val="3"/>
        <w:keepNext w:val="0"/>
        <w:keepLines w:val="0"/>
        <w:widowControl w:val="0"/>
        <w:adjustRightInd w:val="0"/>
        <w:snapToGrid w:val="0"/>
        <w:ind w:left="0"/>
      </w:pPr>
      <w:r>
        <w:rPr>
          <w:rFonts w:hint="eastAsia"/>
        </w:rPr>
        <w:t>采油（气）系统</w:t>
      </w:r>
    </w:p>
    <w:p w:rsidR="00F95F9B" w:rsidRDefault="00000000">
      <w:pPr>
        <w:pStyle w:val="4"/>
        <w:keepNext w:val="0"/>
        <w:keepLines w:val="0"/>
        <w:widowControl w:val="0"/>
        <w:adjustRightInd w:val="0"/>
        <w:snapToGrid w:val="0"/>
      </w:pPr>
      <w:r>
        <w:rPr>
          <w:rFonts w:hint="eastAsia"/>
        </w:rPr>
        <w:t>井口装置</w:t>
      </w:r>
    </w:p>
    <w:p w:rsidR="00F95F9B" w:rsidRDefault="00000000">
      <w:pPr>
        <w:autoSpaceDE w:val="0"/>
        <w:adjustRightInd w:val="0"/>
        <w:snapToGrid w:val="0"/>
        <w:ind w:firstLine="470"/>
        <w:rPr>
          <w:szCs w:val="24"/>
        </w:rPr>
      </w:pPr>
      <w:r>
        <w:rPr>
          <w:rFonts w:ascii="宋体" w:hAnsi="宋体" w:hint="eastAsia"/>
          <w:szCs w:val="24"/>
        </w:rPr>
        <w:t>在油（气）井安装有井口装置。井口装置在生产、输送原油、天然气的过程中，油套环形空间密封不好产生窜通；顶丝密封圈渗漏；大法兰钢圈刺漏；卡箍钢圈刺漏；表层套管与生产套管的支撑开焊；装置本体及附属管道、阀门等由于选型不当、安装质量问题、腐蚀、密封不严、超压运行或人为破坏等原因发生油气泄漏，遇明火、火花、雷电或静电会引起着火，人员中毒甚至井喷危险。</w:t>
      </w:r>
    </w:p>
    <w:p w:rsidR="00F95F9B" w:rsidRDefault="00000000">
      <w:pPr>
        <w:autoSpaceDE w:val="0"/>
        <w:adjustRightInd w:val="0"/>
        <w:snapToGrid w:val="0"/>
        <w:ind w:firstLine="470"/>
        <w:rPr>
          <w:szCs w:val="24"/>
        </w:rPr>
      </w:pPr>
      <w:r>
        <w:rPr>
          <w:rFonts w:ascii="宋体" w:hAnsi="宋体" w:hint="eastAsia"/>
          <w:szCs w:val="24"/>
        </w:rPr>
        <w:lastRenderedPageBreak/>
        <w:t>在井口进行卸堵丝、卸压力表、检查油嘴、开关闸门等作业时，若未进行放空，违章带压操作，身体正对闸阀或孔板阀顶部等，设备零部件飞出可导致操作人员遭受物体打击。</w:t>
      </w:r>
    </w:p>
    <w:p w:rsidR="00F95F9B" w:rsidRDefault="00000000">
      <w:pPr>
        <w:pStyle w:val="4"/>
        <w:keepNext w:val="0"/>
        <w:keepLines w:val="0"/>
        <w:widowControl w:val="0"/>
        <w:adjustRightInd w:val="0"/>
        <w:snapToGrid w:val="0"/>
      </w:pPr>
      <w:r>
        <w:rPr>
          <w:rFonts w:hint="eastAsia"/>
        </w:rPr>
        <w:t>抽油机</w:t>
      </w:r>
    </w:p>
    <w:p w:rsidR="00F95F9B" w:rsidRDefault="00000000">
      <w:pPr>
        <w:widowControl w:val="0"/>
        <w:autoSpaceDE w:val="0"/>
        <w:adjustRightInd w:val="0"/>
        <w:snapToGrid w:val="0"/>
        <w:ind w:firstLine="470"/>
        <w:rPr>
          <w:szCs w:val="24"/>
        </w:rPr>
      </w:pPr>
      <w:r>
        <w:rPr>
          <w:rFonts w:ascii="宋体" w:hAnsi="宋体" w:hint="eastAsia"/>
          <w:szCs w:val="24"/>
        </w:rPr>
        <w:t>抽油机为油气开采重要设施，鲁明公司主要使用皮带式抽油机、游梁式抽油机，其运行过程存在的危险、有害因素主要有以下几点。</w:t>
      </w:r>
    </w:p>
    <w:p w:rsidR="00F95F9B" w:rsidRDefault="00000000">
      <w:pPr>
        <w:widowControl w:val="0"/>
        <w:autoSpaceDE w:val="0"/>
        <w:adjustRightInd w:val="0"/>
        <w:snapToGrid w:val="0"/>
        <w:ind w:firstLine="470"/>
        <w:rPr>
          <w:szCs w:val="24"/>
        </w:rPr>
      </w:pPr>
      <w:r>
        <w:rPr>
          <w:rFonts w:hint="eastAsia"/>
          <w:szCs w:val="24"/>
        </w:rPr>
        <w:t>1</w:t>
      </w:r>
      <w:r>
        <w:rPr>
          <w:rFonts w:hint="eastAsia"/>
          <w:szCs w:val="24"/>
        </w:rPr>
        <w:t>）</w:t>
      </w:r>
      <w:r>
        <w:rPr>
          <w:rFonts w:ascii="宋体" w:hAnsi="宋体" w:hint="eastAsia"/>
          <w:szCs w:val="24"/>
        </w:rPr>
        <w:t>物体打击</w:t>
      </w:r>
    </w:p>
    <w:p w:rsidR="00F95F9B" w:rsidRDefault="00000000">
      <w:pPr>
        <w:widowControl w:val="0"/>
        <w:autoSpaceDE w:val="0"/>
        <w:adjustRightInd w:val="0"/>
        <w:snapToGrid w:val="0"/>
        <w:ind w:firstLine="470"/>
        <w:rPr>
          <w:szCs w:val="24"/>
        </w:rPr>
      </w:pPr>
      <w:r>
        <w:rPr>
          <w:rFonts w:ascii="宋体" w:hAnsi="宋体" w:hint="eastAsia"/>
          <w:szCs w:val="24"/>
        </w:rPr>
        <w:t>若抽油机基础不牢固，地基未夯实、基础倾斜或安装不当，有可能造成抽油机整体倾斜，可致人员物体打击事故。操作者站在抽油机操作台维修作业时，工具和配件易从上面坠落砸伤抽油机下面的配合作业的人员，造成打击事故。</w:t>
      </w:r>
    </w:p>
    <w:p w:rsidR="00F95F9B" w:rsidRDefault="00000000">
      <w:pPr>
        <w:widowControl w:val="0"/>
        <w:autoSpaceDE w:val="0"/>
        <w:adjustRightInd w:val="0"/>
        <w:snapToGrid w:val="0"/>
        <w:ind w:firstLine="470"/>
        <w:rPr>
          <w:szCs w:val="24"/>
        </w:rPr>
      </w:pPr>
      <w:r>
        <w:rPr>
          <w:rFonts w:ascii="宋体" w:hAnsi="宋体" w:hint="eastAsia"/>
          <w:szCs w:val="24"/>
        </w:rPr>
        <w:t>油田的游梁式抽油机平衡块旋转区在抽油机的左右两侧，防护网或防护栏没有加装、安装不完整或安装不规范，造成了游梁式抽油机平衡块旋转危险区暴露在抽油机的左右两侧，旋转的巨大平衡块转动能量很大，采油井场职工和外部其他人员违章或误入平衡块旋转危险区间内，可能造成物体打击。</w:t>
      </w:r>
    </w:p>
    <w:p w:rsidR="00F95F9B" w:rsidRDefault="00000000">
      <w:pPr>
        <w:widowControl w:val="0"/>
        <w:autoSpaceDE w:val="0"/>
        <w:adjustRightInd w:val="0"/>
        <w:snapToGrid w:val="0"/>
        <w:ind w:firstLine="470"/>
        <w:rPr>
          <w:szCs w:val="24"/>
        </w:rPr>
      </w:pPr>
      <w:r>
        <w:rPr>
          <w:rFonts w:ascii="宋体" w:hAnsi="宋体" w:hint="eastAsia"/>
          <w:szCs w:val="24"/>
        </w:rPr>
        <w:t>操作者站在游梁式抽油机减速箱上维修作业时，工具和配件易从上面坠落砸伤抽油机下面配合作业的人员。</w:t>
      </w:r>
    </w:p>
    <w:p w:rsidR="00F95F9B" w:rsidRDefault="00000000">
      <w:pPr>
        <w:widowControl w:val="0"/>
        <w:autoSpaceDE w:val="0"/>
        <w:adjustRightInd w:val="0"/>
        <w:snapToGrid w:val="0"/>
        <w:ind w:firstLine="470"/>
        <w:rPr>
          <w:szCs w:val="24"/>
        </w:rPr>
      </w:pPr>
      <w:r>
        <w:rPr>
          <w:rFonts w:ascii="宋体" w:hAnsi="宋体" w:hint="eastAsia"/>
          <w:szCs w:val="24"/>
        </w:rPr>
        <w:t>抽油机悬绳器下连光杆上接毛辫子，同光杆和毛辫子一同做上下往复运动，光杆拉动抽油杆，使活塞做上下往复运动，而将井中的液体抽至地面。采油井场职工和其他人员在井口工作或误到井口，没注意到抽油机悬绳时，就会有悬绳器下行碰伤造成伤亡事故，毛辫子和光杆断脱亦会造成伤亡事故。</w:t>
      </w:r>
    </w:p>
    <w:p w:rsidR="00F95F9B" w:rsidRDefault="00000000">
      <w:pPr>
        <w:widowControl w:val="0"/>
        <w:autoSpaceDE w:val="0"/>
        <w:adjustRightInd w:val="0"/>
        <w:snapToGrid w:val="0"/>
        <w:ind w:firstLine="470"/>
        <w:rPr>
          <w:szCs w:val="24"/>
        </w:rPr>
      </w:pPr>
      <w:r>
        <w:rPr>
          <w:rFonts w:hint="eastAsia"/>
          <w:szCs w:val="24"/>
        </w:rPr>
        <w:t>2</w:t>
      </w:r>
      <w:r>
        <w:rPr>
          <w:rFonts w:hint="eastAsia"/>
          <w:szCs w:val="24"/>
        </w:rPr>
        <w:t>）</w:t>
      </w:r>
      <w:r>
        <w:rPr>
          <w:rFonts w:ascii="宋体" w:hAnsi="宋体" w:hint="eastAsia"/>
          <w:szCs w:val="24"/>
        </w:rPr>
        <w:t>机械伤害</w:t>
      </w:r>
    </w:p>
    <w:p w:rsidR="00F95F9B" w:rsidRDefault="00000000">
      <w:pPr>
        <w:widowControl w:val="0"/>
        <w:autoSpaceDE w:val="0"/>
        <w:adjustRightInd w:val="0"/>
        <w:snapToGrid w:val="0"/>
        <w:ind w:firstLine="470"/>
        <w:rPr>
          <w:szCs w:val="24"/>
        </w:rPr>
      </w:pPr>
      <w:r>
        <w:rPr>
          <w:rFonts w:ascii="宋体" w:hAnsi="宋体" w:hint="eastAsia"/>
          <w:szCs w:val="24"/>
        </w:rPr>
        <w:t>皮带机抽油机电机动力由皮带传送到减速器的皮带轮上，由于油田的游梁式抽油机大部分没有安装皮带轮防护罩，在抽油机运行的状态下，井场职工巡回检查和外部其他人员靠近、接触旋转的皮带轮或皮带，易造成皮带挤手或皮带轮绞住工作服进而把人绞伤事故，女职工的长发绞入皮带轮会造成伤亡事故等。</w:t>
      </w:r>
    </w:p>
    <w:p w:rsidR="00F95F9B" w:rsidRDefault="00000000">
      <w:pPr>
        <w:widowControl w:val="0"/>
        <w:autoSpaceDE w:val="0"/>
        <w:adjustRightInd w:val="0"/>
        <w:snapToGrid w:val="0"/>
        <w:ind w:firstLine="470"/>
        <w:rPr>
          <w:szCs w:val="24"/>
        </w:rPr>
      </w:pPr>
      <w:r>
        <w:rPr>
          <w:rFonts w:ascii="宋体" w:hAnsi="宋体" w:hint="eastAsia"/>
          <w:szCs w:val="24"/>
        </w:rPr>
        <w:t>游梁式抽油机的刹车系统分手摇外抱式刹车和手拉外抱式刹车，主要作用是根据工作需要把抽油机固定在某一位置，然后对抽油机进行维修调整作业。如果刹车失灵，抽油机突然转动，可能造成机械伤害。</w:t>
      </w:r>
    </w:p>
    <w:p w:rsidR="00F95F9B" w:rsidRDefault="00000000">
      <w:pPr>
        <w:widowControl w:val="0"/>
        <w:autoSpaceDE w:val="0"/>
        <w:adjustRightInd w:val="0"/>
        <w:snapToGrid w:val="0"/>
        <w:ind w:firstLine="470"/>
        <w:rPr>
          <w:szCs w:val="24"/>
        </w:rPr>
      </w:pPr>
      <w:r>
        <w:rPr>
          <w:rFonts w:ascii="宋体" w:hAnsi="宋体" w:hint="eastAsia"/>
          <w:szCs w:val="24"/>
        </w:rPr>
        <w:t>采油井场职工攀登抽油机攀梯到操作平台，对抽油机的游梁和轴承等部位进行检查时，如果不停抽油机、可靠刹车，则当抽油机驴头转动至离攀梯较近的位置时，转动的驴头碰到攀梯职工，可能造成机械伤害。</w:t>
      </w:r>
    </w:p>
    <w:p w:rsidR="00F95F9B" w:rsidRDefault="00000000">
      <w:pPr>
        <w:widowControl w:val="0"/>
        <w:autoSpaceDE w:val="0"/>
        <w:adjustRightInd w:val="0"/>
        <w:snapToGrid w:val="0"/>
        <w:ind w:firstLine="470"/>
        <w:rPr>
          <w:szCs w:val="24"/>
        </w:rPr>
      </w:pPr>
      <w:r>
        <w:rPr>
          <w:rFonts w:hint="eastAsia"/>
          <w:szCs w:val="24"/>
        </w:rPr>
        <w:lastRenderedPageBreak/>
        <w:t>3</w:t>
      </w:r>
      <w:r>
        <w:rPr>
          <w:rFonts w:hint="eastAsia"/>
          <w:szCs w:val="24"/>
        </w:rPr>
        <w:t>）</w:t>
      </w:r>
      <w:r>
        <w:rPr>
          <w:rFonts w:ascii="宋体" w:hAnsi="宋体" w:hint="eastAsia"/>
          <w:szCs w:val="24"/>
        </w:rPr>
        <w:t>高处坠落</w:t>
      </w:r>
    </w:p>
    <w:p w:rsidR="00F95F9B" w:rsidRDefault="00000000">
      <w:pPr>
        <w:widowControl w:val="0"/>
        <w:autoSpaceDE w:val="0"/>
        <w:adjustRightInd w:val="0"/>
        <w:snapToGrid w:val="0"/>
        <w:ind w:firstLine="470"/>
        <w:rPr>
          <w:szCs w:val="24"/>
        </w:rPr>
      </w:pPr>
      <w:r>
        <w:rPr>
          <w:rFonts w:ascii="宋体" w:hAnsi="宋体" w:hint="eastAsia"/>
          <w:szCs w:val="24"/>
        </w:rPr>
        <w:t>站在游梁式抽油机减速箱上进行维修操作属于高处作业，减速箱上壳的外形使操作者不易站稳，易造成操作者作业过程中坠落的摔伤事故；</w:t>
      </w:r>
    </w:p>
    <w:p w:rsidR="00F95F9B" w:rsidRDefault="00000000">
      <w:pPr>
        <w:widowControl w:val="0"/>
        <w:autoSpaceDE w:val="0"/>
        <w:adjustRightInd w:val="0"/>
        <w:snapToGrid w:val="0"/>
        <w:ind w:firstLine="470"/>
        <w:rPr>
          <w:szCs w:val="24"/>
        </w:rPr>
      </w:pPr>
      <w:r>
        <w:rPr>
          <w:rFonts w:ascii="宋体" w:hAnsi="宋体" w:hint="eastAsia"/>
          <w:szCs w:val="24"/>
        </w:rPr>
        <w:t>抽油机操作台是方便采油井场职工维修作业而设置的，属于高处作业，稍有不慎就有坠落的危险。操作者站在抽油机操作台维修作业时，工具和配件易从上面坠落砸伤抽油机下面的配合作业的人员，造成事故。</w:t>
      </w:r>
    </w:p>
    <w:p w:rsidR="00F95F9B" w:rsidRDefault="00000000">
      <w:pPr>
        <w:widowControl w:val="0"/>
        <w:autoSpaceDE w:val="0"/>
        <w:adjustRightInd w:val="0"/>
        <w:snapToGrid w:val="0"/>
        <w:ind w:firstLine="470"/>
        <w:rPr>
          <w:szCs w:val="24"/>
        </w:rPr>
      </w:pPr>
      <w:r>
        <w:rPr>
          <w:rFonts w:hint="eastAsia"/>
          <w:szCs w:val="24"/>
        </w:rPr>
        <w:t>4</w:t>
      </w:r>
      <w:r>
        <w:rPr>
          <w:rFonts w:hint="eastAsia"/>
          <w:szCs w:val="24"/>
        </w:rPr>
        <w:t>）</w:t>
      </w:r>
      <w:r>
        <w:rPr>
          <w:rFonts w:ascii="宋体" w:hAnsi="宋体" w:hint="eastAsia"/>
          <w:szCs w:val="24"/>
        </w:rPr>
        <w:t>触电</w:t>
      </w:r>
    </w:p>
    <w:p w:rsidR="00F95F9B" w:rsidRDefault="00000000">
      <w:pPr>
        <w:widowControl w:val="0"/>
        <w:autoSpaceDE w:val="0"/>
        <w:adjustRightInd w:val="0"/>
        <w:snapToGrid w:val="0"/>
        <w:ind w:firstLine="470"/>
        <w:rPr>
          <w:szCs w:val="24"/>
        </w:rPr>
      </w:pPr>
      <w:r>
        <w:rPr>
          <w:rFonts w:ascii="宋体" w:hAnsi="宋体" w:hint="eastAsia"/>
          <w:szCs w:val="24"/>
        </w:rPr>
        <w:t>游梁式抽油机的电动机内部绝缘损坏、绝缘能力降低和电机接线损坏等会使电机漏电产生危险。采油井场职工和外部其他人员一旦接触，易发生触电；</w:t>
      </w:r>
    </w:p>
    <w:p w:rsidR="00F95F9B" w:rsidRDefault="00000000">
      <w:pPr>
        <w:widowControl w:val="0"/>
        <w:autoSpaceDE w:val="0"/>
        <w:adjustRightInd w:val="0"/>
        <w:snapToGrid w:val="0"/>
        <w:ind w:firstLine="470"/>
        <w:rPr>
          <w:szCs w:val="24"/>
        </w:rPr>
      </w:pPr>
      <w:r>
        <w:rPr>
          <w:rFonts w:ascii="宋体" w:hAnsi="宋体" w:hint="eastAsia"/>
          <w:szCs w:val="24"/>
        </w:rPr>
        <w:t>由于抽油机电机电缆的老化、轧伤、碰损等都会产生漏电危险，要警惕漏电电缆接触地面造成跨步电压触电危险。</w:t>
      </w:r>
    </w:p>
    <w:p w:rsidR="00F95F9B" w:rsidRDefault="00000000">
      <w:pPr>
        <w:widowControl w:val="0"/>
        <w:autoSpaceDE w:val="0"/>
        <w:adjustRightInd w:val="0"/>
        <w:snapToGrid w:val="0"/>
        <w:ind w:firstLine="470"/>
      </w:pPr>
      <w:r>
        <w:rPr>
          <w:rFonts w:ascii="宋体" w:hAnsi="宋体" w:hint="eastAsia"/>
          <w:szCs w:val="24"/>
        </w:rPr>
        <w:t>抽油机节电控制箱安装在井场抽油机附近，进线电缆来自井场配电变压器，出线电缆送往抽油机电机，是用来控制抽油机工作状态的配电设备。由于抽油机节电控制箱内的电气线路老化、损坏和绝缘能力降低等原因，可能造成抽油机节电控制箱外壳或操作的开关部分带电，采油井场职工和其他人员一旦接触，易发生电击和电伤事故，重则造成触电死亡。</w:t>
      </w:r>
    </w:p>
    <w:p w:rsidR="00F95F9B" w:rsidRDefault="00000000">
      <w:pPr>
        <w:pStyle w:val="4"/>
        <w:keepNext w:val="0"/>
        <w:keepLines w:val="0"/>
        <w:widowControl w:val="0"/>
        <w:adjustRightInd w:val="0"/>
        <w:snapToGrid w:val="0"/>
      </w:pPr>
      <w:r>
        <w:rPr>
          <w:rFonts w:hint="eastAsia"/>
        </w:rPr>
        <w:t>油气管线</w:t>
      </w:r>
    </w:p>
    <w:p w:rsidR="00F95F9B" w:rsidRDefault="00000000">
      <w:pPr>
        <w:widowControl w:val="0"/>
        <w:autoSpaceDE w:val="0"/>
        <w:adjustRightInd w:val="0"/>
        <w:snapToGrid w:val="0"/>
        <w:ind w:firstLine="470"/>
        <w:rPr>
          <w:szCs w:val="24"/>
        </w:rPr>
      </w:pPr>
      <w:r>
        <w:rPr>
          <w:rFonts w:ascii="宋体" w:hAnsi="宋体" w:hint="eastAsia"/>
          <w:szCs w:val="24"/>
        </w:rPr>
        <w:t>主要包括油气外输管线、单井管线、集油管线等。管道输送的介质主要是含水原油、天然气、伴生气。其在输送过程中存在一定的压力和温度，正常情况下是在密闭的管线中及密闭性良好的设备间加热输送，设施危险、有害因素主要有油气泄漏后遇明火造成的火灾、爆炸、中毒事故，造成油气泄漏原因有以下几点。</w:t>
      </w:r>
    </w:p>
    <w:p w:rsidR="00F95F9B" w:rsidRDefault="00000000">
      <w:pPr>
        <w:widowControl w:val="0"/>
        <w:autoSpaceDE w:val="0"/>
        <w:adjustRightInd w:val="0"/>
        <w:snapToGrid w:val="0"/>
        <w:ind w:firstLine="470"/>
        <w:rPr>
          <w:szCs w:val="24"/>
        </w:rPr>
      </w:pPr>
      <w:r>
        <w:rPr>
          <w:rFonts w:hint="eastAsia"/>
          <w:szCs w:val="24"/>
        </w:rPr>
        <w:t>1</w:t>
      </w:r>
      <w:r>
        <w:rPr>
          <w:rFonts w:hint="eastAsia"/>
          <w:szCs w:val="24"/>
        </w:rPr>
        <w:t>）</w:t>
      </w:r>
      <w:r>
        <w:rPr>
          <w:rFonts w:ascii="宋体" w:hAnsi="宋体" w:hint="eastAsia"/>
          <w:szCs w:val="24"/>
        </w:rPr>
        <w:t>设计缺陷</w:t>
      </w:r>
    </w:p>
    <w:p w:rsidR="00F95F9B" w:rsidRDefault="00000000">
      <w:pPr>
        <w:widowControl w:val="0"/>
        <w:autoSpaceDE w:val="0"/>
        <w:adjustRightInd w:val="0"/>
        <w:snapToGrid w:val="0"/>
        <w:ind w:firstLine="470"/>
        <w:rPr>
          <w:szCs w:val="24"/>
        </w:rPr>
      </w:pPr>
      <w:r>
        <w:rPr>
          <w:rFonts w:ascii="宋体" w:hAnsi="宋体" w:hint="eastAsia"/>
          <w:szCs w:val="24"/>
        </w:rPr>
        <w:t>管道设计过程中根据输送能力选用管径、材质时存在缺陷，容易留下隐患。如未根据地区等级合理选择管道安全系数，管径选用过细，管壁过薄，导致管线流速大，压降过大，易加大管线的负荷，影响管线的运行寿命。站内架空管线高度不满足要求，车辆碰撞导致损坏等。</w:t>
      </w:r>
    </w:p>
    <w:p w:rsidR="00F95F9B" w:rsidRDefault="00000000">
      <w:pPr>
        <w:widowControl w:val="0"/>
        <w:autoSpaceDE w:val="0"/>
        <w:adjustRightInd w:val="0"/>
        <w:snapToGrid w:val="0"/>
        <w:ind w:firstLine="470"/>
        <w:rPr>
          <w:szCs w:val="24"/>
        </w:rPr>
      </w:pPr>
      <w:r>
        <w:rPr>
          <w:rFonts w:hint="eastAsia"/>
          <w:szCs w:val="24"/>
        </w:rPr>
        <w:t>2</w:t>
      </w:r>
      <w:r>
        <w:rPr>
          <w:rFonts w:hint="eastAsia"/>
          <w:szCs w:val="24"/>
        </w:rPr>
        <w:t>）</w:t>
      </w:r>
      <w:r>
        <w:rPr>
          <w:rFonts w:ascii="宋体" w:hAnsi="宋体" w:hint="eastAsia"/>
          <w:szCs w:val="24"/>
        </w:rPr>
        <w:t>凝管</w:t>
      </w:r>
    </w:p>
    <w:p w:rsidR="00F95F9B" w:rsidRDefault="00000000">
      <w:pPr>
        <w:widowControl w:val="0"/>
        <w:autoSpaceDE w:val="0"/>
        <w:adjustRightInd w:val="0"/>
        <w:snapToGrid w:val="0"/>
        <w:ind w:firstLine="470"/>
        <w:rPr>
          <w:szCs w:val="24"/>
        </w:rPr>
      </w:pPr>
      <w:r>
        <w:rPr>
          <w:rFonts w:ascii="宋体" w:hAnsi="宋体" w:hint="eastAsia"/>
          <w:szCs w:val="24"/>
        </w:rPr>
        <w:t>原油集输管线、天然气单井管线以埋地敷设方式为主，若埋地深度达不到最大冻土深度以下，或因其他原因造成覆土层变薄甚至使管线裸露或保温层不完善等原因会因冬季低温影响，造成凝管危险。凝管严重的情况下容易形成憋压，导致管线破裂。</w:t>
      </w:r>
    </w:p>
    <w:p w:rsidR="00F95F9B" w:rsidRDefault="00000000">
      <w:pPr>
        <w:widowControl w:val="0"/>
        <w:autoSpaceDE w:val="0"/>
        <w:adjustRightInd w:val="0"/>
        <w:snapToGrid w:val="0"/>
        <w:ind w:firstLine="470"/>
        <w:rPr>
          <w:szCs w:val="24"/>
        </w:rPr>
      </w:pPr>
      <w:r>
        <w:rPr>
          <w:rFonts w:hint="eastAsia"/>
          <w:szCs w:val="24"/>
        </w:rPr>
        <w:lastRenderedPageBreak/>
        <w:t>3</w:t>
      </w:r>
      <w:r>
        <w:rPr>
          <w:rFonts w:hint="eastAsia"/>
          <w:szCs w:val="24"/>
        </w:rPr>
        <w:t>）</w:t>
      </w:r>
      <w:r>
        <w:rPr>
          <w:rFonts w:ascii="宋体" w:hAnsi="宋体" w:hint="eastAsia"/>
          <w:szCs w:val="24"/>
        </w:rPr>
        <w:t>冲蚀、内磨蚀</w:t>
      </w:r>
    </w:p>
    <w:p w:rsidR="00F95F9B" w:rsidRDefault="00000000">
      <w:pPr>
        <w:widowControl w:val="0"/>
        <w:autoSpaceDE w:val="0"/>
        <w:adjustRightInd w:val="0"/>
        <w:snapToGrid w:val="0"/>
        <w:ind w:firstLine="470"/>
        <w:rPr>
          <w:szCs w:val="24"/>
        </w:rPr>
      </w:pPr>
      <w:r>
        <w:rPr>
          <w:rFonts w:ascii="宋体" w:hAnsi="宋体" w:hint="eastAsia"/>
          <w:szCs w:val="24"/>
        </w:rPr>
        <w:t>井区原油物性含盐水等杂质较多，管路中原油的流速过大，超过冲蚀速度时，会产生冲蚀现象，其结果会对弯头、三通等造成损害。同时原油中存在的盐等砂粒，对管壁产生磨蚀。</w:t>
      </w:r>
    </w:p>
    <w:p w:rsidR="00F95F9B" w:rsidRDefault="00000000">
      <w:pPr>
        <w:widowControl w:val="0"/>
        <w:autoSpaceDE w:val="0"/>
        <w:adjustRightInd w:val="0"/>
        <w:snapToGrid w:val="0"/>
        <w:ind w:firstLine="470"/>
        <w:rPr>
          <w:szCs w:val="24"/>
        </w:rPr>
      </w:pPr>
      <w:r>
        <w:rPr>
          <w:rFonts w:hint="eastAsia"/>
          <w:szCs w:val="24"/>
        </w:rPr>
        <w:t>4</w:t>
      </w:r>
      <w:r>
        <w:rPr>
          <w:rFonts w:hint="eastAsia"/>
          <w:szCs w:val="24"/>
        </w:rPr>
        <w:t>）</w:t>
      </w:r>
      <w:r>
        <w:rPr>
          <w:rFonts w:ascii="宋体" w:hAnsi="宋体" w:hint="eastAsia"/>
          <w:szCs w:val="24"/>
        </w:rPr>
        <w:t>外腐蚀</w:t>
      </w:r>
    </w:p>
    <w:p w:rsidR="00F95F9B" w:rsidRDefault="00000000">
      <w:pPr>
        <w:widowControl w:val="0"/>
        <w:autoSpaceDE w:val="0"/>
        <w:adjustRightInd w:val="0"/>
        <w:snapToGrid w:val="0"/>
        <w:ind w:firstLine="470"/>
        <w:rPr>
          <w:szCs w:val="24"/>
        </w:rPr>
      </w:pPr>
      <w:r>
        <w:rPr>
          <w:rFonts w:ascii="宋体" w:hAnsi="宋体" w:hint="eastAsia"/>
          <w:szCs w:val="24"/>
        </w:rPr>
        <w:t>管线埋地敷设时，土壤颗粒中充满着空气、水和不同的盐类，其中水分和可溶性盐类的存在使土壤能进行离子导电，具有电解质溶液的特征，因而金属在土壤中将发生电化学腐蚀。土壤中由于细菌作用而引起的腐蚀，称为细菌腐蚀（或微生物腐蚀），也是埋地管道腐蚀的原因之一。</w:t>
      </w:r>
    </w:p>
    <w:p w:rsidR="00F95F9B" w:rsidRDefault="00000000">
      <w:pPr>
        <w:widowControl w:val="0"/>
        <w:autoSpaceDE w:val="0"/>
        <w:adjustRightInd w:val="0"/>
        <w:snapToGrid w:val="0"/>
        <w:ind w:firstLine="470"/>
        <w:rPr>
          <w:szCs w:val="24"/>
        </w:rPr>
      </w:pPr>
      <w:r>
        <w:rPr>
          <w:rFonts w:ascii="宋体" w:hAnsi="宋体" w:hint="eastAsia"/>
          <w:szCs w:val="24"/>
        </w:rPr>
        <w:t>站内地面管线如果未采用管墩架设或架设高度无法达到规范要求，造成管线半埋于土壤之中，会加速腐蚀。</w:t>
      </w:r>
    </w:p>
    <w:p w:rsidR="00F95F9B" w:rsidRDefault="00000000">
      <w:pPr>
        <w:widowControl w:val="0"/>
        <w:autoSpaceDE w:val="0"/>
        <w:adjustRightInd w:val="0"/>
        <w:snapToGrid w:val="0"/>
        <w:ind w:firstLine="470"/>
        <w:rPr>
          <w:szCs w:val="24"/>
        </w:rPr>
      </w:pPr>
      <w:r>
        <w:rPr>
          <w:rFonts w:ascii="宋体" w:hAnsi="宋体" w:hint="eastAsia"/>
          <w:szCs w:val="24"/>
        </w:rPr>
        <w:t>由于工业和民用用电有意、无意地排入或漏泄至大地，土壤中有杂散电流流入管道，因而发生电解作用，电解池的阳极是遭受腐蚀部位。</w:t>
      </w:r>
    </w:p>
    <w:p w:rsidR="00F95F9B" w:rsidRDefault="00000000">
      <w:pPr>
        <w:widowControl w:val="0"/>
        <w:autoSpaceDE w:val="0"/>
        <w:adjustRightInd w:val="0"/>
        <w:snapToGrid w:val="0"/>
        <w:ind w:firstLine="470"/>
        <w:rPr>
          <w:szCs w:val="24"/>
        </w:rPr>
      </w:pPr>
      <w:r>
        <w:rPr>
          <w:rFonts w:hint="eastAsia"/>
          <w:szCs w:val="24"/>
        </w:rPr>
        <w:t>5</w:t>
      </w:r>
      <w:r>
        <w:rPr>
          <w:rFonts w:hint="eastAsia"/>
          <w:szCs w:val="24"/>
        </w:rPr>
        <w:t>）</w:t>
      </w:r>
      <w:r>
        <w:rPr>
          <w:rFonts w:ascii="宋体" w:hAnsi="宋体" w:hint="eastAsia"/>
          <w:szCs w:val="24"/>
        </w:rPr>
        <w:t>第三方破坏</w:t>
      </w:r>
    </w:p>
    <w:p w:rsidR="00F95F9B" w:rsidRDefault="00000000">
      <w:pPr>
        <w:widowControl w:val="0"/>
        <w:autoSpaceDE w:val="0"/>
        <w:adjustRightInd w:val="0"/>
        <w:snapToGrid w:val="0"/>
        <w:ind w:firstLine="470"/>
        <w:rPr>
          <w:szCs w:val="24"/>
        </w:rPr>
      </w:pPr>
      <w:r>
        <w:rPr>
          <w:rFonts w:ascii="宋体" w:hAnsi="宋体" w:hint="eastAsia"/>
          <w:szCs w:val="24"/>
        </w:rPr>
        <w:t>包括施工破坏、打孔盗油、违章占压等，易造成输油、气管线的泄漏。</w:t>
      </w:r>
    </w:p>
    <w:p w:rsidR="00F95F9B" w:rsidRDefault="00000000">
      <w:pPr>
        <w:widowControl w:val="0"/>
        <w:autoSpaceDE w:val="0"/>
        <w:adjustRightInd w:val="0"/>
        <w:snapToGrid w:val="0"/>
        <w:ind w:firstLine="470"/>
        <w:rPr>
          <w:szCs w:val="24"/>
        </w:rPr>
      </w:pPr>
      <w:r>
        <w:rPr>
          <w:rFonts w:hint="eastAsia"/>
          <w:szCs w:val="24"/>
        </w:rPr>
        <w:t>6</w:t>
      </w:r>
      <w:r>
        <w:rPr>
          <w:rFonts w:hint="eastAsia"/>
          <w:szCs w:val="24"/>
        </w:rPr>
        <w:t>）</w:t>
      </w:r>
      <w:r>
        <w:rPr>
          <w:rFonts w:ascii="宋体" w:hAnsi="宋体" w:hint="eastAsia"/>
          <w:szCs w:val="24"/>
        </w:rPr>
        <w:t>其他</w:t>
      </w:r>
    </w:p>
    <w:p w:rsidR="00F95F9B" w:rsidRDefault="00000000">
      <w:pPr>
        <w:widowControl w:val="0"/>
        <w:autoSpaceDE w:val="0"/>
        <w:adjustRightInd w:val="0"/>
        <w:snapToGrid w:val="0"/>
        <w:ind w:firstLine="470"/>
        <w:rPr>
          <w:szCs w:val="24"/>
        </w:rPr>
      </w:pPr>
      <w:r>
        <w:rPr>
          <w:rFonts w:ascii="宋体" w:hAnsi="宋体" w:hint="eastAsia"/>
          <w:szCs w:val="24"/>
        </w:rPr>
        <w:t>管线埋深不足遇暴雨、洪水冲刷导致管线裸露在外遭受破坏；地震导致管线造成断裂等等。站内储罐进出口管线若未采用柔性连接，随着储罐基础的沉降、地震破坏，管道受到的应力会逐渐增大，有可能造成管道断裂事故。</w:t>
      </w:r>
    </w:p>
    <w:p w:rsidR="00F95F9B" w:rsidRDefault="00000000">
      <w:pPr>
        <w:widowControl w:val="0"/>
        <w:autoSpaceDE w:val="0"/>
        <w:adjustRightInd w:val="0"/>
        <w:snapToGrid w:val="0"/>
        <w:ind w:firstLine="470"/>
        <w:rPr>
          <w:rFonts w:ascii="宋体" w:hAnsi="宋体"/>
          <w:szCs w:val="24"/>
        </w:rPr>
      </w:pPr>
      <w:r>
        <w:rPr>
          <w:rFonts w:ascii="宋体" w:hAnsi="宋体" w:hint="eastAsia"/>
          <w:szCs w:val="24"/>
        </w:rPr>
        <w:t>目前部分单井或集油管线越来越多的采用非金属材质，主要有塑料合金复合管、热塑性塑料复合管等。非金属管道具有防腐蚀性能强、输送能力高的优点，但也存在如耐温性差、质量参差不齐、施工维护要求高等问题，是造成管线破裂、泄漏的重要因素。</w:t>
      </w:r>
    </w:p>
    <w:p w:rsidR="00F95F9B" w:rsidRDefault="00000000">
      <w:pPr>
        <w:pStyle w:val="3"/>
        <w:keepNext w:val="0"/>
        <w:keepLines w:val="0"/>
        <w:widowControl w:val="0"/>
        <w:adjustRightInd w:val="0"/>
        <w:snapToGrid w:val="0"/>
        <w:ind w:left="0"/>
      </w:pPr>
      <w:r>
        <w:rPr>
          <w:rFonts w:hint="eastAsia"/>
        </w:rPr>
        <w:t>采出水处理及注入（聚）系统</w:t>
      </w:r>
    </w:p>
    <w:p w:rsidR="00F95F9B" w:rsidRDefault="00000000">
      <w:pPr>
        <w:pStyle w:val="4"/>
        <w:keepNext w:val="0"/>
        <w:keepLines w:val="0"/>
        <w:widowControl w:val="0"/>
        <w:adjustRightInd w:val="0"/>
        <w:snapToGrid w:val="0"/>
      </w:pPr>
      <w:r>
        <w:rPr>
          <w:rFonts w:hint="eastAsia"/>
        </w:rPr>
        <w:t>采出水处理设施</w:t>
      </w:r>
    </w:p>
    <w:p w:rsidR="00F95F9B" w:rsidRDefault="00000000">
      <w:pPr>
        <w:adjustRightInd w:val="0"/>
        <w:snapToGrid w:val="0"/>
        <w:ind w:firstLine="470"/>
        <w:rPr>
          <w:szCs w:val="24"/>
        </w:rPr>
      </w:pPr>
      <w:r>
        <w:rPr>
          <w:rFonts w:ascii="宋体" w:hAnsi="宋体" w:hint="eastAsia"/>
          <w:szCs w:val="24"/>
        </w:rPr>
        <w:t>采出水处理设施包括过滤器、缓冲罐、除油罐，污水提升泵，回注泵等设施。</w:t>
      </w:r>
    </w:p>
    <w:p w:rsidR="00F95F9B" w:rsidRDefault="00000000">
      <w:pPr>
        <w:autoSpaceDE w:val="0"/>
        <w:adjustRightInd w:val="0"/>
        <w:snapToGrid w:val="0"/>
        <w:ind w:firstLine="470"/>
        <w:rPr>
          <w:szCs w:val="24"/>
        </w:rPr>
      </w:pPr>
      <w:r>
        <w:rPr>
          <w:rFonts w:ascii="宋体" w:hAnsi="宋体" w:hint="eastAsia"/>
          <w:szCs w:val="24"/>
        </w:rPr>
        <w:t>密闭的除油罐、沉降罐内的污油挥发的油蒸气与空气混合，当混合蒸气的浓度达到爆炸极限范围时或污油泄漏时遇点火源（包括明火、电气火花等）可能引起火灾爆炸。</w:t>
      </w:r>
    </w:p>
    <w:p w:rsidR="00F95F9B" w:rsidRDefault="00000000">
      <w:pPr>
        <w:autoSpaceDE w:val="0"/>
        <w:adjustRightInd w:val="0"/>
        <w:snapToGrid w:val="0"/>
        <w:ind w:firstLine="470"/>
        <w:rPr>
          <w:szCs w:val="24"/>
        </w:rPr>
      </w:pPr>
      <w:r>
        <w:rPr>
          <w:rFonts w:ascii="宋体" w:hAnsi="宋体" w:hint="eastAsia"/>
          <w:szCs w:val="24"/>
        </w:rPr>
        <w:t>进入密闭的除油罐、沉降罐内作业时，由于污油蒸汽浓度过高，作业人员违反安全操作规程或未采取可靠的防护措施，易发生中毒事故。</w:t>
      </w:r>
    </w:p>
    <w:p w:rsidR="00F95F9B" w:rsidRDefault="00000000">
      <w:pPr>
        <w:autoSpaceDE w:val="0"/>
        <w:adjustRightInd w:val="0"/>
        <w:snapToGrid w:val="0"/>
        <w:ind w:firstLine="470"/>
        <w:rPr>
          <w:szCs w:val="24"/>
        </w:rPr>
      </w:pPr>
      <w:r>
        <w:rPr>
          <w:rFonts w:ascii="宋体" w:hAnsi="宋体" w:hint="eastAsia"/>
          <w:szCs w:val="24"/>
        </w:rPr>
        <w:lastRenderedPageBreak/>
        <w:t>进入罐类设备作业属于进入受限空间作业，若未进行氧含量测试，人员贸然进罐，有窒息的可能。</w:t>
      </w:r>
    </w:p>
    <w:p w:rsidR="00F95F9B" w:rsidRDefault="00000000">
      <w:pPr>
        <w:autoSpaceDE w:val="0"/>
        <w:adjustRightInd w:val="0"/>
        <w:snapToGrid w:val="0"/>
        <w:ind w:firstLine="470"/>
        <w:rPr>
          <w:szCs w:val="24"/>
        </w:rPr>
      </w:pPr>
      <w:r>
        <w:rPr>
          <w:rFonts w:ascii="宋体" w:hAnsi="宋体" w:hint="eastAsia"/>
          <w:szCs w:val="24"/>
        </w:rPr>
        <w:t>采出水中硫酸盐还原菌超标大量滋生，产生硫化氢，导致管道腐蚀和原油酸化，危害环境和健康。</w:t>
      </w:r>
    </w:p>
    <w:p w:rsidR="00F95F9B" w:rsidRDefault="00000000">
      <w:pPr>
        <w:pStyle w:val="4"/>
        <w:keepNext w:val="0"/>
        <w:keepLines w:val="0"/>
        <w:widowControl w:val="0"/>
        <w:adjustRightInd w:val="0"/>
        <w:snapToGrid w:val="0"/>
      </w:pPr>
      <w:r>
        <w:rPr>
          <w:rFonts w:hint="eastAsia"/>
        </w:rPr>
        <w:t>高压注水阀组</w:t>
      </w:r>
    </w:p>
    <w:p w:rsidR="00F95F9B" w:rsidRDefault="00000000">
      <w:pPr>
        <w:autoSpaceDE w:val="0"/>
        <w:adjustRightInd w:val="0"/>
        <w:snapToGrid w:val="0"/>
        <w:ind w:firstLine="470"/>
      </w:pPr>
      <w:r>
        <w:rPr>
          <w:rFonts w:ascii="宋体" w:hAnsi="宋体" w:hint="eastAsia"/>
          <w:szCs w:val="24"/>
        </w:rPr>
        <w:t>配水间、注水站内的高压阀组、流量计均要承受很大的压力。若存在设备选材、试压、检查、安装、固定不当，或操作人员操作维护有误，则会造成阀门、闸阀刺漏，设备阀门等打出对周围人员造成冲击，打击人员会造成人员伤亡事故，严重时还会损毁房屋设备。</w:t>
      </w:r>
    </w:p>
    <w:p w:rsidR="00F95F9B" w:rsidRDefault="00000000">
      <w:pPr>
        <w:pStyle w:val="4"/>
        <w:keepNext w:val="0"/>
        <w:keepLines w:val="0"/>
        <w:widowControl w:val="0"/>
        <w:adjustRightInd w:val="0"/>
        <w:snapToGrid w:val="0"/>
      </w:pPr>
      <w:r>
        <w:rPr>
          <w:rFonts w:hint="eastAsia"/>
        </w:rPr>
        <w:t>注水（聚）管线</w:t>
      </w:r>
    </w:p>
    <w:p w:rsidR="00F95F9B" w:rsidRDefault="00000000">
      <w:pPr>
        <w:widowControl w:val="0"/>
        <w:autoSpaceDE w:val="0"/>
        <w:adjustRightInd w:val="0"/>
        <w:snapToGrid w:val="0"/>
        <w:ind w:firstLine="470"/>
        <w:rPr>
          <w:szCs w:val="24"/>
        </w:rPr>
      </w:pPr>
      <w:r>
        <w:rPr>
          <w:rFonts w:ascii="宋体" w:hAnsi="宋体"/>
          <w:szCs w:val="24"/>
        </w:rPr>
        <w:t>注水</w:t>
      </w:r>
      <w:r>
        <w:rPr>
          <w:rFonts w:ascii="宋体" w:hAnsi="宋体" w:hint="eastAsia"/>
          <w:szCs w:val="24"/>
        </w:rPr>
        <w:t>（聚）</w:t>
      </w:r>
      <w:r>
        <w:rPr>
          <w:rFonts w:ascii="宋体" w:hAnsi="宋体"/>
          <w:szCs w:val="24"/>
        </w:rPr>
        <w:t>管线压力</w:t>
      </w:r>
      <w:r>
        <w:rPr>
          <w:rFonts w:ascii="宋体" w:hAnsi="宋体" w:hint="eastAsia"/>
          <w:szCs w:val="24"/>
        </w:rPr>
        <w:t>较高</w:t>
      </w:r>
      <w:r>
        <w:rPr>
          <w:rFonts w:ascii="宋体" w:hAnsi="宋体"/>
          <w:szCs w:val="24"/>
        </w:rPr>
        <w:t>，一旦刺漏，高压</w:t>
      </w:r>
      <w:r>
        <w:rPr>
          <w:rFonts w:ascii="宋体" w:hAnsi="宋体" w:hint="eastAsia"/>
          <w:szCs w:val="24"/>
        </w:rPr>
        <w:t>注入物质</w:t>
      </w:r>
      <w:r>
        <w:rPr>
          <w:rFonts w:ascii="宋体" w:hAnsi="宋体"/>
          <w:szCs w:val="24"/>
        </w:rPr>
        <w:t>可对人体造成伤害。</w:t>
      </w:r>
      <w:r>
        <w:rPr>
          <w:rFonts w:ascii="宋体" w:hAnsi="宋体" w:hint="eastAsia"/>
          <w:szCs w:val="24"/>
        </w:rPr>
        <w:t>注入</w:t>
      </w:r>
      <w:r>
        <w:rPr>
          <w:rFonts w:ascii="宋体" w:hAnsi="宋体"/>
          <w:szCs w:val="24"/>
        </w:rPr>
        <w:t>管线采用玻璃钢管线，玻璃钢管线</w:t>
      </w:r>
      <w:r>
        <w:rPr>
          <w:rFonts w:ascii="宋体" w:hAnsi="宋体" w:hint="eastAsia"/>
          <w:szCs w:val="24"/>
        </w:rPr>
        <w:t>公</w:t>
      </w:r>
      <w:r>
        <w:rPr>
          <w:rFonts w:ascii="宋体" w:hAnsi="宋体"/>
          <w:szCs w:val="24"/>
        </w:rPr>
        <w:t>路，穿越公路的玻璃钢管线未按照设计施工，可导致玻璃钢管线破裂。埋深不足，套管尺寸太小，套管变形都可导致玻璃钢管线破裂，影响正常生产。</w:t>
      </w:r>
    </w:p>
    <w:p w:rsidR="00F95F9B" w:rsidRDefault="00000000">
      <w:pPr>
        <w:autoSpaceDE w:val="0"/>
        <w:adjustRightInd w:val="0"/>
        <w:snapToGrid w:val="0"/>
        <w:ind w:firstLine="470"/>
        <w:rPr>
          <w:rFonts w:ascii="宋体" w:hAnsi="宋体"/>
          <w:szCs w:val="24"/>
        </w:rPr>
      </w:pPr>
      <w:r>
        <w:rPr>
          <w:rFonts w:ascii="宋体" w:hAnsi="宋体"/>
          <w:szCs w:val="24"/>
        </w:rPr>
        <w:t>玻璃钢管线较脆，耐冲击力较差。在装卸过程中，吊装不当或操作失误，可致玻璃钢管线出现划痕而被破坏；磕碰、撞击可造成玻璃钢管线破裂。施工时，玻璃钢管线存放位置不当，使其与焊接、切割等明火接触，或与油类、酸、碱、盐等化学物质接触，导致玻璃钢管线出现鼓泡、溶解、分层等现象，管道内、外的螺纹未对直、对正，使用蛮力将螺纹拧紧，而导致螺纹损坏，都可使其强度降低，埋下安全隐患。埋地注</w:t>
      </w:r>
      <w:r>
        <w:rPr>
          <w:rFonts w:ascii="宋体" w:hAnsi="宋体" w:hint="eastAsia"/>
          <w:szCs w:val="24"/>
        </w:rPr>
        <w:t>入</w:t>
      </w:r>
      <w:r>
        <w:rPr>
          <w:rFonts w:ascii="宋体" w:hAnsi="宋体"/>
          <w:szCs w:val="24"/>
        </w:rPr>
        <w:t>管线穿孔后，高压水</w:t>
      </w:r>
      <w:r>
        <w:rPr>
          <w:rFonts w:ascii="宋体" w:hAnsi="宋体" w:hint="eastAsia"/>
          <w:szCs w:val="24"/>
        </w:rPr>
        <w:t>或注聚液</w:t>
      </w:r>
      <w:r>
        <w:rPr>
          <w:rFonts w:ascii="宋体" w:hAnsi="宋体"/>
          <w:szCs w:val="24"/>
        </w:rPr>
        <w:t>可将地下土壤掏空，形成地下空洞或导致地面塌陷，人员经过可能坠落其中，导致淹溺事故。</w:t>
      </w:r>
    </w:p>
    <w:p w:rsidR="00F95F9B" w:rsidRDefault="00000000">
      <w:pPr>
        <w:pStyle w:val="3"/>
        <w:keepNext w:val="0"/>
        <w:keepLines w:val="0"/>
        <w:widowControl w:val="0"/>
        <w:adjustRightInd w:val="0"/>
        <w:snapToGrid w:val="0"/>
        <w:ind w:left="0"/>
      </w:pPr>
      <w:r>
        <w:rPr>
          <w:rFonts w:hint="eastAsia"/>
        </w:rPr>
        <w:t>油气集输系统</w:t>
      </w:r>
    </w:p>
    <w:p w:rsidR="00F95F9B" w:rsidRDefault="00000000">
      <w:pPr>
        <w:pStyle w:val="4"/>
        <w:keepNext w:val="0"/>
        <w:keepLines w:val="0"/>
        <w:widowControl w:val="0"/>
        <w:adjustRightInd w:val="0"/>
        <w:snapToGrid w:val="0"/>
      </w:pPr>
      <w:bookmarkStart w:id="42" w:name="_Toc37668009"/>
      <w:bookmarkStart w:id="43" w:name="_Toc485657258"/>
      <w:bookmarkStart w:id="44" w:name="_Toc447874642"/>
      <w:r>
        <w:rPr>
          <w:rFonts w:hint="eastAsia"/>
        </w:rPr>
        <w:t>多功能罐</w:t>
      </w:r>
      <w:bookmarkEnd w:id="42"/>
      <w:bookmarkEnd w:id="43"/>
    </w:p>
    <w:p w:rsidR="00F95F9B" w:rsidRDefault="00000000">
      <w:pPr>
        <w:pStyle w:val="af9"/>
        <w:adjustRightInd w:val="0"/>
        <w:snapToGrid w:val="0"/>
        <w:spacing w:after="0"/>
        <w:ind w:firstLine="470"/>
      </w:pPr>
      <w:r>
        <w:rPr>
          <w:rFonts w:hint="eastAsia"/>
        </w:rPr>
        <w:t>1</w:t>
      </w:r>
      <w:r>
        <w:rPr>
          <w:rFonts w:hint="eastAsia"/>
        </w:rPr>
        <w:t>）</w:t>
      </w:r>
      <w:r>
        <w:t>火灾爆炸</w:t>
      </w:r>
    </w:p>
    <w:p w:rsidR="00F95F9B" w:rsidRDefault="00000000">
      <w:pPr>
        <w:pStyle w:val="af9"/>
        <w:adjustRightInd w:val="0"/>
        <w:snapToGrid w:val="0"/>
        <w:spacing w:after="0"/>
        <w:ind w:firstLine="470"/>
      </w:pPr>
      <w:r>
        <w:t>部分单井拉油井场设有多功能罐。多功能罐可以用气、原油和电进行加热。如果气源不稳，导致熄火，则泄漏的天然气遇火源会发生火灾事故，当泄漏的天然气达到爆炸极限，遇火源会发生爆炸。</w:t>
      </w:r>
    </w:p>
    <w:p w:rsidR="00F95F9B" w:rsidRDefault="00000000">
      <w:pPr>
        <w:pStyle w:val="af9"/>
        <w:adjustRightInd w:val="0"/>
        <w:snapToGrid w:val="0"/>
        <w:spacing w:after="0"/>
        <w:ind w:firstLine="470"/>
      </w:pPr>
      <w:r>
        <w:t>储罐燃料使用未净化处理的天然气，析出的凝液容易使燃料气管线堵塞或冻结，使燃料气供给中断，炉火熄灭。当被暂时堵塞的管线由于压力增高被冲开时，向炉膛内充气，甚至蔓延到炉外，易引起火灾。</w:t>
      </w:r>
    </w:p>
    <w:p w:rsidR="00F95F9B" w:rsidRDefault="00000000">
      <w:pPr>
        <w:pStyle w:val="af9"/>
        <w:adjustRightInd w:val="0"/>
        <w:snapToGrid w:val="0"/>
        <w:spacing w:after="0"/>
        <w:ind w:firstLine="470"/>
      </w:pPr>
      <w:r>
        <w:t>如果在点火前没有按规定进行吹扫，或由于突发原因熄火，再点火时没有吹扫燃烧室，可能发生爆炸事故。</w:t>
      </w:r>
    </w:p>
    <w:p w:rsidR="00F95F9B" w:rsidRDefault="00000000">
      <w:pPr>
        <w:pStyle w:val="af9"/>
        <w:adjustRightInd w:val="0"/>
        <w:snapToGrid w:val="0"/>
        <w:spacing w:after="0"/>
        <w:ind w:firstLine="470"/>
      </w:pPr>
      <w:r>
        <w:rPr>
          <w:rFonts w:hint="eastAsia"/>
        </w:rPr>
        <w:lastRenderedPageBreak/>
        <w:t>多功能罐、</w:t>
      </w:r>
      <w:r>
        <w:t>分离装置等承压设施，由于设计、制造原因存在先天缺陷，因腐蚀致使承压能力降低，或因操作失误超压运行，可导致物理爆炸。</w:t>
      </w:r>
    </w:p>
    <w:p w:rsidR="00F95F9B" w:rsidRDefault="00000000">
      <w:pPr>
        <w:pStyle w:val="af9"/>
        <w:adjustRightInd w:val="0"/>
        <w:snapToGrid w:val="0"/>
        <w:spacing w:after="0"/>
        <w:ind w:firstLine="470"/>
      </w:pPr>
      <w:r>
        <w:rPr>
          <w:rFonts w:hint="eastAsia"/>
        </w:rPr>
        <w:t>2</w:t>
      </w:r>
      <w:r>
        <w:rPr>
          <w:rFonts w:hint="eastAsia"/>
        </w:rPr>
        <w:t>）</w:t>
      </w:r>
      <w:r>
        <w:t>中毒窒息</w:t>
      </w:r>
    </w:p>
    <w:p w:rsidR="00F95F9B" w:rsidRDefault="00000000">
      <w:pPr>
        <w:pStyle w:val="af9"/>
        <w:adjustRightInd w:val="0"/>
        <w:snapToGrid w:val="0"/>
        <w:spacing w:after="0"/>
        <w:ind w:firstLine="470"/>
      </w:pPr>
      <w:r>
        <w:t>若燃料气管道、阀门处大量泄漏天然气，人体吸入高浓度天然气，会出现头晕、恶心、心率失调等，重者引起中毒窒息。</w:t>
      </w:r>
    </w:p>
    <w:p w:rsidR="00F95F9B" w:rsidRDefault="00000000">
      <w:pPr>
        <w:pStyle w:val="af9"/>
        <w:adjustRightInd w:val="0"/>
        <w:snapToGrid w:val="0"/>
        <w:spacing w:after="0"/>
        <w:ind w:firstLine="470"/>
      </w:pPr>
      <w:r>
        <w:rPr>
          <w:rFonts w:hint="eastAsia"/>
        </w:rPr>
        <w:t>3</w:t>
      </w:r>
      <w:r>
        <w:rPr>
          <w:rFonts w:hint="eastAsia"/>
        </w:rPr>
        <w:t>）</w:t>
      </w:r>
      <w:r>
        <w:t>烫伤</w:t>
      </w:r>
    </w:p>
    <w:p w:rsidR="00F95F9B" w:rsidRDefault="00000000">
      <w:pPr>
        <w:pStyle w:val="af9"/>
        <w:adjustRightInd w:val="0"/>
        <w:snapToGrid w:val="0"/>
        <w:spacing w:after="0"/>
        <w:ind w:firstLine="470"/>
      </w:pPr>
      <w:r>
        <w:t>井场原油储罐加热温度过高，造成原油外溢，可能造成人员烫伤。</w:t>
      </w:r>
    </w:p>
    <w:p w:rsidR="00F95F9B" w:rsidRDefault="00000000">
      <w:pPr>
        <w:pStyle w:val="4"/>
        <w:keepNext w:val="0"/>
        <w:keepLines w:val="0"/>
        <w:widowControl w:val="0"/>
        <w:adjustRightInd w:val="0"/>
        <w:snapToGrid w:val="0"/>
      </w:pPr>
      <w:bookmarkStart w:id="45" w:name="_Toc37668010"/>
      <w:bookmarkStart w:id="46" w:name="_Toc485657259"/>
      <w:r>
        <w:rPr>
          <w:rFonts w:hint="eastAsia"/>
        </w:rPr>
        <w:t>加热炉</w:t>
      </w:r>
      <w:bookmarkEnd w:id="44"/>
      <w:bookmarkEnd w:id="45"/>
      <w:bookmarkEnd w:id="46"/>
    </w:p>
    <w:p w:rsidR="00F95F9B" w:rsidRDefault="00000000">
      <w:pPr>
        <w:pStyle w:val="af9"/>
        <w:adjustRightInd w:val="0"/>
        <w:snapToGrid w:val="0"/>
        <w:spacing w:after="0"/>
        <w:ind w:firstLine="470"/>
      </w:pPr>
      <w:r>
        <w:t>站内加热炉的燃料采用天然气。其中天然气中可能含有硫化氢，加热炉操作间内，燃料气发生泄漏，有发生硫化氢中毒的危险。</w:t>
      </w:r>
    </w:p>
    <w:p w:rsidR="00F95F9B" w:rsidRDefault="00000000">
      <w:pPr>
        <w:adjustRightInd w:val="0"/>
        <w:snapToGrid w:val="0"/>
        <w:ind w:firstLine="470"/>
      </w:pPr>
      <w:r>
        <w:t>加热炉有操作条件不稳定，热负荷波动较大，连续运行的特点，如果不按规范操作，会造成炉管烧穿、爆管跑油，引起火灾爆炸事故。承压设施</w:t>
      </w:r>
      <w:r>
        <w:rPr>
          <w:rFonts w:hint="eastAsia"/>
        </w:rPr>
        <w:t>因各种原因</w:t>
      </w:r>
      <w:r>
        <w:t>可导致物理爆炸</w:t>
      </w:r>
      <w:r>
        <w:rPr>
          <w:rFonts w:hint="eastAsia"/>
        </w:rPr>
        <w:t>。</w:t>
      </w:r>
    </w:p>
    <w:p w:rsidR="00F95F9B" w:rsidRDefault="00000000">
      <w:pPr>
        <w:pStyle w:val="af9"/>
        <w:widowControl w:val="0"/>
        <w:adjustRightInd w:val="0"/>
        <w:snapToGrid w:val="0"/>
        <w:spacing w:after="0"/>
        <w:ind w:firstLine="470"/>
      </w:pPr>
      <w:r>
        <w:t>如果加热炉在点火前没有按规定进行炉膛吹扫，或由于突发原因使加热炉熄火，在点火时没有吹扫炉膛，可能发生加热炉爆炸事故。</w:t>
      </w:r>
    </w:p>
    <w:p w:rsidR="00F95F9B" w:rsidRDefault="00000000">
      <w:pPr>
        <w:pStyle w:val="af9"/>
        <w:adjustRightInd w:val="0"/>
        <w:snapToGrid w:val="0"/>
        <w:spacing w:after="0"/>
        <w:ind w:firstLine="470"/>
      </w:pPr>
      <w:r>
        <w:t>加热炉操作温度大多较高，管道、设备表面温度超过</w:t>
      </w:r>
      <w:r>
        <w:t>60℃</w:t>
      </w:r>
      <w:r>
        <w:t>。从节能和安全的角度考虑，设备外部加设保温措施，站区内大部分区域的温度可接近常温，但局部裸露的设备和管线的表面温度还较高，如不采取措施可造成烫伤。</w:t>
      </w:r>
    </w:p>
    <w:p w:rsidR="00F95F9B" w:rsidRDefault="00000000">
      <w:pPr>
        <w:pStyle w:val="4"/>
        <w:keepNext w:val="0"/>
        <w:keepLines w:val="0"/>
        <w:widowControl w:val="0"/>
        <w:adjustRightInd w:val="0"/>
        <w:snapToGrid w:val="0"/>
      </w:pPr>
      <w:r>
        <w:rPr>
          <w:rFonts w:hint="eastAsia"/>
        </w:rPr>
        <w:t>油气分离装置</w:t>
      </w:r>
    </w:p>
    <w:p w:rsidR="00F95F9B" w:rsidRDefault="00000000">
      <w:pPr>
        <w:autoSpaceDE w:val="0"/>
        <w:adjustRightInd w:val="0"/>
        <w:snapToGrid w:val="0"/>
        <w:ind w:firstLine="470"/>
        <w:rPr>
          <w:szCs w:val="24"/>
        </w:rPr>
      </w:pPr>
      <w:r>
        <w:rPr>
          <w:rFonts w:ascii="宋体" w:hAnsi="宋体" w:hint="eastAsia"/>
          <w:szCs w:val="24"/>
        </w:rPr>
        <w:t>油气分离装置根据功能、大小、形式不同存在不同类型。鲁明公司集输站/联合站采用的三相分离器、天然气分离器是一种特种设备。分离器主要风险包括超压爆炸或泄漏引发的火灾爆炸等危险因素。</w:t>
      </w:r>
    </w:p>
    <w:p w:rsidR="00F95F9B" w:rsidRDefault="00000000">
      <w:pPr>
        <w:autoSpaceDE w:val="0"/>
        <w:adjustRightInd w:val="0"/>
        <w:snapToGrid w:val="0"/>
        <w:ind w:firstLine="470"/>
        <w:rPr>
          <w:szCs w:val="24"/>
        </w:rPr>
      </w:pPr>
      <w:r>
        <w:rPr>
          <w:rFonts w:hint="eastAsia"/>
          <w:szCs w:val="24"/>
        </w:rPr>
        <w:t>1</w:t>
      </w:r>
      <w:r>
        <w:rPr>
          <w:rFonts w:hint="eastAsia"/>
          <w:szCs w:val="24"/>
        </w:rPr>
        <w:t>）</w:t>
      </w:r>
      <w:r>
        <w:rPr>
          <w:rFonts w:ascii="宋体" w:hAnsi="宋体" w:hint="eastAsia"/>
          <w:szCs w:val="24"/>
        </w:rPr>
        <w:t>超压爆炸</w:t>
      </w:r>
    </w:p>
    <w:p w:rsidR="00F95F9B" w:rsidRDefault="00000000">
      <w:pPr>
        <w:autoSpaceDE w:val="0"/>
        <w:adjustRightInd w:val="0"/>
        <w:snapToGrid w:val="0"/>
        <w:ind w:firstLine="470"/>
        <w:rPr>
          <w:szCs w:val="24"/>
        </w:rPr>
      </w:pPr>
      <w:r>
        <w:rPr>
          <w:rFonts w:ascii="宋体" w:hAnsi="宋体" w:hint="eastAsia"/>
          <w:szCs w:val="24"/>
        </w:rPr>
        <w:t>分离器在设计制造过程中未按照规范进行设计，如分离器壳体所用材质强度未满足要求或者未考虑壳体开孔后的强度削弱因素等造成壳体承压能力不足，易引起超压容器爆炸事故，导致油气泄漏。</w:t>
      </w:r>
    </w:p>
    <w:p w:rsidR="00F95F9B" w:rsidRDefault="00000000">
      <w:pPr>
        <w:autoSpaceDE w:val="0"/>
        <w:adjustRightInd w:val="0"/>
        <w:snapToGrid w:val="0"/>
        <w:ind w:firstLine="470"/>
        <w:rPr>
          <w:szCs w:val="24"/>
        </w:rPr>
      </w:pPr>
      <w:r>
        <w:rPr>
          <w:rFonts w:ascii="宋体" w:hAnsi="宋体" w:hint="eastAsia"/>
          <w:szCs w:val="24"/>
        </w:rPr>
        <w:t>若安全阀失效、安全阀压力整定错误或失效，会造成容器超压时，不能及时泄压，导致超压爆炸事故。</w:t>
      </w:r>
    </w:p>
    <w:p w:rsidR="00F95F9B" w:rsidRDefault="00000000">
      <w:pPr>
        <w:autoSpaceDE w:val="0"/>
        <w:adjustRightInd w:val="0"/>
        <w:snapToGrid w:val="0"/>
        <w:ind w:firstLine="470"/>
        <w:rPr>
          <w:szCs w:val="24"/>
        </w:rPr>
      </w:pPr>
      <w:r>
        <w:rPr>
          <w:rFonts w:hint="eastAsia"/>
          <w:szCs w:val="24"/>
        </w:rPr>
        <w:t>2</w:t>
      </w:r>
      <w:r>
        <w:rPr>
          <w:rFonts w:hint="eastAsia"/>
          <w:szCs w:val="24"/>
        </w:rPr>
        <w:t>）</w:t>
      </w:r>
      <w:r>
        <w:rPr>
          <w:rFonts w:ascii="宋体" w:hAnsi="宋体" w:hint="eastAsia"/>
          <w:szCs w:val="24"/>
        </w:rPr>
        <w:t>泄漏</w:t>
      </w:r>
    </w:p>
    <w:p w:rsidR="00F95F9B" w:rsidRDefault="00000000">
      <w:pPr>
        <w:autoSpaceDE w:val="0"/>
        <w:adjustRightInd w:val="0"/>
        <w:snapToGrid w:val="0"/>
        <w:ind w:firstLine="470"/>
        <w:rPr>
          <w:szCs w:val="24"/>
        </w:rPr>
      </w:pPr>
      <w:r>
        <w:rPr>
          <w:rFonts w:ascii="宋体" w:hAnsi="宋体" w:hint="eastAsia"/>
          <w:szCs w:val="24"/>
        </w:rPr>
        <w:t>造成泄漏的原因有多种，腐蚀是造成分离器泄漏的主要因素，包括腐蚀减薄、应力腐蚀开裂、外部腐蚀、冲蚀等。</w:t>
      </w:r>
    </w:p>
    <w:p w:rsidR="00F95F9B" w:rsidRDefault="00000000">
      <w:pPr>
        <w:autoSpaceDE w:val="0"/>
        <w:adjustRightInd w:val="0"/>
        <w:snapToGrid w:val="0"/>
        <w:ind w:firstLine="470"/>
        <w:rPr>
          <w:szCs w:val="24"/>
        </w:rPr>
      </w:pPr>
      <w:r>
        <w:rPr>
          <w:rFonts w:ascii="宋体" w:hAnsi="宋体" w:hint="eastAsia"/>
          <w:szCs w:val="24"/>
        </w:rPr>
        <w:lastRenderedPageBreak/>
        <w:t>当容器内的介质含有较高</w:t>
      </w:r>
      <w:r>
        <w:rPr>
          <w:rFonts w:hint="eastAsia"/>
          <w:szCs w:val="24"/>
        </w:rPr>
        <w:t>H</w:t>
      </w:r>
      <w:r>
        <w:rPr>
          <w:rFonts w:hint="eastAsia"/>
          <w:szCs w:val="24"/>
          <w:vertAlign w:val="subscript"/>
        </w:rPr>
        <w:t>2</w:t>
      </w:r>
      <w:r>
        <w:rPr>
          <w:rFonts w:hint="eastAsia"/>
          <w:szCs w:val="24"/>
        </w:rPr>
        <w:t>O</w:t>
      </w:r>
      <w:r>
        <w:rPr>
          <w:rFonts w:ascii="宋体" w:hAnsi="宋体" w:hint="eastAsia"/>
          <w:szCs w:val="24"/>
        </w:rPr>
        <w:t>、</w:t>
      </w:r>
      <w:r>
        <w:rPr>
          <w:rFonts w:hint="eastAsia"/>
          <w:szCs w:val="24"/>
        </w:rPr>
        <w:t>CO</w:t>
      </w:r>
      <w:r>
        <w:rPr>
          <w:rFonts w:hint="eastAsia"/>
          <w:szCs w:val="24"/>
          <w:vertAlign w:val="subscript"/>
        </w:rPr>
        <w:t>2</w:t>
      </w:r>
      <w:r>
        <w:rPr>
          <w:rFonts w:ascii="宋体" w:hAnsi="宋体" w:hint="eastAsia"/>
          <w:szCs w:val="24"/>
        </w:rPr>
        <w:t>等物质时气体呈酸性，在容器内部无氧环境中，阴极发生析氢反应，铁作为阳极发生腐蚀。造成压力容器内壁腐蚀减薄，严重情况下造成天然气泄漏。</w:t>
      </w:r>
    </w:p>
    <w:p w:rsidR="00F95F9B" w:rsidRDefault="00000000">
      <w:pPr>
        <w:autoSpaceDE w:val="0"/>
        <w:adjustRightInd w:val="0"/>
        <w:snapToGrid w:val="0"/>
        <w:ind w:firstLine="470"/>
        <w:rPr>
          <w:szCs w:val="24"/>
        </w:rPr>
      </w:pPr>
      <w:r>
        <w:rPr>
          <w:rFonts w:ascii="宋体" w:hAnsi="宋体" w:hint="eastAsia"/>
          <w:szCs w:val="24"/>
        </w:rPr>
        <w:t>应力腐蚀开裂包括碳酸盐开裂、氯化物应力腐蚀开裂、氢致开裂等。低劣的焊接质量会造成焊接处裂纹等隐患，在容器工作过程中这些裂纹会随着压力增加而逐渐扩大最终导致天然气泄漏；裂纹也会加剧腐蚀效果。</w:t>
      </w:r>
    </w:p>
    <w:p w:rsidR="00F95F9B" w:rsidRDefault="00000000">
      <w:pPr>
        <w:autoSpaceDE w:val="0"/>
        <w:adjustRightInd w:val="0"/>
        <w:snapToGrid w:val="0"/>
        <w:ind w:firstLine="470"/>
        <w:rPr>
          <w:szCs w:val="24"/>
        </w:rPr>
      </w:pPr>
      <w:r>
        <w:rPr>
          <w:rFonts w:ascii="宋体" w:hAnsi="宋体" w:hint="eastAsia"/>
          <w:szCs w:val="24"/>
        </w:rPr>
        <w:t>外部腐蚀主要指大气腐蚀和保温层下的腐蚀。从失效机理来看外腐蚀损伤与腐蚀减薄和应力腐蚀开裂相同，不同的是腐蚀速率和裂纹开裂尺寸的差异。</w:t>
      </w:r>
    </w:p>
    <w:p w:rsidR="00F95F9B" w:rsidRDefault="00000000">
      <w:pPr>
        <w:widowControl w:val="0"/>
        <w:autoSpaceDE w:val="0"/>
        <w:adjustRightInd w:val="0"/>
        <w:snapToGrid w:val="0"/>
        <w:ind w:firstLine="470"/>
        <w:rPr>
          <w:szCs w:val="24"/>
        </w:rPr>
      </w:pPr>
      <w:r>
        <w:rPr>
          <w:rFonts w:ascii="宋体" w:hAnsi="宋体" w:hint="eastAsia"/>
          <w:szCs w:val="24"/>
        </w:rPr>
        <w:t>油气中含有水和泥沙等，会对分离器的封头造成冲蚀，造成泄漏。</w:t>
      </w:r>
    </w:p>
    <w:p w:rsidR="00F95F9B" w:rsidRDefault="00000000">
      <w:pPr>
        <w:widowControl w:val="0"/>
        <w:autoSpaceDE w:val="0"/>
        <w:adjustRightInd w:val="0"/>
        <w:snapToGrid w:val="0"/>
        <w:ind w:firstLine="470"/>
        <w:rPr>
          <w:szCs w:val="24"/>
        </w:rPr>
      </w:pPr>
      <w:r>
        <w:rPr>
          <w:rFonts w:ascii="宋体" w:hAnsi="宋体" w:hint="eastAsia"/>
          <w:szCs w:val="24"/>
        </w:rPr>
        <w:t>另外，设计时未按照规范选取合适的腐蚀裕量，设备未能满足安全检验周期，也是导致分离器泄漏的重要因素。</w:t>
      </w:r>
    </w:p>
    <w:p w:rsidR="00F95F9B" w:rsidRDefault="00000000">
      <w:pPr>
        <w:autoSpaceDE w:val="0"/>
        <w:adjustRightInd w:val="0"/>
        <w:snapToGrid w:val="0"/>
        <w:ind w:firstLine="470"/>
        <w:rPr>
          <w:szCs w:val="24"/>
        </w:rPr>
      </w:pPr>
      <w:r>
        <w:rPr>
          <w:rFonts w:hint="eastAsia"/>
          <w:szCs w:val="24"/>
        </w:rPr>
        <w:t>3</w:t>
      </w:r>
      <w:r>
        <w:rPr>
          <w:rFonts w:hint="eastAsia"/>
          <w:szCs w:val="24"/>
        </w:rPr>
        <w:t>）</w:t>
      </w:r>
      <w:r>
        <w:rPr>
          <w:rFonts w:ascii="宋体" w:hAnsi="宋体" w:hint="eastAsia"/>
          <w:szCs w:val="24"/>
        </w:rPr>
        <w:t>自控设备失效</w:t>
      </w:r>
    </w:p>
    <w:p w:rsidR="00F95F9B" w:rsidRDefault="00000000">
      <w:pPr>
        <w:widowControl w:val="0"/>
        <w:autoSpaceDE w:val="0"/>
        <w:adjustRightInd w:val="0"/>
        <w:snapToGrid w:val="0"/>
        <w:ind w:firstLine="470"/>
        <w:rPr>
          <w:szCs w:val="24"/>
        </w:rPr>
      </w:pPr>
      <w:r>
        <w:rPr>
          <w:rFonts w:ascii="宋体" w:hAnsi="宋体" w:hint="eastAsia"/>
          <w:szCs w:val="24"/>
        </w:rPr>
        <w:t>自控设备可靠性是系统安全运行的重要条件，各类型传感器由于种种原因（质量、安装、维护、自然条件等）造成失效，数据传输错误会导致远程控制错误，例如压力、温度数据错误造成系统超压、超温运行或者控制失效等。</w:t>
      </w:r>
    </w:p>
    <w:p w:rsidR="00F95F9B" w:rsidRDefault="00000000">
      <w:pPr>
        <w:pStyle w:val="4"/>
        <w:keepNext w:val="0"/>
        <w:keepLines w:val="0"/>
        <w:widowControl w:val="0"/>
        <w:adjustRightInd w:val="0"/>
        <w:snapToGrid w:val="0"/>
      </w:pPr>
      <w:r>
        <w:rPr>
          <w:rFonts w:hint="eastAsia"/>
        </w:rPr>
        <w:t>原油储罐</w:t>
      </w:r>
    </w:p>
    <w:p w:rsidR="00F95F9B" w:rsidRDefault="00000000">
      <w:pPr>
        <w:adjustRightInd w:val="0"/>
        <w:snapToGrid w:val="0"/>
        <w:ind w:firstLine="470"/>
        <w:rPr>
          <w:szCs w:val="24"/>
        </w:rPr>
      </w:pPr>
      <w:r>
        <w:rPr>
          <w:rFonts w:hint="eastAsia"/>
          <w:szCs w:val="24"/>
        </w:rPr>
        <w:t>1</w:t>
      </w:r>
      <w:r>
        <w:rPr>
          <w:rFonts w:hint="eastAsia"/>
          <w:szCs w:val="24"/>
        </w:rPr>
        <w:t>）</w:t>
      </w:r>
      <w:r>
        <w:rPr>
          <w:rFonts w:ascii="宋体" w:hAnsi="宋体" w:hint="eastAsia"/>
          <w:szCs w:val="24"/>
        </w:rPr>
        <w:t>抽瘪或鼓包</w:t>
      </w:r>
    </w:p>
    <w:p w:rsidR="00F95F9B" w:rsidRDefault="00000000">
      <w:pPr>
        <w:autoSpaceDE w:val="0"/>
        <w:adjustRightInd w:val="0"/>
        <w:snapToGrid w:val="0"/>
        <w:ind w:firstLine="470"/>
        <w:rPr>
          <w:szCs w:val="24"/>
        </w:rPr>
      </w:pPr>
      <w:r>
        <w:rPr>
          <w:rFonts w:ascii="宋体" w:hAnsi="宋体" w:hint="eastAsia"/>
          <w:szCs w:val="24"/>
        </w:rPr>
        <w:t>呼吸阀、阻火器失效是导致油罐抽瘪事故的重要因素，当油罐呼吸阀、阻火器内存有大量锈渣等杂物，冬季低温造成的呼吸阀冻结，可能会导致堵塞，罐内负压超标，发生油罐抽瘪事故。</w:t>
      </w:r>
    </w:p>
    <w:p w:rsidR="00F95F9B" w:rsidRDefault="00000000">
      <w:pPr>
        <w:autoSpaceDE w:val="0"/>
        <w:adjustRightInd w:val="0"/>
        <w:snapToGrid w:val="0"/>
        <w:ind w:firstLine="470"/>
        <w:rPr>
          <w:szCs w:val="24"/>
        </w:rPr>
      </w:pPr>
      <w:r>
        <w:rPr>
          <w:rFonts w:ascii="宋体" w:hAnsi="宋体" w:hint="eastAsia"/>
          <w:szCs w:val="24"/>
        </w:rPr>
        <w:t>当油罐的参数发生变化时，未及时对呼吸阀进行校核、更换，也会造成油罐被抽瘪。当储罐严重受损、罐壁腐蚀减薄或超期服役时，储罐的性能、压力等级等发生了变化，储罐所能承受的最大正、负压值也发生了变化，如果不及时对呼吸阀进行校核、更换，储罐就可能被抽瘪。在实际工作中，这一点常常被忽视。</w:t>
      </w:r>
    </w:p>
    <w:p w:rsidR="00F95F9B" w:rsidRDefault="00000000">
      <w:pPr>
        <w:autoSpaceDE w:val="0"/>
        <w:adjustRightInd w:val="0"/>
        <w:snapToGrid w:val="0"/>
        <w:ind w:firstLine="470"/>
        <w:rPr>
          <w:szCs w:val="24"/>
        </w:rPr>
      </w:pPr>
      <w:r>
        <w:rPr>
          <w:rFonts w:ascii="宋体" w:hAnsi="宋体" w:hint="eastAsia"/>
          <w:szCs w:val="24"/>
        </w:rPr>
        <w:t>另外当外部环境发生激烈变化，例如夏季雷雨或气温骤降，导致了罐内油气体积急剧收缩，也可能会导致油罐抽瘪事故。</w:t>
      </w:r>
    </w:p>
    <w:p w:rsidR="00F95F9B" w:rsidRDefault="00000000">
      <w:pPr>
        <w:autoSpaceDE w:val="0"/>
        <w:adjustRightInd w:val="0"/>
        <w:snapToGrid w:val="0"/>
        <w:ind w:firstLine="470"/>
        <w:rPr>
          <w:szCs w:val="24"/>
        </w:rPr>
      </w:pPr>
      <w:r>
        <w:rPr>
          <w:rFonts w:ascii="宋体" w:hAnsi="宋体" w:hint="eastAsia"/>
          <w:szCs w:val="24"/>
        </w:rPr>
        <w:t>油罐鼓包事故主要是由于储罐长期存放不加热，致使冻凝太厚，而下部又开始急剧加热，引起油罐罐壁鼓包事故。</w:t>
      </w:r>
    </w:p>
    <w:p w:rsidR="00F95F9B" w:rsidRDefault="00000000">
      <w:pPr>
        <w:autoSpaceDE w:val="0"/>
        <w:adjustRightInd w:val="0"/>
        <w:snapToGrid w:val="0"/>
        <w:ind w:firstLine="470"/>
        <w:rPr>
          <w:szCs w:val="24"/>
        </w:rPr>
      </w:pPr>
      <w:r>
        <w:rPr>
          <w:rFonts w:hint="eastAsia"/>
          <w:szCs w:val="24"/>
        </w:rPr>
        <w:t>2</w:t>
      </w:r>
      <w:r>
        <w:rPr>
          <w:rFonts w:hint="eastAsia"/>
          <w:szCs w:val="24"/>
        </w:rPr>
        <w:t>）</w:t>
      </w:r>
      <w:r>
        <w:rPr>
          <w:rFonts w:ascii="宋体" w:hAnsi="宋体" w:hint="eastAsia"/>
          <w:szCs w:val="24"/>
        </w:rPr>
        <w:t>储罐基础沉降</w:t>
      </w:r>
    </w:p>
    <w:p w:rsidR="00F95F9B" w:rsidRDefault="00000000">
      <w:pPr>
        <w:widowControl w:val="0"/>
        <w:autoSpaceDE w:val="0"/>
        <w:adjustRightInd w:val="0"/>
        <w:snapToGrid w:val="0"/>
        <w:ind w:firstLine="470"/>
        <w:rPr>
          <w:rFonts w:ascii="宋体" w:hAnsi="宋体"/>
          <w:szCs w:val="24"/>
        </w:rPr>
      </w:pPr>
      <w:r>
        <w:rPr>
          <w:rFonts w:ascii="宋体" w:hAnsi="宋体" w:hint="eastAsia"/>
          <w:szCs w:val="24"/>
        </w:rPr>
        <w:t>原油储罐基础易产生各种沉降变形，沉降可分为平面沉降与非平面沉降。储罐沉降不</w:t>
      </w:r>
      <w:r>
        <w:rPr>
          <w:rFonts w:ascii="宋体" w:hAnsi="宋体" w:hint="eastAsia"/>
          <w:szCs w:val="24"/>
        </w:rPr>
        <w:lastRenderedPageBreak/>
        <w:t>仅会早成罐体结构的内力变化还会对进出油管线及其与罐体连接部位的可靠性产生较大影响。另外罐体沉降还会使罐底产生死油区，罐体有效容量减小；罐底沉淀的污水及污物难</w:t>
      </w:r>
    </w:p>
    <w:p w:rsidR="00F95F9B" w:rsidRDefault="00000000">
      <w:pPr>
        <w:widowControl w:val="0"/>
        <w:adjustRightInd w:val="0"/>
        <w:snapToGrid w:val="0"/>
        <w:ind w:firstLineChars="0" w:firstLine="0"/>
        <w:jc w:val="left"/>
      </w:pPr>
      <w:r>
        <w:rPr>
          <w:rFonts w:hint="eastAsia"/>
        </w:rPr>
        <w:t>以排除，从而会加速罐底板的腐蚀进程；使罐底板及其焊缝产生附加应力，受力状态复杂化，严重时导致原油泄漏。</w:t>
      </w:r>
    </w:p>
    <w:p w:rsidR="00F95F9B" w:rsidRDefault="00000000">
      <w:pPr>
        <w:autoSpaceDE w:val="0"/>
        <w:adjustRightInd w:val="0"/>
        <w:snapToGrid w:val="0"/>
        <w:ind w:firstLine="470"/>
        <w:rPr>
          <w:szCs w:val="24"/>
        </w:rPr>
      </w:pPr>
      <w:r>
        <w:rPr>
          <w:rFonts w:hint="eastAsia"/>
          <w:szCs w:val="24"/>
        </w:rPr>
        <w:t>3</w:t>
      </w:r>
      <w:r>
        <w:rPr>
          <w:rFonts w:hint="eastAsia"/>
          <w:szCs w:val="24"/>
        </w:rPr>
        <w:t>）</w:t>
      </w:r>
      <w:r>
        <w:rPr>
          <w:rFonts w:ascii="宋体" w:hAnsi="宋体" w:hint="eastAsia"/>
          <w:szCs w:val="24"/>
        </w:rPr>
        <w:t>人员操作及设备失效</w:t>
      </w:r>
    </w:p>
    <w:p w:rsidR="00F95F9B" w:rsidRDefault="00000000">
      <w:pPr>
        <w:autoSpaceDE w:val="0"/>
        <w:adjustRightInd w:val="0"/>
        <w:snapToGrid w:val="0"/>
        <w:ind w:firstLine="470"/>
        <w:rPr>
          <w:szCs w:val="24"/>
        </w:rPr>
      </w:pPr>
      <w:r>
        <w:rPr>
          <w:rFonts w:ascii="宋体" w:hAnsi="宋体" w:hint="eastAsia"/>
          <w:szCs w:val="24"/>
        </w:rPr>
        <w:t>原油的进罐注入操作，液位控制失效、违章操作、巡检不到位等，有过度充装超压、外溢的危险，可导致中毒、火灾事故。原油储罐一旦发生火灾，由于原油的沸溢性，会产生沸溢和喷溅现象。</w:t>
      </w:r>
    </w:p>
    <w:p w:rsidR="00F95F9B" w:rsidRDefault="00000000">
      <w:pPr>
        <w:autoSpaceDE w:val="0"/>
        <w:adjustRightInd w:val="0"/>
        <w:snapToGrid w:val="0"/>
        <w:ind w:firstLine="470"/>
        <w:rPr>
          <w:szCs w:val="24"/>
        </w:rPr>
      </w:pPr>
      <w:r>
        <w:rPr>
          <w:rFonts w:ascii="宋体" w:hAnsi="宋体" w:hint="eastAsia"/>
          <w:szCs w:val="24"/>
        </w:rPr>
        <w:t>进出油罐的原油输量过大，超过了安全阀、呼吸阀的设计能力，可能引起瘪罐、胀罐事故，造成油气泄漏，导致中毒、火灾事故。</w:t>
      </w:r>
    </w:p>
    <w:p w:rsidR="00F95F9B" w:rsidRDefault="00000000">
      <w:pPr>
        <w:widowControl w:val="0"/>
        <w:autoSpaceDE w:val="0"/>
        <w:adjustRightInd w:val="0"/>
        <w:snapToGrid w:val="0"/>
        <w:ind w:firstLine="470"/>
        <w:rPr>
          <w:szCs w:val="24"/>
        </w:rPr>
      </w:pPr>
      <w:r>
        <w:rPr>
          <w:rFonts w:ascii="宋体" w:hAnsi="宋体" w:hint="eastAsia"/>
          <w:szCs w:val="24"/>
        </w:rPr>
        <w:t>冬季气温低，若储罐的保温措施不当，储罐内原油发生凝固，易对储罐内的附属设施造成损坏，严重时造成储罐的变形。</w:t>
      </w:r>
    </w:p>
    <w:p w:rsidR="00F95F9B" w:rsidRDefault="00000000">
      <w:pPr>
        <w:widowControl w:val="0"/>
        <w:autoSpaceDE w:val="0"/>
        <w:adjustRightInd w:val="0"/>
        <w:snapToGrid w:val="0"/>
        <w:ind w:firstLine="470"/>
        <w:rPr>
          <w:szCs w:val="24"/>
        </w:rPr>
      </w:pPr>
      <w:r>
        <w:rPr>
          <w:rFonts w:ascii="宋体" w:hAnsi="宋体" w:hint="eastAsia"/>
          <w:szCs w:val="24"/>
        </w:rPr>
        <w:t>原油储罐储存易受高温、日晒影响，原油膨胀与挥发造成储罐内压力升高，有超压的危险，当安全阀、呼吸阀失效时，严重可导致罐体破裂造成原油泄漏，引发火灾、爆炸事故。</w:t>
      </w:r>
    </w:p>
    <w:p w:rsidR="00F95F9B" w:rsidRDefault="00000000">
      <w:pPr>
        <w:autoSpaceDE w:val="0"/>
        <w:adjustRightInd w:val="0"/>
        <w:snapToGrid w:val="0"/>
        <w:ind w:firstLine="470"/>
        <w:rPr>
          <w:szCs w:val="24"/>
        </w:rPr>
      </w:pPr>
      <w:r>
        <w:rPr>
          <w:rFonts w:hint="eastAsia"/>
          <w:szCs w:val="24"/>
        </w:rPr>
        <w:t>4</w:t>
      </w:r>
      <w:r>
        <w:rPr>
          <w:rFonts w:hint="eastAsia"/>
          <w:szCs w:val="24"/>
        </w:rPr>
        <w:t>）</w:t>
      </w:r>
      <w:r>
        <w:rPr>
          <w:rFonts w:ascii="宋体" w:hAnsi="宋体" w:hint="eastAsia"/>
          <w:szCs w:val="24"/>
        </w:rPr>
        <w:t>腐蚀</w:t>
      </w:r>
    </w:p>
    <w:p w:rsidR="00F95F9B" w:rsidRDefault="00000000">
      <w:pPr>
        <w:autoSpaceDE w:val="0"/>
        <w:adjustRightInd w:val="0"/>
        <w:snapToGrid w:val="0"/>
        <w:ind w:firstLine="470"/>
        <w:rPr>
          <w:szCs w:val="24"/>
        </w:rPr>
      </w:pPr>
      <w:r>
        <w:rPr>
          <w:rFonts w:ascii="宋体" w:hAnsi="宋体" w:hint="eastAsia"/>
          <w:szCs w:val="24"/>
        </w:rPr>
        <w:t>储罐内储存有原油、水，采出水含盐量高对金属腐蚀性强，在潮湿环境下对设备产生强烈腐蚀；当没有采取防腐措施或防腐措施不当时，可造成罐顶、罐壁、罐底腐蚀。当原油含硫量高时，储罐腐蚀程度加大，而且罐底、罐顶腐蚀比罐壁更为严重，当储罐腐蚀穿孔时可造成油、气泄漏导致中毒、火灾、爆炸事故。</w:t>
      </w:r>
    </w:p>
    <w:p w:rsidR="00F95F9B" w:rsidRDefault="00000000">
      <w:pPr>
        <w:autoSpaceDE w:val="0"/>
        <w:adjustRightInd w:val="0"/>
        <w:snapToGrid w:val="0"/>
        <w:ind w:firstLine="470"/>
        <w:rPr>
          <w:szCs w:val="24"/>
        </w:rPr>
      </w:pPr>
      <w:r>
        <w:rPr>
          <w:rFonts w:ascii="宋体" w:hAnsi="宋体" w:hint="eastAsia"/>
          <w:szCs w:val="24"/>
        </w:rPr>
        <w:t>储罐与外部连接的法兰、阀门、人孔及排污等，由于安装质量或漏装垫片，以及使用过程中腐蚀穿孔，或因底板焊接不良，而产生疲劳造成的裂缝等，均可引发油气泄漏造成火灾、爆炸事故。</w:t>
      </w:r>
    </w:p>
    <w:p w:rsidR="00F95F9B" w:rsidRDefault="00000000">
      <w:pPr>
        <w:autoSpaceDE w:val="0"/>
        <w:adjustRightInd w:val="0"/>
        <w:snapToGrid w:val="0"/>
        <w:ind w:firstLine="470"/>
        <w:rPr>
          <w:szCs w:val="24"/>
        </w:rPr>
      </w:pPr>
      <w:r>
        <w:rPr>
          <w:rFonts w:hint="eastAsia"/>
          <w:szCs w:val="24"/>
        </w:rPr>
        <w:t>5</w:t>
      </w:r>
      <w:r>
        <w:rPr>
          <w:rFonts w:hint="eastAsia"/>
          <w:szCs w:val="24"/>
        </w:rPr>
        <w:t>）</w:t>
      </w:r>
      <w:r>
        <w:rPr>
          <w:rFonts w:ascii="宋体" w:hAnsi="宋体" w:hint="eastAsia"/>
          <w:szCs w:val="24"/>
        </w:rPr>
        <w:t>其他</w:t>
      </w:r>
    </w:p>
    <w:p w:rsidR="00F95F9B" w:rsidRDefault="00000000">
      <w:pPr>
        <w:autoSpaceDE w:val="0"/>
        <w:adjustRightInd w:val="0"/>
        <w:snapToGrid w:val="0"/>
        <w:ind w:firstLine="470"/>
        <w:rPr>
          <w:szCs w:val="24"/>
        </w:rPr>
      </w:pPr>
      <w:r>
        <w:rPr>
          <w:rFonts w:ascii="宋体" w:hAnsi="宋体" w:hint="eastAsia"/>
          <w:szCs w:val="24"/>
        </w:rPr>
        <w:t>储罐附体等安全附件腐蚀失效，导致巡检人员高处坠落事故；高处零件掉落导致物体打击事故；量油取样等发生硫化氢中毒事故等。</w:t>
      </w:r>
    </w:p>
    <w:p w:rsidR="00F95F9B" w:rsidRDefault="00000000">
      <w:pPr>
        <w:pStyle w:val="4"/>
        <w:keepNext w:val="0"/>
        <w:keepLines w:val="0"/>
        <w:widowControl w:val="0"/>
        <w:adjustRightInd w:val="0"/>
        <w:snapToGrid w:val="0"/>
      </w:pPr>
      <w:r>
        <w:rPr>
          <w:rFonts w:hint="eastAsia"/>
        </w:rPr>
        <w:t>原油装卸设施</w:t>
      </w:r>
    </w:p>
    <w:p w:rsidR="00F95F9B" w:rsidRDefault="00000000">
      <w:pPr>
        <w:widowControl w:val="0"/>
        <w:adjustRightInd w:val="0"/>
        <w:snapToGrid w:val="0"/>
        <w:ind w:firstLine="470"/>
        <w:rPr>
          <w:szCs w:val="24"/>
        </w:rPr>
      </w:pPr>
      <w:r>
        <w:rPr>
          <w:rFonts w:ascii="宋体" w:hAnsi="宋体" w:hint="eastAsia"/>
          <w:szCs w:val="24"/>
        </w:rPr>
        <w:t>部分井场原油通过汽车拉运，井场储油罐老化破损可能引发油品泄漏，防雷静电接地不合格或用电不规范，都有可能造成火灾。装车过程中，不按规程操作，也可能发生火灾事故。</w:t>
      </w:r>
    </w:p>
    <w:p w:rsidR="00F95F9B" w:rsidRDefault="00000000">
      <w:pPr>
        <w:autoSpaceDE w:val="0"/>
        <w:adjustRightInd w:val="0"/>
        <w:snapToGrid w:val="0"/>
        <w:ind w:firstLine="470"/>
        <w:rPr>
          <w:szCs w:val="24"/>
        </w:rPr>
      </w:pPr>
      <w:r>
        <w:rPr>
          <w:rFonts w:ascii="宋体" w:hAnsi="宋体" w:hint="eastAsia"/>
          <w:szCs w:val="24"/>
        </w:rPr>
        <w:lastRenderedPageBreak/>
        <w:t>通过油罐车拉至集输泵站进行计量及处理时，油罐车在卸油台通过卸油口卸入地下罐。除了汽车油罐车在站内的车辆事故外，在装卸原油的过程中，因为泄漏、静电等原因造成的火灾、爆炸事故风险最大，损失最高。</w:t>
      </w:r>
    </w:p>
    <w:p w:rsidR="00F95F9B" w:rsidRDefault="00000000">
      <w:pPr>
        <w:widowControl w:val="0"/>
        <w:autoSpaceDE w:val="0"/>
        <w:adjustRightInd w:val="0"/>
        <w:snapToGrid w:val="0"/>
        <w:ind w:firstLine="470"/>
        <w:rPr>
          <w:szCs w:val="24"/>
        </w:rPr>
      </w:pPr>
      <w:r>
        <w:rPr>
          <w:rFonts w:ascii="宋体" w:hAnsi="宋体" w:hint="eastAsia"/>
          <w:szCs w:val="24"/>
        </w:rPr>
        <w:t>汽车进入站场若未装防火帽，燃烧废气经排气管排除时，可能会有火星一起排出，油气处理、储存不免有油蒸气逸出，而汽车装油作业时则会有更多的油蒸气，遇到尾气火星则会被引燃发生爆炸燃烧。</w:t>
      </w:r>
    </w:p>
    <w:p w:rsidR="00F95F9B" w:rsidRDefault="00000000">
      <w:pPr>
        <w:autoSpaceDE w:val="0"/>
        <w:adjustRightInd w:val="0"/>
        <w:snapToGrid w:val="0"/>
        <w:ind w:firstLine="470"/>
        <w:rPr>
          <w:szCs w:val="24"/>
        </w:rPr>
      </w:pPr>
      <w:r>
        <w:rPr>
          <w:rFonts w:ascii="宋体" w:hAnsi="宋体" w:hint="eastAsia"/>
          <w:szCs w:val="24"/>
        </w:rPr>
        <w:t>罐车装卸油时，若液位指示报警及控制系统失效，有可能造成卸油罐液面超高外溢。由于场地或司机操作等原因，汽车在装卸油过程中意外行驶，致使原油泄漏。</w:t>
      </w:r>
    </w:p>
    <w:p w:rsidR="00F95F9B" w:rsidRDefault="00000000">
      <w:pPr>
        <w:autoSpaceDE w:val="0"/>
        <w:adjustRightInd w:val="0"/>
        <w:snapToGrid w:val="0"/>
        <w:ind w:firstLine="470"/>
        <w:rPr>
          <w:szCs w:val="24"/>
        </w:rPr>
      </w:pPr>
      <w:r>
        <w:rPr>
          <w:rFonts w:ascii="宋体" w:hAnsi="宋体" w:hint="eastAsia"/>
          <w:szCs w:val="24"/>
        </w:rPr>
        <w:t>油罐车未接地或接地不良进行装卸作业，进油时流速过高，易产生大量静电，静电放电打火易点燃油蒸气混合气体。静电主要产生的部位是泵、过滤器和管道。</w:t>
      </w:r>
    </w:p>
    <w:p w:rsidR="00F95F9B" w:rsidRDefault="00000000">
      <w:pPr>
        <w:pStyle w:val="4"/>
        <w:keepNext w:val="0"/>
        <w:keepLines w:val="0"/>
        <w:widowControl w:val="0"/>
        <w:adjustRightInd w:val="0"/>
        <w:snapToGrid w:val="0"/>
      </w:pPr>
      <w:r>
        <w:rPr>
          <w:rFonts w:hint="eastAsia"/>
        </w:rPr>
        <w:t>压缩机</w:t>
      </w:r>
    </w:p>
    <w:p w:rsidR="00F95F9B" w:rsidRDefault="00000000">
      <w:pPr>
        <w:widowControl w:val="0"/>
        <w:adjustRightInd w:val="0"/>
        <w:snapToGrid w:val="0"/>
        <w:ind w:firstLine="470"/>
        <w:rPr>
          <w:szCs w:val="24"/>
        </w:rPr>
      </w:pPr>
      <w:r>
        <w:rPr>
          <w:rFonts w:ascii="宋体" w:hAnsi="宋体" w:hint="eastAsia"/>
          <w:szCs w:val="24"/>
        </w:rPr>
        <w:t>压缩机为强迫交变应力运转的设备，在交变应力的作用下运动的各部件极易发生机械故障，如连杆螺栓不断承受交变应力的作用，产生材质疲劳断裂、气缸与机身之间的连接固件断裂等。由于压缩机的运动造成出口气体管道按转速周期振动，如果管道系统设计或操作不当，容易产生气柱共振而发生疲劳破裂。</w:t>
      </w:r>
    </w:p>
    <w:p w:rsidR="00F95F9B" w:rsidRDefault="00000000">
      <w:pPr>
        <w:widowControl w:val="0"/>
        <w:adjustRightInd w:val="0"/>
        <w:snapToGrid w:val="0"/>
        <w:ind w:firstLine="470"/>
        <w:rPr>
          <w:szCs w:val="24"/>
        </w:rPr>
      </w:pPr>
      <w:r>
        <w:rPr>
          <w:rFonts w:ascii="宋体" w:hAnsi="宋体" w:hint="eastAsia"/>
          <w:szCs w:val="24"/>
        </w:rPr>
        <w:t>压缩机运行时，气缸或机壳内的润滑油（起润滑、密封和冷却的作用）在高温作用下会氧化而形成积炭，积炭是易燃物质，有可能引起燃爆事故。若压缩机出口管道堵塞，有可能发生爆炸事故。此外，如维修保养不当，造成压缩机上的垫圈损坏漏气，极易引起火灾、爆炸事故；设备带病运转（压缩机表面有裂纹），易造成事故，润滑油泄漏，可造成火灾。</w:t>
      </w:r>
    </w:p>
    <w:p w:rsidR="00F95F9B" w:rsidRDefault="00000000">
      <w:pPr>
        <w:widowControl w:val="0"/>
        <w:adjustRightInd w:val="0"/>
        <w:snapToGrid w:val="0"/>
        <w:ind w:firstLine="470"/>
        <w:rPr>
          <w:szCs w:val="24"/>
        </w:rPr>
      </w:pPr>
      <w:r>
        <w:rPr>
          <w:rFonts w:ascii="宋体" w:hAnsi="宋体" w:hint="eastAsia"/>
          <w:szCs w:val="24"/>
        </w:rPr>
        <w:t>压缩机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rsidR="00F95F9B" w:rsidRDefault="00000000">
      <w:pPr>
        <w:widowControl w:val="0"/>
        <w:adjustRightInd w:val="0"/>
        <w:snapToGrid w:val="0"/>
        <w:ind w:firstLine="470"/>
        <w:rPr>
          <w:szCs w:val="24"/>
        </w:rPr>
      </w:pPr>
      <w:r>
        <w:rPr>
          <w:rFonts w:ascii="宋体" w:hAnsi="宋体" w:hint="eastAsia"/>
          <w:szCs w:val="24"/>
        </w:rPr>
        <w:t>压缩机及其附属的管道，未合理设置静电接地线，可因静电而导致爆炸事故；若与之连接的管道、阀门、法兰、压力表管嘴等因密封不严、冲刷腐蚀等，可导致可燃气体泄漏，遇点火源，可发生火灾、爆炸事故。泄漏的气体中可能含有硫化氢等有毒气体，人员未佩戴合格的防护用品，吸入可发生中毒事故。</w:t>
      </w:r>
    </w:p>
    <w:p w:rsidR="00F95F9B" w:rsidRDefault="00000000">
      <w:pPr>
        <w:pStyle w:val="4"/>
        <w:keepNext w:val="0"/>
        <w:keepLines w:val="0"/>
        <w:widowControl w:val="0"/>
        <w:adjustRightInd w:val="0"/>
        <w:snapToGrid w:val="0"/>
      </w:pPr>
      <w:r>
        <w:rPr>
          <w:rFonts w:hint="eastAsia"/>
        </w:rPr>
        <w:t>泵类及泵房</w:t>
      </w:r>
    </w:p>
    <w:p w:rsidR="00F95F9B" w:rsidRDefault="00000000">
      <w:pPr>
        <w:autoSpaceDE w:val="0"/>
        <w:adjustRightInd w:val="0"/>
        <w:snapToGrid w:val="0"/>
        <w:ind w:firstLine="470"/>
        <w:rPr>
          <w:szCs w:val="24"/>
        </w:rPr>
      </w:pPr>
      <w:r>
        <w:rPr>
          <w:rFonts w:ascii="宋体" w:hAnsi="宋体" w:hint="eastAsia"/>
          <w:szCs w:val="24"/>
        </w:rPr>
        <w:lastRenderedPageBreak/>
        <w:t>生产站场动力驱动的各类机泵（输油泵、注水泵，掺水泵等）的传动件、转动部位，若防护罩失效或残缺，人体接触时就有机械伤害的危险。正常生产期间，作业人员在没有停机的情况下进行作业或维修，造成机械伤害事故发生。</w:t>
      </w:r>
    </w:p>
    <w:p w:rsidR="00F95F9B" w:rsidRDefault="00000000">
      <w:pPr>
        <w:autoSpaceDE w:val="0"/>
        <w:adjustRightInd w:val="0"/>
        <w:snapToGrid w:val="0"/>
        <w:ind w:firstLine="470"/>
        <w:rPr>
          <w:szCs w:val="24"/>
        </w:rPr>
      </w:pPr>
      <w:r>
        <w:rPr>
          <w:rFonts w:ascii="宋体" w:hAnsi="宋体" w:hint="eastAsia"/>
          <w:szCs w:val="24"/>
        </w:rPr>
        <w:t>输油泵部件磨损老化、密封不良、设备维修、管道腐蚀等原因，可能造成油气泄漏，如维修时使用非防爆工具、泵房内动火或操作人员未使用防静电劳动防护用品等，有可能造成火灾爆炸事故；注水泵会导致高压水刺漏，造成人员伤害。</w:t>
      </w:r>
    </w:p>
    <w:p w:rsidR="00F95F9B" w:rsidRDefault="00000000">
      <w:pPr>
        <w:autoSpaceDE w:val="0"/>
        <w:adjustRightInd w:val="0"/>
        <w:snapToGrid w:val="0"/>
        <w:ind w:firstLine="470"/>
        <w:rPr>
          <w:szCs w:val="24"/>
        </w:rPr>
      </w:pPr>
      <w:r>
        <w:rPr>
          <w:rFonts w:ascii="宋体" w:hAnsi="宋体" w:hint="eastAsia"/>
          <w:szCs w:val="24"/>
        </w:rPr>
        <w:t>输油（气）泵房内的电机、启动开关、仪器仪表等电气设备，若未按要求使用防爆电器或防爆等级不足，则当泵房内由于泄漏而使空气中的原油蒸气浓度达到爆炸极限范围之内时，上述电器在启动、关闭时产生的电火花有可能引发爆炸。</w:t>
      </w:r>
    </w:p>
    <w:p w:rsidR="00F95F9B" w:rsidRDefault="00000000">
      <w:pPr>
        <w:widowControl w:val="0"/>
        <w:autoSpaceDE w:val="0"/>
        <w:adjustRightInd w:val="0"/>
        <w:snapToGrid w:val="0"/>
        <w:ind w:firstLine="470"/>
        <w:rPr>
          <w:szCs w:val="24"/>
        </w:rPr>
      </w:pPr>
      <w:r>
        <w:rPr>
          <w:rFonts w:ascii="宋体" w:hAnsi="宋体" w:hint="eastAsia"/>
          <w:szCs w:val="24"/>
        </w:rPr>
        <w:t>机泵产生的噪声较大，其中注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rsidR="00F95F9B" w:rsidRDefault="00000000">
      <w:pPr>
        <w:autoSpaceDE w:val="0"/>
        <w:adjustRightInd w:val="0"/>
        <w:snapToGrid w:val="0"/>
        <w:ind w:firstLine="470"/>
        <w:rPr>
          <w:szCs w:val="24"/>
        </w:rPr>
      </w:pPr>
      <w:r>
        <w:rPr>
          <w:rFonts w:ascii="宋体" w:hAnsi="宋体" w:hint="eastAsia"/>
          <w:szCs w:val="24"/>
        </w:rPr>
        <w:t>泵类设备的带电部位、带电导线是引发触电事故的危险源。人体触及带电的导线、漏电泵类设备的外壳都可能导致触电事故发生。</w:t>
      </w:r>
    </w:p>
    <w:p w:rsidR="00F95F9B" w:rsidRDefault="00000000">
      <w:pPr>
        <w:pStyle w:val="4"/>
        <w:keepNext w:val="0"/>
        <w:keepLines w:val="0"/>
        <w:widowControl w:val="0"/>
        <w:adjustRightInd w:val="0"/>
        <w:snapToGrid w:val="0"/>
      </w:pPr>
      <w:r>
        <w:rPr>
          <w:rFonts w:hint="eastAsia"/>
        </w:rPr>
        <w:t>脱硫塔、脱硫辅助设备等</w:t>
      </w:r>
    </w:p>
    <w:p w:rsidR="00F95F9B" w:rsidRDefault="00000000">
      <w:pPr>
        <w:adjustRightInd w:val="0"/>
        <w:snapToGrid w:val="0"/>
        <w:ind w:firstLine="470"/>
        <w:rPr>
          <w:szCs w:val="24"/>
        </w:rPr>
      </w:pPr>
      <w:r>
        <w:rPr>
          <w:rFonts w:hint="eastAsia"/>
          <w:szCs w:val="24"/>
        </w:rPr>
        <w:t>1</w:t>
      </w:r>
      <w:r>
        <w:rPr>
          <w:rFonts w:hint="eastAsia"/>
          <w:szCs w:val="24"/>
        </w:rPr>
        <w:t>）</w:t>
      </w:r>
      <w:r>
        <w:rPr>
          <w:rFonts w:ascii="宋体" w:hAnsi="宋体" w:hint="eastAsia"/>
          <w:szCs w:val="24"/>
        </w:rPr>
        <w:t>火灾、爆炸</w:t>
      </w:r>
    </w:p>
    <w:p w:rsidR="00F95F9B" w:rsidRDefault="00000000">
      <w:pPr>
        <w:autoSpaceDE w:val="0"/>
        <w:adjustRightInd w:val="0"/>
        <w:snapToGrid w:val="0"/>
        <w:ind w:firstLine="470"/>
        <w:rPr>
          <w:szCs w:val="24"/>
        </w:rPr>
      </w:pPr>
      <w:r>
        <w:rPr>
          <w:rFonts w:ascii="宋体" w:hAnsi="宋体" w:hint="eastAsia"/>
          <w:szCs w:val="24"/>
        </w:rPr>
        <w:t>因脱硫塔、脱硫辅助设备选材不合格、内表面磨损和腐蚀、焊接不良、操作失误等，导致天然气泄漏。</w:t>
      </w:r>
    </w:p>
    <w:p w:rsidR="00F95F9B" w:rsidRDefault="00000000">
      <w:pPr>
        <w:autoSpaceDE w:val="0"/>
        <w:adjustRightInd w:val="0"/>
        <w:snapToGrid w:val="0"/>
        <w:ind w:firstLine="470"/>
        <w:rPr>
          <w:szCs w:val="24"/>
        </w:rPr>
      </w:pPr>
      <w:r>
        <w:rPr>
          <w:rFonts w:ascii="宋体" w:hAnsi="宋体" w:hint="eastAsia"/>
          <w:szCs w:val="24"/>
        </w:rPr>
        <w:t>设备或管线的选材不合格，使设备或管线的实际承压达不到设计要求，腐蚀状况加剧，运行时超压爆裂导致天然气泄漏。</w:t>
      </w:r>
    </w:p>
    <w:p w:rsidR="00F95F9B" w:rsidRDefault="00000000">
      <w:pPr>
        <w:autoSpaceDE w:val="0"/>
        <w:adjustRightInd w:val="0"/>
        <w:snapToGrid w:val="0"/>
        <w:ind w:firstLine="470"/>
        <w:rPr>
          <w:szCs w:val="24"/>
        </w:rPr>
      </w:pPr>
      <w:r>
        <w:rPr>
          <w:rFonts w:ascii="宋体" w:hAnsi="宋体" w:hint="eastAsia"/>
          <w:szCs w:val="24"/>
        </w:rPr>
        <w:t>设备或管线的内表面磨损、腐蚀穿孔等造成天然气泄漏。如选材不当，使设备或管线的材质不达标，造成抗腐蚀性能差；另外，天然气干燥系统故障，处理能力不足等原因，导致天然气中含有水，将导致管道内壁腐蚀。在潮湿、酸性环境下，塔体接头及焊缝区域往往容易发生应力腐蚀开裂，处置不当会造成严重后果。</w:t>
      </w:r>
    </w:p>
    <w:p w:rsidR="00F95F9B" w:rsidRDefault="00000000">
      <w:pPr>
        <w:autoSpaceDE w:val="0"/>
        <w:adjustRightInd w:val="0"/>
        <w:snapToGrid w:val="0"/>
        <w:ind w:firstLine="470"/>
        <w:rPr>
          <w:szCs w:val="24"/>
        </w:rPr>
      </w:pPr>
      <w:r>
        <w:rPr>
          <w:rFonts w:ascii="宋体" w:hAnsi="宋体" w:hint="eastAsia"/>
          <w:szCs w:val="24"/>
        </w:rPr>
        <w:t>制造、焊接缺陷。主要表现为焊接人员素质不高，焊接方法及焊接材料不符合要求：不按要求检查焊缝质量或漏检焊缝，焊缝检验人员水平不够。脱硫塔上开孔接管的焊缝、阀门或与之相连的仪表引压管线因维修作业不当引起的泄漏；工作人员操作失误，形成设备或管线憋压以及其他原因造成设备或管线破裂，造成天然气泄漏。</w:t>
      </w:r>
    </w:p>
    <w:p w:rsidR="00F95F9B" w:rsidRDefault="00000000">
      <w:pPr>
        <w:autoSpaceDE w:val="0"/>
        <w:adjustRightInd w:val="0"/>
        <w:snapToGrid w:val="0"/>
        <w:ind w:firstLine="470"/>
        <w:rPr>
          <w:szCs w:val="24"/>
        </w:rPr>
      </w:pPr>
      <w:r>
        <w:rPr>
          <w:rFonts w:ascii="宋体" w:hAnsi="宋体" w:hint="eastAsia"/>
          <w:szCs w:val="24"/>
        </w:rPr>
        <w:t>另外还有阀门、法兰、垫片等选择不当或老化、损坏等造成的天然气泄漏。</w:t>
      </w:r>
    </w:p>
    <w:p w:rsidR="00F95F9B" w:rsidRDefault="00000000">
      <w:pPr>
        <w:autoSpaceDE w:val="0"/>
        <w:adjustRightInd w:val="0"/>
        <w:snapToGrid w:val="0"/>
        <w:ind w:firstLine="470"/>
        <w:rPr>
          <w:szCs w:val="24"/>
        </w:rPr>
      </w:pPr>
      <w:r>
        <w:rPr>
          <w:rFonts w:ascii="宋体" w:hAnsi="宋体" w:hint="eastAsia"/>
          <w:szCs w:val="24"/>
        </w:rPr>
        <w:lastRenderedPageBreak/>
        <w:t>脱硫塔、干燥器等排出的杂质、污水含有硫化铁和</w:t>
      </w:r>
      <w:r>
        <w:rPr>
          <w:rFonts w:hint="eastAsia"/>
          <w:szCs w:val="24"/>
        </w:rPr>
        <w:t>H</w:t>
      </w:r>
      <w:r>
        <w:rPr>
          <w:rFonts w:hint="eastAsia"/>
          <w:szCs w:val="24"/>
          <w:vertAlign w:val="subscript"/>
        </w:rPr>
        <w:t>2</w:t>
      </w:r>
      <w:r>
        <w:rPr>
          <w:rFonts w:hint="eastAsia"/>
          <w:szCs w:val="24"/>
        </w:rPr>
        <w:t>S</w:t>
      </w:r>
      <w:r>
        <w:rPr>
          <w:rFonts w:ascii="宋体" w:hAnsi="宋体" w:hint="eastAsia"/>
          <w:szCs w:val="24"/>
        </w:rPr>
        <w:t>，操作不当易引发火灾，甚至发生中毒和爆炸。</w:t>
      </w:r>
    </w:p>
    <w:p w:rsidR="00F95F9B" w:rsidRDefault="00000000">
      <w:pPr>
        <w:autoSpaceDE w:val="0"/>
        <w:adjustRightInd w:val="0"/>
        <w:snapToGrid w:val="0"/>
        <w:ind w:firstLine="470"/>
        <w:rPr>
          <w:szCs w:val="24"/>
        </w:rPr>
      </w:pPr>
      <w:r>
        <w:rPr>
          <w:rFonts w:ascii="宋体" w:hAnsi="宋体" w:hint="eastAsia"/>
          <w:szCs w:val="24"/>
        </w:rPr>
        <w:t>如果脱硫塔脱硫不完全，就将使后续的过滤等工序产生严重腐蚀、堵塞等问题，可能引发天然气泄漏等事故。</w:t>
      </w:r>
    </w:p>
    <w:p w:rsidR="00F95F9B" w:rsidRDefault="00000000">
      <w:pPr>
        <w:autoSpaceDE w:val="0"/>
        <w:adjustRightInd w:val="0"/>
        <w:snapToGrid w:val="0"/>
        <w:ind w:firstLine="470"/>
        <w:rPr>
          <w:szCs w:val="24"/>
        </w:rPr>
      </w:pPr>
      <w:r>
        <w:rPr>
          <w:rFonts w:ascii="宋体" w:hAnsi="宋体" w:hint="eastAsia"/>
          <w:szCs w:val="24"/>
        </w:rPr>
        <w:t>泄漏的天然气遇明火、静电火花、撞击火花、高温表面等，可引发火灾、爆炸事故。</w:t>
      </w:r>
    </w:p>
    <w:p w:rsidR="00F95F9B" w:rsidRDefault="00000000">
      <w:pPr>
        <w:autoSpaceDE w:val="0"/>
        <w:adjustRightInd w:val="0"/>
        <w:snapToGrid w:val="0"/>
        <w:ind w:firstLine="470"/>
        <w:rPr>
          <w:szCs w:val="24"/>
        </w:rPr>
      </w:pPr>
      <w:r>
        <w:rPr>
          <w:rFonts w:ascii="宋体" w:hAnsi="宋体" w:hint="eastAsia"/>
          <w:szCs w:val="24"/>
        </w:rPr>
        <w:t>脱硫剂再生时，若脱硫塔未用惰性气体置换干净并与其它设备、设施有效分离，导致天然气进入脱硫塔内，可与空气形成爆炸性混合气体；而脱硫剂再生是个放热反应，反应产物还有单质硫，通入的空气太快、太多，可是反应加快，温度升高，而导致爆炸。</w:t>
      </w:r>
    </w:p>
    <w:p w:rsidR="00F95F9B" w:rsidRDefault="00000000">
      <w:pPr>
        <w:autoSpaceDE w:val="0"/>
        <w:adjustRightInd w:val="0"/>
        <w:snapToGrid w:val="0"/>
        <w:ind w:firstLine="470"/>
        <w:rPr>
          <w:szCs w:val="24"/>
        </w:rPr>
      </w:pPr>
      <w:r>
        <w:rPr>
          <w:rFonts w:hint="eastAsia"/>
          <w:szCs w:val="24"/>
        </w:rPr>
        <w:t>2</w:t>
      </w:r>
      <w:r>
        <w:rPr>
          <w:rFonts w:hint="eastAsia"/>
          <w:szCs w:val="24"/>
        </w:rPr>
        <w:t>）</w:t>
      </w:r>
      <w:r>
        <w:rPr>
          <w:rFonts w:ascii="宋体" w:hAnsi="宋体" w:hint="eastAsia"/>
          <w:szCs w:val="24"/>
        </w:rPr>
        <w:t>中毒和窒息</w:t>
      </w:r>
    </w:p>
    <w:p w:rsidR="00F95F9B" w:rsidRDefault="00000000">
      <w:pPr>
        <w:widowControl w:val="0"/>
        <w:autoSpaceDE w:val="0"/>
        <w:adjustRightInd w:val="0"/>
        <w:snapToGrid w:val="0"/>
        <w:ind w:firstLine="470"/>
        <w:rPr>
          <w:szCs w:val="24"/>
        </w:rPr>
      </w:pPr>
      <w:r>
        <w:rPr>
          <w:rFonts w:ascii="宋体" w:hAnsi="宋体" w:hint="eastAsia"/>
          <w:szCs w:val="24"/>
        </w:rPr>
        <w:t>若天然气中硫化氢气体的含量较高，一旦设备、管线发生泄漏，则易造成周边人员硫化氢中毒事故的发生。</w:t>
      </w:r>
    </w:p>
    <w:p w:rsidR="00F95F9B" w:rsidRDefault="00000000">
      <w:pPr>
        <w:autoSpaceDE w:val="0"/>
        <w:adjustRightInd w:val="0"/>
        <w:snapToGrid w:val="0"/>
        <w:ind w:firstLine="470"/>
        <w:rPr>
          <w:szCs w:val="24"/>
        </w:rPr>
      </w:pPr>
      <w:r>
        <w:rPr>
          <w:rFonts w:hint="eastAsia"/>
          <w:szCs w:val="24"/>
        </w:rPr>
        <w:t>3</w:t>
      </w:r>
      <w:r>
        <w:rPr>
          <w:rFonts w:hint="eastAsia"/>
          <w:szCs w:val="24"/>
        </w:rPr>
        <w:t>）</w:t>
      </w:r>
      <w:r>
        <w:rPr>
          <w:rFonts w:ascii="宋体" w:hAnsi="宋体" w:hint="eastAsia"/>
          <w:szCs w:val="24"/>
        </w:rPr>
        <w:t>超压爆炸</w:t>
      </w:r>
    </w:p>
    <w:p w:rsidR="00F95F9B" w:rsidRDefault="00000000">
      <w:pPr>
        <w:autoSpaceDE w:val="0"/>
        <w:adjustRightInd w:val="0"/>
        <w:snapToGrid w:val="0"/>
        <w:ind w:firstLine="470"/>
        <w:rPr>
          <w:szCs w:val="24"/>
        </w:rPr>
      </w:pPr>
      <w:r>
        <w:rPr>
          <w:rFonts w:ascii="宋体" w:hAnsi="宋体" w:hint="eastAsia"/>
          <w:szCs w:val="24"/>
        </w:rPr>
        <w:t>脱硫塔、干燥器等承压设施，由于设计、制造原因存在先天缺陷，因腐蚀致使承压能力降低，或因操作失误超压运行，若受力超过强度极限，极易发生破裂，可能导致物理爆炸。压力容器、管道若存在设计、制造、施工存在质量缺陷；腐蚀致局部强度降低；操作不当，安全附件失效，管道局部压力剧升，超出承压范围等，将有可能使脱硫塔等压力容器发生破裂，严重时将造成爆炸事故。</w:t>
      </w:r>
    </w:p>
    <w:p w:rsidR="00F95F9B" w:rsidRDefault="00000000">
      <w:pPr>
        <w:autoSpaceDE w:val="0"/>
        <w:adjustRightInd w:val="0"/>
        <w:snapToGrid w:val="0"/>
        <w:ind w:firstLine="470"/>
        <w:rPr>
          <w:szCs w:val="24"/>
        </w:rPr>
      </w:pPr>
      <w:r>
        <w:rPr>
          <w:rFonts w:hint="eastAsia"/>
          <w:szCs w:val="24"/>
        </w:rPr>
        <w:t>4</w:t>
      </w:r>
      <w:r>
        <w:rPr>
          <w:rFonts w:hint="eastAsia"/>
          <w:szCs w:val="24"/>
        </w:rPr>
        <w:t>）</w:t>
      </w:r>
      <w:r>
        <w:rPr>
          <w:rFonts w:ascii="宋体" w:hAnsi="宋体" w:hint="eastAsia"/>
          <w:szCs w:val="24"/>
        </w:rPr>
        <w:t>高处坠落</w:t>
      </w:r>
    </w:p>
    <w:p w:rsidR="00F95F9B" w:rsidRDefault="00000000">
      <w:pPr>
        <w:autoSpaceDE w:val="0"/>
        <w:adjustRightInd w:val="0"/>
        <w:snapToGrid w:val="0"/>
        <w:ind w:firstLine="470"/>
        <w:rPr>
          <w:szCs w:val="24"/>
        </w:rPr>
      </w:pPr>
      <w:r>
        <w:rPr>
          <w:rFonts w:ascii="宋体" w:hAnsi="宋体" w:hint="eastAsia"/>
          <w:szCs w:val="24"/>
        </w:rPr>
        <w:t>检修人员需要等上脱硫塔进行检修等。若梯子扶手、栏杆不符合安装要求或由于日久失修、损坏或因腐蚀而失去了防护作用，特别在大风、雨雪天登高时，工作人员若疏忽大意，就会发生高处坠落事故。</w:t>
      </w:r>
    </w:p>
    <w:p w:rsidR="00F95F9B" w:rsidRDefault="00000000">
      <w:pPr>
        <w:pStyle w:val="2"/>
        <w:keepNext w:val="0"/>
        <w:keepLines w:val="0"/>
        <w:spacing w:before="170" w:after="170"/>
      </w:pPr>
      <w:bookmarkStart w:id="47" w:name="_Toc5220"/>
      <w:r>
        <w:rPr>
          <w:rFonts w:hint="eastAsia"/>
        </w:rPr>
        <w:t>公用工程及辅助生产设施危险、有害因素分析</w:t>
      </w:r>
      <w:bookmarkEnd w:id="47"/>
    </w:p>
    <w:p w:rsidR="00F95F9B" w:rsidRDefault="00000000">
      <w:pPr>
        <w:pStyle w:val="3"/>
        <w:keepNext w:val="0"/>
        <w:keepLines w:val="0"/>
        <w:widowControl w:val="0"/>
        <w:adjustRightInd w:val="0"/>
        <w:snapToGrid w:val="0"/>
        <w:ind w:left="0"/>
      </w:pPr>
      <w:r>
        <w:rPr>
          <w:rFonts w:hint="eastAsia"/>
        </w:rPr>
        <w:t>自控</w:t>
      </w:r>
    </w:p>
    <w:p w:rsidR="00F95F9B" w:rsidRDefault="00000000">
      <w:pPr>
        <w:widowControl w:val="0"/>
        <w:adjustRightInd w:val="0"/>
        <w:snapToGrid w:val="0"/>
        <w:ind w:firstLine="470"/>
      </w:pPr>
      <w:r>
        <w:t>自控设备可靠性是系统安全运行的重要条件，井口的传感器由于各种原因（质量、安装、维护、自然条件等）造成失效，数据传输错误会导致远程控制错误，例如压力</w:t>
      </w:r>
      <w:r>
        <w:rPr>
          <w:rFonts w:hint="eastAsia"/>
        </w:rPr>
        <w:t>、液位</w:t>
      </w:r>
      <w:r>
        <w:t>数据错误造成系统超压运行或</w:t>
      </w:r>
      <w:r>
        <w:rPr>
          <w:rFonts w:hint="eastAsia"/>
        </w:rPr>
        <w:t>储罐满溢</w:t>
      </w:r>
      <w:r>
        <w:t>。</w:t>
      </w:r>
    </w:p>
    <w:p w:rsidR="00F95F9B" w:rsidRDefault="00000000">
      <w:pPr>
        <w:widowControl w:val="0"/>
        <w:adjustRightInd w:val="0"/>
        <w:snapToGrid w:val="0"/>
        <w:ind w:firstLine="470"/>
      </w:pPr>
      <w:r>
        <w:t>在抽油机上安装井口</w:t>
      </w:r>
      <w:r>
        <w:t>RTU</w:t>
      </w:r>
      <w:r>
        <w:t>（远程终端单元），将抽油机载荷和位移数据通过井口施工图测量技术，转换为示功图，同时采集电参、运行状态及井口压力等信号，将井口</w:t>
      </w:r>
      <w:r>
        <w:t>RTU</w:t>
      </w:r>
      <w:r>
        <w:t>采集的信号通过无线方式传送至井场</w:t>
      </w:r>
      <w:r>
        <w:t>RTU</w:t>
      </w:r>
      <w:r>
        <w:t>，井场</w:t>
      </w:r>
      <w:r>
        <w:t>RTU</w:t>
      </w:r>
      <w:r>
        <w:t>将油井数据通过无线网桥方式传输</w:t>
      </w:r>
      <w:r>
        <w:lastRenderedPageBreak/>
        <w:t>至数控中心，从而实现数据采集和远程控制。</w:t>
      </w:r>
      <w:r>
        <w:t xml:space="preserve"> </w:t>
      </w:r>
    </w:p>
    <w:p w:rsidR="00F95F9B" w:rsidRDefault="00000000">
      <w:pPr>
        <w:widowControl w:val="0"/>
        <w:adjustRightInd w:val="0"/>
        <w:snapToGrid w:val="0"/>
        <w:ind w:firstLine="470"/>
      </w:pPr>
      <w:r>
        <w:t>抽油机的远程启停也存在危险。在自动停机过程中，如果抽油机平衡不好，恰好在最高点停机，有可能发生翻车等重大安全事故。启动时，如果现场无人值守时，刹车刹住则会出现烧毁电机及供电线路的后果；如果现场工作人员未能发现启动提示及时离开或者恰好有人在启动期间出现，可能造成死伤事故。</w:t>
      </w:r>
    </w:p>
    <w:p w:rsidR="00F95F9B" w:rsidRDefault="00000000">
      <w:pPr>
        <w:widowControl w:val="0"/>
        <w:adjustRightInd w:val="0"/>
        <w:snapToGrid w:val="0"/>
        <w:ind w:firstLine="470"/>
      </w:pPr>
      <w:r>
        <w:t>若温度、液位、压力、流量等传感器出现故障，生产过程中的各种参数不能正确显示，提供错误的信息，判断失误，从而发出错误的指令，进行错误的操作，影响安全生产，严重时发生火灾、爆炸等事故。执行器主要采用气动调节阀，气动调节阀应严格按照维护周期进行维护，若产生故障而未及时维修，自控设施发出的指令不能执行，将会影响生产，发生安全事故。当发生停电事故，可造成系统憋压和易燃物料外溢等事故，有引发火灾、爆炸的危险。若紧急停车及安全连锁系统出现故障，发生事故时，系统不能起作用，可导致超温、超压和易燃物质泄漏，从而引发火灾、爆炸事故。若设置的可燃气体及有毒气体报警系统出现故障，当发生可燃气体或有毒气体泄漏时，不能及时发现，易错过处理的最佳时机，可发生火灾、爆炸或人员中毒事故。</w:t>
      </w:r>
    </w:p>
    <w:p w:rsidR="00F95F9B" w:rsidRDefault="00000000">
      <w:pPr>
        <w:pStyle w:val="3"/>
        <w:keepNext w:val="0"/>
        <w:keepLines w:val="0"/>
        <w:widowControl w:val="0"/>
        <w:adjustRightInd w:val="0"/>
        <w:snapToGrid w:val="0"/>
        <w:ind w:left="0"/>
      </w:pPr>
      <w:r>
        <w:rPr>
          <w:rFonts w:hint="eastAsia"/>
        </w:rPr>
        <w:t>安全设施及其它</w:t>
      </w:r>
    </w:p>
    <w:p w:rsidR="00F95F9B" w:rsidRDefault="00000000">
      <w:pPr>
        <w:widowControl w:val="0"/>
        <w:adjustRightInd w:val="0"/>
        <w:snapToGrid w:val="0"/>
        <w:ind w:firstLine="470"/>
      </w:pPr>
      <w:r>
        <w:rPr>
          <w:rFonts w:hint="eastAsia"/>
        </w:rPr>
        <w:t>1</w:t>
      </w:r>
      <w:r>
        <w:rPr>
          <w:rFonts w:hint="eastAsia"/>
        </w:rPr>
        <w:t>）</w:t>
      </w:r>
      <w:r>
        <w:t>爆炸危险场所若未合理设置可燃气体泄漏报警器或报警器质量不合格，则不利于及时发现和处理气体泄漏事故，增大了发生火灾、爆炸的可能性。</w:t>
      </w:r>
    </w:p>
    <w:p w:rsidR="00F95F9B" w:rsidRDefault="00000000">
      <w:pPr>
        <w:widowControl w:val="0"/>
        <w:adjustRightInd w:val="0"/>
        <w:snapToGrid w:val="0"/>
        <w:ind w:firstLine="470"/>
      </w:pPr>
      <w:r>
        <w:rPr>
          <w:rFonts w:hint="eastAsia"/>
        </w:rPr>
        <w:t>2</w:t>
      </w:r>
      <w:r>
        <w:rPr>
          <w:rFonts w:hint="eastAsia"/>
        </w:rPr>
        <w:t>）</w:t>
      </w:r>
      <w:r>
        <w:t>未设有毒气体泄漏报警器或报警器质量不合格，则不利于及时发现和处理气体泄漏事故，增大了发生中毒事故的可能性。</w:t>
      </w:r>
    </w:p>
    <w:p w:rsidR="00F95F9B" w:rsidRDefault="00000000">
      <w:pPr>
        <w:widowControl w:val="0"/>
        <w:adjustRightInd w:val="0"/>
        <w:snapToGrid w:val="0"/>
        <w:ind w:firstLine="470"/>
      </w:pPr>
      <w:r>
        <w:rPr>
          <w:rFonts w:hint="eastAsia"/>
        </w:rPr>
        <w:t>3</w:t>
      </w:r>
      <w:r>
        <w:rPr>
          <w:rFonts w:hint="eastAsia"/>
        </w:rPr>
        <w:t>）</w:t>
      </w:r>
      <w:r>
        <w:t>未合理设置卸压装置或卸压装置故障，有引发容器爆炸的危险；压力表、温度计、液位计等选型不当、精度不够、显示失灵、故障等，可导致误操作，引起事故。</w:t>
      </w:r>
    </w:p>
    <w:p w:rsidR="00F95F9B" w:rsidRDefault="00000000">
      <w:pPr>
        <w:widowControl w:val="0"/>
        <w:adjustRightInd w:val="0"/>
        <w:snapToGrid w:val="0"/>
        <w:ind w:firstLine="470"/>
      </w:pPr>
      <w:r>
        <w:rPr>
          <w:rFonts w:hint="eastAsia"/>
        </w:rPr>
        <w:t>4</w:t>
      </w:r>
      <w:r>
        <w:rPr>
          <w:rFonts w:hint="eastAsia"/>
        </w:rPr>
        <w:t>）</w:t>
      </w:r>
      <w:r>
        <w:t>若未设置防雷防静电设施或设置不符合要求，有可能遭雷击或产生静电火花而导致火灾事故发生。</w:t>
      </w:r>
    </w:p>
    <w:p w:rsidR="00F95F9B" w:rsidRDefault="00000000">
      <w:pPr>
        <w:widowControl w:val="0"/>
        <w:adjustRightInd w:val="0"/>
        <w:snapToGrid w:val="0"/>
        <w:ind w:firstLine="470"/>
      </w:pPr>
      <w:r>
        <w:rPr>
          <w:rFonts w:hint="eastAsia"/>
        </w:rPr>
        <w:t>5</w:t>
      </w:r>
      <w:r>
        <w:rPr>
          <w:rFonts w:hint="eastAsia"/>
        </w:rPr>
        <w:t>）</w:t>
      </w:r>
      <w:r>
        <w:t>未配备个人防护用品或防护用品不符合规范，未正确佩戴均可导致人员伤害事故。</w:t>
      </w:r>
    </w:p>
    <w:p w:rsidR="00F95F9B" w:rsidRDefault="00000000">
      <w:pPr>
        <w:widowControl w:val="0"/>
        <w:adjustRightInd w:val="0"/>
        <w:snapToGrid w:val="0"/>
        <w:ind w:firstLine="470"/>
      </w:pPr>
      <w:r>
        <w:rPr>
          <w:rFonts w:hint="eastAsia"/>
        </w:rPr>
        <w:t>6</w:t>
      </w:r>
      <w:r>
        <w:rPr>
          <w:rFonts w:hint="eastAsia"/>
        </w:rPr>
        <w:t>）</w:t>
      </w:r>
      <w:r>
        <w:t>未设置监控系统或者监控系统损坏，不利于无人井场实时情况的反馈，易发生原油及其采油设备、设施的盗抢事件；并且，出现设备损坏、原油泄漏等事故时，不能及时发现，及时救援。</w:t>
      </w:r>
    </w:p>
    <w:p w:rsidR="00F95F9B" w:rsidRDefault="00000000">
      <w:pPr>
        <w:widowControl w:val="0"/>
        <w:adjustRightInd w:val="0"/>
        <w:snapToGrid w:val="0"/>
        <w:ind w:firstLine="470"/>
      </w:pPr>
      <w:r>
        <w:t>通向井场的道路不畅，使检维修人员、车辆进入井场较为困难，设备得不到及时维修保养，可导致事故发生或事故扩大。</w:t>
      </w:r>
    </w:p>
    <w:p w:rsidR="00F95F9B" w:rsidRDefault="00000000">
      <w:pPr>
        <w:pStyle w:val="3"/>
        <w:keepNext w:val="0"/>
        <w:keepLines w:val="0"/>
        <w:widowControl w:val="0"/>
        <w:adjustRightInd w:val="0"/>
        <w:snapToGrid w:val="0"/>
        <w:ind w:left="0"/>
      </w:pPr>
      <w:r>
        <w:rPr>
          <w:rFonts w:hint="eastAsia"/>
        </w:rPr>
        <w:t>供配电设施</w:t>
      </w:r>
    </w:p>
    <w:p w:rsidR="00F95F9B" w:rsidRDefault="00000000">
      <w:pPr>
        <w:widowControl w:val="0"/>
        <w:adjustRightInd w:val="0"/>
        <w:snapToGrid w:val="0"/>
        <w:ind w:firstLine="470"/>
      </w:pPr>
      <w:r>
        <w:lastRenderedPageBreak/>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rsidR="00F95F9B" w:rsidRDefault="00000000">
      <w:pPr>
        <w:widowControl w:val="0"/>
        <w:adjustRightInd w:val="0"/>
        <w:snapToGrid w:val="0"/>
        <w:ind w:firstLine="470"/>
      </w:pPr>
      <w:r>
        <w:t>变压器过负荷运行时，将使设备温度过高，变压器里的绝缘材料在较高温度下作用将逐步发生老化，使绝缘强度降低；或者当变压器发生穿越性故障时；在过电压冲击时；检修质量不良使局部绝缘损坏等，造成短路，若没有一定的保护措施，就将发生火灾事故。</w:t>
      </w:r>
    </w:p>
    <w:p w:rsidR="00F95F9B" w:rsidRDefault="00000000">
      <w:pPr>
        <w:widowControl w:val="0"/>
        <w:adjustRightInd w:val="0"/>
        <w:snapToGrid w:val="0"/>
        <w:ind w:firstLine="470"/>
      </w:pPr>
      <w:r>
        <w:t>供配电设施应安装工作接地、保护接地，所有正常情况下不带电的电气设备金属外壳、工艺设备、工艺管线等均应可靠接地，否则有发生触电的危险。</w:t>
      </w:r>
    </w:p>
    <w:p w:rsidR="00F95F9B" w:rsidRDefault="00000000">
      <w:pPr>
        <w:widowControl w:val="0"/>
        <w:adjustRightInd w:val="0"/>
        <w:snapToGrid w:val="0"/>
        <w:ind w:firstLine="470"/>
      </w:pPr>
      <w:r>
        <w:t>电气设备若无接地保护或接地不良、绝缘破坏漏电，以及输配电线路绝缘破坏漏电，电气作业监护不力或违章操作等，人体触及带电体，有发生触电的危险。</w:t>
      </w:r>
    </w:p>
    <w:p w:rsidR="00F95F9B" w:rsidRDefault="00000000">
      <w:pPr>
        <w:widowControl w:val="0"/>
        <w:adjustRightInd w:val="0"/>
        <w:snapToGrid w:val="0"/>
        <w:ind w:firstLine="470"/>
      </w:pPr>
      <w:r>
        <w:t>电动机过负荷运行；金属物体及其他固体掉进电动机内造成绝缘受损；绕组受潮、高压击穿绝缘、电动机接线处各接线点接触不良或松动时；电动机单项运行、接触电阻过大或轴承过热、电动机的引线不牢，熔断器过大及其配电装置不符等；均有可能引起电器火灾或触电事故。电动机固定不牢时易造成对其它设备的损坏和人身伤害。</w:t>
      </w:r>
    </w:p>
    <w:p w:rsidR="00F95F9B" w:rsidRDefault="00000000">
      <w:pPr>
        <w:widowControl w:val="0"/>
        <w:adjustRightInd w:val="0"/>
        <w:snapToGrid w:val="0"/>
        <w:ind w:firstLine="470"/>
      </w:pPr>
      <w:r>
        <w:t>动力电缆的保护铅皮损坏或运行中电缆绝缘损伤；电缆长时间过负荷运行造成电缆过分干枯时；电缆接头盒的中间接头因压接不紧、焊接不牢或接头材料选择不当；运行中接头氧化、发热流胶或灌注在接头盒内的绝缘剂质量不符合要求，灌注时盒内存有空气，以及电缆盒密封不好，漏入水或潮湿气体等引起绝缘击穿；电缆端头表面受潮、引出线间绝缘处理不当或距离过小；外界的火源和热源侵害电缆时，均有可能引起电缆火灾。</w:t>
      </w:r>
    </w:p>
    <w:p w:rsidR="00F95F9B" w:rsidRDefault="00000000">
      <w:pPr>
        <w:widowControl w:val="0"/>
        <w:adjustRightInd w:val="0"/>
        <w:snapToGrid w:val="0"/>
        <w:ind w:firstLine="470"/>
      </w:pPr>
      <w:r>
        <w:t>在爆炸危险区域内，电气设备选型不当，防爆等级不够，可引起火灾、爆炸事故发生。</w:t>
      </w:r>
    </w:p>
    <w:p w:rsidR="00F95F9B" w:rsidRDefault="00000000">
      <w:pPr>
        <w:widowControl w:val="0"/>
        <w:adjustRightInd w:val="0"/>
        <w:snapToGrid w:val="0"/>
        <w:ind w:firstLine="470"/>
      </w:pPr>
      <w:r>
        <w:t>室内电气设备，若质量不合格、安装不规范、绝缘等级不够、无安全防护措施等，有发生触电和电器火灾的危险。如电器过热、短路打火，引燃周围可燃物，发生火灾。</w:t>
      </w:r>
    </w:p>
    <w:p w:rsidR="00F95F9B" w:rsidRDefault="00000000">
      <w:pPr>
        <w:pStyle w:val="3"/>
        <w:keepNext w:val="0"/>
        <w:keepLines w:val="0"/>
        <w:widowControl w:val="0"/>
        <w:adjustRightInd w:val="0"/>
        <w:snapToGrid w:val="0"/>
        <w:ind w:left="0"/>
      </w:pPr>
      <w:r>
        <w:rPr>
          <w:rFonts w:hint="eastAsia"/>
        </w:rPr>
        <w:t>防雷设施</w:t>
      </w:r>
    </w:p>
    <w:p w:rsidR="00F95F9B" w:rsidRDefault="00000000">
      <w:pPr>
        <w:pStyle w:val="2SLCON22"/>
        <w:adjustRightInd w:val="0"/>
        <w:snapToGrid w:val="0"/>
        <w:ind w:firstLine="470"/>
        <w:rPr>
          <w:sz w:val="24"/>
          <w:szCs w:val="24"/>
          <w:lang w:val="zh-CN"/>
        </w:rPr>
      </w:pPr>
      <w:r>
        <w:rPr>
          <w:sz w:val="24"/>
          <w:szCs w:val="24"/>
          <w:lang w:val="zh-CN"/>
        </w:rPr>
        <w:t>变压器、配线（缆）、构架、箱式配电站及电气室都有遭受雷击的可能。若防雷设计不合理、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触电压或跨步电压的触电事故；雷电流的热效应还能引起电气火灾及爆炸。</w:t>
      </w:r>
    </w:p>
    <w:p w:rsidR="00F95F9B" w:rsidRDefault="00000000">
      <w:pPr>
        <w:pStyle w:val="3"/>
        <w:keepNext w:val="0"/>
        <w:keepLines w:val="0"/>
        <w:widowControl w:val="0"/>
        <w:adjustRightInd w:val="0"/>
        <w:snapToGrid w:val="0"/>
        <w:ind w:left="0"/>
      </w:pPr>
      <w:r>
        <w:rPr>
          <w:rFonts w:hint="eastAsia"/>
        </w:rPr>
        <w:t>消防设施</w:t>
      </w:r>
    </w:p>
    <w:p w:rsidR="00F95F9B" w:rsidRDefault="00000000">
      <w:pPr>
        <w:pStyle w:val="2SLCON22"/>
        <w:widowControl w:val="0"/>
        <w:adjustRightInd w:val="0"/>
        <w:snapToGrid w:val="0"/>
        <w:ind w:firstLine="470"/>
        <w:rPr>
          <w:sz w:val="24"/>
          <w:szCs w:val="24"/>
          <w:lang w:val="zh-CN"/>
        </w:rPr>
      </w:pPr>
      <w:r>
        <w:rPr>
          <w:sz w:val="24"/>
          <w:szCs w:val="24"/>
          <w:lang w:val="zh-CN"/>
        </w:rPr>
        <w:lastRenderedPageBreak/>
        <w:t>站场的消防设计为工程的初期事故提供自救条件，在防止事故扩大和争取外部救援时机方面起着重要的作用。一旦发生事故时，不能及时进行灭火，小事故将演变为大事故，事故将扩大。</w:t>
      </w:r>
    </w:p>
    <w:p w:rsidR="00F95F9B" w:rsidRDefault="00000000">
      <w:pPr>
        <w:pStyle w:val="2SLCON22"/>
        <w:adjustRightInd w:val="0"/>
        <w:snapToGrid w:val="0"/>
        <w:ind w:firstLine="470"/>
        <w:rPr>
          <w:sz w:val="24"/>
          <w:szCs w:val="24"/>
        </w:rPr>
      </w:pPr>
      <w:r>
        <w:rPr>
          <w:sz w:val="24"/>
          <w:szCs w:val="24"/>
          <w:lang w:val="zh-CN"/>
        </w:rPr>
        <w:t>消防栓的设置不合理；或消防车道、安全出口设置不合理、路面或安全出口有障碍物；消防器材摆放不合理等，均可因消防的缺陷，导致火灾蔓延和扩大。</w:t>
      </w:r>
    </w:p>
    <w:p w:rsidR="00F95F9B" w:rsidRDefault="00000000">
      <w:pPr>
        <w:pStyle w:val="2"/>
        <w:keepNext w:val="0"/>
        <w:keepLines w:val="0"/>
        <w:spacing w:before="170" w:after="170"/>
      </w:pPr>
      <w:bookmarkStart w:id="48" w:name="_Toc23937"/>
      <w:r>
        <w:rPr>
          <w:rFonts w:hint="eastAsia"/>
        </w:rPr>
        <w:t>社会和自然环境危险因素分析</w:t>
      </w:r>
      <w:bookmarkEnd w:id="48"/>
    </w:p>
    <w:p w:rsidR="00F95F9B" w:rsidRDefault="00000000">
      <w:pPr>
        <w:pStyle w:val="3"/>
        <w:keepNext w:val="0"/>
        <w:keepLines w:val="0"/>
        <w:widowControl w:val="0"/>
        <w:adjustRightInd w:val="0"/>
        <w:snapToGrid w:val="0"/>
        <w:ind w:left="0"/>
      </w:pPr>
      <w:r>
        <w:rPr>
          <w:rFonts w:hint="eastAsia"/>
        </w:rPr>
        <w:t>油气生产对社会环境的影响</w:t>
      </w:r>
    </w:p>
    <w:p w:rsidR="00F95F9B" w:rsidRDefault="00000000">
      <w:pPr>
        <w:widowControl w:val="0"/>
        <w:adjustRightInd w:val="0"/>
        <w:snapToGrid w:val="0"/>
        <w:ind w:firstLine="470"/>
      </w:pPr>
      <w:r>
        <w:rPr>
          <w:rFonts w:hint="eastAsia"/>
        </w:rPr>
        <w:t>石油天然气勘探、开发、输送过程中若发生油气泄漏会造成环境污染。井喷失控、设备、管道中的原油和天然气泄漏，会对邻近的周边设施和人员安全造成威胁。违规或意外进入井场的人员可能遭受抽油机设备挤、卷和撞击伤害。</w:t>
      </w:r>
    </w:p>
    <w:p w:rsidR="00F95F9B" w:rsidRDefault="00000000">
      <w:pPr>
        <w:pStyle w:val="3"/>
        <w:keepNext w:val="0"/>
        <w:keepLines w:val="0"/>
        <w:widowControl w:val="0"/>
        <w:adjustRightInd w:val="0"/>
        <w:snapToGrid w:val="0"/>
        <w:ind w:left="0"/>
      </w:pPr>
      <w:r>
        <w:rPr>
          <w:rFonts w:hint="eastAsia"/>
        </w:rPr>
        <w:t>社会环境对油气生产的影响</w:t>
      </w:r>
    </w:p>
    <w:p w:rsidR="00F95F9B" w:rsidRDefault="00000000">
      <w:pPr>
        <w:widowControl w:val="0"/>
        <w:adjustRightInd w:val="0"/>
        <w:snapToGrid w:val="0"/>
        <w:ind w:firstLine="470"/>
      </w:pPr>
      <w:r>
        <w:rPr>
          <w:rFonts w:hint="eastAsia"/>
        </w:rPr>
        <w:t>鲁明公司管辖面积较广，油区工农关系较复杂，会影响油田生产，主要表现有：井场及站场位于农田中，若有人在农田内焚烧秸秆，火焰蔓延至井场或站场内，会引起火灾、爆炸事故。</w:t>
      </w:r>
    </w:p>
    <w:p w:rsidR="00F95F9B" w:rsidRDefault="00000000">
      <w:pPr>
        <w:widowControl w:val="0"/>
        <w:adjustRightInd w:val="0"/>
        <w:snapToGrid w:val="0"/>
        <w:ind w:firstLine="470"/>
      </w:pPr>
      <w:r>
        <w:rPr>
          <w:rFonts w:hint="eastAsia"/>
        </w:rPr>
        <w:t>抽油机、低压配电线路分布较散，会遭到不法人员的盗窃和破坏。由于原油属地下矿产资源，不法分子可能采取各种方式在原油输送管线上打卡子，盗取原油部分非法用气户在天然气（主、支）管线、油井、计量站上采取各种方式偷盗天然气，轻者造成国家财产损失，重者引起火灾爆炸事故。</w:t>
      </w:r>
    </w:p>
    <w:p w:rsidR="00F95F9B" w:rsidRDefault="00000000">
      <w:pPr>
        <w:pStyle w:val="3"/>
        <w:keepNext w:val="0"/>
        <w:keepLines w:val="0"/>
        <w:widowControl w:val="0"/>
        <w:adjustRightInd w:val="0"/>
        <w:snapToGrid w:val="0"/>
        <w:ind w:left="0"/>
      </w:pPr>
      <w:r>
        <w:rPr>
          <w:rFonts w:hint="eastAsia"/>
        </w:rPr>
        <w:t>自然条件对油气生产的影响</w:t>
      </w:r>
    </w:p>
    <w:p w:rsidR="00F95F9B" w:rsidRDefault="00000000">
      <w:pPr>
        <w:widowControl w:val="0"/>
        <w:adjustRightInd w:val="0"/>
        <w:snapToGrid w:val="0"/>
        <w:ind w:firstLine="470"/>
      </w:pPr>
      <w:bookmarkStart w:id="49" w:name="_Toc285631648"/>
      <w:bookmarkStart w:id="50" w:name="_Toc285631438"/>
      <w:bookmarkStart w:id="51" w:name="_Toc285616997"/>
      <w:bookmarkStart w:id="52" w:name="_Toc285631817"/>
      <w:bookmarkStart w:id="53" w:name="_Toc285632846"/>
      <w:r>
        <w:rPr>
          <w:rFonts w:hint="eastAsia"/>
        </w:rPr>
        <w:t>自然环境条件中对采油（气）、注入系统和集输系统及其相关设施可以造成危险的因素主要包括地震、雷击、高温和低温、大风等。</w:t>
      </w:r>
    </w:p>
    <w:p w:rsidR="00F95F9B" w:rsidRDefault="00000000">
      <w:pPr>
        <w:widowControl w:val="0"/>
        <w:adjustRightInd w:val="0"/>
        <w:snapToGrid w:val="0"/>
        <w:ind w:firstLine="470"/>
      </w:pPr>
      <w:r>
        <w:rPr>
          <w:rFonts w:hint="eastAsia"/>
        </w:rPr>
        <w:t>1</w:t>
      </w:r>
      <w:r>
        <w:rPr>
          <w:rFonts w:hint="eastAsia"/>
        </w:rPr>
        <w:t>）地震</w:t>
      </w:r>
    </w:p>
    <w:p w:rsidR="00F95F9B" w:rsidRDefault="00000000">
      <w:pPr>
        <w:widowControl w:val="0"/>
        <w:adjustRightInd w:val="0"/>
        <w:snapToGrid w:val="0"/>
        <w:ind w:firstLine="470"/>
      </w:pPr>
      <w:r>
        <w:rPr>
          <w:rFonts w:hint="eastAsia"/>
        </w:rPr>
        <w:t>地震具有破坏性巨大且难以预报的特点，一旦发生地震，根据地震强度的不同，不可避免的会造成破坏，甚至对油田设施带来灾难性的影响，并引发一系列的次生灾害事故。</w:t>
      </w:r>
    </w:p>
    <w:p w:rsidR="00F95F9B" w:rsidRDefault="00000000">
      <w:pPr>
        <w:widowControl w:val="0"/>
        <w:adjustRightInd w:val="0"/>
        <w:snapToGrid w:val="0"/>
        <w:ind w:firstLine="470"/>
      </w:pPr>
      <w:r>
        <w:rPr>
          <w:rFonts w:hint="eastAsia"/>
        </w:rPr>
        <w:t>地震是地球内部突然发生的一系列弹性波，一般出现在</w:t>
      </w:r>
      <w:r>
        <w:rPr>
          <w:rFonts w:hint="eastAsia"/>
        </w:rPr>
        <w:t>700m</w:t>
      </w:r>
      <w:r>
        <w:rPr>
          <w:rFonts w:hint="eastAsia"/>
        </w:rPr>
        <w:t>以下的深度。地震时会强烈振动并伴随着出现断层、地裂、地面隆起和下沉等现象，导致高架罐开裂或倾覆、管道及阀件断裂。其中高架罐、管道均属于高柔性设备，被输送、储存从加工的又是易燃易爆的油气，因此，遭受地震时不仅损坏率极高，同时还会伴随发生火灾及爆炸等严重的二次事故。</w:t>
      </w:r>
    </w:p>
    <w:p w:rsidR="00F95F9B" w:rsidRDefault="00000000">
      <w:pPr>
        <w:widowControl w:val="0"/>
        <w:adjustRightInd w:val="0"/>
        <w:snapToGrid w:val="0"/>
        <w:ind w:firstLine="470"/>
      </w:pPr>
      <w:r>
        <w:rPr>
          <w:rFonts w:hint="eastAsia"/>
        </w:rPr>
        <w:lastRenderedPageBreak/>
        <w:t>2</w:t>
      </w:r>
      <w:r>
        <w:rPr>
          <w:rFonts w:hint="eastAsia"/>
        </w:rPr>
        <w:t>）雷电</w:t>
      </w:r>
    </w:p>
    <w:p w:rsidR="00F95F9B" w:rsidRDefault="00000000">
      <w:pPr>
        <w:widowControl w:val="0"/>
        <w:adjustRightInd w:val="0"/>
        <w:snapToGrid w:val="0"/>
        <w:ind w:firstLine="470"/>
      </w:pPr>
      <w:r>
        <w:rPr>
          <w:rFonts w:hint="eastAsia"/>
        </w:rPr>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w:t>
      </w:r>
    </w:p>
    <w:p w:rsidR="00F95F9B" w:rsidRDefault="00000000">
      <w:pPr>
        <w:widowControl w:val="0"/>
        <w:adjustRightInd w:val="0"/>
        <w:snapToGrid w:val="0"/>
        <w:ind w:firstLine="470"/>
      </w:pPr>
      <w:r>
        <w:rPr>
          <w:rFonts w:hint="eastAsia"/>
        </w:rPr>
        <w:t>3</w:t>
      </w:r>
      <w:r>
        <w:rPr>
          <w:rFonts w:hint="eastAsia"/>
        </w:rPr>
        <w:t>）高温和低温</w:t>
      </w:r>
    </w:p>
    <w:p w:rsidR="00F95F9B" w:rsidRDefault="00000000">
      <w:pPr>
        <w:widowControl w:val="0"/>
        <w:adjustRightInd w:val="0"/>
        <w:snapToGrid w:val="0"/>
        <w:ind w:firstLine="470"/>
      </w:pPr>
      <w:r>
        <w:rPr>
          <w:rFonts w:hint="eastAsia"/>
        </w:rPr>
        <w:t>在夏季高温环境下作业，有可能会导致人体发生水盐平衡失调，出现无力、体温升高等症状。同时高温使血管扩张，末梢循环血量增加，使心跳加速，心脏负担加重。高温作业可使动作的准确性、协调性、反应速度以及注意力降低，易发生工伤事故。长期在高温环境下作业，还可能导致人员中暑。</w:t>
      </w:r>
    </w:p>
    <w:p w:rsidR="00F95F9B" w:rsidRDefault="00000000">
      <w:pPr>
        <w:widowControl w:val="0"/>
        <w:adjustRightInd w:val="0"/>
        <w:snapToGrid w:val="0"/>
        <w:ind w:firstLine="470"/>
      </w:pPr>
      <w:r>
        <w:rPr>
          <w:rFonts w:hint="eastAsia"/>
        </w:rPr>
        <w:t>鲁明公司油区所在地冬季寒冷，气温过低、保温或伴热失效、管道埋深过浅，易发生管线凝管、冻堵甚至冻裂事故。</w:t>
      </w:r>
    </w:p>
    <w:p w:rsidR="00F95F9B" w:rsidRDefault="00000000">
      <w:pPr>
        <w:widowControl w:val="0"/>
        <w:adjustRightInd w:val="0"/>
        <w:snapToGrid w:val="0"/>
        <w:ind w:firstLine="470"/>
      </w:pPr>
      <w:r>
        <w:rPr>
          <w:rFonts w:hint="eastAsia"/>
        </w:rPr>
        <w:t>外界的温差变化引起的热胀冷缩作用，会产生巨大的温度应力，导致设备、管线等损坏，这些损坏容易发生在管线与设备的连接部位、转弯处、焊缝等处。</w:t>
      </w:r>
    </w:p>
    <w:p w:rsidR="00F95F9B" w:rsidRDefault="00000000">
      <w:pPr>
        <w:widowControl w:val="0"/>
        <w:adjustRightInd w:val="0"/>
        <w:snapToGrid w:val="0"/>
        <w:ind w:firstLine="470"/>
      </w:pPr>
      <w:r>
        <w:rPr>
          <w:rFonts w:hint="eastAsia"/>
        </w:rPr>
        <w:t>4</w:t>
      </w:r>
      <w:r>
        <w:rPr>
          <w:rFonts w:hint="eastAsia"/>
        </w:rPr>
        <w:t>）大风</w:t>
      </w:r>
    </w:p>
    <w:p w:rsidR="00F95F9B" w:rsidRDefault="00000000">
      <w:pPr>
        <w:widowControl w:val="0"/>
        <w:adjustRightInd w:val="0"/>
        <w:snapToGrid w:val="0"/>
        <w:ind w:firstLine="470"/>
      </w:pPr>
      <w:r>
        <w:rPr>
          <w:rFonts w:hint="eastAsia"/>
        </w:rPr>
        <w:t>鲁明公司油区为我国东部沿海季风区，多风，其中</w:t>
      </w:r>
      <w:r>
        <w:rPr>
          <w:rFonts w:hint="eastAsia"/>
        </w:rPr>
        <w:t>4</w:t>
      </w:r>
      <w:r>
        <w:rPr>
          <w:rFonts w:hint="eastAsia"/>
        </w:rPr>
        <w:t>月风力最大，平均风速</w:t>
      </w:r>
      <w:r>
        <w:rPr>
          <w:rFonts w:hint="eastAsia"/>
        </w:rPr>
        <w:t>4.5</w:t>
      </w:r>
      <w:r>
        <w:rPr>
          <w:rFonts w:hint="eastAsia"/>
        </w:rPr>
        <w:t>～</w:t>
      </w:r>
      <w:r>
        <w:rPr>
          <w:rFonts w:hint="eastAsia"/>
        </w:rPr>
        <w:t>5.2m/s</w:t>
      </w:r>
      <w:r>
        <w:rPr>
          <w:rFonts w:hint="eastAsia"/>
        </w:rPr>
        <w:t>，一些施工作业，如井下作业等，在大风天气受到限制。大风会吹折或吹倒树木、电杆、井架及烟向等细高直立的物体，它们在倒落过程中则可能发生砸伤人畜、砸毁房屋或设备、以及折断电线引发火灾等二次事故，更大的风力还可能直接摧毁建筑物及大型设备。</w:t>
      </w:r>
    </w:p>
    <w:p w:rsidR="00F95F9B" w:rsidRDefault="00000000">
      <w:pPr>
        <w:widowControl w:val="0"/>
        <w:adjustRightInd w:val="0"/>
        <w:snapToGrid w:val="0"/>
        <w:ind w:firstLine="470"/>
      </w:pPr>
      <w:r>
        <w:rPr>
          <w:rFonts w:hint="eastAsia"/>
        </w:rPr>
        <w:t>5</w:t>
      </w:r>
      <w:r>
        <w:rPr>
          <w:rFonts w:hint="eastAsia"/>
        </w:rPr>
        <w:t>）洪涝</w:t>
      </w:r>
    </w:p>
    <w:p w:rsidR="00F95F9B" w:rsidRDefault="00000000">
      <w:pPr>
        <w:widowControl w:val="0"/>
        <w:adjustRightInd w:val="0"/>
        <w:snapToGrid w:val="0"/>
        <w:ind w:firstLine="470"/>
      </w:pPr>
      <w:r>
        <w:rPr>
          <w:rFonts w:hint="eastAsia"/>
        </w:rPr>
        <w:t>因夏、秋季多雨，每年</w:t>
      </w:r>
      <w:r>
        <w:rPr>
          <w:rFonts w:hint="eastAsia"/>
        </w:rPr>
        <w:t>6</w:t>
      </w:r>
      <w:r>
        <w:rPr>
          <w:rFonts w:hint="eastAsia"/>
        </w:rPr>
        <w:t>月至</w:t>
      </w:r>
      <w:r>
        <w:rPr>
          <w:rFonts w:hint="eastAsia"/>
        </w:rPr>
        <w:t>9</w:t>
      </w:r>
      <w:r>
        <w:rPr>
          <w:rFonts w:hint="eastAsia"/>
        </w:rPr>
        <w:t>月这四个月的雨量占正常年降雨量的</w:t>
      </w:r>
      <w:r>
        <w:rPr>
          <w:rFonts w:hint="eastAsia"/>
        </w:rPr>
        <w:t>60~80</w:t>
      </w:r>
      <w:r>
        <w:rPr>
          <w:rFonts w:hint="eastAsia"/>
        </w:rPr>
        <w:t>％，易形成洪涝灾害。油井、集输站</w:t>
      </w:r>
      <w:r>
        <w:rPr>
          <w:rFonts w:hint="eastAsia"/>
        </w:rPr>
        <w:t>/</w:t>
      </w:r>
      <w:r>
        <w:rPr>
          <w:rFonts w:hint="eastAsia"/>
        </w:rPr>
        <w:t>联合站、计量站等地势较低，当雨量特别大时，不能及时排出积水，接触到部分设备（如电机、变压器、开关、加热炉等），都会导致设备损坏、停产，影响正常的运行。</w:t>
      </w:r>
      <w:bookmarkEnd w:id="49"/>
      <w:bookmarkEnd w:id="50"/>
      <w:bookmarkEnd w:id="51"/>
      <w:bookmarkEnd w:id="52"/>
      <w:bookmarkEnd w:id="53"/>
    </w:p>
    <w:p w:rsidR="00F95F9B" w:rsidRDefault="00000000">
      <w:pPr>
        <w:widowControl w:val="0"/>
        <w:adjustRightInd w:val="0"/>
        <w:snapToGrid w:val="0"/>
        <w:ind w:firstLine="470"/>
      </w:pPr>
      <w:r>
        <w:rPr>
          <w:rFonts w:hint="eastAsia"/>
        </w:rPr>
        <w:t>6</w:t>
      </w:r>
      <w:r>
        <w:rPr>
          <w:rFonts w:hint="eastAsia"/>
        </w:rPr>
        <w:t>）腐蚀</w:t>
      </w:r>
    </w:p>
    <w:p w:rsidR="00F95F9B" w:rsidRDefault="00000000">
      <w:pPr>
        <w:widowControl w:val="0"/>
        <w:adjustRightInd w:val="0"/>
        <w:snapToGrid w:val="0"/>
        <w:ind w:firstLine="470"/>
      </w:pPr>
      <w:r>
        <w:rPr>
          <w:rFonts w:hint="eastAsia"/>
        </w:rPr>
        <w:t>伴生气中可能含有硫化氢，其含量越多，腐蚀就越严重。</w:t>
      </w:r>
    </w:p>
    <w:p w:rsidR="00F95F9B" w:rsidRDefault="00000000">
      <w:pPr>
        <w:widowControl w:val="0"/>
        <w:adjustRightInd w:val="0"/>
        <w:snapToGrid w:val="0"/>
        <w:ind w:firstLine="470"/>
      </w:pPr>
      <w:r>
        <w:rPr>
          <w:rFonts w:hint="eastAsia"/>
        </w:rPr>
        <w:t>在大气中，由于氧的作用，雨水的作用，腐蚀物质的作用，裸露的设备、管线、阀、泵及其他设施会产生严重腐蚀，设备、设施、泵、螺栓、阀等锈蚀，会诱发事故的发生。</w:t>
      </w:r>
    </w:p>
    <w:p w:rsidR="00F95F9B" w:rsidRDefault="00000000">
      <w:pPr>
        <w:widowControl w:val="0"/>
        <w:adjustRightInd w:val="0"/>
        <w:snapToGrid w:val="0"/>
        <w:ind w:firstLine="470"/>
      </w:pPr>
      <w:r>
        <w:rPr>
          <w:rFonts w:hint="eastAsia"/>
        </w:rPr>
        <w:lastRenderedPageBreak/>
        <w:t>在管道连接处、衬板、垫片等处的金属与金属、金属与非金属间及金属涂层破损时，金属与涂层间所构成的窄缝于电解液中，会造成缝隙腐蚀。</w:t>
      </w:r>
    </w:p>
    <w:p w:rsidR="00F95F9B" w:rsidRDefault="00000000">
      <w:pPr>
        <w:widowControl w:val="0"/>
        <w:adjustRightInd w:val="0"/>
        <w:snapToGrid w:val="0"/>
        <w:ind w:firstLine="470"/>
      </w:pPr>
      <w:r>
        <w:rPr>
          <w:rFonts w:hint="eastAsia"/>
        </w:rPr>
        <w:t>由于金属表面露头、错位、介质不均匀等，使其表面膜完整性遭到破坏，成为点蚀源，腐蚀介质会集中于金属表面个别小点上形成深度较大的腐蚀。</w:t>
      </w:r>
    </w:p>
    <w:p w:rsidR="00F95F9B" w:rsidRDefault="00000000">
      <w:pPr>
        <w:widowControl w:val="0"/>
        <w:adjustRightInd w:val="0"/>
        <w:snapToGrid w:val="0"/>
        <w:ind w:firstLine="470"/>
      </w:pPr>
      <w:r>
        <w:rPr>
          <w:rFonts w:hint="eastAsia"/>
        </w:rPr>
        <w:t>另外，该地区所在地土地多为盐碱地，如果管道表面缺乏保护或保护不够、防腐层破损、焊接部位处理不当，则土壤中的水分与各种盐分等化学物质形成电解质溶液，会对金属管道造成化学腐蚀和电化学腐蚀，引起穿孔、变薄，发生腐蚀破裂。</w:t>
      </w:r>
    </w:p>
    <w:p w:rsidR="00F95F9B" w:rsidRDefault="00000000">
      <w:pPr>
        <w:pStyle w:val="2"/>
        <w:keepNext w:val="0"/>
        <w:keepLines w:val="0"/>
        <w:spacing w:before="170" w:after="170"/>
      </w:pPr>
      <w:bookmarkStart w:id="54" w:name="_Toc15454"/>
      <w:r>
        <w:rPr>
          <w:rFonts w:hint="eastAsia"/>
        </w:rPr>
        <w:t>重大危险源辨识</w:t>
      </w:r>
      <w:bookmarkEnd w:id="54"/>
    </w:p>
    <w:p w:rsidR="00F95F9B" w:rsidRDefault="00000000">
      <w:pPr>
        <w:keepNext/>
        <w:keepLines/>
        <w:widowControl w:val="0"/>
        <w:tabs>
          <w:tab w:val="left" w:pos="864"/>
        </w:tabs>
        <w:adjustRightInd w:val="0"/>
        <w:snapToGrid w:val="0"/>
        <w:spacing w:beforeLines="50" w:before="170"/>
        <w:ind w:left="862" w:firstLineChars="0" w:hanging="862"/>
        <w:textAlignment w:val="baseline"/>
        <w:outlineLvl w:val="2"/>
        <w:rPr>
          <w:rFonts w:eastAsia="黑体"/>
          <w:bCs/>
          <w:szCs w:val="32"/>
        </w:rPr>
      </w:pPr>
      <w:bookmarkStart w:id="55" w:name="_Toc5223"/>
      <w:bookmarkStart w:id="56" w:name="_Toc9576"/>
      <w:bookmarkStart w:id="57" w:name="_Toc12865103"/>
      <w:bookmarkStart w:id="58" w:name="_Toc18795"/>
      <w:bookmarkStart w:id="59" w:name="_Toc12865471"/>
      <w:r>
        <w:rPr>
          <w:rFonts w:eastAsia="黑体" w:hint="eastAsia"/>
          <w:bCs/>
          <w:szCs w:val="32"/>
        </w:rPr>
        <w:t>3.6</w:t>
      </w:r>
      <w:r>
        <w:rPr>
          <w:rFonts w:eastAsia="黑体"/>
          <w:bCs/>
          <w:szCs w:val="32"/>
        </w:rPr>
        <w:t xml:space="preserve">.1 </w:t>
      </w:r>
      <w:r>
        <w:rPr>
          <w:rFonts w:eastAsia="黑体"/>
          <w:bCs/>
          <w:szCs w:val="32"/>
        </w:rPr>
        <w:t>危险化学品重大危险源辨识依据</w:t>
      </w:r>
      <w:bookmarkEnd w:id="55"/>
      <w:bookmarkEnd w:id="56"/>
      <w:bookmarkEnd w:id="57"/>
      <w:bookmarkEnd w:id="58"/>
      <w:bookmarkEnd w:id="59"/>
    </w:p>
    <w:p w:rsidR="00F95F9B" w:rsidRDefault="00000000">
      <w:pPr>
        <w:widowControl w:val="0"/>
        <w:autoSpaceDE w:val="0"/>
        <w:autoSpaceDN w:val="0"/>
        <w:adjustRightInd w:val="0"/>
        <w:snapToGrid w:val="0"/>
        <w:ind w:firstLine="446"/>
        <w:rPr>
          <w:rFonts w:eastAsia="FZFangSong-Z02S"/>
          <w:spacing w:val="-6"/>
          <w:kern w:val="0"/>
          <w:szCs w:val="24"/>
        </w:rPr>
      </w:pPr>
      <w:r>
        <w:rPr>
          <w:rFonts w:eastAsia="FZFangSong-Z02S"/>
          <w:spacing w:val="-6"/>
          <w:kern w:val="0"/>
          <w:szCs w:val="24"/>
        </w:rPr>
        <w:t>危险化学品重大危险源的辨识依据《危险化学品重大危险源辨识》（</w:t>
      </w:r>
      <w:r>
        <w:rPr>
          <w:rFonts w:eastAsia="FZFangSong-Z02S"/>
          <w:spacing w:val="-6"/>
          <w:kern w:val="0"/>
          <w:szCs w:val="24"/>
        </w:rPr>
        <w:t>GB18218-2018</w:t>
      </w:r>
      <w:r>
        <w:rPr>
          <w:rFonts w:eastAsia="FZFangSong-Z02S"/>
          <w:spacing w:val="-6"/>
          <w:kern w:val="0"/>
          <w:szCs w:val="24"/>
        </w:rPr>
        <w:t>）和《危险化学品重大危险源监督管理暂行规定》（安监总</w:t>
      </w:r>
      <w:r>
        <w:rPr>
          <w:rFonts w:eastAsia="FZFangSong-Z02S"/>
          <w:kern w:val="0"/>
          <w:szCs w:val="24"/>
        </w:rPr>
        <w:t>局令第</w:t>
      </w:r>
      <w:r>
        <w:rPr>
          <w:rFonts w:eastAsia="FZFangSong-Z02S"/>
          <w:kern w:val="0"/>
          <w:szCs w:val="24"/>
        </w:rPr>
        <w:t>40</w:t>
      </w:r>
      <w:r>
        <w:rPr>
          <w:rFonts w:eastAsia="FZFangSong-Z02S"/>
          <w:kern w:val="0"/>
          <w:szCs w:val="24"/>
        </w:rPr>
        <w:t>号，</w:t>
      </w:r>
      <w:r>
        <w:rPr>
          <w:rFonts w:eastAsia="FZFangSong-Z02S"/>
          <w:kern w:val="0"/>
          <w:szCs w:val="24"/>
        </w:rPr>
        <w:t>79</w:t>
      </w:r>
      <w:r>
        <w:rPr>
          <w:rFonts w:eastAsia="FZFangSong-Z02S"/>
          <w:kern w:val="0"/>
          <w:szCs w:val="24"/>
        </w:rPr>
        <w:t>号令修订）规定，危险化学品重大危险源、危险化学品和临界量的定义如下：</w:t>
      </w:r>
    </w:p>
    <w:p w:rsidR="00F95F9B" w:rsidRDefault="00000000">
      <w:pPr>
        <w:widowControl w:val="0"/>
        <w:autoSpaceDE w:val="0"/>
        <w:autoSpaceDN w:val="0"/>
        <w:adjustRightInd w:val="0"/>
        <w:snapToGrid w:val="0"/>
        <w:ind w:firstLine="470"/>
        <w:rPr>
          <w:rFonts w:eastAsia="FZFangSong-Z02S"/>
          <w:kern w:val="0"/>
          <w:szCs w:val="24"/>
        </w:rPr>
      </w:pPr>
      <w:r>
        <w:rPr>
          <w:rFonts w:eastAsia="FZFangSong-Z02S"/>
          <w:kern w:val="0"/>
          <w:szCs w:val="24"/>
        </w:rPr>
        <w:t>危险化学品重大危险源：指长期地或临时地生产、加工、使用或储存危险化学品，且危险化学品的数量等于或超过临界量的单元。</w:t>
      </w:r>
    </w:p>
    <w:p w:rsidR="00F95F9B" w:rsidRDefault="00000000">
      <w:pPr>
        <w:widowControl w:val="0"/>
        <w:autoSpaceDE w:val="0"/>
        <w:autoSpaceDN w:val="0"/>
        <w:adjustRightInd w:val="0"/>
        <w:snapToGrid w:val="0"/>
        <w:ind w:firstLine="470"/>
        <w:rPr>
          <w:rFonts w:eastAsia="FZFangSong-Z02S"/>
          <w:kern w:val="0"/>
          <w:szCs w:val="24"/>
        </w:rPr>
      </w:pPr>
      <w:r>
        <w:rPr>
          <w:rFonts w:eastAsia="FZFangSong-Z02S"/>
          <w:kern w:val="0"/>
          <w:szCs w:val="24"/>
        </w:rPr>
        <w:t>生产单元：危险化学品的生产、加工及使用等的装置及设施，当装置及设施之间有切断阀时，以切断阀作为分隔界限划分为独立的单元。</w:t>
      </w:r>
    </w:p>
    <w:p w:rsidR="00F95F9B" w:rsidRDefault="00000000">
      <w:pPr>
        <w:widowControl w:val="0"/>
        <w:autoSpaceDE w:val="0"/>
        <w:autoSpaceDN w:val="0"/>
        <w:adjustRightInd w:val="0"/>
        <w:snapToGrid w:val="0"/>
        <w:ind w:firstLine="470"/>
        <w:rPr>
          <w:rFonts w:eastAsia="FZFangSong-Z02S"/>
          <w:kern w:val="0"/>
          <w:szCs w:val="24"/>
        </w:rPr>
      </w:pPr>
      <w:r>
        <w:rPr>
          <w:rFonts w:eastAsia="FZFangSong-Z02S"/>
          <w:kern w:val="0"/>
          <w:szCs w:val="24"/>
        </w:rPr>
        <w:t>储存单元：用于储存危险化学品的储罐或仓库组成的相对独立的区域，储罐区以罐区防火堤为界限划分为独立的单元，仓库以独立库房（独立建筑物）为界限划分为独立的单元。</w:t>
      </w:r>
    </w:p>
    <w:p w:rsidR="00F95F9B" w:rsidRDefault="00000000">
      <w:pPr>
        <w:widowControl w:val="0"/>
        <w:autoSpaceDE w:val="0"/>
        <w:autoSpaceDN w:val="0"/>
        <w:adjustRightInd w:val="0"/>
        <w:snapToGrid w:val="0"/>
        <w:ind w:firstLine="470"/>
        <w:rPr>
          <w:rFonts w:eastAsia="FZFangSong-Z02S"/>
          <w:kern w:val="0"/>
          <w:szCs w:val="24"/>
        </w:rPr>
      </w:pPr>
      <w:r>
        <w:rPr>
          <w:rFonts w:eastAsia="FZFangSong-Z02S"/>
          <w:kern w:val="0"/>
          <w:szCs w:val="24"/>
        </w:rPr>
        <w:t>临界量：指对于某种或某类危险化学品规定的数量，若单元中的危险化学品数量等于或超过该数量，则该单元定为重大危险源。</w:t>
      </w:r>
    </w:p>
    <w:p w:rsidR="00F95F9B" w:rsidRDefault="00000000">
      <w:pPr>
        <w:widowControl w:val="0"/>
        <w:autoSpaceDE w:val="0"/>
        <w:autoSpaceDN w:val="0"/>
        <w:adjustRightInd w:val="0"/>
        <w:snapToGrid w:val="0"/>
        <w:ind w:firstLine="470"/>
        <w:rPr>
          <w:rFonts w:eastAsia="FZFangSong-Z02S"/>
          <w:kern w:val="0"/>
          <w:szCs w:val="24"/>
        </w:rPr>
      </w:pPr>
      <w:r>
        <w:rPr>
          <w:rFonts w:eastAsia="FZFangSong-Z02S"/>
          <w:kern w:val="0"/>
          <w:szCs w:val="24"/>
        </w:rPr>
        <w:t>单元内存在的危险化学品的数量根据处理危险化学品种类的多少区分为以下两种情况：</w:t>
      </w:r>
    </w:p>
    <w:p w:rsidR="00F95F9B" w:rsidRDefault="00000000">
      <w:pPr>
        <w:widowControl w:val="0"/>
        <w:autoSpaceDE w:val="0"/>
        <w:autoSpaceDN w:val="0"/>
        <w:adjustRightInd w:val="0"/>
        <w:snapToGrid w:val="0"/>
        <w:ind w:firstLine="470"/>
        <w:rPr>
          <w:rFonts w:eastAsia="FZFangSong-Z02S"/>
          <w:kern w:val="0"/>
          <w:szCs w:val="24"/>
        </w:rPr>
      </w:pPr>
      <w:r>
        <w:rPr>
          <w:kern w:val="0"/>
          <w:szCs w:val="24"/>
        </w:rPr>
        <w:t>①</w:t>
      </w:r>
      <w:r>
        <w:rPr>
          <w:rFonts w:eastAsia="FZFangSong-Z02S"/>
          <w:kern w:val="0"/>
          <w:szCs w:val="24"/>
        </w:rPr>
        <w:t>生产单元、储存单元内存在的危险化学品为单一品种，则该危险化学品的数量即为单元内危险化学品的总量，若等于或超过相应的临界量，则定为危险化学品重大危险源；</w:t>
      </w:r>
    </w:p>
    <w:p w:rsidR="00F95F9B" w:rsidRDefault="00000000">
      <w:pPr>
        <w:widowControl w:val="0"/>
        <w:autoSpaceDE w:val="0"/>
        <w:autoSpaceDN w:val="0"/>
        <w:adjustRightInd w:val="0"/>
        <w:snapToGrid w:val="0"/>
        <w:ind w:firstLine="470"/>
        <w:rPr>
          <w:rFonts w:eastAsia="FZFangSong-Z02S"/>
          <w:kern w:val="0"/>
          <w:szCs w:val="24"/>
        </w:rPr>
      </w:pPr>
      <w:r>
        <w:rPr>
          <w:kern w:val="0"/>
          <w:szCs w:val="24"/>
        </w:rPr>
        <w:t>②</w:t>
      </w:r>
      <w:r>
        <w:rPr>
          <w:rFonts w:eastAsia="FZFangSong-Z02S"/>
          <w:kern w:val="0"/>
          <w:szCs w:val="24"/>
        </w:rPr>
        <w:t>生产单元、储存单元内内存在的危险化学品为多品种时，则按下列公式计算，若满足下列公式，则定为危险化学品重大危险源。</w:t>
      </w:r>
    </w:p>
    <w:p w:rsidR="00F95F9B" w:rsidRDefault="00000000">
      <w:pPr>
        <w:widowControl w:val="0"/>
        <w:adjustRightInd w:val="0"/>
        <w:snapToGrid w:val="0"/>
        <w:ind w:firstLine="470"/>
        <w:rPr>
          <w:bCs/>
          <w:szCs w:val="24"/>
        </w:rPr>
      </w:pPr>
      <w:r>
        <w:rPr>
          <w:bCs/>
          <w:i/>
          <w:szCs w:val="24"/>
        </w:rPr>
        <w:t>S=q</w:t>
      </w:r>
      <w:r>
        <w:rPr>
          <w:bCs/>
          <w:szCs w:val="24"/>
          <w:vertAlign w:val="subscript"/>
        </w:rPr>
        <w:t>1</w:t>
      </w:r>
      <w:r>
        <w:rPr>
          <w:bCs/>
          <w:i/>
          <w:szCs w:val="24"/>
        </w:rPr>
        <w:t>/Q</w:t>
      </w:r>
      <w:r>
        <w:rPr>
          <w:bCs/>
          <w:szCs w:val="24"/>
          <w:vertAlign w:val="subscript"/>
        </w:rPr>
        <w:t>1</w:t>
      </w:r>
      <w:r>
        <w:rPr>
          <w:bCs/>
          <w:szCs w:val="24"/>
        </w:rPr>
        <w:t xml:space="preserve"> </w:t>
      </w:r>
      <w:r>
        <w:rPr>
          <w:bCs/>
          <w:i/>
          <w:szCs w:val="24"/>
        </w:rPr>
        <w:t>+ q</w:t>
      </w:r>
      <w:r>
        <w:rPr>
          <w:bCs/>
          <w:szCs w:val="24"/>
          <w:vertAlign w:val="subscript"/>
        </w:rPr>
        <w:t>2</w:t>
      </w:r>
      <w:r>
        <w:rPr>
          <w:bCs/>
          <w:i/>
          <w:szCs w:val="24"/>
        </w:rPr>
        <w:t>/Q</w:t>
      </w:r>
      <w:r>
        <w:rPr>
          <w:bCs/>
          <w:szCs w:val="24"/>
          <w:vertAlign w:val="subscript"/>
        </w:rPr>
        <w:t>2</w:t>
      </w:r>
      <w:r>
        <w:rPr>
          <w:bCs/>
          <w:i/>
          <w:szCs w:val="24"/>
        </w:rPr>
        <w:t xml:space="preserve"> + … + q</w:t>
      </w:r>
      <w:r>
        <w:rPr>
          <w:bCs/>
          <w:szCs w:val="24"/>
          <w:vertAlign w:val="subscript"/>
        </w:rPr>
        <w:t>n</w:t>
      </w:r>
      <w:r>
        <w:rPr>
          <w:bCs/>
          <w:i/>
          <w:szCs w:val="24"/>
        </w:rPr>
        <w:t>/Q</w:t>
      </w:r>
      <w:r>
        <w:rPr>
          <w:bCs/>
          <w:szCs w:val="24"/>
          <w:vertAlign w:val="subscript"/>
        </w:rPr>
        <w:t>n</w:t>
      </w:r>
      <w:r>
        <w:rPr>
          <w:bCs/>
          <w:i/>
          <w:szCs w:val="24"/>
        </w:rPr>
        <w:t xml:space="preserve"> </w:t>
      </w:r>
      <w:r>
        <w:rPr>
          <w:bCs/>
          <w:szCs w:val="24"/>
        </w:rPr>
        <w:t>≥1     ……………①</w:t>
      </w:r>
    </w:p>
    <w:p w:rsidR="00F95F9B" w:rsidRDefault="00000000">
      <w:pPr>
        <w:widowControl w:val="0"/>
        <w:adjustRightInd w:val="0"/>
        <w:snapToGrid w:val="0"/>
        <w:ind w:firstLine="470"/>
        <w:rPr>
          <w:bCs/>
          <w:szCs w:val="24"/>
        </w:rPr>
      </w:pPr>
      <w:r>
        <w:rPr>
          <w:bCs/>
          <w:szCs w:val="24"/>
        </w:rPr>
        <w:t>式中：</w:t>
      </w:r>
    </w:p>
    <w:p w:rsidR="00F95F9B" w:rsidRDefault="00000000">
      <w:pPr>
        <w:widowControl w:val="0"/>
        <w:adjustRightInd w:val="0"/>
        <w:snapToGrid w:val="0"/>
        <w:ind w:firstLine="470"/>
        <w:rPr>
          <w:bCs/>
          <w:szCs w:val="24"/>
        </w:rPr>
      </w:pPr>
      <w:r>
        <w:rPr>
          <w:bCs/>
          <w:szCs w:val="24"/>
        </w:rPr>
        <w:t>S—</w:t>
      </w:r>
      <w:r>
        <w:rPr>
          <w:bCs/>
          <w:szCs w:val="24"/>
        </w:rPr>
        <w:t>辨识指标；</w:t>
      </w:r>
    </w:p>
    <w:p w:rsidR="00F95F9B" w:rsidRDefault="00000000">
      <w:pPr>
        <w:widowControl w:val="0"/>
        <w:adjustRightInd w:val="0"/>
        <w:snapToGrid w:val="0"/>
        <w:ind w:firstLine="470"/>
        <w:rPr>
          <w:bCs/>
          <w:szCs w:val="24"/>
        </w:rPr>
      </w:pPr>
      <w:r>
        <w:rPr>
          <w:bCs/>
          <w:i/>
          <w:szCs w:val="24"/>
        </w:rPr>
        <w:lastRenderedPageBreak/>
        <w:t>q</w:t>
      </w:r>
      <w:r>
        <w:rPr>
          <w:bCs/>
          <w:szCs w:val="24"/>
          <w:vertAlign w:val="subscript"/>
        </w:rPr>
        <w:t>1</w:t>
      </w:r>
      <w:r>
        <w:rPr>
          <w:bCs/>
          <w:szCs w:val="24"/>
        </w:rPr>
        <w:t>,</w:t>
      </w:r>
      <w:r>
        <w:rPr>
          <w:bCs/>
          <w:i/>
          <w:szCs w:val="24"/>
        </w:rPr>
        <w:t>q</w:t>
      </w:r>
      <w:r>
        <w:rPr>
          <w:bCs/>
          <w:szCs w:val="24"/>
          <w:vertAlign w:val="subscript"/>
        </w:rPr>
        <w:t>2</w:t>
      </w:r>
      <w:r>
        <w:rPr>
          <w:bCs/>
          <w:szCs w:val="24"/>
        </w:rPr>
        <w:t>,…,</w:t>
      </w:r>
      <w:r>
        <w:rPr>
          <w:bCs/>
          <w:i/>
          <w:szCs w:val="24"/>
        </w:rPr>
        <w:t>q</w:t>
      </w:r>
      <w:r>
        <w:rPr>
          <w:bCs/>
          <w:szCs w:val="24"/>
          <w:vertAlign w:val="subscript"/>
        </w:rPr>
        <w:t>n</w:t>
      </w:r>
      <w:r>
        <w:rPr>
          <w:bCs/>
          <w:szCs w:val="24"/>
        </w:rPr>
        <w:t xml:space="preserve"> —</w:t>
      </w:r>
      <w:r>
        <w:rPr>
          <w:bCs/>
          <w:szCs w:val="24"/>
        </w:rPr>
        <w:t>每种危险化学品实际存在量，单位为</w:t>
      </w:r>
      <w:r>
        <w:rPr>
          <w:bCs/>
          <w:szCs w:val="24"/>
        </w:rPr>
        <w:t>t</w:t>
      </w:r>
      <w:r>
        <w:rPr>
          <w:bCs/>
          <w:szCs w:val="24"/>
        </w:rPr>
        <w:t>；</w:t>
      </w:r>
    </w:p>
    <w:p w:rsidR="00F95F9B" w:rsidRDefault="00000000">
      <w:pPr>
        <w:widowControl w:val="0"/>
        <w:adjustRightInd w:val="0"/>
        <w:snapToGrid w:val="0"/>
        <w:ind w:firstLine="470"/>
        <w:rPr>
          <w:szCs w:val="24"/>
        </w:rPr>
      </w:pPr>
      <w:r>
        <w:rPr>
          <w:bCs/>
          <w:i/>
          <w:szCs w:val="24"/>
        </w:rPr>
        <w:t>Q</w:t>
      </w:r>
      <w:r>
        <w:rPr>
          <w:bCs/>
          <w:szCs w:val="24"/>
          <w:vertAlign w:val="subscript"/>
        </w:rPr>
        <w:t>1</w:t>
      </w:r>
      <w:r>
        <w:rPr>
          <w:bCs/>
          <w:szCs w:val="24"/>
        </w:rPr>
        <w:t>,</w:t>
      </w:r>
      <w:r>
        <w:rPr>
          <w:bCs/>
          <w:i/>
          <w:szCs w:val="24"/>
        </w:rPr>
        <w:t>Q</w:t>
      </w:r>
      <w:r>
        <w:rPr>
          <w:bCs/>
          <w:szCs w:val="24"/>
          <w:vertAlign w:val="subscript"/>
        </w:rPr>
        <w:t>2</w:t>
      </w:r>
      <w:r>
        <w:rPr>
          <w:bCs/>
          <w:szCs w:val="24"/>
        </w:rPr>
        <w:t>,…,</w:t>
      </w:r>
      <w:r>
        <w:rPr>
          <w:bCs/>
          <w:i/>
          <w:szCs w:val="24"/>
        </w:rPr>
        <w:t>Q</w:t>
      </w:r>
      <w:r>
        <w:rPr>
          <w:bCs/>
          <w:szCs w:val="24"/>
          <w:vertAlign w:val="subscript"/>
        </w:rPr>
        <w:t>n</w:t>
      </w:r>
      <w:r>
        <w:rPr>
          <w:bCs/>
          <w:szCs w:val="24"/>
        </w:rPr>
        <w:t xml:space="preserve"> —</w:t>
      </w:r>
      <w:r>
        <w:rPr>
          <w:bCs/>
          <w:szCs w:val="24"/>
        </w:rPr>
        <w:t>与各危险化学品相对应的临界量，单位为</w:t>
      </w:r>
      <w:r>
        <w:rPr>
          <w:bCs/>
          <w:szCs w:val="24"/>
        </w:rPr>
        <w:t>t</w:t>
      </w:r>
      <w:r>
        <w:rPr>
          <w:szCs w:val="24"/>
        </w:rPr>
        <w:t>。</w:t>
      </w:r>
    </w:p>
    <w:p w:rsidR="00F95F9B" w:rsidRDefault="00000000">
      <w:pPr>
        <w:keepNext/>
        <w:keepLines/>
        <w:widowControl w:val="0"/>
        <w:tabs>
          <w:tab w:val="left" w:pos="864"/>
        </w:tabs>
        <w:adjustRightInd w:val="0"/>
        <w:snapToGrid w:val="0"/>
        <w:spacing w:before="10"/>
        <w:ind w:left="862" w:firstLineChars="0" w:hanging="862"/>
        <w:textAlignment w:val="baseline"/>
        <w:outlineLvl w:val="2"/>
        <w:rPr>
          <w:rFonts w:eastAsia="黑体"/>
          <w:bCs/>
          <w:sz w:val="28"/>
          <w:szCs w:val="28"/>
        </w:rPr>
      </w:pPr>
      <w:bookmarkStart w:id="60" w:name="_Toc12865472"/>
      <w:bookmarkStart w:id="61" w:name="_Toc12865104"/>
      <w:bookmarkStart w:id="62" w:name="_Toc25246"/>
      <w:bookmarkStart w:id="63" w:name="_Toc22723"/>
      <w:bookmarkStart w:id="64" w:name="_Toc3024"/>
      <w:r>
        <w:rPr>
          <w:rFonts w:eastAsia="黑体" w:hint="eastAsia"/>
          <w:bCs/>
          <w:sz w:val="28"/>
          <w:szCs w:val="28"/>
        </w:rPr>
        <w:t>3.6</w:t>
      </w:r>
      <w:r>
        <w:rPr>
          <w:rFonts w:eastAsia="黑体"/>
          <w:bCs/>
          <w:sz w:val="28"/>
          <w:szCs w:val="28"/>
        </w:rPr>
        <w:t>.2</w:t>
      </w:r>
      <w:bookmarkEnd w:id="60"/>
      <w:bookmarkEnd w:id="61"/>
      <w:r>
        <w:rPr>
          <w:rFonts w:eastAsia="黑体"/>
          <w:bCs/>
          <w:sz w:val="28"/>
          <w:szCs w:val="28"/>
        </w:rPr>
        <w:t xml:space="preserve"> </w:t>
      </w:r>
      <w:r>
        <w:rPr>
          <w:rFonts w:eastAsia="黑体"/>
          <w:bCs/>
          <w:sz w:val="28"/>
          <w:szCs w:val="28"/>
        </w:rPr>
        <w:t>评价单元划分</w:t>
      </w:r>
      <w:bookmarkEnd w:id="62"/>
      <w:bookmarkEnd w:id="63"/>
      <w:bookmarkEnd w:id="64"/>
    </w:p>
    <w:p w:rsidR="00F95F9B" w:rsidRDefault="00000000">
      <w:pPr>
        <w:pStyle w:val="af7"/>
        <w:ind w:firstLine="446"/>
        <w:jc w:val="both"/>
      </w:pPr>
      <w:r>
        <w:rPr>
          <w:rFonts w:eastAsia="FZFangSong-Z02S"/>
          <w:spacing w:val="-6"/>
          <w:kern w:val="0"/>
          <w:szCs w:val="24"/>
        </w:rPr>
        <w:t>依据《危险化学品重大危险源辨识》（</w:t>
      </w:r>
      <w:r>
        <w:rPr>
          <w:rFonts w:eastAsia="FZFangSong-Z02S"/>
          <w:spacing w:val="-6"/>
          <w:kern w:val="0"/>
          <w:szCs w:val="24"/>
        </w:rPr>
        <w:t>GB18218-2018</w:t>
      </w:r>
      <w:r>
        <w:rPr>
          <w:rFonts w:eastAsia="FZFangSong-Z02S"/>
          <w:spacing w:val="-6"/>
          <w:kern w:val="0"/>
          <w:szCs w:val="24"/>
        </w:rPr>
        <w:t>）第</w:t>
      </w:r>
      <w:r>
        <w:rPr>
          <w:rFonts w:eastAsia="FZFangSong-Z02S"/>
          <w:spacing w:val="-6"/>
          <w:kern w:val="0"/>
          <w:szCs w:val="24"/>
        </w:rPr>
        <w:t>4.1</w:t>
      </w:r>
      <w:r>
        <w:rPr>
          <w:rFonts w:eastAsia="FZFangSong-Z02S"/>
          <w:spacing w:val="-6"/>
          <w:kern w:val="0"/>
          <w:szCs w:val="24"/>
        </w:rPr>
        <w:t>条，危险化学品重大危险源可分为生产单元危险化学品重大危险源和储存单元危险化学品重大危险源，</w:t>
      </w:r>
      <w:r>
        <w:rPr>
          <w:rFonts w:hint="eastAsia"/>
        </w:rPr>
        <w:t>根据联合站</w:t>
      </w:r>
      <w:r>
        <w:rPr>
          <w:rFonts w:hint="eastAsia"/>
        </w:rPr>
        <w:t>/</w:t>
      </w:r>
      <w:r>
        <w:rPr>
          <w:rFonts w:hint="eastAsia"/>
        </w:rPr>
        <w:t>集输站场的实际情况，原油罐区以防火堤为界限各自划分为独立的储存单元，临南联合站原油稳定装置划分为</w:t>
      </w:r>
      <w:r>
        <w:rPr>
          <w:rFonts w:hint="eastAsia"/>
        </w:rPr>
        <w:t>1</w:t>
      </w:r>
      <w:r>
        <w:rPr>
          <w:rFonts w:hint="eastAsia"/>
        </w:rPr>
        <w:t>个独立的生产单元。</w:t>
      </w:r>
    </w:p>
    <w:p w:rsidR="00F95F9B" w:rsidRDefault="00000000">
      <w:pPr>
        <w:widowControl w:val="0"/>
        <w:adjustRightInd w:val="0"/>
        <w:snapToGrid w:val="0"/>
        <w:ind w:firstLineChars="0" w:firstLine="0"/>
        <w:outlineLvl w:val="2"/>
        <w:rPr>
          <w:rFonts w:eastAsia="黑体"/>
          <w:bCs/>
          <w:sz w:val="28"/>
          <w:szCs w:val="28"/>
          <w:lang w:val="zh-CN"/>
        </w:rPr>
      </w:pPr>
      <w:bookmarkStart w:id="65" w:name="_Toc29987"/>
      <w:bookmarkStart w:id="66" w:name="_Toc22040"/>
      <w:bookmarkStart w:id="67" w:name="_Toc8988"/>
      <w:bookmarkStart w:id="68" w:name="_Toc29443"/>
      <w:bookmarkStart w:id="69" w:name="_Toc14745"/>
      <w:r>
        <w:rPr>
          <w:rFonts w:eastAsia="黑体" w:hint="eastAsia"/>
          <w:bCs/>
          <w:sz w:val="28"/>
          <w:szCs w:val="28"/>
        </w:rPr>
        <w:t>3</w:t>
      </w:r>
      <w:r>
        <w:rPr>
          <w:rFonts w:eastAsia="黑体"/>
          <w:bCs/>
          <w:sz w:val="28"/>
          <w:szCs w:val="28"/>
        </w:rPr>
        <w:t>.</w:t>
      </w:r>
      <w:r>
        <w:rPr>
          <w:rFonts w:eastAsia="黑体" w:hint="eastAsia"/>
          <w:bCs/>
          <w:sz w:val="28"/>
          <w:szCs w:val="28"/>
        </w:rPr>
        <w:t>6</w:t>
      </w:r>
      <w:r>
        <w:rPr>
          <w:rFonts w:eastAsia="黑体"/>
          <w:bCs/>
          <w:sz w:val="28"/>
          <w:szCs w:val="28"/>
        </w:rPr>
        <w:t xml:space="preserve">.3 </w:t>
      </w:r>
      <w:bookmarkEnd w:id="65"/>
      <w:bookmarkEnd w:id="66"/>
      <w:r>
        <w:rPr>
          <w:rFonts w:eastAsia="黑体"/>
          <w:bCs/>
          <w:sz w:val="28"/>
          <w:szCs w:val="28"/>
          <w:lang w:val="zh-CN"/>
        </w:rPr>
        <w:t>危险化学品类别及其临界量</w:t>
      </w:r>
      <w:bookmarkEnd w:id="67"/>
      <w:bookmarkEnd w:id="68"/>
      <w:bookmarkEnd w:id="69"/>
    </w:p>
    <w:p w:rsidR="00F95F9B" w:rsidRDefault="00000000">
      <w:pPr>
        <w:widowControl w:val="0"/>
        <w:adjustRightInd w:val="0"/>
        <w:snapToGrid w:val="0"/>
        <w:ind w:firstLine="470"/>
        <w:rPr>
          <w:kern w:val="0"/>
          <w:position w:val="2"/>
          <w:sz w:val="28"/>
          <w:szCs w:val="28"/>
          <w:lang w:val="zh-CN"/>
        </w:rPr>
      </w:pPr>
      <w:r>
        <w:rPr>
          <w:kern w:val="0"/>
          <w:position w:val="2"/>
          <w:szCs w:val="24"/>
          <w:lang w:val="zh-CN"/>
        </w:rPr>
        <w:t>根据《化学品分类和标签规范</w:t>
      </w:r>
      <w:r>
        <w:rPr>
          <w:kern w:val="0"/>
          <w:position w:val="2"/>
          <w:szCs w:val="24"/>
          <w:lang w:val="zh-CN"/>
        </w:rPr>
        <w:t xml:space="preserve"> </w:t>
      </w:r>
      <w:r>
        <w:rPr>
          <w:kern w:val="0"/>
          <w:position w:val="2"/>
          <w:szCs w:val="24"/>
          <w:lang w:val="zh-CN"/>
        </w:rPr>
        <w:t>第</w:t>
      </w:r>
      <w:r>
        <w:rPr>
          <w:kern w:val="0"/>
          <w:position w:val="2"/>
          <w:szCs w:val="24"/>
          <w:lang w:val="zh-CN"/>
        </w:rPr>
        <w:t>7</w:t>
      </w:r>
      <w:r>
        <w:rPr>
          <w:kern w:val="0"/>
          <w:position w:val="2"/>
          <w:szCs w:val="24"/>
          <w:lang w:val="zh-CN"/>
        </w:rPr>
        <w:t>部分：易燃液体》（</w:t>
      </w:r>
      <w:r>
        <w:rPr>
          <w:kern w:val="0"/>
          <w:position w:val="2"/>
          <w:szCs w:val="24"/>
          <w:lang w:val="zh-CN"/>
        </w:rPr>
        <w:t>GB30000.7-2013</w:t>
      </w:r>
      <w:r>
        <w:rPr>
          <w:kern w:val="0"/>
          <w:position w:val="2"/>
          <w:szCs w:val="24"/>
          <w:lang w:val="zh-CN"/>
        </w:rPr>
        <w:t>）第</w:t>
      </w:r>
      <w:r>
        <w:rPr>
          <w:kern w:val="0"/>
          <w:position w:val="2"/>
          <w:szCs w:val="24"/>
          <w:lang w:val="zh-CN"/>
        </w:rPr>
        <w:t>4.2</w:t>
      </w:r>
      <w:r>
        <w:rPr>
          <w:kern w:val="0"/>
          <w:position w:val="2"/>
          <w:szCs w:val="24"/>
          <w:lang w:val="zh-CN"/>
        </w:rPr>
        <w:t>规定，确定易燃液体类别，依据《危险化学品重大危险源辨识》（</w:t>
      </w:r>
      <w:r>
        <w:rPr>
          <w:kern w:val="0"/>
          <w:position w:val="2"/>
          <w:szCs w:val="24"/>
          <w:lang w:val="zh-CN"/>
        </w:rPr>
        <w:t>GB18218-2018</w:t>
      </w:r>
      <w:r>
        <w:rPr>
          <w:kern w:val="0"/>
          <w:position w:val="2"/>
          <w:szCs w:val="24"/>
          <w:lang w:val="zh-CN"/>
        </w:rPr>
        <w:t>）第</w:t>
      </w:r>
      <w:r>
        <w:rPr>
          <w:kern w:val="0"/>
          <w:position w:val="2"/>
          <w:szCs w:val="24"/>
          <w:lang w:val="zh-CN"/>
        </w:rPr>
        <w:t>4.1.2</w:t>
      </w:r>
      <w:r>
        <w:rPr>
          <w:kern w:val="0"/>
          <w:position w:val="2"/>
          <w:szCs w:val="24"/>
          <w:lang w:val="zh-CN"/>
        </w:rPr>
        <w:t>危险化学品临界量的确定方法，进行危险化学品重大危险源辨识。</w:t>
      </w:r>
    </w:p>
    <w:p w:rsidR="00F95F9B" w:rsidRDefault="00000000">
      <w:pPr>
        <w:widowControl w:val="0"/>
        <w:adjustRightInd w:val="0"/>
        <w:snapToGrid w:val="0"/>
        <w:spacing w:line="240" w:lineRule="auto"/>
        <w:ind w:firstLineChars="0" w:firstLine="0"/>
        <w:jc w:val="center"/>
        <w:rPr>
          <w:rFonts w:eastAsia="黑体"/>
          <w:sz w:val="21"/>
          <w:szCs w:val="20"/>
          <w:lang w:val="zh-CN"/>
        </w:rPr>
      </w:pPr>
      <w:r>
        <w:rPr>
          <w:rFonts w:eastAsia="黑体"/>
          <w:sz w:val="21"/>
          <w:szCs w:val="20"/>
          <w:lang w:val="zh-CN"/>
        </w:rPr>
        <w:t>表</w:t>
      </w:r>
      <w:r>
        <w:rPr>
          <w:rFonts w:eastAsia="黑体" w:hint="eastAsia"/>
          <w:sz w:val="21"/>
          <w:szCs w:val="20"/>
        </w:rPr>
        <w:t>3</w:t>
      </w:r>
      <w:r>
        <w:rPr>
          <w:rFonts w:eastAsia="黑体"/>
          <w:sz w:val="21"/>
          <w:szCs w:val="20"/>
        </w:rPr>
        <w:t>.</w:t>
      </w:r>
      <w:r>
        <w:rPr>
          <w:rFonts w:eastAsia="黑体" w:hint="eastAsia"/>
          <w:sz w:val="21"/>
          <w:szCs w:val="20"/>
        </w:rPr>
        <w:t>6</w:t>
      </w:r>
      <w:r>
        <w:rPr>
          <w:rFonts w:eastAsia="黑体"/>
          <w:sz w:val="21"/>
          <w:szCs w:val="20"/>
        </w:rPr>
        <w:t>-</w:t>
      </w:r>
      <w:r>
        <w:rPr>
          <w:rFonts w:eastAsia="黑体" w:hint="eastAsia"/>
          <w:sz w:val="21"/>
          <w:szCs w:val="20"/>
        </w:rPr>
        <w:t>1</w:t>
      </w:r>
      <w:r>
        <w:rPr>
          <w:rFonts w:eastAsia="黑体"/>
          <w:sz w:val="21"/>
          <w:szCs w:val="20"/>
        </w:rPr>
        <w:t xml:space="preserve"> </w:t>
      </w:r>
      <w:r>
        <w:rPr>
          <w:rFonts w:eastAsia="黑体" w:hint="eastAsia"/>
          <w:sz w:val="21"/>
          <w:szCs w:val="20"/>
        </w:rPr>
        <w:t xml:space="preserve"> </w:t>
      </w:r>
      <w:r>
        <w:rPr>
          <w:rFonts w:eastAsia="黑体"/>
          <w:sz w:val="21"/>
          <w:szCs w:val="20"/>
          <w:lang w:val="zh-CN"/>
        </w:rPr>
        <w:t>易燃液体的分类</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58"/>
        <w:gridCol w:w="816"/>
        <w:gridCol w:w="3768"/>
        <w:gridCol w:w="2809"/>
      </w:tblGrid>
      <w:tr w:rsidR="00F95F9B">
        <w:trPr>
          <w:trHeight w:val="397"/>
          <w:tblHeader/>
          <w:jc w:val="center"/>
        </w:trPr>
        <w:tc>
          <w:tcPr>
            <w:tcW w:w="1406" w:type="pct"/>
            <w:gridSpan w:val="2"/>
            <w:tcBorders>
              <w:tl2br w:val="nil"/>
              <w:tr2bl w:val="nil"/>
            </w:tcBorders>
            <w:vAlign w:val="center"/>
          </w:tcPr>
          <w:p w:rsidR="00F95F9B" w:rsidRDefault="00000000">
            <w:pPr>
              <w:widowControl w:val="0"/>
              <w:spacing w:line="240" w:lineRule="auto"/>
              <w:ind w:firstLineChars="0" w:firstLine="0"/>
              <w:jc w:val="center"/>
              <w:rPr>
                <w:b/>
                <w:bCs/>
                <w:sz w:val="21"/>
                <w:szCs w:val="22"/>
              </w:rPr>
            </w:pPr>
            <w:r>
              <w:rPr>
                <w:b/>
                <w:bCs/>
                <w:sz w:val="21"/>
                <w:szCs w:val="22"/>
              </w:rPr>
              <w:t>类别</w:t>
            </w:r>
          </w:p>
        </w:tc>
        <w:tc>
          <w:tcPr>
            <w:tcW w:w="2058" w:type="pct"/>
            <w:tcBorders>
              <w:tl2br w:val="nil"/>
              <w:tr2bl w:val="nil"/>
            </w:tcBorders>
            <w:vAlign w:val="center"/>
          </w:tcPr>
          <w:p w:rsidR="00F95F9B" w:rsidRDefault="00000000">
            <w:pPr>
              <w:widowControl w:val="0"/>
              <w:spacing w:line="240" w:lineRule="auto"/>
              <w:ind w:firstLineChars="0" w:firstLine="0"/>
              <w:jc w:val="center"/>
              <w:rPr>
                <w:b/>
                <w:bCs/>
                <w:sz w:val="21"/>
                <w:szCs w:val="22"/>
              </w:rPr>
            </w:pPr>
            <w:r>
              <w:rPr>
                <w:b/>
                <w:bCs/>
                <w:sz w:val="21"/>
                <w:szCs w:val="22"/>
              </w:rPr>
              <w:t>标准</w:t>
            </w:r>
          </w:p>
        </w:tc>
        <w:tc>
          <w:tcPr>
            <w:tcW w:w="1534" w:type="pct"/>
            <w:tcBorders>
              <w:tl2br w:val="nil"/>
              <w:tr2bl w:val="nil"/>
            </w:tcBorders>
            <w:vAlign w:val="center"/>
          </w:tcPr>
          <w:p w:rsidR="00F95F9B" w:rsidRDefault="00000000">
            <w:pPr>
              <w:widowControl w:val="0"/>
              <w:spacing w:line="240" w:lineRule="auto"/>
              <w:ind w:firstLineChars="0" w:firstLine="0"/>
              <w:jc w:val="center"/>
              <w:rPr>
                <w:b/>
                <w:bCs/>
                <w:sz w:val="21"/>
                <w:szCs w:val="22"/>
              </w:rPr>
            </w:pPr>
            <w:r>
              <w:rPr>
                <w:b/>
                <w:bCs/>
                <w:sz w:val="21"/>
                <w:szCs w:val="22"/>
              </w:rPr>
              <w:t>备注</w:t>
            </w:r>
          </w:p>
        </w:tc>
      </w:tr>
      <w:tr w:rsidR="00F95F9B">
        <w:trPr>
          <w:trHeight w:val="397"/>
          <w:jc w:val="center"/>
        </w:trPr>
        <w:tc>
          <w:tcPr>
            <w:tcW w:w="960" w:type="pct"/>
            <w:vMerge w:val="restar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易燃液体的分类</w:t>
            </w:r>
          </w:p>
        </w:tc>
        <w:tc>
          <w:tcPr>
            <w:tcW w:w="445"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1</w:t>
            </w:r>
          </w:p>
        </w:tc>
        <w:tc>
          <w:tcPr>
            <w:tcW w:w="2058" w:type="pc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rPr>
              <w:t>闪点小于</w:t>
            </w:r>
            <w:r>
              <w:rPr>
                <w:sz w:val="21"/>
                <w:szCs w:val="22"/>
              </w:rPr>
              <w:t>23℃</w:t>
            </w:r>
            <w:r>
              <w:rPr>
                <w:sz w:val="21"/>
                <w:szCs w:val="22"/>
              </w:rPr>
              <w:t>且初沸点不大于</w:t>
            </w:r>
            <w:r>
              <w:rPr>
                <w:sz w:val="21"/>
                <w:szCs w:val="22"/>
              </w:rPr>
              <w:t>35℃</w:t>
            </w:r>
          </w:p>
        </w:tc>
        <w:tc>
          <w:tcPr>
            <w:tcW w:w="1534" w:type="pct"/>
            <w:vMerge w:val="restar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lang w:val="zh-CN"/>
              </w:rPr>
              <w:t>《化学品分类和标签规范</w:t>
            </w:r>
            <w:r>
              <w:rPr>
                <w:sz w:val="21"/>
                <w:szCs w:val="22"/>
                <w:lang w:val="zh-CN"/>
              </w:rPr>
              <w:t xml:space="preserve"> </w:t>
            </w:r>
            <w:r>
              <w:rPr>
                <w:sz w:val="21"/>
                <w:szCs w:val="22"/>
                <w:lang w:val="zh-CN"/>
              </w:rPr>
              <w:t>第</w:t>
            </w:r>
            <w:r>
              <w:rPr>
                <w:sz w:val="21"/>
                <w:szCs w:val="22"/>
                <w:lang w:val="zh-CN"/>
              </w:rPr>
              <w:t>7</w:t>
            </w:r>
            <w:r>
              <w:rPr>
                <w:sz w:val="21"/>
                <w:szCs w:val="22"/>
                <w:lang w:val="zh-CN"/>
              </w:rPr>
              <w:t>部分：易燃液体》（</w:t>
            </w:r>
            <w:r>
              <w:rPr>
                <w:sz w:val="21"/>
                <w:szCs w:val="22"/>
                <w:lang w:val="zh-CN"/>
              </w:rPr>
              <w:t>GB30000.7-2013</w:t>
            </w:r>
            <w:r>
              <w:rPr>
                <w:sz w:val="21"/>
                <w:szCs w:val="22"/>
                <w:lang w:val="zh-CN"/>
              </w:rPr>
              <w:t>）第</w:t>
            </w:r>
            <w:r>
              <w:rPr>
                <w:sz w:val="21"/>
                <w:szCs w:val="22"/>
                <w:lang w:val="zh-CN"/>
              </w:rPr>
              <w:t>4.2</w:t>
            </w:r>
            <w:r>
              <w:rPr>
                <w:sz w:val="21"/>
                <w:szCs w:val="22"/>
                <w:lang w:val="zh-CN"/>
              </w:rPr>
              <w:t>规定</w:t>
            </w:r>
          </w:p>
        </w:tc>
      </w:tr>
      <w:tr w:rsidR="00F95F9B">
        <w:trPr>
          <w:trHeight w:val="397"/>
          <w:jc w:val="center"/>
        </w:trPr>
        <w:tc>
          <w:tcPr>
            <w:tcW w:w="960" w:type="pct"/>
            <w:vMerge/>
            <w:tcBorders>
              <w:tl2br w:val="nil"/>
              <w:tr2bl w:val="nil"/>
            </w:tcBorders>
          </w:tcPr>
          <w:p w:rsidR="00F95F9B" w:rsidRDefault="00F95F9B">
            <w:pPr>
              <w:widowControl w:val="0"/>
              <w:spacing w:line="240" w:lineRule="auto"/>
              <w:ind w:firstLineChars="0" w:firstLine="0"/>
              <w:jc w:val="left"/>
              <w:rPr>
                <w:sz w:val="21"/>
                <w:szCs w:val="22"/>
              </w:rPr>
            </w:pPr>
          </w:p>
        </w:tc>
        <w:tc>
          <w:tcPr>
            <w:tcW w:w="445"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2</w:t>
            </w:r>
          </w:p>
        </w:tc>
        <w:tc>
          <w:tcPr>
            <w:tcW w:w="2058" w:type="pc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rPr>
              <w:t>闪点小于</w:t>
            </w:r>
            <w:r>
              <w:rPr>
                <w:sz w:val="21"/>
                <w:szCs w:val="22"/>
              </w:rPr>
              <w:t>23℃</w:t>
            </w:r>
            <w:r>
              <w:rPr>
                <w:sz w:val="21"/>
                <w:szCs w:val="22"/>
              </w:rPr>
              <w:t>且初沸点大于</w:t>
            </w:r>
            <w:r>
              <w:rPr>
                <w:sz w:val="21"/>
                <w:szCs w:val="22"/>
              </w:rPr>
              <w:t>35℃</w:t>
            </w:r>
          </w:p>
        </w:tc>
        <w:tc>
          <w:tcPr>
            <w:tcW w:w="1534" w:type="pct"/>
            <w:vMerge/>
            <w:tcBorders>
              <w:tl2br w:val="nil"/>
              <w:tr2bl w:val="nil"/>
            </w:tcBorders>
            <w:vAlign w:val="center"/>
          </w:tcPr>
          <w:p w:rsidR="00F95F9B" w:rsidRDefault="00F95F9B">
            <w:pPr>
              <w:widowControl w:val="0"/>
              <w:spacing w:line="240" w:lineRule="auto"/>
              <w:ind w:firstLineChars="0" w:firstLine="0"/>
              <w:jc w:val="left"/>
              <w:rPr>
                <w:sz w:val="21"/>
                <w:szCs w:val="22"/>
              </w:rPr>
            </w:pPr>
          </w:p>
        </w:tc>
      </w:tr>
      <w:tr w:rsidR="00F95F9B">
        <w:trPr>
          <w:trHeight w:val="397"/>
          <w:jc w:val="center"/>
        </w:trPr>
        <w:tc>
          <w:tcPr>
            <w:tcW w:w="960" w:type="pct"/>
            <w:vMerge/>
            <w:tcBorders>
              <w:tl2br w:val="nil"/>
              <w:tr2bl w:val="nil"/>
            </w:tcBorders>
          </w:tcPr>
          <w:p w:rsidR="00F95F9B" w:rsidRDefault="00F95F9B">
            <w:pPr>
              <w:widowControl w:val="0"/>
              <w:spacing w:line="240" w:lineRule="auto"/>
              <w:ind w:firstLineChars="0" w:firstLine="0"/>
              <w:jc w:val="left"/>
              <w:rPr>
                <w:sz w:val="21"/>
                <w:szCs w:val="22"/>
              </w:rPr>
            </w:pPr>
          </w:p>
        </w:tc>
        <w:tc>
          <w:tcPr>
            <w:tcW w:w="445"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3</w:t>
            </w:r>
          </w:p>
        </w:tc>
        <w:tc>
          <w:tcPr>
            <w:tcW w:w="2058" w:type="pc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rPr>
              <w:t>闪点不小于</w:t>
            </w:r>
            <w:r>
              <w:rPr>
                <w:sz w:val="21"/>
                <w:szCs w:val="22"/>
              </w:rPr>
              <w:t>23℃</w:t>
            </w:r>
            <w:r>
              <w:rPr>
                <w:sz w:val="21"/>
                <w:szCs w:val="22"/>
              </w:rPr>
              <w:t>且不大于</w:t>
            </w:r>
            <w:r>
              <w:rPr>
                <w:sz w:val="21"/>
                <w:szCs w:val="22"/>
              </w:rPr>
              <w:t>60℃</w:t>
            </w:r>
          </w:p>
        </w:tc>
        <w:tc>
          <w:tcPr>
            <w:tcW w:w="1534" w:type="pct"/>
            <w:vMerge/>
            <w:tcBorders>
              <w:tl2br w:val="nil"/>
              <w:tr2bl w:val="nil"/>
            </w:tcBorders>
            <w:vAlign w:val="center"/>
          </w:tcPr>
          <w:p w:rsidR="00F95F9B" w:rsidRDefault="00F95F9B">
            <w:pPr>
              <w:widowControl w:val="0"/>
              <w:spacing w:line="240" w:lineRule="auto"/>
              <w:ind w:firstLineChars="0" w:firstLine="0"/>
              <w:jc w:val="left"/>
              <w:rPr>
                <w:sz w:val="21"/>
                <w:szCs w:val="22"/>
              </w:rPr>
            </w:pPr>
          </w:p>
        </w:tc>
      </w:tr>
      <w:tr w:rsidR="00F95F9B">
        <w:trPr>
          <w:trHeight w:val="397"/>
          <w:jc w:val="center"/>
        </w:trPr>
        <w:tc>
          <w:tcPr>
            <w:tcW w:w="960" w:type="pct"/>
            <w:vMerge/>
            <w:tcBorders>
              <w:tl2br w:val="nil"/>
              <w:tr2bl w:val="nil"/>
            </w:tcBorders>
          </w:tcPr>
          <w:p w:rsidR="00F95F9B" w:rsidRDefault="00F95F9B">
            <w:pPr>
              <w:widowControl w:val="0"/>
              <w:spacing w:line="240" w:lineRule="auto"/>
              <w:ind w:firstLineChars="0" w:firstLine="0"/>
              <w:jc w:val="left"/>
              <w:rPr>
                <w:sz w:val="21"/>
                <w:szCs w:val="22"/>
              </w:rPr>
            </w:pPr>
          </w:p>
        </w:tc>
        <w:tc>
          <w:tcPr>
            <w:tcW w:w="445"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4</w:t>
            </w:r>
          </w:p>
        </w:tc>
        <w:tc>
          <w:tcPr>
            <w:tcW w:w="2058" w:type="pc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rPr>
              <w:t>闪点大于</w:t>
            </w:r>
            <w:r>
              <w:rPr>
                <w:sz w:val="21"/>
                <w:szCs w:val="22"/>
              </w:rPr>
              <w:t>60℃</w:t>
            </w:r>
            <w:r>
              <w:rPr>
                <w:sz w:val="21"/>
                <w:szCs w:val="22"/>
              </w:rPr>
              <w:t>且不大于</w:t>
            </w:r>
            <w:r>
              <w:rPr>
                <w:sz w:val="21"/>
                <w:szCs w:val="22"/>
              </w:rPr>
              <w:t>93℃</w:t>
            </w:r>
          </w:p>
        </w:tc>
        <w:tc>
          <w:tcPr>
            <w:tcW w:w="1534" w:type="pct"/>
            <w:vMerge/>
            <w:tcBorders>
              <w:tl2br w:val="nil"/>
              <w:tr2bl w:val="nil"/>
            </w:tcBorders>
            <w:vAlign w:val="center"/>
          </w:tcPr>
          <w:p w:rsidR="00F95F9B" w:rsidRDefault="00F95F9B">
            <w:pPr>
              <w:widowControl w:val="0"/>
              <w:spacing w:line="240" w:lineRule="auto"/>
              <w:ind w:firstLineChars="0" w:firstLine="0"/>
              <w:jc w:val="left"/>
              <w:rPr>
                <w:sz w:val="21"/>
                <w:szCs w:val="22"/>
              </w:rPr>
            </w:pPr>
          </w:p>
        </w:tc>
      </w:tr>
    </w:tbl>
    <w:p w:rsidR="00F95F9B" w:rsidRDefault="00000000">
      <w:pPr>
        <w:widowControl w:val="0"/>
        <w:adjustRightInd w:val="0"/>
        <w:snapToGrid w:val="0"/>
        <w:spacing w:beforeLines="50" w:before="170" w:line="240" w:lineRule="auto"/>
        <w:ind w:firstLineChars="0" w:firstLine="0"/>
        <w:jc w:val="center"/>
        <w:rPr>
          <w:rFonts w:eastAsia="黑体"/>
          <w:sz w:val="21"/>
          <w:szCs w:val="20"/>
          <w:lang w:val="zh-CN"/>
        </w:rPr>
      </w:pPr>
      <w:r>
        <w:rPr>
          <w:rFonts w:eastAsia="黑体"/>
          <w:sz w:val="21"/>
          <w:szCs w:val="20"/>
          <w:lang w:val="zh-CN"/>
        </w:rPr>
        <w:t>表</w:t>
      </w:r>
      <w:r>
        <w:rPr>
          <w:rFonts w:eastAsia="黑体" w:hint="eastAsia"/>
          <w:sz w:val="21"/>
          <w:szCs w:val="20"/>
        </w:rPr>
        <w:t>3</w:t>
      </w:r>
      <w:r>
        <w:rPr>
          <w:rFonts w:eastAsia="黑体"/>
          <w:sz w:val="21"/>
          <w:szCs w:val="20"/>
        </w:rPr>
        <w:t>.</w:t>
      </w:r>
      <w:r>
        <w:rPr>
          <w:rFonts w:eastAsia="黑体" w:hint="eastAsia"/>
          <w:sz w:val="21"/>
          <w:szCs w:val="20"/>
        </w:rPr>
        <w:t>6</w:t>
      </w:r>
      <w:r>
        <w:rPr>
          <w:rFonts w:eastAsia="黑体"/>
          <w:sz w:val="21"/>
          <w:szCs w:val="20"/>
        </w:rPr>
        <w:t>-</w:t>
      </w:r>
      <w:r>
        <w:rPr>
          <w:rFonts w:eastAsia="黑体" w:hint="eastAsia"/>
          <w:sz w:val="21"/>
          <w:szCs w:val="20"/>
        </w:rPr>
        <w:t>2</w:t>
      </w:r>
      <w:r>
        <w:rPr>
          <w:rFonts w:eastAsia="黑体"/>
          <w:sz w:val="21"/>
          <w:szCs w:val="20"/>
        </w:rPr>
        <w:t xml:space="preserve"> </w:t>
      </w:r>
      <w:r>
        <w:rPr>
          <w:rFonts w:eastAsia="黑体" w:hint="eastAsia"/>
          <w:sz w:val="21"/>
          <w:szCs w:val="20"/>
        </w:rPr>
        <w:t xml:space="preserve"> </w:t>
      </w:r>
      <w:r>
        <w:rPr>
          <w:rFonts w:eastAsia="黑体"/>
          <w:sz w:val="21"/>
          <w:szCs w:val="20"/>
          <w:lang w:val="zh-CN"/>
        </w:rPr>
        <w:t>危险化学品类别及其临界量</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5"/>
        <w:gridCol w:w="775"/>
        <w:gridCol w:w="4900"/>
        <w:gridCol w:w="1182"/>
        <w:gridCol w:w="1559"/>
      </w:tblGrid>
      <w:tr w:rsidR="00F95F9B">
        <w:trPr>
          <w:trHeight w:val="397"/>
          <w:jc w:val="center"/>
        </w:trPr>
        <w:tc>
          <w:tcPr>
            <w:tcW w:w="401" w:type="pct"/>
            <w:tcBorders>
              <w:tl2br w:val="nil"/>
              <w:tr2bl w:val="nil"/>
            </w:tcBorders>
            <w:vAlign w:val="center"/>
          </w:tcPr>
          <w:p w:rsidR="00F95F9B" w:rsidRDefault="00000000">
            <w:pPr>
              <w:widowControl w:val="0"/>
              <w:spacing w:line="240" w:lineRule="auto"/>
              <w:ind w:firstLineChars="0" w:firstLine="0"/>
              <w:jc w:val="center"/>
              <w:rPr>
                <w:b/>
                <w:bCs/>
                <w:sz w:val="21"/>
                <w:szCs w:val="22"/>
              </w:rPr>
            </w:pPr>
            <w:r>
              <w:rPr>
                <w:b/>
                <w:bCs/>
                <w:sz w:val="21"/>
                <w:szCs w:val="22"/>
              </w:rPr>
              <w:t>类别</w:t>
            </w:r>
          </w:p>
        </w:tc>
        <w:tc>
          <w:tcPr>
            <w:tcW w:w="423" w:type="pct"/>
            <w:tcBorders>
              <w:tl2br w:val="nil"/>
              <w:tr2bl w:val="nil"/>
            </w:tcBorders>
            <w:vAlign w:val="center"/>
          </w:tcPr>
          <w:p w:rsidR="00F95F9B" w:rsidRDefault="00000000">
            <w:pPr>
              <w:widowControl w:val="0"/>
              <w:spacing w:line="240" w:lineRule="auto"/>
              <w:ind w:firstLineChars="0" w:firstLine="0"/>
              <w:jc w:val="center"/>
              <w:rPr>
                <w:b/>
                <w:bCs/>
                <w:sz w:val="21"/>
                <w:szCs w:val="22"/>
              </w:rPr>
            </w:pPr>
            <w:r>
              <w:rPr>
                <w:b/>
                <w:bCs/>
                <w:sz w:val="21"/>
                <w:szCs w:val="22"/>
              </w:rPr>
              <w:t>符号</w:t>
            </w:r>
          </w:p>
        </w:tc>
        <w:tc>
          <w:tcPr>
            <w:tcW w:w="2676" w:type="pct"/>
            <w:tcBorders>
              <w:tl2br w:val="nil"/>
              <w:tr2bl w:val="nil"/>
            </w:tcBorders>
            <w:vAlign w:val="center"/>
          </w:tcPr>
          <w:p w:rsidR="00F95F9B" w:rsidRDefault="00000000">
            <w:pPr>
              <w:widowControl w:val="0"/>
              <w:spacing w:line="240" w:lineRule="auto"/>
              <w:ind w:firstLineChars="0" w:firstLine="0"/>
              <w:jc w:val="center"/>
              <w:rPr>
                <w:b/>
                <w:bCs/>
                <w:sz w:val="21"/>
                <w:szCs w:val="22"/>
              </w:rPr>
            </w:pPr>
            <w:r>
              <w:rPr>
                <w:b/>
                <w:bCs/>
                <w:sz w:val="21"/>
                <w:szCs w:val="22"/>
              </w:rPr>
              <w:t>危险性分类及说明</w:t>
            </w:r>
          </w:p>
        </w:tc>
        <w:tc>
          <w:tcPr>
            <w:tcW w:w="646" w:type="pct"/>
            <w:tcBorders>
              <w:tl2br w:val="nil"/>
              <w:tr2bl w:val="nil"/>
            </w:tcBorders>
            <w:vAlign w:val="center"/>
          </w:tcPr>
          <w:p w:rsidR="00F95F9B" w:rsidRDefault="00000000">
            <w:pPr>
              <w:widowControl w:val="0"/>
              <w:spacing w:line="240" w:lineRule="auto"/>
              <w:ind w:firstLineChars="0" w:firstLine="0"/>
              <w:jc w:val="center"/>
              <w:rPr>
                <w:b/>
                <w:bCs/>
                <w:sz w:val="21"/>
                <w:szCs w:val="22"/>
              </w:rPr>
            </w:pPr>
            <w:r>
              <w:rPr>
                <w:b/>
                <w:bCs/>
                <w:sz w:val="21"/>
                <w:szCs w:val="22"/>
              </w:rPr>
              <w:t>临界量</w:t>
            </w:r>
            <w:r>
              <w:rPr>
                <w:b/>
                <w:bCs/>
                <w:sz w:val="21"/>
                <w:szCs w:val="22"/>
              </w:rPr>
              <w:t>/t</w:t>
            </w:r>
          </w:p>
        </w:tc>
        <w:tc>
          <w:tcPr>
            <w:tcW w:w="852" w:type="pct"/>
            <w:tcBorders>
              <w:tl2br w:val="nil"/>
              <w:tr2bl w:val="nil"/>
            </w:tcBorders>
            <w:vAlign w:val="center"/>
          </w:tcPr>
          <w:p w:rsidR="00F95F9B" w:rsidRDefault="00000000">
            <w:pPr>
              <w:widowControl w:val="0"/>
              <w:spacing w:line="240" w:lineRule="auto"/>
              <w:ind w:firstLineChars="0" w:firstLine="0"/>
              <w:jc w:val="center"/>
              <w:rPr>
                <w:b/>
                <w:bCs/>
                <w:sz w:val="21"/>
                <w:szCs w:val="22"/>
              </w:rPr>
            </w:pPr>
            <w:r>
              <w:rPr>
                <w:b/>
                <w:bCs/>
                <w:sz w:val="21"/>
                <w:szCs w:val="22"/>
              </w:rPr>
              <w:t>备注</w:t>
            </w:r>
          </w:p>
        </w:tc>
      </w:tr>
      <w:tr w:rsidR="00F95F9B">
        <w:trPr>
          <w:trHeight w:val="397"/>
          <w:jc w:val="center"/>
        </w:trPr>
        <w:tc>
          <w:tcPr>
            <w:tcW w:w="401" w:type="pct"/>
            <w:vMerge w:val="restar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易燃液体</w:t>
            </w:r>
          </w:p>
        </w:tc>
        <w:tc>
          <w:tcPr>
            <w:tcW w:w="423"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W5.1</w:t>
            </w:r>
          </w:p>
        </w:tc>
        <w:tc>
          <w:tcPr>
            <w:tcW w:w="2676" w:type="pc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rPr>
              <w:t>—</w:t>
            </w:r>
            <w:r>
              <w:rPr>
                <w:sz w:val="21"/>
                <w:szCs w:val="22"/>
              </w:rPr>
              <w:t>类别</w:t>
            </w:r>
            <w:r>
              <w:rPr>
                <w:sz w:val="21"/>
                <w:szCs w:val="22"/>
              </w:rPr>
              <w:t>1</w:t>
            </w:r>
          </w:p>
          <w:p w:rsidR="00F95F9B" w:rsidRDefault="00000000">
            <w:pPr>
              <w:widowControl w:val="0"/>
              <w:spacing w:line="240" w:lineRule="auto"/>
              <w:ind w:firstLineChars="0" w:firstLine="0"/>
              <w:jc w:val="left"/>
              <w:rPr>
                <w:sz w:val="21"/>
                <w:szCs w:val="22"/>
              </w:rPr>
            </w:pPr>
            <w:r>
              <w:rPr>
                <w:sz w:val="21"/>
                <w:szCs w:val="22"/>
              </w:rPr>
              <w:t>—</w:t>
            </w:r>
            <w:r>
              <w:rPr>
                <w:sz w:val="21"/>
                <w:szCs w:val="22"/>
              </w:rPr>
              <w:t>类别</w:t>
            </w:r>
            <w:r>
              <w:rPr>
                <w:sz w:val="21"/>
                <w:szCs w:val="22"/>
              </w:rPr>
              <w:t>2</w:t>
            </w:r>
            <w:r>
              <w:rPr>
                <w:sz w:val="21"/>
                <w:szCs w:val="22"/>
              </w:rPr>
              <w:t>和</w:t>
            </w:r>
            <w:r>
              <w:rPr>
                <w:sz w:val="21"/>
                <w:szCs w:val="22"/>
              </w:rPr>
              <w:t>3</w:t>
            </w:r>
            <w:r>
              <w:rPr>
                <w:sz w:val="21"/>
                <w:szCs w:val="22"/>
              </w:rPr>
              <w:t>，工作温度高于沸点</w:t>
            </w:r>
          </w:p>
        </w:tc>
        <w:tc>
          <w:tcPr>
            <w:tcW w:w="646"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10</w:t>
            </w:r>
          </w:p>
        </w:tc>
        <w:tc>
          <w:tcPr>
            <w:tcW w:w="852" w:type="pct"/>
            <w:vMerge w:val="restar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lang w:val="zh-CN"/>
              </w:rPr>
              <w:t>《危险化学品重大危险源辨识》（</w:t>
            </w:r>
            <w:r>
              <w:rPr>
                <w:sz w:val="21"/>
                <w:szCs w:val="22"/>
                <w:lang w:val="zh-CN"/>
              </w:rPr>
              <w:t>GB18218-2018</w:t>
            </w:r>
            <w:r>
              <w:rPr>
                <w:sz w:val="21"/>
                <w:szCs w:val="22"/>
                <w:lang w:val="zh-CN"/>
              </w:rPr>
              <w:t>）第</w:t>
            </w:r>
            <w:r>
              <w:rPr>
                <w:sz w:val="21"/>
                <w:szCs w:val="22"/>
                <w:lang w:val="zh-CN"/>
              </w:rPr>
              <w:t>4.1.2</w:t>
            </w:r>
          </w:p>
        </w:tc>
      </w:tr>
      <w:tr w:rsidR="00F95F9B">
        <w:trPr>
          <w:trHeight w:val="397"/>
          <w:jc w:val="center"/>
        </w:trPr>
        <w:tc>
          <w:tcPr>
            <w:tcW w:w="401" w:type="pct"/>
            <w:vMerge/>
            <w:tcBorders>
              <w:tl2br w:val="nil"/>
              <w:tr2bl w:val="nil"/>
            </w:tcBorders>
            <w:vAlign w:val="center"/>
          </w:tcPr>
          <w:p w:rsidR="00F95F9B" w:rsidRDefault="00F95F9B">
            <w:pPr>
              <w:widowControl w:val="0"/>
              <w:spacing w:line="240" w:lineRule="auto"/>
              <w:ind w:firstLineChars="0" w:firstLine="0"/>
              <w:jc w:val="center"/>
              <w:rPr>
                <w:sz w:val="21"/>
                <w:szCs w:val="22"/>
              </w:rPr>
            </w:pPr>
          </w:p>
        </w:tc>
        <w:tc>
          <w:tcPr>
            <w:tcW w:w="423"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W5.2</w:t>
            </w:r>
          </w:p>
        </w:tc>
        <w:tc>
          <w:tcPr>
            <w:tcW w:w="2676" w:type="pc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rPr>
              <w:t>—</w:t>
            </w:r>
            <w:r>
              <w:rPr>
                <w:sz w:val="21"/>
                <w:szCs w:val="22"/>
              </w:rPr>
              <w:t>类别</w:t>
            </w:r>
            <w:r>
              <w:rPr>
                <w:sz w:val="21"/>
                <w:szCs w:val="22"/>
              </w:rPr>
              <w:t>2</w:t>
            </w:r>
            <w:r>
              <w:rPr>
                <w:sz w:val="21"/>
                <w:szCs w:val="22"/>
              </w:rPr>
              <w:t>和</w:t>
            </w:r>
            <w:r>
              <w:rPr>
                <w:sz w:val="21"/>
                <w:szCs w:val="22"/>
              </w:rPr>
              <w:t>3</w:t>
            </w:r>
            <w:r>
              <w:rPr>
                <w:sz w:val="21"/>
                <w:szCs w:val="22"/>
              </w:rPr>
              <w:t>，具有引发重大事故的特殊工艺条件包括危险化工工艺，爆炸极限范围或附近操作、操作压力大于</w:t>
            </w:r>
            <w:r>
              <w:rPr>
                <w:sz w:val="21"/>
                <w:szCs w:val="22"/>
              </w:rPr>
              <w:t>1.6MPa</w:t>
            </w:r>
            <w:r>
              <w:rPr>
                <w:sz w:val="21"/>
                <w:szCs w:val="22"/>
              </w:rPr>
              <w:t>等</w:t>
            </w:r>
          </w:p>
        </w:tc>
        <w:tc>
          <w:tcPr>
            <w:tcW w:w="646"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50</w:t>
            </w:r>
          </w:p>
        </w:tc>
        <w:tc>
          <w:tcPr>
            <w:tcW w:w="852" w:type="pct"/>
            <w:vMerge/>
            <w:tcBorders>
              <w:tl2br w:val="nil"/>
              <w:tr2bl w:val="nil"/>
            </w:tcBorders>
            <w:vAlign w:val="center"/>
          </w:tcPr>
          <w:p w:rsidR="00F95F9B" w:rsidRDefault="00F95F9B">
            <w:pPr>
              <w:widowControl w:val="0"/>
              <w:spacing w:line="240" w:lineRule="auto"/>
              <w:ind w:firstLineChars="0" w:firstLine="0"/>
              <w:jc w:val="center"/>
              <w:rPr>
                <w:sz w:val="21"/>
                <w:szCs w:val="22"/>
              </w:rPr>
            </w:pPr>
          </w:p>
        </w:tc>
      </w:tr>
      <w:tr w:rsidR="00F95F9B">
        <w:trPr>
          <w:trHeight w:val="397"/>
          <w:jc w:val="center"/>
        </w:trPr>
        <w:tc>
          <w:tcPr>
            <w:tcW w:w="401" w:type="pct"/>
            <w:vMerge/>
            <w:tcBorders>
              <w:tl2br w:val="nil"/>
              <w:tr2bl w:val="nil"/>
            </w:tcBorders>
            <w:vAlign w:val="center"/>
          </w:tcPr>
          <w:p w:rsidR="00F95F9B" w:rsidRDefault="00F95F9B">
            <w:pPr>
              <w:widowControl w:val="0"/>
              <w:spacing w:line="240" w:lineRule="auto"/>
              <w:ind w:firstLineChars="0" w:firstLine="0"/>
              <w:jc w:val="center"/>
              <w:rPr>
                <w:sz w:val="21"/>
                <w:szCs w:val="22"/>
              </w:rPr>
            </w:pPr>
          </w:p>
        </w:tc>
        <w:tc>
          <w:tcPr>
            <w:tcW w:w="423"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W5.3</w:t>
            </w:r>
          </w:p>
        </w:tc>
        <w:tc>
          <w:tcPr>
            <w:tcW w:w="2676" w:type="pc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rPr>
              <w:t>—</w:t>
            </w:r>
            <w:r>
              <w:rPr>
                <w:sz w:val="21"/>
                <w:szCs w:val="22"/>
              </w:rPr>
              <w:t>不属于</w:t>
            </w:r>
            <w:r>
              <w:rPr>
                <w:sz w:val="21"/>
                <w:szCs w:val="22"/>
              </w:rPr>
              <w:t>W5.1</w:t>
            </w:r>
            <w:r>
              <w:rPr>
                <w:sz w:val="21"/>
                <w:szCs w:val="22"/>
              </w:rPr>
              <w:t>或</w:t>
            </w:r>
            <w:r>
              <w:rPr>
                <w:sz w:val="21"/>
                <w:szCs w:val="22"/>
              </w:rPr>
              <w:t>W5.2</w:t>
            </w:r>
            <w:r>
              <w:rPr>
                <w:sz w:val="21"/>
                <w:szCs w:val="22"/>
              </w:rPr>
              <w:t>的其他类别</w:t>
            </w:r>
            <w:r>
              <w:rPr>
                <w:sz w:val="21"/>
                <w:szCs w:val="22"/>
              </w:rPr>
              <w:t>2</w:t>
            </w:r>
          </w:p>
        </w:tc>
        <w:tc>
          <w:tcPr>
            <w:tcW w:w="646"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1000</w:t>
            </w:r>
          </w:p>
        </w:tc>
        <w:tc>
          <w:tcPr>
            <w:tcW w:w="852" w:type="pct"/>
            <w:vMerge/>
            <w:tcBorders>
              <w:tl2br w:val="nil"/>
              <w:tr2bl w:val="nil"/>
            </w:tcBorders>
            <w:vAlign w:val="center"/>
          </w:tcPr>
          <w:p w:rsidR="00F95F9B" w:rsidRDefault="00F95F9B">
            <w:pPr>
              <w:widowControl w:val="0"/>
              <w:spacing w:line="240" w:lineRule="auto"/>
              <w:ind w:firstLineChars="0" w:firstLine="0"/>
              <w:jc w:val="center"/>
              <w:rPr>
                <w:sz w:val="21"/>
                <w:szCs w:val="22"/>
              </w:rPr>
            </w:pPr>
          </w:p>
        </w:tc>
      </w:tr>
      <w:tr w:rsidR="00F95F9B">
        <w:trPr>
          <w:trHeight w:val="397"/>
          <w:jc w:val="center"/>
        </w:trPr>
        <w:tc>
          <w:tcPr>
            <w:tcW w:w="401" w:type="pct"/>
            <w:vMerge/>
            <w:tcBorders>
              <w:tl2br w:val="nil"/>
              <w:tr2bl w:val="nil"/>
            </w:tcBorders>
            <w:vAlign w:val="center"/>
          </w:tcPr>
          <w:p w:rsidR="00F95F9B" w:rsidRDefault="00F95F9B">
            <w:pPr>
              <w:widowControl w:val="0"/>
              <w:spacing w:line="240" w:lineRule="auto"/>
              <w:ind w:firstLineChars="0" w:firstLine="0"/>
              <w:jc w:val="center"/>
              <w:rPr>
                <w:sz w:val="21"/>
                <w:szCs w:val="22"/>
              </w:rPr>
            </w:pPr>
          </w:p>
        </w:tc>
        <w:tc>
          <w:tcPr>
            <w:tcW w:w="423"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W5.4</w:t>
            </w:r>
          </w:p>
        </w:tc>
        <w:tc>
          <w:tcPr>
            <w:tcW w:w="2676" w:type="pct"/>
            <w:tcBorders>
              <w:tl2br w:val="nil"/>
              <w:tr2bl w:val="nil"/>
            </w:tcBorders>
            <w:vAlign w:val="center"/>
          </w:tcPr>
          <w:p w:rsidR="00F95F9B" w:rsidRDefault="00000000">
            <w:pPr>
              <w:widowControl w:val="0"/>
              <w:spacing w:line="240" w:lineRule="auto"/>
              <w:ind w:firstLineChars="0" w:firstLine="0"/>
              <w:jc w:val="left"/>
              <w:rPr>
                <w:sz w:val="21"/>
                <w:szCs w:val="22"/>
              </w:rPr>
            </w:pPr>
            <w:r>
              <w:rPr>
                <w:sz w:val="21"/>
                <w:szCs w:val="22"/>
              </w:rPr>
              <w:t>—</w:t>
            </w:r>
            <w:r>
              <w:rPr>
                <w:sz w:val="21"/>
                <w:szCs w:val="22"/>
              </w:rPr>
              <w:t>不属于</w:t>
            </w:r>
            <w:r>
              <w:rPr>
                <w:sz w:val="21"/>
                <w:szCs w:val="22"/>
              </w:rPr>
              <w:t>W5.1</w:t>
            </w:r>
            <w:r>
              <w:rPr>
                <w:sz w:val="21"/>
                <w:szCs w:val="22"/>
              </w:rPr>
              <w:t>或</w:t>
            </w:r>
            <w:r>
              <w:rPr>
                <w:sz w:val="21"/>
                <w:szCs w:val="22"/>
              </w:rPr>
              <w:t>W5.2</w:t>
            </w:r>
            <w:r>
              <w:rPr>
                <w:sz w:val="21"/>
                <w:szCs w:val="22"/>
              </w:rPr>
              <w:t>的其他类别</w:t>
            </w:r>
            <w:r>
              <w:rPr>
                <w:sz w:val="21"/>
                <w:szCs w:val="22"/>
              </w:rPr>
              <w:t>3</w:t>
            </w:r>
          </w:p>
        </w:tc>
        <w:tc>
          <w:tcPr>
            <w:tcW w:w="646" w:type="pct"/>
            <w:tcBorders>
              <w:tl2br w:val="nil"/>
              <w:tr2bl w:val="nil"/>
            </w:tcBorders>
            <w:vAlign w:val="center"/>
          </w:tcPr>
          <w:p w:rsidR="00F95F9B" w:rsidRDefault="00000000">
            <w:pPr>
              <w:widowControl w:val="0"/>
              <w:spacing w:line="240" w:lineRule="auto"/>
              <w:ind w:firstLineChars="0" w:firstLine="0"/>
              <w:jc w:val="center"/>
              <w:rPr>
                <w:sz w:val="21"/>
                <w:szCs w:val="22"/>
              </w:rPr>
            </w:pPr>
            <w:r>
              <w:rPr>
                <w:sz w:val="21"/>
                <w:szCs w:val="22"/>
              </w:rPr>
              <w:t>5000</w:t>
            </w:r>
          </w:p>
        </w:tc>
        <w:tc>
          <w:tcPr>
            <w:tcW w:w="852" w:type="pct"/>
            <w:vMerge/>
            <w:tcBorders>
              <w:tl2br w:val="nil"/>
              <w:tr2bl w:val="nil"/>
            </w:tcBorders>
            <w:vAlign w:val="center"/>
          </w:tcPr>
          <w:p w:rsidR="00F95F9B" w:rsidRDefault="00F95F9B">
            <w:pPr>
              <w:widowControl w:val="0"/>
              <w:spacing w:line="240" w:lineRule="auto"/>
              <w:ind w:firstLineChars="0" w:firstLine="0"/>
              <w:jc w:val="center"/>
              <w:rPr>
                <w:sz w:val="21"/>
                <w:szCs w:val="22"/>
              </w:rPr>
            </w:pPr>
          </w:p>
        </w:tc>
      </w:tr>
    </w:tbl>
    <w:p w:rsidR="00F95F9B" w:rsidRDefault="00000000">
      <w:pPr>
        <w:widowControl w:val="0"/>
        <w:adjustRightInd w:val="0"/>
        <w:snapToGrid w:val="0"/>
        <w:spacing w:beforeLines="50" w:before="170" w:line="240" w:lineRule="auto"/>
        <w:ind w:firstLineChars="0" w:firstLine="0"/>
        <w:jc w:val="center"/>
        <w:rPr>
          <w:rFonts w:eastAsia="黑体"/>
          <w:sz w:val="21"/>
          <w:szCs w:val="20"/>
        </w:rPr>
      </w:pPr>
      <w:r>
        <w:rPr>
          <w:rFonts w:eastAsia="黑体"/>
          <w:sz w:val="21"/>
          <w:szCs w:val="20"/>
        </w:rPr>
        <w:t>表</w:t>
      </w:r>
      <w:r>
        <w:rPr>
          <w:rFonts w:eastAsia="黑体" w:hint="eastAsia"/>
          <w:sz w:val="21"/>
          <w:szCs w:val="20"/>
        </w:rPr>
        <w:t>3</w:t>
      </w:r>
      <w:r>
        <w:rPr>
          <w:rFonts w:eastAsia="黑体"/>
          <w:sz w:val="21"/>
          <w:szCs w:val="20"/>
        </w:rPr>
        <w:t>.</w:t>
      </w:r>
      <w:r>
        <w:rPr>
          <w:rFonts w:eastAsia="黑体" w:hint="eastAsia"/>
          <w:sz w:val="21"/>
          <w:szCs w:val="20"/>
        </w:rPr>
        <w:t>6</w:t>
      </w:r>
      <w:r>
        <w:rPr>
          <w:rFonts w:eastAsia="黑体"/>
          <w:sz w:val="21"/>
          <w:szCs w:val="20"/>
        </w:rPr>
        <w:t>-</w:t>
      </w:r>
      <w:r>
        <w:rPr>
          <w:rFonts w:eastAsia="黑体" w:hint="eastAsia"/>
          <w:sz w:val="21"/>
          <w:szCs w:val="20"/>
        </w:rPr>
        <w:t>3</w:t>
      </w:r>
      <w:r>
        <w:rPr>
          <w:rFonts w:eastAsia="黑体"/>
          <w:sz w:val="21"/>
          <w:szCs w:val="20"/>
        </w:rPr>
        <w:t xml:space="preserve"> </w:t>
      </w:r>
      <w:r>
        <w:rPr>
          <w:rFonts w:eastAsia="黑体" w:hint="eastAsia"/>
          <w:sz w:val="21"/>
          <w:szCs w:val="20"/>
        </w:rPr>
        <w:t xml:space="preserve"> </w:t>
      </w:r>
      <w:r>
        <w:rPr>
          <w:rFonts w:eastAsia="黑体"/>
          <w:sz w:val="21"/>
          <w:szCs w:val="20"/>
        </w:rPr>
        <w:t>站场危险化学品危险性类别及临界量一览表</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widowControl w:val="0"/>
        <w:adjustRightInd w:val="0"/>
        <w:snapToGrid w:val="0"/>
        <w:spacing w:line="240" w:lineRule="auto"/>
        <w:ind w:firstLineChars="300" w:firstLine="615"/>
        <w:rPr>
          <w:kern w:val="0"/>
          <w:position w:val="2"/>
          <w:sz w:val="18"/>
          <w:szCs w:val="18"/>
          <w:highlight w:val="yellow"/>
        </w:rPr>
      </w:pPr>
      <w:r>
        <w:rPr>
          <w:sz w:val="21"/>
        </w:rPr>
        <w:t>数据来源：</w:t>
      </w:r>
      <w:r>
        <w:rPr>
          <w:rFonts w:hint="eastAsia"/>
          <w:sz w:val="21"/>
        </w:rPr>
        <w:t>检验</w:t>
      </w:r>
      <w:r>
        <w:rPr>
          <w:sz w:val="21"/>
        </w:rPr>
        <w:t>报告详见</w:t>
      </w:r>
      <w:r>
        <w:rPr>
          <w:rFonts w:hint="eastAsia"/>
          <w:sz w:val="21"/>
        </w:rPr>
        <w:t>附录</w:t>
      </w:r>
      <w:r>
        <w:rPr>
          <w:rFonts w:hint="eastAsia"/>
          <w:sz w:val="21"/>
        </w:rPr>
        <w:t>1</w:t>
      </w:r>
      <w:r>
        <w:rPr>
          <w:sz w:val="21"/>
        </w:rPr>
        <w:t>。</w:t>
      </w:r>
    </w:p>
    <w:p w:rsidR="00F95F9B" w:rsidRDefault="00000000">
      <w:pPr>
        <w:widowControl w:val="0"/>
        <w:adjustRightInd w:val="0"/>
        <w:snapToGrid w:val="0"/>
        <w:spacing w:beforeLines="50" w:before="170"/>
        <w:ind w:firstLineChars="0" w:firstLine="0"/>
        <w:outlineLvl w:val="2"/>
        <w:rPr>
          <w:rFonts w:eastAsia="黑体"/>
          <w:bCs/>
          <w:sz w:val="28"/>
          <w:szCs w:val="28"/>
          <w:lang w:val="zh-CN"/>
        </w:rPr>
      </w:pPr>
      <w:bookmarkStart w:id="70" w:name="_Toc89"/>
      <w:bookmarkStart w:id="71" w:name="_Toc1169"/>
      <w:bookmarkStart w:id="72" w:name="_Toc18241"/>
      <w:r>
        <w:rPr>
          <w:rFonts w:eastAsia="黑体"/>
          <w:bCs/>
          <w:sz w:val="28"/>
          <w:szCs w:val="28"/>
          <w:lang w:val="es-MX"/>
        </w:rPr>
        <w:t>3</w:t>
      </w:r>
      <w:r>
        <w:rPr>
          <w:rFonts w:eastAsia="黑体"/>
          <w:bCs/>
          <w:sz w:val="28"/>
          <w:szCs w:val="28"/>
        </w:rPr>
        <w:t>.</w:t>
      </w:r>
      <w:r>
        <w:rPr>
          <w:rFonts w:eastAsia="黑体"/>
          <w:bCs/>
          <w:sz w:val="28"/>
          <w:szCs w:val="28"/>
          <w:lang w:val="es-MX"/>
        </w:rPr>
        <w:t>6</w:t>
      </w:r>
      <w:r>
        <w:rPr>
          <w:rFonts w:eastAsia="黑体"/>
          <w:bCs/>
          <w:sz w:val="28"/>
          <w:szCs w:val="28"/>
        </w:rPr>
        <w:t xml:space="preserve">.4 </w:t>
      </w:r>
      <w:r>
        <w:rPr>
          <w:rFonts w:eastAsia="黑体"/>
          <w:bCs/>
          <w:sz w:val="28"/>
          <w:szCs w:val="28"/>
          <w:lang w:val="zh-CN"/>
        </w:rPr>
        <w:t>危险化学品重大危险源辨识</w:t>
      </w:r>
      <w:bookmarkEnd w:id="70"/>
      <w:bookmarkEnd w:id="71"/>
      <w:bookmarkEnd w:id="72"/>
    </w:p>
    <w:p w:rsidR="00F95F9B" w:rsidRDefault="00000000">
      <w:pPr>
        <w:widowControl w:val="0"/>
        <w:adjustRightInd w:val="0"/>
        <w:snapToGrid w:val="0"/>
        <w:ind w:firstLine="470"/>
        <w:rPr>
          <w:szCs w:val="24"/>
        </w:rPr>
      </w:pPr>
      <w:r>
        <w:rPr>
          <w:szCs w:val="24"/>
        </w:rPr>
        <w:t>各单元危险化学品的存在量由企业提供或由企业提供的相关设计、评价文件所得，罐区存在量按照储罐最大容积计算，计算过程如下：</w:t>
      </w:r>
    </w:p>
    <w:p w:rsidR="00F95F9B" w:rsidRDefault="00000000">
      <w:pPr>
        <w:widowControl w:val="0"/>
        <w:adjustRightInd w:val="0"/>
        <w:snapToGrid w:val="0"/>
        <w:spacing w:line="240" w:lineRule="auto"/>
        <w:ind w:firstLineChars="0" w:firstLine="0"/>
        <w:jc w:val="center"/>
      </w:pPr>
      <w:r>
        <w:rPr>
          <w:rFonts w:eastAsia="黑体"/>
          <w:sz w:val="21"/>
          <w:szCs w:val="20"/>
        </w:rPr>
        <w:lastRenderedPageBreak/>
        <w:t>表</w:t>
      </w:r>
      <w:r>
        <w:rPr>
          <w:rFonts w:eastAsia="黑体" w:hint="eastAsia"/>
          <w:sz w:val="21"/>
          <w:szCs w:val="20"/>
        </w:rPr>
        <w:t>3</w:t>
      </w:r>
      <w:r>
        <w:rPr>
          <w:rFonts w:eastAsia="黑体"/>
          <w:sz w:val="21"/>
          <w:szCs w:val="20"/>
        </w:rPr>
        <w:t>.</w:t>
      </w:r>
      <w:r>
        <w:rPr>
          <w:rFonts w:eastAsia="黑体" w:hint="eastAsia"/>
          <w:sz w:val="21"/>
          <w:szCs w:val="20"/>
        </w:rPr>
        <w:t>6</w:t>
      </w:r>
      <w:r>
        <w:rPr>
          <w:rFonts w:eastAsia="黑体"/>
          <w:sz w:val="21"/>
          <w:szCs w:val="20"/>
        </w:rPr>
        <w:t>-</w:t>
      </w:r>
      <w:r>
        <w:rPr>
          <w:rFonts w:eastAsia="黑体" w:hint="eastAsia"/>
          <w:sz w:val="21"/>
          <w:szCs w:val="20"/>
        </w:rPr>
        <w:t>4</w:t>
      </w:r>
      <w:r>
        <w:rPr>
          <w:rFonts w:eastAsia="黑体"/>
          <w:sz w:val="21"/>
          <w:szCs w:val="20"/>
        </w:rPr>
        <w:t xml:space="preserve"> </w:t>
      </w:r>
      <w:r>
        <w:rPr>
          <w:rFonts w:eastAsia="黑体" w:hint="eastAsia"/>
          <w:sz w:val="21"/>
          <w:szCs w:val="20"/>
        </w:rPr>
        <w:t xml:space="preserve"> </w:t>
      </w:r>
      <w:r>
        <w:rPr>
          <w:rFonts w:eastAsia="黑体"/>
          <w:sz w:val="21"/>
          <w:szCs w:val="20"/>
        </w:rPr>
        <w:t>危险化学品重大危险源辨识表</w:t>
      </w:r>
      <w:r>
        <w:rPr>
          <w:rFonts w:eastAsia="黑体" w:hint="eastAsia"/>
          <w:sz w:val="21"/>
          <w:szCs w:val="20"/>
        </w:rPr>
        <w:tab/>
      </w:r>
    </w:p>
    <w:p w:rsidR="00F95F9B" w:rsidRDefault="00000000">
      <w:pPr>
        <w:widowControl w:val="0"/>
        <w:adjustRightInd w:val="0"/>
        <w:snapToGrid w:val="0"/>
        <w:ind w:firstLine="550"/>
        <w:jc w:val="left"/>
        <w:rPr>
          <w:rFonts w:ascii="宋体" w:hAnsi="宋体" w:cs="宋体"/>
          <w:kern w:val="0"/>
          <w:position w:val="2"/>
          <w:sz w:val="21"/>
          <w:lang w:val="zh-CN"/>
        </w:rPr>
      </w:pPr>
      <w:r>
        <w:rPr>
          <w:rFonts w:hint="eastAsia"/>
          <w:color w:val="000000" w:themeColor="text1"/>
          <w:sz w:val="28"/>
          <w:szCs w:val="28"/>
        </w:rPr>
        <w:t>涉及企业机密，不予公开。</w:t>
      </w:r>
    </w:p>
    <w:p w:rsidR="00F95F9B" w:rsidRDefault="00000000">
      <w:pPr>
        <w:widowControl w:val="0"/>
        <w:adjustRightInd w:val="0"/>
        <w:snapToGrid w:val="0"/>
        <w:ind w:firstLine="410"/>
        <w:rPr>
          <w:rFonts w:ascii="宋体" w:hAnsi="宋体" w:cs="宋体"/>
          <w:kern w:val="0"/>
          <w:position w:val="2"/>
          <w:sz w:val="21"/>
          <w:lang w:val="zh-CN"/>
        </w:rPr>
      </w:pPr>
      <w:r>
        <w:rPr>
          <w:rFonts w:ascii="宋体" w:hAnsi="宋体" w:cs="宋体" w:hint="eastAsia"/>
          <w:kern w:val="0"/>
          <w:position w:val="2"/>
          <w:sz w:val="21"/>
          <w:lang w:val="zh-CN"/>
        </w:rPr>
        <w:t>注：根据《危险化学品重大危险源辨识》</w:t>
      </w:r>
      <w:r>
        <w:rPr>
          <w:rFonts w:hint="eastAsia"/>
          <w:bCs/>
          <w:sz w:val="21"/>
          <w:lang w:val="zh-CN"/>
        </w:rPr>
        <w:t>（</w:t>
      </w:r>
      <w:r>
        <w:rPr>
          <w:rFonts w:hint="eastAsia"/>
          <w:bCs/>
          <w:sz w:val="21"/>
          <w:lang w:val="zh-CN"/>
        </w:rPr>
        <w:t>GB18218-2018</w:t>
      </w:r>
      <w:r>
        <w:rPr>
          <w:rFonts w:hint="eastAsia"/>
          <w:bCs/>
          <w:sz w:val="21"/>
          <w:lang w:val="zh-CN"/>
        </w:rPr>
        <w:t>）第</w:t>
      </w:r>
      <w:r>
        <w:rPr>
          <w:rFonts w:hint="eastAsia"/>
          <w:bCs/>
          <w:sz w:val="21"/>
          <w:lang w:val="zh-CN"/>
        </w:rPr>
        <w:t>4.2.2</w:t>
      </w:r>
      <w:r>
        <w:rPr>
          <w:rFonts w:hint="eastAsia"/>
          <w:bCs/>
          <w:sz w:val="21"/>
          <w:lang w:val="zh-CN"/>
        </w:rPr>
        <w:t>条，</w:t>
      </w:r>
      <w:r>
        <w:rPr>
          <w:rFonts w:ascii="宋体" w:hAnsi="宋体" w:cs="宋体" w:hint="eastAsia"/>
          <w:kern w:val="0"/>
          <w:position w:val="2"/>
          <w:sz w:val="21"/>
          <w:lang w:val="zh-CN"/>
        </w:rPr>
        <w:t>危险化学品储罐的实际存在量按设计最大量确定，本次评价储罐容积按照设计公称容积确定。</w:t>
      </w:r>
    </w:p>
    <w:p w:rsidR="00F95F9B" w:rsidRDefault="00000000">
      <w:pPr>
        <w:pStyle w:val="af7"/>
        <w:widowControl w:val="0"/>
        <w:adjustRightInd w:val="0"/>
        <w:snapToGrid w:val="0"/>
        <w:ind w:firstLine="470"/>
      </w:pPr>
      <w:r>
        <w:rPr>
          <w:rFonts w:hint="eastAsia"/>
        </w:rPr>
        <w:t>按本次取样原油检测报告进行辨识，检测报告详见报告附录</w:t>
      </w:r>
      <w:r>
        <w:rPr>
          <w:rFonts w:hint="eastAsia"/>
        </w:rPr>
        <w:t>1</w:t>
      </w:r>
      <w:r>
        <w:rPr>
          <w:rFonts w:hint="eastAsia"/>
        </w:rPr>
        <w:t>，鲁明公司各联合站</w:t>
      </w:r>
      <w:r>
        <w:rPr>
          <w:rFonts w:hint="eastAsia"/>
        </w:rPr>
        <w:t>/</w:t>
      </w:r>
      <w:r>
        <w:rPr>
          <w:rFonts w:hint="eastAsia"/>
        </w:rPr>
        <w:t>集输站均不构成危险化学品重大危险源。</w:t>
      </w:r>
    </w:p>
    <w:p w:rsidR="00F95F9B" w:rsidRDefault="00000000">
      <w:pPr>
        <w:pStyle w:val="2"/>
        <w:keepNext w:val="0"/>
        <w:keepLines w:val="0"/>
        <w:spacing w:before="170" w:after="170"/>
      </w:pPr>
      <w:bookmarkStart w:id="73" w:name="_Toc17368"/>
      <w:r>
        <w:rPr>
          <w:rFonts w:hint="eastAsia"/>
        </w:rPr>
        <w:t>危险有害因素分布</w:t>
      </w:r>
      <w:bookmarkEnd w:id="73"/>
    </w:p>
    <w:p w:rsidR="00F95F9B" w:rsidRDefault="00000000">
      <w:pPr>
        <w:widowControl w:val="0"/>
        <w:adjustRightInd w:val="0"/>
        <w:snapToGrid w:val="0"/>
        <w:ind w:firstLine="470"/>
      </w:pPr>
      <w:r>
        <w:rPr>
          <w:rFonts w:hint="eastAsia"/>
        </w:rPr>
        <w:t>主要危险、有害因素分布主要危险、有害因素分布见下表。</w:t>
      </w:r>
    </w:p>
    <w:p w:rsidR="00F95F9B" w:rsidRDefault="00000000">
      <w:pPr>
        <w:pStyle w:val="af3"/>
        <w:widowControl w:val="0"/>
        <w:adjustRightInd w:val="0"/>
        <w:snapToGrid w:val="0"/>
        <w:spacing w:line="240" w:lineRule="auto"/>
      </w:pPr>
      <w:r>
        <w:rPr>
          <w:rFonts w:hint="eastAsia"/>
        </w:rPr>
        <w:t>表</w:t>
      </w:r>
      <w:r>
        <w:rPr>
          <w:rFonts w:hint="eastAsia"/>
        </w:rPr>
        <w:t xml:space="preserve"> </w:t>
      </w:r>
      <w:r>
        <w:rPr>
          <w:rFonts w:hint="eastAsia"/>
        </w:rPr>
        <w:fldChar w:fldCharType="begin"/>
      </w:r>
      <w:r>
        <w:rPr>
          <w:rFonts w:hint="eastAsia"/>
        </w:rPr>
        <w:instrText xml:space="preserve"> STYLEREF 2 \s </w:instrText>
      </w:r>
      <w:r>
        <w:rPr>
          <w:rFonts w:hint="eastAsia"/>
        </w:rPr>
        <w:fldChar w:fldCharType="separate"/>
      </w:r>
      <w:r>
        <w:rPr>
          <w:rFonts w:hint="eastAsia"/>
        </w:rPr>
        <w:t>3.7</w:t>
      </w:r>
      <w:r>
        <w:rPr>
          <w:rFonts w:hint="eastAsia"/>
        </w:rPr>
        <w:fldChar w:fldCharType="end"/>
      </w:r>
      <w:r>
        <w:rPr>
          <w:rFonts w:hint="eastAsia"/>
        </w:rPr>
        <w:noBreakHyphen/>
      </w:r>
      <w:r>
        <w:rPr>
          <w:rFonts w:hint="eastAsia"/>
        </w:rPr>
        <w:fldChar w:fldCharType="begin"/>
      </w:r>
      <w:r>
        <w:rPr>
          <w:rFonts w:hint="eastAsia"/>
        </w:rPr>
        <w:instrText xml:space="preserve"> SEQ </w:instrText>
      </w:r>
      <w:r>
        <w:rPr>
          <w:rFonts w:hint="eastAsia"/>
        </w:rPr>
        <w:instrText>表</w:instrText>
      </w:r>
      <w:r>
        <w:rPr>
          <w:rFonts w:hint="eastAsia"/>
        </w:rPr>
        <w:instrText xml:space="preserve"> \* ARABIC \s 2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主要危险、有害因素分布表</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79"/>
        <w:gridCol w:w="1572"/>
        <w:gridCol w:w="6797"/>
      </w:tblGrid>
      <w:tr w:rsidR="00F95F9B">
        <w:trPr>
          <w:jc w:val="center"/>
        </w:trPr>
        <w:tc>
          <w:tcPr>
            <w:tcW w:w="426" w:type="pct"/>
            <w:tcBorders>
              <w:tl2br w:val="nil"/>
              <w:tr2bl w:val="nil"/>
            </w:tcBorders>
            <w:vAlign w:val="center"/>
          </w:tcPr>
          <w:p w:rsidR="00F95F9B" w:rsidRDefault="00000000">
            <w:pPr>
              <w:widowControl w:val="0"/>
              <w:adjustRightInd w:val="0"/>
              <w:snapToGrid w:val="0"/>
              <w:spacing w:line="240" w:lineRule="auto"/>
              <w:ind w:firstLineChars="0" w:firstLine="0"/>
              <w:jc w:val="center"/>
              <w:rPr>
                <w:b/>
                <w:bCs/>
                <w:sz w:val="21"/>
              </w:rPr>
            </w:pPr>
            <w:r>
              <w:rPr>
                <w:b/>
                <w:bCs/>
                <w:sz w:val="21"/>
              </w:rPr>
              <w:t>序号</w:t>
            </w:r>
          </w:p>
        </w:tc>
        <w:tc>
          <w:tcPr>
            <w:tcW w:w="859" w:type="pct"/>
            <w:tcBorders>
              <w:tl2br w:val="nil"/>
              <w:tr2bl w:val="nil"/>
            </w:tcBorders>
            <w:vAlign w:val="center"/>
          </w:tcPr>
          <w:p w:rsidR="00F95F9B" w:rsidRDefault="00000000">
            <w:pPr>
              <w:widowControl w:val="0"/>
              <w:adjustRightInd w:val="0"/>
              <w:snapToGrid w:val="0"/>
              <w:spacing w:line="240" w:lineRule="auto"/>
              <w:ind w:firstLineChars="0" w:firstLine="0"/>
              <w:jc w:val="center"/>
              <w:rPr>
                <w:b/>
                <w:bCs/>
                <w:sz w:val="21"/>
              </w:rPr>
            </w:pPr>
            <w:r>
              <w:rPr>
                <w:b/>
                <w:bCs/>
                <w:sz w:val="21"/>
              </w:rPr>
              <w:t>生产过程</w:t>
            </w:r>
          </w:p>
        </w:tc>
        <w:tc>
          <w:tcPr>
            <w:tcW w:w="3714" w:type="pct"/>
            <w:tcBorders>
              <w:tl2br w:val="nil"/>
              <w:tr2bl w:val="nil"/>
            </w:tcBorders>
            <w:vAlign w:val="center"/>
          </w:tcPr>
          <w:p w:rsidR="00F95F9B" w:rsidRDefault="00000000">
            <w:pPr>
              <w:widowControl w:val="0"/>
              <w:adjustRightInd w:val="0"/>
              <w:snapToGrid w:val="0"/>
              <w:spacing w:line="240" w:lineRule="auto"/>
              <w:ind w:firstLineChars="0" w:firstLine="0"/>
              <w:jc w:val="center"/>
              <w:rPr>
                <w:b/>
                <w:bCs/>
                <w:sz w:val="21"/>
              </w:rPr>
            </w:pPr>
            <w:r>
              <w:rPr>
                <w:b/>
                <w:bCs/>
                <w:sz w:val="21"/>
              </w:rPr>
              <w:t>危险、有害因素</w:t>
            </w:r>
          </w:p>
        </w:tc>
      </w:tr>
      <w:tr w:rsidR="00F95F9B">
        <w:trPr>
          <w:jc w:val="center"/>
        </w:trPr>
        <w:tc>
          <w:tcPr>
            <w:tcW w:w="426" w:type="pct"/>
            <w:tcBorders>
              <w:tl2br w:val="nil"/>
              <w:tr2bl w:val="nil"/>
            </w:tcBorders>
            <w:vAlign w:val="center"/>
          </w:tcPr>
          <w:p w:rsidR="00F95F9B" w:rsidRDefault="00000000">
            <w:pPr>
              <w:widowControl w:val="0"/>
              <w:adjustRightInd w:val="0"/>
              <w:snapToGrid w:val="0"/>
              <w:spacing w:line="240" w:lineRule="auto"/>
              <w:ind w:firstLineChars="0" w:firstLine="0"/>
              <w:jc w:val="center"/>
            </w:pPr>
            <w:r>
              <w:t>1</w:t>
            </w:r>
          </w:p>
        </w:tc>
        <w:tc>
          <w:tcPr>
            <w:tcW w:w="859"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sz w:val="21"/>
              </w:rPr>
              <w:t>采油</w:t>
            </w:r>
            <w:r>
              <w:rPr>
                <w:rFonts w:hint="eastAsia"/>
                <w:sz w:val="21"/>
              </w:rPr>
              <w:t>（气）</w:t>
            </w:r>
            <w:r>
              <w:rPr>
                <w:sz w:val="21"/>
              </w:rPr>
              <w:t>系统</w:t>
            </w:r>
          </w:p>
        </w:tc>
        <w:tc>
          <w:tcPr>
            <w:tcW w:w="3714"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rFonts w:hint="eastAsia"/>
                <w:sz w:val="21"/>
              </w:rPr>
              <w:t>井喷及井喷失控、</w:t>
            </w:r>
            <w:r>
              <w:rPr>
                <w:sz w:val="21"/>
              </w:rPr>
              <w:t>火灾</w:t>
            </w:r>
            <w:r>
              <w:rPr>
                <w:rFonts w:hint="eastAsia"/>
                <w:sz w:val="21"/>
              </w:rPr>
              <w:t>、</w:t>
            </w:r>
            <w:r>
              <w:rPr>
                <w:sz w:val="21"/>
              </w:rPr>
              <w:t>爆炸、中毒</w:t>
            </w:r>
            <w:r>
              <w:rPr>
                <w:rFonts w:hint="eastAsia"/>
                <w:sz w:val="21"/>
              </w:rPr>
              <w:t>和</w:t>
            </w:r>
            <w:r>
              <w:rPr>
                <w:sz w:val="21"/>
              </w:rPr>
              <w:t>窒息</w:t>
            </w:r>
            <w:r>
              <w:rPr>
                <w:rFonts w:hint="eastAsia"/>
                <w:sz w:val="21"/>
              </w:rPr>
              <w:t>、</w:t>
            </w:r>
            <w:r>
              <w:rPr>
                <w:sz w:val="21"/>
              </w:rPr>
              <w:t>物体打击、机械伤害、高处坠落、</w:t>
            </w:r>
            <w:r>
              <w:rPr>
                <w:rFonts w:hint="eastAsia"/>
                <w:sz w:val="21"/>
              </w:rPr>
              <w:t>触电、容器爆炸等</w:t>
            </w:r>
          </w:p>
        </w:tc>
      </w:tr>
      <w:tr w:rsidR="00F95F9B">
        <w:trPr>
          <w:trHeight w:val="156"/>
          <w:jc w:val="center"/>
        </w:trPr>
        <w:tc>
          <w:tcPr>
            <w:tcW w:w="426"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sz w:val="21"/>
              </w:rPr>
              <w:t>2</w:t>
            </w:r>
          </w:p>
        </w:tc>
        <w:tc>
          <w:tcPr>
            <w:tcW w:w="859"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sz w:val="21"/>
              </w:rPr>
              <w:t>注入系统</w:t>
            </w:r>
          </w:p>
        </w:tc>
        <w:tc>
          <w:tcPr>
            <w:tcW w:w="3714"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sz w:val="21"/>
              </w:rPr>
              <w:t>物体打击、机械伤害、淹溺、高处坠落、触电、中毒</w:t>
            </w:r>
            <w:r>
              <w:rPr>
                <w:rFonts w:hint="eastAsia"/>
                <w:sz w:val="21"/>
              </w:rPr>
              <w:t>和</w:t>
            </w:r>
            <w:r>
              <w:rPr>
                <w:sz w:val="21"/>
              </w:rPr>
              <w:t>窒息</w:t>
            </w:r>
            <w:r>
              <w:rPr>
                <w:rFonts w:hint="eastAsia"/>
                <w:sz w:val="21"/>
              </w:rPr>
              <w:t>、火灾、</w:t>
            </w:r>
            <w:r>
              <w:rPr>
                <w:sz w:val="21"/>
              </w:rPr>
              <w:t>噪声</w:t>
            </w:r>
            <w:r>
              <w:rPr>
                <w:rFonts w:hint="eastAsia"/>
                <w:sz w:val="21"/>
              </w:rPr>
              <w:t>等</w:t>
            </w:r>
          </w:p>
        </w:tc>
      </w:tr>
      <w:tr w:rsidR="00F95F9B">
        <w:trPr>
          <w:trHeight w:val="340"/>
          <w:jc w:val="center"/>
        </w:trPr>
        <w:tc>
          <w:tcPr>
            <w:tcW w:w="426"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sz w:val="21"/>
              </w:rPr>
              <w:t>3</w:t>
            </w:r>
          </w:p>
        </w:tc>
        <w:tc>
          <w:tcPr>
            <w:tcW w:w="859"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sz w:val="21"/>
              </w:rPr>
              <w:t>油气集输系统</w:t>
            </w:r>
          </w:p>
        </w:tc>
        <w:tc>
          <w:tcPr>
            <w:tcW w:w="3714"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sz w:val="21"/>
              </w:rPr>
              <w:t>火灾</w:t>
            </w:r>
            <w:r>
              <w:rPr>
                <w:rFonts w:hint="eastAsia"/>
                <w:sz w:val="21"/>
              </w:rPr>
              <w:t>、</w:t>
            </w:r>
            <w:r>
              <w:rPr>
                <w:sz w:val="21"/>
              </w:rPr>
              <w:t>爆炸、</w:t>
            </w:r>
            <w:r>
              <w:rPr>
                <w:rFonts w:hint="eastAsia"/>
                <w:sz w:val="21"/>
              </w:rPr>
              <w:t>容器</w:t>
            </w:r>
            <w:r>
              <w:rPr>
                <w:sz w:val="21"/>
              </w:rPr>
              <w:t>爆炸、物体打击、机械伤害、高处坠落、中毒</w:t>
            </w:r>
            <w:r>
              <w:rPr>
                <w:rFonts w:hint="eastAsia"/>
                <w:sz w:val="21"/>
              </w:rPr>
              <w:t>和</w:t>
            </w:r>
            <w:r>
              <w:rPr>
                <w:sz w:val="21"/>
              </w:rPr>
              <w:t>窒息、</w:t>
            </w:r>
            <w:r>
              <w:rPr>
                <w:rFonts w:hint="eastAsia"/>
                <w:sz w:val="21"/>
              </w:rPr>
              <w:t>触电、</w:t>
            </w:r>
            <w:r>
              <w:rPr>
                <w:sz w:val="21"/>
              </w:rPr>
              <w:t>车辆伤害</w:t>
            </w:r>
            <w:r>
              <w:rPr>
                <w:rFonts w:hint="eastAsia"/>
                <w:sz w:val="21"/>
              </w:rPr>
              <w:t>等</w:t>
            </w:r>
          </w:p>
        </w:tc>
      </w:tr>
      <w:tr w:rsidR="00F95F9B">
        <w:trPr>
          <w:trHeight w:val="340"/>
          <w:jc w:val="center"/>
        </w:trPr>
        <w:tc>
          <w:tcPr>
            <w:tcW w:w="426"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rFonts w:hint="eastAsia"/>
                <w:sz w:val="21"/>
              </w:rPr>
              <w:t>4</w:t>
            </w:r>
          </w:p>
        </w:tc>
        <w:tc>
          <w:tcPr>
            <w:tcW w:w="859"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rFonts w:hint="eastAsia"/>
                <w:sz w:val="21"/>
              </w:rPr>
              <w:t>特殊作业</w:t>
            </w:r>
          </w:p>
        </w:tc>
        <w:tc>
          <w:tcPr>
            <w:tcW w:w="3714" w:type="pct"/>
            <w:tcBorders>
              <w:tl2br w:val="nil"/>
              <w:tr2bl w:val="nil"/>
            </w:tcBorders>
            <w:vAlign w:val="center"/>
          </w:tcPr>
          <w:p w:rsidR="00F95F9B" w:rsidRDefault="00000000">
            <w:pPr>
              <w:widowControl w:val="0"/>
              <w:adjustRightInd w:val="0"/>
              <w:snapToGrid w:val="0"/>
              <w:spacing w:line="240" w:lineRule="auto"/>
              <w:ind w:firstLineChars="0" w:firstLine="0"/>
              <w:jc w:val="center"/>
              <w:rPr>
                <w:sz w:val="21"/>
              </w:rPr>
            </w:pPr>
            <w:r>
              <w:rPr>
                <w:rFonts w:hint="eastAsia"/>
                <w:sz w:val="21"/>
              </w:rPr>
              <w:t>火灾爆炸、中毒和窒息、物体打击、触电、灼烫、高处坠落、起重伤害等</w:t>
            </w:r>
          </w:p>
        </w:tc>
      </w:tr>
    </w:tbl>
    <w:p w:rsidR="00F95F9B" w:rsidRDefault="00F95F9B">
      <w:pPr>
        <w:widowControl w:val="0"/>
        <w:ind w:firstLineChars="0" w:firstLine="0"/>
      </w:pPr>
    </w:p>
    <w:p w:rsidR="00F95F9B" w:rsidRDefault="00F95F9B">
      <w:pPr>
        <w:pStyle w:val="1"/>
        <w:keepNext w:val="0"/>
        <w:keepLines w:val="0"/>
        <w:widowControl w:val="0"/>
        <w:spacing w:before="340" w:after="340"/>
        <w:sectPr w:rsidR="00F95F9B">
          <w:footnotePr>
            <w:numFmt w:val="decimalEnclosedCircleChinese"/>
          </w:footnotePr>
          <w:pgSz w:w="11906" w:h="16838"/>
          <w:pgMar w:top="1417" w:right="1134" w:bottom="1134" w:left="1587" w:header="850" w:footer="850" w:gutter="0"/>
          <w:cols w:space="0"/>
          <w:docGrid w:type="linesAndChars" w:linePitch="340" w:charSpace="-1024"/>
        </w:sectPr>
      </w:pPr>
    </w:p>
    <w:p w:rsidR="00F95F9B" w:rsidRDefault="00000000">
      <w:pPr>
        <w:pStyle w:val="1"/>
        <w:keepNext w:val="0"/>
        <w:keepLines w:val="0"/>
        <w:widowControl w:val="0"/>
        <w:spacing w:before="340" w:after="340"/>
      </w:pPr>
      <w:bookmarkStart w:id="74" w:name="_Toc3641"/>
      <w:r>
        <w:rPr>
          <w:rFonts w:hint="eastAsia"/>
        </w:rPr>
        <w:lastRenderedPageBreak/>
        <w:t>现状评价单元划分及评价方法选择</w:t>
      </w:r>
      <w:bookmarkEnd w:id="74"/>
    </w:p>
    <w:p w:rsidR="00F95F9B" w:rsidRDefault="00000000">
      <w:pPr>
        <w:pStyle w:val="2"/>
        <w:keepNext w:val="0"/>
        <w:keepLines w:val="0"/>
        <w:spacing w:before="170" w:after="170"/>
      </w:pPr>
      <w:bookmarkStart w:id="75" w:name="_Toc1919"/>
      <w:r>
        <w:rPr>
          <w:rFonts w:hint="eastAsia"/>
        </w:rPr>
        <w:t>评价单元划分</w:t>
      </w:r>
      <w:bookmarkEnd w:id="75"/>
    </w:p>
    <w:p w:rsidR="00F95F9B" w:rsidRDefault="00000000">
      <w:pPr>
        <w:adjustRightInd w:val="0"/>
        <w:snapToGrid w:val="0"/>
        <w:ind w:firstLine="470"/>
        <w:rPr>
          <w:kern w:val="0"/>
          <w:szCs w:val="24"/>
          <w:lang w:val="zh-CN"/>
        </w:rPr>
      </w:pPr>
      <w:r>
        <w:rPr>
          <w:kern w:val="0"/>
          <w:szCs w:val="24"/>
          <w:lang w:val="zh-CN"/>
        </w:rPr>
        <w:t>根据</w:t>
      </w:r>
      <w:r>
        <w:rPr>
          <w:rFonts w:hint="eastAsia"/>
          <w:kern w:val="0"/>
          <w:szCs w:val="24"/>
          <w:lang w:val="zh-CN"/>
        </w:rPr>
        <w:t>鲁明公司</w:t>
      </w:r>
      <w:r>
        <w:rPr>
          <w:kern w:val="0"/>
          <w:szCs w:val="24"/>
          <w:lang w:val="zh-CN"/>
        </w:rPr>
        <w:t>机构和下属单位设置、油气生产单位生产作业内容和特点，结合《石油天然气工程项目安全现状评价报告编写规则》（</w:t>
      </w:r>
      <w:r>
        <w:rPr>
          <w:kern w:val="0"/>
          <w:szCs w:val="24"/>
          <w:lang w:val="zh-CN"/>
        </w:rPr>
        <w:t>SY/T6778-2010</w:t>
      </w:r>
      <w:r>
        <w:rPr>
          <w:kern w:val="0"/>
          <w:szCs w:val="24"/>
          <w:lang w:val="zh-CN"/>
        </w:rPr>
        <w:t>）的规定，将该项目划分为</w:t>
      </w:r>
      <w:r>
        <w:rPr>
          <w:kern w:val="0"/>
          <w:szCs w:val="24"/>
          <w:lang w:val="zh-CN"/>
        </w:rPr>
        <w:t>2</w:t>
      </w:r>
      <w:r>
        <w:rPr>
          <w:kern w:val="0"/>
          <w:szCs w:val="24"/>
          <w:lang w:val="zh-CN"/>
        </w:rPr>
        <w:t>个单元：</w:t>
      </w:r>
    </w:p>
    <w:p w:rsidR="00F95F9B" w:rsidRDefault="00000000">
      <w:pPr>
        <w:adjustRightInd w:val="0"/>
        <w:snapToGrid w:val="0"/>
        <w:ind w:firstLine="470"/>
        <w:rPr>
          <w:kern w:val="0"/>
          <w:szCs w:val="24"/>
          <w:lang w:val="zh-CN"/>
        </w:rPr>
      </w:pPr>
      <w:r>
        <w:rPr>
          <w:kern w:val="0"/>
          <w:szCs w:val="24"/>
          <w:lang w:val="zh-CN"/>
        </w:rPr>
        <w:t>1</w:t>
      </w:r>
      <w:r>
        <w:rPr>
          <w:kern w:val="0"/>
          <w:szCs w:val="24"/>
          <w:lang w:val="zh-CN"/>
        </w:rPr>
        <w:t>）生产单元，包括：</w:t>
      </w:r>
      <w:r>
        <w:rPr>
          <w:rFonts w:hint="eastAsia"/>
          <w:kern w:val="0"/>
          <w:szCs w:val="24"/>
          <w:lang w:val="zh-CN"/>
        </w:rPr>
        <w:t>鲁明公司</w:t>
      </w:r>
      <w:r>
        <w:rPr>
          <w:kern w:val="0"/>
          <w:szCs w:val="24"/>
          <w:lang w:val="zh-CN"/>
        </w:rPr>
        <w:t>所辖中国石油化工股份有限公司矿业权范围内的石油、天然气勘查、开发生产单位所辖油气生产设备设施和辅助生产设施；油气生产和作业活动。</w:t>
      </w:r>
    </w:p>
    <w:p w:rsidR="00F95F9B" w:rsidRDefault="00000000">
      <w:pPr>
        <w:adjustRightInd w:val="0"/>
        <w:snapToGrid w:val="0"/>
        <w:ind w:firstLine="470"/>
        <w:rPr>
          <w:kern w:val="0"/>
          <w:szCs w:val="24"/>
          <w:lang w:val="zh-CN"/>
        </w:rPr>
      </w:pPr>
      <w:r>
        <w:rPr>
          <w:kern w:val="0"/>
          <w:szCs w:val="24"/>
          <w:lang w:val="zh-CN"/>
        </w:rPr>
        <w:t>为方便评价，结合</w:t>
      </w:r>
      <w:r>
        <w:rPr>
          <w:rFonts w:hint="eastAsia"/>
          <w:kern w:val="0"/>
          <w:szCs w:val="24"/>
          <w:lang w:val="zh-CN"/>
        </w:rPr>
        <w:t>鲁明公司</w:t>
      </w:r>
      <w:r>
        <w:rPr>
          <w:kern w:val="0"/>
          <w:szCs w:val="24"/>
          <w:lang w:val="zh-CN"/>
        </w:rPr>
        <w:t>机关部门和下属单位设置、油气生产单位生产作业内容和特点，将设备设施及生产作业单元划分为：采油、</w:t>
      </w:r>
      <w:r>
        <w:rPr>
          <w:rFonts w:hint="eastAsia"/>
          <w:kern w:val="0"/>
          <w:szCs w:val="24"/>
          <w:lang w:val="zh-CN"/>
        </w:rPr>
        <w:t>采气、</w:t>
      </w:r>
      <w:r>
        <w:rPr>
          <w:kern w:val="0"/>
          <w:szCs w:val="24"/>
          <w:lang w:val="zh-CN"/>
        </w:rPr>
        <w:t>注入系统、油气集输系统</w:t>
      </w:r>
      <w:r>
        <w:rPr>
          <w:rFonts w:hint="eastAsia"/>
          <w:kern w:val="0"/>
          <w:szCs w:val="24"/>
        </w:rPr>
        <w:t>4</w:t>
      </w:r>
      <w:r>
        <w:rPr>
          <w:kern w:val="0"/>
          <w:szCs w:val="24"/>
          <w:lang w:val="zh-CN"/>
        </w:rPr>
        <w:t>个系统。</w:t>
      </w:r>
    </w:p>
    <w:p w:rsidR="00F95F9B" w:rsidRDefault="00000000">
      <w:pPr>
        <w:pStyle w:val="nlw0"/>
        <w:adjustRightInd w:val="0"/>
        <w:snapToGrid w:val="0"/>
        <w:spacing w:line="360" w:lineRule="auto"/>
        <w:ind w:firstLine="470"/>
        <w:rPr>
          <w:rFonts w:ascii="Times New Roman" w:hAnsi="Times New Roman"/>
        </w:rPr>
      </w:pPr>
      <w:r>
        <w:rPr>
          <w:rFonts w:ascii="Times New Roman" w:hAnsi="Times New Roman"/>
          <w:sz w:val="24"/>
          <w:szCs w:val="24"/>
        </w:rPr>
        <w:t>2</w:t>
      </w:r>
      <w:r>
        <w:rPr>
          <w:rFonts w:ascii="Times New Roman" w:hAnsi="Times New Roman"/>
          <w:sz w:val="24"/>
          <w:szCs w:val="24"/>
        </w:rPr>
        <w:t>）安全管理单元，包括：</w:t>
      </w:r>
      <w:r>
        <w:rPr>
          <w:rFonts w:ascii="Times New Roman" w:hAnsi="Times New Roman" w:hint="eastAsia"/>
          <w:sz w:val="24"/>
          <w:szCs w:val="24"/>
        </w:rPr>
        <w:t>鲁明公司</w:t>
      </w:r>
      <w:r>
        <w:rPr>
          <w:rFonts w:ascii="Times New Roman" w:hAnsi="Times New Roman"/>
          <w:sz w:val="24"/>
          <w:szCs w:val="24"/>
        </w:rPr>
        <w:t>及基层单位安全管理现状</w:t>
      </w:r>
      <w:r>
        <w:rPr>
          <w:rFonts w:ascii="Times New Roman" w:hAnsi="Times New Roman" w:hint="eastAsia"/>
          <w:sz w:val="24"/>
          <w:szCs w:val="24"/>
        </w:rPr>
        <w:t>。</w:t>
      </w:r>
    </w:p>
    <w:p w:rsidR="00F95F9B" w:rsidRDefault="00000000">
      <w:pPr>
        <w:pStyle w:val="nlw1"/>
        <w:adjustRightInd w:val="0"/>
        <w:snapToGrid w:val="0"/>
        <w:spacing w:afterLines="0" w:line="240" w:lineRule="auto"/>
        <w:ind w:left="0" w:firstLineChars="0" w:firstLine="0"/>
        <w:rPr>
          <w:sz w:val="21"/>
        </w:rPr>
      </w:pPr>
      <w:r>
        <w:rPr>
          <w:sz w:val="21"/>
        </w:rPr>
        <w:t>表</w:t>
      </w:r>
      <w:r>
        <w:rPr>
          <w:sz w:val="21"/>
        </w:rPr>
        <w:t xml:space="preserve">4.1-1  </w:t>
      </w:r>
      <w:r>
        <w:rPr>
          <w:sz w:val="21"/>
        </w:rPr>
        <w:t>评价单元划分及评价方法选择</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44"/>
        <w:gridCol w:w="1825"/>
        <w:gridCol w:w="2653"/>
        <w:gridCol w:w="1782"/>
        <w:gridCol w:w="2144"/>
      </w:tblGrid>
      <w:tr w:rsidR="00F95F9B">
        <w:trPr>
          <w:trHeight w:val="397"/>
          <w:tblHeader/>
          <w:jc w:val="center"/>
        </w:trPr>
        <w:tc>
          <w:tcPr>
            <w:tcW w:w="406" w:type="pct"/>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rPr>
                <w:b/>
                <w:kern w:val="0"/>
                <w:sz w:val="21"/>
              </w:rPr>
            </w:pPr>
            <w:r>
              <w:rPr>
                <w:b/>
                <w:kern w:val="0"/>
                <w:sz w:val="21"/>
              </w:rPr>
              <w:t>序号</w:t>
            </w:r>
          </w:p>
        </w:tc>
        <w:tc>
          <w:tcPr>
            <w:tcW w:w="997" w:type="pct"/>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rPr>
                <w:b/>
                <w:kern w:val="0"/>
                <w:sz w:val="21"/>
              </w:rPr>
            </w:pPr>
            <w:r>
              <w:rPr>
                <w:b/>
                <w:kern w:val="0"/>
                <w:sz w:val="21"/>
              </w:rPr>
              <w:t>评价单元</w:t>
            </w:r>
          </w:p>
        </w:tc>
        <w:tc>
          <w:tcPr>
            <w:tcW w:w="2424" w:type="pct"/>
            <w:gridSpan w:val="2"/>
            <w:tcBorders>
              <w:tl2br w:val="nil"/>
              <w:tr2bl w:val="nil"/>
            </w:tcBorders>
            <w:vAlign w:val="center"/>
          </w:tcPr>
          <w:p w:rsidR="00F95F9B" w:rsidRDefault="00000000">
            <w:pPr>
              <w:adjustRightInd w:val="0"/>
              <w:snapToGrid w:val="0"/>
              <w:spacing w:line="240" w:lineRule="auto"/>
              <w:ind w:firstLineChars="0" w:firstLine="0"/>
              <w:jc w:val="center"/>
              <w:rPr>
                <w:b/>
                <w:kern w:val="0"/>
                <w:sz w:val="21"/>
              </w:rPr>
            </w:pPr>
            <w:r>
              <w:rPr>
                <w:b/>
                <w:kern w:val="0"/>
                <w:sz w:val="21"/>
              </w:rPr>
              <w:t>评价范围</w:t>
            </w:r>
          </w:p>
        </w:tc>
        <w:tc>
          <w:tcPr>
            <w:tcW w:w="1172" w:type="pct"/>
            <w:tcBorders>
              <w:tl2br w:val="nil"/>
              <w:tr2bl w:val="nil"/>
            </w:tcBorders>
            <w:vAlign w:val="center"/>
          </w:tcPr>
          <w:p w:rsidR="00F95F9B" w:rsidRDefault="00000000">
            <w:pPr>
              <w:adjustRightInd w:val="0"/>
              <w:snapToGrid w:val="0"/>
              <w:spacing w:line="240" w:lineRule="auto"/>
              <w:ind w:firstLineChars="0" w:firstLine="0"/>
              <w:jc w:val="center"/>
              <w:rPr>
                <w:b/>
                <w:kern w:val="0"/>
                <w:sz w:val="21"/>
              </w:rPr>
            </w:pPr>
            <w:r>
              <w:rPr>
                <w:b/>
                <w:kern w:val="0"/>
                <w:sz w:val="21"/>
              </w:rPr>
              <w:t>评价方法</w:t>
            </w:r>
          </w:p>
        </w:tc>
      </w:tr>
      <w:tr w:rsidR="00F95F9B">
        <w:trPr>
          <w:trHeight w:val="397"/>
          <w:jc w:val="center"/>
        </w:trPr>
        <w:tc>
          <w:tcPr>
            <w:tcW w:w="406" w:type="pct"/>
            <w:vMerge w:val="restart"/>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rPr>
                <w:spacing w:val="20"/>
                <w:sz w:val="21"/>
              </w:rPr>
            </w:pPr>
            <w:r>
              <w:rPr>
                <w:spacing w:val="20"/>
                <w:sz w:val="21"/>
              </w:rPr>
              <w:t>1</w:t>
            </w:r>
          </w:p>
        </w:tc>
        <w:tc>
          <w:tcPr>
            <w:tcW w:w="997" w:type="pct"/>
            <w:vMerge w:val="restart"/>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rPr>
                <w:spacing w:val="20"/>
                <w:sz w:val="21"/>
              </w:rPr>
            </w:pPr>
            <w:r>
              <w:rPr>
                <w:rFonts w:hint="eastAsia"/>
                <w:kern w:val="0"/>
                <w:sz w:val="21"/>
              </w:rPr>
              <w:t>生产</w:t>
            </w:r>
            <w:r>
              <w:rPr>
                <w:kern w:val="0"/>
                <w:sz w:val="21"/>
              </w:rPr>
              <w:t>单元</w:t>
            </w:r>
          </w:p>
        </w:tc>
        <w:tc>
          <w:tcPr>
            <w:tcW w:w="1450" w:type="pct"/>
            <w:vMerge w:val="restart"/>
            <w:tcBorders>
              <w:tl2br w:val="nil"/>
              <w:tr2bl w:val="nil"/>
            </w:tcBorders>
            <w:vAlign w:val="center"/>
          </w:tcPr>
          <w:p w:rsidR="00F95F9B" w:rsidRDefault="00000000">
            <w:pPr>
              <w:adjustRightInd w:val="0"/>
              <w:snapToGrid w:val="0"/>
              <w:spacing w:line="240" w:lineRule="auto"/>
              <w:ind w:firstLineChars="0" w:firstLine="0"/>
              <w:jc w:val="center"/>
              <w:rPr>
                <w:kern w:val="0"/>
                <w:sz w:val="21"/>
              </w:rPr>
            </w:pPr>
            <w:r>
              <w:rPr>
                <w:kern w:val="0"/>
                <w:sz w:val="21"/>
              </w:rPr>
              <w:t>包括</w:t>
            </w:r>
            <w:r>
              <w:rPr>
                <w:rFonts w:hint="eastAsia"/>
                <w:kern w:val="0"/>
                <w:sz w:val="21"/>
              </w:rPr>
              <w:t>鲁明公司</w:t>
            </w:r>
            <w:r>
              <w:rPr>
                <w:kern w:val="0"/>
                <w:sz w:val="21"/>
              </w:rPr>
              <w:t>所辖油气生产设备设施及生产作业安全现状</w:t>
            </w:r>
          </w:p>
        </w:tc>
        <w:tc>
          <w:tcPr>
            <w:tcW w:w="974" w:type="pct"/>
            <w:tcBorders>
              <w:tl2br w:val="nil"/>
              <w:tr2bl w:val="nil"/>
            </w:tcBorders>
            <w:vAlign w:val="center"/>
          </w:tcPr>
          <w:p w:rsidR="00F95F9B" w:rsidRDefault="00000000">
            <w:pPr>
              <w:adjustRightInd w:val="0"/>
              <w:snapToGrid w:val="0"/>
              <w:spacing w:line="240" w:lineRule="auto"/>
              <w:ind w:firstLineChars="0" w:firstLine="0"/>
              <w:jc w:val="center"/>
              <w:rPr>
                <w:spacing w:val="20"/>
                <w:sz w:val="21"/>
              </w:rPr>
            </w:pPr>
            <w:r>
              <w:rPr>
                <w:kern w:val="0"/>
                <w:sz w:val="21"/>
              </w:rPr>
              <w:t>采油系统</w:t>
            </w:r>
          </w:p>
        </w:tc>
        <w:tc>
          <w:tcPr>
            <w:tcW w:w="1172" w:type="pct"/>
            <w:vMerge w:val="restart"/>
            <w:tcBorders>
              <w:tl2br w:val="nil"/>
              <w:tr2bl w:val="nil"/>
            </w:tcBorders>
            <w:vAlign w:val="center"/>
          </w:tcPr>
          <w:p w:rsidR="00F95F9B" w:rsidRDefault="00000000">
            <w:pPr>
              <w:pStyle w:val="af7"/>
              <w:adjustRightInd w:val="0"/>
              <w:snapToGrid w:val="0"/>
              <w:spacing w:line="240" w:lineRule="auto"/>
              <w:ind w:firstLineChars="0" w:firstLine="0"/>
              <w:jc w:val="center"/>
              <w:rPr>
                <w:spacing w:val="20"/>
                <w:sz w:val="21"/>
              </w:rPr>
            </w:pPr>
            <w:r>
              <w:rPr>
                <w:spacing w:val="20"/>
                <w:sz w:val="21"/>
              </w:rPr>
              <w:t>安全检查表</w:t>
            </w:r>
          </w:p>
        </w:tc>
      </w:tr>
      <w:tr w:rsidR="00F95F9B">
        <w:trPr>
          <w:trHeight w:val="397"/>
          <w:jc w:val="center"/>
        </w:trPr>
        <w:tc>
          <w:tcPr>
            <w:tcW w:w="406" w:type="pct"/>
            <w:vMerge/>
            <w:tcBorders>
              <w:tl2br w:val="nil"/>
              <w:tr2bl w:val="nil"/>
            </w:tcBorders>
            <w:shd w:val="clear" w:color="auto" w:fill="auto"/>
            <w:vAlign w:val="center"/>
          </w:tcPr>
          <w:p w:rsidR="00F95F9B" w:rsidRDefault="00F95F9B">
            <w:pPr>
              <w:adjustRightInd w:val="0"/>
              <w:snapToGrid w:val="0"/>
              <w:spacing w:line="240" w:lineRule="auto"/>
              <w:ind w:firstLineChars="0" w:firstLine="0"/>
              <w:jc w:val="center"/>
              <w:rPr>
                <w:spacing w:val="20"/>
                <w:sz w:val="21"/>
              </w:rPr>
            </w:pPr>
          </w:p>
        </w:tc>
        <w:tc>
          <w:tcPr>
            <w:tcW w:w="997" w:type="pct"/>
            <w:vMerge/>
            <w:tcBorders>
              <w:tl2br w:val="nil"/>
              <w:tr2bl w:val="nil"/>
            </w:tcBorders>
            <w:shd w:val="clear" w:color="auto" w:fill="auto"/>
            <w:vAlign w:val="center"/>
          </w:tcPr>
          <w:p w:rsidR="00F95F9B" w:rsidRDefault="00F95F9B">
            <w:pPr>
              <w:adjustRightInd w:val="0"/>
              <w:snapToGrid w:val="0"/>
              <w:spacing w:line="240" w:lineRule="auto"/>
              <w:ind w:firstLineChars="0" w:firstLine="0"/>
              <w:jc w:val="center"/>
              <w:rPr>
                <w:kern w:val="0"/>
                <w:sz w:val="21"/>
              </w:rPr>
            </w:pPr>
          </w:p>
        </w:tc>
        <w:tc>
          <w:tcPr>
            <w:tcW w:w="1450" w:type="pct"/>
            <w:vMerge/>
            <w:tcBorders>
              <w:tl2br w:val="nil"/>
              <w:tr2bl w:val="nil"/>
            </w:tcBorders>
            <w:vAlign w:val="center"/>
          </w:tcPr>
          <w:p w:rsidR="00F95F9B" w:rsidRDefault="00F95F9B">
            <w:pPr>
              <w:adjustRightInd w:val="0"/>
              <w:snapToGrid w:val="0"/>
              <w:spacing w:line="240" w:lineRule="auto"/>
              <w:ind w:firstLineChars="0" w:firstLine="0"/>
              <w:jc w:val="center"/>
              <w:rPr>
                <w:kern w:val="0"/>
                <w:sz w:val="21"/>
              </w:rPr>
            </w:pPr>
          </w:p>
        </w:tc>
        <w:tc>
          <w:tcPr>
            <w:tcW w:w="974" w:type="pct"/>
            <w:tcBorders>
              <w:tl2br w:val="nil"/>
              <w:tr2bl w:val="nil"/>
            </w:tcBorders>
            <w:vAlign w:val="center"/>
          </w:tcPr>
          <w:p w:rsidR="00F95F9B" w:rsidRDefault="00000000">
            <w:pPr>
              <w:adjustRightInd w:val="0"/>
              <w:snapToGrid w:val="0"/>
              <w:spacing w:line="240" w:lineRule="auto"/>
              <w:ind w:firstLineChars="0" w:firstLine="0"/>
              <w:jc w:val="center"/>
              <w:rPr>
                <w:kern w:val="0"/>
                <w:sz w:val="21"/>
              </w:rPr>
            </w:pPr>
            <w:r>
              <w:rPr>
                <w:rFonts w:hint="eastAsia"/>
                <w:kern w:val="0"/>
                <w:sz w:val="21"/>
              </w:rPr>
              <w:t>采气系统</w:t>
            </w:r>
          </w:p>
        </w:tc>
        <w:tc>
          <w:tcPr>
            <w:tcW w:w="1172" w:type="pct"/>
            <w:vMerge/>
            <w:tcBorders>
              <w:tl2br w:val="nil"/>
              <w:tr2bl w:val="nil"/>
            </w:tcBorders>
            <w:vAlign w:val="center"/>
          </w:tcPr>
          <w:p w:rsidR="00F95F9B" w:rsidRDefault="00F95F9B">
            <w:pPr>
              <w:pStyle w:val="af7"/>
              <w:adjustRightInd w:val="0"/>
              <w:snapToGrid w:val="0"/>
              <w:spacing w:line="240" w:lineRule="auto"/>
              <w:ind w:firstLineChars="0" w:firstLine="0"/>
              <w:jc w:val="center"/>
              <w:rPr>
                <w:spacing w:val="20"/>
                <w:sz w:val="21"/>
              </w:rPr>
            </w:pPr>
          </w:p>
        </w:tc>
      </w:tr>
      <w:tr w:rsidR="00F95F9B">
        <w:trPr>
          <w:trHeight w:val="397"/>
          <w:jc w:val="center"/>
        </w:trPr>
        <w:tc>
          <w:tcPr>
            <w:tcW w:w="406" w:type="pct"/>
            <w:vMerge/>
            <w:tcBorders>
              <w:tl2br w:val="nil"/>
              <w:tr2bl w:val="nil"/>
            </w:tcBorders>
            <w:shd w:val="clear" w:color="auto" w:fill="auto"/>
            <w:vAlign w:val="center"/>
          </w:tcPr>
          <w:p w:rsidR="00F95F9B" w:rsidRDefault="00F95F9B">
            <w:pPr>
              <w:adjustRightInd w:val="0"/>
              <w:snapToGrid w:val="0"/>
              <w:spacing w:line="240" w:lineRule="auto"/>
              <w:ind w:firstLineChars="0" w:firstLine="0"/>
              <w:jc w:val="center"/>
              <w:rPr>
                <w:spacing w:val="20"/>
                <w:sz w:val="21"/>
              </w:rPr>
            </w:pPr>
          </w:p>
        </w:tc>
        <w:tc>
          <w:tcPr>
            <w:tcW w:w="997" w:type="pct"/>
            <w:vMerge/>
            <w:tcBorders>
              <w:tl2br w:val="nil"/>
              <w:tr2bl w:val="nil"/>
            </w:tcBorders>
            <w:shd w:val="clear" w:color="auto" w:fill="auto"/>
            <w:vAlign w:val="center"/>
          </w:tcPr>
          <w:p w:rsidR="00F95F9B" w:rsidRDefault="00F95F9B">
            <w:pPr>
              <w:adjustRightInd w:val="0"/>
              <w:snapToGrid w:val="0"/>
              <w:spacing w:line="240" w:lineRule="auto"/>
              <w:ind w:firstLineChars="0" w:firstLine="0"/>
              <w:jc w:val="center"/>
              <w:rPr>
                <w:kern w:val="0"/>
                <w:sz w:val="21"/>
              </w:rPr>
            </w:pPr>
          </w:p>
        </w:tc>
        <w:tc>
          <w:tcPr>
            <w:tcW w:w="1450" w:type="pct"/>
            <w:vMerge/>
            <w:tcBorders>
              <w:tl2br w:val="nil"/>
              <w:tr2bl w:val="nil"/>
            </w:tcBorders>
            <w:vAlign w:val="center"/>
          </w:tcPr>
          <w:p w:rsidR="00F95F9B" w:rsidRDefault="00F95F9B">
            <w:pPr>
              <w:adjustRightInd w:val="0"/>
              <w:snapToGrid w:val="0"/>
              <w:spacing w:line="240" w:lineRule="auto"/>
              <w:ind w:firstLineChars="0" w:firstLine="0"/>
              <w:jc w:val="center"/>
              <w:rPr>
                <w:kern w:val="0"/>
                <w:sz w:val="21"/>
              </w:rPr>
            </w:pPr>
          </w:p>
        </w:tc>
        <w:tc>
          <w:tcPr>
            <w:tcW w:w="974" w:type="pct"/>
            <w:tcBorders>
              <w:tl2br w:val="nil"/>
              <w:tr2bl w:val="nil"/>
            </w:tcBorders>
            <w:vAlign w:val="center"/>
          </w:tcPr>
          <w:p w:rsidR="00F95F9B" w:rsidRDefault="00000000">
            <w:pPr>
              <w:adjustRightInd w:val="0"/>
              <w:snapToGrid w:val="0"/>
              <w:spacing w:line="240" w:lineRule="auto"/>
              <w:ind w:firstLineChars="0" w:firstLine="0"/>
              <w:jc w:val="center"/>
              <w:rPr>
                <w:spacing w:val="20"/>
                <w:sz w:val="21"/>
              </w:rPr>
            </w:pPr>
            <w:r>
              <w:rPr>
                <w:kern w:val="0"/>
                <w:sz w:val="21"/>
              </w:rPr>
              <w:t>注入系统</w:t>
            </w:r>
          </w:p>
        </w:tc>
        <w:tc>
          <w:tcPr>
            <w:tcW w:w="1172" w:type="pct"/>
            <w:vMerge/>
            <w:tcBorders>
              <w:tl2br w:val="nil"/>
              <w:tr2bl w:val="nil"/>
            </w:tcBorders>
            <w:vAlign w:val="center"/>
          </w:tcPr>
          <w:p w:rsidR="00F95F9B" w:rsidRDefault="00F95F9B">
            <w:pPr>
              <w:adjustRightInd w:val="0"/>
              <w:snapToGrid w:val="0"/>
              <w:spacing w:line="240" w:lineRule="auto"/>
              <w:ind w:firstLineChars="0" w:firstLine="0"/>
              <w:jc w:val="center"/>
              <w:rPr>
                <w:spacing w:val="20"/>
                <w:sz w:val="21"/>
              </w:rPr>
            </w:pPr>
          </w:p>
        </w:tc>
      </w:tr>
      <w:tr w:rsidR="00F95F9B">
        <w:trPr>
          <w:trHeight w:val="397"/>
          <w:jc w:val="center"/>
        </w:trPr>
        <w:tc>
          <w:tcPr>
            <w:tcW w:w="406" w:type="pct"/>
            <w:vMerge/>
            <w:tcBorders>
              <w:tl2br w:val="nil"/>
              <w:tr2bl w:val="nil"/>
            </w:tcBorders>
            <w:shd w:val="clear" w:color="auto" w:fill="auto"/>
            <w:vAlign w:val="center"/>
          </w:tcPr>
          <w:p w:rsidR="00F95F9B" w:rsidRDefault="00F95F9B">
            <w:pPr>
              <w:adjustRightInd w:val="0"/>
              <w:snapToGrid w:val="0"/>
              <w:spacing w:line="240" w:lineRule="auto"/>
              <w:ind w:firstLineChars="0" w:firstLine="0"/>
              <w:jc w:val="center"/>
              <w:rPr>
                <w:spacing w:val="20"/>
                <w:sz w:val="21"/>
              </w:rPr>
            </w:pPr>
          </w:p>
        </w:tc>
        <w:tc>
          <w:tcPr>
            <w:tcW w:w="997" w:type="pct"/>
            <w:vMerge/>
            <w:tcBorders>
              <w:tl2br w:val="nil"/>
              <w:tr2bl w:val="nil"/>
            </w:tcBorders>
            <w:shd w:val="clear" w:color="auto" w:fill="auto"/>
            <w:vAlign w:val="center"/>
          </w:tcPr>
          <w:p w:rsidR="00F95F9B" w:rsidRDefault="00F95F9B">
            <w:pPr>
              <w:adjustRightInd w:val="0"/>
              <w:snapToGrid w:val="0"/>
              <w:spacing w:line="240" w:lineRule="auto"/>
              <w:ind w:firstLineChars="0" w:firstLine="0"/>
              <w:jc w:val="center"/>
              <w:rPr>
                <w:spacing w:val="20"/>
                <w:sz w:val="21"/>
              </w:rPr>
            </w:pPr>
          </w:p>
        </w:tc>
        <w:tc>
          <w:tcPr>
            <w:tcW w:w="1450" w:type="pct"/>
            <w:vMerge/>
            <w:tcBorders>
              <w:tl2br w:val="nil"/>
              <w:tr2bl w:val="nil"/>
            </w:tcBorders>
            <w:vAlign w:val="center"/>
          </w:tcPr>
          <w:p w:rsidR="00F95F9B" w:rsidRDefault="00F95F9B">
            <w:pPr>
              <w:adjustRightInd w:val="0"/>
              <w:snapToGrid w:val="0"/>
              <w:spacing w:line="240" w:lineRule="auto"/>
              <w:ind w:firstLineChars="0" w:firstLine="0"/>
              <w:jc w:val="center"/>
              <w:rPr>
                <w:spacing w:val="20"/>
                <w:sz w:val="21"/>
              </w:rPr>
            </w:pPr>
          </w:p>
        </w:tc>
        <w:tc>
          <w:tcPr>
            <w:tcW w:w="974" w:type="pct"/>
            <w:tcBorders>
              <w:tl2br w:val="nil"/>
              <w:tr2bl w:val="nil"/>
            </w:tcBorders>
            <w:vAlign w:val="center"/>
          </w:tcPr>
          <w:p w:rsidR="00F95F9B" w:rsidRDefault="00000000">
            <w:pPr>
              <w:adjustRightInd w:val="0"/>
              <w:snapToGrid w:val="0"/>
              <w:spacing w:line="240" w:lineRule="auto"/>
              <w:ind w:firstLineChars="0" w:firstLine="0"/>
              <w:jc w:val="center"/>
              <w:rPr>
                <w:spacing w:val="20"/>
                <w:sz w:val="21"/>
              </w:rPr>
            </w:pPr>
            <w:r>
              <w:rPr>
                <w:kern w:val="0"/>
                <w:sz w:val="21"/>
              </w:rPr>
              <w:t>油气集输系统</w:t>
            </w:r>
          </w:p>
        </w:tc>
        <w:tc>
          <w:tcPr>
            <w:tcW w:w="1172" w:type="pct"/>
            <w:tcBorders>
              <w:tl2br w:val="nil"/>
              <w:tr2bl w:val="nil"/>
            </w:tcBorders>
            <w:vAlign w:val="center"/>
          </w:tcPr>
          <w:p w:rsidR="00F95F9B" w:rsidRDefault="00000000">
            <w:pPr>
              <w:adjustRightInd w:val="0"/>
              <w:snapToGrid w:val="0"/>
              <w:spacing w:line="240" w:lineRule="auto"/>
              <w:ind w:firstLineChars="0" w:firstLine="0"/>
              <w:jc w:val="center"/>
              <w:rPr>
                <w:spacing w:val="20"/>
                <w:sz w:val="21"/>
              </w:rPr>
            </w:pPr>
            <w:r>
              <w:rPr>
                <w:spacing w:val="20"/>
                <w:sz w:val="21"/>
              </w:rPr>
              <w:t>安全检查表</w:t>
            </w:r>
            <w:r>
              <w:rPr>
                <w:rFonts w:hint="eastAsia"/>
                <w:spacing w:val="20"/>
                <w:sz w:val="21"/>
              </w:rPr>
              <w:t>、</w:t>
            </w:r>
            <w:r>
              <w:rPr>
                <w:rFonts w:hint="eastAsia"/>
                <w:sz w:val="21"/>
              </w:rPr>
              <w:t>事故后果模拟评价</w:t>
            </w:r>
          </w:p>
        </w:tc>
      </w:tr>
      <w:tr w:rsidR="00F95F9B">
        <w:trPr>
          <w:trHeight w:val="397"/>
          <w:jc w:val="center"/>
        </w:trPr>
        <w:tc>
          <w:tcPr>
            <w:tcW w:w="406" w:type="pct"/>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rPr>
                <w:spacing w:val="20"/>
                <w:sz w:val="21"/>
              </w:rPr>
            </w:pPr>
            <w:r>
              <w:rPr>
                <w:spacing w:val="20"/>
                <w:sz w:val="21"/>
              </w:rPr>
              <w:t>2</w:t>
            </w:r>
          </w:p>
        </w:tc>
        <w:tc>
          <w:tcPr>
            <w:tcW w:w="997" w:type="pct"/>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rPr>
                <w:spacing w:val="20"/>
                <w:sz w:val="21"/>
              </w:rPr>
            </w:pPr>
            <w:r>
              <w:rPr>
                <w:kern w:val="0"/>
                <w:sz w:val="21"/>
              </w:rPr>
              <w:t>安全管理单元</w:t>
            </w:r>
          </w:p>
        </w:tc>
        <w:tc>
          <w:tcPr>
            <w:tcW w:w="2424" w:type="pct"/>
            <w:gridSpan w:val="2"/>
            <w:tcBorders>
              <w:tl2br w:val="nil"/>
              <w:tr2bl w:val="nil"/>
            </w:tcBorders>
            <w:vAlign w:val="center"/>
          </w:tcPr>
          <w:p w:rsidR="00F95F9B" w:rsidRDefault="00000000">
            <w:pPr>
              <w:adjustRightInd w:val="0"/>
              <w:snapToGrid w:val="0"/>
              <w:spacing w:line="240" w:lineRule="auto"/>
              <w:ind w:firstLineChars="0" w:firstLine="0"/>
              <w:jc w:val="center"/>
              <w:rPr>
                <w:spacing w:val="20"/>
                <w:sz w:val="21"/>
              </w:rPr>
            </w:pPr>
            <w:r>
              <w:rPr>
                <w:kern w:val="0"/>
                <w:sz w:val="21"/>
              </w:rPr>
              <w:t>包括</w:t>
            </w:r>
            <w:r>
              <w:rPr>
                <w:rFonts w:hint="eastAsia"/>
                <w:kern w:val="0"/>
                <w:sz w:val="21"/>
              </w:rPr>
              <w:t>鲁明公司</w:t>
            </w:r>
            <w:r>
              <w:rPr>
                <w:kern w:val="0"/>
                <w:sz w:val="21"/>
              </w:rPr>
              <w:t>及基层单位安全管理现状</w:t>
            </w:r>
          </w:p>
        </w:tc>
        <w:tc>
          <w:tcPr>
            <w:tcW w:w="1172" w:type="pct"/>
            <w:tcBorders>
              <w:tl2br w:val="nil"/>
              <w:tr2bl w:val="nil"/>
            </w:tcBorders>
            <w:vAlign w:val="center"/>
          </w:tcPr>
          <w:p w:rsidR="00F95F9B" w:rsidRDefault="00000000">
            <w:pPr>
              <w:adjustRightInd w:val="0"/>
              <w:snapToGrid w:val="0"/>
              <w:spacing w:line="240" w:lineRule="auto"/>
              <w:ind w:firstLineChars="0" w:firstLine="0"/>
              <w:jc w:val="center"/>
              <w:rPr>
                <w:spacing w:val="20"/>
                <w:sz w:val="21"/>
              </w:rPr>
            </w:pPr>
            <w:r>
              <w:rPr>
                <w:spacing w:val="20"/>
                <w:sz w:val="21"/>
              </w:rPr>
              <w:t>安全检查表</w:t>
            </w:r>
          </w:p>
        </w:tc>
      </w:tr>
    </w:tbl>
    <w:p w:rsidR="00F95F9B" w:rsidRDefault="00000000">
      <w:pPr>
        <w:pStyle w:val="2"/>
        <w:keepNext w:val="0"/>
        <w:keepLines w:val="0"/>
        <w:spacing w:before="170" w:after="170"/>
      </w:pPr>
      <w:bookmarkStart w:id="76" w:name="_Toc11232"/>
      <w:r>
        <w:rPr>
          <w:rFonts w:hint="eastAsia"/>
        </w:rPr>
        <w:t>评价方法选择</w:t>
      </w:r>
      <w:bookmarkEnd w:id="76"/>
    </w:p>
    <w:p w:rsidR="00F95F9B" w:rsidRDefault="00000000">
      <w:pPr>
        <w:adjustRightInd w:val="0"/>
        <w:snapToGrid w:val="0"/>
        <w:ind w:firstLine="470"/>
        <w:rPr>
          <w:kern w:val="0"/>
          <w:szCs w:val="24"/>
          <w:lang w:val="zh-CN"/>
        </w:rPr>
      </w:pPr>
      <w:r>
        <w:rPr>
          <w:kern w:val="0"/>
          <w:szCs w:val="24"/>
          <w:lang w:val="zh-CN"/>
        </w:rPr>
        <w:t>安全评价方法是分析和预测项目可能存在的危险、危害因素的工具。按照安全评价结果的量化程度，可分为定性评价方法和定量评价方法。</w:t>
      </w:r>
    </w:p>
    <w:p w:rsidR="00F95F9B" w:rsidRDefault="00000000">
      <w:pPr>
        <w:widowControl w:val="0"/>
        <w:tabs>
          <w:tab w:val="left" w:pos="3113"/>
        </w:tabs>
        <w:adjustRightInd w:val="0"/>
        <w:snapToGrid w:val="0"/>
        <w:ind w:firstLine="470"/>
        <w:jc w:val="left"/>
        <w:rPr>
          <w:kern w:val="0"/>
          <w:szCs w:val="24"/>
          <w:lang w:val="zh-CN"/>
        </w:rPr>
      </w:pPr>
      <w:r>
        <w:rPr>
          <w:kern w:val="0"/>
          <w:szCs w:val="24"/>
          <w:lang w:val="zh-CN"/>
        </w:rPr>
        <w:t>定性安全评价方法主要是根据经验和直观判断能力对生产系统的工艺、设备、设施、环境、人员和管理等方面的状况进行定性的分析。定量评价是采用数学的方法，收集和处理数据资料，对评价对象做出定量结果的价值判断</w:t>
      </w:r>
      <w:r>
        <w:rPr>
          <w:rFonts w:hint="eastAsia"/>
          <w:kern w:val="0"/>
          <w:szCs w:val="24"/>
          <w:lang w:val="zh-CN"/>
        </w:rPr>
        <w:t>。</w:t>
      </w:r>
      <w:r>
        <w:rPr>
          <w:kern w:val="0"/>
          <w:szCs w:val="24"/>
          <w:lang w:val="zh-CN"/>
        </w:rPr>
        <w:t>安全检查表、</w:t>
      </w:r>
      <w:r>
        <w:rPr>
          <w:rFonts w:hint="eastAsia"/>
          <w:kern w:val="0"/>
          <w:szCs w:val="24"/>
          <w:lang w:val="zh-CN"/>
        </w:rPr>
        <w:t>事故后果模拟评价</w:t>
      </w:r>
      <w:r>
        <w:rPr>
          <w:kern w:val="0"/>
          <w:szCs w:val="24"/>
          <w:lang w:val="zh-CN"/>
        </w:rPr>
        <w:t>都是常用的定性</w:t>
      </w:r>
      <w:r>
        <w:rPr>
          <w:rFonts w:hint="eastAsia"/>
          <w:kern w:val="0"/>
          <w:szCs w:val="24"/>
          <w:lang w:val="zh-CN"/>
        </w:rPr>
        <w:t>、定量</w:t>
      </w:r>
      <w:r>
        <w:rPr>
          <w:kern w:val="0"/>
          <w:szCs w:val="24"/>
          <w:lang w:val="zh-CN"/>
        </w:rPr>
        <w:t>安全评价方法。</w:t>
      </w:r>
    </w:p>
    <w:p w:rsidR="00F95F9B" w:rsidRDefault="00000000">
      <w:pPr>
        <w:pStyle w:val="3"/>
        <w:keepNext w:val="0"/>
        <w:keepLines w:val="0"/>
        <w:widowControl w:val="0"/>
        <w:adjustRightInd w:val="0"/>
        <w:snapToGrid w:val="0"/>
        <w:ind w:left="0"/>
      </w:pPr>
      <w:r>
        <w:rPr>
          <w:rFonts w:hint="eastAsia"/>
        </w:rPr>
        <w:t>安全检查表法</w:t>
      </w:r>
    </w:p>
    <w:p w:rsidR="00F95F9B" w:rsidRDefault="00000000">
      <w:pPr>
        <w:widowControl w:val="0"/>
        <w:adjustRightInd w:val="0"/>
        <w:snapToGrid w:val="0"/>
        <w:ind w:firstLine="470"/>
      </w:pPr>
      <w:r>
        <w:t>安全检查表是系统安全工程的一种最基础、最简便且广泛应用的系统危险性评价方法。安全检查表是由一些对工艺过程、机械设备和作业情况熟悉并富有安全技术、安全管理经</w:t>
      </w:r>
      <w:r>
        <w:lastRenderedPageBreak/>
        <w:t>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rsidR="00F95F9B" w:rsidRDefault="00000000">
      <w:pPr>
        <w:widowControl w:val="0"/>
        <w:adjustRightInd w:val="0"/>
        <w:snapToGrid w:val="0"/>
        <w:ind w:firstLine="470"/>
      </w:pPr>
      <w:r>
        <w:t>安全检查表以下列格式列出，对于符合要求的检查内容，在检查结果栏中标以</w:t>
      </w:r>
      <w:r>
        <w:t>“√”</w:t>
      </w:r>
      <w:r>
        <w:t>，对于不符合要求的检查项目在检查结果栏中标以</w:t>
      </w:r>
      <w:r>
        <w:t>“×”</w:t>
      </w:r>
      <w:r>
        <w:t>。见下表</w:t>
      </w:r>
      <w:r>
        <w:t>4</w:t>
      </w:r>
      <w:r>
        <w:rPr>
          <w:rFonts w:hint="eastAsia"/>
        </w:rPr>
        <w:t>.2</w:t>
      </w:r>
      <w:r>
        <w:t>-</w:t>
      </w:r>
      <w:r>
        <w:rPr>
          <w:rFonts w:hint="eastAsia"/>
        </w:rPr>
        <w:t>1</w:t>
      </w:r>
      <w:r>
        <w:t>。</w:t>
      </w:r>
    </w:p>
    <w:p w:rsidR="00F95F9B" w:rsidRDefault="00000000">
      <w:pPr>
        <w:widowControl w:val="0"/>
        <w:adjustRightInd w:val="0"/>
        <w:snapToGrid w:val="0"/>
        <w:spacing w:line="240" w:lineRule="auto"/>
        <w:ind w:firstLineChars="0" w:firstLine="0"/>
        <w:jc w:val="center"/>
        <w:rPr>
          <w:rFonts w:eastAsia="黑体"/>
          <w:kern w:val="0"/>
          <w:sz w:val="21"/>
        </w:rPr>
      </w:pPr>
      <w:r>
        <w:rPr>
          <w:rFonts w:eastAsia="黑体"/>
          <w:kern w:val="0"/>
          <w:sz w:val="21"/>
        </w:rPr>
        <w:t>表</w:t>
      </w:r>
      <w:r>
        <w:rPr>
          <w:rFonts w:eastAsia="黑体"/>
          <w:kern w:val="0"/>
          <w:sz w:val="21"/>
        </w:rPr>
        <w:t>4</w:t>
      </w:r>
      <w:r>
        <w:rPr>
          <w:rFonts w:eastAsia="黑体" w:hint="eastAsia"/>
          <w:kern w:val="0"/>
          <w:sz w:val="21"/>
        </w:rPr>
        <w:t>.2</w:t>
      </w:r>
      <w:r>
        <w:rPr>
          <w:rFonts w:eastAsia="黑体"/>
          <w:kern w:val="0"/>
          <w:sz w:val="21"/>
        </w:rPr>
        <w:t>-</w:t>
      </w:r>
      <w:r>
        <w:rPr>
          <w:rFonts w:eastAsia="黑体" w:hint="eastAsia"/>
          <w:kern w:val="0"/>
          <w:sz w:val="21"/>
        </w:rPr>
        <w:t xml:space="preserve">1 </w:t>
      </w:r>
      <w:r>
        <w:rPr>
          <w:rFonts w:eastAsia="黑体"/>
          <w:kern w:val="0"/>
          <w:sz w:val="21"/>
        </w:rPr>
        <w:t xml:space="preserve"> </w:t>
      </w:r>
      <w:r>
        <w:rPr>
          <w:rFonts w:eastAsia="黑体"/>
          <w:kern w:val="0"/>
          <w:sz w:val="21"/>
        </w:rPr>
        <w:t>安全检查表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14"/>
        <w:gridCol w:w="1852"/>
        <w:gridCol w:w="1852"/>
        <w:gridCol w:w="1852"/>
        <w:gridCol w:w="1852"/>
      </w:tblGrid>
      <w:tr w:rsidR="00F95F9B">
        <w:trPr>
          <w:cantSplit/>
          <w:trHeight w:val="397"/>
          <w:jc w:val="center"/>
        </w:trPr>
        <w:tc>
          <w:tcPr>
            <w:tcW w:w="1114" w:type="dxa"/>
            <w:vAlign w:val="center"/>
          </w:tcPr>
          <w:p w:rsidR="00F95F9B" w:rsidRDefault="00000000">
            <w:pPr>
              <w:widowControl w:val="0"/>
              <w:ind w:firstLineChars="0" w:firstLine="0"/>
              <w:jc w:val="center"/>
              <w:rPr>
                <w:b/>
                <w:bCs/>
                <w:sz w:val="21"/>
              </w:rPr>
            </w:pPr>
            <w:r>
              <w:rPr>
                <w:b/>
                <w:bCs/>
                <w:sz w:val="21"/>
              </w:rPr>
              <w:t>序号</w:t>
            </w:r>
          </w:p>
        </w:tc>
        <w:tc>
          <w:tcPr>
            <w:tcW w:w="1852" w:type="dxa"/>
            <w:vAlign w:val="center"/>
          </w:tcPr>
          <w:p w:rsidR="00F95F9B" w:rsidRDefault="00000000">
            <w:pPr>
              <w:widowControl w:val="0"/>
              <w:ind w:firstLineChars="0" w:firstLine="0"/>
              <w:jc w:val="center"/>
              <w:rPr>
                <w:b/>
                <w:bCs/>
                <w:sz w:val="21"/>
              </w:rPr>
            </w:pPr>
            <w:r>
              <w:rPr>
                <w:b/>
                <w:bCs/>
                <w:sz w:val="21"/>
              </w:rPr>
              <w:t>检查项目</w:t>
            </w:r>
          </w:p>
        </w:tc>
        <w:tc>
          <w:tcPr>
            <w:tcW w:w="1852" w:type="dxa"/>
            <w:vAlign w:val="center"/>
          </w:tcPr>
          <w:p w:rsidR="00F95F9B" w:rsidRDefault="00000000">
            <w:pPr>
              <w:widowControl w:val="0"/>
              <w:ind w:firstLineChars="0" w:firstLine="0"/>
              <w:jc w:val="center"/>
              <w:rPr>
                <w:b/>
                <w:bCs/>
                <w:sz w:val="21"/>
              </w:rPr>
            </w:pPr>
            <w:r>
              <w:rPr>
                <w:b/>
                <w:bCs/>
                <w:sz w:val="21"/>
              </w:rPr>
              <w:t>检查依据</w:t>
            </w:r>
          </w:p>
        </w:tc>
        <w:tc>
          <w:tcPr>
            <w:tcW w:w="1852" w:type="dxa"/>
            <w:vAlign w:val="center"/>
          </w:tcPr>
          <w:p w:rsidR="00F95F9B" w:rsidRDefault="00000000">
            <w:pPr>
              <w:widowControl w:val="0"/>
              <w:ind w:firstLineChars="0" w:firstLine="0"/>
              <w:jc w:val="center"/>
              <w:rPr>
                <w:b/>
                <w:bCs/>
                <w:sz w:val="21"/>
              </w:rPr>
            </w:pPr>
            <w:r>
              <w:rPr>
                <w:b/>
                <w:bCs/>
                <w:sz w:val="21"/>
              </w:rPr>
              <w:t>检查结果</w:t>
            </w:r>
          </w:p>
        </w:tc>
        <w:tc>
          <w:tcPr>
            <w:tcW w:w="1852" w:type="dxa"/>
            <w:vAlign w:val="center"/>
          </w:tcPr>
          <w:p w:rsidR="00F95F9B" w:rsidRDefault="00000000">
            <w:pPr>
              <w:widowControl w:val="0"/>
              <w:ind w:firstLineChars="0" w:firstLine="0"/>
              <w:jc w:val="center"/>
              <w:rPr>
                <w:b/>
                <w:bCs/>
                <w:sz w:val="21"/>
              </w:rPr>
            </w:pPr>
            <w:r>
              <w:rPr>
                <w:b/>
                <w:bCs/>
                <w:sz w:val="21"/>
              </w:rPr>
              <w:t>实际情况</w:t>
            </w:r>
          </w:p>
        </w:tc>
      </w:tr>
      <w:tr w:rsidR="00F95F9B">
        <w:trPr>
          <w:cantSplit/>
          <w:trHeight w:val="397"/>
          <w:jc w:val="center"/>
        </w:trPr>
        <w:tc>
          <w:tcPr>
            <w:tcW w:w="1114" w:type="dxa"/>
            <w:vAlign w:val="center"/>
          </w:tcPr>
          <w:p w:rsidR="00F95F9B" w:rsidRDefault="00F95F9B">
            <w:pPr>
              <w:widowControl w:val="0"/>
              <w:ind w:firstLineChars="0" w:firstLine="0"/>
              <w:rPr>
                <w:sz w:val="21"/>
              </w:rPr>
            </w:pPr>
          </w:p>
        </w:tc>
        <w:tc>
          <w:tcPr>
            <w:tcW w:w="1852" w:type="dxa"/>
            <w:vAlign w:val="center"/>
          </w:tcPr>
          <w:p w:rsidR="00F95F9B" w:rsidRDefault="00F95F9B">
            <w:pPr>
              <w:widowControl w:val="0"/>
              <w:ind w:firstLineChars="0" w:firstLine="0"/>
              <w:rPr>
                <w:sz w:val="21"/>
              </w:rPr>
            </w:pPr>
          </w:p>
        </w:tc>
        <w:tc>
          <w:tcPr>
            <w:tcW w:w="1852" w:type="dxa"/>
            <w:vAlign w:val="center"/>
          </w:tcPr>
          <w:p w:rsidR="00F95F9B" w:rsidRDefault="00F95F9B">
            <w:pPr>
              <w:widowControl w:val="0"/>
              <w:ind w:firstLineChars="0" w:firstLine="0"/>
              <w:rPr>
                <w:sz w:val="21"/>
              </w:rPr>
            </w:pPr>
          </w:p>
        </w:tc>
        <w:tc>
          <w:tcPr>
            <w:tcW w:w="1852" w:type="dxa"/>
            <w:vAlign w:val="center"/>
          </w:tcPr>
          <w:p w:rsidR="00F95F9B" w:rsidRDefault="00F95F9B">
            <w:pPr>
              <w:widowControl w:val="0"/>
              <w:ind w:firstLineChars="0" w:firstLine="0"/>
              <w:rPr>
                <w:sz w:val="21"/>
              </w:rPr>
            </w:pPr>
          </w:p>
        </w:tc>
        <w:tc>
          <w:tcPr>
            <w:tcW w:w="1852" w:type="dxa"/>
            <w:vAlign w:val="center"/>
          </w:tcPr>
          <w:p w:rsidR="00F95F9B" w:rsidRDefault="00F95F9B">
            <w:pPr>
              <w:widowControl w:val="0"/>
              <w:ind w:firstLineChars="0" w:firstLine="0"/>
              <w:rPr>
                <w:sz w:val="21"/>
              </w:rPr>
            </w:pPr>
          </w:p>
        </w:tc>
      </w:tr>
    </w:tbl>
    <w:p w:rsidR="00F95F9B" w:rsidRDefault="00000000">
      <w:pPr>
        <w:widowControl w:val="0"/>
        <w:adjustRightInd w:val="0"/>
        <w:snapToGrid w:val="0"/>
        <w:spacing w:beforeLines="50" w:before="170"/>
        <w:ind w:firstLine="470"/>
      </w:pPr>
      <w:r>
        <w:t>安全检查表的具体操作程序如下：</w:t>
      </w:r>
    </w:p>
    <w:p w:rsidR="00F95F9B" w:rsidRDefault="00000000">
      <w:pPr>
        <w:widowControl w:val="0"/>
        <w:adjustRightInd w:val="0"/>
        <w:snapToGrid w:val="0"/>
        <w:ind w:firstLine="470"/>
      </w:pPr>
      <w:r>
        <w:t>1</w:t>
      </w:r>
      <w:r>
        <w:rPr>
          <w:rFonts w:hint="eastAsia"/>
        </w:rPr>
        <w:t>）</w:t>
      </w:r>
      <w:r>
        <w:t>熟悉系统</w:t>
      </w:r>
    </w:p>
    <w:p w:rsidR="00F95F9B" w:rsidRDefault="00000000">
      <w:pPr>
        <w:widowControl w:val="0"/>
        <w:adjustRightInd w:val="0"/>
        <w:snapToGrid w:val="0"/>
        <w:ind w:firstLine="470"/>
      </w:pPr>
      <w:r>
        <w:t>包括系统结构、功能、工艺流程、主要设备、操作条件、平面布置、已有的安全卫生设施、安全管理现状等。</w:t>
      </w:r>
    </w:p>
    <w:p w:rsidR="00F95F9B" w:rsidRDefault="00000000">
      <w:pPr>
        <w:widowControl w:val="0"/>
        <w:adjustRightInd w:val="0"/>
        <w:snapToGrid w:val="0"/>
        <w:ind w:firstLine="470"/>
      </w:pPr>
      <w:r>
        <w:t>2</w:t>
      </w:r>
      <w:r>
        <w:rPr>
          <w:rFonts w:hint="eastAsia"/>
        </w:rPr>
        <w:t>）</w:t>
      </w:r>
      <w:r>
        <w:t>搜集资料</w:t>
      </w:r>
    </w:p>
    <w:p w:rsidR="00F95F9B" w:rsidRDefault="00000000">
      <w:pPr>
        <w:widowControl w:val="0"/>
        <w:adjustRightInd w:val="0"/>
        <w:snapToGrid w:val="0"/>
        <w:ind w:firstLine="470"/>
      </w:pPr>
      <w:r>
        <w:t>搜集有关的安全法规、标准、制度以及本系统过去发生过事故的资料，作为编制安全检查表的依据。</w:t>
      </w:r>
    </w:p>
    <w:p w:rsidR="00F95F9B" w:rsidRDefault="00000000">
      <w:pPr>
        <w:widowControl w:val="0"/>
        <w:adjustRightInd w:val="0"/>
        <w:snapToGrid w:val="0"/>
        <w:ind w:firstLine="470"/>
      </w:pPr>
      <w:r>
        <w:t>3</w:t>
      </w:r>
      <w:r>
        <w:rPr>
          <w:rFonts w:hint="eastAsia"/>
        </w:rPr>
        <w:t>）</w:t>
      </w:r>
      <w:r>
        <w:t>划分单元</w:t>
      </w:r>
    </w:p>
    <w:p w:rsidR="00F95F9B" w:rsidRDefault="00000000">
      <w:pPr>
        <w:widowControl w:val="0"/>
        <w:adjustRightInd w:val="0"/>
        <w:snapToGrid w:val="0"/>
        <w:ind w:firstLine="470"/>
      </w:pPr>
      <w:r>
        <w:t>按功能或结构将系统划分成子系统或单元。</w:t>
      </w:r>
    </w:p>
    <w:p w:rsidR="00F95F9B" w:rsidRDefault="00000000">
      <w:pPr>
        <w:widowControl w:val="0"/>
        <w:adjustRightInd w:val="0"/>
        <w:snapToGrid w:val="0"/>
        <w:ind w:firstLine="470"/>
      </w:pPr>
      <w:r>
        <w:t>4</w:t>
      </w:r>
      <w:r>
        <w:rPr>
          <w:rFonts w:hint="eastAsia"/>
        </w:rPr>
        <w:t>）</w:t>
      </w:r>
      <w:r>
        <w:t>编制安全检查表</w:t>
      </w:r>
    </w:p>
    <w:p w:rsidR="00F95F9B" w:rsidRDefault="00000000">
      <w:pPr>
        <w:widowControl w:val="0"/>
        <w:adjustRightInd w:val="0"/>
        <w:snapToGrid w:val="0"/>
        <w:ind w:firstLine="470"/>
      </w:pPr>
      <w:r>
        <w:t>针对危险因素，依据有关法规、标准规定，参考过去的事故教训和本单位的经验确定安全检查表的检查要点、内容和为达到安全指标应采取的措施，并按照一定的要求编制安全检查表。</w:t>
      </w:r>
    </w:p>
    <w:p w:rsidR="00F95F9B" w:rsidRDefault="00000000">
      <w:pPr>
        <w:widowControl w:val="0"/>
        <w:adjustRightInd w:val="0"/>
        <w:snapToGrid w:val="0"/>
        <w:ind w:firstLine="470"/>
      </w:pPr>
      <w:r>
        <w:t>5</w:t>
      </w:r>
      <w:r>
        <w:rPr>
          <w:rFonts w:hint="eastAsia"/>
        </w:rPr>
        <w:t>）</w:t>
      </w:r>
      <w:r>
        <w:t>实施检查</w:t>
      </w:r>
    </w:p>
    <w:p w:rsidR="00F95F9B" w:rsidRDefault="00000000">
      <w:pPr>
        <w:widowControl w:val="0"/>
        <w:adjustRightInd w:val="0"/>
        <w:snapToGrid w:val="0"/>
        <w:ind w:firstLine="470"/>
      </w:pPr>
      <w:r>
        <w:t>对照已编制完成的安全检查表，进行逐项检查，对检查项目的符合性作出判断。</w:t>
      </w:r>
    </w:p>
    <w:p w:rsidR="00F95F9B" w:rsidRDefault="00000000">
      <w:pPr>
        <w:widowControl w:val="0"/>
        <w:adjustRightInd w:val="0"/>
        <w:snapToGrid w:val="0"/>
        <w:ind w:firstLine="470"/>
      </w:pPr>
      <w:r>
        <w:t>6</w:t>
      </w:r>
      <w:r>
        <w:rPr>
          <w:rFonts w:hint="eastAsia"/>
        </w:rPr>
        <w:t>）</w:t>
      </w:r>
      <w:r>
        <w:t>评价结果汇总</w:t>
      </w:r>
    </w:p>
    <w:p w:rsidR="00F95F9B" w:rsidRDefault="00000000">
      <w:pPr>
        <w:widowControl w:val="0"/>
        <w:adjustRightInd w:val="0"/>
        <w:snapToGrid w:val="0"/>
        <w:ind w:firstLine="470"/>
      </w:pPr>
      <w:r>
        <w:t>将检查的结果汇总，并据此提出具体的安全对策措施及建议。</w:t>
      </w:r>
    </w:p>
    <w:p w:rsidR="00F95F9B" w:rsidRDefault="00000000">
      <w:pPr>
        <w:pStyle w:val="3"/>
        <w:keepNext w:val="0"/>
        <w:keepLines w:val="0"/>
        <w:widowControl w:val="0"/>
        <w:adjustRightInd w:val="0"/>
        <w:snapToGrid w:val="0"/>
        <w:ind w:left="0"/>
      </w:pPr>
      <w:r>
        <w:rPr>
          <w:rFonts w:hint="eastAsia"/>
        </w:rPr>
        <w:t>事故后果模拟</w:t>
      </w:r>
    </w:p>
    <w:p w:rsidR="00F95F9B" w:rsidRDefault="00000000">
      <w:pPr>
        <w:widowControl w:val="0"/>
        <w:adjustRightInd w:val="0"/>
        <w:snapToGrid w:val="0"/>
        <w:ind w:firstLine="470"/>
        <w:rPr>
          <w:kern w:val="0"/>
        </w:rPr>
      </w:pPr>
      <w:r>
        <w:rPr>
          <w:rFonts w:hint="eastAsia"/>
          <w:kern w:val="0"/>
        </w:rPr>
        <w:t>联合站、</w:t>
      </w:r>
      <w:r>
        <w:rPr>
          <w:kern w:val="0"/>
        </w:rPr>
        <w:t>集输站场是油田集输的枢纽，也是高风险存在和集中的场所。对</w:t>
      </w:r>
      <w:r>
        <w:rPr>
          <w:rFonts w:hint="eastAsia"/>
          <w:kern w:val="0"/>
        </w:rPr>
        <w:t>联合站、</w:t>
      </w:r>
      <w:r>
        <w:rPr>
          <w:kern w:val="0"/>
        </w:rPr>
        <w:t>集输站场发生的事故后果进行分析计算是很有必要的。</w:t>
      </w:r>
    </w:p>
    <w:p w:rsidR="00F95F9B" w:rsidRDefault="00000000">
      <w:pPr>
        <w:widowControl w:val="0"/>
        <w:adjustRightInd w:val="0"/>
        <w:snapToGrid w:val="0"/>
        <w:ind w:firstLine="470"/>
        <w:rPr>
          <w:kern w:val="0"/>
        </w:rPr>
      </w:pPr>
      <w:r>
        <w:rPr>
          <w:rFonts w:hint="eastAsia"/>
          <w:kern w:val="0"/>
        </w:rPr>
        <w:t>事故后果模拟分析法是在数学、物理模型的基础上，选择适当的数值计算方法，对危</w:t>
      </w:r>
      <w:r>
        <w:rPr>
          <w:rFonts w:hint="eastAsia"/>
          <w:kern w:val="0"/>
        </w:rPr>
        <w:lastRenderedPageBreak/>
        <w:t>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rsidR="00F95F9B" w:rsidRDefault="00000000">
      <w:pPr>
        <w:widowControl w:val="0"/>
        <w:adjustRightInd w:val="0"/>
        <w:snapToGrid w:val="0"/>
        <w:ind w:firstLine="470"/>
        <w:rPr>
          <w:kern w:val="0"/>
        </w:rPr>
      </w:pPr>
      <w:r>
        <w:rPr>
          <w:kern w:val="0"/>
        </w:rPr>
        <w:t>本次评价是根据中国安全生产科学研究院研发的定量风险量化评估软件（</w:t>
      </w:r>
      <w:r>
        <w:rPr>
          <w:kern w:val="0"/>
        </w:rPr>
        <w:t>CASST QRA</w:t>
      </w:r>
      <w:r>
        <w:rPr>
          <w:kern w:val="0"/>
        </w:rPr>
        <w:t>）对</w:t>
      </w:r>
      <w:r>
        <w:rPr>
          <w:rFonts w:hint="eastAsia"/>
          <w:kern w:val="0"/>
        </w:rPr>
        <w:t>鲁明公司</w:t>
      </w:r>
      <w:r>
        <w:rPr>
          <w:kern w:val="0"/>
        </w:rPr>
        <w:t>各联合站</w:t>
      </w:r>
      <w:r>
        <w:rPr>
          <w:rFonts w:hint="eastAsia"/>
          <w:kern w:val="0"/>
        </w:rPr>
        <w:t>/</w:t>
      </w:r>
      <w:r>
        <w:rPr>
          <w:rFonts w:hint="eastAsia"/>
          <w:kern w:val="0"/>
        </w:rPr>
        <w:t>集输站</w:t>
      </w:r>
      <w:r>
        <w:rPr>
          <w:kern w:val="0"/>
        </w:rPr>
        <w:t>储油罐发生泄漏事故后果进行模拟，得出在不同事故情景下，可能对周围环境造成的事故影响、伤害范围（轻伤、重伤、死亡）。</w:t>
      </w:r>
      <w:r>
        <w:rPr>
          <w:rFonts w:hint="eastAsia"/>
          <w:kern w:val="0"/>
        </w:rPr>
        <w:t>由于事故发生具有不可预见性，不一定按照设定的模式发生，因此本次事故后果模拟计算的结果仅供参考。</w:t>
      </w:r>
    </w:p>
    <w:p w:rsidR="00F95F9B" w:rsidRDefault="00F95F9B">
      <w:pPr>
        <w:widowControl w:val="0"/>
        <w:adjustRightInd w:val="0"/>
        <w:snapToGrid w:val="0"/>
        <w:ind w:firstLine="470"/>
        <w:rPr>
          <w:kern w:val="0"/>
        </w:rPr>
      </w:pPr>
    </w:p>
    <w:p w:rsidR="00F95F9B" w:rsidRDefault="00F95F9B">
      <w:pPr>
        <w:widowControl w:val="0"/>
        <w:ind w:firstLine="470"/>
      </w:pPr>
    </w:p>
    <w:p w:rsidR="00F95F9B" w:rsidRDefault="00F95F9B">
      <w:pPr>
        <w:widowControl w:val="0"/>
        <w:ind w:firstLine="470"/>
        <w:sectPr w:rsidR="00F95F9B">
          <w:footnotePr>
            <w:numFmt w:val="decimalEnclosedCircleChinese"/>
          </w:footnotePr>
          <w:pgSz w:w="11906" w:h="16838"/>
          <w:pgMar w:top="1417" w:right="1134" w:bottom="1134" w:left="1587" w:header="850" w:footer="850" w:gutter="0"/>
          <w:cols w:space="0"/>
          <w:docGrid w:type="linesAndChars" w:linePitch="340" w:charSpace="-1024"/>
        </w:sectPr>
      </w:pPr>
    </w:p>
    <w:p w:rsidR="00F95F9B" w:rsidRDefault="00000000">
      <w:pPr>
        <w:pStyle w:val="1"/>
        <w:keepNext w:val="0"/>
        <w:keepLines w:val="0"/>
        <w:widowControl w:val="0"/>
        <w:spacing w:before="340" w:after="340"/>
      </w:pPr>
      <w:bookmarkStart w:id="77" w:name="_Toc20752"/>
      <w:r>
        <w:rPr>
          <w:rFonts w:hint="eastAsia"/>
        </w:rPr>
        <w:lastRenderedPageBreak/>
        <w:t>设施设备及生产作业单元评价</w:t>
      </w:r>
      <w:bookmarkEnd w:id="77"/>
    </w:p>
    <w:p w:rsidR="00F95F9B" w:rsidRDefault="00000000">
      <w:pPr>
        <w:widowControl w:val="0"/>
        <w:numPr>
          <w:ilvl w:val="1"/>
          <w:numId w:val="1"/>
        </w:numPr>
        <w:spacing w:beforeLines="50" w:before="170" w:afterLines="50" w:after="170"/>
        <w:ind w:firstLineChars="0"/>
        <w:outlineLvl w:val="1"/>
        <w:rPr>
          <w:rFonts w:eastAsia="黑体"/>
          <w:bCs/>
          <w:sz w:val="28"/>
          <w:szCs w:val="32"/>
        </w:rPr>
      </w:pPr>
      <w:bookmarkStart w:id="78" w:name="_Toc8629"/>
      <w:bookmarkStart w:id="79" w:name="_Toc18388"/>
      <w:bookmarkStart w:id="80" w:name="_Toc113266965"/>
      <w:r>
        <w:rPr>
          <w:rFonts w:eastAsia="黑体" w:hint="eastAsia"/>
          <w:bCs/>
          <w:sz w:val="28"/>
          <w:szCs w:val="32"/>
        </w:rPr>
        <w:t>采油单元</w:t>
      </w:r>
      <w:bookmarkEnd w:id="78"/>
      <w:bookmarkEnd w:id="79"/>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安全检查表</w:t>
      </w:r>
    </w:p>
    <w:p w:rsidR="00F95F9B" w:rsidRDefault="00000000">
      <w:pPr>
        <w:adjustRightInd w:val="0"/>
        <w:snapToGrid w:val="0"/>
        <w:ind w:firstLine="470"/>
      </w:pPr>
      <w:r>
        <w:t>根据《石油天然气工程设计防火规范》（</w:t>
      </w:r>
      <w:r>
        <w:t>GB50183-2004</w:t>
      </w:r>
      <w:r>
        <w:t>）、《油田油气集输设计规范》（</w:t>
      </w:r>
      <w:r>
        <w:t>GB50350-2015</w:t>
      </w:r>
      <w:r>
        <w:t>）、《陆上油气田油气集输安全规程》（</w:t>
      </w:r>
      <w:r>
        <w:t>SY/T</w:t>
      </w:r>
      <w:r>
        <w:rPr>
          <w:rFonts w:hint="eastAsia"/>
        </w:rPr>
        <w:t>6320</w:t>
      </w:r>
      <w:r>
        <w:t>-20</w:t>
      </w:r>
      <w:r>
        <w:rPr>
          <w:rFonts w:hint="eastAsia"/>
        </w:rPr>
        <w:t>22</w:t>
      </w:r>
      <w:r>
        <w:t>）、《硫化氢环境原油采集与处理安全规范》（</w:t>
      </w:r>
      <w:r>
        <w:t>SY/T7358-2017</w:t>
      </w:r>
      <w:r>
        <w:t>）等标准，编制</w:t>
      </w:r>
      <w:r>
        <w:rPr>
          <w:rFonts w:hint="eastAsia"/>
        </w:rPr>
        <w:t>“采油单元安全</w:t>
      </w:r>
      <w:r>
        <w:t>检查表</w:t>
      </w:r>
      <w:r>
        <w:rPr>
          <w:rFonts w:hint="eastAsia"/>
        </w:rPr>
        <w:t>”</w:t>
      </w:r>
      <w:r>
        <w:t>，并对照安全检查表对</w:t>
      </w:r>
      <w:r>
        <w:rPr>
          <w:rFonts w:hint="eastAsia"/>
        </w:rPr>
        <w:t>鲁明公司</w:t>
      </w:r>
      <w:r>
        <w:t>各采油管理区所属井场设备设施</w:t>
      </w:r>
      <w:r>
        <w:rPr>
          <w:rFonts w:hint="eastAsia"/>
        </w:rPr>
        <w:t>及生产作业情况</w:t>
      </w:r>
      <w:r>
        <w:t>进行现场检查，检查内容和检查情况见附</w:t>
      </w:r>
      <w:r>
        <w:rPr>
          <w:rFonts w:hint="eastAsia"/>
        </w:rPr>
        <w:t>录</w:t>
      </w:r>
      <w:r>
        <w:t>3-1</w:t>
      </w:r>
      <w:r>
        <w:t>。</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检查问题</w:t>
      </w:r>
    </w:p>
    <w:p w:rsidR="00F95F9B" w:rsidRDefault="00000000">
      <w:pPr>
        <w:adjustRightInd w:val="0"/>
        <w:snapToGrid w:val="0"/>
        <w:ind w:firstLine="470"/>
      </w:pPr>
      <w:r>
        <w:t>202</w:t>
      </w:r>
      <w:r>
        <w:rPr>
          <w:rFonts w:hint="eastAsia"/>
        </w:rPr>
        <w:t>3</w:t>
      </w:r>
      <w:r>
        <w:t>年</w:t>
      </w:r>
      <w:r>
        <w:t>2</w:t>
      </w:r>
      <w:r>
        <w:t>月</w:t>
      </w:r>
      <w:r>
        <w:rPr>
          <w:rFonts w:hint="eastAsia"/>
        </w:rPr>
        <w:t>10</w:t>
      </w:r>
      <w:r>
        <w:t>日</w:t>
      </w:r>
      <w:r>
        <w:t>~2</w:t>
      </w:r>
      <w:r>
        <w:t>月</w:t>
      </w:r>
      <w:r>
        <w:rPr>
          <w:rFonts w:hint="eastAsia"/>
        </w:rPr>
        <w:t>21</w:t>
      </w:r>
      <w:r>
        <w:t>日，项目组对</w:t>
      </w:r>
      <w:r>
        <w:rPr>
          <w:rFonts w:hint="eastAsia"/>
        </w:rPr>
        <w:t>鲁明公司</w:t>
      </w:r>
      <w:r>
        <w:rPr>
          <w:rFonts w:hint="eastAsia"/>
        </w:rPr>
        <w:t>Q15-X13</w:t>
      </w:r>
      <w:r>
        <w:rPr>
          <w:rFonts w:hint="eastAsia"/>
        </w:rPr>
        <w:t>、</w:t>
      </w:r>
      <w:r>
        <w:rPr>
          <w:rFonts w:hint="eastAsia"/>
        </w:rPr>
        <w:t>Q9-NX68</w:t>
      </w:r>
      <w:r>
        <w:rPr>
          <w:rFonts w:hint="eastAsia"/>
        </w:rPr>
        <w:t>、夏</w:t>
      </w:r>
      <w:r>
        <w:rPr>
          <w:rFonts w:hint="eastAsia"/>
        </w:rPr>
        <w:t>52-235</w:t>
      </w:r>
      <w:r>
        <w:rPr>
          <w:rFonts w:hint="eastAsia"/>
        </w:rPr>
        <w:t>井、</w:t>
      </w:r>
      <w:r>
        <w:rPr>
          <w:rFonts w:hint="eastAsia"/>
        </w:rPr>
        <w:t>LNX170-X04</w:t>
      </w:r>
      <w:r>
        <w:rPr>
          <w:rFonts w:hint="eastAsia"/>
        </w:rPr>
        <w:t>井、夏</w:t>
      </w:r>
      <w:r>
        <w:rPr>
          <w:rFonts w:hint="eastAsia"/>
        </w:rPr>
        <w:t>52-372</w:t>
      </w:r>
      <w:r>
        <w:rPr>
          <w:rFonts w:hint="eastAsia"/>
        </w:rPr>
        <w:t>、</w:t>
      </w:r>
      <w:r>
        <w:rPr>
          <w:rFonts w:hint="eastAsia"/>
        </w:rPr>
        <w:t>SHS13-601</w:t>
      </w:r>
      <w:r>
        <w:rPr>
          <w:rFonts w:hint="eastAsia"/>
        </w:rPr>
        <w:t>井场、商</w:t>
      </w:r>
      <w:r>
        <w:rPr>
          <w:rFonts w:hint="eastAsia"/>
        </w:rPr>
        <w:t>56-207</w:t>
      </w:r>
      <w:r>
        <w:rPr>
          <w:rFonts w:hint="eastAsia"/>
        </w:rPr>
        <w:t>井、滨</w:t>
      </w:r>
      <w:r>
        <w:rPr>
          <w:rFonts w:hint="eastAsia"/>
        </w:rPr>
        <w:t>424</w:t>
      </w:r>
      <w:r>
        <w:rPr>
          <w:rFonts w:hint="eastAsia"/>
        </w:rPr>
        <w:t>井、滨</w:t>
      </w:r>
      <w:r>
        <w:rPr>
          <w:rFonts w:hint="eastAsia"/>
        </w:rPr>
        <w:t>425-103</w:t>
      </w:r>
      <w:r>
        <w:rPr>
          <w:rFonts w:hint="eastAsia"/>
        </w:rPr>
        <w:t>井、滨</w:t>
      </w:r>
      <w:r>
        <w:rPr>
          <w:rFonts w:hint="eastAsia"/>
        </w:rPr>
        <w:t>425-117</w:t>
      </w:r>
      <w:r>
        <w:rPr>
          <w:rFonts w:hint="eastAsia"/>
        </w:rPr>
        <w:t>井、滨</w:t>
      </w:r>
      <w:r>
        <w:rPr>
          <w:rFonts w:hint="eastAsia"/>
        </w:rPr>
        <w:t>425-X81</w:t>
      </w:r>
      <w:r>
        <w:rPr>
          <w:rFonts w:hint="eastAsia"/>
        </w:rPr>
        <w:t>井、莱</w:t>
      </w:r>
      <w:r>
        <w:rPr>
          <w:rFonts w:hint="eastAsia"/>
        </w:rPr>
        <w:t>87-X24</w:t>
      </w:r>
      <w:r>
        <w:rPr>
          <w:rFonts w:hint="eastAsia"/>
        </w:rPr>
        <w:t>井、莱</w:t>
      </w:r>
      <w:r>
        <w:rPr>
          <w:rFonts w:hint="eastAsia"/>
        </w:rPr>
        <w:t>87</w:t>
      </w:r>
      <w:r>
        <w:rPr>
          <w:rFonts w:hint="eastAsia"/>
        </w:rPr>
        <w:t>井等各采油管理区</w:t>
      </w:r>
      <w:r>
        <w:t>油井</w:t>
      </w:r>
      <w:r>
        <w:rPr>
          <w:rFonts w:hint="eastAsia"/>
        </w:rPr>
        <w:t>井场</w:t>
      </w:r>
      <w:r>
        <w:t>进行了检查。</w:t>
      </w:r>
    </w:p>
    <w:p w:rsidR="00F95F9B" w:rsidRDefault="00000000">
      <w:pPr>
        <w:adjustRightInd w:val="0"/>
        <w:snapToGrid w:val="0"/>
        <w:ind w:firstLine="470"/>
      </w:pPr>
      <w:r>
        <w:t>检查内容包括：采油井场</w:t>
      </w:r>
      <w:r>
        <w:rPr>
          <w:rFonts w:hint="eastAsia"/>
        </w:rPr>
        <w:t>（井场与计量间的区域位置、平面布置）、安全警示标志、建构筑物、单井集输管道、井场内设备设施（加热炉、单井拉油油罐、多功能罐及三相分离器）、硫化氢防护、电气设备及供配电装置、防雷防静电设施、消防设施及其它等</w:t>
      </w:r>
      <w:r>
        <w:rPr>
          <w:rFonts w:hint="eastAsia"/>
        </w:rPr>
        <w:t>9</w:t>
      </w:r>
      <w:r>
        <w:rPr>
          <w:rFonts w:hint="eastAsia"/>
        </w:rPr>
        <w:t>个方面进行检查，检查共发现</w:t>
      </w:r>
      <w:r>
        <w:rPr>
          <w:rFonts w:hint="eastAsia"/>
        </w:rPr>
        <w:t>7</w:t>
      </w:r>
      <w:r>
        <w:rPr>
          <w:rFonts w:hint="eastAsia"/>
        </w:rPr>
        <w:t>项安全隐患和问题，如下：</w:t>
      </w:r>
    </w:p>
    <w:p w:rsidR="00F95F9B" w:rsidRDefault="00000000">
      <w:pPr>
        <w:widowControl w:val="0"/>
        <w:adjustRightInd w:val="0"/>
        <w:snapToGrid w:val="0"/>
        <w:ind w:firstLine="470"/>
      </w:pPr>
      <w:r>
        <w:rPr>
          <w:rFonts w:hint="eastAsia"/>
        </w:rPr>
        <w:t>1</w:t>
      </w:r>
      <w:r>
        <w:rPr>
          <w:rFonts w:hint="eastAsia"/>
        </w:rPr>
        <w:t>）商</w:t>
      </w:r>
      <w:r>
        <w:rPr>
          <w:rFonts w:hint="eastAsia"/>
        </w:rPr>
        <w:t>56-207</w:t>
      </w:r>
      <w:r>
        <w:rPr>
          <w:rFonts w:hint="eastAsia"/>
        </w:rPr>
        <w:t>井抽油机皮带防护罩破损，无安全标志。</w:t>
      </w:r>
    </w:p>
    <w:p w:rsidR="00F95F9B" w:rsidRDefault="00000000">
      <w:pPr>
        <w:widowControl w:val="0"/>
        <w:adjustRightInd w:val="0"/>
        <w:snapToGrid w:val="0"/>
        <w:ind w:firstLine="470"/>
      </w:pPr>
      <w:r>
        <w:rPr>
          <w:rFonts w:hint="eastAsia"/>
        </w:rPr>
        <w:t>2</w:t>
      </w:r>
      <w:r>
        <w:rPr>
          <w:rFonts w:hint="eastAsia"/>
        </w:rPr>
        <w:t>）</w:t>
      </w:r>
      <w:r>
        <w:rPr>
          <w:rFonts w:hint="eastAsia"/>
        </w:rPr>
        <w:t>L87</w:t>
      </w:r>
      <w:r>
        <w:rPr>
          <w:rFonts w:hint="eastAsia"/>
        </w:rPr>
        <w:t>井场</w:t>
      </w:r>
      <w:r>
        <w:rPr>
          <w:rFonts w:hint="eastAsia"/>
        </w:rPr>
        <w:t>1#</w:t>
      </w:r>
      <w:r>
        <w:rPr>
          <w:rFonts w:hint="eastAsia"/>
        </w:rPr>
        <w:t>多功能罐北侧天然气排水阀门滴漏</w:t>
      </w:r>
      <w:r>
        <w:rPr>
          <w:rFonts w:hint="eastAsia"/>
        </w:rPr>
        <w:tab/>
      </w:r>
      <w:r>
        <w:rPr>
          <w:rFonts w:hint="eastAsia"/>
        </w:rPr>
        <w:t>。</w:t>
      </w:r>
    </w:p>
    <w:p w:rsidR="00F95F9B" w:rsidRDefault="00000000">
      <w:pPr>
        <w:widowControl w:val="0"/>
        <w:adjustRightInd w:val="0"/>
        <w:snapToGrid w:val="0"/>
        <w:ind w:firstLine="470"/>
      </w:pPr>
      <w:r>
        <w:rPr>
          <w:rFonts w:hint="eastAsia"/>
        </w:rPr>
        <w:t>3</w:t>
      </w:r>
      <w:r>
        <w:rPr>
          <w:rFonts w:hint="eastAsia"/>
        </w:rPr>
        <w:t>）莱</w:t>
      </w:r>
      <w:r>
        <w:rPr>
          <w:rFonts w:hint="eastAsia"/>
        </w:rPr>
        <w:t>87-X24</w:t>
      </w:r>
      <w:r>
        <w:rPr>
          <w:rFonts w:hint="eastAsia"/>
        </w:rPr>
        <w:t>井场变压器无警示标语。</w:t>
      </w:r>
    </w:p>
    <w:p w:rsidR="00F95F9B" w:rsidRDefault="00000000">
      <w:pPr>
        <w:widowControl w:val="0"/>
        <w:adjustRightInd w:val="0"/>
        <w:snapToGrid w:val="0"/>
        <w:ind w:firstLine="470"/>
      </w:pPr>
      <w:r>
        <w:rPr>
          <w:rFonts w:hint="eastAsia"/>
        </w:rPr>
        <w:t>4</w:t>
      </w:r>
      <w:r>
        <w:rPr>
          <w:rFonts w:hint="eastAsia"/>
        </w:rPr>
        <w:t>）</w:t>
      </w:r>
      <w:r>
        <w:rPr>
          <w:rFonts w:hint="eastAsia"/>
        </w:rPr>
        <w:t>B425-X103</w:t>
      </w:r>
      <w:r>
        <w:rPr>
          <w:rFonts w:hint="eastAsia"/>
        </w:rPr>
        <w:t>井场天然气排凝管线阀门设单阀，未加丝堵。</w:t>
      </w:r>
    </w:p>
    <w:p w:rsidR="00F95F9B" w:rsidRDefault="00000000">
      <w:pPr>
        <w:widowControl w:val="0"/>
        <w:adjustRightInd w:val="0"/>
        <w:snapToGrid w:val="0"/>
        <w:ind w:firstLine="470"/>
      </w:pPr>
      <w:r>
        <w:rPr>
          <w:rFonts w:hint="eastAsia"/>
        </w:rPr>
        <w:t>5</w:t>
      </w:r>
      <w:r>
        <w:rPr>
          <w:rFonts w:hint="eastAsia"/>
        </w:rPr>
        <w:t>）</w:t>
      </w:r>
      <w:r>
        <w:rPr>
          <w:rFonts w:hint="eastAsia"/>
        </w:rPr>
        <w:t>B425-X103</w:t>
      </w:r>
      <w:r>
        <w:rPr>
          <w:rFonts w:hint="eastAsia"/>
        </w:rPr>
        <w:t>井场天然气分水器压力表无红线。</w:t>
      </w:r>
    </w:p>
    <w:p w:rsidR="00F95F9B" w:rsidRDefault="00000000">
      <w:pPr>
        <w:widowControl w:val="0"/>
        <w:adjustRightInd w:val="0"/>
        <w:snapToGrid w:val="0"/>
        <w:ind w:firstLine="470"/>
      </w:pPr>
      <w:r>
        <w:rPr>
          <w:rFonts w:hint="eastAsia"/>
        </w:rPr>
        <w:t>6</w:t>
      </w:r>
      <w:r>
        <w:rPr>
          <w:rFonts w:hint="eastAsia"/>
        </w:rPr>
        <w:t>）</w:t>
      </w:r>
      <w:r>
        <w:rPr>
          <w:rFonts w:hint="eastAsia"/>
        </w:rPr>
        <w:t>B425-X103</w:t>
      </w:r>
      <w:r>
        <w:rPr>
          <w:rFonts w:hint="eastAsia"/>
        </w:rPr>
        <w:t>井场水套炉天然气燃烧器信号线穿管处密封使用胶带缠绕，不能满足防爆要求。</w:t>
      </w:r>
    </w:p>
    <w:p w:rsidR="00F95F9B" w:rsidRDefault="00000000">
      <w:pPr>
        <w:widowControl w:val="0"/>
        <w:adjustRightInd w:val="0"/>
        <w:snapToGrid w:val="0"/>
        <w:ind w:firstLine="470"/>
      </w:pPr>
      <w:r>
        <w:rPr>
          <w:rFonts w:hint="eastAsia"/>
        </w:rPr>
        <w:t>7</w:t>
      </w:r>
      <w:r>
        <w:rPr>
          <w:rFonts w:hint="eastAsia"/>
        </w:rPr>
        <w:t>）夏</w:t>
      </w:r>
      <w:r>
        <w:rPr>
          <w:rFonts w:hint="eastAsia"/>
        </w:rPr>
        <w:t>52-372</w:t>
      </w:r>
      <w:r>
        <w:rPr>
          <w:rFonts w:hint="eastAsia"/>
        </w:rPr>
        <w:t>井高架罐仅设一处装车静电接地活动导线。</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单元小结</w:t>
      </w:r>
    </w:p>
    <w:p w:rsidR="00F95F9B" w:rsidRDefault="00000000">
      <w:pPr>
        <w:widowControl w:val="0"/>
        <w:adjustRightInd w:val="0"/>
        <w:snapToGrid w:val="0"/>
        <w:ind w:firstLine="470"/>
      </w:pPr>
      <w:r>
        <w:rPr>
          <w:rFonts w:hint="eastAsia"/>
        </w:rPr>
        <w:t>安全检查表共涉及</w:t>
      </w:r>
      <w:r>
        <w:rPr>
          <w:rFonts w:hint="eastAsia"/>
        </w:rPr>
        <w:t>73</w:t>
      </w:r>
      <w:r>
        <w:rPr>
          <w:rFonts w:hint="eastAsia"/>
        </w:rPr>
        <w:t>项检查内容，其中符合法律法规、标准规范要求的共有</w:t>
      </w:r>
      <w:r>
        <w:rPr>
          <w:rFonts w:hint="eastAsia"/>
        </w:rPr>
        <w:t>66</w:t>
      </w:r>
      <w:r>
        <w:rPr>
          <w:rFonts w:hint="eastAsia"/>
        </w:rPr>
        <w:t>项，不符合项共有</w:t>
      </w:r>
      <w:r>
        <w:rPr>
          <w:rFonts w:hint="eastAsia"/>
        </w:rPr>
        <w:t>7</w:t>
      </w:r>
      <w:r>
        <w:rPr>
          <w:rFonts w:hint="eastAsia"/>
        </w:rPr>
        <w:t>项。项目组针对不符合项提出安全对策措施，鲁明公司按照对策措施进行</w:t>
      </w:r>
      <w:r>
        <w:rPr>
          <w:rFonts w:hint="eastAsia"/>
        </w:rPr>
        <w:lastRenderedPageBreak/>
        <w:t>了整改，整改后，井场设备设施安全设施设置齐全，设备运行良好，符合法律法规、标准和企业安全管理要求。</w:t>
      </w:r>
    </w:p>
    <w:p w:rsidR="00F95F9B" w:rsidRDefault="00000000">
      <w:pPr>
        <w:widowControl w:val="0"/>
        <w:numPr>
          <w:ilvl w:val="1"/>
          <w:numId w:val="1"/>
        </w:numPr>
        <w:spacing w:beforeLines="50" w:before="170" w:afterLines="50" w:after="170"/>
        <w:ind w:firstLineChars="0"/>
        <w:outlineLvl w:val="1"/>
        <w:rPr>
          <w:rFonts w:eastAsia="黑体"/>
          <w:bCs/>
          <w:sz w:val="28"/>
          <w:szCs w:val="32"/>
        </w:rPr>
      </w:pPr>
      <w:bookmarkStart w:id="81" w:name="_Toc18841"/>
      <w:bookmarkStart w:id="82" w:name="_Toc24961"/>
      <w:r>
        <w:rPr>
          <w:rFonts w:eastAsia="黑体" w:hint="eastAsia"/>
          <w:bCs/>
          <w:sz w:val="28"/>
          <w:szCs w:val="32"/>
        </w:rPr>
        <w:t>采气单元</w:t>
      </w:r>
      <w:bookmarkEnd w:id="81"/>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安全检查表</w:t>
      </w:r>
    </w:p>
    <w:p w:rsidR="00F95F9B" w:rsidRDefault="00000000">
      <w:pPr>
        <w:adjustRightInd w:val="0"/>
        <w:snapToGrid w:val="0"/>
        <w:ind w:firstLine="470"/>
      </w:pPr>
      <w:r>
        <w:t>根据《石油天然气工程设计防火规范》（</w:t>
      </w:r>
      <w:r>
        <w:t>GB50183-2004</w:t>
      </w:r>
      <w:r>
        <w:t>）、</w:t>
      </w:r>
      <w:r>
        <w:rPr>
          <w:rFonts w:hint="eastAsia"/>
        </w:rPr>
        <w:t>《</w:t>
      </w:r>
      <w:r>
        <w:t>气田集输设计规范</w:t>
      </w:r>
      <w:r>
        <w:rPr>
          <w:rFonts w:hint="eastAsia"/>
        </w:rPr>
        <w:t>》（</w:t>
      </w:r>
      <w:r>
        <w:rPr>
          <w:rFonts w:hint="eastAsia"/>
        </w:rPr>
        <w:t>GB50349-2015</w:t>
      </w:r>
      <w:r>
        <w:rPr>
          <w:rFonts w:hint="eastAsia"/>
        </w:rPr>
        <w:t>）、</w:t>
      </w:r>
      <w:r>
        <w:t>《油田油气集输设计规范》（</w:t>
      </w:r>
      <w:r>
        <w:t>GB50350-2015</w:t>
      </w:r>
      <w:r>
        <w:t>）、《陆上油气田油气集输安全规程》（</w:t>
      </w:r>
      <w:r>
        <w:t>SY/T</w:t>
      </w:r>
      <w:r>
        <w:rPr>
          <w:rFonts w:hint="eastAsia"/>
        </w:rPr>
        <w:t>6320</w:t>
      </w:r>
      <w:r>
        <w:t>-20</w:t>
      </w:r>
      <w:r>
        <w:rPr>
          <w:rFonts w:hint="eastAsia"/>
        </w:rPr>
        <w:t>22</w:t>
      </w:r>
      <w:r>
        <w:t>）、《硫化氢环境天然气采集与处理安全规范》（</w:t>
      </w:r>
      <w:r>
        <w:t>SY/T</w:t>
      </w:r>
      <w:r>
        <w:rPr>
          <w:rFonts w:hint="eastAsia"/>
        </w:rPr>
        <w:t>6137</w:t>
      </w:r>
      <w:r>
        <w:t>-2017</w:t>
      </w:r>
      <w:r>
        <w:t>）等标准，编制</w:t>
      </w:r>
      <w:r>
        <w:rPr>
          <w:rFonts w:hint="eastAsia"/>
        </w:rPr>
        <w:t>“采气单元安全</w:t>
      </w:r>
      <w:r>
        <w:t>检查表</w:t>
      </w:r>
      <w:r>
        <w:rPr>
          <w:rFonts w:hint="eastAsia"/>
        </w:rPr>
        <w:t>”</w:t>
      </w:r>
      <w:r>
        <w:t>，并对照安全检查表对</w:t>
      </w:r>
      <w:r>
        <w:rPr>
          <w:rFonts w:hint="eastAsia"/>
        </w:rPr>
        <w:t>鲁明公司</w:t>
      </w:r>
      <w:r>
        <w:t>采</w:t>
      </w:r>
      <w:r>
        <w:rPr>
          <w:rFonts w:hint="eastAsia"/>
        </w:rPr>
        <w:t>气</w:t>
      </w:r>
      <w:r>
        <w:t>管理区所属井场设备设施</w:t>
      </w:r>
      <w:r>
        <w:rPr>
          <w:rFonts w:hint="eastAsia"/>
        </w:rPr>
        <w:t>及生产作业情况</w:t>
      </w:r>
      <w:r>
        <w:t>进行现场检查，检查内容和检查情况见附</w:t>
      </w:r>
      <w:r>
        <w:rPr>
          <w:rFonts w:hint="eastAsia"/>
        </w:rPr>
        <w:t>录</w:t>
      </w:r>
      <w:r>
        <w:t>3-</w:t>
      </w:r>
      <w:r>
        <w:rPr>
          <w:rFonts w:hint="eastAsia"/>
        </w:rPr>
        <w:t>2</w:t>
      </w:r>
      <w:r>
        <w:t>。</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检查问题</w:t>
      </w:r>
    </w:p>
    <w:p w:rsidR="00F95F9B" w:rsidRDefault="00000000">
      <w:pPr>
        <w:adjustRightInd w:val="0"/>
        <w:snapToGrid w:val="0"/>
        <w:ind w:firstLine="470"/>
      </w:pPr>
      <w:r>
        <w:t>项目组对</w:t>
      </w:r>
      <w:r>
        <w:rPr>
          <w:rFonts w:hint="eastAsia"/>
        </w:rPr>
        <w:t>鲁明公司采气管理区的林气</w:t>
      </w:r>
      <w:r>
        <w:rPr>
          <w:rFonts w:hint="eastAsia"/>
        </w:rPr>
        <w:t>1-</w:t>
      </w:r>
      <w:r>
        <w:rPr>
          <w:rFonts w:hint="eastAsia"/>
        </w:rPr>
        <w:t>斜</w:t>
      </w:r>
      <w:r>
        <w:rPr>
          <w:rFonts w:hint="eastAsia"/>
        </w:rPr>
        <w:t>11</w:t>
      </w:r>
      <w:r>
        <w:rPr>
          <w:rFonts w:hint="eastAsia"/>
        </w:rPr>
        <w:t>井、林气</w:t>
      </w:r>
      <w:r>
        <w:rPr>
          <w:rFonts w:hint="eastAsia"/>
        </w:rPr>
        <w:t>1-</w:t>
      </w:r>
      <w:r>
        <w:rPr>
          <w:rFonts w:hint="eastAsia"/>
        </w:rPr>
        <w:t>斜</w:t>
      </w:r>
      <w:r>
        <w:rPr>
          <w:rFonts w:hint="eastAsia"/>
        </w:rPr>
        <w:t>10</w:t>
      </w:r>
      <w:r>
        <w:rPr>
          <w:rFonts w:hint="eastAsia"/>
        </w:rPr>
        <w:t>井等气井井场</w:t>
      </w:r>
      <w:r>
        <w:t>现场进行了检查。</w:t>
      </w:r>
    </w:p>
    <w:p w:rsidR="00F95F9B" w:rsidRDefault="00000000">
      <w:pPr>
        <w:adjustRightInd w:val="0"/>
        <w:snapToGrid w:val="0"/>
        <w:ind w:firstLine="470"/>
      </w:pPr>
      <w:r>
        <w:t>检查内容包括：采</w:t>
      </w:r>
      <w:r>
        <w:rPr>
          <w:rFonts w:hint="eastAsia"/>
        </w:rPr>
        <w:t>气</w:t>
      </w:r>
      <w:r>
        <w:t>井场</w:t>
      </w:r>
      <w:r>
        <w:rPr>
          <w:rFonts w:hint="eastAsia"/>
        </w:rPr>
        <w:t>（井场平面布置、井场内设备设施等）、安全警示标志、单井及管道、气液分离及气田水传输、硫化氢防护、防雷防静电设施、仪表、设备检验检测等</w:t>
      </w:r>
      <w:r>
        <w:rPr>
          <w:rFonts w:hint="eastAsia"/>
        </w:rPr>
        <w:t>7</w:t>
      </w:r>
      <w:r>
        <w:rPr>
          <w:rFonts w:hint="eastAsia"/>
        </w:rPr>
        <w:t>个方面进行检查，检查共发现</w:t>
      </w:r>
      <w:r>
        <w:rPr>
          <w:rFonts w:hint="eastAsia"/>
        </w:rPr>
        <w:t>2</w:t>
      </w:r>
      <w:r>
        <w:rPr>
          <w:rFonts w:hint="eastAsia"/>
        </w:rPr>
        <w:t>项安全隐患和问题，如下：</w:t>
      </w:r>
    </w:p>
    <w:p w:rsidR="00F95F9B" w:rsidRDefault="00000000">
      <w:pPr>
        <w:adjustRightInd w:val="0"/>
        <w:snapToGrid w:val="0"/>
        <w:ind w:left="400" w:firstLineChars="0" w:firstLine="0"/>
      </w:pPr>
      <w:r>
        <w:rPr>
          <w:rFonts w:hint="eastAsia"/>
        </w:rPr>
        <w:t>1</w:t>
      </w:r>
      <w:r>
        <w:rPr>
          <w:rFonts w:hint="eastAsia"/>
        </w:rPr>
        <w:t>）林气</w:t>
      </w:r>
      <w:r>
        <w:rPr>
          <w:rFonts w:hint="eastAsia"/>
        </w:rPr>
        <w:t>1-</w:t>
      </w:r>
      <w:r>
        <w:rPr>
          <w:rFonts w:hint="eastAsia"/>
        </w:rPr>
        <w:t>斜</w:t>
      </w:r>
      <w:r>
        <w:rPr>
          <w:rFonts w:hint="eastAsia"/>
        </w:rPr>
        <w:t>11</w:t>
      </w:r>
      <w:r>
        <w:rPr>
          <w:rFonts w:hint="eastAsia"/>
        </w:rPr>
        <w:t>井井场警示标识褪色。</w:t>
      </w:r>
    </w:p>
    <w:p w:rsidR="00F95F9B" w:rsidRDefault="00000000">
      <w:pPr>
        <w:adjustRightInd w:val="0"/>
        <w:snapToGrid w:val="0"/>
        <w:ind w:left="400" w:firstLineChars="0" w:firstLine="0"/>
      </w:pPr>
      <w:r>
        <w:rPr>
          <w:rFonts w:hint="eastAsia"/>
        </w:rPr>
        <w:t>2</w:t>
      </w:r>
      <w:r>
        <w:rPr>
          <w:rFonts w:hint="eastAsia"/>
        </w:rPr>
        <w:t>）林气</w:t>
      </w:r>
      <w:r>
        <w:rPr>
          <w:rFonts w:hint="eastAsia"/>
        </w:rPr>
        <w:t>1-</w:t>
      </w:r>
      <w:r>
        <w:rPr>
          <w:rFonts w:hint="eastAsia"/>
        </w:rPr>
        <w:t>斜</w:t>
      </w:r>
      <w:r>
        <w:rPr>
          <w:rFonts w:hint="eastAsia"/>
        </w:rPr>
        <w:t>10</w:t>
      </w:r>
      <w:r>
        <w:rPr>
          <w:rFonts w:hint="eastAsia"/>
        </w:rPr>
        <w:t>井井场分离器液位计底部放空或排凝设单阀，未加丝堵。</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单元小结</w:t>
      </w:r>
    </w:p>
    <w:p w:rsidR="00F95F9B" w:rsidRDefault="00000000">
      <w:pPr>
        <w:widowControl w:val="0"/>
        <w:adjustRightInd w:val="0"/>
        <w:snapToGrid w:val="0"/>
        <w:ind w:firstLine="470"/>
        <w:rPr>
          <w:rFonts w:eastAsia="黑体"/>
          <w:bCs/>
          <w:sz w:val="28"/>
          <w:szCs w:val="32"/>
        </w:rPr>
      </w:pPr>
      <w:r>
        <w:rPr>
          <w:rFonts w:hint="eastAsia"/>
        </w:rPr>
        <w:t>安全检查表共涉及</w:t>
      </w:r>
      <w:r>
        <w:rPr>
          <w:rFonts w:hint="eastAsia"/>
        </w:rPr>
        <w:t>37</w:t>
      </w:r>
      <w:r>
        <w:rPr>
          <w:rFonts w:hint="eastAsia"/>
        </w:rPr>
        <w:t>项检查内容，其中符合法律法规、标准规范要求的共有</w:t>
      </w:r>
      <w:r>
        <w:rPr>
          <w:rFonts w:hint="eastAsia"/>
        </w:rPr>
        <w:t>35</w:t>
      </w:r>
      <w:r>
        <w:rPr>
          <w:rFonts w:hint="eastAsia"/>
        </w:rPr>
        <w:t>项，不符合项共有</w:t>
      </w:r>
      <w:r>
        <w:rPr>
          <w:rFonts w:hint="eastAsia"/>
        </w:rPr>
        <w:t>2</w:t>
      </w:r>
      <w:r>
        <w:rPr>
          <w:rFonts w:hint="eastAsia"/>
        </w:rPr>
        <w:t>项。项目组针对不符合项提出安全对策措施，鲁明公司按照对策措施进行了整改，整改后，井场设备设施安全设施设置齐全，设备运行良好，符合法律法规、标准和企业安全管理要求。</w:t>
      </w:r>
    </w:p>
    <w:p w:rsidR="00F95F9B" w:rsidRDefault="00000000">
      <w:pPr>
        <w:widowControl w:val="0"/>
        <w:numPr>
          <w:ilvl w:val="1"/>
          <w:numId w:val="1"/>
        </w:numPr>
        <w:spacing w:beforeLines="50" w:before="170" w:afterLines="50" w:after="170"/>
        <w:ind w:firstLineChars="0"/>
        <w:outlineLvl w:val="1"/>
        <w:rPr>
          <w:rFonts w:eastAsia="黑体"/>
          <w:bCs/>
          <w:sz w:val="28"/>
          <w:szCs w:val="32"/>
        </w:rPr>
      </w:pPr>
      <w:bookmarkStart w:id="83" w:name="_Toc13602"/>
      <w:r>
        <w:rPr>
          <w:rFonts w:eastAsia="黑体" w:hint="eastAsia"/>
          <w:bCs/>
          <w:sz w:val="28"/>
          <w:szCs w:val="32"/>
        </w:rPr>
        <w:t>注入单元</w:t>
      </w:r>
      <w:bookmarkEnd w:id="82"/>
      <w:bookmarkEnd w:id="83"/>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安全检查表</w:t>
      </w:r>
    </w:p>
    <w:p w:rsidR="00F95F9B" w:rsidRDefault="00000000">
      <w:pPr>
        <w:adjustRightInd w:val="0"/>
        <w:snapToGrid w:val="0"/>
        <w:ind w:firstLine="470"/>
      </w:pPr>
      <w:r>
        <w:t>根据《油田注水工程设计规范》（</w:t>
      </w:r>
      <w:r>
        <w:t>GB50391-2014</w:t>
      </w:r>
      <w:r>
        <w:t>）、《石油天然气工程设计防火规范》（</w:t>
      </w:r>
      <w:r>
        <w:t>GB50183-2004</w:t>
      </w:r>
      <w:r>
        <w:t>）、《油田采出水处理设计规范》（</w:t>
      </w:r>
      <w:r>
        <w:t>GB50428-2015</w:t>
      </w:r>
      <w:r>
        <w:t>）、《陆上油气田油气集输安全规程》（</w:t>
      </w:r>
      <w:r>
        <w:t>SY</w:t>
      </w:r>
      <w:r>
        <w:rPr>
          <w:rFonts w:hint="eastAsia"/>
        </w:rPr>
        <w:t>/T</w:t>
      </w:r>
      <w:r>
        <w:t>6320-20</w:t>
      </w:r>
      <w:r>
        <w:rPr>
          <w:rFonts w:hint="eastAsia"/>
        </w:rPr>
        <w:t>22</w:t>
      </w:r>
      <w:r>
        <w:t>）、《</w:t>
      </w:r>
      <w:r>
        <w:rPr>
          <w:rFonts w:hint="eastAsia"/>
        </w:rPr>
        <w:t>除</w:t>
      </w:r>
      <w:r>
        <w:t>油罐设计规范》（</w:t>
      </w:r>
      <w:r>
        <w:t>SY/T0083-2008</w:t>
      </w:r>
      <w:r>
        <w:t>）等标</w:t>
      </w:r>
      <w:r>
        <w:lastRenderedPageBreak/>
        <w:t>准、规范的要求编制</w:t>
      </w:r>
      <w:r>
        <w:rPr>
          <w:rFonts w:hint="eastAsia"/>
        </w:rPr>
        <w:t>“注入单元安全</w:t>
      </w:r>
      <w:r>
        <w:t>检查表</w:t>
      </w:r>
      <w:r>
        <w:rPr>
          <w:rFonts w:hint="eastAsia"/>
        </w:rPr>
        <w:t>”。</w:t>
      </w:r>
      <w:r>
        <w:t>并对照安全检查表对</w:t>
      </w:r>
      <w:r>
        <w:rPr>
          <w:rFonts w:hint="eastAsia"/>
        </w:rPr>
        <w:t>鲁明公司</w:t>
      </w:r>
      <w:r>
        <w:t>注水</w:t>
      </w:r>
      <w:r>
        <w:rPr>
          <w:rFonts w:hint="eastAsia"/>
        </w:rPr>
        <w:t>（注聚）</w:t>
      </w:r>
      <w:r>
        <w:t>设备、设施进行现场检查，检查内容和检查情况见</w:t>
      </w:r>
      <w:r>
        <w:rPr>
          <w:rFonts w:hint="eastAsia"/>
        </w:rPr>
        <w:t>附录</w:t>
      </w:r>
      <w:r>
        <w:t>3-</w:t>
      </w:r>
      <w:r>
        <w:rPr>
          <w:rFonts w:hint="eastAsia"/>
        </w:rPr>
        <w:t>3</w:t>
      </w:r>
      <w:r>
        <w:t>。</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检查问题</w:t>
      </w:r>
    </w:p>
    <w:p w:rsidR="00F95F9B" w:rsidRDefault="00000000">
      <w:pPr>
        <w:adjustRightInd w:val="0"/>
        <w:snapToGrid w:val="0"/>
        <w:ind w:firstLine="470"/>
        <w:rPr>
          <w:lang w:val="zh-CN"/>
        </w:rPr>
      </w:pPr>
      <w:r>
        <w:rPr>
          <w:lang w:val="zh-CN"/>
        </w:rPr>
        <w:t>项目组对</w:t>
      </w:r>
      <w:r>
        <w:rPr>
          <w:rFonts w:hint="eastAsia"/>
          <w:lang w:val="zh-CN"/>
        </w:rPr>
        <w:t>鲁明公司济北注聚站</w:t>
      </w:r>
      <w:r>
        <w:rPr>
          <w:rFonts w:hint="eastAsia"/>
        </w:rPr>
        <w:t>、济北采出水处理站、商</w:t>
      </w:r>
      <w:r>
        <w:rPr>
          <w:rFonts w:hint="eastAsia"/>
        </w:rPr>
        <w:t>56</w:t>
      </w:r>
      <w:r>
        <w:rPr>
          <w:rFonts w:hint="eastAsia"/>
        </w:rPr>
        <w:t>采出水处理站、青南采出水处理站、临南水处理站、滨</w:t>
      </w:r>
      <w:r>
        <w:rPr>
          <w:rFonts w:hint="eastAsia"/>
        </w:rPr>
        <w:t>425</w:t>
      </w:r>
      <w:r>
        <w:rPr>
          <w:rFonts w:hint="eastAsia"/>
        </w:rPr>
        <w:t>注水站、</w:t>
      </w:r>
      <w:r>
        <w:rPr>
          <w:rFonts w:hint="eastAsia"/>
          <w:lang w:val="zh-CN"/>
        </w:rPr>
        <w:t>夏</w:t>
      </w:r>
      <w:r>
        <w:rPr>
          <w:rFonts w:hint="eastAsia"/>
          <w:lang w:val="zh-CN"/>
        </w:rPr>
        <w:t>52-27</w:t>
      </w:r>
      <w:r>
        <w:rPr>
          <w:rFonts w:hint="eastAsia"/>
          <w:lang w:val="zh-CN"/>
        </w:rPr>
        <w:t>站配水间、</w:t>
      </w:r>
      <w:r>
        <w:rPr>
          <w:rFonts w:hint="eastAsia"/>
        </w:rPr>
        <w:t>商</w:t>
      </w:r>
      <w:r>
        <w:rPr>
          <w:rFonts w:hint="eastAsia"/>
        </w:rPr>
        <w:t>56-208</w:t>
      </w:r>
      <w:r>
        <w:rPr>
          <w:rFonts w:hint="eastAsia"/>
        </w:rPr>
        <w:t>配水间、</w:t>
      </w:r>
      <w:r>
        <w:rPr>
          <w:rFonts w:hint="eastAsia"/>
        </w:rPr>
        <w:t>Q9-X30</w:t>
      </w:r>
      <w:r>
        <w:rPr>
          <w:rFonts w:hint="eastAsia"/>
        </w:rPr>
        <w:t>注聚井以及</w:t>
      </w:r>
      <w:r>
        <w:rPr>
          <w:rFonts w:hint="eastAsia"/>
        </w:rPr>
        <w:t>Q15-X28</w:t>
      </w:r>
      <w:r>
        <w:rPr>
          <w:rFonts w:hint="eastAsia"/>
        </w:rPr>
        <w:t>、</w:t>
      </w:r>
      <w:r>
        <w:rPr>
          <w:rFonts w:hint="eastAsia"/>
        </w:rPr>
        <w:t>Q9-X58</w:t>
      </w:r>
      <w:r>
        <w:rPr>
          <w:rFonts w:hint="eastAsia"/>
        </w:rPr>
        <w:t>、</w:t>
      </w:r>
      <w:r>
        <w:rPr>
          <w:rFonts w:hint="eastAsia"/>
        </w:rPr>
        <w:t>Q9-X30</w:t>
      </w:r>
      <w:r>
        <w:rPr>
          <w:rFonts w:hint="eastAsia"/>
        </w:rPr>
        <w:t>、</w:t>
      </w:r>
      <w:r>
        <w:rPr>
          <w:rFonts w:hint="eastAsia"/>
        </w:rPr>
        <w:t>LNX52-217</w:t>
      </w:r>
      <w:r>
        <w:rPr>
          <w:rFonts w:hint="eastAsia"/>
        </w:rPr>
        <w:t>、滨</w:t>
      </w:r>
      <w:r>
        <w:rPr>
          <w:rFonts w:hint="eastAsia"/>
        </w:rPr>
        <w:t>425-105</w:t>
      </w:r>
      <w:r>
        <w:rPr>
          <w:rFonts w:hint="eastAsia"/>
        </w:rPr>
        <w:t>井等注水井</w:t>
      </w:r>
      <w:r>
        <w:rPr>
          <w:lang w:val="zh-CN"/>
        </w:rPr>
        <w:t>现场进行了检查。</w:t>
      </w:r>
    </w:p>
    <w:p w:rsidR="00F95F9B" w:rsidRDefault="00000000">
      <w:pPr>
        <w:adjustRightInd w:val="0"/>
        <w:snapToGrid w:val="0"/>
        <w:ind w:firstLine="470"/>
        <w:rPr>
          <w:lang w:val="zh-CN"/>
        </w:rPr>
      </w:pPr>
      <w:r>
        <w:rPr>
          <w:lang w:val="zh-CN"/>
        </w:rPr>
        <w:t>检查内容包括：采出水处理站、注水站、注水管道、注聚、配水间与注水井、</w:t>
      </w:r>
      <w:r>
        <w:rPr>
          <w:rFonts w:hint="eastAsia"/>
          <w:lang w:val="zh-CN"/>
        </w:rPr>
        <w:t>安全警示标志、</w:t>
      </w:r>
      <w:r>
        <w:rPr>
          <w:lang w:val="zh-CN"/>
        </w:rPr>
        <w:t>供配电</w:t>
      </w:r>
      <w:r>
        <w:rPr>
          <w:rFonts w:hint="eastAsia"/>
          <w:lang w:val="zh-CN"/>
        </w:rPr>
        <w:t>等</w:t>
      </w:r>
      <w:r>
        <w:rPr>
          <w:rFonts w:hint="eastAsia"/>
        </w:rPr>
        <w:t>7</w:t>
      </w:r>
      <w:r>
        <w:rPr>
          <w:rFonts w:hint="eastAsia"/>
          <w:lang w:val="zh-CN"/>
        </w:rPr>
        <w:t>个方面进行检查，检查共发现</w:t>
      </w:r>
      <w:r>
        <w:rPr>
          <w:rFonts w:hint="eastAsia"/>
        </w:rPr>
        <w:t>4</w:t>
      </w:r>
      <w:r>
        <w:rPr>
          <w:rFonts w:hint="eastAsia"/>
          <w:lang w:val="zh-CN"/>
        </w:rPr>
        <w:t>项安全隐患和问题，如下：</w:t>
      </w:r>
    </w:p>
    <w:p w:rsidR="00F95F9B" w:rsidRDefault="00000000">
      <w:pPr>
        <w:ind w:left="400" w:firstLineChars="0" w:firstLine="0"/>
      </w:pPr>
      <w:r>
        <w:rPr>
          <w:rFonts w:hint="eastAsia"/>
        </w:rPr>
        <w:t>1</w:t>
      </w:r>
      <w:r>
        <w:rPr>
          <w:rFonts w:hint="eastAsia"/>
        </w:rPr>
        <w:t>）</w:t>
      </w:r>
      <w:r>
        <w:rPr>
          <w:rFonts w:hint="eastAsia"/>
        </w:rPr>
        <w:t>LNX52-217</w:t>
      </w:r>
      <w:r>
        <w:rPr>
          <w:rFonts w:hint="eastAsia"/>
        </w:rPr>
        <w:t>井注水井无警示标语。</w:t>
      </w:r>
    </w:p>
    <w:p w:rsidR="00F95F9B" w:rsidRDefault="00000000">
      <w:pPr>
        <w:ind w:left="400" w:firstLineChars="0" w:firstLine="0"/>
      </w:pPr>
      <w:r>
        <w:rPr>
          <w:rFonts w:hint="eastAsia"/>
        </w:rPr>
        <w:t>2</w:t>
      </w:r>
      <w:r>
        <w:rPr>
          <w:rFonts w:hint="eastAsia"/>
        </w:rPr>
        <w:t>）滨</w:t>
      </w:r>
      <w:r>
        <w:rPr>
          <w:rFonts w:hint="eastAsia"/>
        </w:rPr>
        <w:t>425</w:t>
      </w:r>
      <w:r>
        <w:rPr>
          <w:rFonts w:hint="eastAsia"/>
        </w:rPr>
        <w:t>注水站加热炉燃料气管线未涂管道识别色。</w:t>
      </w:r>
    </w:p>
    <w:p w:rsidR="00F95F9B" w:rsidRDefault="00000000">
      <w:pPr>
        <w:ind w:left="400" w:firstLineChars="0" w:firstLine="0"/>
      </w:pPr>
      <w:r>
        <w:rPr>
          <w:rFonts w:hint="eastAsia"/>
        </w:rPr>
        <w:t>3</w:t>
      </w:r>
      <w:r>
        <w:rPr>
          <w:rFonts w:hint="eastAsia"/>
        </w:rPr>
        <w:t>）滨</w:t>
      </w:r>
      <w:r>
        <w:rPr>
          <w:rFonts w:hint="eastAsia"/>
        </w:rPr>
        <w:t>425</w:t>
      </w:r>
      <w:r>
        <w:rPr>
          <w:rFonts w:hint="eastAsia"/>
        </w:rPr>
        <w:t>注水站配电室无应急照明、无挡鼠板。</w:t>
      </w:r>
      <w:r>
        <w:rPr>
          <w:rFonts w:hint="eastAsia"/>
        </w:rPr>
        <w:tab/>
      </w:r>
    </w:p>
    <w:p w:rsidR="00F95F9B" w:rsidRDefault="00000000">
      <w:pPr>
        <w:ind w:left="400" w:firstLineChars="0" w:firstLine="0"/>
      </w:pPr>
      <w:r>
        <w:rPr>
          <w:rFonts w:hint="eastAsia"/>
        </w:rPr>
        <w:t>4</w:t>
      </w:r>
      <w:r>
        <w:rPr>
          <w:rFonts w:hint="eastAsia"/>
        </w:rPr>
        <w:t>）莱</w:t>
      </w:r>
      <w:r>
        <w:rPr>
          <w:rFonts w:hint="eastAsia"/>
        </w:rPr>
        <w:t>87</w:t>
      </w:r>
      <w:r>
        <w:rPr>
          <w:rFonts w:hint="eastAsia"/>
        </w:rPr>
        <w:t>注水站箱式变压器北侧配电柜未设置绝缘脚垫。</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单元小结</w:t>
      </w:r>
    </w:p>
    <w:p w:rsidR="00F95F9B" w:rsidRDefault="00000000">
      <w:pPr>
        <w:adjustRightInd w:val="0"/>
        <w:snapToGrid w:val="0"/>
        <w:ind w:firstLine="470"/>
      </w:pPr>
      <w:r>
        <w:rPr>
          <w:rFonts w:hint="eastAsia"/>
        </w:rPr>
        <w:t>安全检查表共涉及</w:t>
      </w:r>
      <w:r>
        <w:rPr>
          <w:rFonts w:hint="eastAsia"/>
        </w:rPr>
        <w:t>58</w:t>
      </w:r>
      <w:r>
        <w:rPr>
          <w:rFonts w:hint="eastAsia"/>
        </w:rPr>
        <w:t>项检查内容，其中符合法律法规、标准规范要求的共有</w:t>
      </w:r>
      <w:r>
        <w:rPr>
          <w:rFonts w:hint="eastAsia"/>
        </w:rPr>
        <w:t>54</w:t>
      </w:r>
      <w:r>
        <w:rPr>
          <w:rFonts w:hint="eastAsia"/>
        </w:rPr>
        <w:t>项，不符合项共有</w:t>
      </w:r>
      <w:r>
        <w:rPr>
          <w:rFonts w:hint="eastAsia"/>
        </w:rPr>
        <w:t>4</w:t>
      </w:r>
      <w:r>
        <w:rPr>
          <w:rFonts w:hint="eastAsia"/>
        </w:rPr>
        <w:t>项。项目组针对不符合项提出安全对策措施，鲁明公司按照对策措施进行了整改。整改后，采出水处理站、注水（聚）站、配水间、注水管道、注水井等设施与周边设施的安全间距满足安全要求，设备、装置布置合理，安全设施设置齐全，设备、设施管理运行良好，符合法律法规、标准和企业安全管理要求。</w:t>
      </w:r>
    </w:p>
    <w:p w:rsidR="00F95F9B" w:rsidRDefault="00000000">
      <w:pPr>
        <w:widowControl w:val="0"/>
        <w:numPr>
          <w:ilvl w:val="1"/>
          <w:numId w:val="1"/>
        </w:numPr>
        <w:spacing w:beforeLines="50" w:before="170" w:afterLines="50" w:after="170"/>
        <w:ind w:firstLineChars="0"/>
        <w:outlineLvl w:val="1"/>
        <w:rPr>
          <w:rFonts w:eastAsia="黑体"/>
          <w:bCs/>
          <w:sz w:val="28"/>
          <w:szCs w:val="32"/>
        </w:rPr>
      </w:pPr>
      <w:bookmarkStart w:id="84" w:name="_Toc30431"/>
      <w:bookmarkStart w:id="85" w:name="_Toc26209"/>
      <w:r>
        <w:rPr>
          <w:rFonts w:eastAsia="黑体" w:hint="eastAsia"/>
          <w:bCs/>
          <w:sz w:val="28"/>
          <w:szCs w:val="32"/>
        </w:rPr>
        <w:t>油气集输单元</w:t>
      </w:r>
      <w:bookmarkEnd w:id="84"/>
      <w:bookmarkEnd w:id="85"/>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安全检查表</w:t>
      </w:r>
    </w:p>
    <w:p w:rsidR="00F95F9B" w:rsidRDefault="00000000">
      <w:pPr>
        <w:adjustRightInd w:val="0"/>
        <w:snapToGrid w:val="0"/>
        <w:ind w:firstLine="470"/>
      </w:pPr>
      <w:r>
        <w:t>根据《石油天然气工程设计防火规范》（</w:t>
      </w:r>
      <w:r>
        <w:t>GB50183-2004</w:t>
      </w:r>
      <w:r>
        <w:t>）、《油田油气集输设计规范》（</w:t>
      </w:r>
      <w:r>
        <w:t>GB50350-2015</w:t>
      </w:r>
      <w:r>
        <w:t>）、《陆上油气田油气集输安全规程》（</w:t>
      </w:r>
      <w:r>
        <w:t>SY/T</w:t>
      </w:r>
      <w:r>
        <w:rPr>
          <w:rFonts w:hint="eastAsia"/>
        </w:rPr>
        <w:t>6320</w:t>
      </w:r>
      <w:r>
        <w:t>-20</w:t>
      </w:r>
      <w:r>
        <w:rPr>
          <w:rFonts w:hint="eastAsia"/>
        </w:rPr>
        <w:t>22</w:t>
      </w:r>
      <w:r>
        <w:t>）、《石油天然气工程总图设计规范》（</w:t>
      </w:r>
      <w:r>
        <w:t>SY/T0048-2016</w:t>
      </w:r>
      <w:r>
        <w:t>）、《消防设施通用规范》（</w:t>
      </w:r>
      <w:r>
        <w:t>GB 55036-2022</w:t>
      </w:r>
      <w:r>
        <w:t>）等标准、规范的要求编制</w:t>
      </w:r>
      <w:r>
        <w:rPr>
          <w:rFonts w:hint="eastAsia"/>
        </w:rPr>
        <w:t>“油气集输单元安全</w:t>
      </w:r>
      <w:r>
        <w:t>检查表</w:t>
      </w:r>
      <w:r>
        <w:rPr>
          <w:rFonts w:hint="eastAsia"/>
        </w:rPr>
        <w:t>”，</w:t>
      </w:r>
      <w:r>
        <w:t>并对照安全检查表对</w:t>
      </w:r>
      <w:r>
        <w:rPr>
          <w:rFonts w:hint="eastAsia"/>
        </w:rPr>
        <w:t>鲁明公司油气集输站场的区域位置、平面布局、集输</w:t>
      </w:r>
      <w:r>
        <w:t>设备设施</w:t>
      </w:r>
      <w:r>
        <w:rPr>
          <w:rFonts w:hint="eastAsia"/>
        </w:rPr>
        <w:t>、消防设施等</w:t>
      </w:r>
      <w:r>
        <w:t>进行现场检查，检查内容和检查情况见</w:t>
      </w:r>
      <w:r>
        <w:rPr>
          <w:rFonts w:hint="eastAsia"/>
        </w:rPr>
        <w:t>附录</w:t>
      </w:r>
      <w:r>
        <w:t>3-</w:t>
      </w:r>
      <w:r>
        <w:rPr>
          <w:rFonts w:hint="eastAsia"/>
        </w:rPr>
        <w:t>4</w:t>
      </w:r>
      <w:r>
        <w:t>。</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检查问题</w:t>
      </w:r>
    </w:p>
    <w:p w:rsidR="00F95F9B" w:rsidRDefault="00000000">
      <w:pPr>
        <w:widowControl w:val="0"/>
        <w:adjustRightInd w:val="0"/>
        <w:snapToGrid w:val="0"/>
        <w:ind w:firstLine="470"/>
      </w:pPr>
      <w:r>
        <w:t>202</w:t>
      </w:r>
      <w:r>
        <w:rPr>
          <w:rFonts w:hint="eastAsia"/>
        </w:rPr>
        <w:t>3</w:t>
      </w:r>
      <w:r>
        <w:t>年</w:t>
      </w:r>
      <w:r>
        <w:t>2</w:t>
      </w:r>
      <w:r>
        <w:t>月</w:t>
      </w:r>
      <w:r>
        <w:rPr>
          <w:rFonts w:hint="eastAsia"/>
        </w:rPr>
        <w:t>10</w:t>
      </w:r>
      <w:r>
        <w:t>日</w:t>
      </w:r>
      <w:r>
        <w:t>~2</w:t>
      </w:r>
      <w:r>
        <w:t>月</w:t>
      </w:r>
      <w:r>
        <w:rPr>
          <w:rFonts w:hint="eastAsia"/>
        </w:rPr>
        <w:t>21</w:t>
      </w:r>
      <w:r>
        <w:t>日，项目组对</w:t>
      </w:r>
      <w:r>
        <w:rPr>
          <w:rFonts w:hint="eastAsia"/>
        </w:rPr>
        <w:t>鲁明公司</w:t>
      </w:r>
      <w:r>
        <w:rPr>
          <w:rFonts w:hint="eastAsia"/>
        </w:rPr>
        <w:t>5</w:t>
      </w:r>
      <w:r>
        <w:rPr>
          <w:rFonts w:hint="eastAsia"/>
        </w:rPr>
        <w:t>个集输站</w:t>
      </w:r>
      <w:r>
        <w:rPr>
          <w:rFonts w:hint="eastAsia"/>
        </w:rPr>
        <w:t>/</w:t>
      </w:r>
      <w:r>
        <w:rPr>
          <w:rFonts w:hint="eastAsia"/>
        </w:rPr>
        <w:t>联合站的现状</w:t>
      </w:r>
      <w:r>
        <w:t>进行了</w:t>
      </w:r>
      <w:r>
        <w:rPr>
          <w:rFonts w:hint="eastAsia"/>
        </w:rPr>
        <w:t>系</w:t>
      </w:r>
      <w:r>
        <w:rPr>
          <w:rFonts w:hint="eastAsia"/>
        </w:rPr>
        <w:lastRenderedPageBreak/>
        <w:t>统性</w:t>
      </w:r>
      <w:r>
        <w:t>检查。检查内容包括：油气集输站场布置</w:t>
      </w:r>
      <w:r>
        <w:rPr>
          <w:rFonts w:hint="eastAsia"/>
        </w:rPr>
        <w:t>、油罐区等十几各方面的内容，针对每个集输站</w:t>
      </w:r>
      <w:r>
        <w:rPr>
          <w:rFonts w:hint="eastAsia"/>
        </w:rPr>
        <w:t>/</w:t>
      </w:r>
      <w:r>
        <w:rPr>
          <w:rFonts w:hint="eastAsia"/>
        </w:rPr>
        <w:t>联合站的特点做出安全检查表。经检查可知：</w:t>
      </w:r>
    </w:p>
    <w:p w:rsidR="00F95F9B" w:rsidRDefault="00000000">
      <w:pPr>
        <w:widowControl w:val="0"/>
        <w:adjustRightInd w:val="0"/>
        <w:snapToGrid w:val="0"/>
        <w:ind w:leftChars="200" w:left="470" w:firstLineChars="0" w:firstLine="0"/>
      </w:pPr>
      <w:r>
        <w:rPr>
          <w:rFonts w:hint="eastAsia"/>
        </w:rPr>
        <w:t>1</w:t>
      </w:r>
      <w:r>
        <w:rPr>
          <w:rFonts w:hint="eastAsia"/>
        </w:rPr>
        <w:t>）济北集输站存在的安全隐患和问题有：</w:t>
      </w:r>
    </w:p>
    <w:p w:rsidR="00F95F9B" w:rsidRDefault="00000000">
      <w:pPr>
        <w:numPr>
          <w:ilvl w:val="0"/>
          <w:numId w:val="16"/>
        </w:numPr>
        <w:adjustRightInd w:val="0"/>
        <w:snapToGrid w:val="0"/>
        <w:ind w:left="0" w:firstLine="470"/>
      </w:pPr>
      <w:r>
        <w:rPr>
          <w:rFonts w:hint="eastAsia"/>
        </w:rPr>
        <w:t>油罐区阀门未编号挂牌。</w:t>
      </w:r>
    </w:p>
    <w:p w:rsidR="00F95F9B" w:rsidRDefault="00000000">
      <w:pPr>
        <w:numPr>
          <w:ilvl w:val="0"/>
          <w:numId w:val="16"/>
        </w:numPr>
        <w:adjustRightInd w:val="0"/>
        <w:snapToGrid w:val="0"/>
        <w:ind w:left="0" w:firstLine="470"/>
      </w:pPr>
      <w:r>
        <w:rPr>
          <w:rFonts w:hint="eastAsia"/>
        </w:rPr>
        <w:t>分离器区、天然气干燥区地面管道物质流向无指示箭头。</w:t>
      </w:r>
    </w:p>
    <w:p w:rsidR="00F95F9B" w:rsidRDefault="00000000">
      <w:pPr>
        <w:numPr>
          <w:ilvl w:val="0"/>
          <w:numId w:val="16"/>
        </w:numPr>
        <w:adjustRightInd w:val="0"/>
        <w:snapToGrid w:val="0"/>
        <w:ind w:left="0" w:firstLine="470"/>
      </w:pPr>
      <w:r>
        <w:rPr>
          <w:rFonts w:hint="eastAsia"/>
        </w:rPr>
        <w:t>原油外输泵房电缆沟盖板有孔洞，且电缆沟未采取填砂等防止可燃气体积聚及防止含可燃液体的污水进入沟内的措施。</w:t>
      </w:r>
    </w:p>
    <w:p w:rsidR="00F95F9B" w:rsidRDefault="00000000">
      <w:pPr>
        <w:numPr>
          <w:ilvl w:val="0"/>
          <w:numId w:val="16"/>
        </w:numPr>
        <w:adjustRightInd w:val="0"/>
        <w:snapToGrid w:val="0"/>
        <w:ind w:left="0" w:firstLine="470"/>
      </w:pPr>
      <w:r>
        <w:rPr>
          <w:rFonts w:hint="eastAsia"/>
        </w:rPr>
        <w:t>油外输泵房西侧两台原油外输泵的过滤器未接地。</w:t>
      </w:r>
    </w:p>
    <w:p w:rsidR="00F95F9B" w:rsidRDefault="00000000">
      <w:pPr>
        <w:numPr>
          <w:ilvl w:val="0"/>
          <w:numId w:val="16"/>
        </w:numPr>
        <w:adjustRightInd w:val="0"/>
        <w:snapToGrid w:val="0"/>
        <w:ind w:left="0" w:firstLine="470"/>
      </w:pPr>
      <w:r>
        <w:rPr>
          <w:rFonts w:hint="eastAsia"/>
        </w:rPr>
        <w:t>加热炉南天然气分离器，压力表未划出指示工作压力的红线。</w:t>
      </w:r>
    </w:p>
    <w:p w:rsidR="00F95F9B" w:rsidRDefault="00000000">
      <w:pPr>
        <w:numPr>
          <w:ilvl w:val="0"/>
          <w:numId w:val="16"/>
        </w:numPr>
        <w:adjustRightInd w:val="0"/>
        <w:snapToGrid w:val="0"/>
        <w:ind w:left="0" w:firstLine="470"/>
      </w:pPr>
      <w:r>
        <w:rPr>
          <w:rFonts w:hint="eastAsia"/>
        </w:rPr>
        <w:t>天然气压缩机区域未设置推车式灭火器。</w:t>
      </w:r>
    </w:p>
    <w:p w:rsidR="00F95F9B" w:rsidRDefault="00000000">
      <w:pPr>
        <w:numPr>
          <w:ilvl w:val="0"/>
          <w:numId w:val="16"/>
        </w:numPr>
        <w:adjustRightInd w:val="0"/>
        <w:snapToGrid w:val="0"/>
        <w:ind w:left="0" w:firstLine="470"/>
      </w:pPr>
      <w:r>
        <w:rPr>
          <w:rFonts w:hint="eastAsia"/>
        </w:rPr>
        <w:t>注水泵房安全阀泄放口出口管线过高，不能排入地面收集池。</w:t>
      </w:r>
    </w:p>
    <w:p w:rsidR="00F95F9B" w:rsidRDefault="00000000">
      <w:pPr>
        <w:numPr>
          <w:ilvl w:val="0"/>
          <w:numId w:val="16"/>
        </w:numPr>
        <w:adjustRightInd w:val="0"/>
        <w:snapToGrid w:val="0"/>
        <w:ind w:left="0" w:firstLine="470"/>
      </w:pPr>
      <w:r>
        <w:rPr>
          <w:rFonts w:hint="eastAsia"/>
        </w:rPr>
        <w:t>原油罐区警示标牌褪色。</w:t>
      </w:r>
    </w:p>
    <w:p w:rsidR="00F95F9B" w:rsidRDefault="00000000">
      <w:pPr>
        <w:widowControl w:val="0"/>
        <w:adjustRightInd w:val="0"/>
        <w:snapToGrid w:val="0"/>
        <w:ind w:leftChars="200" w:left="470" w:firstLineChars="0" w:firstLine="0"/>
      </w:pPr>
      <w:r>
        <w:rPr>
          <w:rFonts w:hint="eastAsia"/>
        </w:rPr>
        <w:t>2</w:t>
      </w:r>
      <w:r>
        <w:rPr>
          <w:rFonts w:hint="eastAsia"/>
        </w:rPr>
        <w:t>）临南联合站存在的安全隐患和问题有：</w:t>
      </w:r>
    </w:p>
    <w:p w:rsidR="00F95F9B" w:rsidRDefault="00000000">
      <w:pPr>
        <w:numPr>
          <w:ilvl w:val="0"/>
          <w:numId w:val="17"/>
        </w:numPr>
        <w:adjustRightInd w:val="0"/>
        <w:snapToGrid w:val="0"/>
        <w:ind w:left="0" w:firstLine="470"/>
      </w:pPr>
      <w:r>
        <w:rPr>
          <w:rFonts w:hint="eastAsia"/>
        </w:rPr>
        <w:t>中控室</w:t>
      </w:r>
      <w:r>
        <w:rPr>
          <w:rFonts w:hint="eastAsia"/>
        </w:rPr>
        <w:t>4#</w:t>
      </w:r>
      <w:r>
        <w:rPr>
          <w:rFonts w:hint="eastAsia"/>
        </w:rPr>
        <w:t>原油罐液位显示故障。</w:t>
      </w:r>
    </w:p>
    <w:p w:rsidR="00F95F9B" w:rsidRDefault="00000000">
      <w:pPr>
        <w:numPr>
          <w:ilvl w:val="0"/>
          <w:numId w:val="17"/>
        </w:numPr>
        <w:adjustRightInd w:val="0"/>
        <w:snapToGrid w:val="0"/>
        <w:ind w:left="0" w:firstLine="470"/>
      </w:pPr>
      <w:r>
        <w:rPr>
          <w:rFonts w:hint="eastAsia"/>
        </w:rPr>
        <w:t>原油罐区阀门无编号挂牌。</w:t>
      </w:r>
    </w:p>
    <w:p w:rsidR="00F95F9B" w:rsidRDefault="00000000">
      <w:pPr>
        <w:numPr>
          <w:ilvl w:val="0"/>
          <w:numId w:val="17"/>
        </w:numPr>
        <w:adjustRightInd w:val="0"/>
        <w:snapToGrid w:val="0"/>
        <w:ind w:left="0" w:firstLine="470"/>
      </w:pPr>
      <w:r>
        <w:rPr>
          <w:rFonts w:hint="eastAsia"/>
        </w:rPr>
        <w:t>外输泵房北侧配电箱前电缆沟未封堵。</w:t>
      </w:r>
    </w:p>
    <w:p w:rsidR="00F95F9B" w:rsidRDefault="00000000">
      <w:pPr>
        <w:numPr>
          <w:ilvl w:val="0"/>
          <w:numId w:val="17"/>
        </w:numPr>
        <w:adjustRightInd w:val="0"/>
        <w:snapToGrid w:val="0"/>
        <w:ind w:left="0" w:firstLine="470"/>
      </w:pPr>
      <w:r>
        <w:rPr>
          <w:rFonts w:hint="eastAsia"/>
        </w:rPr>
        <w:t>2#</w:t>
      </w:r>
      <w:r>
        <w:rPr>
          <w:rFonts w:hint="eastAsia"/>
        </w:rPr>
        <w:t>分离器安全阀铅封断开。</w:t>
      </w:r>
    </w:p>
    <w:p w:rsidR="00F95F9B" w:rsidRDefault="00000000">
      <w:pPr>
        <w:numPr>
          <w:ilvl w:val="0"/>
          <w:numId w:val="17"/>
        </w:numPr>
        <w:adjustRightInd w:val="0"/>
        <w:snapToGrid w:val="0"/>
        <w:ind w:left="0" w:firstLine="470"/>
      </w:pPr>
      <w:r>
        <w:rPr>
          <w:rFonts w:hint="eastAsia"/>
        </w:rPr>
        <w:t>罐区西侧含油污水卸车静电接地报警器故障。</w:t>
      </w:r>
    </w:p>
    <w:p w:rsidR="00F95F9B" w:rsidRDefault="00000000">
      <w:pPr>
        <w:numPr>
          <w:ilvl w:val="0"/>
          <w:numId w:val="17"/>
        </w:numPr>
        <w:adjustRightInd w:val="0"/>
        <w:snapToGrid w:val="0"/>
        <w:ind w:left="0" w:firstLine="470"/>
      </w:pPr>
      <w:r>
        <w:rPr>
          <w:rFonts w:hint="eastAsia"/>
        </w:rPr>
        <w:t>原油外输泵房门外无人体静电释放器。</w:t>
      </w:r>
    </w:p>
    <w:p w:rsidR="00F95F9B" w:rsidRDefault="00000000">
      <w:pPr>
        <w:numPr>
          <w:ilvl w:val="0"/>
          <w:numId w:val="17"/>
        </w:numPr>
        <w:adjustRightInd w:val="0"/>
        <w:snapToGrid w:val="0"/>
        <w:ind w:left="0" w:firstLine="470"/>
      </w:pPr>
      <w:r>
        <w:rPr>
          <w:rFonts w:hint="eastAsia"/>
        </w:rPr>
        <w:t>外输泵房配电室南侧二氧化碳灭火器未称重。</w:t>
      </w:r>
    </w:p>
    <w:p w:rsidR="00F95F9B" w:rsidRDefault="00000000">
      <w:pPr>
        <w:numPr>
          <w:ilvl w:val="0"/>
          <w:numId w:val="17"/>
        </w:numPr>
        <w:adjustRightInd w:val="0"/>
        <w:snapToGrid w:val="0"/>
        <w:ind w:left="0" w:firstLine="470"/>
      </w:pPr>
      <w:r>
        <w:rPr>
          <w:rFonts w:hint="eastAsia"/>
        </w:rPr>
        <w:t>电脱配电室绝缘手套超期未检。</w:t>
      </w:r>
    </w:p>
    <w:p w:rsidR="00F95F9B" w:rsidRDefault="00000000">
      <w:pPr>
        <w:widowControl w:val="0"/>
        <w:adjustRightInd w:val="0"/>
        <w:snapToGrid w:val="0"/>
        <w:ind w:leftChars="200" w:left="470" w:firstLineChars="0" w:firstLine="0"/>
      </w:pPr>
      <w:r>
        <w:rPr>
          <w:rFonts w:hint="eastAsia"/>
        </w:rPr>
        <w:t>3</w:t>
      </w:r>
      <w:r>
        <w:rPr>
          <w:rFonts w:hint="eastAsia"/>
        </w:rPr>
        <w:t>）商</w:t>
      </w:r>
      <w:r>
        <w:rPr>
          <w:rFonts w:hint="eastAsia"/>
        </w:rPr>
        <w:t>56</w:t>
      </w:r>
      <w:r>
        <w:rPr>
          <w:rFonts w:hint="eastAsia"/>
        </w:rPr>
        <w:t>集输站存在的安全隐患和问题有：</w:t>
      </w:r>
    </w:p>
    <w:p w:rsidR="00F95F9B" w:rsidRDefault="00000000">
      <w:pPr>
        <w:numPr>
          <w:ilvl w:val="0"/>
          <w:numId w:val="18"/>
        </w:numPr>
        <w:adjustRightInd w:val="0"/>
        <w:snapToGrid w:val="0"/>
        <w:ind w:left="0" w:firstLine="470"/>
      </w:pPr>
      <w:r>
        <w:rPr>
          <w:rFonts w:hint="eastAsia"/>
        </w:rPr>
        <w:t>油罐区阀门未编号挂牌。</w:t>
      </w:r>
    </w:p>
    <w:p w:rsidR="00F95F9B" w:rsidRDefault="00000000">
      <w:pPr>
        <w:numPr>
          <w:ilvl w:val="0"/>
          <w:numId w:val="18"/>
        </w:numPr>
        <w:adjustRightInd w:val="0"/>
        <w:snapToGrid w:val="0"/>
        <w:ind w:left="0" w:firstLine="470"/>
      </w:pPr>
      <w:r>
        <w:rPr>
          <w:rFonts w:hint="eastAsia"/>
        </w:rPr>
        <w:t>3#</w:t>
      </w:r>
      <w:r>
        <w:rPr>
          <w:rFonts w:hint="eastAsia"/>
        </w:rPr>
        <w:t>输油泵电机穿线管、大罐抽气压缩机北侧天然气分离器伴热穿线管密封不严，不能满足防爆要求。</w:t>
      </w:r>
    </w:p>
    <w:p w:rsidR="00F95F9B" w:rsidRDefault="00000000">
      <w:pPr>
        <w:numPr>
          <w:ilvl w:val="0"/>
          <w:numId w:val="18"/>
        </w:numPr>
        <w:adjustRightInd w:val="0"/>
        <w:snapToGrid w:val="0"/>
        <w:ind w:left="0" w:firstLine="470"/>
      </w:pPr>
      <w:r>
        <w:rPr>
          <w:rFonts w:hint="eastAsia"/>
        </w:rPr>
        <w:t>大罐抽气压缩机区域未配备推车式灭火器。</w:t>
      </w:r>
    </w:p>
    <w:p w:rsidR="00F95F9B" w:rsidRDefault="00000000">
      <w:pPr>
        <w:numPr>
          <w:ilvl w:val="0"/>
          <w:numId w:val="18"/>
        </w:numPr>
        <w:adjustRightInd w:val="0"/>
        <w:snapToGrid w:val="0"/>
        <w:ind w:left="0" w:firstLine="470"/>
      </w:pPr>
      <w:r>
        <w:rPr>
          <w:rFonts w:hint="eastAsia"/>
        </w:rPr>
        <w:t>原油罐区储罐上罐扶梯入口处未设人体静电装置。</w:t>
      </w:r>
    </w:p>
    <w:p w:rsidR="00F95F9B" w:rsidRDefault="00000000">
      <w:pPr>
        <w:numPr>
          <w:ilvl w:val="0"/>
          <w:numId w:val="18"/>
        </w:numPr>
        <w:adjustRightInd w:val="0"/>
        <w:snapToGrid w:val="0"/>
        <w:ind w:left="0" w:firstLine="470"/>
      </w:pPr>
      <w:r>
        <w:rPr>
          <w:rFonts w:hint="eastAsia"/>
        </w:rPr>
        <w:t>原油泵房内可燃气体报警器的安装高度超过</w:t>
      </w:r>
      <w:r>
        <w:rPr>
          <w:rFonts w:hint="eastAsia"/>
        </w:rPr>
        <w:t>0.6m</w:t>
      </w:r>
      <w:r>
        <w:rPr>
          <w:rFonts w:hint="eastAsia"/>
        </w:rPr>
        <w:t>。</w:t>
      </w:r>
    </w:p>
    <w:p w:rsidR="00F95F9B" w:rsidRDefault="00000000">
      <w:pPr>
        <w:numPr>
          <w:ilvl w:val="0"/>
          <w:numId w:val="18"/>
        </w:numPr>
        <w:adjustRightInd w:val="0"/>
        <w:snapToGrid w:val="0"/>
        <w:ind w:left="0" w:firstLine="470"/>
      </w:pPr>
      <w:r>
        <w:rPr>
          <w:rFonts w:hint="eastAsia"/>
        </w:rPr>
        <w:t>消防泵房配电室二氧化碳灭火器无称重记录。</w:t>
      </w:r>
    </w:p>
    <w:p w:rsidR="00F95F9B" w:rsidRDefault="00000000">
      <w:pPr>
        <w:numPr>
          <w:ilvl w:val="0"/>
          <w:numId w:val="18"/>
        </w:numPr>
        <w:adjustRightInd w:val="0"/>
        <w:snapToGrid w:val="0"/>
        <w:ind w:left="0" w:firstLine="470"/>
      </w:pPr>
      <w:r>
        <w:rPr>
          <w:rFonts w:hint="eastAsia"/>
        </w:rPr>
        <w:t>罐区消防泡沫管线颜色脱落。</w:t>
      </w:r>
    </w:p>
    <w:p w:rsidR="00F95F9B" w:rsidRDefault="00000000">
      <w:pPr>
        <w:numPr>
          <w:ilvl w:val="0"/>
          <w:numId w:val="18"/>
        </w:numPr>
        <w:adjustRightInd w:val="0"/>
        <w:snapToGrid w:val="0"/>
        <w:ind w:left="0" w:firstLine="470"/>
      </w:pPr>
      <w:r>
        <w:rPr>
          <w:rFonts w:hint="eastAsia"/>
        </w:rPr>
        <w:lastRenderedPageBreak/>
        <w:t>罐区西侧防爆操作柱、分离器北侧防爆接线箱、污水池北侧配电箱前无绝缘装置。</w:t>
      </w:r>
    </w:p>
    <w:p w:rsidR="00F95F9B" w:rsidRDefault="00000000">
      <w:pPr>
        <w:numPr>
          <w:ilvl w:val="0"/>
          <w:numId w:val="18"/>
        </w:numPr>
        <w:adjustRightInd w:val="0"/>
        <w:snapToGrid w:val="0"/>
        <w:ind w:left="0" w:firstLine="470"/>
      </w:pPr>
      <w:r>
        <w:rPr>
          <w:rFonts w:hint="eastAsia"/>
        </w:rPr>
        <w:t>原油罐区多处安全标志牌褪色，未更换。</w:t>
      </w:r>
    </w:p>
    <w:p w:rsidR="00F95F9B" w:rsidRDefault="00000000">
      <w:pPr>
        <w:widowControl w:val="0"/>
        <w:adjustRightInd w:val="0"/>
        <w:snapToGrid w:val="0"/>
        <w:ind w:leftChars="200" w:left="470" w:firstLineChars="0" w:firstLine="0"/>
      </w:pPr>
      <w:r>
        <w:rPr>
          <w:rFonts w:hint="eastAsia"/>
        </w:rPr>
        <w:t>4</w:t>
      </w:r>
      <w:r>
        <w:rPr>
          <w:rFonts w:hint="eastAsia"/>
        </w:rPr>
        <w:t>）滨</w:t>
      </w:r>
      <w:r>
        <w:rPr>
          <w:rFonts w:hint="eastAsia"/>
        </w:rPr>
        <w:t>425</w:t>
      </w:r>
      <w:r>
        <w:rPr>
          <w:rFonts w:hint="eastAsia"/>
        </w:rPr>
        <w:t>集输站存在的安全隐患和问题有：</w:t>
      </w:r>
    </w:p>
    <w:p w:rsidR="00F95F9B" w:rsidRDefault="00000000">
      <w:pPr>
        <w:numPr>
          <w:ilvl w:val="0"/>
          <w:numId w:val="19"/>
        </w:numPr>
        <w:adjustRightInd w:val="0"/>
        <w:snapToGrid w:val="0"/>
        <w:ind w:left="0" w:firstLine="470"/>
      </w:pPr>
      <w:r>
        <w:rPr>
          <w:rFonts w:hint="eastAsia"/>
        </w:rPr>
        <w:t>滨</w:t>
      </w:r>
      <w:r>
        <w:rPr>
          <w:rFonts w:hint="eastAsia"/>
        </w:rPr>
        <w:t>425</w:t>
      </w:r>
      <w:r>
        <w:rPr>
          <w:rFonts w:hint="eastAsia"/>
        </w:rPr>
        <w:t>集输站天然气压缩机区域使用非防爆工具。</w:t>
      </w:r>
    </w:p>
    <w:p w:rsidR="00F95F9B" w:rsidRDefault="00000000">
      <w:pPr>
        <w:numPr>
          <w:ilvl w:val="0"/>
          <w:numId w:val="19"/>
        </w:numPr>
        <w:adjustRightInd w:val="0"/>
        <w:snapToGrid w:val="0"/>
        <w:ind w:left="0" w:firstLine="470"/>
      </w:pPr>
      <w:r>
        <w:rPr>
          <w:rFonts w:hint="eastAsia"/>
        </w:rPr>
        <w:t>配电室电缆沟通入处的墙洞未封堵。</w:t>
      </w:r>
    </w:p>
    <w:p w:rsidR="00F95F9B" w:rsidRDefault="00000000">
      <w:pPr>
        <w:numPr>
          <w:ilvl w:val="0"/>
          <w:numId w:val="19"/>
        </w:numPr>
        <w:adjustRightInd w:val="0"/>
        <w:snapToGrid w:val="0"/>
        <w:ind w:left="0" w:firstLine="470"/>
      </w:pPr>
      <w:r>
        <w:rPr>
          <w:rFonts w:hint="eastAsia"/>
        </w:rPr>
        <w:t>回注水泵安全阀泄放无收集措施。</w:t>
      </w:r>
    </w:p>
    <w:p w:rsidR="00F95F9B" w:rsidRDefault="00000000">
      <w:pPr>
        <w:numPr>
          <w:ilvl w:val="0"/>
          <w:numId w:val="19"/>
        </w:numPr>
        <w:adjustRightInd w:val="0"/>
        <w:snapToGrid w:val="0"/>
        <w:ind w:left="0" w:firstLine="470"/>
      </w:pPr>
      <w:r>
        <w:rPr>
          <w:rFonts w:hint="eastAsia"/>
        </w:rPr>
        <w:t>滨</w:t>
      </w:r>
      <w:r>
        <w:rPr>
          <w:rFonts w:hint="eastAsia"/>
        </w:rPr>
        <w:t>425</w:t>
      </w:r>
      <w:r>
        <w:rPr>
          <w:rFonts w:hint="eastAsia"/>
        </w:rPr>
        <w:t>集输站天然气干燥器西侧放空管线阀门设单阀。</w:t>
      </w:r>
    </w:p>
    <w:p w:rsidR="00F95F9B" w:rsidRDefault="00000000">
      <w:pPr>
        <w:numPr>
          <w:ilvl w:val="0"/>
          <w:numId w:val="19"/>
        </w:numPr>
        <w:adjustRightInd w:val="0"/>
        <w:snapToGrid w:val="0"/>
        <w:ind w:left="0" w:firstLine="470"/>
      </w:pPr>
      <w:r>
        <w:rPr>
          <w:rFonts w:hint="eastAsia"/>
        </w:rPr>
        <w:t>滨</w:t>
      </w:r>
      <w:r>
        <w:rPr>
          <w:rFonts w:hint="eastAsia"/>
        </w:rPr>
        <w:t>425</w:t>
      </w:r>
      <w:r>
        <w:rPr>
          <w:rFonts w:hint="eastAsia"/>
        </w:rPr>
        <w:t>集输站天然气处理区无推车式灭火器。</w:t>
      </w:r>
    </w:p>
    <w:p w:rsidR="00F95F9B" w:rsidRDefault="00000000">
      <w:pPr>
        <w:widowControl w:val="0"/>
        <w:adjustRightInd w:val="0"/>
        <w:snapToGrid w:val="0"/>
        <w:ind w:leftChars="200" w:left="470" w:firstLineChars="0" w:firstLine="0"/>
      </w:pPr>
      <w:r>
        <w:rPr>
          <w:rFonts w:hint="eastAsia"/>
        </w:rPr>
        <w:t>5</w:t>
      </w:r>
      <w:r>
        <w:rPr>
          <w:rFonts w:hint="eastAsia"/>
        </w:rPr>
        <w:t>）青南集输站存在的安全隐患和问题有：</w:t>
      </w:r>
    </w:p>
    <w:p w:rsidR="00F95F9B" w:rsidRDefault="00000000">
      <w:pPr>
        <w:numPr>
          <w:ilvl w:val="0"/>
          <w:numId w:val="20"/>
        </w:numPr>
        <w:adjustRightInd w:val="0"/>
        <w:snapToGrid w:val="0"/>
        <w:ind w:left="0" w:firstLine="470"/>
      </w:pPr>
      <w:r>
        <w:rPr>
          <w:rFonts w:hint="eastAsia"/>
        </w:rPr>
        <w:t>油罐区阀门未编号挂牌。</w:t>
      </w:r>
    </w:p>
    <w:p w:rsidR="00F95F9B" w:rsidRDefault="00000000">
      <w:pPr>
        <w:numPr>
          <w:ilvl w:val="0"/>
          <w:numId w:val="20"/>
        </w:numPr>
        <w:adjustRightInd w:val="0"/>
        <w:snapToGrid w:val="0"/>
        <w:ind w:left="0" w:firstLine="470"/>
      </w:pPr>
      <w:r>
        <w:rPr>
          <w:rFonts w:hint="eastAsia"/>
        </w:rPr>
        <w:t>加热炉北侧天然气管线处可燃气体报警仪高度为</w:t>
      </w:r>
      <w:r>
        <w:rPr>
          <w:rFonts w:hint="eastAsia"/>
        </w:rPr>
        <w:t>0.3m</w:t>
      </w:r>
      <w:r>
        <w:rPr>
          <w:rFonts w:hint="eastAsia"/>
        </w:rPr>
        <w:t>。</w:t>
      </w:r>
    </w:p>
    <w:p w:rsidR="00F95F9B" w:rsidRDefault="00000000">
      <w:pPr>
        <w:numPr>
          <w:ilvl w:val="0"/>
          <w:numId w:val="20"/>
        </w:numPr>
        <w:adjustRightInd w:val="0"/>
        <w:snapToGrid w:val="0"/>
        <w:ind w:left="0" w:firstLine="470"/>
      </w:pPr>
      <w:r>
        <w:rPr>
          <w:rFonts w:hint="eastAsia"/>
        </w:rPr>
        <w:t>2#</w:t>
      </w:r>
      <w:r>
        <w:rPr>
          <w:rFonts w:hint="eastAsia"/>
        </w:rPr>
        <w:t>消防泵房配电柜前无绝缘胶垫。</w:t>
      </w:r>
    </w:p>
    <w:p w:rsidR="00F95F9B" w:rsidRDefault="00000000">
      <w:pPr>
        <w:numPr>
          <w:ilvl w:val="0"/>
          <w:numId w:val="20"/>
        </w:numPr>
        <w:adjustRightInd w:val="0"/>
        <w:snapToGrid w:val="0"/>
        <w:ind w:left="0" w:firstLine="470"/>
      </w:pPr>
      <w:r>
        <w:rPr>
          <w:rFonts w:hint="eastAsia"/>
        </w:rPr>
        <w:t>装卸油泵房防爆操作柱前无绝缘胶垫。</w:t>
      </w:r>
      <w:r>
        <w:rPr>
          <w:rFonts w:hint="eastAsia"/>
        </w:rPr>
        <w:tab/>
      </w:r>
      <w:r>
        <w:rPr>
          <w:rFonts w:hint="eastAsia"/>
        </w:rPr>
        <w:tab/>
      </w:r>
    </w:p>
    <w:p w:rsidR="00F95F9B" w:rsidRDefault="00000000">
      <w:pPr>
        <w:numPr>
          <w:ilvl w:val="0"/>
          <w:numId w:val="20"/>
        </w:numPr>
        <w:adjustRightInd w:val="0"/>
        <w:snapToGrid w:val="0"/>
        <w:ind w:left="0" w:firstLine="470"/>
      </w:pPr>
      <w:r>
        <w:rPr>
          <w:rFonts w:hint="eastAsia"/>
        </w:rPr>
        <w:t>中控室未设置消防应急照明。</w:t>
      </w:r>
    </w:p>
    <w:p w:rsidR="00F95F9B" w:rsidRDefault="00000000">
      <w:pPr>
        <w:widowControl w:val="0"/>
        <w:numPr>
          <w:ilvl w:val="2"/>
          <w:numId w:val="1"/>
        </w:numPr>
        <w:adjustRightInd w:val="0"/>
        <w:snapToGrid w:val="0"/>
        <w:ind w:left="0" w:firstLineChars="0"/>
        <w:outlineLvl w:val="2"/>
        <w:rPr>
          <w:rFonts w:eastAsia="黑体"/>
          <w:bCs/>
          <w:szCs w:val="32"/>
        </w:rPr>
      </w:pPr>
      <w:r>
        <w:rPr>
          <w:rFonts w:eastAsia="黑体" w:hint="eastAsia"/>
          <w:bCs/>
          <w:szCs w:val="32"/>
        </w:rPr>
        <w:t>单元小结</w:t>
      </w:r>
    </w:p>
    <w:p w:rsidR="00F95F9B" w:rsidRDefault="00000000">
      <w:pPr>
        <w:adjustRightInd w:val="0"/>
        <w:snapToGrid w:val="0"/>
        <w:ind w:firstLine="470"/>
      </w:pPr>
      <w:r>
        <w:rPr>
          <w:rFonts w:hint="eastAsia"/>
        </w:rPr>
        <w:t>针对检查出的问题，项目组提出切实可行的安全对策措施。鲁明公司</w:t>
      </w:r>
      <w:r>
        <w:t>及基层单位对此次现状评价现场检查发现的问题进行了整改。整改后，油气集输管线、</w:t>
      </w:r>
      <w:r>
        <w:rPr>
          <w:rFonts w:hint="eastAsia"/>
        </w:rPr>
        <w:t>集输站</w:t>
      </w:r>
      <w:r>
        <w:rPr>
          <w:rFonts w:hint="eastAsia"/>
        </w:rPr>
        <w:t>/</w:t>
      </w:r>
      <w:r>
        <w:t>联合站等油气处理站场运行良好，符合法律法规、标准和企业安全管理要求。</w:t>
      </w:r>
    </w:p>
    <w:p w:rsidR="00F95F9B" w:rsidRDefault="00F95F9B">
      <w:pPr>
        <w:widowControl w:val="0"/>
        <w:ind w:firstLine="470"/>
        <w:sectPr w:rsidR="00F95F9B">
          <w:footnotePr>
            <w:numFmt w:val="decimalEnclosedCircleChinese"/>
          </w:footnotePr>
          <w:pgSz w:w="11906" w:h="16838"/>
          <w:pgMar w:top="1417" w:right="1134" w:bottom="1134" w:left="1587" w:header="850" w:footer="850" w:gutter="0"/>
          <w:cols w:space="0"/>
          <w:docGrid w:type="linesAndChars" w:linePitch="340" w:charSpace="-1024"/>
        </w:sectPr>
      </w:pPr>
    </w:p>
    <w:p w:rsidR="00F95F9B" w:rsidRDefault="00000000">
      <w:pPr>
        <w:pStyle w:val="1"/>
        <w:keepNext w:val="0"/>
        <w:keepLines w:val="0"/>
        <w:widowControl w:val="0"/>
        <w:shd w:val="clear" w:color="auto" w:fill="FFFFFF" w:themeFill="background1"/>
        <w:spacing w:before="340" w:after="340"/>
      </w:pPr>
      <w:bookmarkStart w:id="86" w:name="_Toc23247"/>
      <w:r>
        <w:rPr>
          <w:rFonts w:hint="eastAsia"/>
        </w:rPr>
        <w:lastRenderedPageBreak/>
        <w:t>安全管理符合性评价</w:t>
      </w:r>
      <w:bookmarkEnd w:id="80"/>
      <w:bookmarkEnd w:id="86"/>
    </w:p>
    <w:p w:rsidR="00F95F9B" w:rsidRDefault="00000000">
      <w:pPr>
        <w:pStyle w:val="2"/>
        <w:keepNext w:val="0"/>
        <w:keepLines w:val="0"/>
        <w:shd w:val="clear" w:color="auto" w:fill="FFFFFF" w:themeFill="background1"/>
        <w:spacing w:before="170" w:after="170"/>
      </w:pPr>
      <w:bookmarkStart w:id="87" w:name="_Toc20726"/>
      <w:r>
        <w:rPr>
          <w:rFonts w:hint="eastAsia"/>
        </w:rPr>
        <w:t>安全管理现状评价</w:t>
      </w:r>
      <w:bookmarkEnd w:id="87"/>
    </w:p>
    <w:p w:rsidR="00F95F9B" w:rsidRDefault="00000000">
      <w:pPr>
        <w:pStyle w:val="3"/>
        <w:keepNext w:val="0"/>
        <w:keepLines w:val="0"/>
        <w:widowControl w:val="0"/>
        <w:shd w:val="clear" w:color="auto" w:fill="FFFFFF" w:themeFill="background1"/>
        <w:adjustRightInd w:val="0"/>
        <w:snapToGrid w:val="0"/>
        <w:ind w:left="0"/>
      </w:pPr>
      <w:r>
        <w:rPr>
          <w:rFonts w:hint="eastAsia"/>
        </w:rPr>
        <w:t>安全生产责任制</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t>第</w:t>
      </w:r>
      <w:r>
        <w:rPr>
          <w:rFonts w:hint="eastAsia"/>
        </w:rPr>
        <w:t>六</w:t>
      </w:r>
      <w:r>
        <w:t xml:space="preserve">条　</w:t>
      </w:r>
      <w:r>
        <w:rPr>
          <w:rFonts w:hint="eastAsia"/>
        </w:rPr>
        <w:t>建立健全主要负责人、分管负责人、安全生产管理人员、职能部门、岗位安全生产责任制。</w:t>
      </w:r>
    </w:p>
    <w:p w:rsidR="00F95F9B" w:rsidRDefault="00000000">
      <w:pPr>
        <w:widowControl w:val="0"/>
        <w:shd w:val="clear" w:color="auto" w:fill="FFFFFF" w:themeFill="background1"/>
        <w:adjustRightInd w:val="0"/>
        <w:snapToGrid w:val="0"/>
        <w:ind w:firstLine="470"/>
      </w:pPr>
      <w:r>
        <w:t>2</w:t>
      </w:r>
      <w:r>
        <w:rPr>
          <w:rFonts w:hint="eastAsia"/>
        </w:rPr>
        <w:t>）《安全生产法》</w:t>
      </w:r>
    </w:p>
    <w:p w:rsidR="00F95F9B" w:rsidRDefault="00000000">
      <w:pPr>
        <w:widowControl w:val="0"/>
        <w:shd w:val="clear" w:color="auto" w:fill="FFFFFF" w:themeFill="background1"/>
        <w:adjustRightInd w:val="0"/>
        <w:snapToGrid w:val="0"/>
        <w:ind w:firstLine="470"/>
      </w:pPr>
      <w:r>
        <w:t>第四条　生产经营单位必须遵守本法和其他有关安全生产的法律、法规，加强安全生产管理，建立健全全员安全生产责任制</w:t>
      </w:r>
      <w:r>
        <w:rPr>
          <w:rFonts w:hint="eastAsia"/>
        </w:rPr>
        <w:t>和安全生产规章制度。</w:t>
      </w:r>
    </w:p>
    <w:p w:rsidR="00F95F9B" w:rsidRDefault="00000000">
      <w:pPr>
        <w:widowControl w:val="0"/>
        <w:shd w:val="clear" w:color="auto" w:fill="FFFFFF" w:themeFill="background1"/>
        <w:adjustRightInd w:val="0"/>
        <w:snapToGrid w:val="0"/>
        <w:ind w:firstLine="470"/>
      </w:pPr>
      <w:r>
        <w:t>第二十二条　生产经营单位的全员安全生产责任制应当明确各岗位的责任人员、责任范围和考核标准等内容。</w:t>
      </w:r>
    </w:p>
    <w:p w:rsidR="00F95F9B" w:rsidRDefault="00000000">
      <w:pPr>
        <w:widowControl w:val="0"/>
        <w:shd w:val="clear" w:color="auto" w:fill="FFFFFF" w:themeFill="background1"/>
        <w:adjustRightInd w:val="0"/>
        <w:snapToGrid w:val="0"/>
        <w:ind w:firstLine="470"/>
        <w:jc w:val="left"/>
      </w:pPr>
      <w:r>
        <w:t>3</w:t>
      </w:r>
      <w:r>
        <w:rPr>
          <w:rFonts w:hint="eastAsia"/>
        </w:rPr>
        <w:t>）《山东省生产经营单位安全生产主体责任规定》</w:t>
      </w:r>
    </w:p>
    <w:p w:rsidR="00F95F9B" w:rsidRDefault="00000000">
      <w:pPr>
        <w:widowControl w:val="0"/>
        <w:shd w:val="clear" w:color="auto" w:fill="FFFFFF" w:themeFill="background1"/>
        <w:adjustRightInd w:val="0"/>
        <w:snapToGrid w:val="0"/>
        <w:ind w:firstLine="470"/>
        <w:jc w:val="left"/>
      </w:pPr>
      <w:r>
        <w:rPr>
          <w:rFonts w:hint="eastAsia"/>
        </w:rPr>
        <w:t>第六条　生产经营单位应当建立、健全安全生产责任制度，实行全员安全生产责任制，明确生产经营单位主要负责人、其他负责人、职能部门负责人、生产车间（区队）负责人、生产班组负责人、一般从业人员等全体从业人员的安全生产责任，并逐级进行落实和考核。考核结果作为从业人员职务调整、收入分配等的重要依据。</w:t>
      </w:r>
    </w:p>
    <w:p w:rsidR="00F95F9B" w:rsidRDefault="00000000">
      <w:pPr>
        <w:widowControl w:val="0"/>
        <w:shd w:val="clear" w:color="auto" w:fill="FFFFFF" w:themeFill="background1"/>
        <w:adjustRightInd w:val="0"/>
        <w:snapToGrid w:val="0"/>
        <w:ind w:firstLine="470"/>
        <w:jc w:val="left"/>
      </w:pPr>
      <w:r>
        <w:t>4</w:t>
      </w:r>
      <w:r>
        <w:rPr>
          <w:rFonts w:hint="eastAsia"/>
        </w:rPr>
        <w:t>）《山东省生产经营单位全员安全生产责任清单》（全文）</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shd w:val="clear" w:color="auto" w:fill="FFFFFF" w:themeFill="background1"/>
        <w:adjustRightInd w:val="0"/>
        <w:snapToGrid w:val="0"/>
        <w:ind w:firstLine="470"/>
      </w:pPr>
      <w:r>
        <w:rPr>
          <w:rFonts w:hint="eastAsia"/>
        </w:rPr>
        <w:t>根据鲁明公司《关于印发</w:t>
      </w:r>
      <w:r>
        <w:rPr>
          <w:rFonts w:hint="eastAsia"/>
        </w:rPr>
        <w:t>&lt;</w:t>
      </w:r>
      <w:r>
        <w:rPr>
          <w:rFonts w:hint="eastAsia"/>
        </w:rPr>
        <w:t>鲁明公司全员安全生产（</w:t>
      </w:r>
      <w:r>
        <w:rPr>
          <w:rFonts w:hint="eastAsia"/>
        </w:rPr>
        <w:t>HSE</w:t>
      </w:r>
      <w:r>
        <w:rPr>
          <w:rFonts w:hint="eastAsia"/>
        </w:rPr>
        <w:t>）责任制管理细则</w:t>
      </w:r>
      <w:r>
        <w:rPr>
          <w:rFonts w:hint="eastAsia"/>
        </w:rPr>
        <w:t>&gt;</w:t>
      </w:r>
      <w:r>
        <w:rPr>
          <w:rFonts w:hint="eastAsia"/>
        </w:rPr>
        <w:t>的通知》（鲁明油发</w:t>
      </w:r>
      <w:r>
        <w:rPr>
          <w:rFonts w:hint="eastAsia"/>
        </w:rPr>
        <w:t>[2022]122</w:t>
      </w:r>
      <w:r>
        <w:rPr>
          <w:rFonts w:hint="eastAsia"/>
        </w:rPr>
        <w:t>号），各机关部门、直属单位、基层单位按照“党政同责，一岗双责”“三管三必须”的原则，以制度的形式明确了全员在生产经营活动中应负的安全生产责任。</w:t>
      </w:r>
    </w:p>
    <w:p w:rsidR="00F95F9B" w:rsidRDefault="00000000">
      <w:pPr>
        <w:widowControl w:val="0"/>
        <w:shd w:val="clear" w:color="auto" w:fill="FFFFFF" w:themeFill="background1"/>
        <w:adjustRightInd w:val="0"/>
        <w:snapToGrid w:val="0"/>
        <w:ind w:firstLine="470"/>
      </w:pPr>
      <w:r>
        <w:rPr>
          <w:rFonts w:hint="eastAsia"/>
        </w:rPr>
        <w:t xml:space="preserve"> </w:t>
      </w:r>
      <w:r>
        <w:rPr>
          <w:rFonts w:hint="eastAsia"/>
        </w:rPr>
        <w:t>鲁明公司按照组织机构建立了全员安全生产责任制，包括领导班子（</w:t>
      </w:r>
      <w:r>
        <w:rPr>
          <w:rFonts w:hint="eastAsia"/>
        </w:rPr>
        <w:t>8</w:t>
      </w:r>
      <w:r>
        <w:rPr>
          <w:rFonts w:hint="eastAsia"/>
        </w:rPr>
        <w:t>项）、首席专家（</w:t>
      </w:r>
      <w:r>
        <w:rPr>
          <w:rFonts w:hint="eastAsia"/>
        </w:rPr>
        <w:t>5</w:t>
      </w:r>
      <w:r>
        <w:rPr>
          <w:rFonts w:hint="eastAsia"/>
        </w:rPr>
        <w:t>项）、职能部门（九部四中心，共</w:t>
      </w:r>
      <w:r>
        <w:rPr>
          <w:rFonts w:hint="eastAsia"/>
        </w:rPr>
        <w:t>127</w:t>
      </w:r>
      <w:r>
        <w:rPr>
          <w:rFonts w:hint="eastAsia"/>
        </w:rPr>
        <w:t>项）、基层单位（</w:t>
      </w:r>
      <w:r>
        <w:rPr>
          <w:lang w:val="es-MX"/>
        </w:rPr>
        <w:t>8</w:t>
      </w:r>
      <w:r>
        <w:rPr>
          <w:rFonts w:hint="eastAsia"/>
        </w:rPr>
        <w:t>个基层单位）的全员安全生产责任制，对照《关于印发山东省生产经营单位全员安全生产责任清单的通知》（鲁安办发</w:t>
      </w:r>
      <w:r>
        <w:rPr>
          <w:rFonts w:hint="eastAsia"/>
        </w:rPr>
        <w:t>[2021]50</w:t>
      </w:r>
      <w:r>
        <w:rPr>
          <w:rFonts w:hint="eastAsia"/>
        </w:rPr>
        <w:t>号）的要求，安全生产责任制统计情况如表</w:t>
      </w:r>
      <w:r>
        <w:rPr>
          <w:rFonts w:hint="eastAsia"/>
        </w:rPr>
        <w:t>6.1-1</w:t>
      </w:r>
      <w:r>
        <w:rPr>
          <w:rFonts w:hint="eastAsia"/>
        </w:rPr>
        <w:t>全员安全生产责任制统计表。</w:t>
      </w:r>
    </w:p>
    <w:p w:rsidR="00F95F9B" w:rsidRDefault="00F95F9B">
      <w:pPr>
        <w:widowControl w:val="0"/>
        <w:shd w:val="clear" w:color="auto" w:fill="FFFFFF" w:themeFill="background1"/>
        <w:autoSpaceDE w:val="0"/>
        <w:autoSpaceDN w:val="0"/>
        <w:adjustRightInd w:val="0"/>
        <w:snapToGrid w:val="0"/>
        <w:spacing w:line="240" w:lineRule="auto"/>
        <w:ind w:firstLineChars="0" w:firstLine="0"/>
        <w:jc w:val="center"/>
        <w:rPr>
          <w:rFonts w:eastAsia="黑体"/>
          <w:sz w:val="21"/>
        </w:rPr>
      </w:pPr>
    </w:p>
    <w:p w:rsidR="00F95F9B" w:rsidRDefault="00000000">
      <w:pPr>
        <w:widowControl w:val="0"/>
        <w:shd w:val="clear" w:color="auto" w:fill="FFFFFF" w:themeFill="background1"/>
        <w:autoSpaceDE w:val="0"/>
        <w:autoSpaceDN w:val="0"/>
        <w:adjustRightInd w:val="0"/>
        <w:snapToGrid w:val="0"/>
        <w:spacing w:line="240" w:lineRule="auto"/>
        <w:ind w:firstLineChars="0" w:firstLine="0"/>
        <w:jc w:val="center"/>
        <w:rPr>
          <w:rFonts w:eastAsia="黑体"/>
          <w:sz w:val="21"/>
        </w:rPr>
      </w:pPr>
      <w:r>
        <w:rPr>
          <w:rFonts w:eastAsia="黑体" w:hint="eastAsia"/>
          <w:sz w:val="21"/>
        </w:rPr>
        <w:t>表</w:t>
      </w:r>
      <w:r>
        <w:rPr>
          <w:rFonts w:eastAsia="黑体"/>
          <w:sz w:val="21"/>
        </w:rPr>
        <w:t>6</w:t>
      </w:r>
      <w:r>
        <w:rPr>
          <w:rFonts w:eastAsia="黑体" w:hint="eastAsia"/>
          <w:sz w:val="21"/>
        </w:rPr>
        <w:t xml:space="preserve">.1-1 </w:t>
      </w:r>
      <w:r>
        <w:rPr>
          <w:rFonts w:eastAsia="黑体" w:hint="eastAsia"/>
          <w:sz w:val="21"/>
        </w:rPr>
        <w:t>全员安全生产责任制统计表</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spacing w:beforeLines="50" w:before="170"/>
      </w:pPr>
      <w:r>
        <w:rPr>
          <w:rFonts w:hint="eastAsia"/>
        </w:rPr>
        <w:t>检查结果</w:t>
      </w:r>
    </w:p>
    <w:p w:rsidR="00F95F9B" w:rsidRDefault="00000000">
      <w:pPr>
        <w:widowControl w:val="0"/>
        <w:shd w:val="clear" w:color="auto" w:fill="FFFFFF" w:themeFill="background1"/>
        <w:adjustRightInd w:val="0"/>
        <w:snapToGrid w:val="0"/>
        <w:ind w:firstLine="470"/>
        <w:rPr>
          <w:strike/>
        </w:rPr>
      </w:pPr>
      <w:r>
        <w:rPr>
          <w:rFonts w:hint="eastAsia"/>
        </w:rPr>
        <w:t>鲁明公司建立了全员安全生产责任制</w:t>
      </w:r>
      <w:r>
        <w:rPr>
          <w:rFonts w:ascii="微软雅黑" w:hAnsi="微软雅黑" w:hint="eastAsia"/>
          <w:shd w:val="clear" w:color="auto" w:fill="FFFFFF"/>
        </w:rPr>
        <w:t>，</w:t>
      </w:r>
      <w:r>
        <w:rPr>
          <w:rFonts w:hint="eastAsia"/>
        </w:rPr>
        <w:t>符合国家法律法规及标准规范的要求。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安全生产规章制度和操作规程</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rPr>
          <w:rFonts w:hint="eastAsia"/>
        </w:rPr>
        <w:t>第六条　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p w:rsidR="00F95F9B" w:rsidRDefault="00000000">
      <w:pPr>
        <w:widowControl w:val="0"/>
        <w:shd w:val="clear" w:color="auto" w:fill="FFFFFF" w:themeFill="background1"/>
        <w:adjustRightInd w:val="0"/>
        <w:snapToGrid w:val="0"/>
        <w:ind w:firstLine="470"/>
      </w:pPr>
      <w:r>
        <w:t>2</w:t>
      </w:r>
      <w:r>
        <w:rPr>
          <w:rFonts w:hint="eastAsia"/>
        </w:rPr>
        <w:t>）《特种设备安全法》</w:t>
      </w:r>
    </w:p>
    <w:p w:rsidR="00F95F9B" w:rsidRDefault="00000000">
      <w:pPr>
        <w:widowControl w:val="0"/>
        <w:shd w:val="clear" w:color="auto" w:fill="FFFFFF" w:themeFill="background1"/>
        <w:adjustRightInd w:val="0"/>
        <w:snapToGrid w:val="0"/>
        <w:ind w:firstLine="470"/>
      </w:pPr>
      <w:r>
        <w:rPr>
          <w:rFonts w:hint="eastAsia"/>
        </w:rPr>
        <w:t>第三十四条　特种设备使用单位应当建立岗位责任、隐患治理、应急救援等安全管理制度，制定操作规程，保证特种设备安全运行。</w:t>
      </w:r>
    </w:p>
    <w:p w:rsidR="00F95F9B" w:rsidRDefault="00000000">
      <w:pPr>
        <w:widowControl w:val="0"/>
        <w:shd w:val="clear" w:color="auto" w:fill="FFFFFF" w:themeFill="background1"/>
        <w:adjustRightInd w:val="0"/>
        <w:snapToGrid w:val="0"/>
        <w:ind w:firstLine="470"/>
      </w:pPr>
      <w:r>
        <w:t>3</w:t>
      </w:r>
      <w:r>
        <w:rPr>
          <w:rFonts w:hint="eastAsia"/>
        </w:rPr>
        <w:t>）《山东省安全生产条例》</w:t>
      </w:r>
    </w:p>
    <w:p w:rsidR="00F95F9B" w:rsidRDefault="00000000">
      <w:pPr>
        <w:widowControl w:val="0"/>
        <w:shd w:val="clear" w:color="auto" w:fill="FFFFFF" w:themeFill="background1"/>
        <w:adjustRightInd w:val="0"/>
        <w:snapToGrid w:val="0"/>
        <w:ind w:firstLine="470"/>
      </w:pPr>
      <w:r>
        <w:rPr>
          <w:rFonts w:hint="eastAsia"/>
        </w:rPr>
        <w:t>第十五条　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p w:rsidR="00F95F9B" w:rsidRDefault="00000000">
      <w:pPr>
        <w:widowControl w:val="0"/>
        <w:shd w:val="clear" w:color="auto" w:fill="FFFFFF" w:themeFill="background1"/>
        <w:adjustRightInd w:val="0"/>
        <w:snapToGrid w:val="0"/>
        <w:ind w:firstLine="470"/>
      </w:pPr>
      <w:r>
        <w:t>4</w:t>
      </w:r>
      <w:r>
        <w:rPr>
          <w:rFonts w:hint="eastAsia"/>
        </w:rPr>
        <w:t>）《山东省生产经营单位安全生产主体责任规定》</w:t>
      </w:r>
    </w:p>
    <w:p w:rsidR="00F95F9B" w:rsidRDefault="00000000">
      <w:pPr>
        <w:widowControl w:val="0"/>
        <w:shd w:val="clear" w:color="auto" w:fill="FFFFFF" w:themeFill="background1"/>
        <w:adjustRightInd w:val="0"/>
        <w:snapToGrid w:val="0"/>
        <w:ind w:firstLine="470"/>
        <w:jc w:val="left"/>
      </w:pPr>
      <w:r>
        <w:rPr>
          <w:rFonts w:hint="eastAsia"/>
        </w:rPr>
        <w:t>第七条　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shd w:val="clear" w:color="auto" w:fill="FFFFFF" w:themeFill="background1"/>
        <w:adjustRightInd w:val="0"/>
        <w:snapToGrid w:val="0"/>
        <w:ind w:firstLine="470"/>
      </w:pPr>
      <w:r>
        <w:rPr>
          <w:rFonts w:hint="eastAsia"/>
        </w:rPr>
        <w:t>1</w:t>
      </w:r>
      <w:r>
        <w:rPr>
          <w:rFonts w:hint="eastAsia"/>
        </w:rPr>
        <w:t>）安全生产规章制度</w:t>
      </w:r>
    </w:p>
    <w:p w:rsidR="00F95F9B" w:rsidRDefault="00000000">
      <w:pPr>
        <w:widowControl w:val="0"/>
        <w:shd w:val="clear" w:color="auto" w:fill="FFFFFF" w:themeFill="background1"/>
        <w:adjustRightInd w:val="0"/>
        <w:snapToGrid w:val="0"/>
        <w:ind w:firstLine="470"/>
      </w:pPr>
      <w:r>
        <w:rPr>
          <w:rFonts w:hint="eastAsia"/>
        </w:rPr>
        <w:t>鲁明公司一方面执行中国石油化工股份有限公司和胜利油田分公司的相关制度，另一方面结合本单位生产实际制定了鲁明公司安全生产管理制度，主要包括《鲁明公司</w:t>
      </w:r>
      <w:r>
        <w:rPr>
          <w:rFonts w:hint="eastAsia"/>
        </w:rPr>
        <w:t>HSSE</w:t>
      </w:r>
      <w:r>
        <w:rPr>
          <w:rFonts w:hint="eastAsia"/>
        </w:rPr>
        <w:t>检查监督管理规定》、《鲁明公司特种设备管理办法》、《鲁明公司设备管理办法》、《鲁明公司卫生健康管理细则》、《鲁明公司特种设备管理办法》、《鲁明公司设备管理办法》、《鲁明公司档案管理办法》、《鲁明公司员工安全记分管理实施细则》、</w:t>
      </w:r>
      <w:r>
        <w:t>《鲁明公司生产过程风险管控责任考核细则》</w:t>
      </w:r>
      <w:r>
        <w:rPr>
          <w:rFonts w:hint="eastAsia"/>
        </w:rPr>
        <w:t>、《鲁明公司劳动防护用品管理规定》、《鲁明公</w:t>
      </w:r>
      <w:r>
        <w:rPr>
          <w:rFonts w:hint="eastAsia"/>
        </w:rPr>
        <w:lastRenderedPageBreak/>
        <w:t>司应急管理办法》、《鲁明公司安全生产“晨会”制度规范（试行）》、《鲁明公司领导干部带班制度实施办法》、《鲁明公司领导干部</w:t>
      </w:r>
      <w:r>
        <w:rPr>
          <w:rFonts w:hint="eastAsia"/>
        </w:rPr>
        <w:t xml:space="preserve"> HSE </w:t>
      </w:r>
      <w:r>
        <w:rPr>
          <w:rFonts w:hint="eastAsia"/>
        </w:rPr>
        <w:t>风险承包管理实施细则》等。法律法规要求的制度与企业执行的安全管理制度对比情况见下表。</w:t>
      </w:r>
    </w:p>
    <w:p w:rsidR="00F95F9B" w:rsidRDefault="00000000">
      <w:pPr>
        <w:widowControl w:val="0"/>
        <w:shd w:val="clear" w:color="auto" w:fill="FFFFFF" w:themeFill="background1"/>
        <w:autoSpaceDE w:val="0"/>
        <w:autoSpaceDN w:val="0"/>
        <w:adjustRightInd w:val="0"/>
        <w:snapToGrid w:val="0"/>
        <w:spacing w:line="240" w:lineRule="auto"/>
        <w:ind w:firstLineChars="0" w:firstLine="0"/>
        <w:jc w:val="center"/>
        <w:rPr>
          <w:rFonts w:eastAsia="黑体"/>
          <w:sz w:val="21"/>
        </w:rPr>
      </w:pPr>
      <w:r>
        <w:rPr>
          <w:rFonts w:eastAsia="黑体" w:hint="eastAsia"/>
          <w:sz w:val="21"/>
        </w:rPr>
        <w:t>表</w:t>
      </w:r>
      <w:r>
        <w:rPr>
          <w:rFonts w:eastAsia="黑体" w:hint="eastAsia"/>
          <w:sz w:val="21"/>
        </w:rPr>
        <w:t xml:space="preserve">6.1-2  </w:t>
      </w:r>
      <w:r>
        <w:rPr>
          <w:rFonts w:eastAsia="黑体" w:hint="eastAsia"/>
          <w:sz w:val="21"/>
        </w:rPr>
        <w:t>安全管理制度统计表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24"/>
        <w:gridCol w:w="1898"/>
        <w:gridCol w:w="5665"/>
        <w:gridCol w:w="868"/>
      </w:tblGrid>
      <w:tr w:rsidR="00F95F9B">
        <w:trPr>
          <w:trHeight w:val="482"/>
          <w:tblHeader/>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bCs/>
                <w:sz w:val="21"/>
              </w:rPr>
            </w:pPr>
            <w:r>
              <w:rPr>
                <w:rFonts w:hint="eastAsia"/>
                <w:b/>
                <w:bCs/>
                <w:sz w:val="21"/>
              </w:rPr>
              <w:t>序号</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bCs/>
                <w:sz w:val="21"/>
              </w:rPr>
            </w:pPr>
            <w:r>
              <w:rPr>
                <w:rFonts w:hint="eastAsia"/>
                <w:b/>
                <w:bCs/>
                <w:sz w:val="21"/>
              </w:rPr>
              <w:t>法规要求</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bCs/>
                <w:sz w:val="21"/>
              </w:rPr>
            </w:pPr>
            <w:r>
              <w:rPr>
                <w:rFonts w:hint="eastAsia"/>
                <w:b/>
                <w:bCs/>
                <w:sz w:val="21"/>
              </w:rPr>
              <w:t>企业执行的安全管理制度</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bCs/>
                <w:sz w:val="21"/>
              </w:rPr>
            </w:pPr>
            <w:r>
              <w:rPr>
                <w:rFonts w:hint="eastAsia"/>
                <w:b/>
                <w:bCs/>
                <w:sz w:val="21"/>
              </w:rPr>
              <w:t>备注</w:t>
            </w: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安全检查制度</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w:t>
            </w:r>
            <w:r>
              <w:rPr>
                <w:rFonts w:hint="eastAsia"/>
                <w:sz w:val="21"/>
              </w:rPr>
              <w:t>HSSE</w:t>
            </w:r>
            <w:r>
              <w:rPr>
                <w:rFonts w:hint="eastAsia"/>
                <w:sz w:val="21"/>
              </w:rPr>
              <w:t>检查监督管理规定》（鲁明油发〔</w:t>
            </w:r>
            <w:r>
              <w:rPr>
                <w:rFonts w:hint="eastAsia"/>
                <w:sz w:val="21"/>
              </w:rPr>
              <w:t>2019</w:t>
            </w:r>
            <w:r>
              <w:rPr>
                <w:rFonts w:hint="eastAsia"/>
                <w:sz w:val="21"/>
              </w:rPr>
              <w:t>〕</w:t>
            </w:r>
            <w:r>
              <w:rPr>
                <w:rFonts w:hint="eastAsia"/>
                <w:sz w:val="21"/>
              </w:rPr>
              <w:t xml:space="preserve"> 85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2</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职业危害预防制度</w:t>
            </w:r>
          </w:p>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kern w:val="0"/>
                <w:sz w:val="21"/>
              </w:rPr>
              <w:t>职业病防治管理</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《鲁明公司卫生健康管理细则》（鲁明油发〔</w:t>
            </w:r>
            <w:r>
              <w:rPr>
                <w:rFonts w:hint="eastAsia"/>
                <w:sz w:val="21"/>
              </w:rPr>
              <w:t>2022</w:t>
            </w:r>
            <w:r>
              <w:rPr>
                <w:rFonts w:hint="eastAsia"/>
                <w:sz w:val="21"/>
              </w:rPr>
              <w:t>〕</w:t>
            </w:r>
            <w:r>
              <w:rPr>
                <w:rFonts w:hint="eastAsia"/>
                <w:sz w:val="21"/>
              </w:rPr>
              <w:t xml:space="preserve">14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3</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安全教育培训和特种作业人员管理</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《胜利油田分公司安全培训与安全能力提升管理实施细则》（胜油局发〔</w:t>
            </w:r>
            <w:r>
              <w:rPr>
                <w:rFonts w:hint="eastAsia"/>
                <w:sz w:val="21"/>
              </w:rPr>
              <w:t>2021</w:t>
            </w:r>
            <w:r>
              <w:rPr>
                <w:rFonts w:hint="eastAsia"/>
                <w:sz w:val="21"/>
              </w:rPr>
              <w:t>〕</w:t>
            </w:r>
            <w:r>
              <w:rPr>
                <w:sz w:val="21"/>
              </w:rPr>
              <w:t xml:space="preserve">20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4</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生产安全事故管理制度</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《胜利油田生产安全事故事件管理实施细则》（胜油局发</w:t>
            </w:r>
            <w:r>
              <w:rPr>
                <w:rFonts w:hint="eastAsia"/>
                <w:sz w:val="21"/>
              </w:rPr>
              <w:t xml:space="preserve"> </w:t>
            </w:r>
            <w:r>
              <w:rPr>
                <w:rFonts w:hint="eastAsia"/>
                <w:sz w:val="21"/>
              </w:rPr>
              <w:t>〔</w:t>
            </w:r>
            <w:r>
              <w:rPr>
                <w:rFonts w:hint="eastAsia"/>
                <w:sz w:val="21"/>
              </w:rPr>
              <w:t>2022</w:t>
            </w:r>
            <w:r>
              <w:rPr>
                <w:rFonts w:hint="eastAsia"/>
                <w:sz w:val="21"/>
              </w:rPr>
              <w:t>〕</w:t>
            </w:r>
            <w:r>
              <w:rPr>
                <w:rFonts w:hint="eastAsia"/>
                <w:sz w:val="21"/>
              </w:rPr>
              <w:t xml:space="preserve">37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5</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重大危险源监控和重大隐患整改制度</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《胜利石油管理局有限公司胜利油田分公司生产安全风险分级管控和隐患排查治理双重预防管理实施细则》（胜油局发〔</w:t>
            </w:r>
            <w:r>
              <w:rPr>
                <w:rFonts w:hint="eastAsia"/>
                <w:sz w:val="21"/>
              </w:rPr>
              <w:t>2020</w:t>
            </w:r>
            <w:r>
              <w:rPr>
                <w:rFonts w:hint="eastAsia"/>
                <w:sz w:val="21"/>
              </w:rPr>
              <w:t>〕</w:t>
            </w:r>
            <w:r>
              <w:rPr>
                <w:rFonts w:hint="eastAsia"/>
                <w:sz w:val="21"/>
              </w:rPr>
              <w:t xml:space="preserve">78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454"/>
          <w:jc w:val="center"/>
        </w:trPr>
        <w:tc>
          <w:tcPr>
            <w:tcW w:w="395"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6</w:t>
            </w:r>
          </w:p>
        </w:tc>
        <w:tc>
          <w:tcPr>
            <w:tcW w:w="1036"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设备和特种设备安全管理类制度</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《鲁明公司特种设备管理办法》（鲁明油发〔</w:t>
            </w:r>
            <w:r>
              <w:rPr>
                <w:rFonts w:hint="eastAsia"/>
                <w:sz w:val="21"/>
              </w:rPr>
              <w:t>2020</w:t>
            </w:r>
            <w:r>
              <w:rPr>
                <w:rFonts w:hint="eastAsia"/>
                <w:sz w:val="21"/>
              </w:rPr>
              <w:t>〕</w:t>
            </w:r>
            <w:r>
              <w:rPr>
                <w:rFonts w:hint="eastAsia"/>
                <w:sz w:val="21"/>
              </w:rPr>
              <w:t xml:space="preserve">135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《鲁明公司设备管理办法》（鲁明油发〔</w:t>
            </w:r>
            <w:r>
              <w:rPr>
                <w:rFonts w:hint="eastAsia"/>
                <w:sz w:val="21"/>
              </w:rPr>
              <w:t>2022</w:t>
            </w:r>
            <w:r>
              <w:rPr>
                <w:rFonts w:hint="eastAsia"/>
                <w:sz w:val="21"/>
              </w:rPr>
              <w:t>〕</w:t>
            </w:r>
            <w:r>
              <w:rPr>
                <w:rFonts w:hint="eastAsia"/>
                <w:sz w:val="21"/>
              </w:rPr>
              <w:t xml:space="preserve">143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7</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安全生产档案管理制度</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《鲁明公司档案管理办法》（鲁明油发〔</w:t>
            </w:r>
            <w:r>
              <w:rPr>
                <w:rFonts w:hint="eastAsia"/>
                <w:sz w:val="21"/>
              </w:rPr>
              <w:t>2019</w:t>
            </w:r>
            <w:r>
              <w:rPr>
                <w:rFonts w:hint="eastAsia"/>
                <w:sz w:val="21"/>
              </w:rPr>
              <w:t>〕</w:t>
            </w:r>
            <w:r>
              <w:rPr>
                <w:rFonts w:hint="eastAsia"/>
                <w:sz w:val="21"/>
              </w:rPr>
              <w:t xml:space="preserve">131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8</w:t>
            </w:r>
          </w:p>
        </w:tc>
        <w:tc>
          <w:tcPr>
            <w:tcW w:w="1036"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bCs/>
                <w:sz w:val="21"/>
              </w:rPr>
            </w:pPr>
            <w:r>
              <w:rPr>
                <w:rFonts w:hint="eastAsia"/>
                <w:sz w:val="21"/>
              </w:rPr>
              <w:t>安全生产奖惩制度</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b/>
                <w:bCs/>
                <w:sz w:val="21"/>
              </w:rPr>
            </w:pPr>
            <w:r>
              <w:rPr>
                <w:rFonts w:hint="eastAsia"/>
                <w:sz w:val="21"/>
              </w:rPr>
              <w:t>《鲁明公司员工安全记分管理实施细则》（鲁明油发〔</w:t>
            </w:r>
            <w:r>
              <w:rPr>
                <w:rFonts w:hint="eastAsia"/>
                <w:sz w:val="21"/>
              </w:rPr>
              <w:t>2020</w:t>
            </w:r>
            <w:r>
              <w:rPr>
                <w:rFonts w:hint="eastAsia"/>
                <w:sz w:val="21"/>
              </w:rPr>
              <w:t>〕</w:t>
            </w:r>
            <w:r>
              <w:rPr>
                <w:rFonts w:hint="eastAsia"/>
                <w:sz w:val="21"/>
              </w:rPr>
              <w:t xml:space="preserve">38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《鲁明公司生产过程风险管控责任考核细则》</w:t>
            </w:r>
            <w:r>
              <w:rPr>
                <w:rFonts w:hint="eastAsia"/>
                <w:sz w:val="21"/>
              </w:rPr>
              <w:t>（鲁明油发〔</w:t>
            </w:r>
            <w:r>
              <w:rPr>
                <w:rFonts w:hint="eastAsia"/>
                <w:sz w:val="21"/>
              </w:rPr>
              <w:t>2022</w:t>
            </w:r>
            <w:r>
              <w:rPr>
                <w:rFonts w:hint="eastAsia"/>
                <w:sz w:val="21"/>
              </w:rPr>
              <w:t>〕</w:t>
            </w:r>
            <w:r>
              <w:rPr>
                <w:rFonts w:hint="eastAsia"/>
                <w:sz w:val="21"/>
              </w:rPr>
              <w:t xml:space="preserve">27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9</w:t>
            </w:r>
          </w:p>
        </w:tc>
        <w:tc>
          <w:tcPr>
            <w:tcW w:w="1036"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bCs/>
                <w:sz w:val="21"/>
              </w:rPr>
            </w:pPr>
            <w:r>
              <w:rPr>
                <w:rFonts w:hint="eastAsia"/>
                <w:sz w:val="21"/>
              </w:rPr>
              <w:t>安全生产资金投入</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b/>
                <w:bCs/>
                <w:sz w:val="21"/>
              </w:rPr>
            </w:pPr>
            <w:r>
              <w:rPr>
                <w:rFonts w:hint="eastAsia"/>
                <w:sz w:val="21"/>
              </w:rPr>
              <w:t>《关于规范安全生产费用使用管理要求的通知》（</w:t>
            </w:r>
            <w:r>
              <w:rPr>
                <w:rFonts w:hint="eastAsia"/>
                <w:sz w:val="21"/>
              </w:rPr>
              <w:t>2023</w:t>
            </w:r>
            <w:r>
              <w:rPr>
                <w:rFonts w:hint="eastAsia"/>
                <w:sz w:val="21"/>
              </w:rPr>
              <w:t>年</w:t>
            </w:r>
            <w:r>
              <w:rPr>
                <w:rFonts w:hint="eastAsia"/>
                <w:sz w:val="21"/>
              </w:rPr>
              <w:t>2</w:t>
            </w:r>
            <w:r>
              <w:rPr>
                <w:rFonts w:hint="eastAsia"/>
                <w:sz w:val="21"/>
              </w:rPr>
              <w:t>月</w:t>
            </w:r>
            <w:r>
              <w:rPr>
                <w:rFonts w:hint="eastAsia"/>
                <w:sz w:val="21"/>
              </w:rPr>
              <w:t>27</w:t>
            </w:r>
            <w:r>
              <w:rPr>
                <w:rFonts w:hint="eastAsia"/>
                <w:sz w:val="21"/>
              </w:rPr>
              <w:t>日）</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454"/>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《胜利石油管理局有限公司胜利油田分公司安全生产费用财务管理细则》（胜油局发〔</w:t>
            </w:r>
            <w:r>
              <w:rPr>
                <w:rFonts w:hint="eastAsia"/>
                <w:sz w:val="21"/>
              </w:rPr>
              <w:t>2019</w:t>
            </w:r>
            <w:r>
              <w:rPr>
                <w:rFonts w:hint="eastAsia"/>
                <w:sz w:val="21"/>
              </w:rPr>
              <w:t>〕</w:t>
            </w:r>
            <w:r>
              <w:rPr>
                <w:rFonts w:hint="eastAsia"/>
                <w:sz w:val="21"/>
              </w:rPr>
              <w:t xml:space="preserve">57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w:t>
            </w:r>
            <w:r>
              <w:rPr>
                <w:sz w:val="21"/>
              </w:rPr>
              <w:t>0</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劳动防护用品管理</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《鲁明公司劳动防护用品管理规定》（鲁明油发〔</w:t>
            </w:r>
            <w:r>
              <w:rPr>
                <w:rFonts w:hint="eastAsia"/>
                <w:sz w:val="21"/>
              </w:rPr>
              <w:t>2019</w:t>
            </w:r>
            <w:r>
              <w:rPr>
                <w:rFonts w:hint="eastAsia"/>
                <w:sz w:val="21"/>
              </w:rPr>
              <w:t>〕</w:t>
            </w:r>
            <w:r>
              <w:rPr>
                <w:rFonts w:hint="eastAsia"/>
                <w:sz w:val="21"/>
              </w:rPr>
              <w:t xml:space="preserve">96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218"/>
          <w:jc w:val="center"/>
        </w:trPr>
        <w:tc>
          <w:tcPr>
            <w:tcW w:w="395"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w:t>
            </w:r>
            <w:r>
              <w:rPr>
                <w:sz w:val="21"/>
              </w:rPr>
              <w:t>1</w:t>
            </w:r>
          </w:p>
        </w:tc>
        <w:tc>
          <w:tcPr>
            <w:tcW w:w="1036"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bCs/>
                <w:sz w:val="21"/>
              </w:rPr>
            </w:pPr>
            <w:r>
              <w:rPr>
                <w:rFonts w:hint="eastAsia"/>
                <w:sz w:val="21"/>
              </w:rPr>
              <w:t>安全设施和设备管理</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b/>
                <w:bCs/>
                <w:sz w:val="21"/>
              </w:rPr>
            </w:pPr>
            <w:r>
              <w:rPr>
                <w:rFonts w:hint="eastAsia"/>
                <w:sz w:val="21"/>
              </w:rPr>
              <w:t>《鲁明公司特种设备管理办法》（鲁明油发〔</w:t>
            </w:r>
            <w:r>
              <w:rPr>
                <w:rFonts w:hint="eastAsia"/>
                <w:sz w:val="21"/>
              </w:rPr>
              <w:t>2020</w:t>
            </w:r>
            <w:r>
              <w:rPr>
                <w:rFonts w:hint="eastAsia"/>
                <w:sz w:val="21"/>
              </w:rPr>
              <w:t>〕</w:t>
            </w:r>
            <w:r>
              <w:rPr>
                <w:rFonts w:hint="eastAsia"/>
                <w:sz w:val="21"/>
              </w:rPr>
              <w:t xml:space="preserve">135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《鲁明公司设备管理办法》（鲁明油发〔</w:t>
            </w:r>
            <w:r>
              <w:rPr>
                <w:rFonts w:hint="eastAsia"/>
                <w:sz w:val="21"/>
              </w:rPr>
              <w:t>2022</w:t>
            </w:r>
            <w:r>
              <w:rPr>
                <w:rFonts w:hint="eastAsia"/>
                <w:sz w:val="21"/>
              </w:rPr>
              <w:t>〕</w:t>
            </w:r>
            <w:r>
              <w:rPr>
                <w:rFonts w:hint="eastAsia"/>
                <w:sz w:val="21"/>
              </w:rPr>
              <w:t xml:space="preserve">143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w:t>
            </w:r>
            <w:r>
              <w:rPr>
                <w:sz w:val="21"/>
              </w:rPr>
              <w:t>2</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风险分级管控和隐患排查治理</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《胜利石油管理局有限公司胜利油田分公司生产安全风险分级管控和隐患排查治理双重预防管理实施细则》（胜油局发〔</w:t>
            </w:r>
            <w:r>
              <w:rPr>
                <w:rFonts w:hint="eastAsia"/>
                <w:sz w:val="21"/>
              </w:rPr>
              <w:t>2020</w:t>
            </w:r>
            <w:r>
              <w:rPr>
                <w:rFonts w:hint="eastAsia"/>
                <w:sz w:val="21"/>
              </w:rPr>
              <w:t>〕</w:t>
            </w:r>
            <w:r>
              <w:rPr>
                <w:rFonts w:hint="eastAsia"/>
                <w:sz w:val="21"/>
              </w:rPr>
              <w:t xml:space="preserve">78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90"/>
          <w:jc w:val="center"/>
        </w:trPr>
        <w:tc>
          <w:tcPr>
            <w:tcW w:w="395"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13</w:t>
            </w:r>
          </w:p>
        </w:tc>
        <w:tc>
          <w:tcPr>
            <w:tcW w:w="1036"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危险作业管理</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《胜利油田临时用电作业安全管理实施细则》（胜油局发〔</w:t>
            </w:r>
            <w:r>
              <w:rPr>
                <w:rFonts w:hint="eastAsia"/>
                <w:sz w:val="21"/>
              </w:rPr>
              <w:t>2022</w:t>
            </w:r>
            <w:r>
              <w:rPr>
                <w:rFonts w:hint="eastAsia"/>
                <w:sz w:val="21"/>
              </w:rPr>
              <w:t>〕</w:t>
            </w:r>
            <w:r>
              <w:rPr>
                <w:rFonts w:hint="eastAsia"/>
                <w:sz w:val="21"/>
              </w:rPr>
              <w:t xml:space="preserve">95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533"/>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《胜利油田受限空间作业安全管理实施细则》（胜油局发〔</w:t>
            </w:r>
            <w:r>
              <w:rPr>
                <w:rFonts w:hint="eastAsia"/>
                <w:sz w:val="21"/>
              </w:rPr>
              <w:t>2022</w:t>
            </w:r>
            <w:r>
              <w:rPr>
                <w:rFonts w:hint="eastAsia"/>
                <w:sz w:val="21"/>
              </w:rPr>
              <w:t>〕</w:t>
            </w:r>
            <w:r>
              <w:rPr>
                <w:rFonts w:hint="eastAsia"/>
                <w:sz w:val="21"/>
              </w:rPr>
              <w:t xml:space="preserve">96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533"/>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《胜利油田盲板抽堵作业安全管理实施细则》（胜油局发</w:t>
            </w:r>
            <w:r>
              <w:rPr>
                <w:rFonts w:hint="eastAsia"/>
                <w:sz w:val="21"/>
              </w:rPr>
              <w:t xml:space="preserve"> </w:t>
            </w:r>
            <w:r>
              <w:rPr>
                <w:rFonts w:hint="eastAsia"/>
                <w:sz w:val="21"/>
              </w:rPr>
              <w:t>〔</w:t>
            </w:r>
            <w:r>
              <w:rPr>
                <w:rFonts w:hint="eastAsia"/>
                <w:sz w:val="21"/>
              </w:rPr>
              <w:t>2022</w:t>
            </w:r>
            <w:r>
              <w:rPr>
                <w:rFonts w:hint="eastAsia"/>
                <w:sz w:val="21"/>
              </w:rPr>
              <w:t>〕</w:t>
            </w:r>
            <w:r>
              <w:rPr>
                <w:rFonts w:hint="eastAsia"/>
                <w:sz w:val="21"/>
              </w:rPr>
              <w:t xml:space="preserve">97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533"/>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《胜利油田高处作业安全管理实施细则》（胜油局发〔</w:t>
            </w:r>
            <w:r>
              <w:rPr>
                <w:rFonts w:hint="eastAsia"/>
                <w:sz w:val="21"/>
              </w:rPr>
              <w:t>2022</w:t>
            </w:r>
            <w:r>
              <w:rPr>
                <w:rFonts w:hint="eastAsia"/>
                <w:sz w:val="21"/>
              </w:rPr>
              <w:t>〕</w:t>
            </w:r>
            <w:r>
              <w:rPr>
                <w:rFonts w:hint="eastAsia"/>
                <w:sz w:val="21"/>
              </w:rPr>
              <w:t xml:space="preserve"> 98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533"/>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《胜利油田陆上石油天然气开采动火作业安全管理实施细则》（胜油局发〔</w:t>
            </w:r>
            <w:r>
              <w:rPr>
                <w:rFonts w:hint="eastAsia"/>
                <w:sz w:val="21"/>
              </w:rPr>
              <w:t>2022</w:t>
            </w:r>
            <w:r>
              <w:rPr>
                <w:rFonts w:hint="eastAsia"/>
                <w:sz w:val="21"/>
              </w:rPr>
              <w:t>〕</w:t>
            </w:r>
            <w:r>
              <w:rPr>
                <w:rFonts w:hint="eastAsia"/>
                <w:sz w:val="21"/>
              </w:rPr>
              <w:t xml:space="preserve">102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533"/>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《胜利油田吊装作业安全管理实施细则》（胜油局发〔</w:t>
            </w:r>
            <w:r>
              <w:rPr>
                <w:rFonts w:hint="eastAsia"/>
                <w:sz w:val="21"/>
              </w:rPr>
              <w:t>2022</w:t>
            </w:r>
            <w:r>
              <w:rPr>
                <w:rFonts w:hint="eastAsia"/>
                <w:sz w:val="21"/>
              </w:rPr>
              <w:t>〕</w:t>
            </w:r>
            <w:r>
              <w:rPr>
                <w:rFonts w:hint="eastAsia"/>
                <w:sz w:val="21"/>
              </w:rPr>
              <w:t xml:space="preserve">103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533"/>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《胜利油田动土作业安全管理实施细则》（胜油局发〔</w:t>
            </w:r>
            <w:r>
              <w:rPr>
                <w:rFonts w:hint="eastAsia"/>
                <w:sz w:val="21"/>
              </w:rPr>
              <w:t>2022</w:t>
            </w:r>
            <w:r>
              <w:rPr>
                <w:rFonts w:hint="eastAsia"/>
                <w:sz w:val="21"/>
              </w:rPr>
              <w:t>〕</w:t>
            </w:r>
            <w:r>
              <w:rPr>
                <w:rFonts w:hint="eastAsia"/>
                <w:sz w:val="21"/>
              </w:rPr>
              <w:t xml:space="preserve">104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w:t>
            </w:r>
            <w:r>
              <w:rPr>
                <w:sz w:val="21"/>
              </w:rPr>
              <w:t>4</w:t>
            </w:r>
          </w:p>
        </w:tc>
        <w:tc>
          <w:tcPr>
            <w:tcW w:w="1036"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应急预案管理</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《鲁明公司应急管理办法》（鲁明油发〔</w:t>
            </w:r>
            <w:r>
              <w:rPr>
                <w:rFonts w:hint="eastAsia"/>
                <w:sz w:val="21"/>
              </w:rPr>
              <w:t>2022</w:t>
            </w:r>
            <w:r>
              <w:rPr>
                <w:rFonts w:hint="eastAsia"/>
                <w:sz w:val="21"/>
              </w:rPr>
              <w:t>〕</w:t>
            </w:r>
            <w:r>
              <w:rPr>
                <w:rFonts w:hint="eastAsia"/>
                <w:sz w:val="21"/>
              </w:rPr>
              <w:t xml:space="preserve">20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15</w:t>
            </w:r>
          </w:p>
        </w:tc>
        <w:tc>
          <w:tcPr>
            <w:tcW w:w="1036"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安全生产会议</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《胜利油田及直属单位</w:t>
            </w:r>
            <w:r>
              <w:rPr>
                <w:rFonts w:hint="eastAsia"/>
                <w:sz w:val="21"/>
              </w:rPr>
              <w:t xml:space="preserve"> QHSE </w:t>
            </w:r>
            <w:r>
              <w:rPr>
                <w:rFonts w:hint="eastAsia"/>
                <w:sz w:val="21"/>
              </w:rPr>
              <w:t>相关会议规范意见》（胜油</w:t>
            </w:r>
            <w:r>
              <w:rPr>
                <w:rFonts w:hint="eastAsia"/>
                <w:sz w:val="21"/>
              </w:rPr>
              <w:t xml:space="preserve"> QHSE</w:t>
            </w:r>
            <w:r>
              <w:rPr>
                <w:rFonts w:hint="eastAsia"/>
                <w:sz w:val="21"/>
              </w:rPr>
              <w:t>〔</w:t>
            </w:r>
            <w:r>
              <w:rPr>
                <w:rFonts w:hint="eastAsia"/>
                <w:sz w:val="21"/>
              </w:rPr>
              <w:t>2022</w:t>
            </w:r>
            <w:r>
              <w:rPr>
                <w:rFonts w:hint="eastAsia"/>
                <w:sz w:val="21"/>
              </w:rPr>
              <w:t>〕</w:t>
            </w:r>
            <w:r>
              <w:rPr>
                <w:rFonts w:hint="eastAsia"/>
                <w:sz w:val="21"/>
              </w:rPr>
              <w:t xml:space="preserve">17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454"/>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《鲁明公司安全生产“晨会”制度规范（试行）》（鲁明工单〔</w:t>
            </w:r>
            <w:r>
              <w:rPr>
                <w:rFonts w:hint="eastAsia"/>
                <w:sz w:val="21"/>
              </w:rPr>
              <w:t>2022</w:t>
            </w:r>
            <w:r>
              <w:rPr>
                <w:rFonts w:hint="eastAsia"/>
                <w:sz w:val="21"/>
              </w:rPr>
              <w:t>〕</w:t>
            </w:r>
            <w:r>
              <w:rPr>
                <w:rFonts w:hint="eastAsia"/>
                <w:sz w:val="21"/>
              </w:rPr>
              <w:t xml:space="preserve">60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16</w:t>
            </w:r>
          </w:p>
        </w:tc>
        <w:tc>
          <w:tcPr>
            <w:tcW w:w="1036" w:type="pct"/>
            <w:tcBorders>
              <w:tl2br w:val="nil"/>
              <w:tr2bl w:val="nil"/>
            </w:tcBorders>
            <w:vAlign w:val="center"/>
          </w:tcPr>
          <w:p w:rsidR="00F95F9B" w:rsidRDefault="00000000">
            <w:pPr>
              <w:shd w:val="clear" w:color="auto" w:fill="FFFFFF" w:themeFill="background1"/>
              <w:adjustRightInd w:val="0"/>
              <w:snapToGrid w:val="0"/>
              <w:spacing w:beforeLines="20" w:before="68" w:afterLines="20" w:after="68" w:line="240" w:lineRule="auto"/>
              <w:ind w:firstLineChars="0" w:firstLine="0"/>
              <w:jc w:val="center"/>
              <w:rPr>
                <w:kern w:val="0"/>
                <w:sz w:val="21"/>
              </w:rPr>
            </w:pPr>
            <w:r>
              <w:rPr>
                <w:rFonts w:hint="eastAsia"/>
                <w:kern w:val="0"/>
                <w:sz w:val="21"/>
              </w:rPr>
              <w:t>事故报告</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《胜利油田生产安全事故事件管理实施细则》（胜油局发</w:t>
            </w:r>
            <w:r>
              <w:rPr>
                <w:rFonts w:hint="eastAsia"/>
                <w:sz w:val="21"/>
              </w:rPr>
              <w:t xml:space="preserve"> </w:t>
            </w:r>
            <w:r>
              <w:rPr>
                <w:rFonts w:hint="eastAsia"/>
                <w:sz w:val="21"/>
              </w:rPr>
              <w:t>〔</w:t>
            </w:r>
            <w:r>
              <w:rPr>
                <w:rFonts w:hint="eastAsia"/>
                <w:sz w:val="21"/>
              </w:rPr>
              <w:t>2022</w:t>
            </w:r>
            <w:r>
              <w:rPr>
                <w:rFonts w:hint="eastAsia"/>
                <w:sz w:val="21"/>
              </w:rPr>
              <w:t>〕</w:t>
            </w:r>
            <w:r>
              <w:rPr>
                <w:rFonts w:hint="eastAsia"/>
                <w:sz w:val="21"/>
              </w:rPr>
              <w:t xml:space="preserve">37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17</w:t>
            </w:r>
          </w:p>
        </w:tc>
        <w:tc>
          <w:tcPr>
            <w:tcW w:w="1036" w:type="pct"/>
            <w:tcBorders>
              <w:tl2br w:val="nil"/>
              <w:tr2bl w:val="nil"/>
            </w:tcBorders>
            <w:vAlign w:val="center"/>
          </w:tcPr>
          <w:p w:rsidR="00F95F9B" w:rsidRDefault="00000000">
            <w:pPr>
              <w:shd w:val="clear" w:color="auto" w:fill="FFFFFF" w:themeFill="background1"/>
              <w:adjustRightInd w:val="0"/>
              <w:snapToGrid w:val="0"/>
              <w:spacing w:beforeLines="20" w:before="68" w:afterLines="20" w:after="68" w:line="240" w:lineRule="auto"/>
              <w:ind w:firstLineChars="0" w:firstLine="0"/>
              <w:jc w:val="center"/>
              <w:rPr>
                <w:kern w:val="0"/>
                <w:sz w:val="21"/>
              </w:rPr>
            </w:pPr>
            <w:r>
              <w:rPr>
                <w:rFonts w:hint="eastAsia"/>
                <w:kern w:val="0"/>
                <w:sz w:val="21"/>
              </w:rPr>
              <w:t>应急救援</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《鲁明公司应急管理办法》（鲁明油发〔</w:t>
            </w:r>
            <w:r>
              <w:rPr>
                <w:rFonts w:hint="eastAsia"/>
                <w:sz w:val="21"/>
              </w:rPr>
              <w:t>2022</w:t>
            </w:r>
            <w:r>
              <w:rPr>
                <w:rFonts w:hint="eastAsia"/>
                <w:sz w:val="21"/>
              </w:rPr>
              <w:t>〕</w:t>
            </w:r>
            <w:r>
              <w:rPr>
                <w:rFonts w:hint="eastAsia"/>
                <w:sz w:val="21"/>
              </w:rPr>
              <w:t xml:space="preserve">20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18</w:t>
            </w:r>
          </w:p>
        </w:tc>
        <w:tc>
          <w:tcPr>
            <w:tcW w:w="1036" w:type="pct"/>
            <w:vMerge w:val="restart"/>
            <w:tcBorders>
              <w:tl2br w:val="nil"/>
              <w:tr2bl w:val="nil"/>
            </w:tcBorders>
            <w:vAlign w:val="center"/>
          </w:tcPr>
          <w:p w:rsidR="00F95F9B" w:rsidRDefault="00000000">
            <w:pPr>
              <w:shd w:val="clear" w:color="auto" w:fill="FFFFFF" w:themeFill="background1"/>
              <w:adjustRightInd w:val="0"/>
              <w:snapToGrid w:val="0"/>
              <w:spacing w:beforeLines="20" w:before="68" w:afterLines="20" w:after="68" w:line="240" w:lineRule="auto"/>
              <w:ind w:firstLineChars="0" w:firstLine="0"/>
              <w:jc w:val="center"/>
              <w:rPr>
                <w:kern w:val="0"/>
                <w:sz w:val="21"/>
              </w:rPr>
            </w:pPr>
            <w:r>
              <w:rPr>
                <w:rFonts w:hint="eastAsia"/>
                <w:kern w:val="0"/>
                <w:sz w:val="21"/>
              </w:rPr>
              <w:t>领导现场带班</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《鲁明公司领导干部带班制度实施办法》（鲁明油发〔</w:t>
            </w:r>
            <w:r>
              <w:rPr>
                <w:rFonts w:hint="eastAsia"/>
                <w:sz w:val="21"/>
              </w:rPr>
              <w:t>2021</w:t>
            </w:r>
            <w:r>
              <w:rPr>
                <w:rFonts w:hint="eastAsia"/>
                <w:sz w:val="21"/>
              </w:rPr>
              <w:t>〕</w:t>
            </w:r>
            <w:r>
              <w:rPr>
                <w:rFonts w:hint="eastAsia"/>
                <w:sz w:val="21"/>
              </w:rPr>
              <w:t xml:space="preserve">17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1036" w:type="pct"/>
            <w:vMerge/>
            <w:tcBorders>
              <w:tl2br w:val="nil"/>
              <w:tr2bl w:val="nil"/>
            </w:tcBorders>
            <w:vAlign w:val="center"/>
          </w:tcPr>
          <w:p w:rsidR="00F95F9B" w:rsidRDefault="00F95F9B">
            <w:pPr>
              <w:shd w:val="clear" w:color="auto" w:fill="FFFFFF" w:themeFill="background1"/>
              <w:adjustRightInd w:val="0"/>
              <w:snapToGrid w:val="0"/>
              <w:spacing w:beforeLines="20" w:before="68" w:afterLines="20" w:after="68" w:line="240" w:lineRule="auto"/>
              <w:ind w:firstLineChars="0" w:firstLine="0"/>
              <w:jc w:val="center"/>
              <w:rPr>
                <w:kern w:val="0"/>
                <w:sz w:val="21"/>
              </w:rPr>
            </w:pP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《鲁明公司领导干部</w:t>
            </w:r>
            <w:r>
              <w:rPr>
                <w:rFonts w:hint="eastAsia"/>
                <w:sz w:val="21"/>
              </w:rPr>
              <w:t xml:space="preserve"> HSE </w:t>
            </w:r>
            <w:r>
              <w:rPr>
                <w:rFonts w:hint="eastAsia"/>
                <w:sz w:val="21"/>
              </w:rPr>
              <w:t>风险承包管理实施细则》（鲁明</w:t>
            </w:r>
            <w:r>
              <w:rPr>
                <w:rFonts w:hint="eastAsia"/>
                <w:sz w:val="21"/>
              </w:rPr>
              <w:t xml:space="preserve"> </w:t>
            </w:r>
            <w:r>
              <w:rPr>
                <w:rFonts w:hint="eastAsia"/>
                <w:sz w:val="21"/>
              </w:rPr>
              <w:t>油发〔</w:t>
            </w:r>
            <w:r>
              <w:rPr>
                <w:rFonts w:hint="eastAsia"/>
                <w:sz w:val="21"/>
              </w:rPr>
              <w:t>2021</w:t>
            </w:r>
            <w:r>
              <w:rPr>
                <w:rFonts w:hint="eastAsia"/>
                <w:sz w:val="21"/>
              </w:rPr>
              <w:t>〕</w:t>
            </w:r>
            <w:r>
              <w:rPr>
                <w:rFonts w:hint="eastAsia"/>
                <w:sz w:val="21"/>
              </w:rPr>
              <w:t xml:space="preserve">120 </w:t>
            </w:r>
            <w:r>
              <w:rPr>
                <w:rFonts w:hint="eastAsia"/>
                <w:sz w:val="21"/>
              </w:rPr>
              <w:t>号）</w:t>
            </w:r>
          </w:p>
        </w:tc>
        <w:tc>
          <w:tcPr>
            <w:tcW w:w="474" w:type="pct"/>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rPr>
          <w:trHeight w:val="454"/>
          <w:jc w:val="center"/>
        </w:trPr>
        <w:tc>
          <w:tcPr>
            <w:tcW w:w="395"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19</w:t>
            </w:r>
          </w:p>
        </w:tc>
        <w:tc>
          <w:tcPr>
            <w:tcW w:w="1036" w:type="pct"/>
            <w:tcBorders>
              <w:tl2br w:val="nil"/>
              <w:tr2bl w:val="nil"/>
            </w:tcBorders>
            <w:vAlign w:val="center"/>
          </w:tcPr>
          <w:p w:rsidR="00F95F9B" w:rsidRDefault="00000000">
            <w:pPr>
              <w:shd w:val="clear" w:color="auto" w:fill="FFFFFF" w:themeFill="background1"/>
              <w:adjustRightInd w:val="0"/>
              <w:snapToGrid w:val="0"/>
              <w:spacing w:beforeLines="20" w:before="68" w:afterLines="20" w:after="68" w:line="240" w:lineRule="auto"/>
              <w:ind w:firstLineChars="0" w:firstLine="0"/>
              <w:jc w:val="center"/>
              <w:rPr>
                <w:kern w:val="0"/>
                <w:sz w:val="21"/>
              </w:rPr>
            </w:pPr>
            <w:r>
              <w:rPr>
                <w:rFonts w:hint="eastAsia"/>
                <w:sz w:val="21"/>
              </w:rPr>
              <w:t>“三同时”管理</w:t>
            </w:r>
          </w:p>
        </w:tc>
        <w:tc>
          <w:tcPr>
            <w:tcW w:w="3093"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rFonts w:hint="eastAsia"/>
                <w:sz w:val="21"/>
              </w:rPr>
              <w:t>《胜利油田建设项目安全设施及职业病防护设施“三同时”管理实施</w:t>
            </w:r>
            <w:r>
              <w:rPr>
                <w:rFonts w:hint="eastAsia"/>
                <w:sz w:val="21"/>
              </w:rPr>
              <w:t xml:space="preserve"> </w:t>
            </w:r>
            <w:r>
              <w:rPr>
                <w:rFonts w:hint="eastAsia"/>
                <w:sz w:val="21"/>
              </w:rPr>
              <w:t>细则》（胜油局发〔</w:t>
            </w:r>
            <w:r>
              <w:rPr>
                <w:rFonts w:hint="eastAsia"/>
                <w:sz w:val="21"/>
              </w:rPr>
              <w:t>2022</w:t>
            </w:r>
            <w:r>
              <w:rPr>
                <w:rFonts w:hint="eastAsia"/>
                <w:sz w:val="21"/>
              </w:rPr>
              <w:t>〕</w:t>
            </w:r>
            <w:r>
              <w:rPr>
                <w:rFonts w:hint="eastAsia"/>
                <w:sz w:val="21"/>
              </w:rPr>
              <w:t xml:space="preserve">23 </w:t>
            </w:r>
            <w:r>
              <w:rPr>
                <w:rFonts w:hint="eastAsia"/>
                <w:sz w:val="21"/>
              </w:rPr>
              <w:t>号）</w:t>
            </w:r>
          </w:p>
        </w:tc>
        <w:tc>
          <w:tcPr>
            <w:tcW w:w="474"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执行</w:t>
            </w:r>
          </w:p>
        </w:tc>
      </w:tr>
    </w:tbl>
    <w:p w:rsidR="00F95F9B" w:rsidRDefault="00000000">
      <w:pPr>
        <w:widowControl w:val="0"/>
        <w:shd w:val="clear" w:color="auto" w:fill="FFFFFF" w:themeFill="background1"/>
        <w:adjustRightInd w:val="0"/>
        <w:snapToGrid w:val="0"/>
        <w:spacing w:beforeLines="50" w:before="170"/>
        <w:ind w:firstLine="470"/>
      </w:pPr>
      <w:r>
        <w:t>2</w:t>
      </w:r>
      <w:r>
        <w:rPr>
          <w:rFonts w:hint="eastAsia"/>
        </w:rPr>
        <w:t>）操作规程</w:t>
      </w:r>
    </w:p>
    <w:p w:rsidR="00F95F9B" w:rsidRDefault="00000000">
      <w:pPr>
        <w:widowControl w:val="0"/>
        <w:shd w:val="clear" w:color="auto" w:fill="FFFFFF" w:themeFill="background1"/>
        <w:adjustRightInd w:val="0"/>
        <w:snapToGrid w:val="0"/>
        <w:ind w:firstLine="470"/>
        <w:rPr>
          <w:szCs w:val="24"/>
        </w:rPr>
      </w:pPr>
      <w:r>
        <w:rPr>
          <w:rFonts w:hint="eastAsia"/>
          <w:szCs w:val="24"/>
        </w:rPr>
        <w:t>鲁明公司执行中国石油化工股份有限公司胜利油田分公司的操作规程，作业操作规程汇编共计</w:t>
      </w:r>
      <w:r>
        <w:rPr>
          <w:rFonts w:hint="eastAsia"/>
          <w:szCs w:val="24"/>
        </w:rPr>
        <w:t>4</w:t>
      </w:r>
      <w:r>
        <w:rPr>
          <w:rFonts w:hint="eastAsia"/>
          <w:szCs w:val="24"/>
        </w:rPr>
        <w:t>大类，主要包括《胜利油田采油工程操作规程汇编</w:t>
      </w:r>
      <w:r>
        <w:rPr>
          <w:rFonts w:hint="eastAsia"/>
          <w:szCs w:val="24"/>
        </w:rPr>
        <w:t>-</w:t>
      </w:r>
      <w:r>
        <w:rPr>
          <w:rFonts w:hint="eastAsia"/>
          <w:szCs w:val="24"/>
        </w:rPr>
        <w:t>注入操作》、《胜利油田采油工程操作规程汇编</w:t>
      </w:r>
      <w:r>
        <w:rPr>
          <w:rFonts w:hint="eastAsia"/>
          <w:szCs w:val="24"/>
        </w:rPr>
        <w:t>-</w:t>
      </w:r>
      <w:r>
        <w:rPr>
          <w:rFonts w:hint="eastAsia"/>
          <w:szCs w:val="24"/>
        </w:rPr>
        <w:t>采油操作》、《胜利油田采油工程操作规程汇编</w:t>
      </w:r>
      <w:r>
        <w:rPr>
          <w:rFonts w:hint="eastAsia"/>
          <w:szCs w:val="24"/>
        </w:rPr>
        <w:t>-</w:t>
      </w:r>
      <w:r>
        <w:rPr>
          <w:rFonts w:hint="eastAsia"/>
          <w:szCs w:val="24"/>
        </w:rPr>
        <w:t>油气集输（储运）操作》、《胜利油田采油工程操作规程汇编</w:t>
      </w:r>
      <w:r>
        <w:rPr>
          <w:rFonts w:hint="eastAsia"/>
          <w:szCs w:val="24"/>
        </w:rPr>
        <w:t>-</w:t>
      </w:r>
      <w:r>
        <w:rPr>
          <w:rFonts w:hint="eastAsia"/>
          <w:szCs w:val="24"/>
        </w:rPr>
        <w:t>注采输设备操作》。详见附件</w:t>
      </w:r>
      <w:r>
        <w:rPr>
          <w:rFonts w:hint="eastAsia"/>
          <w:szCs w:val="24"/>
        </w:rPr>
        <w:t>7</w:t>
      </w:r>
      <w:r>
        <w:rPr>
          <w:rFonts w:hint="eastAsia"/>
          <w:szCs w:val="24"/>
        </w:rPr>
        <w:t>。</w:t>
      </w:r>
    </w:p>
    <w:p w:rsidR="00F95F9B" w:rsidRDefault="00000000">
      <w:pPr>
        <w:widowControl w:val="0"/>
        <w:shd w:val="clear" w:color="auto" w:fill="FFFFFF" w:themeFill="background1"/>
        <w:autoSpaceDE w:val="0"/>
        <w:autoSpaceDN w:val="0"/>
        <w:adjustRightInd w:val="0"/>
        <w:snapToGrid w:val="0"/>
        <w:spacing w:line="240" w:lineRule="auto"/>
        <w:ind w:firstLineChars="0" w:firstLine="0"/>
        <w:jc w:val="center"/>
        <w:rPr>
          <w:rFonts w:eastAsia="黑体"/>
          <w:sz w:val="21"/>
        </w:rPr>
      </w:pPr>
      <w:r>
        <w:rPr>
          <w:rFonts w:eastAsia="黑体" w:hint="eastAsia"/>
          <w:sz w:val="21"/>
        </w:rPr>
        <w:t>表</w:t>
      </w:r>
      <w:r>
        <w:rPr>
          <w:rFonts w:eastAsia="黑体" w:hint="eastAsia"/>
          <w:sz w:val="21"/>
        </w:rPr>
        <w:t xml:space="preserve">6.1-3  </w:t>
      </w:r>
      <w:r>
        <w:rPr>
          <w:rFonts w:eastAsia="黑体" w:hint="eastAsia"/>
          <w:sz w:val="21"/>
        </w:rPr>
        <w:t>操作规程统计表</w:t>
      </w:r>
    </w:p>
    <w:tbl>
      <w:tblPr>
        <w:tblW w:w="49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3"/>
        <w:gridCol w:w="1120"/>
        <w:gridCol w:w="5638"/>
        <w:gridCol w:w="1935"/>
      </w:tblGrid>
      <w:tr w:rsidR="00F95F9B">
        <w:trPr>
          <w:trHeight w:val="724"/>
          <w:tblHeader/>
          <w:jc w:val="center"/>
        </w:trPr>
        <w:tc>
          <w:tcPr>
            <w:tcW w:w="247"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jc w:val="center"/>
              <w:rPr>
                <w:b/>
                <w:bCs/>
                <w:sz w:val="21"/>
              </w:rPr>
            </w:pPr>
            <w:r>
              <w:rPr>
                <w:b/>
                <w:bCs/>
                <w:sz w:val="21"/>
              </w:rPr>
              <w:t>序号</w:t>
            </w:r>
          </w:p>
        </w:tc>
        <w:tc>
          <w:tcPr>
            <w:tcW w:w="612"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jc w:val="center"/>
              <w:rPr>
                <w:b/>
                <w:bCs/>
                <w:sz w:val="21"/>
              </w:rPr>
            </w:pPr>
            <w:r>
              <w:rPr>
                <w:rFonts w:hint="eastAsia"/>
                <w:b/>
                <w:bCs/>
                <w:sz w:val="21"/>
              </w:rPr>
              <w:t>法规要求</w:t>
            </w:r>
          </w:p>
        </w:tc>
        <w:tc>
          <w:tcPr>
            <w:tcW w:w="3081"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jc w:val="center"/>
              <w:rPr>
                <w:b/>
                <w:bCs/>
                <w:sz w:val="21"/>
              </w:rPr>
            </w:pPr>
            <w:r>
              <w:rPr>
                <w:rFonts w:hint="eastAsia"/>
                <w:b/>
                <w:bCs/>
                <w:sz w:val="21"/>
              </w:rPr>
              <w:t>企业</w:t>
            </w:r>
            <w:r>
              <w:rPr>
                <w:b/>
                <w:bCs/>
                <w:sz w:val="21"/>
              </w:rPr>
              <w:t>执行及制定的</w:t>
            </w:r>
            <w:r>
              <w:rPr>
                <w:rFonts w:hint="eastAsia"/>
                <w:b/>
                <w:bCs/>
                <w:sz w:val="21"/>
              </w:rPr>
              <w:t>操作规程</w:t>
            </w:r>
          </w:p>
        </w:tc>
        <w:tc>
          <w:tcPr>
            <w:tcW w:w="1058"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jc w:val="center"/>
              <w:rPr>
                <w:b/>
                <w:bCs/>
                <w:sz w:val="21"/>
              </w:rPr>
            </w:pPr>
            <w:r>
              <w:rPr>
                <w:rFonts w:hint="eastAsia"/>
                <w:b/>
                <w:bCs/>
                <w:sz w:val="21"/>
              </w:rPr>
              <w:t>备注</w:t>
            </w:r>
          </w:p>
        </w:tc>
      </w:tr>
      <w:tr w:rsidR="00F95F9B">
        <w:trPr>
          <w:trHeight w:val="454"/>
          <w:jc w:val="center"/>
        </w:trPr>
        <w:tc>
          <w:tcPr>
            <w:tcW w:w="247" w:type="pct"/>
            <w:vMerge w:val="restart"/>
            <w:tcBorders>
              <w:tl2br w:val="nil"/>
              <w:tr2bl w:val="nil"/>
            </w:tcBorders>
            <w:vAlign w:val="center"/>
          </w:tcPr>
          <w:p w:rsidR="00F95F9B" w:rsidRDefault="00000000">
            <w:pPr>
              <w:widowControl w:val="0"/>
              <w:shd w:val="clear" w:color="auto" w:fill="FFFFFF" w:themeFill="background1"/>
              <w:spacing w:line="360" w:lineRule="exact"/>
              <w:ind w:firstLineChars="0" w:firstLine="0"/>
              <w:jc w:val="center"/>
              <w:rPr>
                <w:sz w:val="21"/>
              </w:rPr>
            </w:pPr>
            <w:r>
              <w:rPr>
                <w:sz w:val="21"/>
              </w:rPr>
              <w:t>1</w:t>
            </w:r>
          </w:p>
        </w:tc>
        <w:tc>
          <w:tcPr>
            <w:tcW w:w="612" w:type="pct"/>
            <w:vMerge w:val="restart"/>
            <w:tcBorders>
              <w:tl2br w:val="nil"/>
              <w:tr2bl w:val="nil"/>
            </w:tcBorders>
            <w:vAlign w:val="center"/>
          </w:tcPr>
          <w:p w:rsidR="00F95F9B" w:rsidRDefault="00000000">
            <w:pPr>
              <w:widowControl w:val="0"/>
              <w:shd w:val="clear" w:color="auto" w:fill="FFFFFF" w:themeFill="background1"/>
              <w:spacing w:line="360" w:lineRule="exact"/>
              <w:ind w:firstLineChars="0" w:firstLine="0"/>
              <w:jc w:val="center"/>
              <w:rPr>
                <w:sz w:val="21"/>
              </w:rPr>
            </w:pPr>
            <w:r>
              <w:rPr>
                <w:rFonts w:hint="eastAsia"/>
                <w:sz w:val="21"/>
              </w:rPr>
              <w:t>操作规程</w:t>
            </w:r>
          </w:p>
        </w:tc>
        <w:tc>
          <w:tcPr>
            <w:tcW w:w="3081"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rPr>
                <w:sz w:val="21"/>
                <w:lang w:val="es-MX"/>
              </w:rPr>
            </w:pPr>
            <w:r>
              <w:rPr>
                <w:sz w:val="21"/>
              </w:rPr>
              <w:t>胜利油田采油工程操作规程汇编注入操作</w:t>
            </w:r>
          </w:p>
        </w:tc>
        <w:tc>
          <w:tcPr>
            <w:tcW w:w="1058"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共计：</w:t>
            </w:r>
            <w:r>
              <w:rPr>
                <w:rFonts w:hint="eastAsia"/>
                <w:sz w:val="21"/>
              </w:rPr>
              <w:t>59</w:t>
            </w:r>
            <w:r>
              <w:rPr>
                <w:rFonts w:hint="eastAsia"/>
                <w:sz w:val="21"/>
              </w:rPr>
              <w:t>项内容</w:t>
            </w:r>
          </w:p>
        </w:tc>
      </w:tr>
      <w:tr w:rsidR="00F95F9B">
        <w:trPr>
          <w:trHeight w:val="454"/>
          <w:jc w:val="center"/>
        </w:trPr>
        <w:tc>
          <w:tcPr>
            <w:tcW w:w="247" w:type="pct"/>
            <w:vMerge/>
            <w:tcBorders>
              <w:tl2br w:val="nil"/>
              <w:tr2bl w:val="nil"/>
            </w:tcBorders>
            <w:vAlign w:val="center"/>
          </w:tcPr>
          <w:p w:rsidR="00F95F9B" w:rsidRDefault="00F95F9B">
            <w:pPr>
              <w:widowControl w:val="0"/>
              <w:shd w:val="clear" w:color="auto" w:fill="FFFFFF" w:themeFill="background1"/>
              <w:spacing w:line="360" w:lineRule="exact"/>
              <w:ind w:firstLineChars="0" w:firstLine="0"/>
              <w:jc w:val="center"/>
              <w:rPr>
                <w:sz w:val="21"/>
              </w:rPr>
            </w:pPr>
          </w:p>
        </w:tc>
        <w:tc>
          <w:tcPr>
            <w:tcW w:w="612" w:type="pct"/>
            <w:vMerge/>
            <w:tcBorders>
              <w:tl2br w:val="nil"/>
              <w:tr2bl w:val="nil"/>
            </w:tcBorders>
            <w:vAlign w:val="center"/>
          </w:tcPr>
          <w:p w:rsidR="00F95F9B" w:rsidRDefault="00F95F9B">
            <w:pPr>
              <w:widowControl w:val="0"/>
              <w:shd w:val="clear" w:color="auto" w:fill="FFFFFF" w:themeFill="background1"/>
              <w:spacing w:line="360" w:lineRule="exact"/>
              <w:ind w:firstLineChars="0" w:firstLine="0"/>
              <w:jc w:val="center"/>
              <w:rPr>
                <w:sz w:val="21"/>
              </w:rPr>
            </w:pPr>
          </w:p>
        </w:tc>
        <w:tc>
          <w:tcPr>
            <w:tcW w:w="3081"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rPr>
                <w:sz w:val="21"/>
              </w:rPr>
            </w:pPr>
            <w:r>
              <w:rPr>
                <w:sz w:val="21"/>
              </w:rPr>
              <w:t>胜利油田采油工程操作规程汇编采油操作</w:t>
            </w:r>
          </w:p>
        </w:tc>
        <w:tc>
          <w:tcPr>
            <w:tcW w:w="1058"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共计：</w:t>
            </w:r>
            <w:r>
              <w:rPr>
                <w:rFonts w:hint="eastAsia"/>
                <w:sz w:val="21"/>
              </w:rPr>
              <w:t>141</w:t>
            </w:r>
            <w:r>
              <w:rPr>
                <w:rFonts w:hint="eastAsia"/>
                <w:sz w:val="21"/>
              </w:rPr>
              <w:t>项内容</w:t>
            </w:r>
          </w:p>
        </w:tc>
      </w:tr>
      <w:tr w:rsidR="00F95F9B">
        <w:trPr>
          <w:trHeight w:val="454"/>
          <w:jc w:val="center"/>
        </w:trPr>
        <w:tc>
          <w:tcPr>
            <w:tcW w:w="247"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jc w:val="center"/>
              <w:rPr>
                <w:sz w:val="21"/>
              </w:rPr>
            </w:pPr>
            <w:r>
              <w:rPr>
                <w:rFonts w:hint="eastAsia"/>
                <w:sz w:val="21"/>
              </w:rPr>
              <w:t>2</w:t>
            </w:r>
          </w:p>
        </w:tc>
        <w:tc>
          <w:tcPr>
            <w:tcW w:w="612" w:type="pct"/>
            <w:vMerge/>
            <w:tcBorders>
              <w:tl2br w:val="nil"/>
              <w:tr2bl w:val="nil"/>
            </w:tcBorders>
            <w:vAlign w:val="center"/>
          </w:tcPr>
          <w:p w:rsidR="00F95F9B" w:rsidRDefault="00F95F9B">
            <w:pPr>
              <w:widowControl w:val="0"/>
              <w:shd w:val="clear" w:color="auto" w:fill="FFFFFF" w:themeFill="background1"/>
              <w:spacing w:line="360" w:lineRule="exact"/>
              <w:ind w:firstLineChars="0" w:firstLine="0"/>
              <w:jc w:val="center"/>
              <w:rPr>
                <w:sz w:val="21"/>
              </w:rPr>
            </w:pPr>
          </w:p>
        </w:tc>
        <w:tc>
          <w:tcPr>
            <w:tcW w:w="3081"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rPr>
                <w:sz w:val="21"/>
              </w:rPr>
            </w:pPr>
            <w:r>
              <w:rPr>
                <w:sz w:val="21"/>
              </w:rPr>
              <w:t>胜利油田采油工程操作规程汇编油气集输（储运）操作</w:t>
            </w:r>
          </w:p>
        </w:tc>
        <w:tc>
          <w:tcPr>
            <w:tcW w:w="1058"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共计：</w:t>
            </w:r>
            <w:r>
              <w:rPr>
                <w:rFonts w:hint="eastAsia"/>
                <w:sz w:val="21"/>
              </w:rPr>
              <w:t>40</w:t>
            </w:r>
            <w:r>
              <w:rPr>
                <w:rFonts w:hint="eastAsia"/>
                <w:sz w:val="21"/>
              </w:rPr>
              <w:t>项内容</w:t>
            </w:r>
          </w:p>
        </w:tc>
      </w:tr>
      <w:tr w:rsidR="00F95F9B">
        <w:trPr>
          <w:trHeight w:val="454"/>
          <w:jc w:val="center"/>
        </w:trPr>
        <w:tc>
          <w:tcPr>
            <w:tcW w:w="247"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jc w:val="center"/>
              <w:rPr>
                <w:sz w:val="21"/>
              </w:rPr>
            </w:pPr>
            <w:r>
              <w:rPr>
                <w:rFonts w:hint="eastAsia"/>
                <w:sz w:val="21"/>
              </w:rPr>
              <w:t>3</w:t>
            </w:r>
          </w:p>
        </w:tc>
        <w:tc>
          <w:tcPr>
            <w:tcW w:w="612" w:type="pct"/>
            <w:vMerge/>
            <w:tcBorders>
              <w:tl2br w:val="nil"/>
              <w:tr2bl w:val="nil"/>
            </w:tcBorders>
            <w:vAlign w:val="center"/>
          </w:tcPr>
          <w:p w:rsidR="00F95F9B" w:rsidRDefault="00F95F9B">
            <w:pPr>
              <w:widowControl w:val="0"/>
              <w:shd w:val="clear" w:color="auto" w:fill="FFFFFF" w:themeFill="background1"/>
              <w:spacing w:line="360" w:lineRule="exact"/>
              <w:ind w:firstLineChars="0" w:firstLine="0"/>
              <w:jc w:val="center"/>
              <w:rPr>
                <w:sz w:val="21"/>
              </w:rPr>
            </w:pPr>
          </w:p>
        </w:tc>
        <w:tc>
          <w:tcPr>
            <w:tcW w:w="3081" w:type="pct"/>
            <w:tcBorders>
              <w:tl2br w:val="nil"/>
              <w:tr2bl w:val="nil"/>
            </w:tcBorders>
            <w:vAlign w:val="center"/>
          </w:tcPr>
          <w:p w:rsidR="00F95F9B" w:rsidRDefault="00000000">
            <w:pPr>
              <w:widowControl w:val="0"/>
              <w:shd w:val="clear" w:color="auto" w:fill="FFFFFF" w:themeFill="background1"/>
              <w:spacing w:line="360" w:lineRule="exact"/>
              <w:ind w:firstLineChars="0" w:firstLine="0"/>
              <w:rPr>
                <w:sz w:val="21"/>
              </w:rPr>
            </w:pPr>
            <w:r>
              <w:rPr>
                <w:sz w:val="21"/>
              </w:rPr>
              <w:t>胜利油田采油工程操作规程汇编注采输设备操作</w:t>
            </w:r>
          </w:p>
        </w:tc>
        <w:tc>
          <w:tcPr>
            <w:tcW w:w="1058" w:type="pc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共计：</w:t>
            </w:r>
            <w:r>
              <w:rPr>
                <w:rFonts w:hint="eastAsia"/>
                <w:sz w:val="21"/>
              </w:rPr>
              <w:t>102</w:t>
            </w:r>
            <w:r>
              <w:rPr>
                <w:rFonts w:hint="eastAsia"/>
                <w:sz w:val="21"/>
              </w:rPr>
              <w:t>项内容</w:t>
            </w:r>
          </w:p>
        </w:tc>
      </w:tr>
    </w:tbl>
    <w:p w:rsidR="00F95F9B" w:rsidRDefault="00000000">
      <w:pPr>
        <w:widowControl w:val="0"/>
        <w:shd w:val="clear" w:color="auto" w:fill="FFFFFF" w:themeFill="background1"/>
        <w:adjustRightInd w:val="0"/>
        <w:snapToGrid w:val="0"/>
        <w:spacing w:beforeLines="50" w:before="170"/>
        <w:ind w:firstLine="470"/>
        <w:rPr>
          <w:rFonts w:ascii="宋体" w:hAnsi="宋体"/>
          <w:szCs w:val="24"/>
        </w:rPr>
      </w:pPr>
      <w:r>
        <w:rPr>
          <w:rFonts w:ascii="宋体" w:hAnsi="宋体" w:hint="eastAsia"/>
          <w:szCs w:val="24"/>
        </w:rPr>
        <w:t>分层注水是通过井下封隔器实现注水井分隔，形成多个独立的注水层段，分层注水压力高，执行</w:t>
      </w:r>
      <w:r>
        <w:rPr>
          <w:rFonts w:hint="eastAsia"/>
          <w:szCs w:val="24"/>
        </w:rPr>
        <w:t>《胜利油田采油工程操作规程汇编</w:t>
      </w:r>
      <w:r>
        <w:rPr>
          <w:rFonts w:hint="eastAsia"/>
          <w:szCs w:val="24"/>
        </w:rPr>
        <w:t>-</w:t>
      </w:r>
      <w:r>
        <w:rPr>
          <w:rFonts w:hint="eastAsia"/>
          <w:szCs w:val="24"/>
        </w:rPr>
        <w:t>注入操作》中注水井井口操作规程、压驱注水等操作规程；</w:t>
      </w:r>
      <w:r>
        <w:rPr>
          <w:rFonts w:ascii="宋体" w:hAnsi="宋体" w:hint="eastAsia"/>
          <w:szCs w:val="24"/>
        </w:rPr>
        <w:t>油层解堵目前主要采油酸化、压裂等工艺技术方法，操作规程执行</w:t>
      </w:r>
      <w:r>
        <w:rPr>
          <w:rFonts w:hint="eastAsia"/>
          <w:szCs w:val="24"/>
        </w:rPr>
        <w:t>《胜利油田采油工程操作规程汇编</w:t>
      </w:r>
      <w:r>
        <w:rPr>
          <w:rFonts w:hint="eastAsia"/>
          <w:szCs w:val="24"/>
        </w:rPr>
        <w:t>-</w:t>
      </w:r>
      <w:r>
        <w:rPr>
          <w:rFonts w:hint="eastAsia"/>
          <w:szCs w:val="24"/>
        </w:rPr>
        <w:t>井下作业操作》中酸化作业等操作规程。</w:t>
      </w:r>
    </w:p>
    <w:p w:rsidR="00F95F9B" w:rsidRDefault="00000000">
      <w:pPr>
        <w:widowControl w:val="0"/>
        <w:shd w:val="clear" w:color="auto" w:fill="FFFFFF" w:themeFill="background1"/>
        <w:adjustRightInd w:val="0"/>
        <w:snapToGrid w:val="0"/>
        <w:ind w:firstLine="470"/>
      </w:pPr>
      <w:r>
        <w:rPr>
          <w:rFonts w:hint="eastAsia"/>
        </w:rPr>
        <w:t>3</w:t>
      </w:r>
      <w:r>
        <w:rPr>
          <w:rFonts w:hint="eastAsia"/>
        </w:rPr>
        <w:t>）标准化操作</w:t>
      </w:r>
    </w:p>
    <w:p w:rsidR="00F95F9B" w:rsidRDefault="00000000">
      <w:pPr>
        <w:widowControl w:val="0"/>
        <w:shd w:val="clear" w:color="auto" w:fill="FFFFFF" w:themeFill="background1"/>
        <w:adjustRightInd w:val="0"/>
        <w:snapToGrid w:val="0"/>
        <w:ind w:firstLine="470"/>
      </w:pPr>
      <w:r>
        <w:rPr>
          <w:rFonts w:hint="eastAsia"/>
        </w:rPr>
        <w:t>鲁明公司各采油（气）管理区按照中石化集团公司、胜利油田分公司的要求制定了</w:t>
      </w:r>
      <w:r>
        <w:rPr>
          <w:rFonts w:hint="eastAsia"/>
        </w:rPr>
        <w:lastRenderedPageBreak/>
        <w:t>“三册”，即《基层管理手册》《班组管理手册》《岗位操作手册》。鲁明公司以“三册”为抓手，搭建基层单位、班组、岗位对标评价平台，推动基层实现“整体无短板，专项有特长”。基层单位推行标准化管理，对交接班、巡回检查、设备操作及维护等实行标准化操作，重要操作执行“手指口述”操作法。</w:t>
      </w:r>
      <w:r>
        <w:rPr>
          <w:rFonts w:hint="eastAsia"/>
        </w:rPr>
        <w:t xml:space="preserve"> </w:t>
      </w:r>
    </w:p>
    <w:p w:rsidR="00F95F9B" w:rsidRDefault="00000000">
      <w:pPr>
        <w:pStyle w:val="4"/>
        <w:keepNext w:val="0"/>
        <w:keepLines w:val="0"/>
        <w:widowControl w:val="0"/>
        <w:shd w:val="clear" w:color="auto" w:fill="FFFFFF" w:themeFill="background1"/>
      </w:pPr>
      <w:r>
        <w:rPr>
          <w:rFonts w:hint="eastAsia"/>
        </w:rPr>
        <w:t>检查结果</w:t>
      </w:r>
    </w:p>
    <w:p w:rsidR="00F95F9B" w:rsidRDefault="00000000">
      <w:pPr>
        <w:widowControl w:val="0"/>
        <w:shd w:val="clear" w:color="auto" w:fill="FFFFFF" w:themeFill="background1"/>
        <w:ind w:firstLine="470"/>
      </w:pPr>
      <w:r>
        <w:rPr>
          <w:rFonts w:hint="eastAsia"/>
        </w:rPr>
        <w:t>鲁明公司的安全生产管理制度和操作规程覆盖采油工程全过程，符合国家法律法规及标准规范的要求。</w:t>
      </w:r>
    </w:p>
    <w:p w:rsidR="00F95F9B" w:rsidRDefault="00000000">
      <w:pPr>
        <w:pStyle w:val="3"/>
        <w:keepNext w:val="0"/>
        <w:keepLines w:val="0"/>
        <w:widowControl w:val="0"/>
        <w:shd w:val="clear" w:color="auto" w:fill="FFFFFF" w:themeFill="background1"/>
        <w:ind w:left="0"/>
      </w:pPr>
      <w:r>
        <w:rPr>
          <w:rFonts w:hint="eastAsia"/>
        </w:rPr>
        <w:t>设置安全生产管理机构或者配备专职安全生产管理人员</w:t>
      </w:r>
    </w:p>
    <w:p w:rsidR="00F95F9B" w:rsidRDefault="00000000">
      <w:pPr>
        <w:pStyle w:val="4"/>
        <w:keepNext w:val="0"/>
        <w:keepLines w:val="0"/>
        <w:widowControl w:val="0"/>
        <w:shd w:val="clear" w:color="auto" w:fill="FFFFFF" w:themeFill="background1"/>
      </w:pPr>
      <w:r>
        <w:rPr>
          <w:rFonts w:hint="eastAsia"/>
        </w:rPr>
        <w:t>法规要求</w:t>
      </w:r>
    </w:p>
    <w:p w:rsidR="00F95F9B" w:rsidRDefault="00000000">
      <w:pPr>
        <w:widowControl w:val="0"/>
        <w:shd w:val="clear" w:color="auto" w:fill="FFFFFF" w:themeFill="background1"/>
        <w:adjustRightInd w:val="0"/>
        <w:snapToGrid w:val="0"/>
        <w:ind w:firstLine="470"/>
      </w:pPr>
      <w: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rPr>
          <w:rFonts w:hint="eastAsia"/>
        </w:rPr>
        <w:t>第六条　设置安全生产管理机构，或者配备专职安全生产管理人员。</w:t>
      </w:r>
    </w:p>
    <w:p w:rsidR="00F95F9B" w:rsidRDefault="00000000">
      <w:pPr>
        <w:widowControl w:val="0"/>
        <w:shd w:val="clear" w:color="auto" w:fill="FFFFFF" w:themeFill="background1"/>
        <w:adjustRightInd w:val="0"/>
        <w:snapToGrid w:val="0"/>
        <w:ind w:firstLine="470"/>
      </w:pPr>
      <w:r>
        <w:t>2</w:t>
      </w:r>
      <w:r>
        <w:rPr>
          <w:rFonts w:hint="eastAsia"/>
        </w:rPr>
        <w:t>）《山东省安全生产条例》</w:t>
      </w:r>
    </w:p>
    <w:p w:rsidR="00F95F9B" w:rsidRDefault="00000000">
      <w:pPr>
        <w:widowControl w:val="0"/>
        <w:shd w:val="clear" w:color="auto" w:fill="FFFFFF" w:themeFill="background1"/>
        <w:adjustRightInd w:val="0"/>
        <w:snapToGrid w:val="0"/>
        <w:ind w:firstLine="470"/>
      </w:pPr>
      <w:r>
        <w:rPr>
          <w:rFonts w:hint="eastAsia"/>
        </w:rPr>
        <w:t>第二十一条　从业人员一百人以上的高危生产经营单位，应当依法设置安全总监。</w:t>
      </w:r>
    </w:p>
    <w:p w:rsidR="00F95F9B" w:rsidRDefault="00000000">
      <w:pPr>
        <w:widowControl w:val="0"/>
        <w:shd w:val="clear" w:color="auto" w:fill="FFFFFF" w:themeFill="background1"/>
        <w:adjustRightInd w:val="0"/>
        <w:snapToGrid w:val="0"/>
        <w:ind w:firstLine="470"/>
      </w:pPr>
      <w:r>
        <w:rPr>
          <w:rFonts w:hint="eastAsia"/>
        </w:rPr>
        <w:t>第二十二条　从业人员三百人以上的高危生产经营单位，应当建立安全生产委员会。</w:t>
      </w:r>
    </w:p>
    <w:p w:rsidR="00F95F9B" w:rsidRDefault="00000000">
      <w:pPr>
        <w:widowControl w:val="0"/>
        <w:shd w:val="clear" w:color="auto" w:fill="FFFFFF" w:themeFill="background1"/>
        <w:adjustRightInd w:val="0"/>
        <w:snapToGrid w:val="0"/>
        <w:ind w:firstLine="470"/>
      </w:pPr>
      <w:r>
        <w:t>3</w:t>
      </w:r>
      <w:r>
        <w:rPr>
          <w:rFonts w:hint="eastAsia"/>
        </w:rPr>
        <w:t>）《山东省生产经营单位安全生产主体责任规定》</w:t>
      </w:r>
    </w:p>
    <w:p w:rsidR="00F95F9B" w:rsidRDefault="00000000">
      <w:pPr>
        <w:widowControl w:val="0"/>
        <w:shd w:val="clear" w:color="auto" w:fill="FFFFFF" w:themeFill="background1"/>
        <w:adjustRightInd w:val="0"/>
        <w:snapToGrid w:val="0"/>
        <w:ind w:firstLine="470"/>
      </w:pPr>
      <w:r>
        <w:rPr>
          <w:rFonts w:hint="eastAsia"/>
        </w:rPr>
        <w:t>第九条　从业人员在</w:t>
      </w:r>
      <w:r>
        <w:rPr>
          <w:rFonts w:hint="eastAsia"/>
        </w:rPr>
        <w:t>1000</w:t>
      </w:r>
      <w:r>
        <w:rPr>
          <w:rFonts w:hint="eastAsia"/>
        </w:rPr>
        <w:t>人以上的高危生产经营单位，应当设置专门的安全生产管理机构，并按不低于从业人员</w:t>
      </w:r>
      <w:r>
        <w:rPr>
          <w:rFonts w:hint="eastAsia"/>
        </w:rPr>
        <w:t>5</w:t>
      </w:r>
      <w:r>
        <w:rPr>
          <w:rFonts w:hint="eastAsia"/>
        </w:rPr>
        <w:t>‰的比例配备专职安全生产管理人员，其中至少应当有</w:t>
      </w:r>
      <w:r>
        <w:rPr>
          <w:rFonts w:hint="eastAsia"/>
        </w:rPr>
        <w:t>3</w:t>
      </w:r>
      <w:r>
        <w:rPr>
          <w:rFonts w:hint="eastAsia"/>
        </w:rPr>
        <w:t>名注册安全工程师。</w:t>
      </w:r>
    </w:p>
    <w:p w:rsidR="00F95F9B" w:rsidRDefault="00000000">
      <w:pPr>
        <w:widowControl w:val="0"/>
        <w:shd w:val="clear" w:color="auto" w:fill="FFFFFF" w:themeFill="background1"/>
        <w:adjustRightInd w:val="0"/>
        <w:snapToGrid w:val="0"/>
        <w:ind w:firstLine="470"/>
      </w:pPr>
      <w:r>
        <w:t>4</w:t>
      </w:r>
      <w:r>
        <w:rPr>
          <w:rFonts w:hint="eastAsia"/>
        </w:rPr>
        <w:t>）《注册安全工程师管理规定》</w:t>
      </w:r>
    </w:p>
    <w:p w:rsidR="00F95F9B" w:rsidRDefault="00000000">
      <w:pPr>
        <w:widowControl w:val="0"/>
        <w:shd w:val="clear" w:color="auto" w:fill="FFFFFF" w:themeFill="background1"/>
        <w:adjustRightInd w:val="0"/>
        <w:snapToGrid w:val="0"/>
        <w:ind w:firstLine="470"/>
      </w:pPr>
      <w:r>
        <w:rPr>
          <w:rFonts w:hint="eastAsia"/>
        </w:rPr>
        <w:t>第六条　从业人员</w:t>
      </w:r>
      <w:r>
        <w:t>300</w:t>
      </w:r>
      <w:r>
        <w:rPr>
          <w:rFonts w:hint="eastAsia"/>
        </w:rPr>
        <w:t>人以上的非煤矿矿山单位，应当按照不少于安全生产管理人员</w:t>
      </w:r>
      <w:r>
        <w:t>15%</w:t>
      </w:r>
      <w:r>
        <w:rPr>
          <w:rFonts w:hint="eastAsia"/>
        </w:rPr>
        <w:t>的比例配备注册安全工程师；安全生产管理人员在</w:t>
      </w:r>
      <w:r>
        <w:t>7</w:t>
      </w:r>
      <w:r>
        <w:rPr>
          <w:rFonts w:hint="eastAsia"/>
        </w:rPr>
        <w:t>人以下的，至少配备</w:t>
      </w:r>
      <w:r>
        <w:t>1</w:t>
      </w:r>
      <w:r>
        <w:rPr>
          <w:rFonts w:hint="eastAsia"/>
        </w:rPr>
        <w:t>名。</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鲁明公司设置的安全生产（</w:t>
      </w:r>
      <w:r>
        <w:rPr>
          <w:rFonts w:hint="eastAsia"/>
        </w:rPr>
        <w:t>QHSE</w:t>
      </w:r>
      <w:r>
        <w:rPr>
          <w:rFonts w:hint="eastAsia"/>
        </w:rPr>
        <w:t>）委员会及安全生产管理机构，配备的安全总监、专职安全管理人员及注册安全工程师符合国家法律法规及标准规范的要求。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主要负责人和安全生产管理人员安全合格证书</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rPr>
          <w:rFonts w:hint="eastAsia"/>
        </w:rPr>
        <w:t>第六条　主要负责人和安全生产管理人员经安全生产监督管理部门考核合格，取得安</w:t>
      </w:r>
      <w:r>
        <w:rPr>
          <w:rFonts w:hint="eastAsia"/>
        </w:rPr>
        <w:lastRenderedPageBreak/>
        <w:t>全资格证书。</w:t>
      </w:r>
    </w:p>
    <w:p w:rsidR="00F95F9B" w:rsidRDefault="00000000">
      <w:pPr>
        <w:widowControl w:val="0"/>
        <w:shd w:val="clear" w:color="auto" w:fill="FFFFFF" w:themeFill="background1"/>
        <w:adjustRightInd w:val="0"/>
        <w:snapToGrid w:val="0"/>
        <w:ind w:firstLine="470"/>
      </w:pPr>
      <w:r>
        <w:t>2</w:t>
      </w:r>
      <w:r>
        <w:rPr>
          <w:rFonts w:hint="eastAsia"/>
        </w:rPr>
        <w:t>）《安全生产法》</w:t>
      </w:r>
    </w:p>
    <w:p w:rsidR="00F95F9B" w:rsidRDefault="00000000">
      <w:pPr>
        <w:widowControl w:val="0"/>
        <w:shd w:val="clear" w:color="auto" w:fill="FFFFFF" w:themeFill="background1"/>
        <w:adjustRightInd w:val="0"/>
        <w:snapToGrid w:val="0"/>
        <w:ind w:firstLine="470"/>
      </w:pPr>
      <w:r>
        <w:rPr>
          <w:rFonts w:hint="eastAsia"/>
        </w:rPr>
        <w:t>第二十七条　危险物品的生产、经营、储存、装卸单位以及矿山、金属冶炼、建筑施工、运输单位的主要负责人和安全生产管理人员，应当由主管的负有安全生产监督管理职责的部门对其安全生产知识和管理能力考核合格。</w:t>
      </w:r>
    </w:p>
    <w:p w:rsidR="00F95F9B" w:rsidRDefault="00000000">
      <w:pPr>
        <w:widowControl w:val="0"/>
        <w:shd w:val="clear" w:color="auto" w:fill="FFFFFF" w:themeFill="background1"/>
        <w:adjustRightInd w:val="0"/>
        <w:snapToGrid w:val="0"/>
        <w:ind w:firstLine="470"/>
      </w:pPr>
      <w:r>
        <w:rPr>
          <w:rFonts w:hint="eastAsia"/>
        </w:rPr>
        <w:t>3</w:t>
      </w:r>
      <w:r>
        <w:rPr>
          <w:rFonts w:hint="eastAsia"/>
        </w:rPr>
        <w:t>）《生产经营单位安全培训规定》</w:t>
      </w:r>
    </w:p>
    <w:p w:rsidR="00F95F9B" w:rsidRDefault="00000000">
      <w:pPr>
        <w:widowControl w:val="0"/>
        <w:shd w:val="clear" w:color="auto" w:fill="FFFFFF" w:themeFill="background1"/>
        <w:adjustRightInd w:val="0"/>
        <w:snapToGrid w:val="0"/>
        <w:ind w:firstLine="470"/>
      </w:pPr>
      <w:r>
        <w:rPr>
          <w:rFonts w:hint="eastAsia"/>
        </w:rPr>
        <w:t>第二十四条　煤矿、非煤矿山、危险化学品、烟花爆竹、金属冶炼等生产经营单位主要负责人和安全生产管理人员，自任职之日起</w:t>
      </w:r>
      <w:r>
        <w:rPr>
          <w:rFonts w:hint="eastAsia"/>
        </w:rPr>
        <w:t>6</w:t>
      </w:r>
      <w:r>
        <w:rPr>
          <w:rFonts w:hint="eastAsia"/>
        </w:rPr>
        <w:t>个月内，必须经安全生产监管监察部门对其安全生产知识和管理能力考核合格。</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spacing w:beforeLines="50" w:before="170"/>
      </w:pPr>
      <w:r>
        <w:rPr>
          <w:rFonts w:hint="eastAsia"/>
        </w:rPr>
        <w:t>检查结果</w:t>
      </w:r>
    </w:p>
    <w:p w:rsidR="00F95F9B" w:rsidRDefault="00000000">
      <w:pPr>
        <w:widowControl w:val="0"/>
        <w:shd w:val="clear" w:color="auto" w:fill="FFFFFF" w:themeFill="background1"/>
        <w:adjustRightInd w:val="0"/>
        <w:snapToGrid w:val="0"/>
        <w:ind w:firstLine="470"/>
        <w:rPr>
          <w:snapToGrid w:val="0"/>
          <w:kern w:val="0"/>
          <w:szCs w:val="32"/>
        </w:rPr>
      </w:pPr>
      <w:r>
        <w:rPr>
          <w:rFonts w:hint="eastAsia"/>
          <w:szCs w:val="32"/>
        </w:rPr>
        <w:t>鲁明公司主要负责人、分管安全负责人、安全总监、专职安全管理人员经具有资质的单位培训，并经应急管理部门考核合格，安全管理人员合格证书情况见附件</w:t>
      </w:r>
      <w:r>
        <w:rPr>
          <w:rFonts w:hint="eastAsia"/>
          <w:szCs w:val="32"/>
        </w:rPr>
        <w:t>12</w:t>
      </w:r>
      <w:r>
        <w:rPr>
          <w:rFonts w:hint="eastAsia"/>
          <w:szCs w:val="32"/>
        </w:rPr>
        <w:t>。综上，</w:t>
      </w:r>
      <w:r>
        <w:rPr>
          <w:rFonts w:hint="eastAsia"/>
        </w:rPr>
        <w:t>鲁明公司主要负责人和安全生产管理人员证书，符合国家法律法规及标准规范的要求。</w:t>
      </w:r>
    </w:p>
    <w:p w:rsidR="00F95F9B" w:rsidRDefault="00000000">
      <w:pPr>
        <w:pStyle w:val="3"/>
        <w:keepNext w:val="0"/>
        <w:keepLines w:val="0"/>
        <w:widowControl w:val="0"/>
        <w:shd w:val="clear" w:color="auto" w:fill="FFFFFF" w:themeFill="background1"/>
        <w:ind w:left="0"/>
      </w:pPr>
      <w:r>
        <w:rPr>
          <w:rFonts w:hint="eastAsia"/>
        </w:rPr>
        <w:t>特种作业人员操作资格证书</w:t>
      </w:r>
    </w:p>
    <w:p w:rsidR="00F95F9B" w:rsidRDefault="00000000">
      <w:pPr>
        <w:pStyle w:val="4"/>
        <w:keepNext w:val="0"/>
        <w:keepLines w:val="0"/>
        <w:widowControl w:val="0"/>
        <w:shd w:val="clear" w:color="auto" w:fill="FFFFFF" w:themeFill="background1"/>
      </w:pPr>
      <w:r>
        <w:rPr>
          <w:rFonts w:hint="eastAsia"/>
        </w:rPr>
        <w:t>法规要求</w:t>
      </w:r>
    </w:p>
    <w:p w:rsidR="00F95F9B" w:rsidRDefault="00000000">
      <w:pPr>
        <w:widowControl w:val="0"/>
        <w:shd w:val="clear" w:color="auto" w:fill="FFFFFF" w:themeFill="background1"/>
        <w:ind w:firstLine="470"/>
      </w:pPr>
      <w:r>
        <w:t>1</w:t>
      </w:r>
      <w:r>
        <w:rPr>
          <w:rFonts w:hint="eastAsia"/>
        </w:rPr>
        <w:t>）《非煤矿矿山企业安全生产许可证实施办法》</w:t>
      </w:r>
    </w:p>
    <w:p w:rsidR="00F95F9B" w:rsidRDefault="00000000">
      <w:pPr>
        <w:widowControl w:val="0"/>
        <w:shd w:val="clear" w:color="auto" w:fill="FFFFFF" w:themeFill="background1"/>
        <w:ind w:firstLine="470"/>
      </w:pPr>
      <w:r>
        <w:rPr>
          <w:rFonts w:hint="eastAsia"/>
        </w:rPr>
        <w:t>第六条　特种作业人员经有关业务主管部门考核合格，取得特种作业操作资格证书。</w:t>
      </w:r>
    </w:p>
    <w:p w:rsidR="00F95F9B" w:rsidRDefault="00000000">
      <w:pPr>
        <w:widowControl w:val="0"/>
        <w:shd w:val="clear" w:color="auto" w:fill="FFFFFF" w:themeFill="background1"/>
        <w:ind w:firstLine="470"/>
      </w:pPr>
      <w:r>
        <w:t>2</w:t>
      </w:r>
      <w:r>
        <w:rPr>
          <w:rFonts w:hint="eastAsia"/>
        </w:rPr>
        <w:t>）《特种作业人员安全技术培训考核管理规定》（国家安全生产监督管理总局令第</w:t>
      </w:r>
      <w:r>
        <w:rPr>
          <w:rFonts w:hint="eastAsia"/>
        </w:rPr>
        <w:t>30</w:t>
      </w:r>
      <w:r>
        <w:rPr>
          <w:rFonts w:hint="eastAsia"/>
        </w:rPr>
        <w:t>号，第</w:t>
      </w:r>
      <w:r>
        <w:rPr>
          <w:rFonts w:hint="eastAsia"/>
        </w:rPr>
        <w:t>80</w:t>
      </w:r>
      <w:r>
        <w:rPr>
          <w:rFonts w:hint="eastAsia"/>
        </w:rPr>
        <w:t>号修正）</w:t>
      </w:r>
    </w:p>
    <w:p w:rsidR="00F95F9B" w:rsidRDefault="00000000">
      <w:pPr>
        <w:widowControl w:val="0"/>
        <w:shd w:val="clear" w:color="auto" w:fill="FFFFFF" w:themeFill="background1"/>
        <w:ind w:firstLine="470"/>
      </w:pPr>
      <w:r>
        <w:rPr>
          <w:rFonts w:hint="eastAsia"/>
        </w:rPr>
        <w:t>第五条</w:t>
      </w:r>
      <w:r>
        <w:rPr>
          <w:rFonts w:hint="eastAsia"/>
        </w:rPr>
        <w:t xml:space="preserve"> </w:t>
      </w:r>
      <w:r>
        <w:rPr>
          <w:rFonts w:hint="eastAsia"/>
        </w:rPr>
        <w:t>特种作业人员必须经专门的安全技术培训并考核合格，取得《中华人民共和国特种作业操作证》（以下简称特种作业操作证）后，方可上岗作业。</w:t>
      </w:r>
    </w:p>
    <w:p w:rsidR="00F95F9B" w:rsidRDefault="00000000">
      <w:pPr>
        <w:pStyle w:val="4"/>
        <w:keepNext w:val="0"/>
        <w:keepLines w:val="0"/>
        <w:widowControl w:val="0"/>
        <w:shd w:val="clear" w:color="auto" w:fill="FFFFFF" w:themeFill="background1"/>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pPr>
      <w:r>
        <w:rPr>
          <w:rFonts w:hint="eastAsia"/>
        </w:rPr>
        <w:t>检查结果</w:t>
      </w:r>
    </w:p>
    <w:p w:rsidR="00F95F9B" w:rsidRDefault="00000000">
      <w:pPr>
        <w:widowControl w:val="0"/>
        <w:shd w:val="clear" w:color="auto" w:fill="FFFFFF" w:themeFill="background1"/>
        <w:ind w:firstLine="470"/>
      </w:pPr>
      <w:r>
        <w:rPr>
          <w:rFonts w:hint="eastAsia"/>
        </w:rPr>
        <w:t>鲁明公司委托的专业化单位，有相应的特种作业人员，符合要求。</w:t>
      </w:r>
    </w:p>
    <w:p w:rsidR="00F95F9B" w:rsidRDefault="00000000">
      <w:pPr>
        <w:pStyle w:val="3"/>
        <w:keepNext w:val="0"/>
        <w:keepLines w:val="0"/>
        <w:widowControl w:val="0"/>
        <w:shd w:val="clear" w:color="auto" w:fill="FFFFFF" w:themeFill="background1"/>
        <w:ind w:left="0"/>
      </w:pPr>
      <w:r>
        <w:rPr>
          <w:rFonts w:hint="eastAsia"/>
        </w:rPr>
        <w:t>其他从业人员教育培训</w:t>
      </w:r>
    </w:p>
    <w:p w:rsidR="00F95F9B" w:rsidRDefault="00000000">
      <w:pPr>
        <w:pStyle w:val="4"/>
        <w:keepNext w:val="0"/>
        <w:keepLines w:val="0"/>
        <w:widowControl w:val="0"/>
        <w:shd w:val="clear" w:color="auto" w:fill="FFFFFF" w:themeFill="background1"/>
      </w:pPr>
      <w:r>
        <w:rPr>
          <w:rFonts w:hint="eastAsia"/>
        </w:rPr>
        <w:lastRenderedPageBreak/>
        <w:t>法规要求</w:t>
      </w:r>
    </w:p>
    <w:p w:rsidR="00F95F9B" w:rsidRDefault="00000000">
      <w:pPr>
        <w:widowControl w:val="0"/>
        <w:shd w:val="clear" w:color="auto" w:fill="FFFFFF" w:themeFill="background1"/>
        <w:ind w:firstLine="470"/>
      </w:pPr>
      <w:r>
        <w:rPr>
          <w:rFonts w:hint="eastAsia"/>
        </w:rPr>
        <w:t>1</w:t>
      </w:r>
      <w:r>
        <w:rPr>
          <w:rFonts w:hint="eastAsia"/>
        </w:rPr>
        <w:t>）《非煤矿矿山企业安全生产许可证实施办法》</w:t>
      </w:r>
    </w:p>
    <w:p w:rsidR="00F95F9B" w:rsidRDefault="00000000">
      <w:pPr>
        <w:widowControl w:val="0"/>
        <w:shd w:val="clear" w:color="auto" w:fill="FFFFFF" w:themeFill="background1"/>
        <w:ind w:firstLine="470"/>
      </w:pPr>
      <w:r>
        <w:rPr>
          <w:rFonts w:hint="eastAsia"/>
        </w:rPr>
        <w:t>第六条</w:t>
      </w:r>
      <w:r>
        <w:t xml:space="preserve">　其他从业人员依照规定接受安全生产教育和培训，并经考试合格。</w:t>
      </w:r>
    </w:p>
    <w:p w:rsidR="00F95F9B" w:rsidRDefault="00000000">
      <w:pPr>
        <w:widowControl w:val="0"/>
        <w:shd w:val="clear" w:color="auto" w:fill="FFFFFF" w:themeFill="background1"/>
        <w:ind w:firstLine="470"/>
      </w:pPr>
      <w:r>
        <w:t>2</w:t>
      </w:r>
      <w:r>
        <w:rPr>
          <w:rFonts w:hint="eastAsia"/>
        </w:rPr>
        <w:t>）《生产经营单位安全培训规定》</w:t>
      </w:r>
    </w:p>
    <w:p w:rsidR="00F95F9B" w:rsidRDefault="00000000">
      <w:pPr>
        <w:widowControl w:val="0"/>
        <w:shd w:val="clear" w:color="auto" w:fill="FFFFFF" w:themeFill="background1"/>
        <w:ind w:firstLine="470"/>
      </w:pPr>
      <w:r>
        <w:rPr>
          <w:rFonts w:hint="eastAsia"/>
        </w:rPr>
        <w:t>第十三条　煤矿、非煤矿山、危险化学品、烟花爆竹、金属冶炼等生产经营单位新上岗的从业人员安全培训时间不得少于</w:t>
      </w:r>
      <w:r>
        <w:rPr>
          <w:rFonts w:hint="eastAsia"/>
        </w:rPr>
        <w:t>72</w:t>
      </w:r>
      <w:r>
        <w:rPr>
          <w:rFonts w:hint="eastAsia"/>
        </w:rPr>
        <w:t>学时，每年再培训的时间不得少于</w:t>
      </w:r>
      <w:r>
        <w:rPr>
          <w:rFonts w:hint="eastAsia"/>
        </w:rPr>
        <w:t>20</w:t>
      </w:r>
      <w:r>
        <w:rPr>
          <w:rFonts w:hint="eastAsia"/>
        </w:rPr>
        <w:t>学时。</w:t>
      </w:r>
    </w:p>
    <w:p w:rsidR="00F95F9B" w:rsidRDefault="00000000">
      <w:pPr>
        <w:widowControl w:val="0"/>
        <w:shd w:val="clear" w:color="auto" w:fill="FFFFFF" w:themeFill="background1"/>
        <w:ind w:firstLine="470"/>
      </w:pPr>
      <w:r>
        <w:t>3</w:t>
      </w:r>
      <w:r>
        <w:rPr>
          <w:rFonts w:hint="eastAsia"/>
        </w:rPr>
        <w:t>）《山东省生产经营单位安全生产主体责任规定》</w:t>
      </w:r>
    </w:p>
    <w:p w:rsidR="00F95F9B" w:rsidRDefault="00000000">
      <w:pPr>
        <w:widowControl w:val="0"/>
        <w:shd w:val="clear" w:color="auto" w:fill="FFFFFF" w:themeFill="background1"/>
        <w:ind w:firstLine="470"/>
      </w:pPr>
      <w:r>
        <w:rPr>
          <w:rFonts w:hint="eastAsia"/>
        </w:rPr>
        <w:t>第二十四条　生产经营单位应当定期组织全员安全生产教育培训。对新进从业人员、离岗</w:t>
      </w:r>
      <w:r>
        <w:rPr>
          <w:rFonts w:hint="eastAsia"/>
        </w:rPr>
        <w:t>6</w:t>
      </w:r>
      <w:r>
        <w:rPr>
          <w:rFonts w:hint="eastAsia"/>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p w:rsidR="00F95F9B" w:rsidRDefault="00000000">
      <w:pPr>
        <w:widowControl w:val="0"/>
        <w:shd w:val="clear" w:color="auto" w:fill="FFFFFF" w:themeFill="background1"/>
        <w:ind w:firstLine="470"/>
      </w:pPr>
      <w:r>
        <w:rPr>
          <w:rFonts w:hint="eastAsia"/>
        </w:rPr>
        <w:t>4</w:t>
      </w:r>
      <w:r>
        <w:rPr>
          <w:rFonts w:hint="eastAsia"/>
        </w:rPr>
        <w:t>）《特种设备安全法》</w:t>
      </w:r>
    </w:p>
    <w:p w:rsidR="00F95F9B" w:rsidRDefault="00000000">
      <w:pPr>
        <w:widowControl w:val="0"/>
        <w:shd w:val="clear" w:color="auto" w:fill="FFFFFF" w:themeFill="background1"/>
        <w:ind w:firstLine="470"/>
      </w:pPr>
      <w:r>
        <w:rPr>
          <w:rFonts w:hint="eastAsia"/>
        </w:rPr>
        <w:t>第十四条　特种设备安全管理人员、检测人员和作业人员应当按照国家有关规定取得相应资格，方可从事相关工作。</w:t>
      </w:r>
    </w:p>
    <w:p w:rsidR="00F95F9B" w:rsidRDefault="00000000">
      <w:pPr>
        <w:widowControl w:val="0"/>
        <w:shd w:val="clear" w:color="auto" w:fill="FFFFFF" w:themeFill="background1"/>
        <w:ind w:firstLine="470"/>
      </w:pPr>
      <w:r>
        <w:rPr>
          <w:rFonts w:hint="eastAsia"/>
        </w:rPr>
        <w:t>5</w:t>
      </w:r>
      <w:r>
        <w:rPr>
          <w:rFonts w:hint="eastAsia"/>
        </w:rPr>
        <w:t>）《市场监管总局关于特种设备行政许可有关事项的公告》</w:t>
      </w:r>
    </w:p>
    <w:p w:rsidR="00F95F9B" w:rsidRDefault="00000000">
      <w:pPr>
        <w:widowControl w:val="0"/>
        <w:shd w:val="clear" w:color="auto" w:fill="FFFFFF" w:themeFill="background1"/>
        <w:ind w:firstLine="470"/>
      </w:pPr>
      <w:r>
        <w:rPr>
          <w:rFonts w:hint="eastAsia"/>
        </w:rPr>
        <w:t>附件</w:t>
      </w:r>
      <w:r>
        <w:rPr>
          <w:rFonts w:hint="eastAsia"/>
        </w:rPr>
        <w:t xml:space="preserve">2  </w:t>
      </w:r>
      <w:r>
        <w:rPr>
          <w:rFonts w:hint="eastAsia"/>
        </w:rPr>
        <w:t>特种设备作业人员资格认定分类与项目：特种设备管理人员（</w:t>
      </w:r>
      <w:r>
        <w:rPr>
          <w:rFonts w:hint="eastAsia"/>
        </w:rPr>
        <w:t>A</w:t>
      </w:r>
      <w:r>
        <w:rPr>
          <w:rFonts w:hint="eastAsia"/>
        </w:rPr>
        <w:t>）、起重机作业（起重机指挥</w:t>
      </w:r>
      <w:r>
        <w:rPr>
          <w:rFonts w:hint="eastAsia"/>
        </w:rPr>
        <w:t>Q</w:t>
      </w:r>
      <w:r>
        <w:t>1</w:t>
      </w:r>
      <w:r>
        <w:rPr>
          <w:rFonts w:hint="eastAsia"/>
        </w:rPr>
        <w:t>、起重机司机</w:t>
      </w:r>
      <w:r>
        <w:rPr>
          <w:rFonts w:hint="eastAsia"/>
        </w:rPr>
        <w:t>Q</w:t>
      </w:r>
      <w:r>
        <w:t>2</w:t>
      </w:r>
      <w:r>
        <w:rPr>
          <w:rFonts w:hint="eastAsia"/>
        </w:rPr>
        <w:t>）。</w:t>
      </w:r>
    </w:p>
    <w:p w:rsidR="00F95F9B" w:rsidRDefault="00000000">
      <w:pPr>
        <w:widowControl w:val="0"/>
        <w:shd w:val="clear" w:color="auto" w:fill="FFFFFF" w:themeFill="background1"/>
        <w:ind w:firstLine="470"/>
      </w:pPr>
      <w:r>
        <w:t>6</w:t>
      </w:r>
      <w:r>
        <w:rPr>
          <w:rFonts w:hint="eastAsia"/>
        </w:rPr>
        <w:t>）《山东省特种设备安全条例》</w:t>
      </w:r>
    </w:p>
    <w:p w:rsidR="00F95F9B" w:rsidRDefault="00000000">
      <w:pPr>
        <w:widowControl w:val="0"/>
        <w:shd w:val="clear" w:color="auto" w:fill="FFFFFF" w:themeFill="background1"/>
        <w:ind w:firstLine="470"/>
      </w:pPr>
      <w:r>
        <w:rPr>
          <w:rFonts w:hint="eastAsia"/>
        </w:rPr>
        <w:t>第十七条</w:t>
      </w:r>
      <w:r>
        <w:rPr>
          <w:rFonts w:hint="eastAsia"/>
        </w:rPr>
        <w:t xml:space="preserve">  </w:t>
      </w:r>
      <w:r>
        <w:rPr>
          <w:rFonts w:hint="eastAsia"/>
        </w:rPr>
        <w:t>电站锅炉、石油天然气管道、石油加工与化工成套装置使用单位，移动式压力容器、气瓶充装单位，以及起重机械、场（厂）内专用机动车辆的数量大于五十台的特种设备使用单位应当配备特种设备安全管理负责人；电梯、客运索道、大型游乐设施等为公众提供服务的特种设备的运营使用单位应当配备专职安全管理人员。</w:t>
      </w:r>
    </w:p>
    <w:p w:rsidR="00F95F9B" w:rsidRDefault="00000000">
      <w:pPr>
        <w:widowControl w:val="0"/>
        <w:shd w:val="clear" w:color="auto" w:fill="FFFFFF" w:themeFill="background1"/>
        <w:ind w:firstLine="470"/>
      </w:pPr>
      <w:r>
        <w:rPr>
          <w:rFonts w:hint="eastAsia"/>
        </w:rPr>
        <w:t>7</w:t>
      </w:r>
      <w:r>
        <w:rPr>
          <w:rFonts w:hint="eastAsia"/>
        </w:rPr>
        <w:t>）《石油与天然气井井控安全技术考核管理规则》（</w:t>
      </w:r>
      <w:r>
        <w:rPr>
          <w:rFonts w:hint="eastAsia"/>
        </w:rPr>
        <w:t>SY/T5742-2019</w:t>
      </w:r>
      <w:r>
        <w:rPr>
          <w:rFonts w:hint="eastAsia"/>
        </w:rPr>
        <w:t>）</w:t>
      </w:r>
    </w:p>
    <w:p w:rsidR="00F95F9B" w:rsidRDefault="00000000">
      <w:pPr>
        <w:widowControl w:val="0"/>
        <w:shd w:val="clear" w:color="auto" w:fill="FFFFFF" w:themeFill="background1"/>
        <w:ind w:firstLine="470"/>
      </w:pPr>
      <w:r>
        <w:rPr>
          <w:rFonts w:hint="eastAsia"/>
        </w:rPr>
        <w:t>第</w:t>
      </w:r>
      <w:r>
        <w:rPr>
          <w:rFonts w:hint="eastAsia"/>
        </w:rPr>
        <w:t>3</w:t>
      </w:r>
      <w:r>
        <w:rPr>
          <w:rFonts w:hint="eastAsia"/>
        </w:rPr>
        <w:t>条　井控培训合格证取证的人员范围</w:t>
      </w:r>
      <w:r>
        <w:rPr>
          <w:rFonts w:hint="eastAsia"/>
        </w:rPr>
        <w:t xml:space="preserve"> </w:t>
      </w:r>
    </w:p>
    <w:p w:rsidR="00F95F9B" w:rsidRDefault="00000000">
      <w:pPr>
        <w:widowControl w:val="0"/>
        <w:shd w:val="clear" w:color="auto" w:fill="FFFFFF" w:themeFill="background1"/>
        <w:ind w:firstLine="470"/>
      </w:pPr>
      <w:r>
        <w:rPr>
          <w:rFonts w:hint="eastAsia"/>
        </w:rPr>
        <w:t>油气生产单位、工程施工单位的领导及管理人员：主管生产、技术和安全工作的领导，正副总工程师；技术和安全管理部门领导、主管井控设计、审批领导及参与井控管理的人员。</w:t>
      </w:r>
    </w:p>
    <w:p w:rsidR="00F95F9B" w:rsidRDefault="00000000">
      <w:pPr>
        <w:widowControl w:val="0"/>
        <w:shd w:val="clear" w:color="auto" w:fill="FFFFFF" w:themeFill="background1"/>
        <w:ind w:firstLine="470"/>
      </w:pPr>
      <w:r>
        <w:rPr>
          <w:rFonts w:hint="eastAsia"/>
        </w:rPr>
        <w:t>8</w:t>
      </w:r>
      <w:r>
        <w:rPr>
          <w:rFonts w:hint="eastAsia"/>
        </w:rPr>
        <w:t>）《硫化氢防护安全培训规范》（</w:t>
      </w:r>
      <w:r>
        <w:rPr>
          <w:rFonts w:hint="eastAsia"/>
        </w:rPr>
        <w:t>S</w:t>
      </w:r>
      <w:r>
        <w:t>Y/T 7356-2017</w:t>
      </w:r>
      <w:r>
        <w:rPr>
          <w:rFonts w:hint="eastAsia"/>
        </w:rPr>
        <w:t>）</w:t>
      </w:r>
    </w:p>
    <w:p w:rsidR="00F95F9B" w:rsidRDefault="00000000">
      <w:pPr>
        <w:widowControl w:val="0"/>
        <w:shd w:val="clear" w:color="auto" w:fill="FFFFFF" w:themeFill="background1"/>
        <w:ind w:firstLine="470"/>
      </w:pPr>
      <w:r>
        <w:rPr>
          <w:rFonts w:hint="eastAsia"/>
        </w:rPr>
        <w:lastRenderedPageBreak/>
        <w:t>第</w:t>
      </w:r>
      <w:r>
        <w:rPr>
          <w:rFonts w:hint="eastAsia"/>
        </w:rPr>
        <w:t>3</w:t>
      </w:r>
      <w:r>
        <w:rPr>
          <w:rFonts w:hint="eastAsia"/>
        </w:rPr>
        <w:t>条　受训人员</w:t>
      </w:r>
    </w:p>
    <w:p w:rsidR="00F95F9B" w:rsidRDefault="00000000">
      <w:pPr>
        <w:widowControl w:val="0"/>
        <w:shd w:val="clear" w:color="auto" w:fill="FFFFFF" w:themeFill="background1"/>
        <w:ind w:firstLine="470"/>
      </w:pPr>
      <w:r>
        <w:rPr>
          <w:rFonts w:hint="eastAsia"/>
        </w:rPr>
        <w:t>机关管理人员：生产经营单位及上级机关负责生产、技术和安全的管理人员。</w:t>
      </w:r>
    </w:p>
    <w:p w:rsidR="00F95F9B" w:rsidRDefault="00000000">
      <w:pPr>
        <w:widowControl w:val="0"/>
        <w:shd w:val="clear" w:color="auto" w:fill="FFFFFF" w:themeFill="background1"/>
        <w:ind w:firstLine="470"/>
      </w:pPr>
      <w:r>
        <w:rPr>
          <w:rFonts w:hint="eastAsia"/>
        </w:rPr>
        <w:t>基层管理人员：基层队的基层管理、监督人员。</w:t>
      </w:r>
    </w:p>
    <w:p w:rsidR="00F95F9B" w:rsidRDefault="00000000">
      <w:pPr>
        <w:widowControl w:val="0"/>
        <w:shd w:val="clear" w:color="auto" w:fill="FFFFFF" w:themeFill="background1"/>
        <w:ind w:firstLine="470"/>
      </w:pPr>
      <w:r>
        <w:rPr>
          <w:rFonts w:hint="eastAsia"/>
        </w:rPr>
        <w:t>基层人员：从事岗位操作的现场人员。</w:t>
      </w:r>
    </w:p>
    <w:p w:rsidR="00F95F9B" w:rsidRDefault="00000000">
      <w:pPr>
        <w:widowControl w:val="0"/>
        <w:shd w:val="clear" w:color="auto" w:fill="FFFFFF" w:themeFill="background1"/>
        <w:ind w:firstLine="470"/>
      </w:pPr>
      <w:r>
        <w:rPr>
          <w:rFonts w:hint="eastAsia"/>
        </w:rPr>
        <w:t>设计人员：从事采油采气等设计人员。</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鲁明公司对其从业人员进行安全教育培训的时间和内容，符合国家法律法规及其标准规范的要求。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安全投入</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rPr>
          <w:sz w:val="28"/>
        </w:rPr>
      </w:pPr>
      <w:r>
        <w:rPr>
          <w:rFonts w:hint="eastAsia"/>
        </w:rP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rPr>
          <w:rFonts w:hint="eastAsia"/>
        </w:rPr>
        <w:t xml:space="preserve">第六条　</w:t>
      </w:r>
      <w:r>
        <w:t>安全投入</w:t>
      </w:r>
      <w:r>
        <w:rPr>
          <w:rFonts w:hint="eastAsia"/>
        </w:rPr>
        <w:t>应</w:t>
      </w:r>
      <w:r>
        <w:t>符合安全生产要求，依照国家有关规定足额提取安全生产费用。</w:t>
      </w:r>
    </w:p>
    <w:p w:rsidR="00F95F9B" w:rsidRDefault="00000000">
      <w:pPr>
        <w:widowControl w:val="0"/>
        <w:shd w:val="clear" w:color="auto" w:fill="FFFFFF" w:themeFill="background1"/>
        <w:adjustRightInd w:val="0"/>
        <w:snapToGrid w:val="0"/>
        <w:ind w:firstLine="470"/>
      </w:pPr>
      <w:r>
        <w:t>2</w:t>
      </w:r>
      <w:r>
        <w:rPr>
          <w:rFonts w:hint="eastAsia"/>
        </w:rPr>
        <w:t>）《企业安全生产费用提取和使用管理办法》（财资〔</w:t>
      </w:r>
      <w:r>
        <w:t>2022</w:t>
      </w:r>
      <w:r>
        <w:rPr>
          <w:rFonts w:hint="eastAsia"/>
        </w:rPr>
        <w:t>〕</w:t>
      </w:r>
      <w:r>
        <w:t>136</w:t>
      </w:r>
      <w:r>
        <w:rPr>
          <w:rFonts w:hint="eastAsia"/>
        </w:rPr>
        <w:t>号）</w:t>
      </w:r>
    </w:p>
    <w:p w:rsidR="00F95F9B" w:rsidRDefault="00000000">
      <w:pPr>
        <w:widowControl w:val="0"/>
        <w:shd w:val="clear" w:color="auto" w:fill="FFFFFF" w:themeFill="background1"/>
        <w:adjustRightInd w:val="0"/>
        <w:snapToGrid w:val="0"/>
        <w:ind w:firstLine="470"/>
      </w:pPr>
      <w:r>
        <w:rPr>
          <w:rFonts w:hint="eastAsia"/>
        </w:rPr>
        <w:t>第十四条　陆上采油（气）企业依据当月开采的石油、天然气产量，于月末提取企业安全生产费用。其中每吨原油</w:t>
      </w:r>
      <w:r>
        <w:rPr>
          <w:rFonts w:hint="eastAsia"/>
        </w:rPr>
        <w:t>20</w:t>
      </w:r>
      <w:r>
        <w:rPr>
          <w:rFonts w:hint="eastAsia"/>
        </w:rPr>
        <w:t>元，每千立方米原气</w:t>
      </w:r>
      <w:r>
        <w:rPr>
          <w:rFonts w:hint="eastAsia"/>
        </w:rPr>
        <w:t>7.5</w:t>
      </w:r>
      <w:r>
        <w:rPr>
          <w:rFonts w:hint="eastAsia"/>
        </w:rPr>
        <w:t>元。</w:t>
      </w:r>
    </w:p>
    <w:p w:rsidR="00F95F9B" w:rsidRDefault="00000000">
      <w:pPr>
        <w:widowControl w:val="0"/>
        <w:shd w:val="clear" w:color="auto" w:fill="FFFFFF" w:themeFill="background1"/>
        <w:adjustRightInd w:val="0"/>
        <w:snapToGrid w:val="0"/>
        <w:ind w:firstLine="470"/>
      </w:pPr>
      <w:r>
        <w:rPr>
          <w:rFonts w:hint="eastAsia"/>
        </w:rPr>
        <w:t>第十五条　石油天然气开采企业安全生产费用应当用于以下支出：</w:t>
      </w:r>
    </w:p>
    <w:p w:rsidR="00F95F9B" w:rsidRDefault="00000000">
      <w:pPr>
        <w:widowControl w:val="0"/>
        <w:shd w:val="clear" w:color="auto" w:fill="FFFFFF" w:themeFill="background1"/>
        <w:adjustRightInd w:val="0"/>
        <w:snapToGrid w:val="0"/>
        <w:ind w:firstLine="470"/>
      </w:pPr>
      <w:r>
        <w:rPr>
          <w:rFonts w:hint="eastAsia"/>
        </w:rPr>
        <w:t>（一）完善、改造和维护安全防护设施设备支出（不含“三同时”要求初期投入的安全设施），包括油气井（场）、管道、站场、海洋石油生产设施、作业设施等设施设备的监测、监控、防井喷、防灭火、防坍塌、防爆炸、防泄漏、防腐蚀、防颠覆、防漂移、防雷、防静电、防台风、防中毒、防坠落等设施设备支出；</w:t>
      </w:r>
    </w:p>
    <w:p w:rsidR="00F95F9B" w:rsidRDefault="00000000">
      <w:pPr>
        <w:widowControl w:val="0"/>
        <w:shd w:val="clear" w:color="auto" w:fill="FFFFFF" w:themeFill="background1"/>
        <w:adjustRightInd w:val="0"/>
        <w:snapToGrid w:val="0"/>
        <w:ind w:firstLine="470"/>
      </w:pPr>
      <w:r>
        <w:rPr>
          <w:rFonts w:hint="eastAsia"/>
        </w:rPr>
        <w:t>（二）事故逃生和紧急避难设施设备的配置及维护保养支出，应急救援器材、设备配置及维护保养支出，应急救援队伍建设、应急预案制修订与应急演练支出；</w:t>
      </w:r>
    </w:p>
    <w:p w:rsidR="00F95F9B" w:rsidRDefault="00000000">
      <w:pPr>
        <w:widowControl w:val="0"/>
        <w:shd w:val="clear" w:color="auto" w:fill="FFFFFF" w:themeFill="background1"/>
        <w:adjustRightInd w:val="0"/>
        <w:snapToGrid w:val="0"/>
        <w:ind w:firstLine="470"/>
      </w:pPr>
      <w:r>
        <w:rPr>
          <w:rFonts w:hint="eastAsia"/>
        </w:rPr>
        <w:t>（三）开展重大危险源检测、评估、监控支出，安全风险分级管控和事故隐患排查整改支出，安全生产信息化、智能化建设、运维和网络安全支出；</w:t>
      </w:r>
    </w:p>
    <w:p w:rsidR="00F95F9B" w:rsidRDefault="00000000">
      <w:pPr>
        <w:widowControl w:val="0"/>
        <w:shd w:val="clear" w:color="auto" w:fill="FFFFFF" w:themeFill="background1"/>
        <w:adjustRightInd w:val="0"/>
        <w:snapToGrid w:val="0"/>
        <w:ind w:firstLine="470"/>
      </w:pPr>
      <w:r>
        <w:rPr>
          <w:rFonts w:hint="eastAsia"/>
        </w:rPr>
        <w:t>（四）安全生产检查、评估评价（不含新建、改建、扩建项目安全评价）、咨询、标准化建设支出；</w:t>
      </w:r>
    </w:p>
    <w:p w:rsidR="00F95F9B" w:rsidRDefault="00000000">
      <w:pPr>
        <w:widowControl w:val="0"/>
        <w:shd w:val="clear" w:color="auto" w:fill="FFFFFF" w:themeFill="background1"/>
        <w:adjustRightInd w:val="0"/>
        <w:snapToGrid w:val="0"/>
        <w:ind w:firstLine="470"/>
      </w:pPr>
      <w:r>
        <w:rPr>
          <w:rFonts w:hint="eastAsia"/>
        </w:rPr>
        <w:t>（五）配备和更新现场作业人员安全防护用品支出；</w:t>
      </w:r>
    </w:p>
    <w:p w:rsidR="00F95F9B" w:rsidRDefault="00000000">
      <w:pPr>
        <w:widowControl w:val="0"/>
        <w:shd w:val="clear" w:color="auto" w:fill="FFFFFF" w:themeFill="background1"/>
        <w:adjustRightInd w:val="0"/>
        <w:snapToGrid w:val="0"/>
        <w:ind w:firstLine="470"/>
      </w:pPr>
      <w:r>
        <w:rPr>
          <w:rFonts w:hint="eastAsia"/>
        </w:rPr>
        <w:t>（六）安全生产宣传、教育、培训和从业人员发现并报告事故隐患的奖励支出；</w:t>
      </w:r>
    </w:p>
    <w:p w:rsidR="00F95F9B" w:rsidRDefault="00000000">
      <w:pPr>
        <w:widowControl w:val="0"/>
        <w:shd w:val="clear" w:color="auto" w:fill="FFFFFF" w:themeFill="background1"/>
        <w:adjustRightInd w:val="0"/>
        <w:snapToGrid w:val="0"/>
        <w:ind w:firstLine="470"/>
      </w:pPr>
      <w:r>
        <w:rPr>
          <w:rFonts w:hint="eastAsia"/>
        </w:rPr>
        <w:lastRenderedPageBreak/>
        <w:t>（七）安全生产适用的新技术、新标准、新工艺、新装备的推广应用支出；</w:t>
      </w:r>
    </w:p>
    <w:p w:rsidR="00F95F9B" w:rsidRDefault="00000000">
      <w:pPr>
        <w:widowControl w:val="0"/>
        <w:shd w:val="clear" w:color="auto" w:fill="FFFFFF" w:themeFill="background1"/>
        <w:adjustRightInd w:val="0"/>
        <w:snapToGrid w:val="0"/>
        <w:ind w:firstLine="470"/>
      </w:pPr>
      <w:r>
        <w:rPr>
          <w:rFonts w:hint="eastAsia"/>
        </w:rPr>
        <w:t>（八）安全设施及特种设备检测检验、检定校准支出；</w:t>
      </w:r>
    </w:p>
    <w:p w:rsidR="00F95F9B" w:rsidRDefault="00000000">
      <w:pPr>
        <w:widowControl w:val="0"/>
        <w:shd w:val="clear" w:color="auto" w:fill="FFFFFF" w:themeFill="background1"/>
        <w:adjustRightInd w:val="0"/>
        <w:snapToGrid w:val="0"/>
        <w:ind w:firstLine="470"/>
      </w:pPr>
      <w:r>
        <w:rPr>
          <w:rFonts w:hint="eastAsia"/>
        </w:rPr>
        <w:t>（九）野外或海上作业应急食品、应急器械、应急药品支出；</w:t>
      </w:r>
    </w:p>
    <w:p w:rsidR="00F95F9B" w:rsidRDefault="00000000">
      <w:pPr>
        <w:widowControl w:val="0"/>
        <w:shd w:val="clear" w:color="auto" w:fill="FFFFFF" w:themeFill="background1"/>
        <w:adjustRightInd w:val="0"/>
        <w:snapToGrid w:val="0"/>
        <w:ind w:firstLine="470"/>
      </w:pPr>
      <w:r>
        <w:rPr>
          <w:rFonts w:hint="eastAsia"/>
        </w:rPr>
        <w:t>（十）安全生产责任保险支出；</w:t>
      </w:r>
    </w:p>
    <w:p w:rsidR="00F95F9B" w:rsidRDefault="00000000">
      <w:pPr>
        <w:widowControl w:val="0"/>
        <w:shd w:val="clear" w:color="auto" w:fill="FFFFFF" w:themeFill="background1"/>
        <w:adjustRightInd w:val="0"/>
        <w:snapToGrid w:val="0"/>
        <w:ind w:firstLine="470"/>
      </w:pPr>
      <w:r>
        <w:rPr>
          <w:rFonts w:hint="eastAsia"/>
        </w:rPr>
        <w:t>（十一）与安全生产直接相关的其他支出。</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spacing w:beforeLines="50" w:before="17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w:t>
      </w:r>
      <w:r>
        <w:rPr>
          <w:rFonts w:hint="eastAsia"/>
        </w:rPr>
        <w:t>20</w:t>
      </w:r>
      <w:r>
        <w:t>20</w:t>
      </w:r>
      <w:r>
        <w:rPr>
          <w:rFonts w:hint="eastAsia"/>
        </w:rPr>
        <w:t>~202</w:t>
      </w:r>
      <w:r>
        <w:t>2</w:t>
      </w:r>
      <w:r>
        <w:rPr>
          <w:rFonts w:hint="eastAsia"/>
        </w:rPr>
        <w:t>年安全生产费用的提取和使用情况及</w:t>
      </w:r>
      <w:r>
        <w:rPr>
          <w:rFonts w:hint="eastAsia"/>
        </w:rPr>
        <w:t>2023</w:t>
      </w:r>
      <w:r>
        <w:rPr>
          <w:rFonts w:hint="eastAsia"/>
        </w:rPr>
        <w:t>年安全生产投入计划，符合国家法律法规及其标准规范的要求。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工伤保险及安全生产责任险</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rPr>
          <w:rFonts w:hint="eastAsia"/>
        </w:rPr>
        <w:t>第六条　依法参加工伤保险，为从业人员缴纳保险费。</w:t>
      </w:r>
    </w:p>
    <w:p w:rsidR="00F95F9B" w:rsidRDefault="00000000">
      <w:pPr>
        <w:widowControl w:val="0"/>
        <w:shd w:val="clear" w:color="auto" w:fill="FFFFFF" w:themeFill="background1"/>
        <w:adjustRightInd w:val="0"/>
        <w:snapToGrid w:val="0"/>
        <w:ind w:firstLine="470"/>
      </w:pPr>
      <w:r>
        <w:rPr>
          <w:rFonts w:hint="eastAsia"/>
        </w:rPr>
        <w:t>2</w:t>
      </w:r>
      <w:r>
        <w:rPr>
          <w:rFonts w:hint="eastAsia"/>
        </w:rPr>
        <w:t>）《工伤保险条例》</w:t>
      </w:r>
    </w:p>
    <w:p w:rsidR="00F95F9B" w:rsidRDefault="00000000">
      <w:pPr>
        <w:widowControl w:val="0"/>
        <w:shd w:val="clear" w:color="auto" w:fill="FFFFFF" w:themeFill="background1"/>
        <w:adjustRightInd w:val="0"/>
        <w:snapToGrid w:val="0"/>
        <w:ind w:firstLine="470"/>
      </w:pPr>
      <w:r>
        <w:rPr>
          <w:rFonts w:hint="eastAsia"/>
        </w:rPr>
        <w:t>第二条　用人单位应当依照本条例规定参加工伤保险，为本单位全部职工或者雇工缴纳工伤保险费。</w:t>
      </w:r>
    </w:p>
    <w:p w:rsidR="00F95F9B" w:rsidRDefault="00000000">
      <w:pPr>
        <w:widowControl w:val="0"/>
        <w:shd w:val="clear" w:color="auto" w:fill="FFFFFF" w:themeFill="background1"/>
        <w:adjustRightInd w:val="0"/>
        <w:snapToGrid w:val="0"/>
        <w:ind w:firstLine="470"/>
      </w:pPr>
      <w:r>
        <w:rPr>
          <w:rFonts w:hint="eastAsia"/>
        </w:rPr>
        <w:t>3</w:t>
      </w:r>
      <w:r>
        <w:rPr>
          <w:rFonts w:hint="eastAsia"/>
        </w:rPr>
        <w:t>）《安全生产责任保险实施办法》</w:t>
      </w:r>
    </w:p>
    <w:p w:rsidR="00F95F9B" w:rsidRDefault="00000000">
      <w:pPr>
        <w:widowControl w:val="0"/>
        <w:shd w:val="clear" w:color="auto" w:fill="FFFFFF" w:themeFill="background1"/>
        <w:adjustRightInd w:val="0"/>
        <w:snapToGrid w:val="0"/>
        <w:ind w:firstLine="470"/>
      </w:pPr>
      <w:r>
        <w:rPr>
          <w:rFonts w:hint="eastAsia"/>
        </w:rPr>
        <w:t>第六条　煤矿、非煤矿山、危险化学品、烟花爆竹、交通运输、建筑施工、民用爆炸物品、金属冶炼、渔业生产等高危行业领域的生产经营单位应当投保安全生产责任保险。</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鲁明公司按规定每月给职工缴纳工伤保险，并投保安全生产责任险，符合国家法律法规及其标准规范的要求。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劳动防护用品配备</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rPr>
          <w:rFonts w:hint="eastAsia"/>
        </w:rPr>
        <w:t>第六条</w:t>
      </w:r>
      <w:r>
        <w:rPr>
          <w:rFonts w:ascii="宋体" w:hAnsi="宋体" w:cs="宋体" w:hint="eastAsia"/>
          <w:kern w:val="0"/>
          <w:szCs w:val="24"/>
        </w:rPr>
        <w:t xml:space="preserve">　</w:t>
      </w:r>
      <w:r>
        <w:rPr>
          <w:rFonts w:hint="eastAsia"/>
        </w:rPr>
        <w:t>制定防治职业危害的具体措施，并为从业人员配备符合国家标准或者行业标准的劳动防护用品。</w:t>
      </w:r>
    </w:p>
    <w:p w:rsidR="00F95F9B" w:rsidRDefault="00000000">
      <w:pPr>
        <w:widowControl w:val="0"/>
        <w:shd w:val="clear" w:color="auto" w:fill="FFFFFF" w:themeFill="background1"/>
        <w:adjustRightInd w:val="0"/>
        <w:snapToGrid w:val="0"/>
        <w:ind w:firstLine="470"/>
      </w:pPr>
      <w:r>
        <w:lastRenderedPageBreak/>
        <w:t>2</w:t>
      </w:r>
      <w:r>
        <w:rPr>
          <w:rFonts w:hint="eastAsia"/>
        </w:rPr>
        <w:t>）《山东省安全生产条例》</w:t>
      </w:r>
    </w:p>
    <w:p w:rsidR="00F95F9B" w:rsidRDefault="00000000">
      <w:pPr>
        <w:widowControl w:val="0"/>
        <w:shd w:val="clear" w:color="auto" w:fill="FFFFFF" w:themeFill="background1"/>
        <w:adjustRightInd w:val="0"/>
        <w:snapToGrid w:val="0"/>
        <w:ind w:firstLine="470"/>
      </w:pPr>
      <w:r>
        <w:rPr>
          <w:rFonts w:hint="eastAsia"/>
        </w:rPr>
        <w:t>第二十五条　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p w:rsidR="00F95F9B" w:rsidRDefault="00000000">
      <w:pPr>
        <w:widowControl w:val="0"/>
        <w:shd w:val="clear" w:color="auto" w:fill="FFFFFF" w:themeFill="background1"/>
        <w:adjustRightInd w:val="0"/>
        <w:snapToGrid w:val="0"/>
        <w:ind w:firstLine="470"/>
      </w:pPr>
      <w:r>
        <w:rPr>
          <w:rFonts w:hint="eastAsia"/>
        </w:rPr>
        <w:t>3</w:t>
      </w:r>
      <w:r>
        <w:rPr>
          <w:rFonts w:hint="eastAsia"/>
        </w:rPr>
        <w:t>）《个体防护装备配备规范第</w:t>
      </w:r>
      <w:r>
        <w:rPr>
          <w:rFonts w:hint="eastAsia"/>
        </w:rPr>
        <w:t xml:space="preserve"> 2 </w:t>
      </w:r>
      <w:r>
        <w:rPr>
          <w:rFonts w:hint="eastAsia"/>
        </w:rPr>
        <w:t>部分：石油、化工、天然气》（</w:t>
      </w:r>
      <w:r>
        <w:rPr>
          <w:rFonts w:hint="eastAsia"/>
        </w:rPr>
        <w:t>GB39800.2-2020</w:t>
      </w:r>
      <w:r>
        <w:rPr>
          <w:rFonts w:hint="eastAsia"/>
        </w:rPr>
        <w:t>）</w:t>
      </w:r>
    </w:p>
    <w:p w:rsidR="00F95F9B" w:rsidRDefault="00000000">
      <w:pPr>
        <w:widowControl w:val="0"/>
        <w:shd w:val="clear" w:color="auto" w:fill="FFFFFF" w:themeFill="background1"/>
        <w:adjustRightInd w:val="0"/>
        <w:snapToGrid w:val="0"/>
        <w:ind w:firstLine="470"/>
      </w:pPr>
      <w:r>
        <w:rPr>
          <w:rFonts w:hint="eastAsia"/>
        </w:rPr>
        <w:t>个体防护装备的配备及使用期限按照附录</w:t>
      </w:r>
      <w:r>
        <w:rPr>
          <w:rFonts w:hint="eastAsia"/>
        </w:rPr>
        <w:t>B</w:t>
      </w:r>
      <w:r>
        <w:rPr>
          <w:rFonts w:hint="eastAsia"/>
        </w:rPr>
        <w:t>的有关规定执行。采油工按照附录</w:t>
      </w:r>
      <w:r>
        <w:rPr>
          <w:rFonts w:hint="eastAsia"/>
        </w:rPr>
        <w:t>B</w:t>
      </w:r>
      <w:r>
        <w:rPr>
          <w:rFonts w:hint="eastAsia"/>
        </w:rPr>
        <w:t>中</w:t>
      </w:r>
      <w:r>
        <w:rPr>
          <w:rFonts w:hint="eastAsia"/>
        </w:rPr>
        <w:t>S</w:t>
      </w:r>
      <w:r>
        <w:t>Y-</w:t>
      </w:r>
      <w:r>
        <w:rPr>
          <w:rFonts w:hint="eastAsia"/>
        </w:rPr>
        <w:t>0</w:t>
      </w:r>
      <w:r>
        <w:t>5</w:t>
      </w:r>
      <w:r>
        <w:rPr>
          <w:rFonts w:hint="eastAsia"/>
        </w:rPr>
        <w:t>-</w:t>
      </w:r>
      <w:r>
        <w:t>001</w:t>
      </w:r>
      <w:r>
        <w:rPr>
          <w:rFonts w:hint="eastAsia"/>
        </w:rPr>
        <w:t>，采气工按照附录</w:t>
      </w:r>
      <w:r>
        <w:rPr>
          <w:rFonts w:hint="eastAsia"/>
        </w:rPr>
        <w:t>B</w:t>
      </w:r>
      <w:r>
        <w:rPr>
          <w:rFonts w:hint="eastAsia"/>
        </w:rPr>
        <w:t>中</w:t>
      </w:r>
      <w:r>
        <w:rPr>
          <w:rFonts w:hint="eastAsia"/>
        </w:rPr>
        <w:t>S</w:t>
      </w:r>
      <w:r>
        <w:t>Y-</w:t>
      </w:r>
      <w:r>
        <w:rPr>
          <w:rFonts w:hint="eastAsia"/>
        </w:rPr>
        <w:t>0</w:t>
      </w:r>
      <w:r>
        <w:t>5</w:t>
      </w:r>
      <w:r>
        <w:rPr>
          <w:rFonts w:hint="eastAsia"/>
        </w:rPr>
        <w:t>-</w:t>
      </w:r>
      <w:r>
        <w:t>00</w:t>
      </w:r>
      <w:r>
        <w:rPr>
          <w:rFonts w:hint="eastAsia"/>
        </w:rPr>
        <w:t>2</w:t>
      </w:r>
      <w:r>
        <w:rPr>
          <w:rFonts w:hint="eastAsia"/>
        </w:rPr>
        <w:t>，注水工按照附录</w:t>
      </w:r>
      <w:r>
        <w:rPr>
          <w:rFonts w:hint="eastAsia"/>
        </w:rPr>
        <w:t>B</w:t>
      </w:r>
      <w:r>
        <w:rPr>
          <w:rFonts w:hint="eastAsia"/>
        </w:rPr>
        <w:t>中</w:t>
      </w:r>
      <w:r>
        <w:rPr>
          <w:rFonts w:hint="eastAsia"/>
        </w:rPr>
        <w:t>S</w:t>
      </w:r>
      <w:r>
        <w:t>Y-</w:t>
      </w:r>
      <w:r>
        <w:rPr>
          <w:rFonts w:hint="eastAsia"/>
        </w:rPr>
        <w:t>0</w:t>
      </w:r>
      <w:r>
        <w:t>5</w:t>
      </w:r>
      <w:r>
        <w:rPr>
          <w:rFonts w:hint="eastAsia"/>
        </w:rPr>
        <w:t>-</w:t>
      </w:r>
      <w:r>
        <w:t>003</w:t>
      </w:r>
      <w:r>
        <w:rPr>
          <w:rFonts w:hint="eastAsia"/>
        </w:rPr>
        <w:t>配备个体防护装备。</w:t>
      </w:r>
    </w:p>
    <w:p w:rsidR="00F95F9B" w:rsidRDefault="00000000">
      <w:pPr>
        <w:widowControl w:val="0"/>
        <w:shd w:val="clear" w:color="auto" w:fill="FFFFFF" w:themeFill="background1"/>
        <w:adjustRightInd w:val="0"/>
        <w:snapToGrid w:val="0"/>
        <w:ind w:firstLine="470"/>
      </w:pPr>
      <w:r>
        <w:rPr>
          <w:rFonts w:hint="eastAsia"/>
        </w:rPr>
        <w:t>4</w:t>
      </w:r>
      <w:r>
        <w:rPr>
          <w:rFonts w:hint="eastAsia"/>
        </w:rPr>
        <w:t>）《石油天然气作业场所劳动防护用品配备规范》（</w:t>
      </w:r>
      <w:r>
        <w:rPr>
          <w:rFonts w:hint="eastAsia"/>
        </w:rPr>
        <w:t>SY/T 6524-2017</w:t>
      </w:r>
      <w:r>
        <w:rPr>
          <w:rFonts w:hint="eastAsia"/>
        </w:rPr>
        <w:t>）</w:t>
      </w:r>
    </w:p>
    <w:p w:rsidR="00F95F9B" w:rsidRDefault="00000000">
      <w:pPr>
        <w:widowControl w:val="0"/>
        <w:shd w:val="clear" w:color="auto" w:fill="FFFFFF" w:themeFill="background1"/>
        <w:adjustRightInd w:val="0"/>
        <w:snapToGrid w:val="0"/>
        <w:ind w:firstLine="470"/>
      </w:pPr>
      <w:r>
        <w:rPr>
          <w:rFonts w:hint="eastAsia"/>
        </w:rPr>
        <w:t>第</w:t>
      </w:r>
      <w:r>
        <w:rPr>
          <w:rFonts w:hint="eastAsia"/>
        </w:rPr>
        <w:t>6</w:t>
      </w:r>
      <w:r>
        <w:t>.4</w:t>
      </w:r>
      <w:r>
        <w:rPr>
          <w:rFonts w:hint="eastAsia"/>
        </w:rPr>
        <w:t>条</w:t>
      </w:r>
      <w:r>
        <w:rPr>
          <w:rFonts w:hint="eastAsia"/>
        </w:rPr>
        <w:t xml:space="preserve"> </w:t>
      </w:r>
      <w:r>
        <w:t xml:space="preserve">  </w:t>
      </w:r>
      <w:r>
        <w:rPr>
          <w:rFonts w:hint="eastAsia"/>
        </w:rPr>
        <w:t>作业场所主要危险、有害因素及劳动防护用品配备要求见表</w:t>
      </w:r>
      <w:r>
        <w:rPr>
          <w:rFonts w:hint="eastAsia"/>
        </w:rPr>
        <w:t>1</w:t>
      </w:r>
      <w:r>
        <w:rPr>
          <w:rFonts w:hint="eastAsia"/>
        </w:rPr>
        <w:t>。</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鲁明公司为员工配备的劳动防护用品，符合国家法律法规及其标准规范的要求。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 xml:space="preserve"> </w:t>
      </w:r>
      <w:r>
        <w:rPr>
          <w:rFonts w:hint="eastAsia"/>
        </w:rPr>
        <w:t>“三同时”管理</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rPr>
          <w:rFonts w:hint="eastAsia"/>
        </w:rPr>
        <w:t>第六条</w:t>
      </w:r>
      <w:r>
        <w:rPr>
          <w:rFonts w:ascii="宋体" w:hAnsi="宋体" w:cs="宋体" w:hint="eastAsia"/>
          <w:kern w:val="0"/>
          <w:szCs w:val="24"/>
        </w:rPr>
        <w:t xml:space="preserve">　</w:t>
      </w:r>
      <w:r>
        <w:rPr>
          <w:rFonts w:hint="eastAsia"/>
        </w:rPr>
        <w:t>新建、改建、扩建工程项目依法进行安全评价，其安全设施经验收合格</w:t>
      </w:r>
      <w:r>
        <w:t>。</w:t>
      </w:r>
    </w:p>
    <w:p w:rsidR="00F95F9B" w:rsidRDefault="00000000">
      <w:pPr>
        <w:widowControl w:val="0"/>
        <w:shd w:val="clear" w:color="auto" w:fill="FFFFFF" w:themeFill="background1"/>
        <w:adjustRightInd w:val="0"/>
        <w:snapToGrid w:val="0"/>
        <w:ind w:firstLine="470"/>
        <w:rPr>
          <w:rFonts w:ascii="宋体" w:hAnsi="宋体" w:cs="宋体"/>
          <w:kern w:val="0"/>
          <w:szCs w:val="24"/>
        </w:rPr>
      </w:pPr>
      <w:r>
        <w:rPr>
          <w:rFonts w:hint="eastAsia"/>
        </w:rPr>
        <w:t>2</w:t>
      </w:r>
      <w:r>
        <w:rPr>
          <w:rFonts w:hint="eastAsia"/>
        </w:rPr>
        <w:t>）</w:t>
      </w:r>
      <w:r>
        <w:rPr>
          <w:rFonts w:ascii="宋体" w:hAnsi="宋体" w:cs="宋体" w:hint="eastAsia"/>
          <w:kern w:val="0"/>
          <w:szCs w:val="24"/>
        </w:rPr>
        <w:t xml:space="preserve">《安全生产法》　</w:t>
      </w:r>
    </w:p>
    <w:p w:rsidR="00F95F9B" w:rsidRDefault="00000000">
      <w:pPr>
        <w:widowControl w:val="0"/>
        <w:shd w:val="clear" w:color="auto" w:fill="FFFFFF" w:themeFill="background1"/>
        <w:adjustRightInd w:val="0"/>
        <w:snapToGrid w:val="0"/>
        <w:ind w:firstLine="470"/>
      </w:pPr>
      <w:r>
        <w:rPr>
          <w:rFonts w:hint="eastAsia"/>
        </w:rPr>
        <w:t>第三十一条　生产经营单位新建、改建、扩建工程项目（以下统称建设项目）的安全设施，必须与主体工程同时设计、同时施工、同时投入生产和使用。安全设施投资应当纳入建设项目概算。</w:t>
      </w:r>
    </w:p>
    <w:p w:rsidR="00F95F9B" w:rsidRDefault="00000000">
      <w:pPr>
        <w:widowControl w:val="0"/>
        <w:shd w:val="clear" w:color="auto" w:fill="FFFFFF" w:themeFill="background1"/>
        <w:adjustRightInd w:val="0"/>
        <w:snapToGrid w:val="0"/>
        <w:ind w:firstLine="470"/>
      </w:pPr>
      <w:r>
        <w:rPr>
          <w:rFonts w:hint="eastAsia"/>
        </w:rPr>
        <w:t>第三十二条　矿山、金属冶炼建设项目和用于生产、储存、装卸危险物品的建设项目，应当按照国家有关规定进行安全评价。</w:t>
      </w:r>
    </w:p>
    <w:p w:rsidR="00F95F9B" w:rsidRDefault="00000000">
      <w:pPr>
        <w:widowControl w:val="0"/>
        <w:shd w:val="clear" w:color="auto" w:fill="FFFFFF" w:themeFill="background1"/>
        <w:adjustRightInd w:val="0"/>
        <w:snapToGrid w:val="0"/>
        <w:ind w:firstLine="470"/>
      </w:pPr>
      <w:r>
        <w:rPr>
          <w:rFonts w:hint="eastAsia"/>
        </w:rPr>
        <w:t>第三十四条　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rsidR="00F95F9B" w:rsidRDefault="00000000">
      <w:pPr>
        <w:widowControl w:val="0"/>
        <w:shd w:val="clear" w:color="auto" w:fill="FFFFFF" w:themeFill="background1"/>
        <w:adjustRightInd w:val="0"/>
        <w:snapToGrid w:val="0"/>
        <w:ind w:firstLine="470"/>
      </w:pPr>
      <w:r>
        <w:t>3</w:t>
      </w:r>
      <w:r>
        <w:rPr>
          <w:rFonts w:hint="eastAsia"/>
        </w:rPr>
        <w:t>）《建设项目安全设施“三同时”监督管理办法》（全文）</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lastRenderedPageBreak/>
        <w:t>涉及企业机密，不予公开。</w:t>
      </w:r>
    </w:p>
    <w:p w:rsidR="00F95F9B" w:rsidRDefault="00F95F9B">
      <w:pPr>
        <w:shd w:val="clear" w:color="auto" w:fill="FFFFFF" w:themeFill="background1"/>
        <w:ind w:firstLine="472"/>
        <w:rPr>
          <w:b/>
          <w:bCs/>
          <w:szCs w:val="32"/>
        </w:rPr>
        <w:sectPr w:rsidR="00F95F9B">
          <w:footnotePr>
            <w:numFmt w:val="decimalEnclosedCircleChinese"/>
          </w:footnotePr>
          <w:pgSz w:w="11906" w:h="16838"/>
          <w:pgMar w:top="1417" w:right="1134" w:bottom="1134" w:left="1587" w:header="850" w:footer="850" w:gutter="0"/>
          <w:cols w:space="0"/>
          <w:docGrid w:type="linesAndChars" w:linePitch="340" w:charSpace="-1024"/>
        </w:sectPr>
      </w:pPr>
    </w:p>
    <w:p w:rsidR="00F95F9B" w:rsidRDefault="00000000">
      <w:pPr>
        <w:shd w:val="clear" w:color="auto" w:fill="FFFFFF" w:themeFill="background1"/>
        <w:adjustRightInd w:val="0"/>
        <w:snapToGrid w:val="0"/>
        <w:spacing w:line="240" w:lineRule="auto"/>
        <w:ind w:firstLineChars="0" w:firstLine="0"/>
        <w:jc w:val="center"/>
        <w:rPr>
          <w:rFonts w:eastAsia="黑体"/>
          <w:bCs/>
          <w:sz w:val="21"/>
          <w:lang w:val="zh-CN"/>
        </w:rPr>
      </w:pPr>
      <w:r>
        <w:rPr>
          <w:rFonts w:eastAsia="黑体"/>
          <w:bCs/>
          <w:sz w:val="21"/>
        </w:rPr>
        <w:lastRenderedPageBreak/>
        <w:t>表</w:t>
      </w:r>
      <w:r>
        <w:rPr>
          <w:rFonts w:eastAsia="黑体"/>
          <w:bCs/>
          <w:sz w:val="21"/>
        </w:rPr>
        <w:t>6.1-</w:t>
      </w:r>
      <w:r>
        <w:rPr>
          <w:rFonts w:eastAsia="黑体" w:hint="eastAsia"/>
          <w:sz w:val="21"/>
        </w:rPr>
        <w:t>9</w:t>
      </w:r>
      <w:r>
        <w:rPr>
          <w:rFonts w:ascii="宋体" w:hAnsi="宋体" w:cs="宋体" w:hint="eastAsia"/>
          <w:bCs/>
          <w:sz w:val="21"/>
        </w:rPr>
        <w:t xml:space="preserve">  </w:t>
      </w:r>
      <w:r>
        <w:rPr>
          <w:bCs/>
          <w:lang w:val="zh-CN"/>
        </w:rPr>
        <w:t xml:space="preserve"> </w:t>
      </w:r>
      <w:r>
        <w:rPr>
          <w:rFonts w:eastAsia="黑体" w:hint="eastAsia"/>
          <w:bCs/>
          <w:sz w:val="21"/>
          <w:lang w:val="zh-CN"/>
        </w:rPr>
        <w:t>鲁明公司“三同时”建设项目运行情况表</w:t>
      </w:r>
    </w:p>
    <w:p w:rsidR="00F95F9B" w:rsidRDefault="00F95F9B">
      <w:pPr>
        <w:pStyle w:val="afff7"/>
        <w:shd w:val="clear" w:color="auto" w:fill="FFFFFF" w:themeFill="background1"/>
        <w:ind w:firstLineChars="0" w:firstLine="0"/>
        <w:rPr>
          <w:color w:val="auto"/>
        </w:rPr>
      </w:pPr>
    </w:p>
    <w:p w:rsidR="00F95F9B" w:rsidRDefault="00000000">
      <w:pPr>
        <w:widowControl w:val="0"/>
        <w:adjustRightInd w:val="0"/>
        <w:snapToGrid w:val="0"/>
        <w:ind w:firstLine="470"/>
        <w:jc w:val="left"/>
      </w:pPr>
      <w:r>
        <w:rPr>
          <w:rFonts w:hint="eastAsia"/>
        </w:rPr>
        <w:tab/>
      </w:r>
      <w:r>
        <w:rPr>
          <w:rFonts w:hint="eastAsia"/>
          <w:color w:val="000000" w:themeColor="text1"/>
          <w:sz w:val="28"/>
          <w:szCs w:val="28"/>
        </w:rPr>
        <w:t>涉及企业机密，不予公开。</w:t>
      </w:r>
    </w:p>
    <w:p w:rsidR="00F95F9B" w:rsidRDefault="00F95F9B">
      <w:pPr>
        <w:tabs>
          <w:tab w:val="left" w:pos="6543"/>
        </w:tabs>
        <w:ind w:firstLine="470"/>
        <w:jc w:val="left"/>
        <w:sectPr w:rsidR="00F95F9B">
          <w:footnotePr>
            <w:numFmt w:val="decimalEnclosedCircleChinese"/>
          </w:footnotePr>
          <w:pgSz w:w="16838" w:h="11906" w:orient="landscape"/>
          <w:pgMar w:top="1587" w:right="1417" w:bottom="1134" w:left="1134" w:header="850" w:footer="850" w:gutter="0"/>
          <w:cols w:space="0"/>
          <w:docGrid w:type="linesAndChars" w:linePitch="340" w:charSpace="-1024"/>
        </w:sectPr>
      </w:pPr>
    </w:p>
    <w:p w:rsidR="00F95F9B" w:rsidRDefault="00000000">
      <w:pPr>
        <w:pStyle w:val="4"/>
        <w:keepNext w:val="0"/>
        <w:keepLines w:val="0"/>
        <w:widowControl w:val="0"/>
        <w:shd w:val="clear" w:color="auto" w:fill="FFFFFF" w:themeFill="background1"/>
        <w:adjustRightInd w:val="0"/>
        <w:snapToGrid w:val="0"/>
      </w:pPr>
      <w:r>
        <w:rPr>
          <w:rFonts w:hint="eastAsia"/>
        </w:rPr>
        <w:lastRenderedPageBreak/>
        <w:t>检查结果</w:t>
      </w:r>
    </w:p>
    <w:p w:rsidR="00F95F9B" w:rsidRDefault="00000000">
      <w:pPr>
        <w:widowControl w:val="0"/>
        <w:shd w:val="clear" w:color="auto" w:fill="FFFFFF" w:themeFill="background1"/>
        <w:adjustRightInd w:val="0"/>
        <w:snapToGrid w:val="0"/>
        <w:ind w:firstLine="470"/>
      </w:pPr>
      <w:r>
        <w:rPr>
          <w:rFonts w:hint="eastAsia"/>
        </w:rPr>
        <w:t>鲁明公司近三年内新、改、扩建项目选择有资质的机构按照要求开展项目的安全设计、安全评价和安全验收工作，并按规定进行了备案，符合《建设项目安全设施“三同时”监督管理办法》（国家安全生产监督管理总局令第</w:t>
      </w:r>
      <w:r>
        <w:rPr>
          <w:rFonts w:hint="eastAsia"/>
        </w:rPr>
        <w:t>77</w:t>
      </w:r>
      <w:r>
        <w:rPr>
          <w:rFonts w:hint="eastAsia"/>
        </w:rPr>
        <w:t>号修订）的相关要求。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设备设施检验</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）《非煤矿矿山企业安全生产许可证实施办法》</w:t>
      </w:r>
    </w:p>
    <w:p w:rsidR="00F95F9B" w:rsidRDefault="00000000">
      <w:pPr>
        <w:widowControl w:val="0"/>
        <w:shd w:val="clear" w:color="auto" w:fill="FFFFFF" w:themeFill="background1"/>
        <w:adjustRightInd w:val="0"/>
        <w:snapToGrid w:val="0"/>
        <w:ind w:firstLine="470"/>
      </w:pPr>
      <w:r>
        <w:rPr>
          <w:rFonts w:hint="eastAsia"/>
        </w:rPr>
        <w:t>第六条</w:t>
      </w:r>
      <w:r>
        <w:rPr>
          <w:rFonts w:ascii="宋体" w:hAnsi="宋体" w:cs="宋体" w:hint="eastAsia"/>
          <w:kern w:val="0"/>
          <w:szCs w:val="24"/>
        </w:rPr>
        <w:t xml:space="preserve">　</w:t>
      </w:r>
      <w:r>
        <w:t>危险性较大的设备、设施按照国家有关规定进行定期检测检验。</w:t>
      </w:r>
    </w:p>
    <w:p w:rsidR="00F95F9B" w:rsidRDefault="00000000">
      <w:pPr>
        <w:widowControl w:val="0"/>
        <w:shd w:val="clear" w:color="auto" w:fill="FFFFFF" w:themeFill="background1"/>
        <w:adjustRightInd w:val="0"/>
        <w:snapToGrid w:val="0"/>
        <w:ind w:firstLineChars="0" w:firstLine="480"/>
        <w:rPr>
          <w:rFonts w:ascii="宋体" w:hAnsi="宋体" w:cs="宋体"/>
          <w:kern w:val="0"/>
          <w:szCs w:val="24"/>
        </w:rPr>
      </w:pPr>
      <w:r>
        <w:rPr>
          <w:rFonts w:hint="eastAsia"/>
        </w:rPr>
        <w:t>2</w:t>
      </w:r>
      <w:r>
        <w:rPr>
          <w:rFonts w:ascii="宋体" w:hAnsi="宋体" w:cs="宋体" w:hint="eastAsia"/>
          <w:kern w:val="0"/>
          <w:szCs w:val="24"/>
        </w:rPr>
        <w:t xml:space="preserve">）《安全生产法》　</w:t>
      </w:r>
    </w:p>
    <w:p w:rsidR="00F95F9B" w:rsidRDefault="00000000">
      <w:pPr>
        <w:widowControl w:val="0"/>
        <w:shd w:val="clear" w:color="auto" w:fill="FFFFFF" w:themeFill="background1"/>
        <w:adjustRightInd w:val="0"/>
        <w:snapToGrid w:val="0"/>
        <w:ind w:firstLine="472"/>
        <w:rPr>
          <w:rFonts w:ascii="宋体" w:hAnsi="宋体" w:cs="宋体"/>
          <w:kern w:val="0"/>
          <w:szCs w:val="24"/>
        </w:rPr>
      </w:pPr>
      <w:r>
        <w:rPr>
          <w:rFonts w:ascii="宋体" w:hAnsi="宋体" w:cs="宋体" w:hint="eastAsia"/>
          <w:b/>
          <w:bCs/>
          <w:kern w:val="0"/>
          <w:szCs w:val="24"/>
        </w:rPr>
        <w:t>第三十七条</w:t>
      </w:r>
      <w:r>
        <w:rPr>
          <w:rFonts w:ascii="宋体" w:hAnsi="宋体" w:cs="宋体" w:hint="eastAsia"/>
          <w:kern w:val="0"/>
          <w:szCs w:val="24"/>
        </w:rPr>
        <w:t xml:space="preserve">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p w:rsidR="00F95F9B" w:rsidRDefault="00000000">
      <w:pPr>
        <w:widowControl w:val="0"/>
        <w:shd w:val="clear" w:color="auto" w:fill="FFFFFF" w:themeFill="background1"/>
        <w:adjustRightInd w:val="0"/>
        <w:snapToGrid w:val="0"/>
        <w:ind w:firstLine="470"/>
      </w:pPr>
      <w:r>
        <w:rPr>
          <w:rFonts w:hint="eastAsia"/>
        </w:rPr>
        <w:t>3</w:t>
      </w:r>
      <w:r>
        <w:rPr>
          <w:rFonts w:hint="eastAsia"/>
        </w:rPr>
        <w:t>）《特种设备安全法》</w:t>
      </w:r>
    </w:p>
    <w:p w:rsidR="00F95F9B" w:rsidRDefault="00000000">
      <w:pPr>
        <w:widowControl w:val="0"/>
        <w:shd w:val="clear" w:color="auto" w:fill="FFFFFF" w:themeFill="background1"/>
        <w:adjustRightInd w:val="0"/>
        <w:snapToGrid w:val="0"/>
        <w:ind w:firstLine="470"/>
      </w:pPr>
      <w:r>
        <w:rPr>
          <w:rFonts w:hint="eastAsia"/>
        </w:rPr>
        <w:t>第四十条　特种设备使用单位应当按照安全技术规范的要求，在检验合格有效期届满前一个月向特种设备检验机构提出定期检验要求。</w:t>
      </w:r>
    </w:p>
    <w:p w:rsidR="00F95F9B" w:rsidRDefault="00000000">
      <w:pPr>
        <w:widowControl w:val="0"/>
        <w:shd w:val="clear" w:color="auto" w:fill="FFFFFF" w:themeFill="background1"/>
        <w:adjustRightInd w:val="0"/>
        <w:snapToGrid w:val="0"/>
        <w:ind w:firstLine="470"/>
      </w:pPr>
      <w:r>
        <w:rPr>
          <w:rFonts w:hint="eastAsia"/>
        </w:rPr>
        <w:t>未经定期检验或者检验不合格的特种设备，不得继续使用。</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鲁明公司对危险性较大的设备、设施及安全设备设施等按照国家有关规定进行定期检测检验，符合国家法律法规及其标准规范的要求。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应急管理</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）《非煤矿矿山企业安全生产许可证实施办法》第六条</w:t>
      </w:r>
    </w:p>
    <w:p w:rsidR="00F95F9B" w:rsidRDefault="00000000">
      <w:pPr>
        <w:widowControl w:val="0"/>
        <w:shd w:val="clear" w:color="auto" w:fill="FFFFFF" w:themeFill="background1"/>
        <w:adjustRightInd w:val="0"/>
        <w:snapToGrid w:val="0"/>
        <w:ind w:firstLine="470"/>
      </w:pPr>
      <w:r>
        <w:rPr>
          <w:rFonts w:hint="eastAsia"/>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p w:rsidR="00F95F9B" w:rsidRDefault="00000000">
      <w:pPr>
        <w:widowControl w:val="0"/>
        <w:shd w:val="clear" w:color="auto" w:fill="FFFFFF" w:themeFill="background1"/>
        <w:adjustRightInd w:val="0"/>
        <w:snapToGrid w:val="0"/>
        <w:ind w:firstLine="470"/>
      </w:pPr>
      <w:r>
        <w:rPr>
          <w:rFonts w:hint="eastAsia"/>
        </w:rPr>
        <w:t>2</w:t>
      </w:r>
      <w:r>
        <w:rPr>
          <w:rFonts w:hint="eastAsia"/>
        </w:rPr>
        <w:t>）《安全生产法》</w:t>
      </w:r>
    </w:p>
    <w:p w:rsidR="00F95F9B" w:rsidRDefault="00000000">
      <w:pPr>
        <w:widowControl w:val="0"/>
        <w:shd w:val="clear" w:color="auto" w:fill="FFFFFF" w:themeFill="background1"/>
        <w:adjustRightInd w:val="0"/>
        <w:snapToGrid w:val="0"/>
        <w:ind w:firstLine="470"/>
      </w:pPr>
      <w:r>
        <w:rPr>
          <w:rFonts w:hint="eastAsia"/>
        </w:rPr>
        <w:t>第八十二条　危险物品的生产、经营、储存单位以及矿山、金属冶炼、城市轨道交通</w:t>
      </w:r>
      <w:r>
        <w:rPr>
          <w:rFonts w:hint="eastAsia"/>
        </w:rPr>
        <w:lastRenderedPageBreak/>
        <w:t>运营、建筑施工单位应当建立应急救援组织；生产经营规模较小的，可以不建立应急救援组织，但应当指定兼职的应急救援人员。</w:t>
      </w:r>
    </w:p>
    <w:p w:rsidR="00F95F9B" w:rsidRDefault="00000000">
      <w:pPr>
        <w:widowControl w:val="0"/>
        <w:shd w:val="clear" w:color="auto" w:fill="FFFFFF" w:themeFill="background1"/>
        <w:adjustRightInd w:val="0"/>
        <w:snapToGrid w:val="0"/>
        <w:ind w:firstLine="470"/>
      </w:pPr>
      <w:r>
        <w:rPr>
          <w:rFonts w:hint="eastAsia"/>
        </w:rPr>
        <w:t>危险物品的生产、经营、储存、运输单位以及矿山、金属冶炼、城市轨道交通运营、建筑施工单位应当配备必要的应急救援器材、设备和物资，并进行经常性维护、保养，保证正常运转。</w:t>
      </w:r>
    </w:p>
    <w:p w:rsidR="00F95F9B" w:rsidRDefault="00000000">
      <w:pPr>
        <w:widowControl w:val="0"/>
        <w:shd w:val="clear" w:color="auto" w:fill="FFFFFF" w:themeFill="background1"/>
        <w:adjustRightInd w:val="0"/>
        <w:snapToGrid w:val="0"/>
        <w:ind w:firstLine="470"/>
      </w:pPr>
      <w:r>
        <w:rPr>
          <w:rFonts w:hint="eastAsia"/>
        </w:rPr>
        <w:t>3</w:t>
      </w:r>
      <w:r>
        <w:rPr>
          <w:rFonts w:hint="eastAsia"/>
        </w:rPr>
        <w:t>）《特种设备安全法》</w:t>
      </w:r>
    </w:p>
    <w:p w:rsidR="00F95F9B" w:rsidRDefault="00000000">
      <w:pPr>
        <w:widowControl w:val="0"/>
        <w:shd w:val="clear" w:color="auto" w:fill="FFFFFF" w:themeFill="background1"/>
        <w:adjustRightInd w:val="0"/>
        <w:snapToGrid w:val="0"/>
        <w:ind w:firstLine="470"/>
      </w:pPr>
      <w:r>
        <w:rPr>
          <w:rFonts w:hint="eastAsia"/>
        </w:rPr>
        <w:t>第六十九条　特种设备使用单位应当制定特种设备事故应急专项预案，并定期进行应急演练。</w:t>
      </w:r>
    </w:p>
    <w:p w:rsidR="00F95F9B" w:rsidRDefault="00000000">
      <w:pPr>
        <w:widowControl w:val="0"/>
        <w:shd w:val="clear" w:color="auto" w:fill="FFFFFF" w:themeFill="background1"/>
        <w:adjustRightInd w:val="0"/>
        <w:snapToGrid w:val="0"/>
        <w:ind w:firstLine="470"/>
      </w:pPr>
      <w:r>
        <w:t>4</w:t>
      </w:r>
      <w:r>
        <w:rPr>
          <w:rFonts w:hint="eastAsia"/>
        </w:rPr>
        <w:t>）《生产安全事故应急条例》（中华人民共和国国务院令第</w:t>
      </w:r>
      <w:r>
        <w:rPr>
          <w:rFonts w:hint="eastAsia"/>
        </w:rPr>
        <w:t>708</w:t>
      </w:r>
      <w:r>
        <w:rPr>
          <w:rFonts w:hint="eastAsia"/>
        </w:rPr>
        <w:t>号）</w:t>
      </w:r>
    </w:p>
    <w:p w:rsidR="00F95F9B" w:rsidRDefault="00000000">
      <w:pPr>
        <w:widowControl w:val="0"/>
        <w:shd w:val="clear" w:color="auto" w:fill="FFFFFF" w:themeFill="background1"/>
        <w:adjustRightInd w:val="0"/>
        <w:snapToGrid w:val="0"/>
        <w:ind w:firstLine="470"/>
      </w:pPr>
      <w:r>
        <w:rPr>
          <w:rFonts w:hint="eastAsia"/>
        </w:rPr>
        <w:t>第十条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rsidR="00F95F9B" w:rsidRDefault="00000000">
      <w:pPr>
        <w:widowControl w:val="0"/>
        <w:shd w:val="clear" w:color="auto" w:fill="FFFFFF" w:themeFill="background1"/>
        <w:adjustRightInd w:val="0"/>
        <w:snapToGrid w:val="0"/>
        <w:ind w:firstLine="470"/>
      </w:pPr>
      <w:r>
        <w:rPr>
          <w:rFonts w:hint="eastAsia"/>
        </w:rPr>
        <w:t>5</w:t>
      </w:r>
      <w:r>
        <w:rPr>
          <w:rFonts w:hint="eastAsia"/>
        </w:rPr>
        <w:t>）《生产安全事故应急预案管理办法》</w:t>
      </w:r>
    </w:p>
    <w:p w:rsidR="00F95F9B" w:rsidRDefault="00000000">
      <w:pPr>
        <w:widowControl w:val="0"/>
        <w:shd w:val="clear" w:color="auto" w:fill="FFFFFF" w:themeFill="background1"/>
        <w:adjustRightInd w:val="0"/>
        <w:snapToGrid w:val="0"/>
        <w:ind w:firstLine="470"/>
      </w:pPr>
      <w:r>
        <w:rPr>
          <w:rFonts w:hint="eastAsia"/>
        </w:rPr>
        <w:t>第二十六条　易燃易爆物品、危险化学品等危险物品的生产、经营、储存、运输单位，矿山、金属冶炼、城市轨道交通运营、建筑施工单位，以及宾馆、商场、娱乐场所、旅游景区等人员密集场所经营单位，应当在应急预案公布之日起</w:t>
      </w:r>
      <w:r>
        <w:rPr>
          <w:rFonts w:hint="eastAsia"/>
        </w:rPr>
        <w:t>20</w:t>
      </w:r>
      <w:r>
        <w:rPr>
          <w:rFonts w:hint="eastAsia"/>
        </w:rPr>
        <w:t>个工作日内，按照分级属地原则，向县级以上人民政府应急管理部门和其他负有安全生产监督管理职责的部门进行备案，并依法向社会公布。</w:t>
      </w:r>
    </w:p>
    <w:p w:rsidR="00F95F9B" w:rsidRDefault="00000000">
      <w:pPr>
        <w:widowControl w:val="0"/>
        <w:shd w:val="clear" w:color="auto" w:fill="FFFFFF" w:themeFill="background1"/>
        <w:adjustRightInd w:val="0"/>
        <w:snapToGrid w:val="0"/>
        <w:ind w:firstLine="470"/>
      </w:pPr>
      <w:r>
        <w:rPr>
          <w:rFonts w:hint="eastAsia"/>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p w:rsidR="00F95F9B" w:rsidRDefault="00000000">
      <w:pPr>
        <w:widowControl w:val="0"/>
        <w:shd w:val="clear" w:color="auto" w:fill="FFFFFF" w:themeFill="background1"/>
        <w:adjustRightInd w:val="0"/>
        <w:snapToGrid w:val="0"/>
        <w:ind w:firstLine="470"/>
      </w:pPr>
      <w:r>
        <w:t>6</w:t>
      </w:r>
      <w:r>
        <w:rPr>
          <w:rFonts w:hint="eastAsia"/>
        </w:rPr>
        <w:t>）《山东省生产安全事故应急办法》</w:t>
      </w:r>
    </w:p>
    <w:p w:rsidR="00F95F9B" w:rsidRDefault="00000000">
      <w:pPr>
        <w:widowControl w:val="0"/>
        <w:shd w:val="clear" w:color="auto" w:fill="FFFFFF" w:themeFill="background1"/>
        <w:adjustRightInd w:val="0"/>
        <w:snapToGrid w:val="0"/>
        <w:ind w:firstLine="470"/>
      </w:pPr>
      <w:r>
        <w:rPr>
          <w:rFonts w:hint="eastAsia"/>
        </w:rPr>
        <w:t>第十三条　高危和人员密集单位应当每半年至少组织</w:t>
      </w:r>
      <w:r>
        <w:rPr>
          <w:rFonts w:hint="eastAsia"/>
        </w:rPr>
        <w:t>1</w:t>
      </w:r>
      <w:r>
        <w:rPr>
          <w:rFonts w:hint="eastAsia"/>
        </w:rPr>
        <w:t>次综合或者专项应急预案演练，每</w:t>
      </w:r>
      <w:r>
        <w:rPr>
          <w:rFonts w:hint="eastAsia"/>
        </w:rPr>
        <w:t>2</w:t>
      </w:r>
      <w:r>
        <w:rPr>
          <w:rFonts w:hint="eastAsia"/>
        </w:rPr>
        <w:t>年对所有专项应急预案至少组织</w:t>
      </w:r>
      <w:r>
        <w:rPr>
          <w:rFonts w:hint="eastAsia"/>
        </w:rPr>
        <w:t>1</w:t>
      </w:r>
      <w:r>
        <w:rPr>
          <w:rFonts w:hint="eastAsia"/>
        </w:rPr>
        <w:t>次演练，每半年对所有现场处置方案至少组织</w:t>
      </w:r>
      <w:r>
        <w:rPr>
          <w:rFonts w:hint="eastAsia"/>
        </w:rPr>
        <w:t>1</w:t>
      </w:r>
      <w:r>
        <w:rPr>
          <w:rFonts w:hint="eastAsia"/>
        </w:rPr>
        <w:t>次演练。</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lastRenderedPageBreak/>
        <w:t>检查结果</w:t>
      </w:r>
    </w:p>
    <w:p w:rsidR="00F95F9B" w:rsidRDefault="00000000">
      <w:pPr>
        <w:widowControl w:val="0"/>
        <w:shd w:val="clear" w:color="auto" w:fill="FFFFFF" w:themeFill="background1"/>
        <w:adjustRightInd w:val="0"/>
        <w:snapToGrid w:val="0"/>
        <w:ind w:firstLine="470"/>
      </w:pPr>
      <w:r>
        <w:rPr>
          <w:rFonts w:hint="eastAsia"/>
        </w:rPr>
        <w:t>鲁明公司制定有《</w:t>
      </w:r>
      <w:bookmarkStart w:id="88" w:name="_Hlk44189875"/>
      <w:r>
        <w:rPr>
          <w:rFonts w:hint="eastAsia"/>
        </w:rPr>
        <w:t>胜利油田鲁明油气勘探开发有限公司</w:t>
      </w:r>
      <w:bookmarkEnd w:id="88"/>
      <w:r>
        <w:rPr>
          <w:rFonts w:hint="eastAsia"/>
        </w:rPr>
        <w:t>生产安全事故应急预案》并备案，每年制定应急演练计划并定期组织应急演练，演练频次符合依据《山东省生产安全事故应急办法》（省政府</w:t>
      </w:r>
      <w:r>
        <w:rPr>
          <w:rFonts w:hint="eastAsia"/>
        </w:rPr>
        <w:t>341</w:t>
      </w:r>
      <w:r>
        <w:rPr>
          <w:rFonts w:hint="eastAsia"/>
        </w:rPr>
        <w:t>号令）第十三条的要求。公司成立有应急救援组织及应急救援队伍，与其他单位签订应急救援协议，并为各采油（气）管理区及联合站</w:t>
      </w:r>
      <w:r>
        <w:rPr>
          <w:rFonts w:hint="eastAsia"/>
        </w:rPr>
        <w:t>/</w:t>
      </w:r>
      <w:r>
        <w:rPr>
          <w:rFonts w:hint="eastAsia"/>
        </w:rPr>
        <w:t>集输站配备满足要求的应急物资。鲁明公司应急管理符合国家法律法规及其标准规范的要求。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特殊作业</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）《安全生产法》</w:t>
      </w:r>
    </w:p>
    <w:p w:rsidR="00F95F9B" w:rsidRDefault="00000000">
      <w:pPr>
        <w:widowControl w:val="0"/>
        <w:shd w:val="clear" w:color="auto" w:fill="FFFFFF" w:themeFill="background1"/>
        <w:adjustRightInd w:val="0"/>
        <w:snapToGrid w:val="0"/>
        <w:ind w:firstLine="470"/>
      </w:pPr>
      <w:r>
        <w:rPr>
          <w:rFonts w:hint="eastAsia"/>
        </w:rPr>
        <w:t>第四十三条　生产经营单位进行爆破、吊装、动火、临时用电以及国务院应急管理部门会同国务院有关部门规定的其他危险作业，应当安排专门人员进行现场安全管理，确保操作规程的遵守和安全措施的落实。</w:t>
      </w:r>
    </w:p>
    <w:p w:rsidR="00F95F9B" w:rsidRDefault="00000000">
      <w:pPr>
        <w:widowControl w:val="0"/>
        <w:shd w:val="clear" w:color="auto" w:fill="FFFFFF" w:themeFill="background1"/>
        <w:adjustRightInd w:val="0"/>
        <w:snapToGrid w:val="0"/>
        <w:ind w:firstLine="470"/>
      </w:pPr>
      <w:r>
        <w:rPr>
          <w:rFonts w:hint="eastAsia"/>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rsidR="00F95F9B" w:rsidRDefault="00000000">
      <w:pPr>
        <w:widowControl w:val="0"/>
        <w:shd w:val="clear" w:color="auto" w:fill="FFFFFF" w:themeFill="background1"/>
        <w:adjustRightInd w:val="0"/>
        <w:snapToGrid w:val="0"/>
        <w:ind w:firstLine="470"/>
      </w:pPr>
      <w:r>
        <w:t>2</w:t>
      </w:r>
      <w:r>
        <w:rPr>
          <w:rFonts w:hint="eastAsia"/>
        </w:rPr>
        <w:t>）《山东省生产经营单位安全生产主体责任规定》</w:t>
      </w:r>
    </w:p>
    <w:p w:rsidR="00F95F9B" w:rsidRDefault="00000000">
      <w:pPr>
        <w:widowControl w:val="0"/>
        <w:shd w:val="clear" w:color="auto" w:fill="FFFFFF" w:themeFill="background1"/>
        <w:adjustRightInd w:val="0"/>
        <w:snapToGrid w:val="0"/>
        <w:ind w:firstLine="470"/>
      </w:pPr>
      <w:r>
        <w:rPr>
          <w:rFonts w:hint="eastAsia"/>
        </w:rPr>
        <w:t>第三十一条　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rsidR="00F95F9B" w:rsidRDefault="00000000">
      <w:pPr>
        <w:widowControl w:val="0"/>
        <w:shd w:val="clear" w:color="auto" w:fill="FFFFFF" w:themeFill="background1"/>
        <w:adjustRightInd w:val="0"/>
        <w:snapToGrid w:val="0"/>
        <w:ind w:firstLine="470"/>
      </w:pPr>
      <w:r>
        <w:rPr>
          <w:rFonts w:hint="eastAsia"/>
        </w:rPr>
        <w:t>生产经营单位委托其他有专业资质的单位进行危险作业的，应当在作业前与受托方签订安全生产管理协议，明确各自的安全生产职责。</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鲁明公司按照国家有关规定对特殊作业进行安全管理，符合国家法律法规及其标准规范的要求。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承包商管理</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lastRenderedPageBreak/>
        <w:t>1</w:t>
      </w:r>
      <w:r>
        <w:rPr>
          <w:rFonts w:hint="eastAsia"/>
        </w:rPr>
        <w:t>）《安全生产法》</w:t>
      </w:r>
    </w:p>
    <w:p w:rsidR="00F95F9B" w:rsidRDefault="00000000">
      <w:pPr>
        <w:widowControl w:val="0"/>
        <w:shd w:val="clear" w:color="auto" w:fill="FFFFFF" w:themeFill="background1"/>
        <w:adjustRightInd w:val="0"/>
        <w:snapToGrid w:val="0"/>
        <w:ind w:firstLine="470"/>
      </w:pPr>
      <w:r>
        <w:rPr>
          <w:rFonts w:hint="eastAsia"/>
        </w:rPr>
        <w:t>第四十九条　生产经营单位不得将生产经营项目、场所、设备发包或者出租给不具备安全生产条件或者相应资质的单位或者个人。</w:t>
      </w:r>
    </w:p>
    <w:p w:rsidR="00F95F9B" w:rsidRDefault="00000000">
      <w:pPr>
        <w:widowControl w:val="0"/>
        <w:shd w:val="clear" w:color="auto" w:fill="FFFFFF" w:themeFill="background1"/>
        <w:adjustRightInd w:val="0"/>
        <w:snapToGrid w:val="0"/>
        <w:ind w:firstLine="470"/>
      </w:pPr>
      <w:r>
        <w:rPr>
          <w:rFonts w:hint="eastAsia"/>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rsidR="00F95F9B" w:rsidRDefault="00000000">
      <w:pPr>
        <w:widowControl w:val="0"/>
        <w:shd w:val="clear" w:color="auto" w:fill="FFFFFF" w:themeFill="background1"/>
        <w:adjustRightInd w:val="0"/>
        <w:snapToGrid w:val="0"/>
        <w:ind w:firstLine="470"/>
      </w:pPr>
      <w:r>
        <w:rPr>
          <w:rFonts w:hint="eastAsia"/>
        </w:rPr>
        <w:t>2</w:t>
      </w:r>
      <w:r>
        <w:rPr>
          <w:rFonts w:hint="eastAsia"/>
        </w:rPr>
        <w:t>）《山东省安全生产条例》</w:t>
      </w:r>
    </w:p>
    <w:p w:rsidR="00F95F9B" w:rsidRDefault="00000000">
      <w:pPr>
        <w:widowControl w:val="0"/>
        <w:shd w:val="clear" w:color="auto" w:fill="FFFFFF" w:themeFill="background1"/>
        <w:adjustRightInd w:val="0"/>
        <w:snapToGrid w:val="0"/>
        <w:ind w:firstLine="470"/>
      </w:pPr>
      <w:r>
        <w:rPr>
          <w:rFonts w:hint="eastAsia"/>
        </w:rPr>
        <w:t>第三十四条　生产经营单位应当对生产经营区域内常驻协作单位的安全生产工作进行统一协调管理，明确生产作业风险和安全管理要求，督促其健全落实安全生产规章制度和安全措施，组织其参加本单位的生产安全事故应急救援演练。</w:t>
      </w:r>
    </w:p>
    <w:p w:rsidR="00F95F9B" w:rsidRDefault="00000000">
      <w:pPr>
        <w:widowControl w:val="0"/>
        <w:shd w:val="clear" w:color="auto" w:fill="FFFFFF" w:themeFill="background1"/>
        <w:adjustRightInd w:val="0"/>
        <w:snapToGrid w:val="0"/>
        <w:ind w:firstLine="470"/>
      </w:pPr>
      <w:r>
        <w:rPr>
          <w:rFonts w:hint="eastAsia"/>
        </w:rPr>
        <w:t>常驻协作单位入驻前，生产经营单位应当对其安全生产条件、资质和有关人员从业资格进行审查，组织开展安全生产教育和培训，并建立常驻协作单位安全生产管理档案。</w:t>
      </w:r>
    </w:p>
    <w:p w:rsidR="00F95F9B" w:rsidRDefault="00000000">
      <w:pPr>
        <w:widowControl w:val="0"/>
        <w:shd w:val="clear" w:color="auto" w:fill="FFFFFF" w:themeFill="background1"/>
        <w:adjustRightInd w:val="0"/>
        <w:snapToGrid w:val="0"/>
        <w:ind w:firstLine="470"/>
      </w:pPr>
      <w:r>
        <w:rPr>
          <w:rFonts w:hint="eastAsia"/>
        </w:rPr>
        <w:t>常驻协作单位入驻后，生产经营单位应当对其作业活动、有关人员从业资格、作业方案和安全措施等内容进行经常性检查。</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rPr>
          <w:lang w:val="es-MX"/>
        </w:rPr>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近三年，鲁明公司严格落实承包商管理的各项规定，承包商管理情况符合《安全生产法》、《山东省安全生产条例》等法律法规规定。</w:t>
      </w:r>
    </w:p>
    <w:p w:rsidR="00F95F9B" w:rsidRDefault="00000000">
      <w:pPr>
        <w:pStyle w:val="3"/>
        <w:keepNext w:val="0"/>
        <w:keepLines w:val="0"/>
        <w:widowControl w:val="0"/>
        <w:shd w:val="clear" w:color="auto" w:fill="FFFFFF" w:themeFill="background1"/>
        <w:adjustRightInd w:val="0"/>
        <w:snapToGrid w:val="0"/>
        <w:ind w:left="0"/>
      </w:pPr>
      <w:r>
        <w:rPr>
          <w:rFonts w:hint="eastAsia"/>
        </w:rPr>
        <w:t>变更管理</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t>1</w:t>
      </w:r>
      <w:r>
        <w:rPr>
          <w:rFonts w:hint="eastAsia"/>
        </w:rPr>
        <w:t>）《企业安全生产标准化基本规范》（</w:t>
      </w:r>
      <w:r>
        <w:rPr>
          <w:rFonts w:hint="eastAsia"/>
        </w:rPr>
        <w:t>GB/T 33000-2016</w:t>
      </w:r>
      <w:r>
        <w:rPr>
          <w:rFonts w:hint="eastAsia"/>
        </w:rPr>
        <w:t>）</w:t>
      </w:r>
    </w:p>
    <w:p w:rsidR="00F95F9B" w:rsidRDefault="00000000">
      <w:pPr>
        <w:widowControl w:val="0"/>
        <w:shd w:val="clear" w:color="auto" w:fill="FFFFFF" w:themeFill="background1"/>
        <w:adjustRightInd w:val="0"/>
        <w:snapToGrid w:val="0"/>
        <w:ind w:firstLine="470"/>
      </w:pPr>
      <w:r>
        <w:rPr>
          <w:rFonts w:hint="eastAsia"/>
        </w:rPr>
        <w:t>第</w:t>
      </w:r>
      <w:r>
        <w:rPr>
          <w:rFonts w:hint="eastAsia"/>
        </w:rPr>
        <w:t>5</w:t>
      </w:r>
      <w:r>
        <w:t>.5.1.4</w:t>
      </w:r>
      <w:r>
        <w:rPr>
          <w:rFonts w:hint="eastAsia"/>
        </w:rPr>
        <w:t>条</w:t>
      </w:r>
      <w:r>
        <w:rPr>
          <w:rFonts w:hint="eastAsia"/>
        </w:rPr>
        <w:t xml:space="preserve"> </w:t>
      </w:r>
      <w:r>
        <w:rPr>
          <w:rFonts w:hint="eastAsia"/>
        </w:rPr>
        <w:t>企业应制定变更管理制度，变更前应对变更过程及变更后可能产生的安全风险进行分析，制定控制措施，履行审批及验收程序，并告知和培训相关从业人员。</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shd w:val="clear" w:color="auto" w:fill="FFFFFF" w:themeFill="background1"/>
        <w:adjustRightInd w:val="0"/>
        <w:snapToGrid w:val="0"/>
        <w:ind w:firstLine="470"/>
      </w:pPr>
      <w:r>
        <w:rPr>
          <w:rFonts w:hint="eastAsia"/>
        </w:rPr>
        <w:t>鲁明公司变更管理符合《企业安全生产标准化基本规范》的要求。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安全生产标准化</w:t>
      </w:r>
    </w:p>
    <w:p w:rsidR="00F95F9B" w:rsidRDefault="00000000">
      <w:pPr>
        <w:pStyle w:val="4"/>
        <w:keepNext w:val="0"/>
        <w:keepLines w:val="0"/>
        <w:widowControl w:val="0"/>
        <w:shd w:val="clear" w:color="auto" w:fill="FFFFFF" w:themeFill="background1"/>
        <w:adjustRightInd w:val="0"/>
        <w:snapToGrid w:val="0"/>
      </w:pPr>
      <w:r>
        <w:rPr>
          <w:rFonts w:hint="eastAsia"/>
        </w:rPr>
        <w:lastRenderedPageBreak/>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）《安全生产法》</w:t>
      </w:r>
    </w:p>
    <w:p w:rsidR="00F95F9B" w:rsidRDefault="00000000">
      <w:pPr>
        <w:widowControl w:val="0"/>
        <w:shd w:val="clear" w:color="auto" w:fill="FFFFFF" w:themeFill="background1"/>
        <w:adjustRightInd w:val="0"/>
        <w:snapToGrid w:val="0"/>
        <w:ind w:firstLine="470"/>
      </w:pPr>
      <w:r>
        <w:rPr>
          <w:rFonts w:hint="eastAsia"/>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rsidR="00F95F9B" w:rsidRDefault="00000000">
      <w:pPr>
        <w:widowControl w:val="0"/>
        <w:shd w:val="clear" w:color="auto" w:fill="FFFFFF" w:themeFill="background1"/>
        <w:adjustRightInd w:val="0"/>
        <w:snapToGrid w:val="0"/>
        <w:ind w:firstLine="470"/>
      </w:pPr>
      <w:r>
        <w:t>2</w:t>
      </w:r>
      <w:r>
        <w:rPr>
          <w:rFonts w:hint="eastAsia"/>
        </w:rPr>
        <w:t>）《山东省生产经营单位安全生产主体责任规定》</w:t>
      </w:r>
    </w:p>
    <w:p w:rsidR="00F95F9B" w:rsidRDefault="00000000">
      <w:pPr>
        <w:widowControl w:val="0"/>
        <w:shd w:val="clear" w:color="auto" w:fill="FFFFFF" w:themeFill="background1"/>
        <w:adjustRightInd w:val="0"/>
        <w:snapToGrid w:val="0"/>
        <w:ind w:firstLine="470"/>
      </w:pPr>
      <w:r>
        <w:rPr>
          <w:rFonts w:hint="eastAsia"/>
        </w:rPr>
        <w:t>第二十六条　生产经营单位应当按照国家有关规定，开展以岗位达标、专业达标和企业达标为主要内容的安全生产标准化建设。</w:t>
      </w:r>
    </w:p>
    <w:p w:rsidR="00F95F9B" w:rsidRDefault="00000000">
      <w:pPr>
        <w:widowControl w:val="0"/>
        <w:shd w:val="clear" w:color="auto" w:fill="FFFFFF" w:themeFill="background1"/>
        <w:adjustRightInd w:val="0"/>
        <w:snapToGrid w:val="0"/>
        <w:ind w:firstLine="470"/>
      </w:pPr>
      <w:r>
        <w:t>3</w:t>
      </w:r>
      <w:r>
        <w:rPr>
          <w:rFonts w:hint="eastAsia"/>
        </w:rPr>
        <w:t>）《企业安全生产标准化基本规范》（</w:t>
      </w:r>
      <w:r>
        <w:rPr>
          <w:rFonts w:hint="eastAsia"/>
        </w:rPr>
        <w:t>GB/T 33000-2016</w:t>
      </w:r>
      <w:r>
        <w:rPr>
          <w:rFonts w:hint="eastAsia"/>
        </w:rPr>
        <w:t>）</w:t>
      </w:r>
    </w:p>
    <w:p w:rsidR="00F95F9B" w:rsidRDefault="00000000">
      <w:pPr>
        <w:widowControl w:val="0"/>
        <w:shd w:val="clear" w:color="auto" w:fill="FFFFFF" w:themeFill="background1"/>
        <w:adjustRightInd w:val="0"/>
        <w:snapToGrid w:val="0"/>
        <w:ind w:firstLine="470"/>
      </w:pPr>
      <w:r>
        <w:rPr>
          <w:rFonts w:hint="eastAsia"/>
        </w:rPr>
        <w:t>第</w:t>
      </w:r>
      <w:r>
        <w:rPr>
          <w:rFonts w:hint="eastAsia"/>
        </w:rPr>
        <w:t>5</w:t>
      </w:r>
      <w:r>
        <w:t>.8.1</w:t>
      </w:r>
      <w:r>
        <w:rPr>
          <w:rFonts w:hint="eastAsia"/>
        </w:rPr>
        <w:t>条</w:t>
      </w:r>
      <w:r>
        <w:rPr>
          <w:rFonts w:hint="eastAsia"/>
        </w:rPr>
        <w:t xml:space="preserve"> </w:t>
      </w:r>
      <w:r>
        <w:rPr>
          <w:rFonts w:hint="eastAsia"/>
        </w:rPr>
        <w:t>企业每年至少应对安全生产标准化管理体系的运行情况进行一次自评。</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鲁明公司安全生产标准化，符合国家法律法规及其标准规范的要求。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双重预防体系</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）《安全生产法》</w:t>
      </w:r>
    </w:p>
    <w:p w:rsidR="00F95F9B" w:rsidRDefault="00000000">
      <w:pPr>
        <w:widowControl w:val="0"/>
        <w:shd w:val="clear" w:color="auto" w:fill="FFFFFF" w:themeFill="background1"/>
        <w:adjustRightInd w:val="0"/>
        <w:snapToGrid w:val="0"/>
        <w:ind w:firstLine="470"/>
      </w:pPr>
      <w:r>
        <w:rPr>
          <w:rFonts w:hint="eastAsia"/>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rsidR="00F95F9B" w:rsidRDefault="00000000">
      <w:pPr>
        <w:widowControl w:val="0"/>
        <w:shd w:val="clear" w:color="auto" w:fill="FFFFFF" w:themeFill="background1"/>
        <w:adjustRightInd w:val="0"/>
        <w:snapToGrid w:val="0"/>
        <w:ind w:firstLine="470"/>
      </w:pPr>
      <w:r>
        <w:rPr>
          <w:rFonts w:hint="eastAsia"/>
        </w:rPr>
        <w:t>2</w:t>
      </w:r>
      <w:r>
        <w:rPr>
          <w:rFonts w:hint="eastAsia"/>
        </w:rPr>
        <w:t>）《山东省安全生产条例》</w:t>
      </w:r>
    </w:p>
    <w:p w:rsidR="00F95F9B" w:rsidRDefault="00000000">
      <w:pPr>
        <w:widowControl w:val="0"/>
        <w:shd w:val="clear" w:color="auto" w:fill="FFFFFF" w:themeFill="background1"/>
        <w:adjustRightInd w:val="0"/>
        <w:snapToGrid w:val="0"/>
        <w:ind w:firstLine="470"/>
      </w:pPr>
      <w:r>
        <w:rPr>
          <w:rFonts w:hint="eastAsia"/>
        </w:rPr>
        <w:t>第三十一条　生产经营单位应当建立健全安全风险分级管控制度，明确风险点排查、风险评价、风险等级评定的程序、方法和标准，编制风险分级管控清单，列明管控重点、管控机构、责任人员、监督管理、安全防护和应急处置等安全风险管控措施。</w:t>
      </w:r>
    </w:p>
    <w:p w:rsidR="00F95F9B" w:rsidRDefault="00000000">
      <w:pPr>
        <w:widowControl w:val="0"/>
        <w:shd w:val="clear" w:color="auto" w:fill="FFFFFF" w:themeFill="background1"/>
        <w:adjustRightInd w:val="0"/>
        <w:snapToGrid w:val="0"/>
        <w:ind w:firstLine="470"/>
      </w:pPr>
      <w:r>
        <w:rPr>
          <w:rFonts w:hint="eastAsia"/>
        </w:rPr>
        <w:t>第三十二条　生产经营单位应当建立健全生产安全事故隐患排查治理制度，对事故隐患进行排查并及时采取措施予以消除；事故隐患排除前和排除过程中无法保证安全的，应</w:t>
      </w:r>
      <w:r>
        <w:rPr>
          <w:rFonts w:hint="eastAsia"/>
        </w:rPr>
        <w:lastRenderedPageBreak/>
        <w:t>当从危险区域内撤出人员，疏散周边可能危及的其他人员，并设置警戒标志。生产经营单位应当将事故隐患排查治理情况向从业人员通报。</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rPr>
          <w:rFonts w:hAnsi="宋体"/>
          <w:szCs w:val="32"/>
        </w:rPr>
      </w:pPr>
      <w:r>
        <w:rPr>
          <w:rFonts w:hAnsi="宋体" w:hint="eastAsia"/>
          <w:szCs w:val="32"/>
        </w:rPr>
        <w:t>鲁明公司“双重预防体系”建设，符合国家法律法规及其标准规范的要求。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信息化建设</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）《安全生产法》</w:t>
      </w:r>
    </w:p>
    <w:p w:rsidR="00F95F9B" w:rsidRDefault="00000000">
      <w:pPr>
        <w:widowControl w:val="0"/>
        <w:shd w:val="clear" w:color="auto" w:fill="FFFFFF" w:themeFill="background1"/>
        <w:adjustRightInd w:val="0"/>
        <w:snapToGrid w:val="0"/>
        <w:ind w:firstLine="470"/>
      </w:pPr>
      <w:r>
        <w:rPr>
          <w:rFonts w:hint="eastAsia"/>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rsidR="00F95F9B" w:rsidRDefault="00000000">
      <w:pPr>
        <w:widowControl w:val="0"/>
        <w:shd w:val="clear" w:color="auto" w:fill="FFFFFF" w:themeFill="background1"/>
        <w:adjustRightInd w:val="0"/>
        <w:snapToGrid w:val="0"/>
        <w:ind w:firstLine="470"/>
      </w:pPr>
      <w:r>
        <w:rPr>
          <w:rFonts w:hint="eastAsia"/>
        </w:rPr>
        <w:t>2</w:t>
      </w:r>
      <w:r>
        <w:rPr>
          <w:rFonts w:hint="eastAsia"/>
        </w:rPr>
        <w:t>）《山东省安全生产条例》</w:t>
      </w:r>
    </w:p>
    <w:p w:rsidR="00F95F9B" w:rsidRDefault="00000000">
      <w:pPr>
        <w:widowControl w:val="0"/>
        <w:shd w:val="clear" w:color="auto" w:fill="FFFFFF" w:themeFill="background1"/>
        <w:adjustRightInd w:val="0"/>
        <w:snapToGrid w:val="0"/>
        <w:ind w:firstLine="470"/>
      </w:pPr>
      <w:r>
        <w:rPr>
          <w:rFonts w:hint="eastAsia"/>
        </w:rPr>
        <w:t>第四条　生产经营单位对本单位的安全生产承担主体责任。</w:t>
      </w:r>
    </w:p>
    <w:p w:rsidR="00F95F9B" w:rsidRDefault="00000000">
      <w:pPr>
        <w:widowControl w:val="0"/>
        <w:shd w:val="clear" w:color="auto" w:fill="FFFFFF" w:themeFill="background1"/>
        <w:adjustRightInd w:val="0"/>
        <w:snapToGrid w:val="0"/>
        <w:ind w:firstLine="470"/>
      </w:pPr>
      <w:r>
        <w:rPr>
          <w:rFonts w:hint="eastAsia"/>
        </w:rPr>
        <w:t>生产经营单位应当建立健全全员安全生产责任制和安全生产规章制度，加大安全生产资金、物资、技术、人员的投入保障力度，改善安全生产条件，加强安全生产标准化、信息化建设，构建安全风险分级管控和隐患排查治理双重预防机制。</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widowControl w:val="0"/>
        <w:shd w:val="clear" w:color="auto" w:fill="FFFFFF" w:themeFill="background1"/>
        <w:adjustRightInd w:val="0"/>
        <w:snapToGrid w:val="0"/>
        <w:ind w:firstLine="470"/>
      </w:pPr>
      <w:r>
        <w:rPr>
          <w:rFonts w:hint="eastAsia"/>
        </w:rPr>
        <w:t>鲁明公司生产信息化建设取得了阶段性的成果，在提高生产效率、降低职工劳动强度、改进生产运行模式、降低安全风险等方面均取得了良好的效果。</w:t>
      </w:r>
    </w:p>
    <w:p w:rsidR="00F95F9B" w:rsidRDefault="00000000">
      <w:pPr>
        <w:pStyle w:val="3"/>
        <w:keepNext w:val="0"/>
        <w:keepLines w:val="0"/>
        <w:widowControl w:val="0"/>
        <w:shd w:val="clear" w:color="auto" w:fill="FFFFFF" w:themeFill="background1"/>
        <w:adjustRightInd w:val="0"/>
        <w:snapToGrid w:val="0"/>
        <w:ind w:left="0"/>
      </w:pPr>
      <w:r>
        <w:t>硫化氢防护</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3"/>
        <w:keepNext w:val="0"/>
        <w:keepLines w:val="0"/>
        <w:widowControl w:val="0"/>
        <w:shd w:val="clear" w:color="auto" w:fill="FFFFFF" w:themeFill="background1"/>
        <w:adjustRightInd w:val="0"/>
        <w:snapToGrid w:val="0"/>
        <w:ind w:left="0"/>
      </w:pPr>
      <w:r>
        <w:rPr>
          <w:rFonts w:hint="eastAsia"/>
        </w:rPr>
        <w:t>井控管理</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shd w:val="clear" w:color="auto" w:fill="FFFFFF" w:themeFill="background1"/>
        <w:adjustRightInd w:val="0"/>
        <w:snapToGrid w:val="0"/>
        <w:ind w:firstLine="470"/>
      </w:pPr>
      <w:r>
        <w:rPr>
          <w:rFonts w:hint="eastAsia"/>
        </w:rPr>
        <w:lastRenderedPageBreak/>
        <w:t>鲁明公司井控管理符合中石化及胜利油田相关要求。</w:t>
      </w:r>
    </w:p>
    <w:p w:rsidR="00F95F9B" w:rsidRDefault="00000000">
      <w:pPr>
        <w:pStyle w:val="3"/>
        <w:keepNext w:val="0"/>
        <w:keepLines w:val="0"/>
        <w:widowControl w:val="0"/>
        <w:shd w:val="clear" w:color="auto" w:fill="FFFFFF" w:themeFill="background1"/>
        <w:adjustRightInd w:val="0"/>
        <w:snapToGrid w:val="0"/>
        <w:ind w:left="0"/>
      </w:pPr>
      <w:r>
        <w:rPr>
          <w:rFonts w:hint="eastAsia"/>
        </w:rPr>
        <w:t>事故管理</w:t>
      </w:r>
    </w:p>
    <w:p w:rsidR="00F95F9B" w:rsidRDefault="00000000">
      <w:pPr>
        <w:pStyle w:val="4"/>
        <w:keepNext w:val="0"/>
        <w:keepLines w:val="0"/>
        <w:widowControl w:val="0"/>
        <w:shd w:val="clear" w:color="auto" w:fill="FFFFFF" w:themeFill="background1"/>
        <w:adjustRightInd w:val="0"/>
        <w:snapToGrid w:val="0"/>
      </w:pPr>
      <w:r>
        <w:rPr>
          <w:rFonts w:hint="eastAsia"/>
        </w:rPr>
        <w:t>法规要求</w:t>
      </w:r>
    </w:p>
    <w:p w:rsidR="00F95F9B" w:rsidRDefault="00000000">
      <w:pPr>
        <w:widowControl w:val="0"/>
        <w:shd w:val="clear" w:color="auto" w:fill="FFFFFF" w:themeFill="background1"/>
        <w:adjustRightInd w:val="0"/>
        <w:snapToGrid w:val="0"/>
        <w:ind w:firstLine="470"/>
      </w:pPr>
      <w:r>
        <w:rPr>
          <w:rFonts w:hint="eastAsia"/>
        </w:rPr>
        <w:t>1</w:t>
      </w:r>
      <w:r>
        <w:rPr>
          <w:rFonts w:hint="eastAsia"/>
        </w:rPr>
        <w:t>）《安全生产法》</w:t>
      </w:r>
    </w:p>
    <w:p w:rsidR="00F95F9B" w:rsidRDefault="00000000">
      <w:pPr>
        <w:widowControl w:val="0"/>
        <w:shd w:val="clear" w:color="auto" w:fill="FFFFFF" w:themeFill="background1"/>
        <w:adjustRightInd w:val="0"/>
        <w:snapToGrid w:val="0"/>
        <w:ind w:firstLine="470"/>
      </w:pPr>
      <w:r>
        <w:rPr>
          <w:rFonts w:hint="eastAsia"/>
        </w:rPr>
        <w:t>第八十三条　生产经营单位发生生产安全事故后，事故现场有关人员应当立即报告本单位负责人。</w:t>
      </w:r>
    </w:p>
    <w:p w:rsidR="00F95F9B" w:rsidRDefault="00000000">
      <w:pPr>
        <w:widowControl w:val="0"/>
        <w:shd w:val="clear" w:color="auto" w:fill="FFFFFF" w:themeFill="background1"/>
        <w:adjustRightInd w:val="0"/>
        <w:snapToGrid w:val="0"/>
        <w:ind w:firstLine="470"/>
      </w:pPr>
      <w:r>
        <w:rPr>
          <w:rFonts w:hint="eastAsia"/>
        </w:rPr>
        <w:t>2</w:t>
      </w:r>
      <w:r>
        <w:rPr>
          <w:rFonts w:hint="eastAsia"/>
        </w:rPr>
        <w:t>）《生产安全事故报告和调查处理条例》</w:t>
      </w:r>
    </w:p>
    <w:p w:rsidR="00F95F9B" w:rsidRDefault="00000000">
      <w:pPr>
        <w:widowControl w:val="0"/>
        <w:shd w:val="clear" w:color="auto" w:fill="FFFFFF" w:themeFill="background1"/>
        <w:adjustRightInd w:val="0"/>
        <w:snapToGrid w:val="0"/>
        <w:ind w:firstLine="470"/>
      </w:pPr>
      <w:r>
        <w:rPr>
          <w:rFonts w:hint="eastAsia"/>
        </w:rPr>
        <w:t>第九条　事故发生后，事故现场有关人员应当立即向本单位负责人报告；单位负责人接到报告后，应当于</w:t>
      </w:r>
      <w:r>
        <w:rPr>
          <w:rFonts w:hint="eastAsia"/>
        </w:rPr>
        <w:t>1</w:t>
      </w:r>
      <w:r>
        <w:rPr>
          <w:rFonts w:hint="eastAsia"/>
        </w:rPr>
        <w:t>小时内向事故发生地县级以上人民政府安全生产监督管理部门和负有安全生产监督管理职责的有关部门报告。</w:t>
      </w:r>
    </w:p>
    <w:p w:rsidR="00F95F9B" w:rsidRDefault="00000000">
      <w:pPr>
        <w:widowControl w:val="0"/>
        <w:shd w:val="clear" w:color="auto" w:fill="FFFFFF" w:themeFill="background1"/>
        <w:adjustRightInd w:val="0"/>
        <w:snapToGrid w:val="0"/>
        <w:ind w:firstLine="470"/>
      </w:pPr>
      <w:r>
        <w:rPr>
          <w:rFonts w:hint="eastAsia"/>
        </w:rPr>
        <w:t>情况紧急时，事故现场有关人员可以直接向事故发生地县级以上人民政府安全生产监督管理部门和负有安全生产监督管理职责的有关部门报告。</w:t>
      </w:r>
    </w:p>
    <w:p w:rsidR="00F95F9B" w:rsidRDefault="00000000">
      <w:pPr>
        <w:widowControl w:val="0"/>
        <w:shd w:val="clear" w:color="auto" w:fill="FFFFFF" w:themeFill="background1"/>
        <w:adjustRightInd w:val="0"/>
        <w:snapToGrid w:val="0"/>
        <w:ind w:firstLine="470"/>
      </w:pPr>
      <w:r>
        <w:t>3</w:t>
      </w:r>
      <w:r>
        <w:rPr>
          <w:rFonts w:hint="eastAsia"/>
        </w:rPr>
        <w:t>）《山东省生产安全事故报告和调查处理办法》（山东省人民政府令第</w:t>
      </w:r>
      <w:r>
        <w:t>236</w:t>
      </w:r>
      <w:r>
        <w:rPr>
          <w:rFonts w:hint="eastAsia"/>
        </w:rPr>
        <w:t>号公布，第</w:t>
      </w:r>
      <w:r>
        <w:t>349</w:t>
      </w:r>
      <w:r>
        <w:rPr>
          <w:rFonts w:hint="eastAsia"/>
        </w:rPr>
        <w:t>号修正）</w:t>
      </w:r>
    </w:p>
    <w:p w:rsidR="00F95F9B" w:rsidRDefault="00000000">
      <w:pPr>
        <w:widowControl w:val="0"/>
        <w:shd w:val="clear" w:color="auto" w:fill="FFFFFF" w:themeFill="background1"/>
        <w:adjustRightInd w:val="0"/>
        <w:snapToGrid w:val="0"/>
        <w:ind w:firstLine="470"/>
      </w:pPr>
      <w:r>
        <w:rPr>
          <w:rFonts w:hint="eastAsia"/>
        </w:rPr>
        <w:t>第六条</w:t>
      </w:r>
      <w:r>
        <w:t>  </w:t>
      </w:r>
      <w:r>
        <w:rPr>
          <w:rFonts w:hint="eastAsia"/>
        </w:rPr>
        <w:t>事故发生后，事故现场有关人员应当立即向本单位负责人报告；单位负责人接到报告后，应当于</w:t>
      </w:r>
      <w:r>
        <w:t>1</w:t>
      </w:r>
      <w:r>
        <w:rPr>
          <w:rFonts w:hint="eastAsia"/>
        </w:rPr>
        <w:t>小时内报告事故发生地县（市、区）人民政府应急管理部门和负有安全生产监督管理职责的有关部门。</w:t>
      </w:r>
    </w:p>
    <w:p w:rsidR="00F95F9B" w:rsidRDefault="00000000">
      <w:pPr>
        <w:widowControl w:val="0"/>
        <w:shd w:val="clear" w:color="auto" w:fill="FFFFFF" w:themeFill="background1"/>
        <w:adjustRightInd w:val="0"/>
        <w:snapToGrid w:val="0"/>
        <w:ind w:firstLine="470"/>
      </w:pPr>
      <w:r>
        <w:rPr>
          <w:rFonts w:hint="eastAsia"/>
        </w:rPr>
        <w:t>情况紧急或者本单位负责人无法联络时，事故现场有关人员可以直接向事故发生地县级以上人民政府应急管理部门和负有安全生产监督管理职责的有关部门报告。</w:t>
      </w:r>
    </w:p>
    <w:p w:rsidR="00F95F9B" w:rsidRDefault="00000000">
      <w:pPr>
        <w:pStyle w:val="4"/>
        <w:keepNext w:val="0"/>
        <w:keepLines w:val="0"/>
        <w:widowControl w:val="0"/>
        <w:shd w:val="clear" w:color="auto" w:fill="FFFFFF" w:themeFill="background1"/>
        <w:adjustRightInd w:val="0"/>
        <w:snapToGrid w:val="0"/>
      </w:pPr>
      <w:r>
        <w:rPr>
          <w:rFonts w:hint="eastAsia"/>
        </w:rPr>
        <w:t>检查情况</w:t>
      </w:r>
    </w:p>
    <w:p w:rsidR="00F95F9B" w:rsidRDefault="00000000">
      <w:pPr>
        <w:widowControl w:val="0"/>
        <w:adjustRightInd w:val="0"/>
        <w:snapToGrid w:val="0"/>
        <w:ind w:firstLine="550"/>
        <w:jc w:val="left"/>
      </w:pPr>
      <w:r>
        <w:rPr>
          <w:rFonts w:hint="eastAsia"/>
          <w:color w:val="000000" w:themeColor="text1"/>
          <w:sz w:val="28"/>
          <w:szCs w:val="28"/>
        </w:rPr>
        <w:t>涉及企业机密，不予公开。</w:t>
      </w:r>
    </w:p>
    <w:p w:rsidR="00F95F9B" w:rsidRDefault="00000000">
      <w:pPr>
        <w:pStyle w:val="4"/>
        <w:keepNext w:val="0"/>
        <w:keepLines w:val="0"/>
        <w:widowControl w:val="0"/>
        <w:shd w:val="clear" w:color="auto" w:fill="FFFFFF" w:themeFill="background1"/>
        <w:adjustRightInd w:val="0"/>
        <w:snapToGrid w:val="0"/>
      </w:pPr>
      <w:r>
        <w:rPr>
          <w:rFonts w:hint="eastAsia"/>
        </w:rPr>
        <w:t>检查结果</w:t>
      </w:r>
    </w:p>
    <w:p w:rsidR="00F95F9B" w:rsidRDefault="00000000">
      <w:pPr>
        <w:pStyle w:val="af7"/>
        <w:shd w:val="clear" w:color="auto" w:fill="FFFFFF" w:themeFill="background1"/>
        <w:ind w:firstLine="470"/>
      </w:pPr>
      <w:r>
        <w:rPr>
          <w:rFonts w:hint="eastAsia"/>
        </w:rPr>
        <w:t>近三年，鲁明公司安全生产形势稳定，未发生一般及以上生产安全事故。</w:t>
      </w:r>
    </w:p>
    <w:p w:rsidR="00F95F9B" w:rsidRDefault="00000000">
      <w:pPr>
        <w:pStyle w:val="2"/>
        <w:keepNext w:val="0"/>
        <w:keepLines w:val="0"/>
        <w:shd w:val="clear" w:color="auto" w:fill="FFFFFF" w:themeFill="background1"/>
        <w:spacing w:before="170" w:after="170"/>
      </w:pPr>
      <w:bookmarkStart w:id="89" w:name="_Toc28751"/>
      <w:r>
        <w:rPr>
          <w:rFonts w:hint="eastAsia"/>
        </w:rPr>
        <w:t>安全检查表</w:t>
      </w:r>
      <w:bookmarkEnd w:id="89"/>
    </w:p>
    <w:p w:rsidR="00F95F9B" w:rsidRDefault="00000000">
      <w:pPr>
        <w:pStyle w:val="3"/>
        <w:keepNext w:val="0"/>
        <w:keepLines w:val="0"/>
        <w:widowControl w:val="0"/>
        <w:shd w:val="clear" w:color="auto" w:fill="FFFFFF" w:themeFill="background1"/>
        <w:adjustRightInd w:val="0"/>
        <w:snapToGrid w:val="0"/>
        <w:ind w:left="0"/>
      </w:pPr>
      <w:r>
        <w:rPr>
          <w:rFonts w:hint="eastAsia"/>
        </w:rPr>
        <w:t>制定安全检查表的依据及检查问题</w:t>
      </w:r>
    </w:p>
    <w:p w:rsidR="00F95F9B" w:rsidRDefault="00000000">
      <w:pPr>
        <w:widowControl w:val="0"/>
        <w:shd w:val="clear" w:color="auto" w:fill="FFFFFF" w:themeFill="background1"/>
        <w:adjustRightInd w:val="0"/>
        <w:snapToGrid w:val="0"/>
        <w:ind w:firstLine="470"/>
      </w:pPr>
      <w:r>
        <w:t>本节根据《中华人民共和国安全生产法》（中华人民共和国主席令</w:t>
      </w:r>
      <w:r>
        <w:t>[2014]</w:t>
      </w:r>
      <w:r>
        <w:t>第</w:t>
      </w:r>
      <w:r>
        <w:t>13</w:t>
      </w:r>
      <w:r>
        <w:t>号，</w:t>
      </w:r>
      <w:r>
        <w:t>[2021]</w:t>
      </w:r>
      <w:r>
        <w:t>第</w:t>
      </w:r>
      <w:r>
        <w:t>88</w:t>
      </w:r>
      <w:r>
        <w:t>号令修订）、《石油天然气安全规程》（</w:t>
      </w:r>
      <w:r>
        <w:t>AQ2012-2007</w:t>
      </w:r>
      <w:r>
        <w:t>）、《生产安全事故应急预案管理办法》（国家安全生产监督管理总局令</w:t>
      </w:r>
      <w:r>
        <w:t>[2016]</w:t>
      </w:r>
      <w:r>
        <w:t>第</w:t>
      </w:r>
      <w:r>
        <w:t>88</w:t>
      </w:r>
      <w:r>
        <w:t>号，应急管理部令</w:t>
      </w:r>
      <w:r>
        <w:t>[2019]</w:t>
      </w:r>
      <w:r>
        <w:t>第</w:t>
      </w:r>
      <w:r>
        <w:t>2</w:t>
      </w:r>
      <w:r>
        <w:t>号修改）等法律法规，对本项目安全管理单元进行安全评价，具体评价过程见</w:t>
      </w:r>
      <w:r>
        <w:rPr>
          <w:rFonts w:hint="eastAsia"/>
        </w:rPr>
        <w:t>附</w:t>
      </w:r>
      <w:r>
        <w:t>表</w:t>
      </w:r>
      <w:r>
        <w:rPr>
          <w:rFonts w:hint="eastAsia"/>
        </w:rPr>
        <w:t>3</w:t>
      </w:r>
      <w:r>
        <w:t>.</w:t>
      </w:r>
      <w:r>
        <w:rPr>
          <w:rFonts w:hint="eastAsia"/>
        </w:rPr>
        <w:t>5</w:t>
      </w:r>
      <w:r>
        <w:t>-</w:t>
      </w:r>
      <w:r>
        <w:lastRenderedPageBreak/>
        <w:t>1</w:t>
      </w:r>
      <w:r>
        <w:t>。</w:t>
      </w:r>
    </w:p>
    <w:p w:rsidR="00F95F9B" w:rsidRDefault="00000000">
      <w:pPr>
        <w:pStyle w:val="3"/>
        <w:keepNext w:val="0"/>
        <w:keepLines w:val="0"/>
        <w:widowControl w:val="0"/>
        <w:shd w:val="clear" w:color="auto" w:fill="FFFFFF" w:themeFill="background1"/>
        <w:adjustRightInd w:val="0"/>
        <w:snapToGrid w:val="0"/>
        <w:ind w:left="0"/>
      </w:pPr>
      <w:r>
        <w:rPr>
          <w:rFonts w:hint="eastAsia"/>
        </w:rPr>
        <w:t>单元小结</w:t>
      </w:r>
    </w:p>
    <w:p w:rsidR="00F95F9B" w:rsidRDefault="00000000">
      <w:pPr>
        <w:shd w:val="clear" w:color="auto" w:fill="FFFFFF" w:themeFill="background1"/>
        <w:adjustRightInd w:val="0"/>
        <w:snapToGrid w:val="0"/>
        <w:ind w:firstLine="470"/>
      </w:pPr>
      <w:r>
        <w:t>安全检查表</w:t>
      </w:r>
      <w:r>
        <w:rPr>
          <w:rFonts w:hint="eastAsia"/>
        </w:rPr>
        <w:t>共涉及</w:t>
      </w:r>
      <w:r>
        <w:rPr>
          <w:rFonts w:hint="eastAsia"/>
        </w:rPr>
        <w:t>11</w:t>
      </w:r>
      <w:r>
        <w:rPr>
          <w:rFonts w:hint="eastAsia"/>
        </w:rPr>
        <w:t>项</w:t>
      </w:r>
      <w:r>
        <w:rPr>
          <w:rFonts w:hint="eastAsia"/>
        </w:rPr>
        <w:t>43</w:t>
      </w:r>
      <w:r>
        <w:rPr>
          <w:rFonts w:hint="eastAsia"/>
        </w:rPr>
        <w:t>条检查内</w:t>
      </w:r>
      <w:r>
        <w:t>容，</w:t>
      </w:r>
      <w:r>
        <w:rPr>
          <w:rFonts w:hint="eastAsia"/>
        </w:rPr>
        <w:t>经检查，无不符合项。</w:t>
      </w:r>
    </w:p>
    <w:p w:rsidR="00F95F9B" w:rsidRDefault="00000000">
      <w:pPr>
        <w:pStyle w:val="2"/>
        <w:keepNext w:val="0"/>
        <w:keepLines w:val="0"/>
        <w:shd w:val="clear" w:color="auto" w:fill="FFFFFF" w:themeFill="background1"/>
        <w:spacing w:before="170" w:after="170"/>
      </w:pPr>
      <w:bookmarkStart w:id="90" w:name="_Toc5579"/>
      <w:r>
        <w:rPr>
          <w:rFonts w:hint="eastAsia"/>
        </w:rPr>
        <w:t>安全生产条件及重大安全风险隐患分析评价</w:t>
      </w:r>
      <w:bookmarkEnd w:id="90"/>
    </w:p>
    <w:p w:rsidR="00F95F9B" w:rsidRDefault="00000000">
      <w:pPr>
        <w:pStyle w:val="3"/>
        <w:keepNext w:val="0"/>
        <w:keepLines w:val="0"/>
        <w:widowControl w:val="0"/>
        <w:shd w:val="clear" w:color="auto" w:fill="FFFFFF" w:themeFill="background1"/>
        <w:ind w:left="0"/>
      </w:pPr>
      <w:r>
        <w:rPr>
          <w:rFonts w:hint="eastAsia"/>
        </w:rPr>
        <w:t>安全生产条件分析</w:t>
      </w:r>
    </w:p>
    <w:p w:rsidR="00F95F9B" w:rsidRDefault="00000000">
      <w:pPr>
        <w:widowControl w:val="0"/>
        <w:shd w:val="clear" w:color="auto" w:fill="FFFFFF" w:themeFill="background1"/>
        <w:ind w:firstLine="470"/>
      </w:pPr>
      <w:r>
        <w:t>根据《非煤矿矿山企业安全生产许可证实施办法》</w:t>
      </w:r>
      <w:r>
        <w:rPr>
          <w:rFonts w:hint="eastAsia"/>
        </w:rPr>
        <w:t>、《安全生产法》、《山东省安全生产条例》、《山东省生产经营单位安全生产主体责任规定》、《企业安全生产标准化基本规范》（</w:t>
      </w:r>
      <w:r>
        <w:rPr>
          <w:rFonts w:hint="eastAsia"/>
        </w:rPr>
        <w:t>GB/T 33000-2016</w:t>
      </w:r>
      <w:r>
        <w:rPr>
          <w:rFonts w:hint="eastAsia"/>
        </w:rPr>
        <w:t>）、《石油与天然气井井控安全技术考核管理规则》（</w:t>
      </w:r>
      <w:r>
        <w:rPr>
          <w:rFonts w:hint="eastAsia"/>
        </w:rPr>
        <w:t>SY/T5742-2019</w:t>
      </w:r>
      <w:r>
        <w:rPr>
          <w:rFonts w:hint="eastAsia"/>
        </w:rPr>
        <w:t>）等法律法规和标准规范的要求，对鲁明公司安全生产管理中全员安全生产责任制、管理制度和操作规程、人员持证、劳保配备、应急管理等情况进行检查，以确定鲁明公司安全生产条件是否</w:t>
      </w:r>
      <w:r>
        <w:t>符合</w:t>
      </w:r>
      <w:r>
        <w:rPr>
          <w:rFonts w:hint="eastAsia"/>
        </w:rPr>
        <w:t>要求。检查情况见下表。</w:t>
      </w:r>
    </w:p>
    <w:p w:rsidR="00F95F9B" w:rsidRDefault="00000000">
      <w:pPr>
        <w:widowControl w:val="0"/>
        <w:shd w:val="clear" w:color="auto" w:fill="FFFFFF" w:themeFill="background1"/>
        <w:autoSpaceDE w:val="0"/>
        <w:autoSpaceDN w:val="0"/>
        <w:adjustRightInd w:val="0"/>
        <w:spacing w:line="240" w:lineRule="auto"/>
        <w:ind w:firstLine="410"/>
        <w:jc w:val="center"/>
        <w:rPr>
          <w:rFonts w:eastAsia="黑体"/>
          <w:sz w:val="21"/>
        </w:rPr>
      </w:pPr>
      <w:r>
        <w:rPr>
          <w:rFonts w:eastAsia="黑体"/>
          <w:sz w:val="21"/>
        </w:rPr>
        <w:t>表</w:t>
      </w:r>
      <w:r>
        <w:rPr>
          <w:rFonts w:eastAsia="黑体"/>
          <w:sz w:val="21"/>
        </w:rPr>
        <w:t xml:space="preserve">6.3-1 </w:t>
      </w:r>
      <w:r>
        <w:rPr>
          <w:rFonts w:eastAsia="黑体"/>
          <w:sz w:val="21"/>
          <w:lang w:val="es-MX"/>
        </w:rPr>
        <w:t xml:space="preserve"> </w:t>
      </w:r>
      <w:r>
        <w:rPr>
          <w:rFonts w:eastAsia="黑体" w:hint="eastAsia"/>
          <w:sz w:val="21"/>
        </w:rPr>
        <w:t>安全生产条件符合性检查表</w:t>
      </w:r>
    </w:p>
    <w:tbl>
      <w:tblPr>
        <w:tblW w:w="912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85" w:type="dxa"/>
          <w:bottom w:w="85" w:type="dxa"/>
        </w:tblCellMar>
        <w:tblLook w:val="04A0" w:firstRow="1" w:lastRow="0" w:firstColumn="1" w:lastColumn="0" w:noHBand="0" w:noVBand="1"/>
      </w:tblPr>
      <w:tblGrid>
        <w:gridCol w:w="923"/>
        <w:gridCol w:w="13"/>
        <w:gridCol w:w="4588"/>
        <w:gridCol w:w="2835"/>
        <w:gridCol w:w="764"/>
      </w:tblGrid>
      <w:tr w:rsidR="00F95F9B">
        <w:trPr>
          <w:tblHeade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序号</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实施办法审查内容</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检查依据</w:t>
            </w: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检查结果</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1</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rFonts w:hint="eastAsia"/>
                <w:b/>
                <w:sz w:val="21"/>
              </w:rPr>
              <w:t>符合</w:t>
            </w:r>
          </w:p>
        </w:tc>
      </w:tr>
      <w:tr w:rsidR="00F95F9B">
        <w:tblPrEx>
          <w:tblCellMar>
            <w:top w:w="0" w:type="dxa"/>
            <w:bottom w:w="0" w:type="dxa"/>
          </w:tblCellMar>
        </w:tblPrEx>
        <w:trPr>
          <w:jc w:val="center"/>
        </w:trPr>
        <w:tc>
          <w:tcPr>
            <w:tcW w:w="8359" w:type="dxa"/>
            <w:gridSpan w:val="4"/>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1.1</w:t>
            </w:r>
            <w:r>
              <w:rPr>
                <w:sz w:val="21"/>
              </w:rPr>
              <w:t>全员安全生产责任制</w:t>
            </w:r>
          </w:p>
        </w:tc>
        <w:tc>
          <w:tcPr>
            <w:tcW w:w="764" w:type="dxa"/>
            <w:tcBorders>
              <w:tl2br w:val="nil"/>
              <w:tr2bl w:val="nil"/>
            </w:tcBorders>
          </w:tcPr>
          <w:p w:rsidR="00F95F9B" w:rsidRDefault="00F95F9B">
            <w:pPr>
              <w:widowControl w:val="0"/>
              <w:shd w:val="clear" w:color="auto" w:fill="FFFFFF" w:themeFill="background1"/>
              <w:adjustRightInd w:val="0"/>
              <w:snapToGrid w:val="0"/>
              <w:spacing w:line="240" w:lineRule="auto"/>
              <w:ind w:firstLineChars="0" w:firstLine="0"/>
              <w:rPr>
                <w:sz w:val="21"/>
              </w:rPr>
            </w:pP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w:t>
            </w:r>
            <w:r>
              <w:rPr>
                <w:sz w:val="21"/>
              </w:rPr>
              <w:t>1</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主要负责人</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《山东省生产经营单位全员安全生产责任清单》第二条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w:t>
            </w:r>
            <w:r>
              <w:rPr>
                <w:sz w:val="21"/>
              </w:rPr>
              <w:t>2</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安全生产分管负责人（安全总监）</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《山东省生产经营单位全员安全生产责任清单》第三条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w:t>
            </w:r>
            <w:r>
              <w:rPr>
                <w:sz w:val="21"/>
              </w:rPr>
              <w:t>3</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分管生产、设备、技术等其他负责人</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《山东省生产经营单位全员安全生产责任清单》第四条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w:t>
            </w:r>
            <w:r>
              <w:rPr>
                <w:sz w:val="21"/>
              </w:rPr>
              <w:t>4</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安全生产管理机构、安全生产管理人员</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《山东省生产经营单位全员安全生产责任清单》第五条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w:t>
            </w:r>
            <w:r>
              <w:rPr>
                <w:sz w:val="21"/>
              </w:rPr>
              <w:t>5</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生产、设备、技术等其他职能部门负责人</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《山东省生产经营单位全员安全生产责任清单》第六条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w:t>
            </w:r>
            <w:r>
              <w:rPr>
                <w:sz w:val="21"/>
              </w:rPr>
              <w:t>6</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车间（区队）主任</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《山东省生产经营单位全员安全生产责任清单》第七条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7</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班组长</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《山东省生产经营单位全员安全生产责任清单》第八条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rFonts w:hint="eastAsia"/>
                <w:sz w:val="21"/>
              </w:rPr>
              <w:t>（</w:t>
            </w:r>
            <w:r>
              <w:rPr>
                <w:rFonts w:hint="eastAsia"/>
                <w:sz w:val="21"/>
              </w:rPr>
              <w:t>8</w:t>
            </w:r>
            <w:r>
              <w:rPr>
                <w:rFonts w:hint="eastAsia"/>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岗位员工</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《山东省生产经营单位全员安全生产责任清单》第九条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rFonts w:hint="eastAsia"/>
                <w:sz w:val="21"/>
              </w:rPr>
              <w:t>（</w:t>
            </w:r>
            <w:r>
              <w:rPr>
                <w:rFonts w:hint="eastAsia"/>
                <w:sz w:val="21"/>
              </w:rPr>
              <w:t>9</w:t>
            </w:r>
            <w:r>
              <w:rPr>
                <w:rFonts w:hint="eastAsia"/>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职能部门</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《非煤矿矿山企业安全生产许可证实施办法》第六条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1.2</w:t>
            </w:r>
          </w:p>
        </w:tc>
        <w:tc>
          <w:tcPr>
            <w:tcW w:w="7423"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sz w:val="21"/>
              </w:rPr>
            </w:pPr>
            <w:r>
              <w:rPr>
                <w:sz w:val="21"/>
              </w:rPr>
              <w:t>制度</w:t>
            </w:r>
          </w:p>
        </w:tc>
        <w:tc>
          <w:tcPr>
            <w:tcW w:w="764" w:type="dxa"/>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lastRenderedPageBreak/>
              <w:t>（</w:t>
            </w:r>
            <w:r>
              <w:rPr>
                <w:sz w:val="21"/>
              </w:rPr>
              <w:t>1</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安全检查</w:t>
            </w:r>
          </w:p>
        </w:tc>
        <w:tc>
          <w:tcPr>
            <w:tcW w:w="2835" w:type="dxa"/>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《非煤矿矿山企业安全生产许可证实施办法》第六条</w:t>
            </w:r>
          </w:p>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2</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职业危害预防</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3</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安全教育培训</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4</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生产安全事故管理</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5</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重大危险源监控和重大隐患整改</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6</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设备安全管理类制度</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7</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安全生产档案管理制度</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8</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安全生产奖惩制度</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9</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安全生产资金投入</w:t>
            </w:r>
          </w:p>
        </w:tc>
        <w:tc>
          <w:tcPr>
            <w:tcW w:w="2835" w:type="dxa"/>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《山东省安全生产条例》第十五条</w:t>
            </w: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10</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劳动防护用品管理</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11</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风险分级管控和隐患排查治理</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12</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危险作业管理</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41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sz w:val="21"/>
              </w:rPr>
              <w:t>（</w:t>
            </w:r>
            <w:r>
              <w:rPr>
                <w:sz w:val="21"/>
              </w:rPr>
              <w:t>13</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应急预案管理</w:t>
            </w:r>
          </w:p>
        </w:tc>
        <w:tc>
          <w:tcPr>
            <w:tcW w:w="2835" w:type="dxa"/>
            <w:vMerge/>
            <w:tcBorders>
              <w:tl2br w:val="nil"/>
              <w:tr2bl w:val="nil"/>
            </w:tcBorders>
            <w:vAlign w:val="center"/>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rFonts w:hint="eastAsia"/>
                <w:sz w:val="21"/>
              </w:rPr>
              <w:t>（</w:t>
            </w:r>
            <w:r>
              <w:rPr>
                <w:rFonts w:hint="eastAsia"/>
                <w:sz w:val="21"/>
              </w:rPr>
              <w:t>1</w:t>
            </w:r>
            <w:r>
              <w:rPr>
                <w:sz w:val="21"/>
              </w:rPr>
              <w:t>4</w:t>
            </w:r>
            <w:r>
              <w:rPr>
                <w:rFonts w:hint="eastAsia"/>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特种作业人员管理</w:t>
            </w:r>
          </w:p>
        </w:tc>
        <w:tc>
          <w:tcPr>
            <w:tcW w:w="2835" w:type="dxa"/>
            <w:vMerge w:val="restart"/>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《山东省生产经营单位安全生产主体责任规定》第七条</w:t>
            </w: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jc w:val="center"/>
              <w:rPr>
                <w:sz w:val="21"/>
              </w:rPr>
            </w:pPr>
            <w:r>
              <w:rPr>
                <w:rFonts w:hint="eastAsia"/>
                <w:sz w:val="21"/>
              </w:rPr>
              <w:t>（</w:t>
            </w:r>
            <w:r>
              <w:rPr>
                <w:rFonts w:hint="eastAsia"/>
                <w:sz w:val="21"/>
              </w:rPr>
              <w:t>1</w:t>
            </w:r>
            <w:r>
              <w:rPr>
                <w:sz w:val="21"/>
              </w:rPr>
              <w:t>5</w:t>
            </w:r>
            <w:r>
              <w:rPr>
                <w:rFonts w:hint="eastAsia"/>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10" w:firstLine="20"/>
              <w:rPr>
                <w:sz w:val="21"/>
              </w:rPr>
            </w:pPr>
            <w:r>
              <w:rPr>
                <w:sz w:val="21"/>
              </w:rPr>
              <w:t>安全生产会议</w:t>
            </w:r>
          </w:p>
        </w:tc>
        <w:tc>
          <w:tcPr>
            <w:tcW w:w="2835" w:type="dxa"/>
            <w:vMerge/>
            <w:tcBorders>
              <w:tl2br w:val="nil"/>
              <w:tr2bl w:val="nil"/>
            </w:tcBorders>
          </w:tcPr>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764"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1.3</w:t>
            </w:r>
          </w:p>
        </w:tc>
        <w:tc>
          <w:tcPr>
            <w:tcW w:w="7423"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操作规程</w:t>
            </w:r>
          </w:p>
        </w:tc>
        <w:tc>
          <w:tcPr>
            <w:tcW w:w="764" w:type="dxa"/>
            <w:tcBorders>
              <w:tl2br w:val="nil"/>
              <w:tr2bl w:val="nil"/>
            </w:tcBorders>
          </w:tcPr>
          <w:p w:rsidR="00F95F9B" w:rsidRDefault="00F95F9B">
            <w:pPr>
              <w:widowControl w:val="0"/>
              <w:shd w:val="clear" w:color="auto" w:fill="FFFFFF" w:themeFill="background1"/>
              <w:adjustRightInd w:val="0"/>
              <w:snapToGrid w:val="0"/>
              <w:spacing w:line="240" w:lineRule="auto"/>
              <w:ind w:firstLineChars="0" w:firstLine="0"/>
              <w:rPr>
                <w:sz w:val="21"/>
              </w:rPr>
            </w:pPr>
          </w:p>
        </w:tc>
      </w:tr>
      <w:tr w:rsidR="00F95F9B">
        <w:tblPrEx>
          <w:tblCellMar>
            <w:top w:w="0" w:type="dxa"/>
            <w:bottom w:w="0" w:type="dxa"/>
          </w:tblCellMar>
        </w:tblPrEx>
        <w:trPr>
          <w:jc w:val="center"/>
        </w:trPr>
        <w:tc>
          <w:tcPr>
            <w:tcW w:w="936"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w:t>
            </w:r>
            <w:r>
              <w:rPr>
                <w:sz w:val="21"/>
              </w:rPr>
              <w:t>1</w:t>
            </w:r>
            <w:r>
              <w:rPr>
                <w:sz w:val="21"/>
              </w:rPr>
              <w:t>）</w:t>
            </w:r>
          </w:p>
        </w:tc>
        <w:tc>
          <w:tcPr>
            <w:tcW w:w="4588"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生产经营单位应当具有健全的操作规程。</w:t>
            </w:r>
          </w:p>
        </w:tc>
        <w:tc>
          <w:tcPr>
            <w:tcW w:w="2835" w:type="dxa"/>
            <w:tcBorders>
              <w:tl2br w:val="nil"/>
              <w:tr2bl w:val="nil"/>
            </w:tcBorders>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《山东省安全生产条例》第十三条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2</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安全投入符合安全生产要求，依照国家有关规定足额提取安全生产费用。</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2.1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陆上采油（气）企业依据当月开采的石油、天然气产量，于月末提取企业安全生产费用。其中每吨原油</w:t>
            </w:r>
            <w:r>
              <w:rPr>
                <w:sz w:val="21"/>
              </w:rPr>
              <w:t>20</w:t>
            </w:r>
            <w:r>
              <w:rPr>
                <w:sz w:val="21"/>
              </w:rPr>
              <w:t>元，每千立方米原气</w:t>
            </w:r>
            <w:r>
              <w:rPr>
                <w:sz w:val="21"/>
              </w:rPr>
              <w:t>7.5</w:t>
            </w:r>
            <w:r>
              <w:rPr>
                <w:sz w:val="21"/>
              </w:rPr>
              <w:t>元。</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《企业安全生产费用提取和使用管理办法》第十四条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shd w:val="clear" w:color="auto" w:fill="auto"/>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2.2</w:t>
            </w:r>
          </w:p>
        </w:tc>
        <w:tc>
          <w:tcPr>
            <w:tcW w:w="4601" w:type="dxa"/>
            <w:gridSpan w:val="2"/>
            <w:tcBorders>
              <w:tl2br w:val="nil"/>
              <w:tr2bl w:val="nil"/>
            </w:tcBorders>
            <w:shd w:val="clear" w:color="auto" w:fill="auto"/>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石油天然气开采企业安全生产费用应当用于以下支出：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（一）完善、改造和维护安全防护设施设备支出（不含</w:t>
            </w:r>
            <w:r>
              <w:rPr>
                <w:sz w:val="21"/>
              </w:rPr>
              <w:t>“</w:t>
            </w:r>
            <w:r>
              <w:rPr>
                <w:sz w:val="21"/>
              </w:rPr>
              <w:t>三同时</w:t>
            </w:r>
            <w:r>
              <w:rPr>
                <w:sz w:val="21"/>
              </w:rPr>
              <w:t>”</w:t>
            </w:r>
            <w:r>
              <w:rPr>
                <w:sz w:val="21"/>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（二）事故逃生和紧急避难设施设备的配置及维护保养支出，应急救援器材、设备配置及维护保养支出，应急救援队伍建设、应急预案制修订与应急演练支出；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（三）开展重大危险源检测、评估、监控支出，安全风险分级管控和事故隐患排查整改支出，安全生产信息化、智能化建设、运维和网络安全支出；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（四）安全生产检查、评估评价（不含新建、改建、扩建项目安全评价）、咨询、标准化建设支出；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（五）配备和更新现场作业人员安全防护用品支出；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（六）安全生产宣传、教育、培训和从业人员发现并报告事故隐患的奖励支出；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（七）安全生产适用的新技术、新标准、新工艺、新装备的推广应用支出；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lastRenderedPageBreak/>
              <w:t>（八）安全设施及特种设备检测检验、检定校准支出；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（九）野外或海上作业应急食品、应急器械、应急药品支出；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（十）安全生产责任保险支出；</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（十一）与安全生产直接相关的其他支出。</w:t>
            </w:r>
          </w:p>
        </w:tc>
        <w:tc>
          <w:tcPr>
            <w:tcW w:w="2835" w:type="dxa"/>
            <w:tcBorders>
              <w:tl2br w:val="nil"/>
              <w:tr2bl w:val="nil"/>
            </w:tcBorders>
            <w:shd w:val="clear" w:color="auto" w:fill="auto"/>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lastRenderedPageBreak/>
              <w:t>《企业安全生产费用提取和使用管理办法》第十五条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3</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设置安全生产管理机构，或者配备专职安全生产管理人员。</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3.1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shd w:val="clear" w:color="auto" w:fill="FAFBFB"/>
              </w:rPr>
              <w:t>矿山、金属冶炼、建筑施工、运输单位和危险物品的生产、经营、储存、装卸单位，应当设置安全生产管理机构或者配备专职安全生产管理人员。</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《安全生产法》第二十四条</w:t>
            </w:r>
          </w:p>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3</w:t>
            </w:r>
            <w:r>
              <w:rPr>
                <w:sz w:val="21"/>
              </w:rPr>
              <w:t>.2</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shd w:val="clear" w:color="auto" w:fill="FAFBFB"/>
              </w:rPr>
              <w:t>从业人员一百人以上的高危生产经营单位和从业人员三百人以上的其他生产经营单位，应当依法设置安全总监。</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《山东省安全生产条例》</w:t>
            </w:r>
          </w:p>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第二十一条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3.3</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shd w:val="clear" w:color="auto" w:fill="FAFBFB"/>
              </w:rPr>
              <w:t>危险物品的生产、储存、装卸单位以及矿山、金属冶炼单位应当有注册安全工程师从事安全生产管理工作。</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《安全生产法》第二十七条</w:t>
            </w:r>
          </w:p>
          <w:p w:rsidR="00F95F9B" w:rsidRDefault="00F95F9B">
            <w:pPr>
              <w:widowControl w:val="0"/>
              <w:shd w:val="clear" w:color="auto" w:fill="FFFFFF" w:themeFill="background1"/>
              <w:adjustRightInd w:val="0"/>
              <w:snapToGrid w:val="0"/>
              <w:spacing w:line="240" w:lineRule="auto"/>
              <w:ind w:firstLineChars="0" w:firstLine="0"/>
              <w:jc w:val="center"/>
              <w:rPr>
                <w:sz w:val="21"/>
              </w:rPr>
            </w:pP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3</w:t>
            </w:r>
            <w:r>
              <w:rPr>
                <w:sz w:val="21"/>
              </w:rPr>
              <w:t>.4</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从业人员在</w:t>
            </w:r>
            <w:r>
              <w:rPr>
                <w:sz w:val="21"/>
              </w:rPr>
              <w:t>1000</w:t>
            </w:r>
            <w:r>
              <w:rPr>
                <w:sz w:val="21"/>
              </w:rPr>
              <w:t>人以上的高危生产经营单位，应当设置专门的安全生产管理机构，并按不低于从业人员</w:t>
            </w:r>
            <w:r>
              <w:rPr>
                <w:sz w:val="21"/>
              </w:rPr>
              <w:t>5‰</w:t>
            </w:r>
            <w:r>
              <w:rPr>
                <w:sz w:val="21"/>
              </w:rPr>
              <w:t>的比例配备专职安全生产管理人员，其中至少应当有</w:t>
            </w:r>
            <w:r>
              <w:rPr>
                <w:sz w:val="21"/>
              </w:rPr>
              <w:t>3</w:t>
            </w:r>
            <w:r>
              <w:rPr>
                <w:sz w:val="21"/>
              </w:rPr>
              <w:t>名注册安全工程师。</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《山东省生产经营单位安全生产主体责任规定》第九条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3.5</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从业人员</w:t>
            </w:r>
            <w:r>
              <w:rPr>
                <w:sz w:val="21"/>
              </w:rPr>
              <w:t>300</w:t>
            </w:r>
            <w:r>
              <w:rPr>
                <w:sz w:val="21"/>
              </w:rPr>
              <w:t>人以上的非煤矿矿山单位，应当按照不少于安全生产管理人员</w:t>
            </w:r>
            <w:r>
              <w:rPr>
                <w:sz w:val="21"/>
              </w:rPr>
              <w:t>15%</w:t>
            </w:r>
            <w:r>
              <w:rPr>
                <w:sz w:val="21"/>
              </w:rPr>
              <w:t>的比例配备注册安全工程师；安全生产管理人员在</w:t>
            </w:r>
            <w:r>
              <w:rPr>
                <w:sz w:val="21"/>
              </w:rPr>
              <w:t>7</w:t>
            </w:r>
            <w:r>
              <w:rPr>
                <w:sz w:val="21"/>
              </w:rPr>
              <w:t>人以下的，至少配备</w:t>
            </w:r>
            <w:r>
              <w:rPr>
                <w:sz w:val="21"/>
              </w:rPr>
              <w:t>1</w:t>
            </w:r>
            <w:r>
              <w:rPr>
                <w:sz w:val="21"/>
              </w:rPr>
              <w:t>名。</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《注册安全工程师管理规定》第六条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3</w:t>
            </w:r>
            <w:r>
              <w:rPr>
                <w:sz w:val="21"/>
              </w:rPr>
              <w:t>.6</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从业人员三百人以上的高危生产经营单位和从业人员一千人以上的其他生产经营单位，应当建立安全生产委员会。</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《山东省安全生产条例》第二十二条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3</w:t>
            </w:r>
            <w:r>
              <w:rPr>
                <w:sz w:val="21"/>
              </w:rPr>
              <w:t>.7</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安全生产委员会由本单位的主要负责人、分管安全生产的负责人或者安全总监、相关负责人、专门的安全生产管理机构及相关机构负责人、安全生产管理人员和工会代表以及从业人员代表组成。生产经营单位的安全生产委员会负责组织、指导、协调本单位安全生产工作任务的贯彻落实，研究和审查本单位有关安全生产的重大事项，协调本单位各相关机构安全生产工作有关事宜。安全生产委员会每季度至少召开</w:t>
            </w:r>
            <w:r>
              <w:rPr>
                <w:sz w:val="21"/>
              </w:rPr>
              <w:t>1</w:t>
            </w:r>
            <w:r>
              <w:rPr>
                <w:sz w:val="21"/>
              </w:rPr>
              <w:t>次会议，会议应当有书面记录。</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《山东省生产经营单位安全生产主体责任规定》第十三条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4</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主要负责人和安全生产管理人员经安全生产监督管理部门考核合格，取得安全资格证书。</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4</w:t>
            </w:r>
            <w:r>
              <w:rPr>
                <w:sz w:val="21"/>
              </w:rPr>
              <w:t>.1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危险物品的生产、经营、储存、装卸单位以及矿山、金属冶炼、建筑施工、运输单位的主要负责人和安全生产管理人员，应当由主管的负有安全生产监督管理职责的部门对其安全生产知识和管理能力考核合格。</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《安全生产法》第二十七条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5</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特种作业人员经有关业务主管部门考核合格，取得特种作业操作资格证书。</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不涉</w:t>
            </w:r>
            <w:r>
              <w:rPr>
                <w:b/>
                <w:sz w:val="21"/>
              </w:rPr>
              <w:lastRenderedPageBreak/>
              <w:t>及</w:t>
            </w:r>
          </w:p>
        </w:tc>
      </w:tr>
      <w:tr w:rsidR="00F95F9B">
        <w:trPr>
          <w:trHeight w:val="511"/>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6</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其他从业人员依照规定接受安全生产教育和培训，并经考试合格。</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6.1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生产经营单位应当定期组织全员安全生产教育培训。对新进从业人员、离岗</w:t>
            </w:r>
            <w:r>
              <w:rPr>
                <w:sz w:val="21"/>
              </w:rPr>
              <w:t>6</w:t>
            </w:r>
            <w:r>
              <w:rPr>
                <w:sz w:val="21"/>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《山东省生产经营单位安全生产主体责任规定》第二十四条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6.2</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特种设备安全管理人员、检测人员和作业人员应当按照国家有关规定取得相应资格，方可从事相关工作。</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《特种设备安全法》</w:t>
            </w:r>
          </w:p>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第十四条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6.3</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井控培训合格证取证的人员范围：油气生产单位、工程施工单位的领导及管理人员：主管生产、技术和安全工作的领导，正副总工程师；技术和安全管理部门领导、主管井控设计、审批领导及参与井控管理的人员。</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w:t>
            </w:r>
            <w:r>
              <w:rPr>
                <w:sz w:val="21"/>
              </w:rPr>
              <w:t>石油与天然气井井控安全技术考核管理规则</w:t>
            </w:r>
            <w:r>
              <w:rPr>
                <w:rFonts w:hint="eastAsia"/>
                <w:sz w:val="21"/>
              </w:rPr>
              <w:t>》</w:t>
            </w:r>
          </w:p>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w:t>
            </w:r>
            <w:r>
              <w:rPr>
                <w:sz w:val="21"/>
              </w:rPr>
              <w:t>SY/T 5742-2019</w:t>
            </w:r>
            <w:r>
              <w:rPr>
                <w:rFonts w:hint="eastAsia"/>
                <w:sz w:val="21"/>
              </w:rPr>
              <w:t>）</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6.4</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硫化氢防护技术培训证受训人员：</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机关管理人员：生产经营单位及上级机关负责生产、技术和安全的管理人员。</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基层管理人员：基层队的基层管理、监督人员。</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基层人员：从事岗位操作的现场人员。</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设计人员：从事采油采气等设计人员。</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w:t>
            </w:r>
            <w:r>
              <w:rPr>
                <w:sz w:val="21"/>
              </w:rPr>
              <w:t>硫化氢防护安全培训规范</w:t>
            </w:r>
            <w:r>
              <w:rPr>
                <w:rFonts w:hint="eastAsia"/>
                <w:sz w:val="21"/>
              </w:rPr>
              <w:t>》</w:t>
            </w:r>
          </w:p>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w:t>
            </w:r>
            <w:r>
              <w:rPr>
                <w:sz w:val="21"/>
              </w:rPr>
              <w:t>SY/T 7356</w:t>
            </w:r>
            <w:r>
              <w:rPr>
                <w:rFonts w:hint="eastAsia"/>
                <w:sz w:val="21"/>
              </w:rPr>
              <w:t>-2017</w:t>
            </w:r>
            <w:r>
              <w:rPr>
                <w:rFonts w:hint="eastAsia"/>
                <w:sz w:val="21"/>
              </w:rPr>
              <w:t>）</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7</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依法参加工伤保险，为从业人员缴纳保险费</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7.1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用人单位应当规定参加工伤保险，为本单位全部职工或者雇工缴纳工伤保险费。</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《工伤保险条例》第二条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7.2</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高危行业领域的生产经营单位应当投保安全生产责任保险。</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《安全生产责任保险实施办法》第六条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8</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制定防治职业危害的具体措施，并为从业人员配备符合国家标准或者行业标准的劳动防护用品</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blPrEx>
          <w:tblCellMar>
            <w:top w:w="0" w:type="dxa"/>
            <w:bottom w:w="0" w:type="dxa"/>
          </w:tblCellMar>
        </w:tblPrEx>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8.</w:t>
            </w:r>
            <w:r>
              <w:rPr>
                <w:rFonts w:hint="eastAsia"/>
                <w:sz w:val="21"/>
              </w:rPr>
              <w:t>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《山东省安全生产条例》第二十五条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符合</w:t>
            </w:r>
          </w:p>
        </w:tc>
      </w:tr>
      <w:tr w:rsidR="00F95F9B">
        <w:trPr>
          <w:trHeight w:val="203"/>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9</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新建、改建、扩建工程项目依法进行安全评价，其安全设施经验收合格。</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rPr>
          <w:trHeight w:val="203"/>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9.1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生产经营单位新建、改建、扩建工程项目（以下统称建设项目）的安全设施，必须与主体工程同时设计、同时施工、同时投入生产和使用。安全设施投资应当纳入建设项目概算。</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《安全生产法》第三十一条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trHeight w:val="203"/>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9</w:t>
            </w:r>
            <w:r>
              <w:rPr>
                <w:sz w:val="21"/>
              </w:rPr>
              <w:t>.2</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矿山、金属冶炼建设项目和用于生产、储存、装卸危险物品的建设项目，应当按照国家有关规定</w:t>
            </w:r>
            <w:r>
              <w:rPr>
                <w:sz w:val="21"/>
              </w:rPr>
              <w:lastRenderedPageBreak/>
              <w:t>进行安全评价。</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lastRenderedPageBreak/>
              <w:t>《安全生产法》第三十二条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trHeight w:val="203"/>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rFonts w:hint="eastAsia"/>
                <w:sz w:val="21"/>
              </w:rPr>
              <w:t>9</w:t>
            </w:r>
            <w:r>
              <w:rPr>
                <w:sz w:val="21"/>
              </w:rPr>
              <w:t>.3</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《安全生产法》第三十四条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10</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危险性较大的设备、设施按照国家有关规定进行定期检测检验。</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10.1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《安全生产法》第三十七条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10.2</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特种设备使用单位应当按照安全技术规范的要求，在检验合格有效期届满前一个月向特种设备检验机构提出定期检验要求。未经定期检验或者检验不合格的特种设备，不得继续使用。</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《特种设备安全法》第四十条</w:t>
            </w:r>
          </w:p>
          <w:p w:rsidR="00F95F9B" w:rsidRDefault="00F95F9B">
            <w:pPr>
              <w:widowControl w:val="0"/>
              <w:shd w:val="clear" w:color="auto" w:fill="FFFFFF" w:themeFill="background1"/>
              <w:adjustRightInd w:val="0"/>
              <w:snapToGrid w:val="0"/>
              <w:spacing w:line="240" w:lineRule="auto"/>
              <w:ind w:firstLineChars="0" w:firstLine="0"/>
              <w:jc w:val="center"/>
              <w:rPr>
                <w:b/>
                <w:sz w:val="21"/>
              </w:rPr>
            </w:pP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11</w:t>
            </w:r>
          </w:p>
        </w:tc>
        <w:tc>
          <w:tcPr>
            <w:tcW w:w="7436" w:type="dxa"/>
            <w:gridSpan w:val="3"/>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left"/>
              <w:rPr>
                <w:b/>
                <w:sz w:val="21"/>
              </w:rPr>
            </w:pPr>
            <w:r>
              <w:rPr>
                <w:b/>
                <w:sz w:val="21"/>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b/>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11.1</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危险物品的生产、经营、储存单位以及矿山、金属冶炼、城市轨道交通运营、建筑施工单位应当建立应急救援组织；生产经营规模较小的，可以不建立应急救援组织，但应当指定兼职的应急救援人员。</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危险物品的生产、经营、储存、运输单位以及矿山、金属冶炼、城市轨道交通运营、建筑施工单位应当配备必要的应急救援器材、设备和物资，并进行经常性维护、保养，保证正常运转。</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《安全生产法》第八十二条</w:t>
            </w:r>
          </w:p>
          <w:p w:rsidR="00F95F9B" w:rsidRDefault="00F95F9B">
            <w:pPr>
              <w:widowControl w:val="0"/>
              <w:shd w:val="clear" w:color="auto" w:fill="FFFFFF" w:themeFill="background1"/>
              <w:adjustRightInd w:val="0"/>
              <w:snapToGrid w:val="0"/>
              <w:spacing w:line="240" w:lineRule="auto"/>
              <w:ind w:firstLineChars="0" w:firstLine="0"/>
              <w:jc w:val="center"/>
              <w:rPr>
                <w:b/>
                <w:sz w:val="21"/>
              </w:rPr>
            </w:pP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11.2</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特种设备使用单位应当制定特种设备事故应急专项预案，并定期进行应急演练。</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《特种设备安全法》</w:t>
            </w:r>
          </w:p>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第六十九条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11.3</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易燃易爆物品、危险化学品等危险物品的生产、经营、储存、运输单位，矿山、金属冶炼、城市轨道交通运营、建筑施工单位，以及宾馆、商场、娱乐场所、旅游景区等人员密集场所经营单位，应当在应急预案公布之日起</w:t>
            </w:r>
            <w:r>
              <w:rPr>
                <w:sz w:val="21"/>
              </w:rPr>
              <w:t>20</w:t>
            </w:r>
            <w:r>
              <w:rPr>
                <w:sz w:val="21"/>
              </w:rPr>
              <w:t>个工作日内，按照分级属地原则，向县级以上人民政府应急管理部门和其他负有安全生产监督管理职责的部门进行备案，并依法向社会公布。</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前款所列单位属于中央企业的，其总部（上市公司）的应急预案，报国务院主管的负有安全生产监督管理职责的部门备案，并抄送应急管理部；</w:t>
            </w:r>
            <w:r>
              <w:rPr>
                <w:sz w:val="21"/>
              </w:rPr>
              <w:lastRenderedPageBreak/>
              <w:t>其所属单位的应急预案报所在地的省、自治区、直辖市或者设区的市级人民政府主管的负有安全生产监督管理职责的部门备案，并抄送同级人民政府应急管理部门。</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lastRenderedPageBreak/>
              <w:t>《生产安全事故应急预案管理办法》第二十六条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11.4</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高危生产经营单位和人员密集场所经营单位应当每半年至少组织一次综合或者专项应急救援预案演练，每两年对所有专项应急救援预案至少组织一次演练，每半年对所有现场处置方案至少组织一次演练。</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《山东省安全生产条例》第六十三条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r w:rsidR="00F95F9B">
        <w:trPr>
          <w:jc w:val="center"/>
        </w:trPr>
        <w:tc>
          <w:tcPr>
            <w:tcW w:w="923"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sz w:val="21"/>
              </w:rPr>
            </w:pPr>
            <w:r>
              <w:rPr>
                <w:sz w:val="21"/>
              </w:rPr>
              <w:t>11.5</w:t>
            </w:r>
          </w:p>
        </w:tc>
        <w:tc>
          <w:tcPr>
            <w:tcW w:w="4601" w:type="dxa"/>
            <w:gridSpan w:val="2"/>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 xml:space="preserve">　</w:t>
            </w:r>
          </w:p>
          <w:p w:rsidR="00F95F9B" w:rsidRDefault="00000000">
            <w:pPr>
              <w:widowControl w:val="0"/>
              <w:shd w:val="clear" w:color="auto" w:fill="FFFFFF" w:themeFill="background1"/>
              <w:adjustRightInd w:val="0"/>
              <w:snapToGrid w:val="0"/>
              <w:spacing w:line="240" w:lineRule="auto"/>
              <w:ind w:firstLineChars="0" w:firstLine="0"/>
              <w:rPr>
                <w:sz w:val="21"/>
              </w:rPr>
            </w:pPr>
            <w:r>
              <w:rPr>
                <w:sz w:val="21"/>
              </w:rPr>
              <w:t>高危和人员密集单位应当每半年至少组织</w:t>
            </w:r>
            <w:r>
              <w:rPr>
                <w:sz w:val="21"/>
              </w:rPr>
              <w:t>1</w:t>
            </w:r>
            <w:r>
              <w:rPr>
                <w:sz w:val="21"/>
              </w:rPr>
              <w:t>次综合或者专项应急预案演练，每</w:t>
            </w:r>
            <w:r>
              <w:rPr>
                <w:sz w:val="21"/>
              </w:rPr>
              <w:t>2</w:t>
            </w:r>
            <w:r>
              <w:rPr>
                <w:sz w:val="21"/>
              </w:rPr>
              <w:t>年对所有专项应急预案至少组织</w:t>
            </w:r>
            <w:r>
              <w:rPr>
                <w:sz w:val="21"/>
              </w:rPr>
              <w:t>1</w:t>
            </w:r>
            <w:r>
              <w:rPr>
                <w:sz w:val="21"/>
              </w:rPr>
              <w:t>次演练，每半年对所有现场处置方案至少组织</w:t>
            </w:r>
            <w:r>
              <w:rPr>
                <w:sz w:val="21"/>
              </w:rPr>
              <w:t>1</w:t>
            </w:r>
            <w:r>
              <w:rPr>
                <w:sz w:val="21"/>
              </w:rPr>
              <w:t>次演练。</w:t>
            </w:r>
          </w:p>
        </w:tc>
        <w:tc>
          <w:tcPr>
            <w:tcW w:w="2835"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《山东省生产安全事故应急办法》第十三条</w:t>
            </w:r>
          </w:p>
        </w:tc>
        <w:tc>
          <w:tcPr>
            <w:tcW w:w="764" w:type="dxa"/>
            <w:tcBorders>
              <w:tl2br w:val="nil"/>
              <w:tr2bl w:val="nil"/>
            </w:tcBorders>
            <w:vAlign w:val="center"/>
          </w:tcPr>
          <w:p w:rsidR="00F95F9B" w:rsidRDefault="00000000">
            <w:pPr>
              <w:widowControl w:val="0"/>
              <w:shd w:val="clear" w:color="auto" w:fill="FFFFFF" w:themeFill="background1"/>
              <w:adjustRightInd w:val="0"/>
              <w:snapToGrid w:val="0"/>
              <w:spacing w:line="240" w:lineRule="auto"/>
              <w:ind w:firstLineChars="0" w:firstLine="0"/>
              <w:jc w:val="center"/>
              <w:rPr>
                <w:b/>
                <w:sz w:val="21"/>
              </w:rPr>
            </w:pPr>
            <w:r>
              <w:rPr>
                <w:sz w:val="21"/>
              </w:rPr>
              <w:t>符合</w:t>
            </w:r>
          </w:p>
        </w:tc>
      </w:tr>
    </w:tbl>
    <w:p w:rsidR="00F95F9B" w:rsidRDefault="00000000">
      <w:pPr>
        <w:widowControl w:val="0"/>
        <w:numPr>
          <w:ilvl w:val="2"/>
          <w:numId w:val="1"/>
        </w:numPr>
        <w:shd w:val="clear" w:color="auto" w:fill="FFFFFF" w:themeFill="background1"/>
        <w:ind w:left="0" w:firstLineChars="0" w:firstLine="200"/>
        <w:outlineLvl w:val="2"/>
        <w:rPr>
          <w:rFonts w:eastAsia="黑体"/>
          <w:bCs/>
          <w:szCs w:val="32"/>
        </w:rPr>
      </w:pPr>
      <w:r>
        <w:rPr>
          <w:rFonts w:eastAsia="黑体" w:hint="eastAsia"/>
          <w:bCs/>
          <w:szCs w:val="32"/>
        </w:rPr>
        <w:t>重大安全风险隐患分析</w:t>
      </w:r>
    </w:p>
    <w:p w:rsidR="00F95F9B" w:rsidRDefault="00000000">
      <w:pPr>
        <w:widowControl w:val="0"/>
        <w:shd w:val="clear" w:color="auto" w:fill="FFFFFF" w:themeFill="background1"/>
        <w:adjustRightInd w:val="0"/>
        <w:snapToGrid w:val="0"/>
        <w:ind w:firstLine="470"/>
      </w:pPr>
      <w:r>
        <w:t>根据《重点行业领域重大安全风险隐患清单》（鲁安发</w:t>
      </w:r>
      <w:r>
        <w:t>[2022]11</w:t>
      </w:r>
      <w:r>
        <w:t>号），对</w:t>
      </w:r>
      <w:r>
        <w:rPr>
          <w:rFonts w:hint="eastAsia"/>
        </w:rPr>
        <w:t>鲁明公司安全生产及管理现状</w:t>
      </w:r>
      <w:r>
        <w:t>是否涉及重大安全风险隐患判定情况如下：</w:t>
      </w:r>
    </w:p>
    <w:p w:rsidR="00F95F9B" w:rsidRDefault="00000000">
      <w:pPr>
        <w:widowControl w:val="0"/>
        <w:shd w:val="clear" w:color="auto" w:fill="FFFFFF" w:themeFill="background1"/>
        <w:autoSpaceDE w:val="0"/>
        <w:autoSpaceDN w:val="0"/>
        <w:adjustRightInd w:val="0"/>
        <w:snapToGrid w:val="0"/>
        <w:spacing w:line="240" w:lineRule="auto"/>
        <w:ind w:firstLineChars="0" w:firstLine="0"/>
        <w:jc w:val="center"/>
        <w:rPr>
          <w:rFonts w:eastAsia="黑体"/>
          <w:sz w:val="21"/>
        </w:rPr>
      </w:pPr>
      <w:r>
        <w:rPr>
          <w:rFonts w:eastAsia="黑体"/>
          <w:sz w:val="21"/>
        </w:rPr>
        <w:t>表</w:t>
      </w:r>
      <w:r>
        <w:rPr>
          <w:rFonts w:eastAsia="黑体"/>
          <w:sz w:val="21"/>
        </w:rPr>
        <w:t>6.3-</w:t>
      </w:r>
      <w:r>
        <w:rPr>
          <w:rFonts w:eastAsia="黑体" w:hint="eastAsia"/>
          <w:sz w:val="21"/>
        </w:rPr>
        <w:t>2</w:t>
      </w:r>
      <w:r>
        <w:rPr>
          <w:rFonts w:eastAsia="黑体"/>
          <w:sz w:val="21"/>
        </w:rPr>
        <w:t xml:space="preserve">  </w:t>
      </w:r>
      <w:r>
        <w:rPr>
          <w:rFonts w:eastAsia="黑体"/>
          <w:sz w:val="21"/>
        </w:rPr>
        <w:t>重大安全风险隐患判定表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27"/>
        <w:gridCol w:w="5371"/>
        <w:gridCol w:w="3057"/>
      </w:tblGrid>
      <w:tr w:rsidR="00F95F9B">
        <w:trPr>
          <w:tblHeader/>
        </w:trPr>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
                <w:snapToGrid w:val="0"/>
                <w:sz w:val="21"/>
              </w:rPr>
            </w:pPr>
            <w:r>
              <w:rPr>
                <w:b/>
                <w:snapToGrid w:val="0"/>
                <w:sz w:val="21"/>
              </w:rPr>
              <w:t>序号</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jc w:val="center"/>
              <w:rPr>
                <w:b/>
                <w:snapToGrid w:val="0"/>
                <w:sz w:val="21"/>
              </w:rPr>
            </w:pPr>
            <w:r>
              <w:rPr>
                <w:b/>
                <w:snapToGrid w:val="0"/>
                <w:sz w:val="21"/>
              </w:rPr>
              <w:t>重大安全风险隐患判定标准</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jc w:val="center"/>
              <w:rPr>
                <w:b/>
                <w:snapToGrid w:val="0"/>
                <w:sz w:val="21"/>
              </w:rPr>
            </w:pPr>
            <w:r>
              <w:rPr>
                <w:b/>
                <w:snapToGrid w:val="0"/>
                <w:sz w:val="21"/>
              </w:rPr>
              <w:t>实际情况</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sz w:val="21"/>
              </w:rPr>
            </w:pPr>
            <w:r>
              <w:rPr>
                <w:b/>
                <w:snapToGrid w:val="0"/>
                <w:sz w:val="21"/>
              </w:rPr>
              <w:t>主要负责人和安全生产管理人员安全风险隐患：</w:t>
            </w:r>
            <w:r>
              <w:rPr>
                <w:bCs/>
                <w:snapToGrid w:val="0"/>
                <w:sz w:val="21"/>
              </w:rPr>
              <w:t>未按要求配备主要负责人和安全生产管理人员，或者主要负责人和安全生产管理人员未依法经考核合格。</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企业已按照要求配备有主要负责人、</w:t>
            </w:r>
            <w:r>
              <w:rPr>
                <w:rFonts w:hint="eastAsia"/>
                <w:kern w:val="0"/>
                <w:sz w:val="21"/>
              </w:rPr>
              <w:t>安全分管负责人</w:t>
            </w:r>
            <w:r>
              <w:rPr>
                <w:kern w:val="0"/>
                <w:sz w:val="21"/>
              </w:rPr>
              <w:t>和专职安全生产管理人员</w:t>
            </w:r>
            <w:r>
              <w:rPr>
                <w:rFonts w:hint="eastAsia"/>
                <w:kern w:val="0"/>
                <w:sz w:val="21"/>
              </w:rPr>
              <w:t>31</w:t>
            </w:r>
            <w:r>
              <w:rPr>
                <w:kern w:val="0"/>
                <w:sz w:val="21"/>
              </w:rPr>
              <w:t>名，专职安全生产管理人员已取得安全合格证</w:t>
            </w:r>
            <w:r>
              <w:rPr>
                <w:rFonts w:hint="eastAsia"/>
                <w:kern w:val="0"/>
                <w:sz w:val="21"/>
              </w:rPr>
              <w:t>，</w:t>
            </w:r>
            <w:r>
              <w:rPr>
                <w:b/>
                <w:bCs/>
                <w:kern w:val="0"/>
                <w:sz w:val="21"/>
              </w:rPr>
              <w:t>符合要求。</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技术管理机构安全风险隐患：</w:t>
            </w:r>
            <w:r>
              <w:rPr>
                <w:bCs/>
                <w:snapToGrid w:val="0"/>
                <w:kern w:val="0"/>
                <w:sz w:val="21"/>
              </w:rPr>
              <w:t>未按规定设立管理机构，或者管理机构未足额配备相关专业专职技术人员。</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rFonts w:hint="eastAsia"/>
                <w:kern w:val="0"/>
                <w:sz w:val="21"/>
              </w:rPr>
              <w:t>设立技术管理部，并</w:t>
            </w:r>
            <w:r>
              <w:rPr>
                <w:bCs/>
                <w:snapToGrid w:val="0"/>
                <w:kern w:val="0"/>
                <w:sz w:val="21"/>
              </w:rPr>
              <w:t>足额配备相关专业专职技术人员。</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3</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从业人员安全风险隐患：</w:t>
            </w:r>
            <w:r>
              <w:rPr>
                <w:bCs/>
                <w:snapToGrid w:val="0"/>
                <w:kern w:val="0"/>
                <w:sz w:val="21"/>
              </w:rPr>
              <w:t>从业人员未经安全培训合格，特种作业人员未持证上岗。</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rFonts w:hint="eastAsia"/>
                <w:kern w:val="0"/>
                <w:sz w:val="21"/>
              </w:rPr>
              <w:t>每年对</w:t>
            </w:r>
            <w:r>
              <w:rPr>
                <w:kern w:val="0"/>
                <w:sz w:val="21"/>
              </w:rPr>
              <w:t>从业人员</w:t>
            </w:r>
            <w:r>
              <w:rPr>
                <w:rFonts w:hint="eastAsia"/>
                <w:kern w:val="0"/>
                <w:sz w:val="21"/>
              </w:rPr>
              <w:t>再培训</w:t>
            </w:r>
            <w:r>
              <w:rPr>
                <w:kern w:val="0"/>
                <w:sz w:val="21"/>
              </w:rPr>
              <w:t>，</w:t>
            </w:r>
            <w:r>
              <w:rPr>
                <w:rFonts w:hint="eastAsia"/>
                <w:kern w:val="0"/>
                <w:sz w:val="21"/>
              </w:rPr>
              <w:t>不涉及</w:t>
            </w:r>
            <w:r>
              <w:rPr>
                <w:bCs/>
                <w:snapToGrid w:val="0"/>
                <w:kern w:val="0"/>
                <w:sz w:val="21"/>
              </w:rPr>
              <w:t>特种作业人员。</w:t>
            </w:r>
            <w:r>
              <w:rPr>
                <w:b/>
                <w:snapToGrid w:val="0"/>
                <w:kern w:val="0"/>
                <w:sz w:val="21"/>
              </w:rPr>
              <w:t>符合要求。</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4</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责任制度安全风险隐患：</w:t>
            </w:r>
            <w:r>
              <w:rPr>
                <w:bCs/>
                <w:snapToGrid w:val="0"/>
                <w:kern w:val="0"/>
                <w:sz w:val="21"/>
              </w:rPr>
              <w:t>未建立与岗位相匹配的全员安全生产责任制或者未制定实施生产安全事故隐患排查治理制度。</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已建立</w:t>
            </w:r>
            <w:r>
              <w:rPr>
                <w:bCs/>
                <w:snapToGrid w:val="0"/>
                <w:kern w:val="0"/>
                <w:sz w:val="21"/>
              </w:rPr>
              <w:t>与岗位相匹配的全员安全生产责任制，制定隐患排查治理</w:t>
            </w:r>
            <w:r>
              <w:rPr>
                <w:rFonts w:hint="eastAsia"/>
                <w:bCs/>
                <w:snapToGrid w:val="0"/>
                <w:kern w:val="0"/>
                <w:sz w:val="21"/>
              </w:rPr>
              <w:t>相关</w:t>
            </w:r>
            <w:r>
              <w:rPr>
                <w:bCs/>
                <w:snapToGrid w:val="0"/>
                <w:kern w:val="0"/>
                <w:sz w:val="21"/>
              </w:rPr>
              <w:t>制度。</w:t>
            </w:r>
            <w:r>
              <w:rPr>
                <w:b/>
                <w:snapToGrid w:val="0"/>
                <w:kern w:val="0"/>
                <w:sz w:val="21"/>
              </w:rPr>
              <w:t>符合要求。</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5</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操作规程安全风险隐患：</w:t>
            </w:r>
            <w:r>
              <w:rPr>
                <w:bCs/>
                <w:snapToGrid w:val="0"/>
                <w:kern w:val="0"/>
                <w:sz w:val="21"/>
              </w:rPr>
              <w:t>未制定实施与岗位相匹配的操作规程。</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rFonts w:hint="eastAsia"/>
                <w:kern w:val="0"/>
                <w:sz w:val="21"/>
              </w:rPr>
              <w:t>执行油田</w:t>
            </w:r>
            <w:r>
              <w:rPr>
                <w:kern w:val="0"/>
                <w:sz w:val="21"/>
              </w:rPr>
              <w:t>制定</w:t>
            </w:r>
            <w:r>
              <w:rPr>
                <w:rFonts w:hint="eastAsia"/>
                <w:kern w:val="0"/>
                <w:sz w:val="21"/>
              </w:rPr>
              <w:t>的</w:t>
            </w:r>
            <w:r>
              <w:rPr>
                <w:kern w:val="0"/>
                <w:sz w:val="21"/>
              </w:rPr>
              <w:t>与岗位相匹配的操作规程。</w:t>
            </w:r>
            <w:r>
              <w:rPr>
                <w:b/>
                <w:bCs/>
                <w:kern w:val="0"/>
                <w:sz w:val="21"/>
              </w:rPr>
              <w:t>符合要求。</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6</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w:t>
            </w:r>
            <w:r>
              <w:rPr>
                <w:b/>
                <w:snapToGrid w:val="0"/>
                <w:kern w:val="0"/>
                <w:sz w:val="21"/>
              </w:rPr>
              <w:t>三同时</w:t>
            </w:r>
            <w:r>
              <w:rPr>
                <w:b/>
                <w:snapToGrid w:val="0"/>
                <w:kern w:val="0"/>
                <w:sz w:val="21"/>
              </w:rPr>
              <w:t>”</w:t>
            </w:r>
            <w:r>
              <w:rPr>
                <w:b/>
                <w:snapToGrid w:val="0"/>
                <w:kern w:val="0"/>
                <w:sz w:val="21"/>
              </w:rPr>
              <w:t>安全风险隐患：</w:t>
            </w:r>
            <w:r>
              <w:rPr>
                <w:bCs/>
                <w:snapToGrid w:val="0"/>
                <w:kern w:val="0"/>
                <w:sz w:val="21"/>
              </w:rPr>
              <w:t>不严格履行建设项目安全设施</w:t>
            </w:r>
            <w:r>
              <w:rPr>
                <w:bCs/>
                <w:snapToGrid w:val="0"/>
                <w:kern w:val="0"/>
                <w:sz w:val="21"/>
              </w:rPr>
              <w:t>“</w:t>
            </w:r>
            <w:r>
              <w:rPr>
                <w:bCs/>
                <w:snapToGrid w:val="0"/>
                <w:kern w:val="0"/>
                <w:sz w:val="21"/>
              </w:rPr>
              <w:t>三同时</w:t>
            </w:r>
            <w:r>
              <w:rPr>
                <w:bCs/>
                <w:snapToGrid w:val="0"/>
                <w:kern w:val="0"/>
                <w:sz w:val="21"/>
              </w:rPr>
              <w:t>”</w:t>
            </w:r>
            <w:r>
              <w:rPr>
                <w:bCs/>
                <w:snapToGrid w:val="0"/>
                <w:kern w:val="0"/>
                <w:sz w:val="21"/>
              </w:rPr>
              <w:t>制度，不按批准的安全设施设计建设、生产，安全生产许可证有效期满未办理延期手续。</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bCs/>
                <w:snapToGrid w:val="0"/>
                <w:kern w:val="0"/>
                <w:sz w:val="21"/>
              </w:rPr>
              <w:t>严格履行建设项目安全设施</w:t>
            </w:r>
            <w:r>
              <w:rPr>
                <w:bCs/>
                <w:snapToGrid w:val="0"/>
                <w:kern w:val="0"/>
                <w:sz w:val="21"/>
              </w:rPr>
              <w:t>“</w:t>
            </w:r>
            <w:r>
              <w:rPr>
                <w:bCs/>
                <w:snapToGrid w:val="0"/>
                <w:kern w:val="0"/>
                <w:sz w:val="21"/>
              </w:rPr>
              <w:t>三同时</w:t>
            </w:r>
            <w:r>
              <w:rPr>
                <w:bCs/>
                <w:snapToGrid w:val="0"/>
                <w:kern w:val="0"/>
                <w:sz w:val="21"/>
              </w:rPr>
              <w:t>”</w:t>
            </w:r>
            <w:r>
              <w:rPr>
                <w:rFonts w:hint="eastAsia"/>
                <w:bCs/>
                <w:snapToGrid w:val="0"/>
                <w:kern w:val="0"/>
                <w:sz w:val="21"/>
              </w:rPr>
              <w:t>的相关</w:t>
            </w:r>
            <w:r>
              <w:rPr>
                <w:bCs/>
                <w:snapToGrid w:val="0"/>
                <w:kern w:val="0"/>
                <w:sz w:val="21"/>
              </w:rPr>
              <w:t>制度</w:t>
            </w:r>
            <w:r>
              <w:rPr>
                <w:rFonts w:hint="eastAsia"/>
                <w:bCs/>
                <w:snapToGrid w:val="0"/>
                <w:kern w:val="0"/>
                <w:sz w:val="21"/>
              </w:rPr>
              <w:t>。</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7</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整合矿山安全风险隐患：</w:t>
            </w:r>
            <w:r>
              <w:rPr>
                <w:bCs/>
                <w:snapToGrid w:val="0"/>
                <w:kern w:val="0"/>
                <w:sz w:val="21"/>
              </w:rPr>
              <w:t>整合后的矿山管理不规范，纳入整合的生产系统仍然</w:t>
            </w:r>
            <w:r>
              <w:rPr>
                <w:bCs/>
                <w:snapToGrid w:val="0"/>
                <w:kern w:val="0"/>
                <w:sz w:val="21"/>
              </w:rPr>
              <w:t>“</w:t>
            </w:r>
            <w:r>
              <w:rPr>
                <w:bCs/>
                <w:snapToGrid w:val="0"/>
                <w:kern w:val="0"/>
                <w:sz w:val="21"/>
              </w:rPr>
              <w:t>各自为政</w:t>
            </w:r>
            <w:r>
              <w:rPr>
                <w:bCs/>
                <w:snapToGrid w:val="0"/>
                <w:kern w:val="0"/>
                <w:sz w:val="21"/>
              </w:rPr>
              <w:t>”</w:t>
            </w:r>
            <w:r>
              <w:rPr>
                <w:bCs/>
                <w:snapToGrid w:val="0"/>
                <w:kern w:val="0"/>
                <w:sz w:val="21"/>
              </w:rPr>
              <w:t>。</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8</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基建矿山安全风险隐患：</w:t>
            </w:r>
            <w:r>
              <w:rPr>
                <w:bCs/>
                <w:snapToGrid w:val="0"/>
                <w:kern w:val="0"/>
                <w:sz w:val="21"/>
              </w:rPr>
              <w:t>未按规定合理编制基建工程进度计划，未明确优先贯通安全出口和尽快形成主要供电、通风、排水系统的要求。竖井、斜井、斜坡道等施工到底后，未按规定集中在一个中段贯通。</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lastRenderedPageBreak/>
              <w:t>9</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停产停建矿山安全风险隐患：</w:t>
            </w:r>
            <w:r>
              <w:rPr>
                <w:bCs/>
                <w:snapToGrid w:val="0"/>
                <w:kern w:val="0"/>
                <w:sz w:val="21"/>
              </w:rPr>
              <w:t>未制定落实停产停建期间安全风险管控措施，或者以设备调试、检修和设施维修等为由组织建设或生产。</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10</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
                <w:snapToGrid w:val="0"/>
                <w:kern w:val="0"/>
                <w:sz w:val="21"/>
              </w:rPr>
            </w:pPr>
            <w:r>
              <w:rPr>
                <w:b/>
                <w:snapToGrid w:val="0"/>
                <w:kern w:val="0"/>
                <w:sz w:val="21"/>
              </w:rPr>
              <w:t>动火作业安全风险隐患：</w:t>
            </w:r>
            <w:r>
              <w:rPr>
                <w:bCs/>
                <w:snapToGrid w:val="0"/>
                <w:kern w:val="0"/>
                <w:sz w:val="21"/>
              </w:rPr>
              <w:t>未按照要求制定动火作业管理和审批制度，或者制度未有效执行。</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按照要求制定</w:t>
            </w:r>
            <w:r>
              <w:rPr>
                <w:rFonts w:hint="eastAsia"/>
                <w:kern w:val="0"/>
                <w:sz w:val="21"/>
              </w:rPr>
              <w:t>并执行</w:t>
            </w:r>
            <w:r>
              <w:rPr>
                <w:kern w:val="0"/>
                <w:sz w:val="21"/>
              </w:rPr>
              <w:t>动火作业管理和审批</w:t>
            </w:r>
            <w:r>
              <w:rPr>
                <w:rFonts w:hint="eastAsia"/>
                <w:kern w:val="0"/>
                <w:sz w:val="21"/>
              </w:rPr>
              <w:t>相关</w:t>
            </w:r>
            <w:r>
              <w:rPr>
                <w:kern w:val="0"/>
                <w:sz w:val="21"/>
              </w:rPr>
              <w:t>制度</w:t>
            </w:r>
            <w:r>
              <w:rPr>
                <w:rFonts w:hint="eastAsia"/>
                <w:kern w:val="0"/>
                <w:sz w:val="21"/>
              </w:rPr>
              <w:t>。</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11</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
                <w:snapToGrid w:val="0"/>
                <w:kern w:val="0"/>
                <w:sz w:val="21"/>
              </w:rPr>
            </w:pPr>
            <w:r>
              <w:rPr>
                <w:b/>
                <w:snapToGrid w:val="0"/>
                <w:kern w:val="0"/>
                <w:sz w:val="21"/>
              </w:rPr>
              <w:t>图纸管理安全风险隐患：</w:t>
            </w:r>
            <w:r>
              <w:rPr>
                <w:bCs/>
                <w:snapToGrid w:val="0"/>
                <w:kern w:val="0"/>
                <w:sz w:val="21"/>
              </w:rPr>
              <w:t>未及时填绘图纸，或者现状图与实际严重不符。</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bCs/>
                <w:snapToGrid w:val="0"/>
                <w:kern w:val="0"/>
                <w:sz w:val="21"/>
              </w:rPr>
              <w:t>现状图与实际</w:t>
            </w:r>
            <w:r>
              <w:rPr>
                <w:rFonts w:hint="eastAsia"/>
                <w:bCs/>
                <w:snapToGrid w:val="0"/>
                <w:kern w:val="0"/>
                <w:sz w:val="21"/>
              </w:rPr>
              <w:t>相符。</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12</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应急预案安全风险隐患：</w:t>
            </w:r>
            <w:r>
              <w:rPr>
                <w:bCs/>
                <w:snapToGrid w:val="0"/>
                <w:kern w:val="0"/>
                <w:sz w:val="21"/>
              </w:rPr>
              <w:t>未按要求编制符合实际的综</w:t>
            </w:r>
            <w:r>
              <w:rPr>
                <w:bCs/>
                <w:snapToGrid w:val="0"/>
                <w:kern w:val="0"/>
                <w:sz w:val="21"/>
              </w:rPr>
              <w:t xml:space="preserve"> </w:t>
            </w:r>
            <w:r>
              <w:rPr>
                <w:bCs/>
                <w:snapToGrid w:val="0"/>
                <w:kern w:val="0"/>
                <w:sz w:val="21"/>
              </w:rPr>
              <w:t>合应急预案、专项应急预案和现场处置方案，或者预案未进行评审、公布、备案。</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已编制应急预案并在东营</w:t>
            </w:r>
            <w:r>
              <w:rPr>
                <w:rFonts w:hint="eastAsia"/>
                <w:kern w:val="0"/>
                <w:sz w:val="21"/>
              </w:rPr>
              <w:t>区</w:t>
            </w:r>
            <w:r>
              <w:rPr>
                <w:kern w:val="0"/>
                <w:sz w:val="21"/>
              </w:rPr>
              <w:t>应急管理</w:t>
            </w:r>
            <w:r>
              <w:rPr>
                <w:rFonts w:hint="eastAsia"/>
                <w:kern w:val="0"/>
                <w:sz w:val="21"/>
              </w:rPr>
              <w:t>局</w:t>
            </w:r>
            <w:r>
              <w:rPr>
                <w:kern w:val="0"/>
                <w:sz w:val="21"/>
              </w:rPr>
              <w:t>备案。</w:t>
            </w:r>
            <w:r>
              <w:rPr>
                <w:b/>
                <w:bCs/>
                <w:kern w:val="0"/>
                <w:sz w:val="21"/>
              </w:rPr>
              <w:t>符合要求。</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13</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
                <w:snapToGrid w:val="0"/>
                <w:kern w:val="0"/>
                <w:sz w:val="21"/>
              </w:rPr>
            </w:pPr>
            <w:r>
              <w:rPr>
                <w:b/>
                <w:snapToGrid w:val="0"/>
                <w:kern w:val="0"/>
                <w:sz w:val="21"/>
              </w:rPr>
              <w:t>应急救援体系安全风险隐患：</w:t>
            </w:r>
            <w:r>
              <w:rPr>
                <w:bCs/>
                <w:snapToGrid w:val="0"/>
                <w:kern w:val="0"/>
                <w:sz w:val="21"/>
              </w:rPr>
              <w:t>未建立应急救援队伍，未按规定定期组织开展应急演练。</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已</w:t>
            </w:r>
            <w:r>
              <w:rPr>
                <w:bCs/>
                <w:snapToGrid w:val="0"/>
                <w:kern w:val="0"/>
                <w:sz w:val="21"/>
              </w:rPr>
              <w:t>建立应急救援队伍，并按规定定期组织开展应急演练。</w:t>
            </w:r>
            <w:r>
              <w:rPr>
                <w:b/>
                <w:bCs/>
                <w:kern w:val="0"/>
                <w:sz w:val="21"/>
              </w:rPr>
              <w:t>符合要求。</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14</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设备检测检验安全风险隐患：</w:t>
            </w:r>
            <w:r>
              <w:rPr>
                <w:bCs/>
                <w:snapToGrid w:val="0"/>
                <w:kern w:val="0"/>
                <w:sz w:val="21"/>
              </w:rPr>
              <w:t>涉及人身安全、危险性较大的设备设施未按照相关规定进行检测检验，或者使用检测检验不合格的设备设施。</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设备设施</w:t>
            </w:r>
            <w:r>
              <w:rPr>
                <w:bCs/>
                <w:snapToGrid w:val="0"/>
                <w:kern w:val="0"/>
                <w:sz w:val="21"/>
              </w:rPr>
              <w:t>按照相关规定进行检测检验。</w:t>
            </w:r>
            <w:r>
              <w:rPr>
                <w:b/>
                <w:bCs/>
                <w:kern w:val="0"/>
                <w:sz w:val="21"/>
              </w:rPr>
              <w:t>符合要求。</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15</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淘汰落后工艺设备安全风险隐患：</w:t>
            </w:r>
            <w:r>
              <w:rPr>
                <w:bCs/>
                <w:snapToGrid w:val="0"/>
                <w:kern w:val="0"/>
                <w:sz w:val="21"/>
              </w:rPr>
              <w:t>使用禁止使用的设备及工艺目录列出的工艺、设备。</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未使用</w:t>
            </w:r>
            <w:r>
              <w:rPr>
                <w:bCs/>
                <w:snapToGrid w:val="0"/>
                <w:kern w:val="0"/>
                <w:sz w:val="21"/>
              </w:rPr>
              <w:t>禁止使用的设备及工艺目录列出的工艺、设备。</w:t>
            </w:r>
            <w:r>
              <w:rPr>
                <w:b/>
                <w:bCs/>
                <w:kern w:val="0"/>
                <w:sz w:val="21"/>
              </w:rPr>
              <w:t>符合要求。</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16</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采空区及周边老窑安全风险隐患：</w:t>
            </w:r>
            <w:r>
              <w:rPr>
                <w:bCs/>
                <w:snapToGrid w:val="0"/>
                <w:kern w:val="0"/>
                <w:sz w:val="21"/>
              </w:rPr>
              <w:t>未查明遗留采空区、悬顶采空区、历史上形成的采空区以及周边废弃矿井（井筒）分布、积水等基本情况，或者未采取有效措施进行治理。</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17</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
                <w:snapToGrid w:val="0"/>
                <w:kern w:val="0"/>
                <w:sz w:val="21"/>
              </w:rPr>
            </w:pPr>
            <w:r>
              <w:rPr>
                <w:b/>
                <w:snapToGrid w:val="0"/>
                <w:kern w:val="0"/>
                <w:sz w:val="21"/>
              </w:rPr>
              <w:t>水文地质安全风险隐患：</w:t>
            </w:r>
            <w:r>
              <w:rPr>
                <w:bCs/>
                <w:snapToGrid w:val="0"/>
                <w:kern w:val="0"/>
                <w:sz w:val="21"/>
              </w:rPr>
              <w:t>未查明地下含水体、地下岩溶、地表水体和地质勘探钻孔、工程施工钻孔、防治水工程有关情况，或者未采取有效措施进行治理。</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18</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地压灾害风险隐患：</w:t>
            </w:r>
            <w:r>
              <w:rPr>
                <w:bCs/>
                <w:snapToGrid w:val="0"/>
                <w:kern w:val="0"/>
                <w:sz w:val="21"/>
              </w:rPr>
              <w:t>未查明矿区主要地质构造、地压活动区域，或者未采取有效措施进行治理。</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19</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火灾安全风险隐患：</w:t>
            </w:r>
            <w:r>
              <w:rPr>
                <w:bCs/>
                <w:snapToGrid w:val="0"/>
                <w:kern w:val="0"/>
                <w:sz w:val="21"/>
              </w:rPr>
              <w:t>未查明矿石自燃倾向性以及井下木支护、油料电缆等非阻燃材料分布和使用情况，或者未采取有效措施进行治理。</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20</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保安矿柱安全风险隐患：</w:t>
            </w:r>
            <w:r>
              <w:rPr>
                <w:bCs/>
                <w:snapToGrid w:val="0"/>
                <w:kern w:val="0"/>
                <w:sz w:val="21"/>
              </w:rPr>
              <w:t>未按规定或设计留设保安矿柱，或者擅自开采保安矿柱。</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21</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排水系统安全风险隐患：</w:t>
            </w:r>
            <w:r>
              <w:rPr>
                <w:bCs/>
                <w:snapToGrid w:val="0"/>
                <w:kern w:val="0"/>
                <w:sz w:val="21"/>
              </w:rPr>
              <w:t>未按照设计和规程要求建立排水系统，或者排水系统不完好、不可靠。</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22</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探放水安全风险隐患：</w:t>
            </w:r>
            <w:r>
              <w:rPr>
                <w:bCs/>
                <w:snapToGrid w:val="0"/>
                <w:kern w:val="0"/>
                <w:sz w:val="21"/>
              </w:rPr>
              <w:t>未制定并落实探放水制度，或者未落实</w:t>
            </w:r>
            <w:r>
              <w:rPr>
                <w:bCs/>
                <w:snapToGrid w:val="0"/>
                <w:kern w:val="0"/>
                <w:sz w:val="21"/>
              </w:rPr>
              <w:t>“</w:t>
            </w:r>
            <w:r>
              <w:rPr>
                <w:bCs/>
                <w:snapToGrid w:val="0"/>
                <w:kern w:val="0"/>
                <w:sz w:val="21"/>
              </w:rPr>
              <w:t>防、堵、疏、排、截</w:t>
            </w:r>
            <w:r>
              <w:rPr>
                <w:bCs/>
                <w:snapToGrid w:val="0"/>
                <w:kern w:val="0"/>
                <w:sz w:val="21"/>
              </w:rPr>
              <w:t>”</w:t>
            </w:r>
            <w:r>
              <w:rPr>
                <w:bCs/>
                <w:snapToGrid w:val="0"/>
                <w:kern w:val="0"/>
                <w:sz w:val="21"/>
              </w:rPr>
              <w:t>和</w:t>
            </w:r>
            <w:r>
              <w:rPr>
                <w:bCs/>
                <w:snapToGrid w:val="0"/>
                <w:kern w:val="0"/>
                <w:sz w:val="21"/>
              </w:rPr>
              <w:t>“</w:t>
            </w:r>
            <w:r>
              <w:rPr>
                <w:bCs/>
                <w:snapToGrid w:val="0"/>
                <w:kern w:val="0"/>
                <w:sz w:val="21"/>
              </w:rPr>
              <w:t>三专两探一撤</w:t>
            </w:r>
            <w:r>
              <w:rPr>
                <w:bCs/>
                <w:snapToGrid w:val="0"/>
                <w:kern w:val="0"/>
                <w:sz w:val="21"/>
              </w:rPr>
              <w:t>”</w:t>
            </w:r>
            <w:r>
              <w:rPr>
                <w:bCs/>
                <w:snapToGrid w:val="0"/>
                <w:kern w:val="0"/>
                <w:sz w:val="21"/>
              </w:rPr>
              <w:t>等措施。</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23</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通风系统安全风险隐患：</w:t>
            </w:r>
            <w:r>
              <w:rPr>
                <w:bCs/>
                <w:snapToGrid w:val="0"/>
                <w:kern w:val="0"/>
                <w:sz w:val="21"/>
              </w:rPr>
              <w:t>未按要求建立机械通风系统、安装通风构筑物。未按规定安装主要通风机和局部通风机，或者风速、风量、风质不符合标准。</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24</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
                <w:snapToGrid w:val="0"/>
                <w:kern w:val="0"/>
                <w:sz w:val="21"/>
              </w:rPr>
            </w:pPr>
            <w:r>
              <w:rPr>
                <w:b/>
                <w:snapToGrid w:val="0"/>
                <w:kern w:val="0"/>
                <w:sz w:val="21"/>
              </w:rPr>
              <w:t>提升系统安全风险隐患：</w:t>
            </w:r>
            <w:r>
              <w:rPr>
                <w:bCs/>
                <w:snapToGrid w:val="0"/>
                <w:kern w:val="0"/>
                <w:sz w:val="21"/>
              </w:rPr>
              <w:t>罐笼、安全门、摇台（托台）、阻车器等未与提升机信号实现连锁，提升信号未与提升机控制闭锁。斜井未按规定设置常闭式防跑车装置、阻车器或挡车栏、躲避硐室、轨道防滑装置等设施。</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25</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
                <w:snapToGrid w:val="0"/>
                <w:kern w:val="0"/>
                <w:sz w:val="21"/>
              </w:rPr>
            </w:pPr>
            <w:r>
              <w:rPr>
                <w:b/>
                <w:snapToGrid w:val="0"/>
                <w:kern w:val="0"/>
                <w:sz w:val="21"/>
              </w:rPr>
              <w:t>露天矿山安全风险隐患：</w:t>
            </w:r>
            <w:r>
              <w:rPr>
                <w:bCs/>
                <w:snapToGrid w:val="0"/>
                <w:kern w:val="0"/>
                <w:sz w:val="21"/>
              </w:rPr>
              <w:t>未按规定采用自上而下、分台阶或者分层的方式进行开采。或者工作帮坡角、台阶（分层）高度等开采参数不符合设计或标准要求。</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lastRenderedPageBreak/>
              <w:t>26</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
                <w:snapToGrid w:val="0"/>
                <w:kern w:val="0"/>
                <w:sz w:val="21"/>
              </w:rPr>
            </w:pPr>
            <w:r>
              <w:rPr>
                <w:b/>
                <w:snapToGrid w:val="0"/>
                <w:kern w:val="0"/>
                <w:sz w:val="21"/>
              </w:rPr>
              <w:t>尾矿库安全风险隐患：</w:t>
            </w:r>
            <w:r>
              <w:rPr>
                <w:bCs/>
                <w:snapToGrid w:val="0"/>
                <w:kern w:val="0"/>
                <w:sz w:val="21"/>
              </w:rPr>
              <w:t>尾矿库坝高、库容、坡比、安全超高、干滩长度、浸润线埋深以及堆积坝上升速率等参数不符合设计或标准要求，未按规定对坝体稳定性进行评估、对排洪系统进行检查。</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27</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应急电源安全风险隐患：</w:t>
            </w:r>
            <w:r>
              <w:rPr>
                <w:bCs/>
                <w:snapToGrid w:val="0"/>
                <w:kern w:val="0"/>
                <w:sz w:val="21"/>
              </w:rPr>
              <w:t>矿山未按规定配备应急电源，一级负荷未按规定采用双回路或双电源供电。</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kern w:val="0"/>
                <w:sz w:val="21"/>
              </w:rPr>
              <w:t>此项不涉及。</w:t>
            </w:r>
          </w:p>
        </w:tc>
      </w:tr>
      <w:tr w:rsidR="00F95F9B">
        <w:tc>
          <w:tcPr>
            <w:tcW w:w="738" w:type="dxa"/>
            <w:vAlign w:val="center"/>
          </w:tcPr>
          <w:p w:rsidR="00F95F9B" w:rsidRDefault="00000000">
            <w:pPr>
              <w:shd w:val="clear" w:color="auto" w:fill="FFFFFF" w:themeFill="background1"/>
              <w:adjustRightInd w:val="0"/>
              <w:snapToGrid w:val="0"/>
              <w:spacing w:line="240" w:lineRule="auto"/>
              <w:ind w:firstLineChars="0" w:firstLine="0"/>
              <w:jc w:val="center"/>
              <w:rPr>
                <w:bCs/>
                <w:snapToGrid w:val="0"/>
                <w:sz w:val="21"/>
              </w:rPr>
            </w:pPr>
            <w:r>
              <w:rPr>
                <w:bCs/>
                <w:snapToGrid w:val="0"/>
                <w:sz w:val="21"/>
              </w:rPr>
              <w:t>28</w:t>
            </w:r>
          </w:p>
        </w:tc>
        <w:tc>
          <w:tcPr>
            <w:tcW w:w="5528" w:type="dxa"/>
            <w:vAlign w:val="center"/>
          </w:tcPr>
          <w:p w:rsidR="00F95F9B" w:rsidRDefault="00000000">
            <w:pPr>
              <w:shd w:val="clear" w:color="auto" w:fill="FFFFFF" w:themeFill="background1"/>
              <w:adjustRightInd w:val="0"/>
              <w:snapToGrid w:val="0"/>
              <w:spacing w:line="240" w:lineRule="auto"/>
              <w:ind w:firstLineChars="0" w:firstLine="0"/>
              <w:rPr>
                <w:bCs/>
                <w:snapToGrid w:val="0"/>
                <w:kern w:val="0"/>
                <w:sz w:val="21"/>
              </w:rPr>
            </w:pPr>
            <w:r>
              <w:rPr>
                <w:b/>
                <w:snapToGrid w:val="0"/>
                <w:kern w:val="0"/>
                <w:sz w:val="21"/>
              </w:rPr>
              <w:t>外包工程安全风险隐患：</w:t>
            </w:r>
            <w:r>
              <w:rPr>
                <w:bCs/>
                <w:snapToGrid w:val="0"/>
                <w:kern w:val="0"/>
                <w:sz w:val="21"/>
              </w:rPr>
              <w:t>外包工程未实行</w:t>
            </w:r>
            <w:r>
              <w:rPr>
                <w:bCs/>
                <w:snapToGrid w:val="0"/>
                <w:kern w:val="0"/>
                <w:sz w:val="21"/>
              </w:rPr>
              <w:t>“</w:t>
            </w:r>
            <w:r>
              <w:rPr>
                <w:bCs/>
                <w:snapToGrid w:val="0"/>
                <w:kern w:val="0"/>
                <w:sz w:val="21"/>
              </w:rPr>
              <w:t>五统一</w:t>
            </w:r>
            <w:r>
              <w:rPr>
                <w:bCs/>
                <w:snapToGrid w:val="0"/>
                <w:kern w:val="0"/>
                <w:sz w:val="21"/>
              </w:rPr>
              <w:t>”</w:t>
            </w:r>
            <w:r>
              <w:rPr>
                <w:bCs/>
                <w:snapToGrid w:val="0"/>
                <w:kern w:val="0"/>
                <w:sz w:val="21"/>
              </w:rPr>
              <w:t>管理，非法分包、转包。项目部未按规定设置管理机构、配备安全管理人员和技术人员。</w:t>
            </w:r>
          </w:p>
        </w:tc>
        <w:tc>
          <w:tcPr>
            <w:tcW w:w="3134" w:type="dxa"/>
            <w:vAlign w:val="center"/>
          </w:tcPr>
          <w:p w:rsidR="00F95F9B" w:rsidRDefault="00000000">
            <w:pPr>
              <w:shd w:val="clear" w:color="auto" w:fill="FFFFFF" w:themeFill="background1"/>
              <w:adjustRightInd w:val="0"/>
              <w:snapToGrid w:val="0"/>
              <w:spacing w:line="240" w:lineRule="auto"/>
              <w:ind w:firstLineChars="0" w:firstLine="0"/>
              <w:rPr>
                <w:kern w:val="0"/>
                <w:sz w:val="21"/>
              </w:rPr>
            </w:pPr>
            <w:r>
              <w:rPr>
                <w:rFonts w:hint="eastAsia"/>
                <w:sz w:val="21"/>
              </w:rPr>
              <w:t>建立有《鲁明公司承包商</w:t>
            </w:r>
            <w:r>
              <w:rPr>
                <w:rFonts w:hint="eastAsia"/>
                <w:sz w:val="21"/>
              </w:rPr>
              <w:t xml:space="preserve"> HSSE </w:t>
            </w:r>
            <w:r>
              <w:rPr>
                <w:rFonts w:hint="eastAsia"/>
                <w:sz w:val="21"/>
              </w:rPr>
              <w:t>监督管理办法》，实行“五统一”管理</w:t>
            </w:r>
            <w:r>
              <w:rPr>
                <w:rFonts w:hint="eastAsia"/>
                <w:sz w:val="21"/>
                <w:lang w:val="zh-CN"/>
              </w:rPr>
              <w:t>。</w:t>
            </w:r>
          </w:p>
        </w:tc>
      </w:tr>
    </w:tbl>
    <w:p w:rsidR="00F95F9B" w:rsidRDefault="00000000">
      <w:pPr>
        <w:widowControl w:val="0"/>
        <w:shd w:val="clear" w:color="auto" w:fill="FFFFFF" w:themeFill="background1"/>
        <w:adjustRightInd w:val="0"/>
        <w:snapToGrid w:val="0"/>
        <w:spacing w:beforeLines="50" w:before="170"/>
        <w:ind w:firstLine="470"/>
        <w:rPr>
          <w:rFonts w:eastAsia="黑体"/>
          <w:sz w:val="21"/>
        </w:rPr>
        <w:sectPr w:rsidR="00F95F9B">
          <w:footnotePr>
            <w:numFmt w:val="decimalEnclosedCircleChinese"/>
          </w:footnotePr>
          <w:pgSz w:w="11906" w:h="16838"/>
          <w:pgMar w:top="1417" w:right="1134" w:bottom="1134" w:left="1587" w:header="850" w:footer="850" w:gutter="0"/>
          <w:cols w:space="0"/>
          <w:docGrid w:type="linesAndChars" w:linePitch="340" w:charSpace="-1024"/>
        </w:sectPr>
      </w:pPr>
      <w:r>
        <w:rPr>
          <w:szCs w:val="24"/>
        </w:rPr>
        <w:t>经分析，鲁明公司安全生产及管理现状不存在《重点行业领域重大安全风险隐患清单》（鲁安发</w:t>
      </w:r>
      <w:r>
        <w:rPr>
          <w:szCs w:val="24"/>
        </w:rPr>
        <w:t>[2022]11</w:t>
      </w:r>
      <w:r>
        <w:rPr>
          <w:szCs w:val="24"/>
        </w:rPr>
        <w:t>号）规定的重大安全风险隐患。</w:t>
      </w:r>
    </w:p>
    <w:p w:rsidR="00F95F9B" w:rsidRDefault="00000000">
      <w:pPr>
        <w:pStyle w:val="1"/>
        <w:keepNext w:val="0"/>
        <w:keepLines w:val="0"/>
        <w:widowControl w:val="0"/>
        <w:spacing w:before="340" w:after="340"/>
      </w:pPr>
      <w:bookmarkStart w:id="91" w:name="_Toc16369"/>
      <w:r>
        <w:rPr>
          <w:rFonts w:hint="eastAsia"/>
        </w:rPr>
        <w:lastRenderedPageBreak/>
        <w:t>事故发生的可能性及其严重程度的预测</w:t>
      </w:r>
      <w:bookmarkEnd w:id="91"/>
    </w:p>
    <w:p w:rsidR="00F95F9B" w:rsidRDefault="00000000">
      <w:pPr>
        <w:widowControl w:val="0"/>
        <w:adjustRightInd w:val="0"/>
        <w:snapToGrid w:val="0"/>
        <w:ind w:firstLine="470"/>
      </w:pPr>
      <w:r>
        <w:t>原油、天然气（含硫化氢）为易燃物质，泄漏遇点火源有发生火灾、爆炸的危险，正常情况下不会发生泄漏，但以下情况下发生泄漏的可能性很大：</w:t>
      </w:r>
    </w:p>
    <w:p w:rsidR="00F95F9B" w:rsidRDefault="00000000">
      <w:pPr>
        <w:widowControl w:val="0"/>
        <w:adjustRightInd w:val="0"/>
        <w:snapToGrid w:val="0"/>
        <w:ind w:firstLine="470"/>
      </w:pPr>
      <w:r>
        <w:t>1</w:t>
      </w:r>
      <w:r>
        <w:t>）工艺操作不当导致泄漏可能性分析</w:t>
      </w:r>
    </w:p>
    <w:p w:rsidR="00F95F9B" w:rsidRDefault="00000000">
      <w:pPr>
        <w:widowControl w:val="0"/>
        <w:adjustRightInd w:val="0"/>
        <w:snapToGrid w:val="0"/>
        <w:ind w:firstLine="470"/>
      </w:pPr>
      <w:r>
        <w:t>如果未按照工艺规程进行作业，未适当控制液位等工艺参数，压力、温度超过规定限值，储罐内物料发生满溢现象，有发生泄漏的可能性。</w:t>
      </w:r>
    </w:p>
    <w:p w:rsidR="00F95F9B" w:rsidRDefault="00000000">
      <w:pPr>
        <w:widowControl w:val="0"/>
        <w:adjustRightInd w:val="0"/>
        <w:snapToGrid w:val="0"/>
        <w:ind w:firstLine="470"/>
      </w:pPr>
      <w:r>
        <w:t>2</w:t>
      </w:r>
      <w:r>
        <w:t>）储存装卸作业不当导致泄漏可能性分析</w:t>
      </w:r>
    </w:p>
    <w:p w:rsidR="00F95F9B" w:rsidRDefault="00000000">
      <w:pPr>
        <w:widowControl w:val="0"/>
        <w:adjustRightInd w:val="0"/>
        <w:snapToGrid w:val="0"/>
        <w:ind w:firstLine="470"/>
      </w:pPr>
      <w:r>
        <w:t>在储存装卸过程中，如果未按规定要求的储存装卸程序进行作业，或液位计出现故障。在管道输送过程中，如果阀门、连接管线密闭不严，超过规定压力限值，有发生泄漏的可能性。</w:t>
      </w:r>
    </w:p>
    <w:p w:rsidR="00F95F9B" w:rsidRDefault="00000000">
      <w:pPr>
        <w:widowControl w:val="0"/>
        <w:adjustRightInd w:val="0"/>
        <w:snapToGrid w:val="0"/>
        <w:ind w:firstLine="470"/>
      </w:pPr>
      <w:r>
        <w:t>3</w:t>
      </w:r>
      <w:r>
        <w:t>）储罐故障导致泄漏可能性分析</w:t>
      </w:r>
    </w:p>
    <w:p w:rsidR="00F95F9B" w:rsidRDefault="00000000">
      <w:pPr>
        <w:widowControl w:val="0"/>
        <w:adjustRightInd w:val="0"/>
        <w:snapToGrid w:val="0"/>
        <w:ind w:firstLine="470"/>
      </w:pPr>
      <w:r>
        <w:t>储存装置的地基下沉，造成容器底部产生裂缝，或变形、错位等；选材不当，如强度不够，耐腐蚀性差、规格不符等；未按要求安装液位计、压力表等。如储罐的加工质量差，特别是焊接质量差；施工和安装精度不高，如管道连接不严密等；储罐长期使用后未按规定检修期进行检修，或检修质量差造成泄漏；计测仪表未定期校验，造成计量不准；阀门损坏或开关泄漏，又未及时更换；储罐附件质量差，或长期使用后材料变质、腐蚀或破裂等。</w:t>
      </w:r>
    </w:p>
    <w:p w:rsidR="00F95F9B" w:rsidRDefault="00000000">
      <w:pPr>
        <w:widowControl w:val="0"/>
        <w:adjustRightInd w:val="0"/>
        <w:snapToGrid w:val="0"/>
        <w:ind w:firstLine="470"/>
      </w:pPr>
      <w:r>
        <w:rPr>
          <w:rFonts w:hint="eastAsia"/>
        </w:rPr>
        <w:t>通过对鲁明公司陆上采油（气）生产经营情况和现有的生产设施、设备的实际运行状况可知：鲁明公司各集输站</w:t>
      </w:r>
      <w:r>
        <w:rPr>
          <w:rFonts w:hint="eastAsia"/>
        </w:rPr>
        <w:t>/</w:t>
      </w:r>
      <w:r>
        <w:rPr>
          <w:rFonts w:hint="eastAsia"/>
        </w:rPr>
        <w:t>联合站开采出的石油处理、中转和临时储存场所，一旦发生石油泄漏事故，造成的风险和事故后果较大。</w:t>
      </w:r>
    </w:p>
    <w:p w:rsidR="00F95F9B" w:rsidRDefault="00000000">
      <w:pPr>
        <w:widowControl w:val="0"/>
        <w:adjustRightInd w:val="0"/>
        <w:snapToGrid w:val="0"/>
        <w:ind w:firstLine="470"/>
      </w:pPr>
      <w:r>
        <w:rPr>
          <w:rFonts w:hint="eastAsia"/>
        </w:rPr>
        <w:t>利用中国安全生产科学研究院定量风险分析软件（</w:t>
      </w:r>
      <w:r>
        <w:rPr>
          <w:rFonts w:hint="eastAsia"/>
        </w:rPr>
        <w:t>CASST QRA</w:t>
      </w:r>
      <w:r>
        <w:rPr>
          <w:rFonts w:hint="eastAsia"/>
        </w:rPr>
        <w:t>，版本号：</w:t>
      </w:r>
      <w:r>
        <w:rPr>
          <w:rFonts w:hint="eastAsia"/>
        </w:rPr>
        <w:t>V2.1</w:t>
      </w:r>
      <w:r>
        <w:rPr>
          <w:rFonts w:hint="eastAsia"/>
        </w:rPr>
        <w:t>），对各集输站</w:t>
      </w:r>
      <w:r>
        <w:rPr>
          <w:rFonts w:hint="eastAsia"/>
        </w:rPr>
        <w:t>/</w:t>
      </w:r>
      <w:r>
        <w:rPr>
          <w:rFonts w:hint="eastAsia"/>
        </w:rPr>
        <w:t>联合站不同储量油罐泄漏事故后果进行模拟。各站场事故后果模拟情况如下：</w:t>
      </w:r>
    </w:p>
    <w:p w:rsidR="00F95F9B" w:rsidRDefault="00000000">
      <w:pPr>
        <w:pStyle w:val="2"/>
        <w:adjustRightInd w:val="0"/>
        <w:snapToGrid w:val="0"/>
        <w:spacing w:beforeLines="0" w:before="0" w:afterLines="0" w:after="0"/>
        <w:rPr>
          <w:lang w:val="zh-CN"/>
        </w:rPr>
      </w:pPr>
      <w:bookmarkStart w:id="92" w:name="_Toc16930"/>
      <w:bookmarkStart w:id="93" w:name="_Toc16838"/>
      <w:r>
        <w:rPr>
          <w:rFonts w:hint="eastAsia"/>
        </w:rPr>
        <w:t>济北集输站</w:t>
      </w:r>
      <w:r>
        <w:t>事故发生的危害程度</w:t>
      </w:r>
      <w:bookmarkEnd w:id="92"/>
      <w:bookmarkEnd w:id="93"/>
    </w:p>
    <w:p w:rsidR="00F95F9B" w:rsidRDefault="00000000">
      <w:pPr>
        <w:widowControl w:val="0"/>
        <w:adjustRightInd w:val="0"/>
        <w:snapToGrid w:val="0"/>
        <w:ind w:firstLine="470"/>
      </w:pPr>
      <w:r>
        <w:rPr>
          <w:rFonts w:hint="eastAsia"/>
          <w:lang w:val="zh-CN"/>
        </w:rPr>
        <w:t>济北集输站设</w:t>
      </w:r>
      <w:r>
        <w:rPr>
          <w:rFonts w:hint="eastAsia"/>
        </w:rPr>
        <w:t>2000m</w:t>
      </w:r>
      <w:r>
        <w:rPr>
          <w:rFonts w:hint="eastAsia"/>
        </w:rPr>
        <w:t>³油罐</w:t>
      </w:r>
      <w:r>
        <w:rPr>
          <w:rFonts w:hint="eastAsia"/>
        </w:rPr>
        <w:t>2</w:t>
      </w:r>
      <w:r>
        <w:rPr>
          <w:rFonts w:hint="eastAsia"/>
        </w:rPr>
        <w:t>座，</w:t>
      </w:r>
      <w:r>
        <w:rPr>
          <w:rFonts w:hint="eastAsia"/>
        </w:rPr>
        <w:t>1000m</w:t>
      </w:r>
      <w:r>
        <w:rPr>
          <w:rFonts w:hint="eastAsia"/>
        </w:rPr>
        <w:t>³储罐</w:t>
      </w:r>
      <w:r>
        <w:rPr>
          <w:rFonts w:hint="eastAsia"/>
        </w:rPr>
        <w:t>4</w:t>
      </w:r>
      <w:r>
        <w:rPr>
          <w:rFonts w:hint="eastAsia"/>
        </w:rPr>
        <w:t>座，</w:t>
      </w:r>
      <w:r>
        <w:rPr>
          <w:rFonts w:hint="eastAsia"/>
          <w:lang w:val="zh-CN"/>
        </w:rPr>
        <w:t>容积</w:t>
      </w:r>
      <w:r>
        <w:rPr>
          <w:rFonts w:hint="eastAsia"/>
        </w:rPr>
        <w:t>2</w:t>
      </w:r>
      <w:r>
        <w:t>00</w:t>
      </w:r>
      <w:r>
        <w:rPr>
          <w:lang w:val="zh-CN"/>
        </w:rPr>
        <w:t>0m</w:t>
      </w:r>
      <w:r>
        <w:rPr>
          <w:vertAlign w:val="superscript"/>
          <w:lang w:val="zh-CN"/>
        </w:rPr>
        <w:t>3</w:t>
      </w:r>
      <w:r>
        <w:rPr>
          <w:rFonts w:hint="eastAsia"/>
        </w:rPr>
        <w:t>、</w:t>
      </w:r>
      <w:r>
        <w:rPr>
          <w:rFonts w:hint="eastAsia"/>
        </w:rPr>
        <w:t>1000m</w:t>
      </w:r>
      <w:r>
        <w:rPr>
          <w:rFonts w:hint="eastAsia"/>
        </w:rPr>
        <w:t>³</w:t>
      </w:r>
      <w:r>
        <w:t>原油罐</w:t>
      </w:r>
      <w:r>
        <w:rPr>
          <w:rFonts w:hint="eastAsia"/>
        </w:rPr>
        <w:t>容器完全破裂情况下，事故后果图如图</w:t>
      </w:r>
      <w:r>
        <w:rPr>
          <w:rFonts w:hint="eastAsia"/>
        </w:rPr>
        <w:t>7.1-1</w:t>
      </w:r>
      <w:r>
        <w:rPr>
          <w:rFonts w:hint="eastAsia"/>
        </w:rPr>
        <w:t>、</w:t>
      </w:r>
      <w:r>
        <w:rPr>
          <w:rFonts w:hint="eastAsia"/>
        </w:rPr>
        <w:t>7.1-2</w:t>
      </w:r>
      <w:r>
        <w:rPr>
          <w:rFonts w:hint="eastAsia"/>
        </w:rPr>
        <w:t>所示</w:t>
      </w:r>
      <w:r>
        <w:rPr>
          <w:lang w:val="zh-CN"/>
        </w:rPr>
        <w:t>。各种事故后果具体影响范围</w:t>
      </w:r>
      <w:r>
        <w:t>（事故后果伤亡半径详细数据事故后果表）</w:t>
      </w:r>
      <w:r>
        <w:rPr>
          <w:rFonts w:hint="eastAsia"/>
          <w:lang w:val="zh-CN"/>
        </w:rPr>
        <w:t>详见</w:t>
      </w:r>
      <w:r>
        <w:rPr>
          <w:rFonts w:hint="eastAsia"/>
        </w:rPr>
        <w:t>表</w:t>
      </w:r>
      <w:r>
        <w:t>7.1-1</w:t>
      </w:r>
      <w:r>
        <w:rPr>
          <w:rFonts w:hint="eastAsia"/>
          <w:lang w:val="zh-CN"/>
        </w:rPr>
        <w:t>。</w:t>
      </w:r>
    </w:p>
    <w:p w:rsidR="00F95F9B" w:rsidRDefault="00F95F9B">
      <w:pPr>
        <w:widowControl w:val="0"/>
        <w:adjustRightInd w:val="0"/>
        <w:snapToGrid w:val="0"/>
        <w:ind w:firstLineChars="0" w:firstLine="0"/>
        <w:jc w:val="center"/>
        <w:rPr>
          <w:lang w:val="zh-CN"/>
        </w:rPr>
      </w:pPr>
    </w:p>
    <w:p w:rsidR="00F95F9B" w:rsidRDefault="00000000">
      <w:pPr>
        <w:widowControl w:val="0"/>
        <w:adjustRightInd w:val="0"/>
        <w:snapToGrid w:val="0"/>
        <w:spacing w:line="240" w:lineRule="auto"/>
        <w:ind w:firstLineChars="0" w:firstLine="0"/>
        <w:jc w:val="center"/>
        <w:rPr>
          <w:rFonts w:eastAsia="黑体"/>
          <w:bCs/>
          <w:sz w:val="21"/>
        </w:rPr>
      </w:pPr>
      <w:r>
        <w:rPr>
          <w:rFonts w:eastAsia="黑体" w:hint="eastAsia"/>
          <w:bCs/>
          <w:sz w:val="21"/>
        </w:rPr>
        <w:t>图</w:t>
      </w:r>
      <w:r>
        <w:rPr>
          <w:rFonts w:eastAsia="黑体" w:hint="eastAsia"/>
          <w:bCs/>
          <w:sz w:val="21"/>
        </w:rPr>
        <w:t>7</w:t>
      </w:r>
      <w:r>
        <w:rPr>
          <w:rFonts w:eastAsia="黑体"/>
          <w:bCs/>
          <w:sz w:val="21"/>
        </w:rPr>
        <w:t>.</w:t>
      </w:r>
      <w:r>
        <w:rPr>
          <w:rFonts w:eastAsia="黑体" w:hint="eastAsia"/>
          <w:bCs/>
          <w:sz w:val="21"/>
        </w:rPr>
        <w:t>1</w:t>
      </w:r>
      <w:r>
        <w:rPr>
          <w:rFonts w:eastAsia="黑体"/>
          <w:bCs/>
          <w:sz w:val="21"/>
        </w:rPr>
        <w:t>-1</w:t>
      </w:r>
      <w:r>
        <w:rPr>
          <w:rFonts w:eastAsia="黑体" w:hint="eastAsia"/>
          <w:bCs/>
          <w:sz w:val="21"/>
        </w:rPr>
        <w:t xml:space="preserve">  </w:t>
      </w:r>
      <w:r>
        <w:rPr>
          <w:rFonts w:eastAsia="黑体"/>
          <w:bCs/>
          <w:sz w:val="21"/>
        </w:rPr>
        <w:t>2000m³</w:t>
      </w:r>
      <w:r>
        <w:rPr>
          <w:rFonts w:eastAsia="黑体"/>
          <w:bCs/>
          <w:sz w:val="21"/>
        </w:rPr>
        <w:t>原油</w:t>
      </w:r>
      <w:r>
        <w:rPr>
          <w:rFonts w:eastAsia="黑体" w:hint="eastAsia"/>
          <w:bCs/>
          <w:sz w:val="21"/>
        </w:rPr>
        <w:t>储罐完全破裂池火事故后果图</w:t>
      </w:r>
    </w:p>
    <w:p w:rsidR="00F95F9B" w:rsidRDefault="00F95F9B">
      <w:pPr>
        <w:widowControl w:val="0"/>
        <w:ind w:firstLineChars="0" w:firstLine="0"/>
        <w:jc w:val="center"/>
      </w:pPr>
    </w:p>
    <w:p w:rsidR="00F95F9B" w:rsidRDefault="00000000">
      <w:pPr>
        <w:widowControl w:val="0"/>
        <w:adjustRightInd w:val="0"/>
        <w:snapToGrid w:val="0"/>
        <w:spacing w:line="240" w:lineRule="auto"/>
        <w:ind w:firstLineChars="0" w:firstLine="0"/>
        <w:jc w:val="center"/>
        <w:rPr>
          <w:rFonts w:eastAsia="黑体"/>
          <w:bCs/>
          <w:sz w:val="21"/>
        </w:rPr>
      </w:pPr>
      <w:r>
        <w:rPr>
          <w:rFonts w:eastAsia="黑体" w:hint="eastAsia"/>
          <w:bCs/>
          <w:sz w:val="21"/>
        </w:rPr>
        <w:lastRenderedPageBreak/>
        <w:t>图</w:t>
      </w:r>
      <w:r>
        <w:rPr>
          <w:rFonts w:eastAsia="黑体" w:hint="eastAsia"/>
          <w:bCs/>
          <w:sz w:val="21"/>
        </w:rPr>
        <w:t>7</w:t>
      </w:r>
      <w:r>
        <w:rPr>
          <w:rFonts w:eastAsia="黑体"/>
          <w:bCs/>
          <w:sz w:val="21"/>
        </w:rPr>
        <w:t>.</w:t>
      </w:r>
      <w:r>
        <w:rPr>
          <w:rFonts w:eastAsia="黑体" w:hint="eastAsia"/>
          <w:bCs/>
          <w:sz w:val="21"/>
        </w:rPr>
        <w:t>1</w:t>
      </w:r>
      <w:r>
        <w:rPr>
          <w:rFonts w:eastAsia="黑体"/>
          <w:bCs/>
          <w:sz w:val="21"/>
        </w:rPr>
        <w:t>-</w:t>
      </w:r>
      <w:r>
        <w:rPr>
          <w:rFonts w:eastAsia="黑体" w:hint="eastAsia"/>
          <w:bCs/>
          <w:sz w:val="21"/>
        </w:rPr>
        <w:t>2  1</w:t>
      </w:r>
      <w:r>
        <w:rPr>
          <w:rFonts w:eastAsia="黑体"/>
          <w:bCs/>
          <w:sz w:val="21"/>
        </w:rPr>
        <w:t>000m³</w:t>
      </w:r>
      <w:r>
        <w:rPr>
          <w:rFonts w:eastAsia="黑体"/>
          <w:bCs/>
          <w:sz w:val="21"/>
        </w:rPr>
        <w:t>原油</w:t>
      </w:r>
      <w:r>
        <w:rPr>
          <w:rFonts w:eastAsia="黑体" w:hint="eastAsia"/>
          <w:bCs/>
          <w:sz w:val="21"/>
        </w:rPr>
        <w:t>储罐完全破裂池火事故后果图</w:t>
      </w:r>
    </w:p>
    <w:p w:rsidR="00F95F9B" w:rsidRDefault="00000000">
      <w:pPr>
        <w:pStyle w:val="afff7"/>
        <w:ind w:firstLineChars="0" w:firstLine="0"/>
        <w:jc w:val="center"/>
        <w:rPr>
          <w:rFonts w:eastAsia="黑体"/>
          <w:bCs/>
          <w:color w:val="auto"/>
          <w:sz w:val="21"/>
          <w:szCs w:val="21"/>
        </w:rPr>
      </w:pPr>
      <w:r>
        <w:rPr>
          <w:rFonts w:eastAsia="黑体" w:hint="eastAsia"/>
          <w:bCs/>
          <w:color w:val="auto"/>
          <w:sz w:val="21"/>
          <w:szCs w:val="21"/>
        </w:rPr>
        <w:t>表</w:t>
      </w:r>
      <w:r>
        <w:rPr>
          <w:rFonts w:eastAsia="黑体"/>
          <w:bCs/>
          <w:color w:val="auto"/>
          <w:sz w:val="21"/>
          <w:szCs w:val="21"/>
        </w:rPr>
        <w:t>7.1-1</w:t>
      </w:r>
      <w:r>
        <w:rPr>
          <w:rFonts w:eastAsia="黑体" w:hint="eastAsia"/>
          <w:bCs/>
          <w:color w:val="auto"/>
          <w:sz w:val="21"/>
          <w:szCs w:val="21"/>
        </w:rPr>
        <w:t xml:space="preserve">  </w:t>
      </w:r>
      <w:r>
        <w:rPr>
          <w:rFonts w:eastAsia="黑体" w:hint="eastAsia"/>
          <w:bCs/>
          <w:color w:val="auto"/>
          <w:sz w:val="21"/>
          <w:szCs w:val="21"/>
        </w:rPr>
        <w:t>原油储罐事故</w:t>
      </w:r>
      <w:r>
        <w:rPr>
          <w:rFonts w:eastAsia="黑体"/>
          <w:bCs/>
          <w:color w:val="auto"/>
          <w:sz w:val="21"/>
          <w:szCs w:val="21"/>
        </w:rPr>
        <w:t>后果</w:t>
      </w:r>
      <w:r>
        <w:rPr>
          <w:rFonts w:eastAsia="黑体" w:hint="eastAsia"/>
          <w:bCs/>
          <w:color w:val="auto"/>
          <w:sz w:val="21"/>
          <w:szCs w:val="21"/>
        </w:rPr>
        <w:t>表</w:t>
      </w:r>
    </w:p>
    <w:tbl>
      <w:tblPr>
        <w:tblW w:w="9144" w:type="dxa"/>
        <w:tblInd w:w="9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288"/>
        <w:gridCol w:w="1584"/>
        <w:gridCol w:w="1128"/>
        <w:gridCol w:w="984"/>
        <w:gridCol w:w="1200"/>
        <w:gridCol w:w="960"/>
      </w:tblGrid>
      <w:tr w:rsidR="00F95F9B">
        <w:trPr>
          <w:trHeight w:val="624"/>
          <w:tblHeader/>
        </w:trPr>
        <w:tc>
          <w:tcPr>
            <w:tcW w:w="3288"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sz w:val="21"/>
              </w:rPr>
            </w:pPr>
            <w:r>
              <w:rPr>
                <w:rFonts w:hint="eastAsia"/>
                <w:b/>
                <w:bCs/>
                <w:kern w:val="0"/>
                <w:sz w:val="21"/>
                <w:lang w:bidi="ar"/>
              </w:rPr>
              <w:t>危险源</w:t>
            </w:r>
          </w:p>
        </w:tc>
        <w:tc>
          <w:tcPr>
            <w:tcW w:w="1584"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sz w:val="21"/>
              </w:rPr>
            </w:pPr>
            <w:r>
              <w:rPr>
                <w:rFonts w:hint="eastAsia"/>
                <w:b/>
                <w:bCs/>
                <w:kern w:val="0"/>
                <w:sz w:val="21"/>
                <w:lang w:bidi="ar"/>
              </w:rPr>
              <w:t>泄漏模式</w:t>
            </w:r>
          </w:p>
        </w:tc>
        <w:tc>
          <w:tcPr>
            <w:tcW w:w="1128"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sz w:val="21"/>
              </w:rPr>
            </w:pPr>
            <w:r>
              <w:rPr>
                <w:rFonts w:hint="eastAsia"/>
                <w:b/>
                <w:bCs/>
                <w:kern w:val="0"/>
                <w:sz w:val="21"/>
                <w:lang w:bidi="ar"/>
              </w:rPr>
              <w:t>灾害模式</w:t>
            </w:r>
          </w:p>
        </w:tc>
        <w:tc>
          <w:tcPr>
            <w:tcW w:w="984"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sz w:val="21"/>
              </w:rPr>
            </w:pPr>
            <w:r>
              <w:rPr>
                <w:rFonts w:hint="eastAsia"/>
                <w:b/>
                <w:bCs/>
                <w:kern w:val="0"/>
                <w:sz w:val="21"/>
                <w:lang w:bidi="ar"/>
              </w:rPr>
              <w:t>死亡半径</w:t>
            </w:r>
            <w:r>
              <w:rPr>
                <w:rFonts w:hint="eastAsia"/>
                <w:b/>
                <w:bCs/>
                <w:kern w:val="0"/>
                <w:sz w:val="21"/>
                <w:lang w:bidi="ar"/>
              </w:rPr>
              <w:t>(m)</w:t>
            </w:r>
          </w:p>
        </w:tc>
        <w:tc>
          <w:tcPr>
            <w:tcW w:w="120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sz w:val="21"/>
              </w:rPr>
            </w:pPr>
            <w:r>
              <w:rPr>
                <w:rFonts w:hint="eastAsia"/>
                <w:b/>
                <w:bCs/>
                <w:kern w:val="0"/>
                <w:sz w:val="21"/>
                <w:lang w:bidi="ar"/>
              </w:rPr>
              <w:t>重伤半径</w:t>
            </w:r>
            <w:r>
              <w:rPr>
                <w:rFonts w:hint="eastAsia"/>
                <w:b/>
                <w:bCs/>
                <w:kern w:val="0"/>
                <w:sz w:val="21"/>
                <w:lang w:bidi="ar"/>
              </w:rPr>
              <w:t>(m)</w:t>
            </w:r>
          </w:p>
        </w:tc>
        <w:tc>
          <w:tcPr>
            <w:tcW w:w="96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sz w:val="21"/>
              </w:rPr>
            </w:pPr>
            <w:r>
              <w:rPr>
                <w:rFonts w:hint="eastAsia"/>
                <w:b/>
                <w:bCs/>
                <w:kern w:val="0"/>
                <w:sz w:val="21"/>
                <w:lang w:bidi="ar"/>
              </w:rPr>
              <w:t>轻伤半径</w:t>
            </w:r>
            <w:r>
              <w:rPr>
                <w:rFonts w:hint="eastAsia"/>
                <w:b/>
                <w:bCs/>
                <w:kern w:val="0"/>
                <w:sz w:val="21"/>
                <w:lang w:bidi="ar"/>
              </w:rPr>
              <w:t>(m)</w:t>
            </w:r>
          </w:p>
        </w:tc>
      </w:tr>
      <w:tr w:rsidR="00F95F9B">
        <w:trPr>
          <w:trHeight w:val="286"/>
        </w:trPr>
        <w:tc>
          <w:tcPr>
            <w:tcW w:w="3288"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sz w:val="21"/>
              </w:rPr>
            </w:pPr>
            <w:r>
              <w:rPr>
                <w:rFonts w:hint="eastAsia"/>
                <w:kern w:val="0"/>
                <w:sz w:val="21"/>
                <w:lang w:bidi="ar"/>
              </w:rPr>
              <w:t>济北集输站</w:t>
            </w:r>
            <w:r>
              <w:rPr>
                <w:rFonts w:hint="eastAsia"/>
                <w:kern w:val="0"/>
                <w:sz w:val="21"/>
                <w:lang w:bidi="ar"/>
              </w:rPr>
              <w:t>3#</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sz w:val="21"/>
              </w:rPr>
            </w:pPr>
            <w:r>
              <w:rPr>
                <w:rFonts w:hint="eastAsia"/>
                <w:kern w:val="0"/>
                <w:sz w:val="21"/>
                <w:lang w:bidi="ar"/>
              </w:rPr>
              <w:t>管道大孔泄漏</w:t>
            </w:r>
          </w:p>
        </w:tc>
        <w:tc>
          <w:tcPr>
            <w:tcW w:w="1128"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sz w:val="21"/>
              </w:rPr>
            </w:pPr>
            <w:r>
              <w:rPr>
                <w:rFonts w:hint="eastAsia"/>
                <w:kern w:val="0"/>
                <w:sz w:val="21"/>
                <w:lang w:bidi="ar"/>
              </w:rPr>
              <w:t>池火</w:t>
            </w:r>
          </w:p>
        </w:tc>
        <w:tc>
          <w:tcPr>
            <w:tcW w:w="984"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sz w:val="21"/>
              </w:rPr>
            </w:pPr>
            <w:r>
              <w:rPr>
                <w:rFonts w:hint="eastAsia"/>
                <w:kern w:val="0"/>
                <w:sz w:val="21"/>
                <w:lang w:bidi="ar"/>
              </w:rPr>
              <w:t>30</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35</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47</w:t>
            </w:r>
          </w:p>
        </w:tc>
      </w:tr>
      <w:tr w:rsidR="00F95F9B">
        <w:trPr>
          <w:trHeight w:val="312"/>
        </w:trPr>
        <w:tc>
          <w:tcPr>
            <w:tcW w:w="3288"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sz w:val="21"/>
              </w:rPr>
            </w:pPr>
            <w:r>
              <w:rPr>
                <w:rFonts w:hint="eastAsia"/>
                <w:kern w:val="0"/>
                <w:sz w:val="21"/>
                <w:lang w:bidi="ar"/>
              </w:rPr>
              <w:t>济北集输站</w:t>
            </w:r>
            <w:r>
              <w:rPr>
                <w:rFonts w:hint="eastAsia"/>
                <w:kern w:val="0"/>
                <w:sz w:val="21"/>
                <w:lang w:bidi="ar"/>
              </w:rPr>
              <w:t>3#</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sz w:val="21"/>
              </w:rPr>
            </w:pPr>
            <w:r>
              <w:rPr>
                <w:rFonts w:hint="eastAsia"/>
                <w:kern w:val="0"/>
                <w:sz w:val="21"/>
                <w:lang w:bidi="ar"/>
              </w:rPr>
              <w:t>阀门大孔泄漏</w:t>
            </w:r>
          </w:p>
        </w:tc>
        <w:tc>
          <w:tcPr>
            <w:tcW w:w="1128"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sz w:val="21"/>
              </w:rPr>
            </w:pPr>
            <w:r>
              <w:rPr>
                <w:rFonts w:hint="eastAsia"/>
                <w:kern w:val="0"/>
                <w:sz w:val="21"/>
                <w:lang w:bidi="ar"/>
              </w:rPr>
              <w:t>池火</w:t>
            </w:r>
          </w:p>
        </w:tc>
        <w:tc>
          <w:tcPr>
            <w:tcW w:w="984"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sz w:val="21"/>
              </w:rPr>
            </w:pPr>
            <w:r>
              <w:rPr>
                <w:rFonts w:hint="eastAsia"/>
                <w:kern w:val="0"/>
                <w:sz w:val="21"/>
                <w:lang w:bidi="ar"/>
              </w:rPr>
              <w:t>30</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35</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47</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3#</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容器整体破裂</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30</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35</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47</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3#</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管道完全破裂</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30</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35</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47</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1#</w:t>
            </w:r>
            <w:r>
              <w:rPr>
                <w:rFonts w:hint="eastAsia"/>
                <w:kern w:val="0"/>
                <w:sz w:val="21"/>
                <w:lang w:bidi="ar"/>
              </w:rPr>
              <w:t>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管道完全破裂</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21</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24</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33</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1#</w:t>
            </w:r>
            <w:r>
              <w:rPr>
                <w:rFonts w:hint="eastAsia"/>
                <w:kern w:val="0"/>
                <w:sz w:val="21"/>
                <w:lang w:bidi="ar"/>
              </w:rPr>
              <w:t>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容器整体破裂</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21</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24</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33</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1#</w:t>
            </w:r>
            <w:r>
              <w:rPr>
                <w:rFonts w:hint="eastAsia"/>
                <w:kern w:val="0"/>
                <w:sz w:val="21"/>
                <w:lang w:bidi="ar"/>
              </w:rPr>
              <w:t>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阀门大孔泄漏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21</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24</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33</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1#</w:t>
            </w:r>
            <w:r>
              <w:rPr>
                <w:rFonts w:hint="eastAsia"/>
                <w:kern w:val="0"/>
                <w:sz w:val="21"/>
                <w:lang w:bidi="ar"/>
              </w:rPr>
              <w:t>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管道大孔泄漏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21</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24</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33</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3#</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管道中孔泄漏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19</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26</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3#</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阀门中孔泄漏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19</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26</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3#</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容器中孔泄漏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19</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26</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1#</w:t>
            </w:r>
            <w:r>
              <w:rPr>
                <w:rFonts w:hint="eastAsia"/>
                <w:kern w:val="0"/>
                <w:sz w:val="21"/>
                <w:lang w:bidi="ar"/>
              </w:rPr>
              <w:t>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容器中孔泄漏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14</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18</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25</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1#</w:t>
            </w:r>
            <w:r>
              <w:rPr>
                <w:rFonts w:hint="eastAsia"/>
                <w:kern w:val="0"/>
                <w:sz w:val="21"/>
                <w:lang w:bidi="ar"/>
              </w:rPr>
              <w:t>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管道中孔泄漏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14</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18</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25</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1#</w:t>
            </w:r>
            <w:r>
              <w:rPr>
                <w:rFonts w:hint="eastAsia"/>
                <w:kern w:val="0"/>
                <w:sz w:val="21"/>
                <w:lang w:bidi="ar"/>
              </w:rPr>
              <w:t>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阀门中孔泄漏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14</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18</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25</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3#</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阀门小孔泄漏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3</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5</w:t>
            </w:r>
          </w:p>
        </w:tc>
      </w:tr>
      <w:tr w:rsidR="00F95F9B">
        <w:trPr>
          <w:trHeight w:val="312"/>
        </w:trPr>
        <w:tc>
          <w:tcPr>
            <w:tcW w:w="328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济北集输站</w:t>
            </w:r>
            <w:r>
              <w:rPr>
                <w:rFonts w:hint="eastAsia"/>
                <w:kern w:val="0"/>
                <w:sz w:val="21"/>
                <w:lang w:bidi="ar"/>
              </w:rPr>
              <w:t>1#</w:t>
            </w:r>
            <w:r>
              <w:rPr>
                <w:rFonts w:hint="eastAsia"/>
                <w:kern w:val="0"/>
                <w:sz w:val="21"/>
                <w:lang w:bidi="ar"/>
              </w:rPr>
              <w:t>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阀门小孔泄漏</w:t>
            </w:r>
          </w:p>
        </w:tc>
        <w:tc>
          <w:tcPr>
            <w:tcW w:w="1128"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池火</w:t>
            </w:r>
          </w:p>
        </w:tc>
        <w:tc>
          <w:tcPr>
            <w:tcW w:w="984"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2</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w:t>
            </w:r>
          </w:p>
        </w:tc>
        <w:tc>
          <w:tcPr>
            <w:tcW w:w="9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sz w:val="21"/>
              </w:rPr>
            </w:pPr>
            <w:r>
              <w:rPr>
                <w:rFonts w:hint="eastAsia"/>
                <w:kern w:val="0"/>
                <w:sz w:val="21"/>
                <w:lang w:bidi="ar"/>
              </w:rPr>
              <w:t>5</w:t>
            </w:r>
          </w:p>
        </w:tc>
      </w:tr>
    </w:tbl>
    <w:p w:rsidR="00F95F9B" w:rsidRDefault="00000000">
      <w:pPr>
        <w:pStyle w:val="2"/>
        <w:adjustRightInd w:val="0"/>
        <w:snapToGrid w:val="0"/>
        <w:spacing w:before="170" w:afterLines="0" w:after="0"/>
        <w:rPr>
          <w:lang w:val="zh-CN"/>
        </w:rPr>
      </w:pPr>
      <w:bookmarkStart w:id="94" w:name="_Toc2130"/>
      <w:r>
        <w:rPr>
          <w:rFonts w:hint="eastAsia"/>
        </w:rPr>
        <w:t>临南联合站</w:t>
      </w:r>
      <w:r>
        <w:t>事故发生的危害程度</w:t>
      </w:r>
      <w:bookmarkEnd w:id="94"/>
    </w:p>
    <w:p w:rsidR="00F95F9B" w:rsidRDefault="00000000">
      <w:pPr>
        <w:widowControl w:val="0"/>
        <w:adjustRightInd w:val="0"/>
        <w:snapToGrid w:val="0"/>
        <w:ind w:firstLine="470"/>
      </w:pPr>
      <w:r>
        <w:rPr>
          <w:rFonts w:hint="eastAsia"/>
          <w:lang w:val="zh-CN"/>
        </w:rPr>
        <w:t>临南联合站设</w:t>
      </w:r>
      <w:r>
        <w:rPr>
          <w:rFonts w:hint="eastAsia"/>
        </w:rPr>
        <w:t>3000m</w:t>
      </w:r>
      <w:r>
        <w:rPr>
          <w:rFonts w:hint="eastAsia"/>
        </w:rPr>
        <w:t>³油罐</w:t>
      </w:r>
      <w:r>
        <w:rPr>
          <w:rFonts w:hint="eastAsia"/>
        </w:rPr>
        <w:t>3</w:t>
      </w:r>
      <w:r>
        <w:rPr>
          <w:rFonts w:hint="eastAsia"/>
        </w:rPr>
        <w:t>座，</w:t>
      </w:r>
      <w:r>
        <w:rPr>
          <w:rFonts w:hint="eastAsia"/>
        </w:rPr>
        <w:t>1000m</w:t>
      </w:r>
      <w:r>
        <w:rPr>
          <w:rFonts w:hint="eastAsia"/>
        </w:rPr>
        <w:t>³储罐</w:t>
      </w:r>
      <w:r>
        <w:rPr>
          <w:rFonts w:hint="eastAsia"/>
        </w:rPr>
        <w:t>1</w:t>
      </w:r>
      <w:r>
        <w:rPr>
          <w:rFonts w:hint="eastAsia"/>
        </w:rPr>
        <w:t>座，</w:t>
      </w:r>
      <w:r>
        <w:rPr>
          <w:rFonts w:hint="eastAsia"/>
          <w:lang w:val="zh-CN"/>
        </w:rPr>
        <w:t>容积</w:t>
      </w:r>
      <w:r>
        <w:rPr>
          <w:rFonts w:hint="eastAsia"/>
        </w:rPr>
        <w:t>3</w:t>
      </w:r>
      <w:r>
        <w:t>00</w:t>
      </w:r>
      <w:r>
        <w:rPr>
          <w:lang w:val="zh-CN"/>
        </w:rPr>
        <w:t>0m</w:t>
      </w:r>
      <w:r>
        <w:rPr>
          <w:vertAlign w:val="superscript"/>
          <w:lang w:val="zh-CN"/>
        </w:rPr>
        <w:t>3</w:t>
      </w:r>
      <w:r>
        <w:rPr>
          <w:rFonts w:hint="eastAsia"/>
        </w:rPr>
        <w:t>、</w:t>
      </w:r>
      <w:r>
        <w:rPr>
          <w:rFonts w:hint="eastAsia"/>
        </w:rPr>
        <w:t>1000m</w:t>
      </w:r>
      <w:r>
        <w:rPr>
          <w:rFonts w:hint="eastAsia"/>
        </w:rPr>
        <w:t>³</w:t>
      </w:r>
      <w:r>
        <w:t>原油罐</w:t>
      </w:r>
      <w:r>
        <w:rPr>
          <w:rFonts w:hint="eastAsia"/>
        </w:rPr>
        <w:t>容器完全破裂情况下，事故后果图如图</w:t>
      </w:r>
      <w:r>
        <w:rPr>
          <w:rFonts w:hint="eastAsia"/>
        </w:rPr>
        <w:t>7.2-1</w:t>
      </w:r>
      <w:r>
        <w:rPr>
          <w:rFonts w:hint="eastAsia"/>
        </w:rPr>
        <w:t>、</w:t>
      </w:r>
      <w:r>
        <w:rPr>
          <w:rFonts w:hint="eastAsia"/>
        </w:rPr>
        <w:t>7.2-2</w:t>
      </w:r>
      <w:r>
        <w:rPr>
          <w:rFonts w:hint="eastAsia"/>
        </w:rPr>
        <w:t>所示</w:t>
      </w:r>
      <w:r>
        <w:rPr>
          <w:lang w:val="zh-CN"/>
        </w:rPr>
        <w:t>。各种事故后果具体影响范围</w:t>
      </w:r>
      <w:r>
        <w:t>（事故后果伤亡半径详细数据事故后果表）</w:t>
      </w:r>
      <w:r>
        <w:rPr>
          <w:rFonts w:hint="eastAsia"/>
          <w:lang w:val="zh-CN"/>
        </w:rPr>
        <w:t>详见</w:t>
      </w:r>
      <w:r>
        <w:rPr>
          <w:rFonts w:hint="eastAsia"/>
        </w:rPr>
        <w:t>表</w:t>
      </w:r>
      <w:r>
        <w:t>7.</w:t>
      </w:r>
      <w:r>
        <w:rPr>
          <w:rFonts w:hint="eastAsia"/>
        </w:rPr>
        <w:t>2</w:t>
      </w:r>
      <w:r>
        <w:t>-1</w:t>
      </w:r>
      <w:r>
        <w:rPr>
          <w:rFonts w:hint="eastAsia"/>
          <w:lang w:val="zh-CN"/>
        </w:rPr>
        <w:t>。</w:t>
      </w:r>
    </w:p>
    <w:p w:rsidR="00F95F9B" w:rsidRDefault="00F95F9B">
      <w:pPr>
        <w:widowControl w:val="0"/>
        <w:ind w:firstLineChars="0" w:firstLine="0"/>
        <w:jc w:val="center"/>
      </w:pPr>
    </w:p>
    <w:p w:rsidR="00F95F9B" w:rsidRDefault="00000000">
      <w:pPr>
        <w:widowControl w:val="0"/>
        <w:ind w:firstLineChars="0" w:firstLine="0"/>
        <w:jc w:val="center"/>
        <w:rPr>
          <w:rFonts w:eastAsia="黑体"/>
          <w:bCs/>
          <w:sz w:val="21"/>
        </w:rPr>
      </w:pPr>
      <w:r>
        <w:rPr>
          <w:rFonts w:eastAsia="黑体" w:hint="eastAsia"/>
          <w:bCs/>
          <w:sz w:val="21"/>
        </w:rPr>
        <w:t>图</w:t>
      </w:r>
      <w:r>
        <w:rPr>
          <w:rFonts w:eastAsia="黑体" w:hint="eastAsia"/>
          <w:bCs/>
          <w:sz w:val="21"/>
        </w:rPr>
        <w:t>7</w:t>
      </w:r>
      <w:r>
        <w:rPr>
          <w:rFonts w:eastAsia="黑体"/>
          <w:bCs/>
          <w:sz w:val="21"/>
        </w:rPr>
        <w:t>.</w:t>
      </w:r>
      <w:r>
        <w:rPr>
          <w:rFonts w:eastAsia="黑体" w:hint="eastAsia"/>
          <w:bCs/>
          <w:sz w:val="21"/>
        </w:rPr>
        <w:t>2</w:t>
      </w:r>
      <w:r>
        <w:rPr>
          <w:rFonts w:eastAsia="黑体"/>
          <w:bCs/>
          <w:sz w:val="21"/>
        </w:rPr>
        <w:t>-1</w:t>
      </w:r>
      <w:r>
        <w:rPr>
          <w:rFonts w:eastAsia="黑体" w:hint="eastAsia"/>
          <w:bCs/>
          <w:sz w:val="21"/>
        </w:rPr>
        <w:t xml:space="preserve">  3</w:t>
      </w:r>
      <w:r>
        <w:rPr>
          <w:rFonts w:eastAsia="黑体"/>
          <w:bCs/>
          <w:sz w:val="21"/>
        </w:rPr>
        <w:t>000m³</w:t>
      </w:r>
      <w:r>
        <w:rPr>
          <w:rFonts w:eastAsia="黑体" w:hint="eastAsia"/>
          <w:bCs/>
          <w:sz w:val="21"/>
        </w:rPr>
        <w:t>净化储罐完全破裂池火事故后果图</w:t>
      </w:r>
    </w:p>
    <w:p w:rsidR="00F95F9B" w:rsidRDefault="00000000">
      <w:pPr>
        <w:ind w:firstLineChars="0" w:firstLine="0"/>
        <w:jc w:val="center"/>
        <w:rPr>
          <w:rFonts w:eastAsia="黑体"/>
          <w:bCs/>
          <w:sz w:val="21"/>
        </w:rPr>
      </w:pPr>
      <w:r>
        <w:rPr>
          <w:rFonts w:eastAsia="黑体" w:hint="eastAsia"/>
          <w:bCs/>
          <w:sz w:val="21"/>
        </w:rPr>
        <w:t>图</w:t>
      </w:r>
      <w:r>
        <w:rPr>
          <w:rFonts w:eastAsia="黑体" w:hint="eastAsia"/>
          <w:bCs/>
          <w:sz w:val="21"/>
        </w:rPr>
        <w:t>7</w:t>
      </w:r>
      <w:r>
        <w:rPr>
          <w:rFonts w:eastAsia="黑体"/>
          <w:bCs/>
          <w:sz w:val="21"/>
        </w:rPr>
        <w:t>.</w:t>
      </w:r>
      <w:r>
        <w:rPr>
          <w:rFonts w:eastAsia="黑体" w:hint="eastAsia"/>
          <w:bCs/>
          <w:sz w:val="21"/>
        </w:rPr>
        <w:t>2</w:t>
      </w:r>
      <w:r>
        <w:rPr>
          <w:rFonts w:eastAsia="黑体"/>
          <w:bCs/>
          <w:sz w:val="21"/>
        </w:rPr>
        <w:t>-</w:t>
      </w:r>
      <w:r>
        <w:rPr>
          <w:rFonts w:eastAsia="黑体" w:hint="eastAsia"/>
          <w:bCs/>
          <w:sz w:val="21"/>
        </w:rPr>
        <w:t>2   1</w:t>
      </w:r>
      <w:r>
        <w:rPr>
          <w:rFonts w:eastAsia="黑体"/>
          <w:bCs/>
          <w:sz w:val="21"/>
        </w:rPr>
        <w:t>000m³</w:t>
      </w:r>
      <w:r>
        <w:rPr>
          <w:rFonts w:eastAsia="黑体"/>
          <w:bCs/>
          <w:sz w:val="21"/>
        </w:rPr>
        <w:t>原油</w:t>
      </w:r>
      <w:r>
        <w:rPr>
          <w:rFonts w:eastAsia="黑体" w:hint="eastAsia"/>
          <w:bCs/>
          <w:sz w:val="21"/>
        </w:rPr>
        <w:t>储罐完全破裂池火事故后果图</w:t>
      </w:r>
    </w:p>
    <w:p w:rsidR="00F95F9B" w:rsidRDefault="00000000">
      <w:pPr>
        <w:adjustRightInd w:val="0"/>
        <w:snapToGrid w:val="0"/>
        <w:spacing w:line="520" w:lineRule="exact"/>
        <w:ind w:firstLineChars="0" w:firstLine="0"/>
        <w:jc w:val="center"/>
        <w:rPr>
          <w:rFonts w:eastAsia="黑体"/>
          <w:bCs/>
          <w:sz w:val="21"/>
        </w:rPr>
      </w:pPr>
      <w:r>
        <w:rPr>
          <w:rFonts w:eastAsia="黑体" w:hint="eastAsia"/>
          <w:bCs/>
          <w:sz w:val="21"/>
        </w:rPr>
        <w:t>表</w:t>
      </w:r>
      <w:r>
        <w:rPr>
          <w:rFonts w:eastAsia="黑体"/>
          <w:bCs/>
          <w:sz w:val="21"/>
        </w:rPr>
        <w:t>7.</w:t>
      </w:r>
      <w:r>
        <w:rPr>
          <w:rFonts w:eastAsia="黑体" w:hint="eastAsia"/>
          <w:bCs/>
          <w:sz w:val="21"/>
        </w:rPr>
        <w:t>2</w:t>
      </w:r>
      <w:r>
        <w:rPr>
          <w:rFonts w:eastAsia="黑体"/>
          <w:bCs/>
          <w:sz w:val="21"/>
        </w:rPr>
        <w:t>-1</w:t>
      </w:r>
      <w:r>
        <w:rPr>
          <w:rFonts w:eastAsia="黑体" w:hint="eastAsia"/>
          <w:bCs/>
          <w:sz w:val="21"/>
        </w:rPr>
        <w:t xml:space="preserve">  </w:t>
      </w:r>
      <w:r>
        <w:rPr>
          <w:rFonts w:eastAsia="黑体" w:hint="eastAsia"/>
          <w:bCs/>
          <w:sz w:val="21"/>
        </w:rPr>
        <w:t>原油储罐事故</w:t>
      </w:r>
      <w:r>
        <w:rPr>
          <w:rFonts w:eastAsia="黑体"/>
          <w:bCs/>
          <w:sz w:val="21"/>
        </w:rPr>
        <w:t>后果</w:t>
      </w:r>
      <w:r>
        <w:rPr>
          <w:rFonts w:eastAsia="黑体" w:hint="eastAsia"/>
          <w:bCs/>
          <w:sz w:val="21"/>
        </w:rPr>
        <w:t>表</w:t>
      </w:r>
    </w:p>
    <w:tbl>
      <w:tblPr>
        <w:tblW w:w="9063" w:type="dxa"/>
        <w:tblInd w:w="9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563"/>
        <w:gridCol w:w="1600"/>
        <w:gridCol w:w="760"/>
        <w:gridCol w:w="1040"/>
        <w:gridCol w:w="1120"/>
        <w:gridCol w:w="980"/>
      </w:tblGrid>
      <w:tr w:rsidR="00F95F9B">
        <w:trPr>
          <w:trHeight w:val="624"/>
          <w:tblHeader/>
        </w:trPr>
        <w:tc>
          <w:tcPr>
            <w:tcW w:w="3563"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危险源</w:t>
            </w:r>
          </w:p>
        </w:tc>
        <w:tc>
          <w:tcPr>
            <w:tcW w:w="160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泄漏模式</w:t>
            </w:r>
          </w:p>
        </w:tc>
        <w:tc>
          <w:tcPr>
            <w:tcW w:w="76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灾害模式</w:t>
            </w:r>
          </w:p>
        </w:tc>
        <w:tc>
          <w:tcPr>
            <w:tcW w:w="104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死亡半径</w:t>
            </w:r>
            <w:r>
              <w:rPr>
                <w:rFonts w:hint="eastAsia"/>
                <w:b/>
                <w:bCs/>
                <w:kern w:val="0"/>
                <w:sz w:val="21"/>
                <w:lang w:bidi="ar"/>
              </w:rPr>
              <w:t>(m)</w:t>
            </w:r>
          </w:p>
        </w:tc>
        <w:tc>
          <w:tcPr>
            <w:tcW w:w="112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重伤半径</w:t>
            </w:r>
            <w:r>
              <w:rPr>
                <w:rFonts w:hint="eastAsia"/>
                <w:b/>
                <w:bCs/>
                <w:kern w:val="0"/>
                <w:sz w:val="21"/>
                <w:lang w:bidi="ar"/>
              </w:rPr>
              <w:t>(m)</w:t>
            </w:r>
          </w:p>
        </w:tc>
        <w:tc>
          <w:tcPr>
            <w:tcW w:w="98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轻伤半径</w:t>
            </w:r>
            <w:r>
              <w:rPr>
                <w:rFonts w:hint="eastAsia"/>
                <w:b/>
                <w:bCs/>
                <w:kern w:val="0"/>
                <w:sz w:val="21"/>
                <w:lang w:bidi="ar"/>
              </w:rPr>
              <w:t>(m)</w:t>
            </w:r>
          </w:p>
        </w:tc>
      </w:tr>
      <w:tr w:rsidR="00F95F9B">
        <w:trPr>
          <w:trHeight w:val="312"/>
        </w:trPr>
        <w:tc>
          <w:tcPr>
            <w:tcW w:w="3563"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1#</w:t>
            </w:r>
            <w:r>
              <w:rPr>
                <w:rFonts w:hint="eastAsia"/>
                <w:kern w:val="0"/>
                <w:sz w:val="21"/>
                <w:lang w:bidi="ar"/>
              </w:rPr>
              <w:t>沉降罐（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阀门大孔泄漏</w:t>
            </w:r>
          </w:p>
        </w:tc>
        <w:tc>
          <w:tcPr>
            <w:tcW w:w="76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39</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52</w:t>
            </w:r>
          </w:p>
        </w:tc>
      </w:tr>
      <w:tr w:rsidR="00F95F9B">
        <w:trPr>
          <w:trHeight w:val="312"/>
        </w:trPr>
        <w:tc>
          <w:tcPr>
            <w:tcW w:w="3563"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3#</w:t>
            </w:r>
            <w:r>
              <w:rPr>
                <w:rFonts w:hint="eastAsia"/>
                <w:kern w:val="0"/>
                <w:sz w:val="21"/>
                <w:lang w:bidi="ar"/>
              </w:rPr>
              <w:t>净化油罐（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管道大孔泄漏</w:t>
            </w:r>
          </w:p>
        </w:tc>
        <w:tc>
          <w:tcPr>
            <w:tcW w:w="76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39</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52</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3#</w:t>
            </w:r>
            <w:r>
              <w:rPr>
                <w:rFonts w:hint="eastAsia"/>
                <w:kern w:val="0"/>
                <w:sz w:val="21"/>
                <w:lang w:bidi="ar"/>
              </w:rPr>
              <w:t>净化油罐（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阀门大孔泄漏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39</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52</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3#</w:t>
            </w:r>
            <w:r>
              <w:rPr>
                <w:rFonts w:hint="eastAsia"/>
                <w:kern w:val="0"/>
                <w:sz w:val="21"/>
                <w:lang w:bidi="ar"/>
              </w:rPr>
              <w:t>净化油罐（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容器整体破裂</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39</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52</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1#</w:t>
            </w:r>
            <w:r>
              <w:rPr>
                <w:rFonts w:hint="eastAsia"/>
                <w:kern w:val="0"/>
                <w:sz w:val="21"/>
                <w:lang w:bidi="ar"/>
              </w:rPr>
              <w:t>沉降罐（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容器整体破裂</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39</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52</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1#</w:t>
            </w:r>
            <w:r>
              <w:rPr>
                <w:rFonts w:hint="eastAsia"/>
                <w:kern w:val="0"/>
                <w:sz w:val="21"/>
                <w:lang w:bidi="ar"/>
              </w:rPr>
              <w:t>沉降罐（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管道完全破裂</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39</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52</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3#</w:t>
            </w:r>
            <w:r>
              <w:rPr>
                <w:rFonts w:hint="eastAsia"/>
                <w:kern w:val="0"/>
                <w:sz w:val="21"/>
                <w:lang w:bidi="ar"/>
              </w:rPr>
              <w:t>净化油罐（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管道完全破裂</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39</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52</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1#</w:t>
            </w:r>
            <w:r>
              <w:rPr>
                <w:rFonts w:hint="eastAsia"/>
                <w:kern w:val="0"/>
                <w:sz w:val="21"/>
                <w:lang w:bidi="ar"/>
              </w:rPr>
              <w:t>沉降罐（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管道大孔泄漏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39</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52</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lastRenderedPageBreak/>
              <w:t>临南联合站：</w:t>
            </w:r>
            <w:r>
              <w:rPr>
                <w:rFonts w:hint="eastAsia"/>
                <w:kern w:val="0"/>
                <w:sz w:val="21"/>
                <w:lang w:bidi="ar"/>
              </w:rPr>
              <w:t>4#</w:t>
            </w:r>
            <w:r>
              <w:rPr>
                <w:rFonts w:hint="eastAsia"/>
                <w:kern w:val="0"/>
                <w:sz w:val="21"/>
                <w:lang w:bidi="ar"/>
              </w:rPr>
              <w:t>沉降罐（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容器整体破裂</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36</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4#</w:t>
            </w:r>
            <w:r>
              <w:rPr>
                <w:rFonts w:hint="eastAsia"/>
                <w:kern w:val="0"/>
                <w:sz w:val="21"/>
                <w:lang w:bidi="ar"/>
              </w:rPr>
              <w:t>沉降罐（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阀门大孔泄漏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36</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4#</w:t>
            </w:r>
            <w:r>
              <w:rPr>
                <w:rFonts w:hint="eastAsia"/>
                <w:kern w:val="0"/>
                <w:sz w:val="21"/>
                <w:lang w:bidi="ar"/>
              </w:rPr>
              <w:t>沉降罐（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管道大孔泄漏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36</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4#</w:t>
            </w:r>
            <w:r>
              <w:rPr>
                <w:rFonts w:hint="eastAsia"/>
                <w:kern w:val="0"/>
                <w:sz w:val="21"/>
                <w:lang w:bidi="ar"/>
              </w:rPr>
              <w:t>沉降罐（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管道完全破裂</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36</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3#</w:t>
            </w:r>
            <w:r>
              <w:rPr>
                <w:rFonts w:hint="eastAsia"/>
                <w:kern w:val="0"/>
                <w:sz w:val="21"/>
                <w:lang w:bidi="ar"/>
              </w:rPr>
              <w:t>净化油罐（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20</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28</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3#</w:t>
            </w:r>
            <w:r>
              <w:rPr>
                <w:rFonts w:hint="eastAsia"/>
                <w:kern w:val="0"/>
                <w:sz w:val="21"/>
                <w:lang w:bidi="ar"/>
              </w:rPr>
              <w:t>净化油罐（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20</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28</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3#</w:t>
            </w:r>
            <w:r>
              <w:rPr>
                <w:rFonts w:hint="eastAsia"/>
                <w:kern w:val="0"/>
                <w:sz w:val="21"/>
                <w:lang w:bidi="ar"/>
              </w:rPr>
              <w:t>净化油罐（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20</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28</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1#</w:t>
            </w:r>
            <w:r>
              <w:rPr>
                <w:rFonts w:hint="eastAsia"/>
                <w:kern w:val="0"/>
                <w:sz w:val="21"/>
                <w:lang w:bidi="ar"/>
              </w:rPr>
              <w:t>沉降罐（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20</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28</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1#</w:t>
            </w:r>
            <w:r>
              <w:rPr>
                <w:rFonts w:hint="eastAsia"/>
                <w:kern w:val="0"/>
                <w:sz w:val="21"/>
                <w:lang w:bidi="ar"/>
              </w:rPr>
              <w:t>沉降罐（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20</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28</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1#</w:t>
            </w:r>
            <w:r>
              <w:rPr>
                <w:rFonts w:hint="eastAsia"/>
                <w:kern w:val="0"/>
                <w:sz w:val="21"/>
                <w:lang w:bidi="ar"/>
              </w:rPr>
              <w:t>沉降罐（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20</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28</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4#</w:t>
            </w:r>
            <w:r>
              <w:rPr>
                <w:rFonts w:hint="eastAsia"/>
                <w:kern w:val="0"/>
                <w:sz w:val="21"/>
                <w:lang w:bidi="ar"/>
              </w:rPr>
              <w:t>沉降罐（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14</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18</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25</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4#</w:t>
            </w:r>
            <w:r>
              <w:rPr>
                <w:rFonts w:hint="eastAsia"/>
                <w:kern w:val="0"/>
                <w:sz w:val="21"/>
                <w:lang w:bidi="ar"/>
              </w:rPr>
              <w:t>沉降罐（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14</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18</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25</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4#</w:t>
            </w:r>
            <w:r>
              <w:rPr>
                <w:rFonts w:hint="eastAsia"/>
                <w:kern w:val="0"/>
                <w:sz w:val="21"/>
                <w:lang w:bidi="ar"/>
              </w:rPr>
              <w:t>沉降罐（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阀门中孔泄漏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14</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18</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25</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3#</w:t>
            </w:r>
            <w:r>
              <w:rPr>
                <w:rFonts w:hint="eastAsia"/>
                <w:kern w:val="0"/>
                <w:sz w:val="21"/>
                <w:lang w:bidi="ar"/>
              </w:rPr>
              <w:t>净化油罐（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阀门小孔泄漏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1#</w:t>
            </w:r>
            <w:r>
              <w:rPr>
                <w:rFonts w:hint="eastAsia"/>
                <w:kern w:val="0"/>
                <w:sz w:val="21"/>
                <w:lang w:bidi="ar"/>
              </w:rPr>
              <w:t>沉降罐（</w:t>
            </w:r>
            <w:r>
              <w:rPr>
                <w:rFonts w:hint="eastAsia"/>
                <w:kern w:val="0"/>
                <w:sz w:val="21"/>
                <w:lang w:bidi="ar"/>
              </w:rPr>
              <w:t>3000m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阀门小孔泄漏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w:t>
            </w:r>
          </w:p>
        </w:tc>
      </w:tr>
      <w:tr w:rsidR="00F95F9B">
        <w:trPr>
          <w:trHeight w:val="312"/>
        </w:trPr>
        <w:tc>
          <w:tcPr>
            <w:tcW w:w="356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bottom"/>
              <w:rPr>
                <w:kern w:val="0"/>
                <w:sz w:val="21"/>
                <w:lang w:bidi="ar"/>
              </w:rPr>
            </w:pPr>
            <w:r>
              <w:rPr>
                <w:rFonts w:hint="eastAsia"/>
                <w:kern w:val="0"/>
                <w:sz w:val="21"/>
                <w:lang w:bidi="ar"/>
              </w:rPr>
              <w:t>临南联合站：</w:t>
            </w:r>
            <w:r>
              <w:rPr>
                <w:rFonts w:hint="eastAsia"/>
                <w:kern w:val="0"/>
                <w:sz w:val="21"/>
                <w:lang w:bidi="ar"/>
              </w:rPr>
              <w:t>4#</w:t>
            </w:r>
            <w:r>
              <w:rPr>
                <w:rFonts w:hint="eastAsia"/>
                <w:kern w:val="0"/>
                <w:sz w:val="21"/>
                <w:lang w:bidi="ar"/>
              </w:rPr>
              <w:t>沉降罐（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6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阀门小孔泄漏</w:t>
            </w:r>
          </w:p>
        </w:tc>
        <w:tc>
          <w:tcPr>
            <w:tcW w:w="76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0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w:t>
            </w:r>
          </w:p>
        </w:tc>
        <w:tc>
          <w:tcPr>
            <w:tcW w:w="112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w:t>
            </w:r>
          </w:p>
        </w:tc>
        <w:tc>
          <w:tcPr>
            <w:tcW w:w="9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w:t>
            </w:r>
          </w:p>
        </w:tc>
      </w:tr>
    </w:tbl>
    <w:p w:rsidR="00F95F9B" w:rsidRDefault="00000000">
      <w:pPr>
        <w:pStyle w:val="2"/>
        <w:adjustRightInd w:val="0"/>
        <w:snapToGrid w:val="0"/>
        <w:spacing w:before="170" w:afterLines="0" w:after="0"/>
        <w:rPr>
          <w:lang w:val="zh-CN"/>
        </w:rPr>
      </w:pPr>
      <w:bookmarkStart w:id="95" w:name="_Toc9062"/>
      <w:r>
        <w:rPr>
          <w:rFonts w:hint="eastAsia"/>
        </w:rPr>
        <w:t>商</w:t>
      </w:r>
      <w:r>
        <w:rPr>
          <w:rFonts w:hint="eastAsia"/>
        </w:rPr>
        <w:t>56</w:t>
      </w:r>
      <w:r>
        <w:rPr>
          <w:rFonts w:hint="eastAsia"/>
        </w:rPr>
        <w:t>集输站</w:t>
      </w:r>
      <w:r>
        <w:t>事故发生的危害程度</w:t>
      </w:r>
      <w:bookmarkEnd w:id="95"/>
    </w:p>
    <w:p w:rsidR="00F95F9B" w:rsidRDefault="00000000">
      <w:pPr>
        <w:widowControl w:val="0"/>
        <w:adjustRightInd w:val="0"/>
        <w:snapToGrid w:val="0"/>
        <w:ind w:firstLine="470"/>
      </w:pPr>
      <w:r>
        <w:rPr>
          <w:rFonts w:hint="eastAsia"/>
          <w:lang w:val="zh-CN"/>
        </w:rPr>
        <w:t>商</w:t>
      </w:r>
      <w:r>
        <w:rPr>
          <w:rFonts w:hint="eastAsia"/>
        </w:rPr>
        <w:t>56</w:t>
      </w:r>
      <w:r>
        <w:rPr>
          <w:rFonts w:hint="eastAsia"/>
        </w:rPr>
        <w:t>集输站</w:t>
      </w:r>
      <w:r>
        <w:rPr>
          <w:rFonts w:hint="eastAsia"/>
          <w:lang w:val="zh-CN"/>
        </w:rPr>
        <w:t>设</w:t>
      </w:r>
      <w:r>
        <w:rPr>
          <w:rFonts w:hint="eastAsia"/>
        </w:rPr>
        <w:t>2000m</w:t>
      </w:r>
      <w:r>
        <w:rPr>
          <w:rFonts w:hint="eastAsia"/>
        </w:rPr>
        <w:t>³油罐</w:t>
      </w:r>
      <w:r>
        <w:rPr>
          <w:rFonts w:hint="eastAsia"/>
        </w:rPr>
        <w:t>5</w:t>
      </w:r>
      <w:r>
        <w:rPr>
          <w:rFonts w:hint="eastAsia"/>
        </w:rPr>
        <w:t>座，</w:t>
      </w:r>
      <w:r>
        <w:rPr>
          <w:rFonts w:hint="eastAsia"/>
          <w:lang w:val="zh-CN"/>
        </w:rPr>
        <w:t>容积</w:t>
      </w:r>
      <w:r>
        <w:rPr>
          <w:rFonts w:hint="eastAsia"/>
        </w:rPr>
        <w:t>2</w:t>
      </w:r>
      <w:r>
        <w:t>00</w:t>
      </w:r>
      <w:r>
        <w:rPr>
          <w:lang w:val="zh-CN"/>
        </w:rPr>
        <w:t>0m</w:t>
      </w:r>
      <w:r>
        <w:rPr>
          <w:vertAlign w:val="superscript"/>
          <w:lang w:val="zh-CN"/>
        </w:rPr>
        <w:t>3</w:t>
      </w:r>
      <w:r>
        <w:t>原油罐</w:t>
      </w:r>
      <w:r>
        <w:rPr>
          <w:rFonts w:hint="eastAsia"/>
        </w:rPr>
        <w:t>容器完全破裂情况下，事故后果图如图</w:t>
      </w:r>
      <w:r>
        <w:rPr>
          <w:rFonts w:hint="eastAsia"/>
        </w:rPr>
        <w:t>7.3-1</w:t>
      </w:r>
      <w:r>
        <w:rPr>
          <w:rFonts w:hint="eastAsia"/>
        </w:rPr>
        <w:t>所示</w:t>
      </w:r>
      <w:r>
        <w:rPr>
          <w:lang w:val="zh-CN"/>
        </w:rPr>
        <w:t>。各种事故后果具体影响范围</w:t>
      </w:r>
      <w:r>
        <w:t>（事故后果伤亡半径详细数据事故后果表）</w:t>
      </w:r>
      <w:r>
        <w:rPr>
          <w:rFonts w:hint="eastAsia"/>
          <w:lang w:val="zh-CN"/>
        </w:rPr>
        <w:t>详见</w:t>
      </w:r>
      <w:r>
        <w:rPr>
          <w:rFonts w:hint="eastAsia"/>
        </w:rPr>
        <w:t>表</w:t>
      </w:r>
      <w:r>
        <w:t>7.</w:t>
      </w:r>
      <w:r>
        <w:rPr>
          <w:rFonts w:hint="eastAsia"/>
        </w:rPr>
        <w:t>3</w:t>
      </w:r>
      <w:r>
        <w:t>-</w:t>
      </w:r>
      <w:r>
        <w:rPr>
          <w:rFonts w:hint="eastAsia"/>
        </w:rPr>
        <w:t>1</w:t>
      </w:r>
      <w:r>
        <w:rPr>
          <w:rFonts w:hint="eastAsia"/>
          <w:lang w:val="zh-CN"/>
        </w:rPr>
        <w:t>。</w:t>
      </w:r>
    </w:p>
    <w:p w:rsidR="00F95F9B" w:rsidRDefault="00F95F9B">
      <w:pPr>
        <w:widowControl w:val="0"/>
        <w:ind w:firstLineChars="0" w:firstLine="0"/>
        <w:jc w:val="center"/>
      </w:pPr>
    </w:p>
    <w:p w:rsidR="00F95F9B" w:rsidRDefault="00000000">
      <w:pPr>
        <w:widowControl w:val="0"/>
        <w:ind w:firstLineChars="0" w:firstLine="0"/>
        <w:jc w:val="center"/>
        <w:rPr>
          <w:rFonts w:eastAsia="黑体"/>
          <w:bCs/>
          <w:sz w:val="21"/>
        </w:rPr>
      </w:pPr>
      <w:r>
        <w:rPr>
          <w:rFonts w:eastAsia="黑体" w:hint="eastAsia"/>
          <w:bCs/>
          <w:sz w:val="21"/>
        </w:rPr>
        <w:t>图</w:t>
      </w:r>
      <w:r>
        <w:rPr>
          <w:rFonts w:eastAsia="黑体" w:hint="eastAsia"/>
          <w:bCs/>
          <w:sz w:val="21"/>
        </w:rPr>
        <w:t>7</w:t>
      </w:r>
      <w:r>
        <w:rPr>
          <w:rFonts w:eastAsia="黑体"/>
          <w:bCs/>
          <w:sz w:val="21"/>
        </w:rPr>
        <w:t>.</w:t>
      </w:r>
      <w:r>
        <w:rPr>
          <w:rFonts w:eastAsia="黑体" w:hint="eastAsia"/>
          <w:bCs/>
          <w:sz w:val="21"/>
        </w:rPr>
        <w:t>3</w:t>
      </w:r>
      <w:r>
        <w:rPr>
          <w:rFonts w:eastAsia="黑体"/>
          <w:bCs/>
          <w:sz w:val="21"/>
        </w:rPr>
        <w:t>-1</w:t>
      </w:r>
      <w:r>
        <w:rPr>
          <w:rFonts w:eastAsia="黑体" w:hint="eastAsia"/>
          <w:bCs/>
          <w:sz w:val="21"/>
        </w:rPr>
        <w:t xml:space="preserve">  </w:t>
      </w:r>
      <w:r>
        <w:rPr>
          <w:rFonts w:eastAsia="黑体"/>
          <w:bCs/>
          <w:sz w:val="21"/>
        </w:rPr>
        <w:t>2000m³</w:t>
      </w:r>
      <w:r>
        <w:rPr>
          <w:rFonts w:eastAsia="黑体" w:hint="eastAsia"/>
          <w:bCs/>
          <w:sz w:val="21"/>
        </w:rPr>
        <w:t>原油储罐完全破裂池火事故后果图</w:t>
      </w:r>
    </w:p>
    <w:p w:rsidR="00F95F9B" w:rsidRDefault="00000000">
      <w:pPr>
        <w:adjustRightInd w:val="0"/>
        <w:snapToGrid w:val="0"/>
        <w:ind w:firstLineChars="0" w:firstLine="0"/>
        <w:jc w:val="center"/>
        <w:rPr>
          <w:rFonts w:eastAsia="黑体"/>
          <w:bCs/>
          <w:sz w:val="21"/>
        </w:rPr>
      </w:pPr>
      <w:r>
        <w:rPr>
          <w:rFonts w:eastAsia="黑体" w:hint="eastAsia"/>
          <w:bCs/>
          <w:sz w:val="21"/>
        </w:rPr>
        <w:t>表</w:t>
      </w:r>
      <w:r>
        <w:rPr>
          <w:rFonts w:eastAsia="黑体"/>
          <w:bCs/>
          <w:sz w:val="21"/>
        </w:rPr>
        <w:t>7.</w:t>
      </w:r>
      <w:r>
        <w:rPr>
          <w:rFonts w:eastAsia="黑体" w:hint="eastAsia"/>
          <w:bCs/>
          <w:sz w:val="21"/>
        </w:rPr>
        <w:t>3</w:t>
      </w:r>
      <w:r>
        <w:rPr>
          <w:rFonts w:eastAsia="黑体"/>
          <w:bCs/>
          <w:sz w:val="21"/>
        </w:rPr>
        <w:t>-1</w:t>
      </w:r>
      <w:r>
        <w:rPr>
          <w:rFonts w:eastAsia="黑体" w:hint="eastAsia"/>
          <w:bCs/>
          <w:sz w:val="21"/>
        </w:rPr>
        <w:t xml:space="preserve">  </w:t>
      </w:r>
      <w:r>
        <w:rPr>
          <w:rFonts w:eastAsia="黑体" w:hint="eastAsia"/>
          <w:bCs/>
          <w:sz w:val="21"/>
        </w:rPr>
        <w:t>原油储罐事故</w:t>
      </w:r>
      <w:r>
        <w:rPr>
          <w:rFonts w:eastAsia="黑体"/>
          <w:bCs/>
          <w:sz w:val="21"/>
        </w:rPr>
        <w:t>后果</w:t>
      </w:r>
      <w:r>
        <w:rPr>
          <w:rFonts w:eastAsia="黑体" w:hint="eastAsia"/>
          <w:bCs/>
          <w:sz w:val="21"/>
        </w:rPr>
        <w:t>表</w:t>
      </w:r>
    </w:p>
    <w:tbl>
      <w:tblPr>
        <w:tblW w:w="9214" w:type="dxa"/>
        <w:tblInd w:w="9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231"/>
        <w:gridCol w:w="1587"/>
        <w:gridCol w:w="636"/>
        <w:gridCol w:w="1180"/>
        <w:gridCol w:w="1200"/>
        <w:gridCol w:w="1380"/>
      </w:tblGrid>
      <w:tr w:rsidR="00F95F9B">
        <w:trPr>
          <w:trHeight w:val="624"/>
          <w:tblHeader/>
        </w:trPr>
        <w:tc>
          <w:tcPr>
            <w:tcW w:w="3231"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危险源</w:t>
            </w:r>
          </w:p>
        </w:tc>
        <w:tc>
          <w:tcPr>
            <w:tcW w:w="1587"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泄漏模式</w:t>
            </w:r>
          </w:p>
        </w:tc>
        <w:tc>
          <w:tcPr>
            <w:tcW w:w="636"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灾害模式</w:t>
            </w:r>
          </w:p>
        </w:tc>
        <w:tc>
          <w:tcPr>
            <w:tcW w:w="118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死亡半径</w:t>
            </w:r>
            <w:r>
              <w:rPr>
                <w:rFonts w:hint="eastAsia"/>
                <w:b/>
                <w:bCs/>
                <w:kern w:val="0"/>
                <w:sz w:val="21"/>
                <w:lang w:bidi="ar"/>
              </w:rPr>
              <w:t>(m)</w:t>
            </w:r>
          </w:p>
        </w:tc>
        <w:tc>
          <w:tcPr>
            <w:tcW w:w="120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重伤半径</w:t>
            </w:r>
            <w:r>
              <w:rPr>
                <w:rFonts w:hint="eastAsia"/>
                <w:b/>
                <w:bCs/>
                <w:kern w:val="0"/>
                <w:sz w:val="21"/>
                <w:lang w:bidi="ar"/>
              </w:rPr>
              <w:t>(m)</w:t>
            </w:r>
          </w:p>
        </w:tc>
        <w:tc>
          <w:tcPr>
            <w:tcW w:w="138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轻伤半径</w:t>
            </w:r>
            <w:r>
              <w:rPr>
                <w:rFonts w:hint="eastAsia"/>
                <w:b/>
                <w:bCs/>
                <w:kern w:val="0"/>
                <w:sz w:val="21"/>
                <w:lang w:bidi="ar"/>
              </w:rPr>
              <w:t>(m)</w:t>
            </w:r>
          </w:p>
        </w:tc>
      </w:tr>
      <w:tr w:rsidR="00F95F9B">
        <w:trPr>
          <w:trHeight w:val="312"/>
        </w:trPr>
        <w:tc>
          <w:tcPr>
            <w:tcW w:w="3231"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1#</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管道完全破裂</w:t>
            </w:r>
          </w:p>
        </w:tc>
        <w:tc>
          <w:tcPr>
            <w:tcW w:w="636"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29</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45</w:t>
            </w:r>
          </w:p>
        </w:tc>
      </w:tr>
      <w:tr w:rsidR="00F95F9B">
        <w:trPr>
          <w:trHeight w:val="312"/>
        </w:trPr>
        <w:tc>
          <w:tcPr>
            <w:tcW w:w="3231"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2#</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管道大孔泄漏</w:t>
            </w:r>
          </w:p>
        </w:tc>
        <w:tc>
          <w:tcPr>
            <w:tcW w:w="636"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29</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45</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1#</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容器整体破裂</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29</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45</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1#</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阀门大孔泄漏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29</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45</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2#</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阀门大孔泄漏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29</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45</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1#</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管道大孔泄漏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29</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45</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2#</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容器整体破裂</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29</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45</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2#</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管道完全破裂</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29</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33</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45</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2#</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管道中孔泄漏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26</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2#</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阀门中孔泄漏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26</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2#</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容器中孔泄漏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26</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1#</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容器中孔泄漏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26</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1#</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管道中孔泄漏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26</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lastRenderedPageBreak/>
              <w:t>商</w:t>
            </w:r>
            <w:r>
              <w:rPr>
                <w:rFonts w:hint="eastAsia"/>
                <w:kern w:val="0"/>
                <w:sz w:val="21"/>
                <w:lang w:bidi="ar"/>
              </w:rPr>
              <w:t>56</w:t>
            </w:r>
            <w:r>
              <w:rPr>
                <w:rFonts w:hint="eastAsia"/>
                <w:kern w:val="0"/>
                <w:sz w:val="21"/>
                <w:lang w:bidi="ar"/>
              </w:rPr>
              <w:t>集输站：</w:t>
            </w:r>
            <w:r>
              <w:rPr>
                <w:rFonts w:hint="eastAsia"/>
                <w:kern w:val="0"/>
                <w:sz w:val="21"/>
                <w:lang w:bidi="ar"/>
              </w:rPr>
              <w:t>1#</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阀门中孔泄漏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26</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1#</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阀门小孔泄漏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w:t>
            </w:r>
          </w:p>
        </w:tc>
      </w:tr>
      <w:tr w:rsidR="00F95F9B">
        <w:trPr>
          <w:trHeight w:val="312"/>
        </w:trPr>
        <w:tc>
          <w:tcPr>
            <w:tcW w:w="3231"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商</w:t>
            </w:r>
            <w:r>
              <w:rPr>
                <w:rFonts w:hint="eastAsia"/>
                <w:kern w:val="0"/>
                <w:sz w:val="21"/>
                <w:lang w:bidi="ar"/>
              </w:rPr>
              <w:t>56</w:t>
            </w:r>
            <w:r>
              <w:rPr>
                <w:rFonts w:hint="eastAsia"/>
                <w:kern w:val="0"/>
                <w:sz w:val="21"/>
                <w:lang w:bidi="ar"/>
              </w:rPr>
              <w:t>集输站：</w:t>
            </w:r>
            <w:r>
              <w:rPr>
                <w:rFonts w:hint="eastAsia"/>
                <w:kern w:val="0"/>
                <w:sz w:val="21"/>
                <w:lang w:bidi="ar"/>
              </w:rPr>
              <w:t>2#</w:t>
            </w:r>
            <w:r>
              <w:rPr>
                <w:rFonts w:hint="eastAsia"/>
                <w:kern w:val="0"/>
                <w:sz w:val="21"/>
                <w:lang w:bidi="ar"/>
              </w:rPr>
              <w:t>油罐（</w:t>
            </w:r>
            <w:r>
              <w:rPr>
                <w:rFonts w:hint="eastAsia"/>
                <w:kern w:val="0"/>
                <w:sz w:val="21"/>
                <w:lang w:bidi="ar"/>
              </w:rPr>
              <w:t>2000m</w:t>
            </w:r>
            <w:r>
              <w:rPr>
                <w:rFonts w:hint="eastAsia"/>
                <w:kern w:val="0"/>
                <w:sz w:val="21"/>
                <w:vertAlign w:val="superscript"/>
                <w:lang w:bidi="ar"/>
              </w:rPr>
              <w:t>3</w:t>
            </w:r>
            <w:r>
              <w:rPr>
                <w:rFonts w:hint="eastAsia"/>
                <w:kern w:val="0"/>
                <w:sz w:val="21"/>
                <w:lang w:bidi="ar"/>
              </w:rPr>
              <w:t>）</w:t>
            </w:r>
          </w:p>
        </w:tc>
        <w:tc>
          <w:tcPr>
            <w:tcW w:w="1587"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阀门小孔泄漏</w:t>
            </w:r>
          </w:p>
        </w:tc>
        <w:tc>
          <w:tcPr>
            <w:tcW w:w="636"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w:t>
            </w:r>
          </w:p>
        </w:tc>
        <w:tc>
          <w:tcPr>
            <w:tcW w:w="120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w:t>
            </w:r>
          </w:p>
        </w:tc>
        <w:tc>
          <w:tcPr>
            <w:tcW w:w="13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w:t>
            </w:r>
          </w:p>
        </w:tc>
      </w:tr>
    </w:tbl>
    <w:p w:rsidR="00F95F9B" w:rsidRDefault="00000000">
      <w:pPr>
        <w:pStyle w:val="2"/>
        <w:adjustRightInd w:val="0"/>
        <w:snapToGrid w:val="0"/>
        <w:spacing w:before="170" w:afterLines="0" w:after="0"/>
        <w:rPr>
          <w:lang w:val="zh-CN"/>
        </w:rPr>
      </w:pPr>
      <w:bookmarkStart w:id="96" w:name="_Toc19823"/>
      <w:r>
        <w:rPr>
          <w:rFonts w:hint="eastAsia"/>
        </w:rPr>
        <w:t>滨</w:t>
      </w:r>
      <w:r>
        <w:rPr>
          <w:rFonts w:hint="eastAsia"/>
        </w:rPr>
        <w:t>425</w:t>
      </w:r>
      <w:r>
        <w:rPr>
          <w:rFonts w:hint="eastAsia"/>
        </w:rPr>
        <w:t>集输站</w:t>
      </w:r>
      <w:r>
        <w:t>事故发生的危害程度</w:t>
      </w:r>
      <w:bookmarkEnd w:id="96"/>
    </w:p>
    <w:p w:rsidR="00F95F9B" w:rsidRDefault="00000000">
      <w:pPr>
        <w:widowControl w:val="0"/>
        <w:adjustRightInd w:val="0"/>
        <w:snapToGrid w:val="0"/>
        <w:ind w:firstLine="470"/>
      </w:pPr>
      <w:r>
        <w:rPr>
          <w:rFonts w:hint="eastAsia"/>
          <w:lang w:val="zh-CN"/>
        </w:rPr>
        <w:t>滨</w:t>
      </w:r>
      <w:r>
        <w:rPr>
          <w:rFonts w:hint="eastAsia"/>
        </w:rPr>
        <w:t>425</w:t>
      </w:r>
      <w:r>
        <w:rPr>
          <w:rFonts w:hint="eastAsia"/>
        </w:rPr>
        <w:t>集输站</w:t>
      </w:r>
      <w:r>
        <w:rPr>
          <w:rFonts w:hint="eastAsia"/>
          <w:lang w:val="zh-CN"/>
        </w:rPr>
        <w:t>设</w:t>
      </w:r>
      <w:r>
        <w:rPr>
          <w:rFonts w:hint="eastAsia"/>
        </w:rPr>
        <w:t>500m</w:t>
      </w:r>
      <w:r>
        <w:rPr>
          <w:rFonts w:hint="eastAsia"/>
        </w:rPr>
        <w:t>³油罐</w:t>
      </w:r>
      <w:r>
        <w:rPr>
          <w:rFonts w:hint="eastAsia"/>
        </w:rPr>
        <w:t>2</w:t>
      </w:r>
      <w:r>
        <w:rPr>
          <w:rFonts w:hint="eastAsia"/>
        </w:rPr>
        <w:t>座、</w:t>
      </w:r>
      <w:r>
        <w:rPr>
          <w:rFonts w:hint="eastAsia"/>
        </w:rPr>
        <w:t>100m</w:t>
      </w:r>
      <w:r>
        <w:rPr>
          <w:rFonts w:hint="eastAsia"/>
        </w:rPr>
        <w:t>³油罐</w:t>
      </w:r>
      <w:r>
        <w:rPr>
          <w:rFonts w:hint="eastAsia"/>
        </w:rPr>
        <w:t>2</w:t>
      </w:r>
      <w:r>
        <w:rPr>
          <w:rFonts w:hint="eastAsia"/>
        </w:rPr>
        <w:t>座，</w:t>
      </w:r>
      <w:r>
        <w:rPr>
          <w:rFonts w:hint="eastAsia"/>
          <w:lang w:val="zh-CN"/>
        </w:rPr>
        <w:t>容积</w:t>
      </w:r>
      <w:r>
        <w:rPr>
          <w:rFonts w:hint="eastAsia"/>
        </w:rPr>
        <w:t>5</w:t>
      </w:r>
      <w:r>
        <w:t>0</w:t>
      </w:r>
      <w:r>
        <w:rPr>
          <w:lang w:val="zh-CN"/>
        </w:rPr>
        <w:t>0m</w:t>
      </w:r>
      <w:r>
        <w:rPr>
          <w:vertAlign w:val="superscript"/>
          <w:lang w:val="zh-CN"/>
        </w:rPr>
        <w:t>3</w:t>
      </w:r>
      <w:r>
        <w:rPr>
          <w:rFonts w:hint="eastAsia"/>
        </w:rPr>
        <w:t>、</w:t>
      </w:r>
      <w:r>
        <w:rPr>
          <w:rFonts w:hint="eastAsia"/>
        </w:rPr>
        <w:t>1</w:t>
      </w:r>
      <w:r>
        <w:t>0</w:t>
      </w:r>
      <w:r>
        <w:rPr>
          <w:lang w:val="zh-CN"/>
        </w:rPr>
        <w:t>0m</w:t>
      </w:r>
      <w:r>
        <w:rPr>
          <w:vertAlign w:val="superscript"/>
          <w:lang w:val="zh-CN"/>
        </w:rPr>
        <w:t>3</w:t>
      </w:r>
      <w:r>
        <w:t>原油罐</w:t>
      </w:r>
      <w:r>
        <w:rPr>
          <w:rFonts w:hint="eastAsia"/>
        </w:rPr>
        <w:t>容器完全破裂情况下，事故后果图如图</w:t>
      </w:r>
      <w:r>
        <w:rPr>
          <w:rFonts w:hint="eastAsia"/>
        </w:rPr>
        <w:t>7.4-1</w:t>
      </w:r>
      <w:r>
        <w:rPr>
          <w:rFonts w:hint="eastAsia"/>
        </w:rPr>
        <w:t>、</w:t>
      </w:r>
      <w:r>
        <w:rPr>
          <w:rFonts w:hint="eastAsia"/>
        </w:rPr>
        <w:t>7.4-2</w:t>
      </w:r>
      <w:r>
        <w:rPr>
          <w:rFonts w:hint="eastAsia"/>
        </w:rPr>
        <w:t>所示</w:t>
      </w:r>
      <w:r>
        <w:rPr>
          <w:lang w:val="zh-CN"/>
        </w:rPr>
        <w:t>。各种事故后果具体影响范围</w:t>
      </w:r>
      <w:r>
        <w:t>（事故后果伤亡半径详细数据事故后果表）</w:t>
      </w:r>
      <w:r>
        <w:rPr>
          <w:rFonts w:hint="eastAsia"/>
          <w:lang w:val="zh-CN"/>
        </w:rPr>
        <w:t>详见</w:t>
      </w:r>
      <w:r>
        <w:rPr>
          <w:rFonts w:hint="eastAsia"/>
        </w:rPr>
        <w:t>表</w:t>
      </w:r>
      <w:r>
        <w:t>7.</w:t>
      </w:r>
      <w:r>
        <w:rPr>
          <w:rFonts w:hint="eastAsia"/>
        </w:rPr>
        <w:t>4</w:t>
      </w:r>
      <w:r>
        <w:t>-</w:t>
      </w:r>
      <w:r>
        <w:rPr>
          <w:rFonts w:hint="eastAsia"/>
        </w:rPr>
        <w:t>1</w:t>
      </w:r>
      <w:r>
        <w:rPr>
          <w:rFonts w:hint="eastAsia"/>
          <w:lang w:val="zh-CN"/>
        </w:rPr>
        <w:t>。</w:t>
      </w:r>
    </w:p>
    <w:p w:rsidR="00F95F9B" w:rsidRDefault="00F95F9B">
      <w:pPr>
        <w:widowControl w:val="0"/>
        <w:ind w:firstLineChars="0" w:firstLine="0"/>
        <w:jc w:val="center"/>
      </w:pPr>
    </w:p>
    <w:p w:rsidR="00F95F9B" w:rsidRDefault="00000000">
      <w:pPr>
        <w:widowControl w:val="0"/>
        <w:ind w:firstLineChars="0" w:firstLine="0"/>
        <w:jc w:val="center"/>
        <w:rPr>
          <w:rFonts w:eastAsia="黑体"/>
          <w:bCs/>
          <w:sz w:val="21"/>
        </w:rPr>
      </w:pPr>
      <w:r>
        <w:rPr>
          <w:rFonts w:eastAsia="黑体" w:hint="eastAsia"/>
          <w:bCs/>
          <w:sz w:val="21"/>
        </w:rPr>
        <w:t>图</w:t>
      </w:r>
      <w:r>
        <w:rPr>
          <w:rFonts w:eastAsia="黑体" w:hint="eastAsia"/>
          <w:bCs/>
          <w:sz w:val="21"/>
        </w:rPr>
        <w:t>7</w:t>
      </w:r>
      <w:r>
        <w:rPr>
          <w:rFonts w:eastAsia="黑体"/>
          <w:bCs/>
          <w:sz w:val="21"/>
        </w:rPr>
        <w:t>.</w:t>
      </w:r>
      <w:r>
        <w:rPr>
          <w:rFonts w:eastAsia="黑体" w:hint="eastAsia"/>
          <w:bCs/>
          <w:sz w:val="21"/>
        </w:rPr>
        <w:t>4</w:t>
      </w:r>
      <w:r>
        <w:rPr>
          <w:rFonts w:eastAsia="黑体"/>
          <w:bCs/>
          <w:sz w:val="21"/>
        </w:rPr>
        <w:t>-1</w:t>
      </w:r>
      <w:r>
        <w:rPr>
          <w:rFonts w:eastAsia="黑体" w:hint="eastAsia"/>
          <w:bCs/>
          <w:sz w:val="21"/>
        </w:rPr>
        <w:t xml:space="preserve">  5</w:t>
      </w:r>
      <w:r>
        <w:rPr>
          <w:rFonts w:eastAsia="黑体"/>
          <w:bCs/>
          <w:sz w:val="21"/>
        </w:rPr>
        <w:t>00m³</w:t>
      </w:r>
      <w:r>
        <w:rPr>
          <w:rFonts w:eastAsia="黑体" w:hint="eastAsia"/>
          <w:bCs/>
          <w:sz w:val="21"/>
        </w:rPr>
        <w:t>原油储罐完全破裂池火事故后果图</w:t>
      </w:r>
    </w:p>
    <w:p w:rsidR="00F95F9B" w:rsidRDefault="00F95F9B">
      <w:pPr>
        <w:widowControl w:val="0"/>
        <w:ind w:firstLineChars="0" w:firstLine="0"/>
        <w:jc w:val="center"/>
      </w:pPr>
    </w:p>
    <w:p w:rsidR="00F95F9B" w:rsidRDefault="00000000">
      <w:pPr>
        <w:widowControl w:val="0"/>
        <w:adjustRightInd w:val="0"/>
        <w:snapToGrid w:val="0"/>
        <w:ind w:firstLineChars="0" w:firstLine="0"/>
        <w:jc w:val="center"/>
        <w:rPr>
          <w:rFonts w:eastAsia="黑体"/>
          <w:bCs/>
          <w:sz w:val="21"/>
        </w:rPr>
      </w:pPr>
      <w:r>
        <w:rPr>
          <w:rFonts w:eastAsia="黑体" w:hint="eastAsia"/>
          <w:bCs/>
          <w:sz w:val="21"/>
        </w:rPr>
        <w:t>图</w:t>
      </w:r>
      <w:r>
        <w:rPr>
          <w:rFonts w:eastAsia="黑体" w:hint="eastAsia"/>
          <w:bCs/>
          <w:sz w:val="21"/>
        </w:rPr>
        <w:t>7</w:t>
      </w:r>
      <w:r>
        <w:rPr>
          <w:rFonts w:eastAsia="黑体"/>
          <w:bCs/>
          <w:sz w:val="21"/>
        </w:rPr>
        <w:t>.</w:t>
      </w:r>
      <w:r>
        <w:rPr>
          <w:rFonts w:eastAsia="黑体" w:hint="eastAsia"/>
          <w:bCs/>
          <w:sz w:val="21"/>
        </w:rPr>
        <w:t>4</w:t>
      </w:r>
      <w:r>
        <w:rPr>
          <w:rFonts w:eastAsia="黑体"/>
          <w:bCs/>
          <w:sz w:val="21"/>
        </w:rPr>
        <w:t>-</w:t>
      </w:r>
      <w:r>
        <w:rPr>
          <w:rFonts w:eastAsia="黑体" w:hint="eastAsia"/>
          <w:bCs/>
          <w:sz w:val="21"/>
        </w:rPr>
        <w:t>2  1</w:t>
      </w:r>
      <w:r>
        <w:rPr>
          <w:rFonts w:eastAsia="黑体"/>
          <w:bCs/>
          <w:sz w:val="21"/>
        </w:rPr>
        <w:t>00m³</w:t>
      </w:r>
      <w:r>
        <w:rPr>
          <w:rFonts w:eastAsia="黑体" w:hint="eastAsia"/>
          <w:bCs/>
          <w:sz w:val="21"/>
        </w:rPr>
        <w:t>原油储罐完全破裂池火事故后果图</w:t>
      </w:r>
    </w:p>
    <w:p w:rsidR="00F95F9B" w:rsidRDefault="00000000">
      <w:pPr>
        <w:adjustRightInd w:val="0"/>
        <w:snapToGrid w:val="0"/>
        <w:ind w:firstLineChars="0" w:firstLine="0"/>
        <w:jc w:val="center"/>
        <w:rPr>
          <w:rFonts w:eastAsia="黑体"/>
          <w:bCs/>
          <w:sz w:val="21"/>
        </w:rPr>
      </w:pPr>
      <w:r>
        <w:rPr>
          <w:rFonts w:eastAsia="黑体" w:hint="eastAsia"/>
          <w:bCs/>
          <w:sz w:val="21"/>
        </w:rPr>
        <w:t>表</w:t>
      </w:r>
      <w:r>
        <w:rPr>
          <w:rFonts w:eastAsia="黑体"/>
          <w:bCs/>
          <w:sz w:val="21"/>
        </w:rPr>
        <w:t>7.</w:t>
      </w:r>
      <w:r>
        <w:rPr>
          <w:rFonts w:eastAsia="黑体" w:hint="eastAsia"/>
          <w:bCs/>
          <w:sz w:val="21"/>
        </w:rPr>
        <w:t>4</w:t>
      </w:r>
      <w:r>
        <w:rPr>
          <w:rFonts w:eastAsia="黑体"/>
          <w:bCs/>
          <w:sz w:val="21"/>
        </w:rPr>
        <w:t>-1</w:t>
      </w:r>
      <w:r>
        <w:rPr>
          <w:rFonts w:eastAsia="黑体" w:hint="eastAsia"/>
          <w:bCs/>
          <w:sz w:val="21"/>
        </w:rPr>
        <w:t xml:space="preserve">  </w:t>
      </w:r>
      <w:r>
        <w:rPr>
          <w:rFonts w:eastAsia="黑体" w:hint="eastAsia"/>
          <w:bCs/>
          <w:sz w:val="21"/>
        </w:rPr>
        <w:t>原油储罐事故</w:t>
      </w:r>
      <w:r>
        <w:rPr>
          <w:rFonts w:eastAsia="黑体"/>
          <w:bCs/>
          <w:sz w:val="21"/>
        </w:rPr>
        <w:t>后果</w:t>
      </w:r>
      <w:r>
        <w:rPr>
          <w:rFonts w:eastAsia="黑体" w:hint="eastAsia"/>
          <w:bCs/>
          <w:sz w:val="21"/>
        </w:rPr>
        <w:t>表</w:t>
      </w:r>
    </w:p>
    <w:tbl>
      <w:tblPr>
        <w:tblW w:w="9094" w:type="dxa"/>
        <w:tblInd w:w="9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753"/>
        <w:gridCol w:w="1642"/>
        <w:gridCol w:w="750"/>
        <w:gridCol w:w="929"/>
        <w:gridCol w:w="1080"/>
        <w:gridCol w:w="940"/>
      </w:tblGrid>
      <w:tr w:rsidR="00F95F9B">
        <w:trPr>
          <w:trHeight w:val="624"/>
        </w:trPr>
        <w:tc>
          <w:tcPr>
            <w:tcW w:w="3753"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kern w:val="0"/>
                <w:sz w:val="21"/>
                <w:lang w:bidi="ar"/>
              </w:rPr>
            </w:pPr>
            <w:r>
              <w:rPr>
                <w:rFonts w:hint="eastAsia"/>
                <w:b/>
                <w:bCs/>
                <w:kern w:val="0"/>
                <w:sz w:val="21"/>
                <w:lang w:bidi="ar"/>
              </w:rPr>
              <w:t>危险源</w:t>
            </w:r>
          </w:p>
        </w:tc>
        <w:tc>
          <w:tcPr>
            <w:tcW w:w="1642"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kern w:val="0"/>
                <w:sz w:val="21"/>
                <w:lang w:bidi="ar"/>
              </w:rPr>
            </w:pPr>
            <w:r>
              <w:rPr>
                <w:rFonts w:hint="eastAsia"/>
                <w:b/>
                <w:bCs/>
                <w:kern w:val="0"/>
                <w:sz w:val="21"/>
                <w:lang w:bidi="ar"/>
              </w:rPr>
              <w:t>泄漏模式</w:t>
            </w:r>
          </w:p>
        </w:tc>
        <w:tc>
          <w:tcPr>
            <w:tcW w:w="75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kern w:val="0"/>
                <w:sz w:val="21"/>
                <w:lang w:bidi="ar"/>
              </w:rPr>
            </w:pPr>
            <w:r>
              <w:rPr>
                <w:rFonts w:hint="eastAsia"/>
                <w:b/>
                <w:bCs/>
                <w:kern w:val="0"/>
                <w:sz w:val="21"/>
                <w:lang w:bidi="ar"/>
              </w:rPr>
              <w:t>灾害模式</w:t>
            </w:r>
          </w:p>
        </w:tc>
        <w:tc>
          <w:tcPr>
            <w:tcW w:w="929"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kern w:val="0"/>
                <w:sz w:val="21"/>
                <w:lang w:bidi="ar"/>
              </w:rPr>
            </w:pPr>
            <w:r>
              <w:rPr>
                <w:rFonts w:hint="eastAsia"/>
                <w:b/>
                <w:bCs/>
                <w:kern w:val="0"/>
                <w:sz w:val="21"/>
                <w:lang w:bidi="ar"/>
              </w:rPr>
              <w:t>死亡半径</w:t>
            </w:r>
            <w:r>
              <w:rPr>
                <w:rFonts w:hint="eastAsia"/>
                <w:b/>
                <w:bCs/>
                <w:kern w:val="0"/>
                <w:sz w:val="21"/>
                <w:lang w:bidi="ar"/>
              </w:rPr>
              <w:t>(m)</w:t>
            </w:r>
          </w:p>
        </w:tc>
        <w:tc>
          <w:tcPr>
            <w:tcW w:w="108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kern w:val="0"/>
                <w:sz w:val="21"/>
                <w:lang w:bidi="ar"/>
              </w:rPr>
            </w:pPr>
            <w:r>
              <w:rPr>
                <w:rFonts w:hint="eastAsia"/>
                <w:b/>
                <w:bCs/>
                <w:kern w:val="0"/>
                <w:sz w:val="21"/>
                <w:lang w:bidi="ar"/>
              </w:rPr>
              <w:t>重伤半径</w:t>
            </w:r>
            <w:r>
              <w:rPr>
                <w:rFonts w:hint="eastAsia"/>
                <w:b/>
                <w:bCs/>
                <w:kern w:val="0"/>
                <w:sz w:val="21"/>
                <w:lang w:bidi="ar"/>
              </w:rPr>
              <w:t>(m)</w:t>
            </w:r>
          </w:p>
        </w:tc>
        <w:tc>
          <w:tcPr>
            <w:tcW w:w="940" w:type="dxa"/>
            <w:tcBorders>
              <w:tl2br w:val="nil"/>
              <w:tr2bl w:val="nil"/>
            </w:tcBorders>
            <w:shd w:val="clear" w:color="auto" w:fill="auto"/>
            <w:vAlign w:val="center"/>
          </w:tcPr>
          <w:p w:rsidR="00F95F9B" w:rsidRDefault="00000000">
            <w:pPr>
              <w:adjustRightInd w:val="0"/>
              <w:snapToGrid w:val="0"/>
              <w:spacing w:line="240" w:lineRule="auto"/>
              <w:ind w:firstLineChars="0" w:firstLine="0"/>
              <w:jc w:val="center"/>
              <w:textAlignment w:val="center"/>
              <w:rPr>
                <w:b/>
                <w:bCs/>
                <w:kern w:val="0"/>
                <w:sz w:val="21"/>
                <w:lang w:bidi="ar"/>
              </w:rPr>
            </w:pPr>
            <w:r>
              <w:rPr>
                <w:rFonts w:hint="eastAsia"/>
                <w:b/>
                <w:bCs/>
                <w:kern w:val="0"/>
                <w:sz w:val="21"/>
                <w:lang w:bidi="ar"/>
              </w:rPr>
              <w:t>轻伤半径</w:t>
            </w:r>
            <w:r>
              <w:rPr>
                <w:rFonts w:hint="eastAsia"/>
                <w:b/>
                <w:bCs/>
                <w:kern w:val="0"/>
                <w:sz w:val="21"/>
                <w:lang w:bidi="ar"/>
              </w:rPr>
              <w:t>(m)</w:t>
            </w:r>
          </w:p>
        </w:tc>
      </w:tr>
      <w:tr w:rsidR="00F95F9B">
        <w:trPr>
          <w:trHeight w:val="312"/>
        </w:trPr>
        <w:tc>
          <w:tcPr>
            <w:tcW w:w="3753"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集输站：沉降油罐（</w:t>
            </w:r>
            <w:r>
              <w:rPr>
                <w:rFonts w:hint="eastAsia"/>
                <w:kern w:val="0"/>
                <w:sz w:val="21"/>
                <w:lang w:bidi="ar"/>
              </w:rPr>
              <w:t>500m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容器整体破裂</w:t>
            </w:r>
          </w:p>
        </w:tc>
        <w:tc>
          <w:tcPr>
            <w:tcW w:w="75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16</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21</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29</w:t>
            </w:r>
          </w:p>
        </w:tc>
      </w:tr>
      <w:tr w:rsidR="00F95F9B">
        <w:trPr>
          <w:trHeight w:val="312"/>
        </w:trPr>
        <w:tc>
          <w:tcPr>
            <w:tcW w:w="3753"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集输站：沉降油罐（</w:t>
            </w:r>
            <w:r>
              <w:rPr>
                <w:rFonts w:hint="eastAsia"/>
                <w:kern w:val="0"/>
                <w:sz w:val="21"/>
                <w:lang w:bidi="ar"/>
              </w:rPr>
              <w:t>500m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阀门大孔泄漏</w:t>
            </w:r>
          </w:p>
        </w:tc>
        <w:tc>
          <w:tcPr>
            <w:tcW w:w="750"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bottom"/>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16</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21</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29</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集输站：沉降油罐（</w:t>
            </w:r>
            <w:r>
              <w:rPr>
                <w:rFonts w:hint="eastAsia"/>
                <w:kern w:val="0"/>
                <w:sz w:val="21"/>
                <w:lang w:bidi="ar"/>
              </w:rPr>
              <w:t>500m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管道大孔泄漏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16</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21</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29</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集输站：沉降油罐（</w:t>
            </w:r>
            <w:r>
              <w:rPr>
                <w:rFonts w:hint="eastAsia"/>
                <w:kern w:val="0"/>
                <w:sz w:val="21"/>
                <w:lang w:bidi="ar"/>
              </w:rPr>
              <w:t>500m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管道完全破裂</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16</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21</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29</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集输站：沉降油罐（</w:t>
            </w:r>
            <w:r>
              <w:rPr>
                <w:rFonts w:hint="eastAsia"/>
                <w:kern w:val="0"/>
                <w:sz w:val="21"/>
                <w:lang w:bidi="ar"/>
              </w:rPr>
              <w:t>500m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容器中孔泄漏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13</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18</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24</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集输站：沉降油罐（</w:t>
            </w:r>
            <w:r>
              <w:rPr>
                <w:rFonts w:hint="eastAsia"/>
                <w:kern w:val="0"/>
                <w:sz w:val="21"/>
                <w:lang w:bidi="ar"/>
              </w:rPr>
              <w:t>500m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阀门中孔泄漏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13</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18</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24</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集输站：沉降油罐（</w:t>
            </w:r>
            <w:r>
              <w:rPr>
                <w:rFonts w:hint="eastAsia"/>
                <w:kern w:val="0"/>
                <w:sz w:val="21"/>
                <w:lang w:bidi="ar"/>
              </w:rPr>
              <w:t>500m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管道中孔泄漏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13</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18</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24</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集输站：卸油缓冲罐（</w:t>
            </w:r>
            <w:r>
              <w:rPr>
                <w:rFonts w:hint="eastAsia"/>
                <w:kern w:val="0"/>
                <w:sz w:val="21"/>
                <w:lang w:bidi="ar"/>
              </w:rPr>
              <w:t>100m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容器中孔泄漏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9</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12</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17</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集输站：卸油缓冲罐（</w:t>
            </w:r>
            <w:r>
              <w:rPr>
                <w:rFonts w:hint="eastAsia"/>
                <w:kern w:val="0"/>
                <w:sz w:val="21"/>
                <w:lang w:bidi="ar"/>
              </w:rPr>
              <w:t>100m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容器整体破裂</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9</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12</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17</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集输站：卸油缓冲罐（</w:t>
            </w:r>
            <w:r>
              <w:rPr>
                <w:rFonts w:hint="eastAsia"/>
                <w:kern w:val="0"/>
                <w:sz w:val="21"/>
                <w:lang w:bidi="ar"/>
              </w:rPr>
              <w:t>100m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阀门中孔泄漏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9</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12</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17</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集输站：卸油缓冲罐（</w:t>
            </w:r>
            <w:r>
              <w:rPr>
                <w:rFonts w:hint="eastAsia"/>
                <w:kern w:val="0"/>
                <w:sz w:val="21"/>
                <w:lang w:bidi="ar"/>
              </w:rPr>
              <w:t>100m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阀门大孔泄漏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9</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12</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17</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集输站：卸油缓冲罐（</w:t>
            </w:r>
            <w:r>
              <w:rPr>
                <w:rFonts w:hint="eastAsia"/>
                <w:kern w:val="0"/>
                <w:sz w:val="21"/>
                <w:lang w:bidi="ar"/>
              </w:rPr>
              <w:t>100m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管道中孔泄漏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9</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12</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17</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集输站：卸油缓冲罐（</w:t>
            </w:r>
            <w:r>
              <w:rPr>
                <w:rFonts w:hint="eastAsia"/>
                <w:kern w:val="0"/>
                <w:sz w:val="21"/>
                <w:lang w:bidi="ar"/>
              </w:rPr>
              <w:t>100m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管道大孔泄漏</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9</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12</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17</w:t>
            </w:r>
          </w:p>
        </w:tc>
      </w:tr>
      <w:tr w:rsidR="00F95F9B">
        <w:trPr>
          <w:trHeight w:val="312"/>
        </w:trPr>
        <w:tc>
          <w:tcPr>
            <w:tcW w:w="3753"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left"/>
              <w:textAlignment w:val="center"/>
              <w:rPr>
                <w:kern w:val="0"/>
                <w:sz w:val="21"/>
                <w:lang w:bidi="ar"/>
              </w:rPr>
            </w:pPr>
            <w:r>
              <w:rPr>
                <w:rFonts w:hint="eastAsia"/>
                <w:kern w:val="0"/>
                <w:sz w:val="21"/>
                <w:lang w:bidi="ar"/>
              </w:rPr>
              <w:t>滨</w:t>
            </w:r>
            <w:r>
              <w:rPr>
                <w:rFonts w:hint="eastAsia"/>
                <w:kern w:val="0"/>
                <w:sz w:val="21"/>
                <w:lang w:bidi="ar"/>
              </w:rPr>
              <w:t>425</w:t>
            </w:r>
            <w:r>
              <w:rPr>
                <w:rFonts w:hint="eastAsia"/>
                <w:kern w:val="0"/>
                <w:sz w:val="21"/>
                <w:lang w:bidi="ar"/>
              </w:rPr>
              <w:t>集输站：卸油缓冲罐（</w:t>
            </w:r>
            <w:r>
              <w:rPr>
                <w:rFonts w:hint="eastAsia"/>
                <w:kern w:val="0"/>
                <w:sz w:val="21"/>
                <w:lang w:bidi="ar"/>
              </w:rPr>
              <w:t>100m</w:t>
            </w:r>
            <w:r>
              <w:rPr>
                <w:rFonts w:hint="eastAsia"/>
                <w:kern w:val="0"/>
                <w:sz w:val="21"/>
                <w:vertAlign w:val="superscript"/>
                <w:lang w:bidi="ar"/>
              </w:rPr>
              <w:t>3</w:t>
            </w:r>
            <w:r>
              <w:rPr>
                <w:rFonts w:hint="eastAsia"/>
                <w:kern w:val="0"/>
                <w:sz w:val="21"/>
                <w:lang w:bidi="ar"/>
              </w:rPr>
              <w:t>）</w:t>
            </w:r>
          </w:p>
        </w:tc>
        <w:tc>
          <w:tcPr>
            <w:tcW w:w="1642"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管道完全破裂</w:t>
            </w:r>
          </w:p>
        </w:tc>
        <w:tc>
          <w:tcPr>
            <w:tcW w:w="75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池火</w:t>
            </w:r>
          </w:p>
        </w:tc>
        <w:tc>
          <w:tcPr>
            <w:tcW w:w="929"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9</w:t>
            </w:r>
          </w:p>
        </w:tc>
        <w:tc>
          <w:tcPr>
            <w:tcW w:w="108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12</w:t>
            </w:r>
          </w:p>
        </w:tc>
        <w:tc>
          <w:tcPr>
            <w:tcW w:w="940" w:type="dxa"/>
            <w:tcBorders>
              <w:tl2br w:val="nil"/>
              <w:tr2bl w:val="nil"/>
            </w:tcBorders>
            <w:shd w:val="clear" w:color="auto" w:fill="auto"/>
            <w:noWrap/>
            <w:vAlign w:val="center"/>
          </w:tcPr>
          <w:p w:rsidR="00F95F9B" w:rsidRDefault="00000000">
            <w:pPr>
              <w:adjustRightInd w:val="0"/>
              <w:snapToGrid w:val="0"/>
              <w:spacing w:line="240" w:lineRule="auto"/>
              <w:ind w:firstLineChars="0" w:firstLine="0"/>
              <w:jc w:val="center"/>
              <w:textAlignment w:val="center"/>
              <w:rPr>
                <w:kern w:val="0"/>
                <w:sz w:val="21"/>
                <w:lang w:bidi="ar"/>
              </w:rPr>
            </w:pPr>
            <w:r>
              <w:rPr>
                <w:rFonts w:hint="eastAsia"/>
                <w:kern w:val="0"/>
                <w:sz w:val="21"/>
                <w:lang w:bidi="ar"/>
              </w:rPr>
              <w:t>17</w:t>
            </w:r>
          </w:p>
        </w:tc>
      </w:tr>
    </w:tbl>
    <w:p w:rsidR="00F95F9B" w:rsidRDefault="00000000">
      <w:pPr>
        <w:pStyle w:val="2"/>
        <w:adjustRightInd w:val="0"/>
        <w:snapToGrid w:val="0"/>
        <w:spacing w:before="170" w:afterLines="0" w:after="0"/>
        <w:rPr>
          <w:lang w:val="zh-CN"/>
        </w:rPr>
      </w:pPr>
      <w:bookmarkStart w:id="97" w:name="_Toc20723"/>
      <w:r>
        <w:rPr>
          <w:rFonts w:hint="eastAsia"/>
        </w:rPr>
        <w:t>青南集输站</w:t>
      </w:r>
      <w:r>
        <w:t>事故发生的危害程度</w:t>
      </w:r>
      <w:bookmarkEnd w:id="97"/>
    </w:p>
    <w:p w:rsidR="00F95F9B" w:rsidRDefault="00000000">
      <w:pPr>
        <w:widowControl w:val="0"/>
        <w:adjustRightInd w:val="0"/>
        <w:snapToGrid w:val="0"/>
        <w:ind w:firstLine="470"/>
      </w:pPr>
      <w:r>
        <w:rPr>
          <w:rFonts w:hint="eastAsia"/>
          <w:lang w:val="zh-CN"/>
        </w:rPr>
        <w:t>青南</w:t>
      </w:r>
      <w:r>
        <w:rPr>
          <w:rFonts w:hint="eastAsia"/>
        </w:rPr>
        <w:t>集输站</w:t>
      </w:r>
      <w:r>
        <w:rPr>
          <w:rFonts w:hint="eastAsia"/>
          <w:lang w:val="zh-CN"/>
        </w:rPr>
        <w:t>设</w:t>
      </w:r>
      <w:r>
        <w:rPr>
          <w:rFonts w:hint="eastAsia"/>
        </w:rPr>
        <w:t>1000m</w:t>
      </w:r>
      <w:r>
        <w:rPr>
          <w:rFonts w:hint="eastAsia"/>
        </w:rPr>
        <w:t>³油罐</w:t>
      </w:r>
      <w:r>
        <w:rPr>
          <w:rFonts w:hint="eastAsia"/>
        </w:rPr>
        <w:t>2</w:t>
      </w:r>
      <w:r>
        <w:rPr>
          <w:rFonts w:hint="eastAsia"/>
        </w:rPr>
        <w:t>座、</w:t>
      </w:r>
      <w:r>
        <w:rPr>
          <w:rFonts w:hint="eastAsia"/>
        </w:rPr>
        <w:t>400m</w:t>
      </w:r>
      <w:r>
        <w:rPr>
          <w:rFonts w:hint="eastAsia"/>
        </w:rPr>
        <w:t>³油罐</w:t>
      </w:r>
      <w:r>
        <w:rPr>
          <w:rFonts w:hint="eastAsia"/>
        </w:rPr>
        <w:t>2</w:t>
      </w:r>
      <w:r>
        <w:rPr>
          <w:rFonts w:hint="eastAsia"/>
        </w:rPr>
        <w:t>座，</w:t>
      </w:r>
      <w:r>
        <w:rPr>
          <w:rFonts w:hint="eastAsia"/>
          <w:lang w:val="zh-CN"/>
        </w:rPr>
        <w:t>容积</w:t>
      </w:r>
      <w:r>
        <w:rPr>
          <w:rFonts w:hint="eastAsia"/>
        </w:rPr>
        <w:t>10</w:t>
      </w:r>
      <w:r>
        <w:t>0</w:t>
      </w:r>
      <w:r>
        <w:rPr>
          <w:lang w:val="zh-CN"/>
        </w:rPr>
        <w:t>0m</w:t>
      </w:r>
      <w:r>
        <w:rPr>
          <w:vertAlign w:val="superscript"/>
          <w:lang w:val="zh-CN"/>
        </w:rPr>
        <w:t>3</w:t>
      </w:r>
      <w:r>
        <w:rPr>
          <w:rFonts w:hint="eastAsia"/>
        </w:rPr>
        <w:t>、</w:t>
      </w:r>
      <w:r>
        <w:rPr>
          <w:rFonts w:hint="eastAsia"/>
        </w:rPr>
        <w:t>2</w:t>
      </w:r>
      <w:r>
        <w:t>0</w:t>
      </w:r>
      <w:r>
        <w:rPr>
          <w:lang w:val="zh-CN"/>
        </w:rPr>
        <w:t>0m</w:t>
      </w:r>
      <w:r>
        <w:rPr>
          <w:vertAlign w:val="superscript"/>
          <w:lang w:val="zh-CN"/>
        </w:rPr>
        <w:t>3</w:t>
      </w:r>
      <w:r>
        <w:t>原油罐</w:t>
      </w:r>
      <w:r>
        <w:rPr>
          <w:rFonts w:hint="eastAsia"/>
        </w:rPr>
        <w:t>容器完全破裂情况下，事故后果图如图</w:t>
      </w:r>
      <w:r>
        <w:rPr>
          <w:rFonts w:hint="eastAsia"/>
        </w:rPr>
        <w:t>7.5-1</w:t>
      </w:r>
      <w:r>
        <w:rPr>
          <w:rFonts w:hint="eastAsia"/>
        </w:rPr>
        <w:t>、</w:t>
      </w:r>
      <w:r>
        <w:rPr>
          <w:rFonts w:hint="eastAsia"/>
        </w:rPr>
        <w:t>7.5-2</w:t>
      </w:r>
      <w:r>
        <w:rPr>
          <w:rFonts w:hint="eastAsia"/>
        </w:rPr>
        <w:t>所示</w:t>
      </w:r>
      <w:r>
        <w:rPr>
          <w:lang w:val="zh-CN"/>
        </w:rPr>
        <w:t>。各种事故后果具体影响范围</w:t>
      </w:r>
      <w:r>
        <w:t>（事故后果伤亡半径详细数据事故后果表）</w:t>
      </w:r>
      <w:r>
        <w:rPr>
          <w:rFonts w:hint="eastAsia"/>
          <w:lang w:val="zh-CN"/>
        </w:rPr>
        <w:t>详见</w:t>
      </w:r>
      <w:r>
        <w:rPr>
          <w:rFonts w:hint="eastAsia"/>
        </w:rPr>
        <w:t>表</w:t>
      </w:r>
      <w:r>
        <w:t>7.</w:t>
      </w:r>
      <w:r>
        <w:rPr>
          <w:rFonts w:hint="eastAsia"/>
        </w:rPr>
        <w:t>5</w:t>
      </w:r>
      <w:r>
        <w:t>-</w:t>
      </w:r>
      <w:r>
        <w:rPr>
          <w:rFonts w:hint="eastAsia"/>
        </w:rPr>
        <w:t>1</w:t>
      </w:r>
      <w:r>
        <w:rPr>
          <w:rFonts w:hint="eastAsia"/>
          <w:lang w:val="zh-CN"/>
        </w:rPr>
        <w:t>。</w:t>
      </w:r>
    </w:p>
    <w:p w:rsidR="00F95F9B" w:rsidRDefault="00F95F9B">
      <w:pPr>
        <w:widowControl w:val="0"/>
        <w:ind w:firstLineChars="0" w:firstLine="0"/>
        <w:jc w:val="center"/>
      </w:pPr>
    </w:p>
    <w:p w:rsidR="00F95F9B" w:rsidRDefault="00000000">
      <w:pPr>
        <w:widowControl w:val="0"/>
        <w:adjustRightInd w:val="0"/>
        <w:snapToGrid w:val="0"/>
        <w:ind w:firstLineChars="0" w:firstLine="0"/>
        <w:jc w:val="center"/>
        <w:rPr>
          <w:rFonts w:eastAsia="黑体"/>
          <w:bCs/>
          <w:sz w:val="21"/>
        </w:rPr>
      </w:pPr>
      <w:r>
        <w:rPr>
          <w:rFonts w:eastAsia="黑体" w:hint="eastAsia"/>
          <w:bCs/>
          <w:sz w:val="21"/>
        </w:rPr>
        <w:t>图</w:t>
      </w:r>
      <w:r>
        <w:rPr>
          <w:rFonts w:eastAsia="黑体" w:hint="eastAsia"/>
          <w:bCs/>
          <w:sz w:val="21"/>
        </w:rPr>
        <w:t>7</w:t>
      </w:r>
      <w:r>
        <w:rPr>
          <w:rFonts w:eastAsia="黑体"/>
          <w:bCs/>
          <w:sz w:val="21"/>
        </w:rPr>
        <w:t>.</w:t>
      </w:r>
      <w:r>
        <w:rPr>
          <w:rFonts w:eastAsia="黑体" w:hint="eastAsia"/>
          <w:bCs/>
          <w:sz w:val="21"/>
        </w:rPr>
        <w:t>5</w:t>
      </w:r>
      <w:r>
        <w:rPr>
          <w:rFonts w:eastAsia="黑体"/>
          <w:bCs/>
          <w:sz w:val="21"/>
        </w:rPr>
        <w:t>-1</w:t>
      </w:r>
      <w:r>
        <w:rPr>
          <w:rFonts w:eastAsia="黑体" w:hint="eastAsia"/>
          <w:bCs/>
          <w:sz w:val="21"/>
        </w:rPr>
        <w:t xml:space="preserve">  10</w:t>
      </w:r>
      <w:r>
        <w:rPr>
          <w:rFonts w:eastAsia="黑体"/>
          <w:bCs/>
          <w:sz w:val="21"/>
        </w:rPr>
        <w:t>00m³</w:t>
      </w:r>
      <w:r>
        <w:rPr>
          <w:rFonts w:eastAsia="黑体" w:hint="eastAsia"/>
          <w:bCs/>
          <w:sz w:val="21"/>
        </w:rPr>
        <w:t>原油储罐完全破裂池火事故后果图</w:t>
      </w:r>
    </w:p>
    <w:p w:rsidR="00F95F9B" w:rsidRDefault="00F95F9B">
      <w:pPr>
        <w:widowControl w:val="0"/>
        <w:ind w:firstLineChars="0" w:firstLine="0"/>
        <w:jc w:val="center"/>
      </w:pPr>
    </w:p>
    <w:p w:rsidR="00F95F9B" w:rsidRDefault="00000000">
      <w:pPr>
        <w:widowControl w:val="0"/>
        <w:ind w:firstLineChars="0" w:firstLine="0"/>
        <w:jc w:val="center"/>
        <w:rPr>
          <w:rFonts w:eastAsia="黑体"/>
          <w:bCs/>
          <w:sz w:val="21"/>
        </w:rPr>
      </w:pPr>
      <w:r>
        <w:rPr>
          <w:rFonts w:eastAsia="黑体" w:hint="eastAsia"/>
          <w:bCs/>
          <w:sz w:val="21"/>
        </w:rPr>
        <w:t>图</w:t>
      </w:r>
      <w:r>
        <w:rPr>
          <w:rFonts w:eastAsia="黑体" w:hint="eastAsia"/>
          <w:bCs/>
          <w:sz w:val="21"/>
        </w:rPr>
        <w:t>7</w:t>
      </w:r>
      <w:r>
        <w:rPr>
          <w:rFonts w:eastAsia="黑体"/>
          <w:bCs/>
          <w:sz w:val="21"/>
        </w:rPr>
        <w:t>.</w:t>
      </w:r>
      <w:r>
        <w:rPr>
          <w:rFonts w:eastAsia="黑体" w:hint="eastAsia"/>
          <w:bCs/>
          <w:sz w:val="21"/>
        </w:rPr>
        <w:t>5</w:t>
      </w:r>
      <w:r>
        <w:rPr>
          <w:rFonts w:eastAsia="黑体"/>
          <w:bCs/>
          <w:sz w:val="21"/>
        </w:rPr>
        <w:t>-</w:t>
      </w:r>
      <w:r>
        <w:rPr>
          <w:rFonts w:eastAsia="黑体" w:hint="eastAsia"/>
          <w:bCs/>
          <w:sz w:val="21"/>
        </w:rPr>
        <w:t>2  1</w:t>
      </w:r>
      <w:r>
        <w:rPr>
          <w:rFonts w:eastAsia="黑体"/>
          <w:bCs/>
          <w:sz w:val="21"/>
        </w:rPr>
        <w:t>00m³</w:t>
      </w:r>
      <w:r>
        <w:rPr>
          <w:rFonts w:eastAsia="黑体" w:hint="eastAsia"/>
          <w:bCs/>
          <w:sz w:val="21"/>
        </w:rPr>
        <w:t>原油储罐完全破裂池火事故后果图</w:t>
      </w:r>
    </w:p>
    <w:p w:rsidR="00F95F9B" w:rsidRDefault="00000000">
      <w:pPr>
        <w:adjustRightInd w:val="0"/>
        <w:snapToGrid w:val="0"/>
        <w:ind w:firstLineChars="0" w:firstLine="0"/>
        <w:jc w:val="center"/>
        <w:rPr>
          <w:rFonts w:eastAsia="黑体"/>
          <w:bCs/>
          <w:sz w:val="21"/>
        </w:rPr>
      </w:pPr>
      <w:r>
        <w:rPr>
          <w:rFonts w:eastAsia="黑体" w:hint="eastAsia"/>
          <w:bCs/>
          <w:sz w:val="21"/>
        </w:rPr>
        <w:t>表</w:t>
      </w:r>
      <w:r>
        <w:rPr>
          <w:rFonts w:eastAsia="黑体"/>
          <w:bCs/>
          <w:sz w:val="21"/>
        </w:rPr>
        <w:t>7.</w:t>
      </w:r>
      <w:r>
        <w:rPr>
          <w:rFonts w:eastAsia="黑体" w:hint="eastAsia"/>
          <w:bCs/>
          <w:sz w:val="21"/>
        </w:rPr>
        <w:t>5</w:t>
      </w:r>
      <w:r>
        <w:rPr>
          <w:rFonts w:eastAsia="黑体"/>
          <w:bCs/>
          <w:sz w:val="21"/>
        </w:rPr>
        <w:t>-1</w:t>
      </w:r>
      <w:r>
        <w:rPr>
          <w:rFonts w:eastAsia="黑体" w:hint="eastAsia"/>
          <w:bCs/>
          <w:sz w:val="21"/>
        </w:rPr>
        <w:t xml:space="preserve">  </w:t>
      </w:r>
      <w:r>
        <w:rPr>
          <w:rFonts w:eastAsia="黑体" w:hint="eastAsia"/>
          <w:bCs/>
          <w:sz w:val="21"/>
        </w:rPr>
        <w:t>原油储罐事故</w:t>
      </w:r>
      <w:r>
        <w:rPr>
          <w:rFonts w:eastAsia="黑体"/>
          <w:bCs/>
          <w:sz w:val="21"/>
        </w:rPr>
        <w:t>后果</w:t>
      </w:r>
      <w:r>
        <w:rPr>
          <w:rFonts w:eastAsia="黑体" w:hint="eastAsia"/>
          <w:bCs/>
          <w:sz w:val="21"/>
        </w:rPr>
        <w:t>表</w:t>
      </w:r>
    </w:p>
    <w:tbl>
      <w:tblPr>
        <w:tblW w:w="9261" w:type="dxa"/>
        <w:tblInd w:w="7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090"/>
        <w:gridCol w:w="1566"/>
        <w:gridCol w:w="1065"/>
        <w:gridCol w:w="1100"/>
        <w:gridCol w:w="1100"/>
        <w:gridCol w:w="1340"/>
      </w:tblGrid>
      <w:tr w:rsidR="00F95F9B">
        <w:trPr>
          <w:trHeight w:val="624"/>
          <w:tblHeader/>
        </w:trPr>
        <w:tc>
          <w:tcPr>
            <w:tcW w:w="3090" w:type="dxa"/>
            <w:tcBorders>
              <w:tl2br w:val="nil"/>
              <w:tr2bl w:val="nil"/>
            </w:tcBorders>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危险源</w:t>
            </w:r>
          </w:p>
        </w:tc>
        <w:tc>
          <w:tcPr>
            <w:tcW w:w="1566" w:type="dxa"/>
            <w:tcBorders>
              <w:tl2br w:val="nil"/>
              <w:tr2bl w:val="nil"/>
            </w:tcBorders>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泄漏模式</w:t>
            </w:r>
          </w:p>
        </w:tc>
        <w:tc>
          <w:tcPr>
            <w:tcW w:w="1065" w:type="dxa"/>
            <w:tcBorders>
              <w:tl2br w:val="nil"/>
              <w:tr2bl w:val="nil"/>
            </w:tcBorders>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灾害模式</w:t>
            </w:r>
          </w:p>
        </w:tc>
        <w:tc>
          <w:tcPr>
            <w:tcW w:w="1100" w:type="dxa"/>
            <w:tcBorders>
              <w:tl2br w:val="nil"/>
              <w:tr2bl w:val="nil"/>
            </w:tcBorders>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死亡半径</w:t>
            </w:r>
            <w:r>
              <w:rPr>
                <w:rFonts w:hint="eastAsia"/>
                <w:b/>
                <w:bCs/>
                <w:kern w:val="0"/>
                <w:sz w:val="21"/>
                <w:lang w:bidi="ar"/>
              </w:rPr>
              <w:t>(m)</w:t>
            </w:r>
          </w:p>
        </w:tc>
        <w:tc>
          <w:tcPr>
            <w:tcW w:w="1100" w:type="dxa"/>
            <w:tcBorders>
              <w:tl2br w:val="nil"/>
              <w:tr2bl w:val="nil"/>
            </w:tcBorders>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重伤半径</w:t>
            </w:r>
            <w:r>
              <w:rPr>
                <w:rFonts w:hint="eastAsia"/>
                <w:b/>
                <w:bCs/>
                <w:kern w:val="0"/>
                <w:sz w:val="21"/>
                <w:lang w:bidi="ar"/>
              </w:rPr>
              <w:t>(m)</w:t>
            </w:r>
          </w:p>
        </w:tc>
        <w:tc>
          <w:tcPr>
            <w:tcW w:w="1340" w:type="dxa"/>
            <w:tcBorders>
              <w:tl2br w:val="nil"/>
              <w:tr2bl w:val="nil"/>
            </w:tcBorders>
            <w:vAlign w:val="center"/>
          </w:tcPr>
          <w:p w:rsidR="00F95F9B" w:rsidRDefault="00000000">
            <w:pPr>
              <w:adjustRightInd w:val="0"/>
              <w:snapToGrid w:val="0"/>
              <w:spacing w:line="240" w:lineRule="auto"/>
              <w:ind w:firstLineChars="0" w:firstLine="0"/>
              <w:jc w:val="center"/>
              <w:textAlignment w:val="bottom"/>
              <w:rPr>
                <w:b/>
                <w:bCs/>
                <w:kern w:val="0"/>
                <w:sz w:val="21"/>
                <w:lang w:bidi="ar"/>
              </w:rPr>
            </w:pPr>
            <w:r>
              <w:rPr>
                <w:rFonts w:hint="eastAsia"/>
                <w:b/>
                <w:bCs/>
                <w:kern w:val="0"/>
                <w:sz w:val="21"/>
                <w:lang w:bidi="ar"/>
              </w:rPr>
              <w:t>轻伤半径</w:t>
            </w:r>
            <w:r>
              <w:rPr>
                <w:rFonts w:hint="eastAsia"/>
                <w:b/>
                <w:bCs/>
                <w:kern w:val="0"/>
                <w:sz w:val="21"/>
                <w:lang w:bidi="ar"/>
              </w:rPr>
              <w:t>(m)</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容器整体破裂</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36</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阀门大孔泄漏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36</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管道大孔泄漏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36</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管道完全破裂</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36</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400m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容器整体破裂</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400m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阀门大孔泄漏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400m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管道大孔泄漏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400m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管道完全破裂</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15</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19</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27</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容器中孔泄漏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14</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18</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25</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阀门中孔泄漏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14</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18</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25</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管道中孔泄漏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14</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18</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25</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400m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容器中孔泄漏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13</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16</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400m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阀门中孔泄漏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13</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16</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400m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管道中孔泄漏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13</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16</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23</w:t>
            </w:r>
          </w:p>
        </w:tc>
      </w:tr>
      <w:tr w:rsidR="00F95F9B">
        <w:trPr>
          <w:trHeight w:val="312"/>
        </w:trPr>
        <w:tc>
          <w:tcPr>
            <w:tcW w:w="309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青南联合站：油罐（</w:t>
            </w:r>
            <w:r>
              <w:rPr>
                <w:rFonts w:hint="eastAsia"/>
                <w:kern w:val="0"/>
                <w:sz w:val="21"/>
                <w:lang w:bidi="ar"/>
              </w:rPr>
              <w:t>1000m</w:t>
            </w:r>
            <w:r>
              <w:rPr>
                <w:rFonts w:hint="eastAsia"/>
                <w:kern w:val="0"/>
                <w:sz w:val="21"/>
                <w:vertAlign w:val="superscript"/>
                <w:lang w:bidi="ar"/>
              </w:rPr>
              <w:t>3</w:t>
            </w:r>
            <w:r>
              <w:rPr>
                <w:rFonts w:hint="eastAsia"/>
                <w:kern w:val="0"/>
                <w:sz w:val="21"/>
                <w:lang w:bidi="ar"/>
              </w:rPr>
              <w:t>）</w:t>
            </w:r>
          </w:p>
        </w:tc>
        <w:tc>
          <w:tcPr>
            <w:tcW w:w="1566"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阀门小孔泄漏</w:t>
            </w:r>
          </w:p>
        </w:tc>
        <w:tc>
          <w:tcPr>
            <w:tcW w:w="1065"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池火</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2</w:t>
            </w:r>
          </w:p>
        </w:tc>
        <w:tc>
          <w:tcPr>
            <w:tcW w:w="110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w:t>
            </w:r>
          </w:p>
        </w:tc>
        <w:tc>
          <w:tcPr>
            <w:tcW w:w="1340" w:type="dxa"/>
            <w:tcBorders>
              <w:tl2br w:val="nil"/>
              <w:tr2bl w:val="nil"/>
            </w:tcBorders>
          </w:tcPr>
          <w:p w:rsidR="00F95F9B" w:rsidRDefault="00000000">
            <w:pPr>
              <w:adjustRightInd w:val="0"/>
              <w:snapToGrid w:val="0"/>
              <w:spacing w:line="240" w:lineRule="auto"/>
              <w:ind w:firstLineChars="0" w:firstLine="0"/>
              <w:jc w:val="center"/>
              <w:textAlignment w:val="bottom"/>
              <w:rPr>
                <w:kern w:val="0"/>
                <w:sz w:val="21"/>
                <w:lang w:bidi="ar"/>
              </w:rPr>
            </w:pPr>
            <w:r>
              <w:rPr>
                <w:rFonts w:hint="eastAsia"/>
                <w:kern w:val="0"/>
                <w:sz w:val="21"/>
                <w:lang w:bidi="ar"/>
              </w:rPr>
              <w:t>5</w:t>
            </w:r>
          </w:p>
        </w:tc>
      </w:tr>
    </w:tbl>
    <w:p w:rsidR="00F95F9B" w:rsidRDefault="00000000">
      <w:pPr>
        <w:pStyle w:val="2SLCON22"/>
        <w:adjustRightInd w:val="0"/>
        <w:snapToGrid w:val="0"/>
        <w:spacing w:beforeLines="50" w:before="170"/>
        <w:ind w:firstLine="470"/>
        <w:rPr>
          <w:rFonts w:ascii="Times New Roman" w:cs="Times New Roman"/>
          <w:sz w:val="24"/>
          <w:szCs w:val="24"/>
        </w:rPr>
      </w:pPr>
      <w:r>
        <w:rPr>
          <w:rFonts w:ascii="Times New Roman" w:cs="Times New Roman"/>
          <w:sz w:val="24"/>
          <w:szCs w:val="24"/>
        </w:rPr>
        <w:t>通过对原油罐事故后果进行模拟分析可知，原油储罐泄漏后的灾害模式主要为池火，同一种泄漏模式导致的池火灾，原油储罐容积越大，油罐泄漏的量越大，形成的池火面积越大，危害越大；同体积的储油罐距离防火堤的距离越大，形成的池火面积越大，危害越大。各</w:t>
      </w:r>
      <w:r>
        <w:rPr>
          <w:rFonts w:ascii="Times New Roman" w:cs="Times New Roman" w:hint="eastAsia"/>
          <w:sz w:val="24"/>
          <w:szCs w:val="24"/>
        </w:rPr>
        <w:t>集输站</w:t>
      </w:r>
      <w:r>
        <w:rPr>
          <w:rFonts w:ascii="Times New Roman" w:cs="Times New Roman" w:hint="eastAsia"/>
          <w:sz w:val="24"/>
          <w:szCs w:val="24"/>
        </w:rPr>
        <w:t>/</w:t>
      </w:r>
      <w:r>
        <w:rPr>
          <w:rFonts w:ascii="Times New Roman" w:cs="Times New Roman"/>
          <w:sz w:val="24"/>
          <w:szCs w:val="24"/>
        </w:rPr>
        <w:t>联合站模拟分析的事故死亡区域、重伤区域主要覆盖原油罐区及原油罐区周边建构筑物、设施，事故轻伤区域主要集中在</w:t>
      </w:r>
      <w:r>
        <w:rPr>
          <w:rFonts w:ascii="Times New Roman" w:cs="Times New Roman" w:hint="eastAsia"/>
          <w:sz w:val="24"/>
          <w:szCs w:val="24"/>
        </w:rPr>
        <w:t>集输站</w:t>
      </w:r>
      <w:r>
        <w:rPr>
          <w:rFonts w:ascii="Times New Roman" w:cs="Times New Roman" w:hint="eastAsia"/>
          <w:sz w:val="24"/>
          <w:szCs w:val="24"/>
        </w:rPr>
        <w:t>/</w:t>
      </w:r>
      <w:r>
        <w:rPr>
          <w:rFonts w:ascii="Times New Roman" w:cs="Times New Roman"/>
          <w:sz w:val="24"/>
          <w:szCs w:val="24"/>
        </w:rPr>
        <w:t>联合站内，基本不涉及站外周边道路及设施。</w:t>
      </w:r>
    </w:p>
    <w:p w:rsidR="00F95F9B" w:rsidRDefault="00000000">
      <w:pPr>
        <w:pStyle w:val="2SLCON22"/>
        <w:adjustRightInd w:val="0"/>
        <w:snapToGrid w:val="0"/>
        <w:ind w:firstLine="470"/>
        <w:rPr>
          <w:rFonts w:ascii="Times New Roman" w:cs="Times New Roman"/>
          <w:sz w:val="24"/>
          <w:szCs w:val="24"/>
        </w:rPr>
      </w:pPr>
      <w:r>
        <w:rPr>
          <w:rFonts w:ascii="Times New Roman" w:cs="Times New Roman"/>
          <w:sz w:val="24"/>
          <w:szCs w:val="24"/>
        </w:rPr>
        <w:t>池火灾模型计算选取的原油储罐整体完全破裂（储罐完全破裂或泄漏孔径大于</w:t>
      </w:r>
      <w:r>
        <w:rPr>
          <w:rFonts w:ascii="Times New Roman" w:cs="Times New Roman"/>
          <w:sz w:val="24"/>
          <w:szCs w:val="24"/>
        </w:rPr>
        <w:t>150mm</w:t>
      </w:r>
      <w:r>
        <w:rPr>
          <w:rFonts w:ascii="Times New Roman" w:cs="Times New Roman"/>
          <w:sz w:val="24"/>
          <w:szCs w:val="24"/>
        </w:rPr>
        <w:t>）导致的池火灾的灾害情景，是考虑了极端泄漏事故发生，后果最为严重，但其概率较低。考虑其较高的可能性和潜在的后果，小孔（范围</w:t>
      </w:r>
      <w:r>
        <w:rPr>
          <w:rFonts w:ascii="Times New Roman" w:cs="Times New Roman"/>
          <w:sz w:val="24"/>
          <w:szCs w:val="24"/>
        </w:rPr>
        <w:t>0~5mm</w:t>
      </w:r>
      <w:r>
        <w:rPr>
          <w:rFonts w:ascii="Times New Roman" w:cs="Times New Roman"/>
          <w:sz w:val="24"/>
          <w:szCs w:val="24"/>
        </w:rPr>
        <w:t>，代表值</w:t>
      </w:r>
      <w:r>
        <w:rPr>
          <w:rFonts w:ascii="Times New Roman" w:cs="Times New Roman"/>
          <w:sz w:val="24"/>
          <w:szCs w:val="24"/>
        </w:rPr>
        <w:t>5mm</w:t>
      </w:r>
      <w:r>
        <w:rPr>
          <w:rFonts w:ascii="Times New Roman" w:cs="Times New Roman"/>
          <w:sz w:val="24"/>
          <w:szCs w:val="24"/>
        </w:rPr>
        <w:t>）、中孔泄漏（</w:t>
      </w:r>
      <w:r>
        <w:rPr>
          <w:rFonts w:ascii="Times New Roman" w:cs="Times New Roman"/>
          <w:sz w:val="24"/>
          <w:szCs w:val="24"/>
        </w:rPr>
        <w:t>5~50mm</w:t>
      </w:r>
      <w:r>
        <w:rPr>
          <w:rFonts w:ascii="Times New Roman" w:cs="Times New Roman"/>
          <w:sz w:val="24"/>
          <w:szCs w:val="24"/>
        </w:rPr>
        <w:t>，代表值</w:t>
      </w:r>
      <w:r>
        <w:rPr>
          <w:rFonts w:ascii="Times New Roman" w:cs="Times New Roman"/>
          <w:sz w:val="24"/>
          <w:szCs w:val="24"/>
        </w:rPr>
        <w:t>25mm</w:t>
      </w:r>
      <w:r>
        <w:rPr>
          <w:rFonts w:ascii="Times New Roman" w:cs="Times New Roman"/>
          <w:sz w:val="24"/>
          <w:szCs w:val="24"/>
        </w:rPr>
        <w:t>）场景通常在风险中处于支配地位，另外</w:t>
      </w:r>
      <w:r>
        <w:rPr>
          <w:rFonts w:ascii="Times New Roman" w:cs="Times New Roman"/>
          <w:sz w:val="24"/>
          <w:szCs w:val="24"/>
        </w:rPr>
        <w:t>25mm</w:t>
      </w:r>
      <w:r>
        <w:rPr>
          <w:rFonts w:ascii="Times New Roman" w:cs="Times New Roman"/>
          <w:sz w:val="24"/>
          <w:szCs w:val="24"/>
        </w:rPr>
        <w:t>（代表值）泄漏孔径比较接近大尺寸法兰的泄漏，代表了可能发生的平均泄漏尺寸，对可接受风险的贡献值较大。</w:t>
      </w:r>
    </w:p>
    <w:p w:rsidR="00F95F9B" w:rsidRDefault="00F95F9B">
      <w:pPr>
        <w:pStyle w:val="afff7"/>
        <w:spacing w:beforeLines="50" w:before="170" w:line="360" w:lineRule="auto"/>
        <w:ind w:firstLineChars="0" w:firstLine="0"/>
        <w:jc w:val="center"/>
        <w:rPr>
          <w:color w:val="auto"/>
          <w:sz w:val="24"/>
          <w:szCs w:val="21"/>
        </w:rPr>
      </w:pPr>
    </w:p>
    <w:p w:rsidR="00F95F9B" w:rsidRDefault="00F95F9B">
      <w:pPr>
        <w:pStyle w:val="afff7"/>
        <w:ind w:firstLine="470"/>
        <w:jc w:val="center"/>
        <w:rPr>
          <w:color w:val="auto"/>
          <w:sz w:val="24"/>
          <w:szCs w:val="21"/>
        </w:rPr>
      </w:pPr>
    </w:p>
    <w:p w:rsidR="00F95F9B" w:rsidRDefault="00F95F9B">
      <w:pPr>
        <w:ind w:firstLine="470"/>
      </w:pPr>
    </w:p>
    <w:p w:rsidR="00F95F9B" w:rsidRDefault="00F95F9B">
      <w:pPr>
        <w:ind w:firstLine="470"/>
      </w:pPr>
    </w:p>
    <w:p w:rsidR="00F95F9B" w:rsidRDefault="00000000">
      <w:pPr>
        <w:tabs>
          <w:tab w:val="left" w:pos="3788"/>
        </w:tabs>
        <w:ind w:firstLine="470"/>
        <w:jc w:val="left"/>
        <w:sectPr w:rsidR="00F95F9B">
          <w:footnotePr>
            <w:numFmt w:val="decimalEnclosedCircleChinese"/>
          </w:footnotePr>
          <w:pgSz w:w="11906" w:h="16838"/>
          <w:pgMar w:top="1417" w:right="1134" w:bottom="1134" w:left="1587" w:header="850" w:footer="850" w:gutter="0"/>
          <w:cols w:space="0"/>
          <w:docGrid w:type="linesAndChars" w:linePitch="340" w:charSpace="-1024"/>
        </w:sectPr>
      </w:pPr>
      <w:r>
        <w:rPr>
          <w:rFonts w:hint="eastAsia"/>
        </w:rPr>
        <w:tab/>
      </w:r>
    </w:p>
    <w:p w:rsidR="00F95F9B" w:rsidRDefault="00000000">
      <w:pPr>
        <w:pStyle w:val="1"/>
        <w:keepNext w:val="0"/>
        <w:keepLines w:val="0"/>
        <w:widowControl w:val="0"/>
        <w:spacing w:before="340" w:after="340"/>
      </w:pPr>
      <w:bookmarkStart w:id="98" w:name="_Toc10046"/>
      <w:r>
        <w:rPr>
          <w:rFonts w:hint="eastAsia"/>
        </w:rPr>
        <w:lastRenderedPageBreak/>
        <w:t>事故案例</w:t>
      </w:r>
      <w:bookmarkEnd w:id="98"/>
    </w:p>
    <w:p w:rsidR="00F95F9B" w:rsidRDefault="00000000">
      <w:pPr>
        <w:pStyle w:val="2"/>
        <w:keepNext w:val="0"/>
        <w:keepLines w:val="0"/>
        <w:spacing w:before="170" w:after="170"/>
      </w:pPr>
      <w:bookmarkStart w:id="99" w:name="_Toc4296"/>
      <w:r>
        <w:rPr>
          <w:rFonts w:hint="eastAsia"/>
        </w:rPr>
        <w:t>卸油操作生静电引爆油罐酿事故</w:t>
      </w:r>
      <w:bookmarkEnd w:id="99"/>
    </w:p>
    <w:p w:rsidR="00F95F9B" w:rsidRDefault="00000000">
      <w:pPr>
        <w:widowControl w:val="0"/>
        <w:adjustRightInd w:val="0"/>
        <w:snapToGrid w:val="0"/>
        <w:ind w:firstLine="470"/>
      </w:pPr>
      <w:r>
        <w:rPr>
          <w:rFonts w:hint="eastAsia"/>
        </w:rPr>
        <w:t>1</w:t>
      </w:r>
      <w:r>
        <w:rPr>
          <w:rFonts w:hint="eastAsia"/>
        </w:rPr>
        <w:t>）事故经过</w:t>
      </w:r>
    </w:p>
    <w:p w:rsidR="00F95F9B" w:rsidRDefault="00000000">
      <w:pPr>
        <w:widowControl w:val="0"/>
        <w:adjustRightInd w:val="0"/>
        <w:snapToGrid w:val="0"/>
        <w:ind w:firstLine="470"/>
      </w:pPr>
      <w:r>
        <w:rPr>
          <w:rFonts w:hint="eastAsia"/>
        </w:rPr>
        <w:t>某年</w:t>
      </w:r>
      <w:r>
        <w:rPr>
          <w:rFonts w:hint="eastAsia"/>
        </w:rPr>
        <w:t>3</w:t>
      </w:r>
      <w:r>
        <w:rPr>
          <w:rFonts w:hint="eastAsia"/>
        </w:rPr>
        <w:t>月</w:t>
      </w:r>
      <w:r>
        <w:rPr>
          <w:rFonts w:hint="eastAsia"/>
        </w:rPr>
        <w:t>3</w:t>
      </w:r>
      <w:r>
        <w:rPr>
          <w:rFonts w:hint="eastAsia"/>
        </w:rPr>
        <w:t>日，某炼油厂装运车间进行污油回收作业。</w:t>
      </w:r>
      <w:r>
        <w:rPr>
          <w:rFonts w:hint="eastAsia"/>
        </w:rPr>
        <w:t>10</w:t>
      </w:r>
      <w:r>
        <w:rPr>
          <w:rFonts w:hint="eastAsia"/>
        </w:rPr>
        <w:t>时</w:t>
      </w:r>
      <w:r>
        <w:rPr>
          <w:rFonts w:hint="eastAsia"/>
        </w:rPr>
        <w:t>05</w:t>
      </w:r>
      <w:r>
        <w:rPr>
          <w:rFonts w:hint="eastAsia"/>
        </w:rPr>
        <w:t>分，操作人员在栈桥站台西侧由汽车槽车向污油罐倒卸污油时，污油罐突然发生爆燃。随后，汽车槽车后部爆裂烧毁，相邻的另一个污油罐也发生爆炸，泄漏污油流入装车栈桥地沟，引起地沟着火。事故造成油槽车驾驶员及在污油罐顶部作业的一名操作工当场死亡，另一名操作工烧成重伤。</w:t>
      </w:r>
    </w:p>
    <w:p w:rsidR="00F95F9B" w:rsidRDefault="00000000">
      <w:pPr>
        <w:widowControl w:val="0"/>
        <w:adjustRightInd w:val="0"/>
        <w:snapToGrid w:val="0"/>
        <w:ind w:firstLine="470"/>
      </w:pPr>
      <w:r>
        <w:rPr>
          <w:rFonts w:hint="eastAsia"/>
        </w:rPr>
        <w:t>2</w:t>
      </w:r>
      <w:r>
        <w:rPr>
          <w:rFonts w:hint="eastAsia"/>
        </w:rPr>
        <w:t>）事故原因</w:t>
      </w:r>
    </w:p>
    <w:p w:rsidR="00F95F9B" w:rsidRDefault="00000000">
      <w:pPr>
        <w:widowControl w:val="0"/>
        <w:adjustRightInd w:val="0"/>
        <w:snapToGrid w:val="0"/>
        <w:ind w:firstLine="470"/>
      </w:pPr>
      <w:r>
        <w:rPr>
          <w:rFonts w:hint="eastAsia"/>
        </w:rPr>
        <w:t>1.</w:t>
      </w:r>
      <w:r>
        <w:rPr>
          <w:rFonts w:hint="eastAsia"/>
        </w:rPr>
        <w:t>在使用车载泵向污油罐倒油时，倒油胶管出口未插入污油罐液面以下，喷溅卸油，导致污油与空气摩擦产生静电，引燃罐内气体，发生爆炸，是导致事故发生的直接原因。</w:t>
      </w:r>
    </w:p>
    <w:p w:rsidR="00F95F9B" w:rsidRDefault="00000000">
      <w:pPr>
        <w:widowControl w:val="0"/>
        <w:adjustRightInd w:val="0"/>
        <w:snapToGrid w:val="0"/>
        <w:ind w:firstLine="470"/>
      </w:pPr>
      <w:r>
        <w:rPr>
          <w:rFonts w:hint="eastAsia"/>
        </w:rPr>
        <w:t>2.</w:t>
      </w:r>
      <w:r>
        <w:rPr>
          <w:rFonts w:hint="eastAsia"/>
        </w:rPr>
        <w:t>污油罐设计存在缺陷，无导流管、无防静电接地线，储罐之间安全距离不符合规范，是导致事故发生的主要原因。</w:t>
      </w:r>
    </w:p>
    <w:p w:rsidR="00F95F9B" w:rsidRDefault="00000000">
      <w:pPr>
        <w:widowControl w:val="0"/>
        <w:adjustRightInd w:val="0"/>
        <w:snapToGrid w:val="0"/>
        <w:ind w:firstLine="470"/>
      </w:pPr>
      <w:r>
        <w:rPr>
          <w:rFonts w:hint="eastAsia"/>
        </w:rPr>
        <w:t>3</w:t>
      </w:r>
      <w:r>
        <w:rPr>
          <w:rFonts w:hint="eastAsia"/>
        </w:rPr>
        <w:t>）防范措施</w:t>
      </w:r>
    </w:p>
    <w:p w:rsidR="00F95F9B" w:rsidRDefault="00000000">
      <w:pPr>
        <w:widowControl w:val="0"/>
        <w:adjustRightInd w:val="0"/>
        <w:snapToGrid w:val="0"/>
        <w:ind w:firstLine="470"/>
      </w:pPr>
      <w:r>
        <w:rPr>
          <w:rFonts w:hint="eastAsia"/>
        </w:rPr>
        <w:t>1.</w:t>
      </w:r>
      <w:r>
        <w:rPr>
          <w:rFonts w:hint="eastAsia"/>
        </w:rPr>
        <w:t>加强职工安全教育培训，增强职工安全意识，严格按照操作规程进行油品装卸。</w:t>
      </w:r>
    </w:p>
    <w:p w:rsidR="00F95F9B" w:rsidRDefault="00000000">
      <w:pPr>
        <w:widowControl w:val="0"/>
        <w:adjustRightInd w:val="0"/>
        <w:snapToGrid w:val="0"/>
        <w:ind w:firstLine="470"/>
      </w:pPr>
      <w:r>
        <w:rPr>
          <w:rFonts w:hint="eastAsia"/>
        </w:rPr>
        <w:t>2.</w:t>
      </w:r>
      <w:r>
        <w:rPr>
          <w:rFonts w:hint="eastAsia"/>
        </w:rPr>
        <w:t>油品装卸区域设备设施必须安装静电释放装置。</w:t>
      </w:r>
    </w:p>
    <w:p w:rsidR="00F95F9B" w:rsidRDefault="00000000">
      <w:pPr>
        <w:widowControl w:val="0"/>
        <w:adjustRightInd w:val="0"/>
        <w:snapToGrid w:val="0"/>
        <w:ind w:firstLine="470"/>
      </w:pPr>
      <w:r>
        <w:rPr>
          <w:rFonts w:hint="eastAsia"/>
        </w:rPr>
        <w:t>3.</w:t>
      </w:r>
      <w:r>
        <w:rPr>
          <w:rFonts w:hint="eastAsia"/>
        </w:rPr>
        <w:t>开展隐患排查，及时发现、消除事故隐患。对排查出的事故隐患，实行闭环管理，最大程度地控制和治理隐患，确保安全生产。</w:t>
      </w:r>
    </w:p>
    <w:p w:rsidR="00F95F9B" w:rsidRDefault="00000000">
      <w:pPr>
        <w:pStyle w:val="2"/>
        <w:keepNext w:val="0"/>
        <w:keepLines w:val="0"/>
        <w:spacing w:before="170" w:after="170"/>
      </w:pPr>
      <w:bookmarkStart w:id="100" w:name="_Toc8730"/>
      <w:r>
        <w:rPr>
          <w:rFonts w:hint="eastAsia"/>
        </w:rPr>
        <w:t>机泵燃料油泄漏静电引发火灾</w:t>
      </w:r>
      <w:bookmarkEnd w:id="100"/>
    </w:p>
    <w:p w:rsidR="00F95F9B" w:rsidRDefault="00000000">
      <w:pPr>
        <w:widowControl w:val="0"/>
        <w:adjustRightInd w:val="0"/>
        <w:snapToGrid w:val="0"/>
        <w:ind w:firstLine="470"/>
      </w:pPr>
      <w:r>
        <w:rPr>
          <w:rFonts w:hint="eastAsia"/>
        </w:rPr>
        <w:t>1</w:t>
      </w:r>
      <w:r>
        <w:rPr>
          <w:rFonts w:hint="eastAsia"/>
        </w:rPr>
        <w:t>）事故经过</w:t>
      </w:r>
      <w:r>
        <w:rPr>
          <w:rFonts w:hint="eastAsia"/>
        </w:rPr>
        <w:t xml:space="preserve"> </w:t>
      </w:r>
    </w:p>
    <w:p w:rsidR="00F95F9B" w:rsidRDefault="00000000">
      <w:pPr>
        <w:widowControl w:val="0"/>
        <w:adjustRightInd w:val="0"/>
        <w:snapToGrid w:val="0"/>
        <w:ind w:firstLine="470"/>
      </w:pPr>
      <w:r>
        <w:t>某年</w:t>
      </w:r>
      <w:r>
        <w:t>9</w:t>
      </w:r>
      <w:r>
        <w:t>月</w:t>
      </w:r>
      <w:r>
        <w:t>12</w:t>
      </w:r>
      <w:r>
        <w:t>日，某采油厂职工王某巡检时发现燃油泵燃料油泄漏，由于电话</w:t>
      </w:r>
      <w:r>
        <w:rPr>
          <w:rFonts w:hint="eastAsia"/>
        </w:rPr>
        <w:t>故障，无法与单位取得联系，便到井站附近向农民借了一辆自行车，准备找人处</w:t>
      </w:r>
      <w:r>
        <w:rPr>
          <w:rFonts w:hint="eastAsia"/>
        </w:rPr>
        <w:t xml:space="preserve"> </w:t>
      </w:r>
      <w:r>
        <w:rPr>
          <w:rFonts w:hint="eastAsia"/>
        </w:rPr>
        <w:t>理燃料油泄漏问题。</w:t>
      </w:r>
      <w:r>
        <w:rPr>
          <w:rFonts w:hint="eastAsia"/>
        </w:rPr>
        <w:t>15</w:t>
      </w:r>
      <w:r>
        <w:rPr>
          <w:rFonts w:hint="eastAsia"/>
        </w:rPr>
        <w:t>时左右，该职工返回站内，第二次进入燃油泵房时，泵房</w:t>
      </w:r>
      <w:r>
        <w:rPr>
          <w:rFonts w:hint="eastAsia"/>
        </w:rPr>
        <w:t xml:space="preserve"> </w:t>
      </w:r>
      <w:r>
        <w:rPr>
          <w:rFonts w:hint="eastAsia"/>
        </w:rPr>
        <w:t>发生爆炸，导致王某因严重烧伤死亡。</w:t>
      </w:r>
      <w:r>
        <w:rPr>
          <w:rFonts w:hint="eastAsia"/>
        </w:rPr>
        <w:t xml:space="preserve"> </w:t>
      </w:r>
    </w:p>
    <w:p w:rsidR="00F95F9B" w:rsidRDefault="00000000">
      <w:pPr>
        <w:widowControl w:val="0"/>
        <w:adjustRightInd w:val="0"/>
        <w:snapToGrid w:val="0"/>
        <w:ind w:firstLine="470"/>
      </w:pPr>
      <w:r>
        <w:rPr>
          <w:rFonts w:hint="eastAsia"/>
        </w:rPr>
        <w:t>2</w:t>
      </w:r>
      <w:r>
        <w:rPr>
          <w:rFonts w:hint="eastAsia"/>
        </w:rPr>
        <w:t>）事故原因</w:t>
      </w:r>
    </w:p>
    <w:p w:rsidR="00F95F9B" w:rsidRDefault="00000000">
      <w:pPr>
        <w:widowControl w:val="0"/>
        <w:adjustRightInd w:val="0"/>
        <w:snapToGrid w:val="0"/>
        <w:ind w:firstLine="470"/>
      </w:pPr>
      <w:r>
        <w:rPr>
          <w:rFonts w:hint="eastAsia"/>
        </w:rPr>
        <w:t>1.</w:t>
      </w:r>
      <w:r>
        <w:rPr>
          <w:rFonts w:hint="eastAsia"/>
        </w:rPr>
        <w:t>燃油泵出口端法兰垫片断裂，大量燃料油喷溅，产生大量可燃气体，</w:t>
      </w:r>
      <w:r>
        <w:rPr>
          <w:rFonts w:hint="eastAsia"/>
        </w:rPr>
        <w:t xml:space="preserve"> </w:t>
      </w:r>
      <w:r>
        <w:rPr>
          <w:rFonts w:hint="eastAsia"/>
        </w:rPr>
        <w:t>泄漏燃料油流速过快，产生静电，引爆可燃气体是事故发生的直接原因和主要原</w:t>
      </w:r>
      <w:r>
        <w:rPr>
          <w:rFonts w:hint="eastAsia"/>
        </w:rPr>
        <w:t xml:space="preserve"> </w:t>
      </w:r>
      <w:r>
        <w:rPr>
          <w:rFonts w:hint="eastAsia"/>
        </w:rPr>
        <w:t>因。</w:t>
      </w:r>
    </w:p>
    <w:p w:rsidR="00F95F9B" w:rsidRDefault="00000000">
      <w:pPr>
        <w:widowControl w:val="0"/>
        <w:adjustRightInd w:val="0"/>
        <w:snapToGrid w:val="0"/>
        <w:ind w:firstLine="470"/>
      </w:pPr>
      <w:r>
        <w:rPr>
          <w:rFonts w:hint="eastAsia"/>
        </w:rPr>
        <w:lastRenderedPageBreak/>
        <w:t>2.</w:t>
      </w:r>
      <w:r>
        <w:rPr>
          <w:rFonts w:hint="eastAsia"/>
        </w:rPr>
        <w:t>职工王某在燃料油泄漏后，没有及时切断流程，是事故发生的重要原</w:t>
      </w:r>
      <w:r>
        <w:rPr>
          <w:rFonts w:hint="eastAsia"/>
        </w:rPr>
        <w:t xml:space="preserve"> </w:t>
      </w:r>
      <w:r>
        <w:rPr>
          <w:rFonts w:hint="eastAsia"/>
        </w:rPr>
        <w:t>因。</w:t>
      </w:r>
      <w:r>
        <w:rPr>
          <w:rFonts w:hint="eastAsia"/>
        </w:rPr>
        <w:t xml:space="preserve"> </w:t>
      </w:r>
    </w:p>
    <w:p w:rsidR="00F95F9B" w:rsidRDefault="00000000">
      <w:pPr>
        <w:widowControl w:val="0"/>
        <w:adjustRightInd w:val="0"/>
        <w:snapToGrid w:val="0"/>
        <w:ind w:firstLine="470"/>
      </w:pPr>
      <w:r>
        <w:rPr>
          <w:rFonts w:hint="eastAsia"/>
        </w:rPr>
        <w:t>3</w:t>
      </w:r>
      <w:r>
        <w:rPr>
          <w:rFonts w:hint="eastAsia"/>
        </w:rPr>
        <w:t>）防范措施</w:t>
      </w:r>
      <w:r>
        <w:rPr>
          <w:rFonts w:hint="eastAsia"/>
        </w:rPr>
        <w:t xml:space="preserve"> </w:t>
      </w:r>
    </w:p>
    <w:p w:rsidR="00F95F9B" w:rsidRDefault="00000000">
      <w:pPr>
        <w:widowControl w:val="0"/>
        <w:adjustRightInd w:val="0"/>
        <w:snapToGrid w:val="0"/>
        <w:ind w:firstLine="470"/>
      </w:pPr>
      <w:r>
        <w:t>1</w:t>
      </w:r>
      <w:r>
        <w:rPr>
          <w:rFonts w:hint="eastAsia"/>
        </w:rPr>
        <w:t>.</w:t>
      </w:r>
      <w:r>
        <w:t>认真开展日常巡回检查，及时发现和消除隐患。</w:t>
      </w:r>
      <w:r>
        <w:t xml:space="preserve"> </w:t>
      </w:r>
    </w:p>
    <w:p w:rsidR="00F95F9B" w:rsidRDefault="00000000">
      <w:pPr>
        <w:widowControl w:val="0"/>
        <w:adjustRightInd w:val="0"/>
        <w:snapToGrid w:val="0"/>
        <w:ind w:firstLine="470"/>
      </w:pPr>
      <w:r>
        <w:t>2</w:t>
      </w:r>
      <w:r>
        <w:rPr>
          <w:rFonts w:hint="eastAsia"/>
        </w:rPr>
        <w:t>.</w:t>
      </w:r>
      <w:r>
        <w:t>加强培训，提高职工安全操作和应急处置能力。</w:t>
      </w:r>
    </w:p>
    <w:p w:rsidR="00F95F9B" w:rsidRDefault="00000000">
      <w:pPr>
        <w:pStyle w:val="2"/>
        <w:keepNext w:val="0"/>
        <w:keepLines w:val="0"/>
        <w:spacing w:before="170" w:after="170"/>
      </w:pPr>
      <w:bookmarkStart w:id="101" w:name="_Toc2759"/>
      <w:r>
        <w:rPr>
          <w:rFonts w:hint="eastAsia"/>
        </w:rPr>
        <w:t>管线油气泄漏引发爆炸伤人</w:t>
      </w:r>
      <w:bookmarkEnd w:id="101"/>
    </w:p>
    <w:p w:rsidR="00F95F9B" w:rsidRDefault="00000000">
      <w:pPr>
        <w:widowControl w:val="0"/>
        <w:adjustRightInd w:val="0"/>
        <w:snapToGrid w:val="0"/>
        <w:ind w:firstLine="470"/>
      </w:pPr>
      <w:r>
        <w:rPr>
          <w:rFonts w:hint="eastAsia"/>
        </w:rPr>
        <w:t>1</w:t>
      </w:r>
      <w:r>
        <w:rPr>
          <w:rFonts w:hint="eastAsia"/>
        </w:rPr>
        <w:t>）事故经过</w:t>
      </w:r>
      <w:r>
        <w:rPr>
          <w:rFonts w:hint="eastAsia"/>
        </w:rPr>
        <w:t xml:space="preserve"> </w:t>
      </w:r>
    </w:p>
    <w:p w:rsidR="00F95F9B" w:rsidRDefault="00000000">
      <w:pPr>
        <w:widowControl w:val="0"/>
        <w:adjustRightInd w:val="0"/>
        <w:snapToGrid w:val="0"/>
        <w:ind w:firstLine="470"/>
      </w:pPr>
      <w:r>
        <w:rPr>
          <w:rFonts w:hint="eastAsia"/>
        </w:rPr>
        <w:t>某年</w:t>
      </w:r>
      <w:r>
        <w:rPr>
          <w:rFonts w:hint="eastAsia"/>
        </w:rPr>
        <w:t>12</w:t>
      </w:r>
      <w:r>
        <w:rPr>
          <w:rFonts w:hint="eastAsia"/>
        </w:rPr>
        <w:t>月</w:t>
      </w:r>
      <w:r>
        <w:rPr>
          <w:rFonts w:hint="eastAsia"/>
        </w:rPr>
        <w:t>10</w:t>
      </w:r>
      <w:r>
        <w:rPr>
          <w:rFonts w:hint="eastAsia"/>
        </w:rPr>
        <w:t>日，某厂油泵房突然爆炸起火，</w:t>
      </w:r>
      <w:r>
        <w:rPr>
          <w:rFonts w:hint="eastAsia"/>
        </w:rPr>
        <w:t>6</w:t>
      </w:r>
      <w:r>
        <w:rPr>
          <w:rFonts w:hint="eastAsia"/>
        </w:rPr>
        <w:t>名工人当场死亡，另</w:t>
      </w:r>
      <w:r>
        <w:rPr>
          <w:rFonts w:hint="eastAsia"/>
        </w:rPr>
        <w:t>1</w:t>
      </w:r>
      <w:r>
        <w:rPr>
          <w:rFonts w:hint="eastAsia"/>
        </w:rPr>
        <w:t>名工人</w:t>
      </w:r>
      <w:r>
        <w:rPr>
          <w:rFonts w:hint="eastAsia"/>
        </w:rPr>
        <w:t xml:space="preserve"> </w:t>
      </w:r>
      <w:r>
        <w:rPr>
          <w:rFonts w:hint="eastAsia"/>
        </w:rPr>
        <w:t>受重伤，经抢救无效死亡。事故共造成</w:t>
      </w:r>
      <w:r>
        <w:rPr>
          <w:rFonts w:hint="eastAsia"/>
        </w:rPr>
        <w:t>7</w:t>
      </w:r>
      <w:r>
        <w:rPr>
          <w:rFonts w:hint="eastAsia"/>
        </w:rPr>
        <w:t>人死亡，油站泵房、机水、汽油泵全部</w:t>
      </w:r>
      <w:r>
        <w:rPr>
          <w:rFonts w:hint="eastAsia"/>
        </w:rPr>
        <w:t xml:space="preserve"> </w:t>
      </w:r>
      <w:r>
        <w:rPr>
          <w:rFonts w:hint="eastAsia"/>
        </w:rPr>
        <w:t>烧毁，</w:t>
      </w:r>
      <w:r>
        <w:rPr>
          <w:rFonts w:hint="eastAsia"/>
        </w:rPr>
        <w:t>174</w:t>
      </w:r>
      <w:r>
        <w:rPr>
          <w:rFonts w:hint="eastAsia"/>
        </w:rPr>
        <w:t>口油井和</w:t>
      </w:r>
      <w:r>
        <w:rPr>
          <w:rFonts w:hint="eastAsia"/>
        </w:rPr>
        <w:t>9</w:t>
      </w:r>
      <w:r>
        <w:rPr>
          <w:rFonts w:hint="eastAsia"/>
        </w:rPr>
        <w:t>座中转计量泵站不同程度地停产，影响原油产量</w:t>
      </w:r>
      <w:r>
        <w:rPr>
          <w:rFonts w:hint="eastAsia"/>
        </w:rPr>
        <w:t>4930</w:t>
      </w:r>
      <w:r>
        <w:rPr>
          <w:rFonts w:hint="eastAsia"/>
        </w:rPr>
        <w:t>吨。</w:t>
      </w:r>
    </w:p>
    <w:p w:rsidR="00F95F9B" w:rsidRDefault="00000000">
      <w:pPr>
        <w:widowControl w:val="0"/>
        <w:adjustRightInd w:val="0"/>
        <w:snapToGrid w:val="0"/>
        <w:ind w:firstLine="470"/>
      </w:pPr>
      <w:r>
        <w:rPr>
          <w:rFonts w:hint="eastAsia"/>
        </w:rPr>
        <w:t>2</w:t>
      </w:r>
      <w:r>
        <w:rPr>
          <w:rFonts w:hint="eastAsia"/>
        </w:rPr>
        <w:t>）事故原因</w:t>
      </w:r>
      <w:r>
        <w:rPr>
          <w:rFonts w:hint="eastAsia"/>
        </w:rPr>
        <w:t xml:space="preserve"> </w:t>
      </w:r>
    </w:p>
    <w:p w:rsidR="00F95F9B" w:rsidRDefault="00000000">
      <w:pPr>
        <w:widowControl w:val="0"/>
        <w:adjustRightInd w:val="0"/>
        <w:snapToGrid w:val="0"/>
        <w:ind w:firstLine="470"/>
      </w:pPr>
      <w:r>
        <w:rPr>
          <w:rFonts w:hint="eastAsia"/>
        </w:rPr>
        <w:t>1.</w:t>
      </w:r>
      <w:r>
        <w:rPr>
          <w:rFonts w:hint="eastAsia"/>
        </w:rPr>
        <w:t>大量油气在油压作用下自扫线阀阀体裂纹处喷出，在短时间内形成达</w:t>
      </w:r>
      <w:r>
        <w:rPr>
          <w:rFonts w:hint="eastAsia"/>
        </w:rPr>
        <w:t xml:space="preserve"> </w:t>
      </w:r>
      <w:r>
        <w:rPr>
          <w:rFonts w:hint="eastAsia"/>
        </w:rPr>
        <w:t>到爆炸极限的爆炸混和物，遇明火爆炸是导致事故发生的直接原因和主要原因。</w:t>
      </w:r>
      <w:r>
        <w:rPr>
          <w:rFonts w:hint="eastAsia"/>
        </w:rPr>
        <w:t xml:space="preserve"> </w:t>
      </w:r>
      <w:r>
        <w:rPr>
          <w:rFonts w:hint="eastAsia"/>
        </w:rPr>
        <w:t>明火火源的问题，经调查分析有三种可能：</w:t>
      </w:r>
    </w:p>
    <w:p w:rsidR="00F95F9B" w:rsidRDefault="00000000">
      <w:pPr>
        <w:widowControl w:val="0"/>
        <w:adjustRightInd w:val="0"/>
        <w:snapToGrid w:val="0"/>
        <w:ind w:firstLine="470"/>
      </w:pPr>
      <w:r>
        <w:rPr>
          <w:rFonts w:hint="eastAsia"/>
        </w:rPr>
        <w:t>一是电气火花。油站泵房属于一级防火防爆单位，但泵房内电器除启动开关</w:t>
      </w:r>
      <w:r>
        <w:rPr>
          <w:rFonts w:hint="eastAsia"/>
        </w:rPr>
        <w:t xml:space="preserve"> </w:t>
      </w:r>
      <w:r>
        <w:rPr>
          <w:rFonts w:hint="eastAsia"/>
        </w:rPr>
        <w:t>是防爆型外，电机、磁力开关都是不防爆型，当泵房有大量油气，电器设备产生</w:t>
      </w:r>
      <w:r>
        <w:rPr>
          <w:rFonts w:hint="eastAsia"/>
        </w:rPr>
        <w:t xml:space="preserve"> </w:t>
      </w:r>
      <w:r>
        <w:rPr>
          <w:rFonts w:hint="eastAsia"/>
        </w:rPr>
        <w:t>电弧，引爆混合物。</w:t>
      </w:r>
      <w:r>
        <w:rPr>
          <w:rFonts w:hint="eastAsia"/>
        </w:rPr>
        <w:t xml:space="preserve"> </w:t>
      </w:r>
      <w:r>
        <w:rPr>
          <w:rFonts w:hint="eastAsia"/>
        </w:rPr>
        <w:t>二是撞击火花。扫线阀阀芯在系统中油压作用下，阀芯从裂纹的阀体内飞</w:t>
      </w:r>
      <w:r>
        <w:rPr>
          <w:rFonts w:hint="eastAsia"/>
        </w:rPr>
        <w:t xml:space="preserve"> </w:t>
      </w:r>
      <w:r>
        <w:rPr>
          <w:rFonts w:hint="eastAsia"/>
        </w:rPr>
        <w:t>出，撞击到泵体或金属管线上产生撞击火花。</w:t>
      </w:r>
      <w:r>
        <w:rPr>
          <w:rFonts w:hint="eastAsia"/>
        </w:rPr>
        <w:t xml:space="preserve"> </w:t>
      </w:r>
      <w:r>
        <w:rPr>
          <w:rFonts w:hint="eastAsia"/>
        </w:rPr>
        <w:t>三是静电火花。油气在泄漏过程中，产生静电火花。</w:t>
      </w:r>
      <w:r>
        <w:rPr>
          <w:rFonts w:hint="eastAsia"/>
        </w:rPr>
        <w:t xml:space="preserve"> </w:t>
      </w:r>
    </w:p>
    <w:p w:rsidR="00F95F9B" w:rsidRDefault="00000000">
      <w:pPr>
        <w:widowControl w:val="0"/>
        <w:adjustRightInd w:val="0"/>
        <w:snapToGrid w:val="0"/>
        <w:ind w:firstLine="470"/>
      </w:pPr>
      <w:r>
        <w:rPr>
          <w:rFonts w:hint="eastAsia"/>
        </w:rPr>
        <w:t>2.</w:t>
      </w:r>
      <w:r>
        <w:rPr>
          <w:rFonts w:hint="eastAsia"/>
        </w:rPr>
        <w:t>管线老化，产生裂纹，是事故发生的重要原因。</w:t>
      </w:r>
      <w:r>
        <w:rPr>
          <w:rFonts w:hint="eastAsia"/>
        </w:rPr>
        <w:t xml:space="preserve"> </w:t>
      </w:r>
    </w:p>
    <w:p w:rsidR="00F95F9B" w:rsidRDefault="00000000">
      <w:pPr>
        <w:widowControl w:val="0"/>
        <w:adjustRightInd w:val="0"/>
        <w:snapToGrid w:val="0"/>
        <w:ind w:firstLine="470"/>
      </w:pPr>
      <w:r>
        <w:rPr>
          <w:rFonts w:hint="eastAsia"/>
        </w:rPr>
        <w:t>3</w:t>
      </w:r>
      <w:r>
        <w:rPr>
          <w:rFonts w:hint="eastAsia"/>
        </w:rPr>
        <w:t>）防范措施</w:t>
      </w:r>
      <w:r>
        <w:rPr>
          <w:rFonts w:hint="eastAsia"/>
        </w:rPr>
        <w:t xml:space="preserve"> </w:t>
      </w:r>
    </w:p>
    <w:p w:rsidR="00F95F9B" w:rsidRDefault="00000000">
      <w:pPr>
        <w:widowControl w:val="0"/>
        <w:adjustRightInd w:val="0"/>
        <w:snapToGrid w:val="0"/>
        <w:ind w:leftChars="200" w:left="470" w:firstLineChars="0" w:firstLine="0"/>
      </w:pPr>
      <w:r>
        <w:rPr>
          <w:rFonts w:hint="eastAsia"/>
        </w:rPr>
        <w:t>1.</w:t>
      </w:r>
      <w:r>
        <w:t>加强设备巡回检查，定期开展检测，及时发现、消除隐患，保障设备</w:t>
      </w:r>
      <w:r>
        <w:t xml:space="preserve"> </w:t>
      </w:r>
      <w:r>
        <w:t>安全运行。</w:t>
      </w:r>
      <w:r>
        <w:t xml:space="preserve"> </w:t>
      </w:r>
      <w:r>
        <w:rPr>
          <w:rFonts w:hint="eastAsia"/>
        </w:rPr>
        <w:t>2.</w:t>
      </w:r>
      <w:r>
        <w:t>对泵房进行电器防爆改造，完善静电接地设施。</w:t>
      </w:r>
    </w:p>
    <w:p w:rsidR="00F95F9B" w:rsidRDefault="00000000">
      <w:pPr>
        <w:pStyle w:val="2"/>
        <w:keepNext w:val="0"/>
        <w:keepLines w:val="0"/>
        <w:spacing w:before="170" w:after="170"/>
      </w:pPr>
      <w:bookmarkStart w:id="102" w:name="_Toc10117"/>
      <w:r>
        <w:rPr>
          <w:rFonts w:hint="eastAsia"/>
        </w:rPr>
        <w:t>未佩戴防护用具中毒身亡</w:t>
      </w:r>
      <w:bookmarkEnd w:id="102"/>
    </w:p>
    <w:p w:rsidR="00F95F9B" w:rsidRDefault="00000000">
      <w:pPr>
        <w:widowControl w:val="0"/>
        <w:adjustRightInd w:val="0"/>
        <w:snapToGrid w:val="0"/>
        <w:ind w:firstLine="470"/>
      </w:pPr>
      <w:r>
        <w:rPr>
          <w:rFonts w:hint="eastAsia"/>
        </w:rPr>
        <w:t>1</w:t>
      </w:r>
      <w:r>
        <w:rPr>
          <w:rFonts w:hint="eastAsia"/>
        </w:rPr>
        <w:t>）事故经过</w:t>
      </w:r>
      <w:r>
        <w:rPr>
          <w:rFonts w:hint="eastAsia"/>
        </w:rPr>
        <w:t xml:space="preserve"> </w:t>
      </w:r>
    </w:p>
    <w:p w:rsidR="00F95F9B" w:rsidRDefault="00000000">
      <w:pPr>
        <w:widowControl w:val="0"/>
        <w:adjustRightInd w:val="0"/>
        <w:snapToGrid w:val="0"/>
        <w:ind w:firstLine="470"/>
      </w:pPr>
      <w:r>
        <w:rPr>
          <w:rFonts w:hint="eastAsia"/>
        </w:rPr>
        <w:t>某年</w:t>
      </w:r>
      <w:r>
        <w:rPr>
          <w:rFonts w:hint="eastAsia"/>
        </w:rPr>
        <w:t>1</w:t>
      </w:r>
      <w:r>
        <w:rPr>
          <w:rFonts w:hint="eastAsia"/>
        </w:rPr>
        <w:t>月</w:t>
      </w:r>
      <w:r>
        <w:rPr>
          <w:rFonts w:hint="eastAsia"/>
        </w:rPr>
        <w:t>15</w:t>
      </w:r>
      <w:r>
        <w:rPr>
          <w:rFonts w:hint="eastAsia"/>
        </w:rPr>
        <w:t>日，某采油队进行扫管线解堵，在制定了简单扫线方案并现场交</w:t>
      </w:r>
      <w:r>
        <w:rPr>
          <w:rFonts w:hint="eastAsia"/>
        </w:rPr>
        <w:t xml:space="preserve"> </w:t>
      </w:r>
      <w:r>
        <w:rPr>
          <w:rFonts w:hint="eastAsia"/>
        </w:rPr>
        <w:t>底后，开始扫线。因管线堵头难以卸开，便擅自进行变更，将热水管线接到室内</w:t>
      </w:r>
      <w:r>
        <w:rPr>
          <w:rFonts w:hint="eastAsia"/>
        </w:rPr>
        <w:t xml:space="preserve"> </w:t>
      </w:r>
      <w:r>
        <w:rPr>
          <w:rFonts w:hint="eastAsia"/>
        </w:rPr>
        <w:t>的加药管线上。留在值班室的一操作工王某听到计量间内有异常响声，透过观察</w:t>
      </w:r>
      <w:r>
        <w:rPr>
          <w:rFonts w:hint="eastAsia"/>
        </w:rPr>
        <w:t xml:space="preserve"> </w:t>
      </w:r>
      <w:r>
        <w:rPr>
          <w:rFonts w:hint="eastAsia"/>
        </w:rPr>
        <w:t>窗发现管线泄露，油气外溢，匆忙进入计量间查看。因油气中硫化氢含量较高，致王某当场晕倒，经抢救后无效</w:t>
      </w:r>
      <w:r>
        <w:rPr>
          <w:rFonts w:hint="eastAsia"/>
        </w:rPr>
        <w:lastRenderedPageBreak/>
        <w:t>死亡。</w:t>
      </w:r>
      <w:r>
        <w:rPr>
          <w:rFonts w:hint="eastAsia"/>
        </w:rPr>
        <w:t xml:space="preserve"> </w:t>
      </w:r>
    </w:p>
    <w:p w:rsidR="00F95F9B" w:rsidRDefault="00000000">
      <w:pPr>
        <w:widowControl w:val="0"/>
        <w:adjustRightInd w:val="0"/>
        <w:snapToGrid w:val="0"/>
        <w:ind w:firstLine="470"/>
      </w:pPr>
      <w:r>
        <w:rPr>
          <w:rFonts w:hint="eastAsia"/>
        </w:rPr>
        <w:t>2</w:t>
      </w:r>
      <w:r>
        <w:rPr>
          <w:rFonts w:hint="eastAsia"/>
        </w:rPr>
        <w:t>）事故原因</w:t>
      </w:r>
      <w:r>
        <w:rPr>
          <w:rFonts w:hint="eastAsia"/>
        </w:rPr>
        <w:t xml:space="preserve"> </w:t>
      </w:r>
    </w:p>
    <w:p w:rsidR="00F95F9B" w:rsidRDefault="00000000">
      <w:pPr>
        <w:widowControl w:val="0"/>
        <w:adjustRightInd w:val="0"/>
        <w:snapToGrid w:val="0"/>
        <w:ind w:firstLine="470"/>
      </w:pPr>
      <w:r>
        <w:rPr>
          <w:rFonts w:hint="eastAsia"/>
        </w:rPr>
        <w:t>1.</w:t>
      </w:r>
      <w:r>
        <w:t>操作工王某安全意识淡薄，对岗位存在的危险因素和事故防范措施掌</w:t>
      </w:r>
      <w:r>
        <w:t xml:space="preserve"> </w:t>
      </w:r>
      <w:r>
        <w:t>握不清，在没有佩带任何防护用具、无监护人的情况下，独自进入油气聚集场</w:t>
      </w:r>
      <w:r>
        <w:t xml:space="preserve"> </w:t>
      </w:r>
      <w:r>
        <w:t>所，导致硫化氢中毒，是导致事故发生的直接原因和主要原因。</w:t>
      </w:r>
      <w:r>
        <w:t xml:space="preserve"> </w:t>
      </w:r>
    </w:p>
    <w:p w:rsidR="00F95F9B" w:rsidRDefault="00000000">
      <w:pPr>
        <w:widowControl w:val="0"/>
        <w:adjustRightInd w:val="0"/>
        <w:snapToGrid w:val="0"/>
        <w:ind w:firstLine="470"/>
      </w:pPr>
      <w:r>
        <w:rPr>
          <w:rFonts w:hint="eastAsia"/>
        </w:rPr>
        <w:t>2.</w:t>
      </w:r>
      <w:r>
        <w:t>在进行施工变更后，操作工王某未按规定在观察窗下值守，没有及时</w:t>
      </w:r>
      <w:r>
        <w:t xml:space="preserve"> </w:t>
      </w:r>
      <w:r>
        <w:t>发现油气最初泄露情况，造成大量油气外泄，是导致事故发生的重要原因。</w:t>
      </w:r>
      <w:r>
        <w:t xml:space="preserve"> </w:t>
      </w:r>
    </w:p>
    <w:p w:rsidR="00F95F9B" w:rsidRDefault="00000000">
      <w:pPr>
        <w:widowControl w:val="0"/>
        <w:adjustRightInd w:val="0"/>
        <w:snapToGrid w:val="0"/>
        <w:ind w:firstLine="470"/>
      </w:pPr>
      <w:r>
        <w:rPr>
          <w:rFonts w:hint="eastAsia"/>
        </w:rPr>
        <w:t>3</w:t>
      </w:r>
      <w:r>
        <w:rPr>
          <w:rFonts w:hint="eastAsia"/>
        </w:rPr>
        <w:t>）防范措施</w:t>
      </w:r>
      <w:r>
        <w:rPr>
          <w:rFonts w:hint="eastAsia"/>
        </w:rPr>
        <w:t xml:space="preserve"> </w:t>
      </w:r>
    </w:p>
    <w:p w:rsidR="00F95F9B" w:rsidRDefault="00000000">
      <w:pPr>
        <w:widowControl w:val="0"/>
        <w:adjustRightInd w:val="0"/>
        <w:snapToGrid w:val="0"/>
        <w:ind w:firstLine="470"/>
      </w:pPr>
      <w:r>
        <w:rPr>
          <w:rFonts w:hint="eastAsia"/>
        </w:rPr>
        <w:t>1.</w:t>
      </w:r>
      <w:r>
        <w:t>严格执行有关操作规程和规章制度，进入有毒有害场所佩带齐全安全防护用具。</w:t>
      </w:r>
    </w:p>
    <w:p w:rsidR="00F95F9B" w:rsidRDefault="00000000">
      <w:pPr>
        <w:widowControl w:val="0"/>
        <w:adjustRightInd w:val="0"/>
        <w:snapToGrid w:val="0"/>
        <w:ind w:firstLine="470"/>
      </w:pPr>
      <w:r>
        <w:t>2</w:t>
      </w:r>
      <w:r>
        <w:rPr>
          <w:rFonts w:hint="eastAsia"/>
        </w:rPr>
        <w:t>.</w:t>
      </w:r>
      <w:r>
        <w:t>强化员工教育培训，增强安全生产意识和自我保护能力。</w:t>
      </w:r>
    </w:p>
    <w:p w:rsidR="00F95F9B" w:rsidRDefault="00F95F9B">
      <w:pPr>
        <w:ind w:firstLine="470"/>
        <w:jc w:val="left"/>
      </w:pPr>
    </w:p>
    <w:p w:rsidR="00F95F9B" w:rsidRDefault="00F95F9B">
      <w:pPr>
        <w:ind w:firstLine="470"/>
      </w:pPr>
    </w:p>
    <w:p w:rsidR="00F95F9B" w:rsidRDefault="00F95F9B">
      <w:pPr>
        <w:pStyle w:val="afff7"/>
        <w:ind w:firstLine="550"/>
        <w:rPr>
          <w:color w:val="auto"/>
        </w:rPr>
      </w:pPr>
    </w:p>
    <w:p w:rsidR="00F95F9B" w:rsidRDefault="00000000">
      <w:pPr>
        <w:ind w:firstLine="390"/>
        <w:jc w:val="left"/>
      </w:pPr>
      <w:r>
        <w:rPr>
          <w:rFonts w:ascii="FZXH1JW--GB1-0" w:eastAsia="FZXH1JW--GB1-0" w:hAnsi="FZXH1JW--GB1-0" w:cs="FZXH1JW--GB1-0"/>
          <w:kern w:val="0"/>
          <w:sz w:val="20"/>
          <w:szCs w:val="20"/>
          <w:lang w:bidi="ar"/>
        </w:rPr>
        <w:t xml:space="preserve"> </w:t>
      </w:r>
    </w:p>
    <w:p w:rsidR="00F95F9B" w:rsidRDefault="00F95F9B">
      <w:pPr>
        <w:pStyle w:val="afff7"/>
        <w:ind w:firstLine="550"/>
        <w:rPr>
          <w:color w:val="auto"/>
        </w:rPr>
      </w:pPr>
    </w:p>
    <w:p w:rsidR="00F95F9B" w:rsidRDefault="00F95F9B">
      <w:pPr>
        <w:ind w:firstLine="470"/>
        <w:jc w:val="left"/>
      </w:pPr>
    </w:p>
    <w:p w:rsidR="00F95F9B" w:rsidRDefault="00F95F9B">
      <w:pPr>
        <w:pStyle w:val="afff7"/>
        <w:ind w:firstLine="550"/>
        <w:rPr>
          <w:color w:val="auto"/>
        </w:rPr>
        <w:sectPr w:rsidR="00F95F9B">
          <w:footnotePr>
            <w:numFmt w:val="decimalEnclosedCircleChinese"/>
          </w:footnotePr>
          <w:pgSz w:w="11906" w:h="16838"/>
          <w:pgMar w:top="1417" w:right="1134" w:bottom="1134" w:left="1587" w:header="850" w:footer="850" w:gutter="0"/>
          <w:cols w:space="0"/>
          <w:docGrid w:type="linesAndChars" w:linePitch="340" w:charSpace="-1024"/>
        </w:sectPr>
      </w:pPr>
    </w:p>
    <w:p w:rsidR="00F95F9B" w:rsidRDefault="00000000">
      <w:pPr>
        <w:pStyle w:val="1"/>
        <w:keepNext w:val="0"/>
        <w:keepLines w:val="0"/>
        <w:widowControl w:val="0"/>
        <w:spacing w:before="340" w:after="340"/>
      </w:pPr>
      <w:bookmarkStart w:id="103" w:name="_Toc1769"/>
      <w:r>
        <w:rPr>
          <w:rFonts w:hint="eastAsia"/>
        </w:rPr>
        <w:lastRenderedPageBreak/>
        <w:t>安全对策措施及建议</w:t>
      </w:r>
      <w:bookmarkStart w:id="104" w:name="_Toc9799"/>
      <w:bookmarkEnd w:id="103"/>
    </w:p>
    <w:p w:rsidR="00F95F9B" w:rsidRDefault="00000000">
      <w:pPr>
        <w:pStyle w:val="2"/>
        <w:keepNext w:val="0"/>
        <w:keepLines w:val="0"/>
        <w:spacing w:before="170" w:after="170"/>
      </w:pPr>
      <w:bookmarkStart w:id="105" w:name="_Toc15324"/>
      <w:bookmarkStart w:id="106" w:name="_Toc23058"/>
      <w:r>
        <w:rPr>
          <w:rFonts w:hint="eastAsia"/>
        </w:rPr>
        <w:t>本次评价发现的问题及隐患整改建议</w:t>
      </w:r>
      <w:bookmarkEnd w:id="105"/>
      <w:r>
        <w:rPr>
          <w:rFonts w:hint="eastAsia"/>
        </w:rPr>
        <w:t>措施</w:t>
      </w:r>
      <w:bookmarkEnd w:id="106"/>
    </w:p>
    <w:p w:rsidR="00F95F9B" w:rsidRDefault="00000000">
      <w:pPr>
        <w:ind w:firstLine="470"/>
        <w:rPr>
          <w:szCs w:val="24"/>
        </w:rPr>
      </w:pPr>
      <w:r>
        <w:rPr>
          <w:szCs w:val="24"/>
        </w:rPr>
        <w:t>评价组就安全评价及现场检查发现的问题及整改建议措施，与</w:t>
      </w:r>
      <w:r>
        <w:rPr>
          <w:rFonts w:hint="eastAsia"/>
          <w:szCs w:val="24"/>
        </w:rPr>
        <w:t>鲁明公司</w:t>
      </w:r>
      <w:r>
        <w:rPr>
          <w:szCs w:val="24"/>
        </w:rPr>
        <w:t>进行了充分的意见交流，</w:t>
      </w:r>
      <w:r>
        <w:rPr>
          <w:rFonts w:hint="eastAsia"/>
          <w:szCs w:val="24"/>
        </w:rPr>
        <w:t>鲁明公司</w:t>
      </w:r>
      <w:r>
        <w:rPr>
          <w:szCs w:val="24"/>
        </w:rPr>
        <w:t>同意报告书意见，并对报告提出的问题进行了整改。</w:t>
      </w:r>
      <w:r>
        <w:rPr>
          <w:rFonts w:hint="eastAsia"/>
          <w:szCs w:val="24"/>
        </w:rPr>
        <w:t>评价组经到现场进一步核实，整改建议和复查情况见表</w:t>
      </w:r>
      <w:r>
        <w:rPr>
          <w:rFonts w:hint="eastAsia"/>
          <w:szCs w:val="24"/>
        </w:rPr>
        <w:t>9.1-1</w:t>
      </w:r>
      <w:r>
        <w:rPr>
          <w:rFonts w:hint="eastAsia"/>
          <w:szCs w:val="24"/>
        </w:rPr>
        <w:t>。</w:t>
      </w:r>
    </w:p>
    <w:p w:rsidR="00F95F9B" w:rsidRDefault="00000000">
      <w:pPr>
        <w:ind w:firstLineChars="0" w:firstLine="0"/>
        <w:jc w:val="center"/>
        <w:rPr>
          <w:rFonts w:eastAsia="黑体"/>
          <w:sz w:val="21"/>
        </w:rPr>
      </w:pPr>
      <w:r>
        <w:rPr>
          <w:rFonts w:eastAsia="黑体"/>
          <w:sz w:val="21"/>
        </w:rPr>
        <w:t>表</w:t>
      </w:r>
      <w:r>
        <w:rPr>
          <w:rFonts w:eastAsia="黑体"/>
          <w:sz w:val="21"/>
        </w:rPr>
        <w:t xml:space="preserve">9.1-1  </w:t>
      </w:r>
      <w:r>
        <w:rPr>
          <w:rFonts w:eastAsia="黑体"/>
          <w:sz w:val="21"/>
        </w:rPr>
        <w:t>本次评价发现的问题、隐患整改建议以及复查情况一览表</w:t>
      </w:r>
    </w:p>
    <w:p w:rsidR="00F95F9B" w:rsidRDefault="00000000">
      <w:pPr>
        <w:widowControl w:val="0"/>
        <w:adjustRightInd w:val="0"/>
        <w:snapToGrid w:val="0"/>
        <w:ind w:firstLine="550"/>
        <w:jc w:val="left"/>
        <w:rPr>
          <w:rFonts w:eastAsia="黑体"/>
          <w:sz w:val="21"/>
        </w:rPr>
        <w:sectPr w:rsidR="00F95F9B">
          <w:footnotePr>
            <w:numFmt w:val="decimalEnclosedCircleChinese"/>
          </w:footnotePr>
          <w:pgSz w:w="16838" w:h="11906" w:orient="landscape"/>
          <w:pgMar w:top="1587" w:right="1417" w:bottom="1134" w:left="1134" w:header="850" w:footer="850" w:gutter="0"/>
          <w:cols w:space="0"/>
          <w:docGrid w:type="linesAndChars" w:linePitch="340" w:charSpace="-1024"/>
        </w:sectPr>
      </w:pPr>
      <w:r>
        <w:rPr>
          <w:rFonts w:hint="eastAsia"/>
          <w:color w:val="000000" w:themeColor="text1"/>
          <w:sz w:val="28"/>
          <w:szCs w:val="28"/>
        </w:rPr>
        <w:t>涉及企业机密，不予公开。</w:t>
      </w:r>
    </w:p>
    <w:p w:rsidR="00F95F9B" w:rsidRDefault="00F95F9B">
      <w:pPr>
        <w:pStyle w:val="af9"/>
        <w:ind w:firstLineChars="0" w:firstLine="0"/>
        <w:sectPr w:rsidR="00F95F9B">
          <w:footnotePr>
            <w:numFmt w:val="decimalEnclosedCircleChinese"/>
          </w:footnotePr>
          <w:pgSz w:w="16838" w:h="11906" w:orient="landscape"/>
          <w:pgMar w:top="1587" w:right="1417" w:bottom="1134" w:left="1134" w:header="850" w:footer="850" w:gutter="0"/>
          <w:cols w:space="0"/>
          <w:docGrid w:type="linesAndChars" w:linePitch="340" w:charSpace="-1024"/>
        </w:sectPr>
      </w:pPr>
    </w:p>
    <w:p w:rsidR="00F95F9B" w:rsidRDefault="00000000">
      <w:pPr>
        <w:pStyle w:val="2"/>
        <w:keepNext w:val="0"/>
        <w:keepLines w:val="0"/>
        <w:spacing w:before="170" w:after="170"/>
      </w:pPr>
      <w:bookmarkStart w:id="107" w:name="_Toc5645"/>
      <w:r>
        <w:rPr>
          <w:rFonts w:hint="eastAsia"/>
        </w:rPr>
        <w:lastRenderedPageBreak/>
        <w:t>改进及改善的对策措施与建议</w:t>
      </w:r>
      <w:bookmarkEnd w:id="104"/>
      <w:bookmarkEnd w:id="107"/>
    </w:p>
    <w:p w:rsidR="00F95F9B" w:rsidRDefault="00000000">
      <w:pPr>
        <w:widowControl w:val="0"/>
        <w:tabs>
          <w:tab w:val="left" w:pos="1814"/>
        </w:tabs>
        <w:adjustRightInd w:val="0"/>
        <w:snapToGrid w:val="0"/>
        <w:ind w:firstLine="470"/>
      </w:pPr>
      <w:r>
        <w:rPr>
          <w:rFonts w:hint="eastAsia"/>
        </w:rPr>
        <w:t>鲁明公司</w:t>
      </w:r>
      <w:r>
        <w:t>及所属各单位各部门还应落实本评价报告所提出的以下建议措施，以确保能够长期、安全、稳定的生产运营。</w:t>
      </w:r>
    </w:p>
    <w:p w:rsidR="00F95F9B" w:rsidRDefault="00000000">
      <w:pPr>
        <w:pStyle w:val="20"/>
        <w:adjustRightInd w:val="0"/>
        <w:snapToGrid w:val="0"/>
        <w:spacing w:after="0"/>
        <w:ind w:leftChars="0" w:left="0" w:firstLine="470"/>
      </w:pPr>
      <w:r>
        <w:rPr>
          <w:rFonts w:hint="eastAsia"/>
        </w:rPr>
        <w:t>1</w:t>
      </w:r>
      <w:r>
        <w:rPr>
          <w:rFonts w:hint="eastAsia"/>
        </w:rPr>
        <w:t>）鲁明公司应根据本次安全评价过程中发现的隐患及问题，组织下属各采油（气）管理区进行全面检查，排查安全隐患并及时整改，确保安全生产。</w:t>
      </w:r>
    </w:p>
    <w:p w:rsidR="00F95F9B" w:rsidRDefault="00000000">
      <w:pPr>
        <w:pStyle w:val="20"/>
        <w:adjustRightInd w:val="0"/>
        <w:snapToGrid w:val="0"/>
        <w:spacing w:after="0"/>
        <w:ind w:leftChars="0" w:left="0" w:firstLine="470"/>
      </w:pPr>
      <w:r>
        <w:rPr>
          <w:rFonts w:hint="eastAsia"/>
        </w:rPr>
        <w:t>2</w:t>
      </w:r>
      <w:r>
        <w:rPr>
          <w:rFonts w:hint="eastAsia"/>
        </w:rPr>
        <w:t>）鲁明公司各生产单位应定期监测井场、联合站、集输站场的硫化氢情况，以便及时采取相应设备腐蚀防护、人员个体防护等措施。对可能存在硫化氢危害的场所应设置硫化氢警示标识，操作工人进入危害区域应配戴便携式硫化氢气体报警仪。</w:t>
      </w:r>
    </w:p>
    <w:p w:rsidR="00F95F9B" w:rsidRDefault="00000000">
      <w:pPr>
        <w:pStyle w:val="20"/>
        <w:adjustRightInd w:val="0"/>
        <w:snapToGrid w:val="0"/>
        <w:spacing w:after="0"/>
        <w:ind w:leftChars="0" w:left="0" w:firstLine="470"/>
      </w:pPr>
      <w:r>
        <w:rPr>
          <w:rFonts w:hint="eastAsia"/>
        </w:rPr>
        <w:t>3</w:t>
      </w:r>
      <w:r>
        <w:rPr>
          <w:rFonts w:hint="eastAsia"/>
        </w:rPr>
        <w:t>）进一步加强应急管理工作，应根据设备设施、工艺技术、危险物质变更以及应急演练情况，对应急预案及应急措施进行修订和完善，做好与政府应急的衔接，做好与承包商的应急联动，加强应急培训与演练，将工作做到实处。</w:t>
      </w:r>
    </w:p>
    <w:p w:rsidR="00F95F9B" w:rsidRDefault="00000000">
      <w:pPr>
        <w:pStyle w:val="20"/>
        <w:adjustRightInd w:val="0"/>
        <w:snapToGrid w:val="0"/>
        <w:spacing w:after="0"/>
        <w:ind w:leftChars="0" w:left="0" w:firstLine="470"/>
      </w:pPr>
      <w:r>
        <w:rPr>
          <w:rFonts w:hint="eastAsia"/>
        </w:rPr>
        <w:t>4</w:t>
      </w:r>
      <w:r>
        <w:rPr>
          <w:rFonts w:hint="eastAsia"/>
        </w:rPr>
        <w:t>）建议按照</w:t>
      </w:r>
      <w:r>
        <w:t>《生产经营单位安全培训规定》（第</w:t>
      </w:r>
      <w:r>
        <w:t>80</w:t>
      </w:r>
      <w:r>
        <w:t>号第二次修正）</w:t>
      </w:r>
      <w:r>
        <w:rPr>
          <w:rFonts w:hint="eastAsia"/>
        </w:rPr>
        <w:t>、《山东省人民政府安全生产委员会关于规范和加强安全生产培训考核工作的指导意见》（鲁安发</w:t>
      </w:r>
      <w:r>
        <w:rPr>
          <w:rFonts w:hint="eastAsia"/>
        </w:rPr>
        <w:t>[2022]6</w:t>
      </w:r>
      <w:r>
        <w:rPr>
          <w:rFonts w:hint="eastAsia"/>
        </w:rPr>
        <w:t>号）加强安全教育培训管理，每年制定</w:t>
      </w:r>
      <w:r>
        <w:t>年度安全生产培训计划</w:t>
      </w:r>
      <w:r>
        <w:rPr>
          <w:rFonts w:hint="eastAsia"/>
        </w:rPr>
        <w:t>（计划</w:t>
      </w:r>
      <w:r>
        <w:t>包括培训目的、培训时间、培训内容、参加人员、授课人、学时等</w:t>
      </w:r>
      <w:r>
        <w:rPr>
          <w:rFonts w:hint="eastAsia"/>
        </w:rPr>
        <w:t>），从业人员培训学时数量满足要求规定要求，从业人员未经安全生产教育和培训合格，不得上岗作业。加强对作业人员的安全教育、培训及取证工作，对作业人员即使持有相关资质证书的，也应进行安全能力和知识的考核，确保作业人员的安全知识和能力满足作业的要求。</w:t>
      </w:r>
    </w:p>
    <w:p w:rsidR="00F95F9B" w:rsidRDefault="00000000">
      <w:pPr>
        <w:pStyle w:val="20"/>
        <w:adjustRightInd w:val="0"/>
        <w:snapToGrid w:val="0"/>
        <w:spacing w:after="0"/>
        <w:ind w:leftChars="0" w:left="0" w:firstLine="470"/>
      </w:pPr>
      <w:r>
        <w:rPr>
          <w:rFonts w:hint="eastAsia"/>
        </w:rPr>
        <w:t>5</w:t>
      </w:r>
      <w:r>
        <w:rPr>
          <w:rFonts w:hint="eastAsia"/>
        </w:rPr>
        <w:t>）进一步加强安全生产过程的控制和管理。针对可能存在的危险、有害因素及其可能发生事故的危险程度，完善相应的制度、措施，并严格执行。</w:t>
      </w:r>
    </w:p>
    <w:p w:rsidR="00F95F9B" w:rsidRDefault="00000000">
      <w:pPr>
        <w:pStyle w:val="20"/>
        <w:adjustRightInd w:val="0"/>
        <w:snapToGrid w:val="0"/>
        <w:spacing w:after="0"/>
        <w:ind w:leftChars="0" w:left="0" w:firstLine="470"/>
      </w:pPr>
      <w:r>
        <w:rPr>
          <w:rFonts w:hint="eastAsia"/>
        </w:rPr>
        <w:t>6</w:t>
      </w:r>
      <w:r>
        <w:rPr>
          <w:rFonts w:hint="eastAsia"/>
        </w:rPr>
        <w:t>）鲁明公司在日常的生产运行中，应不断完善各项安全管理制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p>
    <w:p w:rsidR="00F95F9B" w:rsidRDefault="00000000">
      <w:pPr>
        <w:pStyle w:val="nlw0"/>
        <w:widowControl w:val="0"/>
        <w:adjustRightInd w:val="0"/>
        <w:snapToGrid w:val="0"/>
        <w:spacing w:line="360" w:lineRule="auto"/>
        <w:ind w:firstLine="470"/>
        <w:rPr>
          <w:rFonts w:ascii="Times New Roman" w:hAnsi="Times New Roman"/>
          <w:sz w:val="24"/>
          <w:szCs w:val="24"/>
        </w:rPr>
      </w:pPr>
      <w:r>
        <w:rPr>
          <w:rFonts w:ascii="Times New Roman" w:hAnsi="Times New Roman" w:hint="eastAsia"/>
          <w:sz w:val="24"/>
          <w:szCs w:val="24"/>
          <w:lang w:val="en-US"/>
        </w:rPr>
        <w:t>7</w:t>
      </w:r>
      <w:r>
        <w:rPr>
          <w:rFonts w:ascii="Times New Roman" w:hAnsi="Times New Roman" w:hint="eastAsia"/>
          <w:sz w:val="24"/>
          <w:szCs w:val="24"/>
          <w:lang w:val="en-US"/>
        </w:rPr>
        <w:t>）</w:t>
      </w:r>
      <w:r>
        <w:rPr>
          <w:rFonts w:ascii="Times New Roman" w:hAnsi="Times New Roman"/>
          <w:sz w:val="24"/>
          <w:szCs w:val="24"/>
        </w:rPr>
        <w:t>加强和推进安全生产风险分级管控和隐患排查治理体系的运行，不断完善和更新</w:t>
      </w:r>
      <w:r>
        <w:rPr>
          <w:rFonts w:ascii="Times New Roman" w:hAnsi="Times New Roman" w:hint="eastAsia"/>
          <w:sz w:val="24"/>
          <w:szCs w:val="24"/>
        </w:rPr>
        <w:t>公司</w:t>
      </w:r>
      <w:r>
        <w:rPr>
          <w:rFonts w:ascii="Times New Roman" w:hAnsi="Times New Roman"/>
          <w:sz w:val="24"/>
          <w:szCs w:val="24"/>
        </w:rPr>
        <w:t>各层级风险管控清单和隐患排查清单，确保风险受控、隐患及时治理。</w:t>
      </w:r>
    </w:p>
    <w:p w:rsidR="00F95F9B" w:rsidRDefault="00000000">
      <w:pPr>
        <w:pStyle w:val="a0"/>
        <w:widowControl w:val="0"/>
        <w:numPr>
          <w:ilvl w:val="0"/>
          <w:numId w:val="0"/>
        </w:numPr>
        <w:adjustRightInd w:val="0"/>
        <w:snapToGrid w:val="0"/>
        <w:spacing w:line="360" w:lineRule="auto"/>
        <w:ind w:firstLineChars="200" w:firstLine="470"/>
        <w:rPr>
          <w:rFonts w:ascii="Times New Roman"/>
          <w:sz w:val="24"/>
          <w:szCs w:val="24"/>
        </w:rPr>
      </w:pPr>
      <w:r>
        <w:rPr>
          <w:rFonts w:ascii="Times New Roman"/>
          <w:sz w:val="24"/>
          <w:szCs w:val="24"/>
        </w:rPr>
        <w:t>8</w:t>
      </w:r>
      <w:r>
        <w:rPr>
          <w:rFonts w:ascii="Times New Roman" w:hint="eastAsia"/>
          <w:sz w:val="24"/>
          <w:szCs w:val="24"/>
        </w:rPr>
        <w:t>）</w:t>
      </w:r>
      <w:r>
        <w:rPr>
          <w:rFonts w:ascii="Times New Roman"/>
          <w:sz w:val="24"/>
          <w:szCs w:val="24"/>
        </w:rPr>
        <w:t>规范生产过程中变更的安全管理，按照谁主管谁负责、谁变更谁负责、谁审批谁负责的原则，进一步做好变更申请、变更风险评估、变更审批、变更效果评估和变更告知等工作。</w:t>
      </w:r>
    </w:p>
    <w:p w:rsidR="00F95F9B" w:rsidRDefault="00000000">
      <w:pPr>
        <w:pStyle w:val="af9"/>
        <w:widowControl w:val="0"/>
        <w:adjustRightInd w:val="0"/>
        <w:snapToGrid w:val="0"/>
        <w:spacing w:after="0"/>
        <w:ind w:firstLine="470"/>
        <w:rPr>
          <w:szCs w:val="24"/>
        </w:rPr>
      </w:pPr>
      <w:r>
        <w:rPr>
          <w:rFonts w:hint="eastAsia"/>
          <w:szCs w:val="24"/>
        </w:rPr>
        <w:t>9</w:t>
      </w:r>
      <w:r>
        <w:rPr>
          <w:rFonts w:hint="eastAsia"/>
          <w:szCs w:val="24"/>
        </w:rPr>
        <w:t>）</w:t>
      </w:r>
      <w:r>
        <w:rPr>
          <w:szCs w:val="24"/>
        </w:rPr>
        <w:t>加强承包商的管理：特别是钻井、井下作业、地面工程建设、电力、维修等业务，</w:t>
      </w:r>
      <w:r>
        <w:rPr>
          <w:rFonts w:hint="eastAsia"/>
          <w:szCs w:val="24"/>
        </w:rPr>
        <w:lastRenderedPageBreak/>
        <w:t>鲁明公司</w:t>
      </w:r>
      <w:r>
        <w:rPr>
          <w:szCs w:val="24"/>
        </w:rPr>
        <w:t>应按照《鲁明公司承包商</w:t>
      </w:r>
      <w:r>
        <w:rPr>
          <w:szCs w:val="24"/>
        </w:rPr>
        <w:t>HSSE</w:t>
      </w:r>
      <w:r>
        <w:rPr>
          <w:szCs w:val="24"/>
        </w:rPr>
        <w:t>监督管理办法》（鲁明油发</w:t>
      </w:r>
      <w:r>
        <w:rPr>
          <w:rFonts w:hint="eastAsia"/>
          <w:szCs w:val="24"/>
        </w:rPr>
        <w:t>[</w:t>
      </w:r>
      <w:r>
        <w:rPr>
          <w:szCs w:val="24"/>
        </w:rPr>
        <w:t>2021</w:t>
      </w:r>
      <w:r>
        <w:rPr>
          <w:rFonts w:hint="eastAsia"/>
          <w:szCs w:val="24"/>
        </w:rPr>
        <w:t>]</w:t>
      </w:r>
      <w:r>
        <w:rPr>
          <w:szCs w:val="24"/>
        </w:rPr>
        <w:t xml:space="preserve">100 </w:t>
      </w:r>
      <w:r>
        <w:rPr>
          <w:szCs w:val="24"/>
        </w:rPr>
        <w:t>号），对相应承包商的准入审核严格把关，做好承包商的安全交底和开工确认，并明确责任签订安全协议。加强承包商的安全资质审查、日常监督检查与考核管理工作。</w:t>
      </w:r>
    </w:p>
    <w:p w:rsidR="00F95F9B" w:rsidRDefault="00000000">
      <w:pPr>
        <w:pStyle w:val="a0"/>
        <w:widowControl w:val="0"/>
        <w:numPr>
          <w:ilvl w:val="0"/>
          <w:numId w:val="0"/>
        </w:numPr>
        <w:adjustRightInd w:val="0"/>
        <w:snapToGrid w:val="0"/>
        <w:spacing w:line="360" w:lineRule="auto"/>
        <w:ind w:firstLineChars="200" w:firstLine="470"/>
        <w:rPr>
          <w:rFonts w:ascii="Times New Roman"/>
          <w:sz w:val="24"/>
          <w:szCs w:val="24"/>
        </w:rPr>
      </w:pPr>
      <w:r>
        <w:rPr>
          <w:rFonts w:ascii="Times New Roman" w:hint="eastAsia"/>
          <w:sz w:val="24"/>
          <w:szCs w:val="24"/>
        </w:rPr>
        <w:t>10</w:t>
      </w:r>
      <w:r>
        <w:rPr>
          <w:rFonts w:ascii="Times New Roman" w:hint="eastAsia"/>
          <w:sz w:val="24"/>
          <w:szCs w:val="24"/>
        </w:rPr>
        <w:t>）</w:t>
      </w:r>
      <w:r>
        <w:rPr>
          <w:rFonts w:ascii="Times New Roman"/>
          <w:sz w:val="24"/>
          <w:szCs w:val="24"/>
        </w:rPr>
        <w:t>对动火、临时用电、动土等特殊作业，应严格按照《胜利油田作业许可管理实施细则》（胜油局发</w:t>
      </w:r>
      <w:r>
        <w:rPr>
          <w:rFonts w:ascii="Times New Roman"/>
          <w:sz w:val="24"/>
          <w:szCs w:val="24"/>
        </w:rPr>
        <w:t>[2022]99</w:t>
      </w:r>
      <w:r>
        <w:rPr>
          <w:rFonts w:ascii="Times New Roman"/>
          <w:sz w:val="24"/>
          <w:szCs w:val="24"/>
        </w:rPr>
        <w:t>号）的要求，按照</w:t>
      </w:r>
      <w:r>
        <w:rPr>
          <w:rFonts w:ascii="Times New Roman"/>
          <w:sz w:val="24"/>
          <w:szCs w:val="24"/>
        </w:rPr>
        <w:t>“</w:t>
      </w:r>
      <w:r>
        <w:rPr>
          <w:rFonts w:ascii="Times New Roman"/>
          <w:sz w:val="24"/>
          <w:szCs w:val="24"/>
        </w:rPr>
        <w:t>管业务必须管安全</w:t>
      </w:r>
      <w:r>
        <w:rPr>
          <w:rFonts w:ascii="Times New Roman"/>
          <w:sz w:val="24"/>
          <w:szCs w:val="24"/>
        </w:rPr>
        <w:t>”“</w:t>
      </w:r>
      <w:r>
        <w:rPr>
          <w:rFonts w:ascii="Times New Roman"/>
          <w:sz w:val="24"/>
          <w:szCs w:val="24"/>
        </w:rPr>
        <w:t>风险管控最有利</w:t>
      </w:r>
      <w:r>
        <w:rPr>
          <w:rFonts w:ascii="Times New Roman"/>
          <w:sz w:val="24"/>
          <w:szCs w:val="24"/>
        </w:rPr>
        <w:t>”</w:t>
      </w:r>
      <w:r>
        <w:rPr>
          <w:rFonts w:ascii="Times New Roman"/>
          <w:sz w:val="24"/>
          <w:szCs w:val="24"/>
        </w:rPr>
        <w:t>和</w:t>
      </w:r>
      <w:r>
        <w:rPr>
          <w:rFonts w:ascii="Times New Roman"/>
          <w:sz w:val="24"/>
          <w:szCs w:val="24"/>
        </w:rPr>
        <w:t>“</w:t>
      </w:r>
      <w:r>
        <w:rPr>
          <w:rFonts w:ascii="Times New Roman"/>
          <w:sz w:val="24"/>
          <w:szCs w:val="24"/>
        </w:rPr>
        <w:t>谁签字谁负责、谁审批谁负责</w:t>
      </w:r>
      <w:r>
        <w:rPr>
          <w:rFonts w:ascii="Times New Roman"/>
          <w:sz w:val="24"/>
          <w:szCs w:val="24"/>
        </w:rPr>
        <w:t>”</w:t>
      </w:r>
      <w:r>
        <w:rPr>
          <w:rFonts w:ascii="Times New Roman"/>
          <w:sz w:val="24"/>
          <w:szCs w:val="24"/>
        </w:rPr>
        <w:t>的原则实施作业许可管理，严格作业安全分析、作业安全交底和作业许可。</w:t>
      </w:r>
    </w:p>
    <w:p w:rsidR="00F95F9B" w:rsidRDefault="00F95F9B">
      <w:pPr>
        <w:pStyle w:val="20"/>
        <w:adjustRightInd w:val="0"/>
        <w:snapToGrid w:val="0"/>
        <w:spacing w:after="0"/>
        <w:ind w:leftChars="0" w:left="0" w:firstLine="470"/>
      </w:pPr>
    </w:p>
    <w:p w:rsidR="00F95F9B" w:rsidRDefault="00F95F9B">
      <w:pPr>
        <w:pStyle w:val="20"/>
        <w:adjustRightInd w:val="0"/>
        <w:snapToGrid w:val="0"/>
        <w:spacing w:after="0"/>
        <w:ind w:leftChars="0" w:left="0" w:firstLine="470"/>
        <w:sectPr w:rsidR="00F95F9B">
          <w:footnotePr>
            <w:numFmt w:val="decimalEnclosedCircleChinese"/>
          </w:footnotePr>
          <w:pgSz w:w="11906" w:h="16838"/>
          <w:pgMar w:top="1417" w:right="1134" w:bottom="1134" w:left="1587" w:header="850" w:footer="850" w:gutter="0"/>
          <w:cols w:space="0"/>
          <w:docGrid w:type="linesAndChars" w:linePitch="340" w:charSpace="-1024"/>
        </w:sectPr>
      </w:pPr>
    </w:p>
    <w:p w:rsidR="00F95F9B" w:rsidRDefault="00000000">
      <w:pPr>
        <w:pStyle w:val="1"/>
        <w:keepNext w:val="0"/>
        <w:keepLines w:val="0"/>
        <w:widowControl w:val="0"/>
        <w:spacing w:before="340" w:after="340"/>
      </w:pPr>
      <w:bookmarkStart w:id="108" w:name="_Toc25964"/>
      <w:r>
        <w:rPr>
          <w:rFonts w:hint="eastAsia"/>
        </w:rPr>
        <w:lastRenderedPageBreak/>
        <w:t>安全现状评价结论</w:t>
      </w:r>
      <w:bookmarkEnd w:id="108"/>
    </w:p>
    <w:p w:rsidR="00F95F9B" w:rsidRDefault="00000000">
      <w:pPr>
        <w:widowControl w:val="0"/>
        <w:adjustRightInd w:val="0"/>
        <w:snapToGrid w:val="0"/>
        <w:ind w:firstLine="470"/>
      </w:pPr>
      <w:bookmarkStart w:id="109" w:name="_Hlk111994490"/>
      <w:r>
        <w:rPr>
          <w:rFonts w:hint="eastAsia"/>
        </w:rPr>
        <w:t>根据鲁明提供的有关资料，在主要危险、有害因素辨识、分析的基础上，依据国家有关法律、法规、技术标准的要求，运用安全检查表、事故后果模拟等评价方法，对鲁明公司进行了安全现状评价，得出以下评价结论：</w:t>
      </w:r>
    </w:p>
    <w:p w:rsidR="00F95F9B" w:rsidRDefault="00000000">
      <w:pPr>
        <w:widowControl w:val="0"/>
        <w:adjustRightInd w:val="0"/>
        <w:snapToGrid w:val="0"/>
        <w:ind w:firstLine="470"/>
      </w:pPr>
      <w:r>
        <w:rPr>
          <w:rFonts w:hint="eastAsia"/>
        </w:rPr>
        <w:t>鲁明公司陆上采油（气）生产过程中，涉及的主要危险、有害物质有：原油、天然气、硫化氢、柴油、化学药剂、聚丙烯酰胺、高压水等。</w:t>
      </w:r>
    </w:p>
    <w:p w:rsidR="00F95F9B" w:rsidRDefault="00000000">
      <w:pPr>
        <w:widowControl w:val="0"/>
        <w:adjustRightInd w:val="0"/>
        <w:snapToGrid w:val="0"/>
        <w:ind w:firstLine="470"/>
      </w:pPr>
      <w:r>
        <w:rPr>
          <w:rFonts w:hint="eastAsia"/>
        </w:rPr>
        <w:t>主要危险、有害因素有：火灾爆炸、井喷及井喷失控、容器爆炸、中毒和窒息、物体打击、机械伤害、触电、车辆伤害、淹溺、高处坠落等。</w:t>
      </w:r>
    </w:p>
    <w:p w:rsidR="00F95F9B" w:rsidRDefault="00000000">
      <w:pPr>
        <w:widowControl w:val="0"/>
        <w:adjustRightInd w:val="0"/>
        <w:snapToGrid w:val="0"/>
        <w:ind w:firstLine="470"/>
      </w:pPr>
      <w:r>
        <w:rPr>
          <w:rFonts w:hint="eastAsia"/>
        </w:rPr>
        <w:t>自然灾害有：地震、雷击、高温和低温、大风、洪涝、腐蚀等。</w:t>
      </w:r>
    </w:p>
    <w:p w:rsidR="00F95F9B" w:rsidRDefault="00000000">
      <w:pPr>
        <w:widowControl w:val="0"/>
        <w:adjustRightInd w:val="0"/>
        <w:snapToGrid w:val="0"/>
        <w:ind w:firstLine="470"/>
      </w:pPr>
      <w:r>
        <w:rPr>
          <w:rFonts w:hint="eastAsia"/>
          <w:lang w:val="zh-CN"/>
        </w:rPr>
        <w:t>鲁明公司各集输站</w:t>
      </w:r>
      <w:r>
        <w:rPr>
          <w:rFonts w:hint="eastAsia"/>
        </w:rPr>
        <w:t>/</w:t>
      </w:r>
      <w:r>
        <w:rPr>
          <w:rFonts w:hint="eastAsia"/>
        </w:rPr>
        <w:t>联合</w:t>
      </w:r>
      <w:r>
        <w:rPr>
          <w:rFonts w:hint="eastAsia"/>
          <w:lang w:val="zh-CN"/>
        </w:rPr>
        <w:t>站均</w:t>
      </w:r>
      <w:r>
        <w:rPr>
          <w:rFonts w:hint="eastAsia"/>
        </w:rPr>
        <w:t>不</w:t>
      </w:r>
      <w:r>
        <w:rPr>
          <w:rFonts w:hint="eastAsia"/>
          <w:lang w:val="zh-CN"/>
        </w:rPr>
        <w:t>构成危险化学品重大危险源</w:t>
      </w:r>
      <w:r>
        <w:rPr>
          <w:rFonts w:hint="eastAsia"/>
        </w:rPr>
        <w:t>。</w:t>
      </w:r>
    </w:p>
    <w:p w:rsidR="00F95F9B" w:rsidRDefault="00000000">
      <w:pPr>
        <w:widowControl w:val="0"/>
        <w:adjustRightInd w:val="0"/>
        <w:snapToGrid w:val="0"/>
        <w:ind w:firstLine="470"/>
      </w:pPr>
      <w:r>
        <w:rPr>
          <w:rFonts w:hint="eastAsia"/>
        </w:rPr>
        <w:t>胜利油田鲁明油气勘探开发有限公司按要求设置安全生产管理机构，并配备专职安全管理人员；建立健全本单位主要负责人（法人）、分管安全负责人、安全总监、职能部门负责人、生产班组负责人、一般从业人员等全体人员的安全生产责任制；安全管理制度和安全操作规程齐全；制定有应急救援预案并备案，建立了应急救援组织，配备有必要的应急救援器材、设备，制定有应急演练计划，并按照演练计划进行演练、评估。</w:t>
      </w:r>
    </w:p>
    <w:p w:rsidR="00F95F9B" w:rsidRDefault="00000000">
      <w:pPr>
        <w:widowControl w:val="0"/>
        <w:adjustRightInd w:val="0"/>
        <w:snapToGrid w:val="0"/>
        <w:ind w:firstLine="470"/>
      </w:pPr>
      <w:r>
        <w:rPr>
          <w:rFonts w:hint="eastAsia"/>
        </w:rPr>
        <w:t>鲁明公司依法提取安全生产费用并专项使用；依法参加工伤保险，为从业人员缴纳工伤保险和安全生产责任险；按规定为从业人员配备符合国家标准要求的劳动防护用品；定期对危险性较大的设备设施、安全设施及附件等进行检测检验。</w:t>
      </w:r>
    </w:p>
    <w:p w:rsidR="00F95F9B" w:rsidRDefault="00000000">
      <w:pPr>
        <w:widowControl w:val="0"/>
        <w:adjustRightInd w:val="0"/>
        <w:snapToGrid w:val="0"/>
        <w:ind w:firstLine="472"/>
        <w:rPr>
          <w:b/>
          <w:bCs/>
        </w:rPr>
      </w:pPr>
      <w:r>
        <w:rPr>
          <w:rFonts w:hint="eastAsia"/>
          <w:b/>
          <w:bCs/>
        </w:rPr>
        <w:t>综上所述，胜利油田鲁明油气勘探开发有限公司陆上采油（气）现有安全生产条件符合《非煤矿矿山企业安全生产许可证实施办法》等法律法规及标准相关要求。</w:t>
      </w:r>
    </w:p>
    <w:p w:rsidR="00F95F9B" w:rsidRDefault="00000000">
      <w:pPr>
        <w:widowControl w:val="0"/>
        <w:adjustRightInd w:val="0"/>
        <w:snapToGrid w:val="0"/>
        <w:ind w:firstLine="470"/>
      </w:pPr>
      <w:r>
        <w:rPr>
          <w:rFonts w:hint="eastAsia"/>
        </w:rPr>
        <w:t>鲁明公司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p w:rsidR="00F95F9B" w:rsidRDefault="00F95F9B">
      <w:pPr>
        <w:widowControl w:val="0"/>
        <w:adjustRightInd w:val="0"/>
        <w:snapToGrid w:val="0"/>
        <w:ind w:firstLine="470"/>
        <w:sectPr w:rsidR="00F95F9B">
          <w:headerReference w:type="even" r:id="rId62"/>
          <w:footerReference w:type="even" r:id="rId63"/>
          <w:footerReference w:type="default" r:id="rId64"/>
          <w:pgSz w:w="11906" w:h="16838"/>
          <w:pgMar w:top="1417" w:right="1134" w:bottom="1134" w:left="1587" w:header="850" w:footer="850" w:gutter="0"/>
          <w:cols w:space="0"/>
          <w:docGrid w:type="linesAndChars" w:linePitch="340" w:charSpace="-1024"/>
        </w:sectPr>
      </w:pPr>
    </w:p>
    <w:p w:rsidR="00F95F9B" w:rsidRDefault="00000000">
      <w:pPr>
        <w:pStyle w:val="1"/>
        <w:keepNext w:val="0"/>
        <w:keepLines w:val="0"/>
        <w:widowControl w:val="0"/>
        <w:spacing w:before="340" w:after="340"/>
      </w:pPr>
      <w:bookmarkStart w:id="110" w:name="_Toc16974"/>
      <w:bookmarkEnd w:id="109"/>
      <w:r>
        <w:rPr>
          <w:rFonts w:hint="eastAsia"/>
        </w:rPr>
        <w:lastRenderedPageBreak/>
        <w:t>与建设单位交换意见</w:t>
      </w:r>
      <w:bookmarkEnd w:id="110"/>
    </w:p>
    <w:p w:rsidR="00F95F9B" w:rsidRDefault="00000000">
      <w:pPr>
        <w:pStyle w:val="nlw0"/>
        <w:adjustRightInd w:val="0"/>
        <w:snapToGrid w:val="0"/>
        <w:spacing w:line="360" w:lineRule="auto"/>
        <w:ind w:firstLine="470"/>
        <w:rPr>
          <w:rFonts w:ascii="Times New Roman" w:hAnsi="Times New Roman"/>
          <w:sz w:val="24"/>
          <w:szCs w:val="24"/>
          <w:lang w:val="en-US"/>
        </w:rPr>
      </w:pPr>
      <w:r>
        <w:rPr>
          <w:rFonts w:ascii="Times New Roman" w:hAnsi="Times New Roman" w:hint="eastAsia"/>
          <w:sz w:val="24"/>
          <w:szCs w:val="24"/>
          <w:lang w:val="en-US"/>
        </w:rPr>
        <w:t>山东实华安全技术有限公司接到鲁明公司的委托后，认真研究了项目的有关资料，到现场查看并与有关技术人员进行了交流。</w:t>
      </w:r>
    </w:p>
    <w:p w:rsidR="00F95F9B" w:rsidRDefault="00000000">
      <w:pPr>
        <w:pStyle w:val="nlw0"/>
        <w:adjustRightInd w:val="0"/>
        <w:snapToGrid w:val="0"/>
        <w:spacing w:line="360" w:lineRule="auto"/>
        <w:ind w:firstLine="470"/>
        <w:rPr>
          <w:rFonts w:ascii="Times New Roman" w:hAnsi="Times New Roman"/>
          <w:sz w:val="24"/>
          <w:szCs w:val="24"/>
          <w:lang w:val="en-US"/>
        </w:rPr>
      </w:pPr>
      <w:r>
        <w:rPr>
          <w:rFonts w:ascii="Times New Roman" w:hAnsi="Times New Roman" w:hint="eastAsia"/>
          <w:sz w:val="24"/>
          <w:szCs w:val="24"/>
          <w:lang w:val="en-US"/>
        </w:rPr>
        <w:t>项目安全现状评价报告初稿完成后，项目评价组与鲁明公司进行了沟通，达成了一致意见，企业对本报告中提出的问题进行了认真整改，企业整改完毕后，项目评价组进行了现场复查。</w:t>
      </w:r>
    </w:p>
    <w:p w:rsidR="00F95F9B" w:rsidRDefault="00000000">
      <w:pPr>
        <w:snapToGrid w:val="0"/>
        <w:spacing w:line="520" w:lineRule="exact"/>
        <w:ind w:firstLine="470"/>
        <w:jc w:val="center"/>
        <w:rPr>
          <w:lang w:val="es-MX"/>
        </w:rPr>
        <w:sectPr w:rsidR="00F95F9B">
          <w:headerReference w:type="default" r:id="rId65"/>
          <w:footerReference w:type="default" r:id="rId66"/>
          <w:footnotePr>
            <w:numFmt w:val="decimalEnclosedCircleChinese"/>
          </w:footnotePr>
          <w:pgSz w:w="11906" w:h="16838"/>
          <w:pgMar w:top="1417" w:right="1134" w:bottom="1134" w:left="1587" w:header="850" w:footer="850" w:gutter="0"/>
          <w:cols w:space="0"/>
          <w:docGrid w:type="linesAndChars" w:linePitch="340" w:charSpace="-1024"/>
        </w:sectPr>
      </w:pPr>
      <w:r>
        <w:rPr>
          <w:rFonts w:eastAsia="黑体" w:hint="eastAsia"/>
        </w:rPr>
        <w:t>表</w:t>
      </w:r>
      <w:r>
        <w:rPr>
          <w:rFonts w:eastAsia="黑体" w:hint="eastAsia"/>
        </w:rPr>
        <w:t xml:space="preserve">11-1  </w:t>
      </w:r>
      <w:r>
        <w:rPr>
          <w:rFonts w:eastAsia="黑体" w:hint="eastAsia"/>
        </w:rPr>
        <w:t>与被评价单位交换意见情况一览</w:t>
      </w:r>
    </w:p>
    <w:bookmarkEnd w:id="3"/>
    <w:p w:rsidR="00F95F9B" w:rsidRDefault="00F95F9B">
      <w:pPr>
        <w:tabs>
          <w:tab w:val="left" w:pos="1292"/>
        </w:tabs>
        <w:ind w:firstLineChars="0" w:firstLine="0"/>
        <w:jc w:val="left"/>
      </w:pPr>
    </w:p>
    <w:sectPr w:rsidR="00F95F9B">
      <w:headerReference w:type="default" r:id="rId67"/>
      <w:footerReference w:type="default" r:id="rId68"/>
      <w:footnotePr>
        <w:numFmt w:val="decimalEnclosedCircleChinese"/>
      </w:footnotePr>
      <w:pgSz w:w="11906" w:h="16838"/>
      <w:pgMar w:top="1417" w:right="1134" w:bottom="1134" w:left="1587" w:header="850" w:footer="850" w:gutter="0"/>
      <w:cols w:space="0"/>
      <w:docGrid w:type="linesAndChars" w:linePitch="340" w:charSpace="-10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E7DE0" w:rsidRDefault="001E7DE0">
      <w:pPr>
        <w:spacing w:line="240" w:lineRule="auto"/>
        <w:ind w:firstLine="480"/>
      </w:pPr>
      <w:r>
        <w:separator/>
      </w:r>
    </w:p>
  </w:endnote>
  <w:endnote w:type="continuationSeparator" w:id="0">
    <w:p w:rsidR="001E7DE0" w:rsidRDefault="001E7DE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ingLiU">
    <w:altName w:val="細明體"/>
    <w:panose1 w:val="02020309000000000000"/>
    <w:charset w:val="88"/>
    <w:family w:val="modern"/>
    <w:pitch w:val="fixed"/>
    <w:sig w:usb0="00000003" w:usb1="080E0000" w:usb2="00000016" w:usb3="00000000" w:csb0="00100001"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FZFangSong-Z02S">
    <w:altName w:val="宋体"/>
    <w:charset w:val="86"/>
    <w:family w:val="swiss"/>
    <w:pitch w:val="default"/>
    <w:sig w:usb0="00000000" w:usb1="00000000" w:usb2="00000010" w:usb3="00000000" w:csb0="00040000" w:csb1="00000000"/>
  </w:font>
  <w:font w:name="FZXH1JW--GB1-0">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F95F9B">
    <w:pPr>
      <w:pStyle w:val="aff1"/>
      <w:ind w:firstLine="4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F95F9B">
    <w:pPr>
      <w:pStyle w:val="aff1"/>
      <w:ind w:firstLine="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F95F9B">
    <w:pPr>
      <w:pStyle w:val="aff1"/>
      <w:ind w:firstLine="44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F95F9B">
    <w:pPr>
      <w:pStyle w:val="aff1"/>
      <w:ind w:firstLine="44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F95F9B">
    <w:pPr>
      <w:pStyle w:val="aff1"/>
      <w:ind w:firstLine="44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noProof/>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pStyle w:val="aff1"/>
                            <w:ind w:firstLine="36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1044"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F95F9B" w:rsidRDefault="00000000">
                    <w:pPr>
                      <w:pStyle w:val="aff1"/>
                      <w:ind w:firstLine="360"/>
                      <w:jc w:val="cen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noProof/>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pStyle w:val="aff1"/>
                            <w:ind w:firstLine="36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1045"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rsidR="00F95F9B" w:rsidRDefault="00000000">
                    <w:pPr>
                      <w:pStyle w:val="aff1"/>
                      <w:ind w:firstLine="360"/>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1"/>
      <w:framePr w:wrap="around" w:vAnchor="text" w:hAnchor="margin" w:xAlign="center" w:y="1"/>
      <w:ind w:firstLine="360"/>
      <w:jc w:val="center"/>
      <w:rPr>
        <w:rStyle w:val="afff1"/>
      </w:rPr>
    </w:pPr>
    <w:r>
      <w:rPr>
        <w:rStyle w:val="afff1"/>
      </w:rPr>
      <w:fldChar w:fldCharType="begin"/>
    </w:r>
    <w:r>
      <w:rPr>
        <w:rStyle w:val="afff1"/>
      </w:rPr>
      <w:instrText xml:space="preserve">PAGE  </w:instrText>
    </w:r>
    <w:r>
      <w:rPr>
        <w:rStyle w:val="afff1"/>
      </w:rPr>
      <w:fldChar w:fldCharType="separate"/>
    </w:r>
    <w:r>
      <w:rPr>
        <w:rStyle w:val="afff1"/>
      </w:rPr>
      <w:t>30</w:t>
    </w:r>
    <w:r>
      <w:rPr>
        <w:rStyle w:val="afff1"/>
      </w:rPr>
      <w:fldChar w:fldCharType="end"/>
    </w:r>
  </w:p>
  <w:p w:rsidR="00F95F9B" w:rsidRDefault="00000000">
    <w:pPr>
      <w:pStyle w:val="aff1"/>
      <w:pBdr>
        <w:top w:val="single" w:sz="6" w:space="1" w:color="auto"/>
      </w:pBdr>
      <w:tabs>
        <w:tab w:val="left" w:pos="9180"/>
      </w:tabs>
      <w:ind w:right="5" w:firstLine="440"/>
    </w:pPr>
    <w:r>
      <w:rPr>
        <w:rStyle w:val="afff1"/>
        <w:rFonts w:hint="eastAsia"/>
      </w:rPr>
      <w:t xml:space="preserve">                                                                  </w:t>
    </w:r>
    <w:r>
      <w:rPr>
        <w:rFonts w:ascii="仿宋_GB2312" w:eastAsia="仿宋_GB2312" w:hint="eastAsia"/>
        <w:bCs/>
        <w:kern w:val="0"/>
      </w:rPr>
      <w:t>北京实华油海工程技术有限公司</w:t>
    </w:r>
    <w:r>
      <w:rPr>
        <w:noProof/>
      </w:rPr>
      <mc:AlternateContent>
        <mc:Choice Requires="wps">
          <w:drawing>
            <wp:anchor distT="0" distB="0" distL="114300" distR="114300" simplePos="0" relativeHeight="251661312" behindDoc="0" locked="0" layoutInCell="0" allowOverlap="1">
              <wp:simplePos x="0" y="0"/>
              <wp:positionH relativeFrom="column">
                <wp:posOffset>0</wp:posOffset>
              </wp:positionH>
              <wp:positionV relativeFrom="paragraph">
                <wp:posOffset>-12065</wp:posOffset>
              </wp:positionV>
              <wp:extent cx="6019800" cy="635"/>
              <wp:effectExtent l="0" t="0" r="0" b="0"/>
              <wp:wrapNone/>
              <wp:docPr id="162" name="直接连接符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635"/>
                      </a:xfrm>
                      <a:prstGeom prst="line">
                        <a:avLst/>
                      </a:prstGeom>
                      <a:noFill/>
                      <a:ln w="9525">
                        <a:solidFill>
                          <a:srgbClr val="FFFFFF"/>
                        </a:solidFill>
                        <a:round/>
                      </a:ln>
                      <a:effectLst/>
                    </wps:spPr>
                    <wps:bodyPr/>
                  </wps:wsp>
                </a:graphicData>
              </a:graphic>
            </wp:anchor>
          </w:drawing>
        </mc:Choice>
        <mc:Fallback xmlns:wpsCustomData="http://www.wps.cn/officeDocument/2013/wpsCustomData">
          <w:pict>
            <v:line id="_x0000_s1026" o:spid="_x0000_s1026" o:spt="20" style="position:absolute;left:0pt;margin-left:0pt;margin-top:-0.95pt;height:0.05pt;width:474pt;z-index:251661312;mso-width-relative:page;mso-height-relative:page;" filled="f"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07&#10;LeTUAAAABgEAAA8AAAAAAAAAAQAgAAAAIgAAAGRycy9kb3ducmV2LnhtbFBLAQIUABQAAAAIAIdO&#10;4kA8GTGE7gEAAL4DAAAOAAAAAAAAAAEAIAAAACMBAABkcnMvZTJvRG9jLnhtbFBLBQYAAAAABgAG&#10;AFkBAACDBQAAAAA=&#10;">
              <v:fill on="f" focussize="0,0"/>
              <v:stroke color="#FFFFFF" joinstyle="round"/>
              <v:imagedata o:title=""/>
              <o:lock v:ext="edit" aspectratio="f"/>
            </v:line>
          </w:pict>
        </mc:Fallback>
      </mc:AlternateContent>
    </w:r>
    <w:r>
      <w:rPr>
        <w:noProof/>
      </w:rPr>
      <mc:AlternateContent>
        <mc:Choice Requires="wps">
          <w:drawing>
            <wp:anchor distT="0" distB="0" distL="114300" distR="114300" simplePos="0" relativeHeight="251662336" behindDoc="0" locked="0" layoutInCell="0" allowOverlap="1">
              <wp:simplePos x="0" y="0"/>
              <wp:positionH relativeFrom="column">
                <wp:posOffset>0</wp:posOffset>
              </wp:positionH>
              <wp:positionV relativeFrom="paragraph">
                <wp:posOffset>-12065</wp:posOffset>
              </wp:positionV>
              <wp:extent cx="6019800" cy="635"/>
              <wp:effectExtent l="0" t="0" r="0" b="0"/>
              <wp:wrapNone/>
              <wp:docPr id="163" name="直接连接符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635"/>
                      </a:xfrm>
                      <a:prstGeom prst="line">
                        <a:avLst/>
                      </a:prstGeom>
                      <a:noFill/>
                      <a:ln w="9525">
                        <a:solidFill>
                          <a:srgbClr val="FFFFFF"/>
                        </a:solidFill>
                        <a:round/>
                      </a:ln>
                      <a:effectLst/>
                    </wps:spPr>
                    <wps:bodyPr/>
                  </wps:wsp>
                </a:graphicData>
              </a:graphic>
            </wp:anchor>
          </w:drawing>
        </mc:Choice>
        <mc:Fallback xmlns:wpsCustomData="http://www.wps.cn/officeDocument/2013/wpsCustomData">
          <w:pict>
            <v:line id="_x0000_s1026" o:spid="_x0000_s1026" o:spt="20" style="position:absolute;left:0pt;margin-left:0pt;margin-top:-0.95pt;height:0.05pt;width:474pt;z-index:251662336;mso-width-relative:page;mso-height-relative:page;" filled="f"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07&#10;LeTUAAAABgEAAA8AAAAAAAAAAQAgAAAAIgAAAGRycy9kb3ducmV2LnhtbFBLAQIUABQAAAAIAIdO&#10;4kBdIMC97gEAAL4DAAAOAAAAAAAAAAEAIAAAACMBAABkcnMvZTJvRG9jLnhtbFBLBQYAAAAABgAG&#10;AFkBAACDBQAAAAA=&#10;">
              <v:fill on="f" focussize="0,0"/>
              <v:stroke color="#FFFFFF" joinstyle="round"/>
              <v:imagedata o:title=""/>
              <o:lock v:ext="edit" aspectratio="f"/>
            </v:line>
          </w:pict>
        </mc:Fallback>
      </mc:AlternateContent>
    </w:r>
  </w:p>
  <w:p w:rsidR="00F95F9B" w:rsidRDefault="00F95F9B">
    <w:pPr>
      <w:ind w:firstLine="480"/>
    </w:pPr>
  </w:p>
  <w:p w:rsidR="00F95F9B" w:rsidRDefault="00F95F9B">
    <w:pPr>
      <w:ind w:firstLine="480"/>
    </w:pPr>
  </w:p>
  <w:p w:rsidR="00F95F9B" w:rsidRDefault="00F95F9B">
    <w:pPr>
      <w:ind w:firstLine="48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1"/>
      <w:ind w:firstLine="360"/>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pStyle w:val="aff1"/>
                            <w:ind w:firstLine="360"/>
                          </w:pPr>
                          <w:r>
                            <w:fldChar w:fldCharType="begin"/>
                          </w:r>
                          <w:r>
                            <w:instrText xml:space="preserve"> PAGE  \* MERGEFORMAT </w:instrText>
                          </w:r>
                          <w:r>
                            <w:fldChar w:fldCharType="separate"/>
                          </w:r>
                          <w:r>
                            <w:t>173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1046"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rsidR="00F95F9B" w:rsidRDefault="00000000">
                    <w:pPr>
                      <w:pStyle w:val="aff1"/>
                      <w:ind w:firstLine="360"/>
                    </w:pPr>
                    <w:r>
                      <w:fldChar w:fldCharType="begin"/>
                    </w:r>
                    <w:r>
                      <w:instrText xml:space="preserve"> PAGE  \* MERGEFORMAT </w:instrText>
                    </w:r>
                    <w:r>
                      <w:fldChar w:fldCharType="separate"/>
                    </w:r>
                    <w:r>
                      <w:t>173</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noProof/>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pStyle w:val="aff1"/>
                            <w:ind w:firstLine="360"/>
                          </w:pPr>
                          <w:r>
                            <w:fldChar w:fldCharType="begin"/>
                          </w:r>
                          <w:r>
                            <w:instrText xml:space="preserve"> PAGE  \* MERGEFORMAT </w:instrText>
                          </w:r>
                          <w:r>
                            <w:fldChar w:fldCharType="separate"/>
                          </w:r>
                          <w:r>
                            <w:t>174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1047" type="#_x0000_t202" style="position:absolute;left:0;text-align:left;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rsidR="00F95F9B" w:rsidRDefault="00000000">
                    <w:pPr>
                      <w:pStyle w:val="aff1"/>
                      <w:ind w:firstLine="360"/>
                    </w:pPr>
                    <w:r>
                      <w:fldChar w:fldCharType="begin"/>
                    </w:r>
                    <w:r>
                      <w:instrText xml:space="preserve"> PAGE  \* MERGEFORMAT </w:instrText>
                    </w:r>
                    <w:r>
                      <w:fldChar w:fldCharType="separate"/>
                    </w:r>
                    <w:r>
                      <w:t>174</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1"/>
      <w:pBdr>
        <w:top w:val="single" w:sz="4" w:space="1" w:color="auto"/>
      </w:pBdr>
      <w:tabs>
        <w:tab w:val="clear" w:pos="4153"/>
        <w:tab w:val="clear" w:pos="8306"/>
      </w:tabs>
      <w:ind w:firstLineChars="0" w:firstLine="0"/>
      <w:jc w:val="center"/>
      <w:rPr>
        <w:rFonts w:eastAsia="楷体_GB2312"/>
        <w:spacing w:val="0"/>
        <w:sz w:val="21"/>
        <w:szCs w:val="21"/>
      </w:rPr>
    </w:pPr>
    <w:r>
      <w:rPr>
        <w:noProof/>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5F9B" w:rsidRDefault="00000000">
                          <w:pPr>
                            <w:pStyle w:val="aff1"/>
                            <w:ind w:firstLine="360"/>
                          </w:pPr>
                          <w:r>
                            <w:fldChar w:fldCharType="begin"/>
                          </w:r>
                          <w:r>
                            <w:instrText xml:space="preserve"> PAGE  \* MERGEFORMAT </w:instrText>
                          </w:r>
                          <w:r>
                            <w:fldChar w:fldCharType="separate"/>
                          </w:r>
                          <w:r>
                            <w:t>303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1048"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rsidR="00F95F9B" w:rsidRDefault="00000000">
                    <w:pPr>
                      <w:pStyle w:val="aff1"/>
                      <w:ind w:firstLine="360"/>
                    </w:pPr>
                    <w:r>
                      <w:fldChar w:fldCharType="begin"/>
                    </w:r>
                    <w:r>
                      <w:instrText xml:space="preserve"> PAGE  \* MERGEFORMAT </w:instrText>
                    </w:r>
                    <w:r>
                      <w:fldChar w:fldCharType="separate"/>
                    </w:r>
                    <w:r>
                      <w:t>303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E7DE0" w:rsidRDefault="001E7DE0">
      <w:pPr>
        <w:ind w:firstLine="480"/>
      </w:pPr>
      <w:r>
        <w:separator/>
      </w:r>
    </w:p>
  </w:footnote>
  <w:footnote w:type="continuationSeparator" w:id="0">
    <w:p w:rsidR="001E7DE0" w:rsidRDefault="001E7DE0">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F95F9B">
    <w:pPr>
      <w:pStyle w:val="aff3"/>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F95F9B">
    <w:pPr>
      <w:pStyle w:val="aff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ff"/>
      <w:pBdr>
        <w:top w:val="none" w:sz="0" w:space="0" w:color="auto"/>
        <w:bottom w:val="single" w:sz="4" w:space="1" w:color="auto"/>
      </w:pBdr>
      <w:tabs>
        <w:tab w:val="center" w:pos="4153"/>
        <w:tab w:val="right" w:pos="8306"/>
      </w:tabs>
      <w:jc w:val="center"/>
    </w:pPr>
    <w:r>
      <w:rPr>
        <w:rFonts w:hint="eastAsia"/>
      </w:rPr>
      <w:t>胜利油田鲁明油气勘探开发有限公司安全现状评价报告</w:t>
    </w:r>
  </w:p>
  <w:p w:rsidR="00F95F9B" w:rsidRDefault="00F95F9B">
    <w:pPr>
      <w:pStyle w:val="aff3"/>
      <w:pBdr>
        <w:bottom w:val="none" w:sz="0" w:space="0" w:color="auto"/>
      </w:pBd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F95F9B">
    <w:pPr>
      <w:pStyle w:val="aff3"/>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ff"/>
      <w:pBdr>
        <w:top w:val="none" w:sz="0" w:space="0" w:color="auto"/>
        <w:bottom w:val="single" w:sz="4" w:space="1" w:color="auto"/>
      </w:pBdr>
      <w:tabs>
        <w:tab w:val="center" w:pos="4153"/>
        <w:tab w:val="right" w:pos="8306"/>
      </w:tabs>
      <w:jc w:val="center"/>
    </w:pPr>
    <w:r>
      <w:rPr>
        <w:rFonts w:hint="eastAsia"/>
      </w:rPr>
      <w:t>胜利油田鲁明油气勘探开发有限公司安全现状评价报告</w:t>
    </w:r>
  </w:p>
  <w:p w:rsidR="00F95F9B" w:rsidRDefault="00F95F9B">
    <w:pPr>
      <w:pStyle w:val="aff3"/>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ff"/>
      <w:pBdr>
        <w:top w:val="none" w:sz="0" w:space="0" w:color="auto"/>
        <w:bottom w:val="single" w:sz="4" w:space="1" w:color="auto"/>
      </w:pBdr>
      <w:tabs>
        <w:tab w:val="center" w:pos="4153"/>
        <w:tab w:val="right" w:pos="8306"/>
      </w:tabs>
      <w:jc w:val="center"/>
    </w:pPr>
    <w:r>
      <w:rPr>
        <w:rFonts w:hint="eastAsia"/>
      </w:rPr>
      <w:t>胜利油田鲁明油气勘探开发有限公司安全现状评价报告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3"/>
      <w:ind w:firstLine="360"/>
    </w:pPr>
    <w:r>
      <w:rPr>
        <w:rFonts w:hint="eastAsia"/>
      </w:rPr>
      <w:t>胜利油田石化总厂汽油产品质量升级技改工程</w:t>
    </w:r>
    <w:r>
      <w:rPr>
        <w:rFonts w:hint="eastAsia"/>
      </w:rPr>
      <w:t xml:space="preserve">                                            </w:t>
    </w:r>
    <w:r>
      <w:rPr>
        <w:rFonts w:hint="eastAsia"/>
      </w:rPr>
      <w:t>设立安全评价报告</w:t>
    </w:r>
    <w:r>
      <w:rPr>
        <w:rFonts w:ascii="仿宋_GB2312" w:eastAsia="仿宋_GB2312" w:hint="eastAsia"/>
        <w:bCs/>
        <w:spacing w:val="20"/>
        <w:kern w:val="0"/>
      </w:rPr>
      <w:t xml:space="preserve">            </w:t>
    </w:r>
  </w:p>
  <w:p w:rsidR="00F95F9B" w:rsidRDefault="00F95F9B">
    <w:pPr>
      <w:ind w:firstLine="480"/>
    </w:pPr>
  </w:p>
  <w:p w:rsidR="00F95F9B" w:rsidRDefault="00F95F9B">
    <w:pPr>
      <w:ind w:firstLine="480"/>
    </w:pPr>
  </w:p>
  <w:p w:rsidR="00F95F9B" w:rsidRDefault="00F95F9B">
    <w:pPr>
      <w:ind w:firstLine="48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ff"/>
      <w:pBdr>
        <w:top w:val="none" w:sz="0" w:space="0" w:color="auto"/>
        <w:bottom w:val="single" w:sz="4" w:space="1" w:color="auto"/>
      </w:pBdr>
      <w:jc w:val="center"/>
    </w:pPr>
    <w:r>
      <w:rPr>
        <w:rFonts w:hint="eastAsia"/>
      </w:rPr>
      <w:t>胜利油田鲁明油气勘探开发有限公司安全现状评价报告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5F9B" w:rsidRDefault="00000000">
    <w:pPr>
      <w:pStyle w:val="affff"/>
      <w:pBdr>
        <w:top w:val="none" w:sz="0" w:space="0" w:color="auto"/>
        <w:bottom w:val="single" w:sz="4" w:space="1" w:color="auto"/>
      </w:pBdr>
      <w:jc w:val="center"/>
    </w:pPr>
    <w:r>
      <w:rPr>
        <w:rFonts w:hint="eastAsia"/>
      </w:rPr>
      <w:t>胜利油田鲁明油气勘探开发有限公司安全现状评价报告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E5F0C1"/>
    <w:multiLevelType w:val="singleLevel"/>
    <w:tmpl w:val="A8E5F0C1"/>
    <w:lvl w:ilvl="0">
      <w:start w:val="3"/>
      <w:numFmt w:val="decimal"/>
      <w:suff w:val="nothing"/>
      <w:lvlText w:val="%1）"/>
      <w:lvlJc w:val="left"/>
    </w:lvl>
  </w:abstractNum>
  <w:abstractNum w:abstractNumId="1" w15:restartNumberingAfterBreak="0">
    <w:nsid w:val="BF28CE1B"/>
    <w:multiLevelType w:val="singleLevel"/>
    <w:tmpl w:val="BF28CE1B"/>
    <w:lvl w:ilvl="0">
      <w:start w:val="1"/>
      <w:numFmt w:val="decimal"/>
      <w:suff w:val="nothing"/>
      <w:lvlText w:val="%1）"/>
      <w:lvlJc w:val="left"/>
    </w:lvl>
  </w:abstractNum>
  <w:abstractNum w:abstractNumId="2" w15:restartNumberingAfterBreak="0">
    <w:nsid w:val="DFEF4DCA"/>
    <w:multiLevelType w:val="multilevel"/>
    <w:tmpl w:val="DFEF4DCA"/>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3" w15:restartNumberingAfterBreak="0">
    <w:nsid w:val="E9C15CE4"/>
    <w:multiLevelType w:val="singleLevel"/>
    <w:tmpl w:val="E9C15CE4"/>
    <w:lvl w:ilvl="0">
      <w:start w:val="1"/>
      <w:numFmt w:val="decimal"/>
      <w:lvlText w:val="%1."/>
      <w:lvlJc w:val="left"/>
      <w:pPr>
        <w:ind w:left="425" w:hanging="425"/>
      </w:pPr>
      <w:rPr>
        <w:rFonts w:hint="default"/>
      </w:rPr>
    </w:lvl>
  </w:abstractNum>
  <w:abstractNum w:abstractNumId="4" w15:restartNumberingAfterBreak="0">
    <w:nsid w:val="EB529716"/>
    <w:multiLevelType w:val="singleLevel"/>
    <w:tmpl w:val="EB529716"/>
    <w:lvl w:ilvl="0">
      <w:start w:val="1"/>
      <w:numFmt w:val="decimal"/>
      <w:lvlText w:val="%1."/>
      <w:lvlJc w:val="left"/>
      <w:pPr>
        <w:ind w:left="425" w:hanging="425"/>
      </w:pPr>
      <w:rPr>
        <w:rFonts w:hint="default"/>
      </w:rPr>
    </w:lvl>
  </w:abstractNum>
  <w:abstractNum w:abstractNumId="5" w15:restartNumberingAfterBreak="0">
    <w:nsid w:val="EE4C7E0B"/>
    <w:multiLevelType w:val="singleLevel"/>
    <w:tmpl w:val="EE4C7E0B"/>
    <w:lvl w:ilvl="0">
      <w:start w:val="1"/>
      <w:numFmt w:val="decimal"/>
      <w:lvlText w:val="%1."/>
      <w:lvlJc w:val="left"/>
      <w:pPr>
        <w:ind w:left="425" w:hanging="425"/>
      </w:pPr>
      <w:rPr>
        <w:rFonts w:hint="default"/>
      </w:rPr>
    </w:lvl>
  </w:abstractNum>
  <w:abstractNum w:abstractNumId="6" w15:restartNumberingAfterBreak="0">
    <w:nsid w:val="F7D170C4"/>
    <w:multiLevelType w:val="multilevel"/>
    <w:tmpl w:val="F7D170C4"/>
    <w:lvl w:ilvl="0">
      <w:start w:val="1"/>
      <w:numFmt w:val="decimal"/>
      <w:suff w:val="nothing"/>
      <w:lvlText w:val="%1."/>
      <w:lvlJc w:val="left"/>
      <w:pPr>
        <w:ind w:left="737" w:hanging="177"/>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7" w15:restartNumberingAfterBreak="0">
    <w:nsid w:val="08286A1A"/>
    <w:multiLevelType w:val="singleLevel"/>
    <w:tmpl w:val="08286A1A"/>
    <w:lvl w:ilvl="0">
      <w:start w:val="1"/>
      <w:numFmt w:val="decimal"/>
      <w:lvlText w:val="%1."/>
      <w:lvlJc w:val="left"/>
      <w:pPr>
        <w:ind w:left="425" w:hanging="425"/>
      </w:pPr>
      <w:rPr>
        <w:rFonts w:hint="default"/>
      </w:rPr>
    </w:lvl>
  </w:abstractNum>
  <w:abstractNum w:abstractNumId="8" w15:restartNumberingAfterBreak="0">
    <w:nsid w:val="175D1055"/>
    <w:multiLevelType w:val="multilevel"/>
    <w:tmpl w:val="175D1055"/>
    <w:lvl w:ilvl="0">
      <w:start w:val="1"/>
      <w:numFmt w:val="bullet"/>
      <w:pStyle w:val="a"/>
      <w:lvlText w:val=""/>
      <w:lvlJc w:val="left"/>
      <w:pPr>
        <w:tabs>
          <w:tab w:val="left" w:pos="620"/>
        </w:tabs>
        <w:ind w:left="62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1D6141C7"/>
    <w:multiLevelType w:val="multilevel"/>
    <w:tmpl w:val="1D6141C7"/>
    <w:lvl w:ilvl="0">
      <w:start w:val="1"/>
      <w:numFmt w:val="decimal"/>
      <w:pStyle w:val="1"/>
      <w:suff w:val="nothing"/>
      <w:lvlText w:val="%1　"/>
      <w:lvlJc w:val="left"/>
      <w:pPr>
        <w:ind w:left="0" w:firstLine="0"/>
      </w:pPr>
      <w:rPr>
        <w:rFonts w:ascii="Times New Roman" w:eastAsia="黑体" w:hAnsi="Times New Roman" w:hint="default"/>
        <w:spacing w:val="0"/>
        <w:w w:val="100"/>
        <w:position w:val="0"/>
        <w:sz w:val="32"/>
      </w:rPr>
    </w:lvl>
    <w:lvl w:ilvl="1">
      <w:start w:val="1"/>
      <w:numFmt w:val="decimal"/>
      <w:pStyle w:val="2"/>
      <w:suff w:val="nothing"/>
      <w:lvlText w:val="%1.%2　"/>
      <w:lvlJc w:val="left"/>
      <w:pPr>
        <w:ind w:left="0" w:firstLine="0"/>
      </w:pPr>
      <w:rPr>
        <w:rFonts w:ascii="Times New Roman" w:eastAsia="黑体" w:hAnsi="Times New Roman" w:hint="default"/>
        <w:color w:val="000000"/>
        <w:sz w:val="28"/>
      </w:rPr>
    </w:lvl>
    <w:lvl w:ilvl="2">
      <w:start w:val="1"/>
      <w:numFmt w:val="decimal"/>
      <w:pStyle w:val="3"/>
      <w:suff w:val="nothing"/>
      <w:lvlText w:val="%1.%2.%3　"/>
      <w:lvlJc w:val="left"/>
      <w:pPr>
        <w:ind w:left="2835" w:firstLine="0"/>
      </w:pPr>
      <w:rPr>
        <w:rFonts w:ascii="Times New Roman" w:eastAsia="黑体" w:hAnsi="Times New Roman" w:hint="default"/>
        <w:sz w:val="24"/>
        <w:szCs w:val="28"/>
      </w:rPr>
    </w:lvl>
    <w:lvl w:ilvl="3">
      <w:start w:val="1"/>
      <w:numFmt w:val="decimal"/>
      <w:pStyle w:val="4"/>
      <w:suff w:val="nothing"/>
      <w:lvlText w:val="%1.%2.%3.%4　"/>
      <w:lvlJc w:val="left"/>
      <w:pPr>
        <w:ind w:left="0" w:firstLine="0"/>
      </w:pPr>
      <w:rPr>
        <w:rFonts w:ascii="Times New Roman" w:eastAsia="宋体" w:hAnsi="Times New Roman" w:hint="default"/>
        <w:b w:val="0"/>
        <w:bCs/>
        <w:i w:val="0"/>
        <w:sz w:val="24"/>
        <w:szCs w:val="24"/>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15:restartNumberingAfterBreak="0">
    <w:nsid w:val="220F03E5"/>
    <w:multiLevelType w:val="singleLevel"/>
    <w:tmpl w:val="220F03E5"/>
    <w:lvl w:ilvl="0">
      <w:start w:val="1"/>
      <w:numFmt w:val="decimal"/>
      <w:lvlText w:val="%1."/>
      <w:lvlJc w:val="left"/>
      <w:pPr>
        <w:ind w:left="425" w:hanging="425"/>
      </w:pPr>
      <w:rPr>
        <w:rFonts w:hint="default"/>
      </w:rPr>
    </w:lvl>
  </w:abstractNum>
  <w:abstractNum w:abstractNumId="11" w15:restartNumberingAfterBreak="0">
    <w:nsid w:val="3CAE20DE"/>
    <w:multiLevelType w:val="multilevel"/>
    <w:tmpl w:val="3CAE20DE"/>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2" w15:restartNumberingAfterBreak="0">
    <w:nsid w:val="44C50F90"/>
    <w:multiLevelType w:val="multilevel"/>
    <w:tmpl w:val="44C50F90"/>
    <w:lvl w:ilvl="0">
      <w:start w:val="1"/>
      <w:numFmt w:val="lowerLetter"/>
      <w:pStyle w:val="a0"/>
      <w:lvlText w:val="%1)"/>
      <w:lvlJc w:val="left"/>
      <w:pPr>
        <w:tabs>
          <w:tab w:val="left" w:pos="851"/>
        </w:tabs>
        <w:ind w:left="851" w:hanging="426"/>
      </w:pPr>
      <w:rPr>
        <w:rFonts w:ascii="宋体" w:eastAsia="宋体" w:hAnsi="Times New Roman" w:hint="eastAsia"/>
        <w:sz w:val="21"/>
      </w:rPr>
    </w:lvl>
    <w:lvl w:ilvl="1">
      <w:start w:val="1"/>
      <w:numFmt w:val="decimal"/>
      <w:pStyle w:val="a1"/>
      <w:lvlText w:val="%2)"/>
      <w:lvlJc w:val="left"/>
      <w:pPr>
        <w:tabs>
          <w:tab w:val="left" w:pos="1276"/>
        </w:tabs>
        <w:ind w:left="1276" w:hanging="425"/>
      </w:pPr>
      <w:rPr>
        <w:rFonts w:ascii="宋体" w:eastAsia="宋体" w:hAnsi="Times New Roman" w:hint="eastAsia"/>
        <w:sz w:val="21"/>
      </w:rPr>
    </w:lvl>
    <w:lvl w:ilvl="2">
      <w:start w:val="1"/>
      <w:numFmt w:val="decimal"/>
      <w:pStyle w:val="a2"/>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DCA618F"/>
    <w:multiLevelType w:val="singleLevel"/>
    <w:tmpl w:val="4DCA618F"/>
    <w:lvl w:ilvl="0">
      <w:start w:val="1"/>
      <w:numFmt w:val="decimal"/>
      <w:lvlText w:val="%1."/>
      <w:lvlJc w:val="left"/>
      <w:pPr>
        <w:ind w:left="425" w:hanging="425"/>
      </w:pPr>
      <w:rPr>
        <w:rFonts w:hint="default"/>
      </w:rPr>
    </w:lvl>
  </w:abstractNum>
  <w:abstractNum w:abstractNumId="14" w15:restartNumberingAfterBreak="0">
    <w:nsid w:val="578F4838"/>
    <w:multiLevelType w:val="multilevel"/>
    <w:tmpl w:val="578F4838"/>
    <w:lvl w:ilvl="0">
      <w:start w:val="1"/>
      <w:numFmt w:val="decimal"/>
      <w:suff w:val="nothing"/>
      <w:lvlText w:val="%1."/>
      <w:lvlJc w:val="left"/>
      <w:pPr>
        <w:ind w:left="737" w:hanging="177"/>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5" w15:restartNumberingAfterBreak="0">
    <w:nsid w:val="59BB18A3"/>
    <w:multiLevelType w:val="multilevel"/>
    <w:tmpl w:val="59BB18A3"/>
    <w:lvl w:ilvl="0">
      <w:start w:val="1"/>
      <w:numFmt w:val="decimal"/>
      <w:lvlText w:val="%1."/>
      <w:lvlJc w:val="left"/>
      <w:pPr>
        <w:ind w:left="988"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6" w15:restartNumberingAfterBreak="0">
    <w:nsid w:val="67B60754"/>
    <w:multiLevelType w:val="multilevel"/>
    <w:tmpl w:val="67B60754"/>
    <w:lvl w:ilvl="0">
      <w:start w:val="1"/>
      <w:numFmt w:val="decimal"/>
      <w:lvlText w:val="%1"/>
      <w:lvlJc w:val="center"/>
      <w:pPr>
        <w:ind w:left="420" w:hanging="132"/>
      </w:pPr>
      <w:rPr>
        <w:spacing w:val="0"/>
        <w:w w:val="100"/>
        <w:position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6CCF1BE5"/>
    <w:multiLevelType w:val="multilevel"/>
    <w:tmpl w:val="6CCF1BE5"/>
    <w:lvl w:ilvl="0">
      <w:start w:val="1"/>
      <w:numFmt w:val="bullet"/>
      <w:pStyle w:val="a3"/>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18" w15:restartNumberingAfterBreak="0">
    <w:nsid w:val="6CEA2025"/>
    <w:multiLevelType w:val="multilevel"/>
    <w:tmpl w:val="6CEA2025"/>
    <w:lvl w:ilvl="0">
      <w:start w:val="1"/>
      <w:numFmt w:val="none"/>
      <w:pStyle w:val="a4"/>
      <w:suff w:val="nothing"/>
      <w:lvlText w:val="%1"/>
      <w:lvlJc w:val="left"/>
      <w:pPr>
        <w:ind w:left="0" w:firstLine="0"/>
      </w:pPr>
    </w:lvl>
    <w:lvl w:ilvl="1">
      <w:start w:val="1"/>
      <w:numFmt w:val="decimal"/>
      <w:pStyle w:val="a5"/>
      <w:suff w:val="nothing"/>
      <w:lvlText w:val="%1%2　"/>
      <w:lvlJc w:val="left"/>
      <w:pPr>
        <w:ind w:left="1419" w:firstLine="0"/>
      </w:pPr>
      <w:rPr>
        <w:rFonts w:ascii="黑体" w:eastAsia="黑体" w:hAnsi="Times New Roman" w:hint="eastAsia"/>
        <w:b w:val="0"/>
        <w:i w:val="0"/>
        <w:sz w:val="21"/>
      </w:rPr>
    </w:lvl>
    <w:lvl w:ilvl="2">
      <w:start w:val="1"/>
      <w:numFmt w:val="decimal"/>
      <w:pStyle w:val="a6"/>
      <w:suff w:val="nothing"/>
      <w:lvlText w:val="%1%2.%3　"/>
      <w:lvlJc w:val="left"/>
      <w:pPr>
        <w:ind w:left="2694"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7"/>
      <w:suff w:val="nothing"/>
      <w:lvlText w:val="%1%2.%3.%4　"/>
      <w:lvlJc w:val="left"/>
      <w:pPr>
        <w:ind w:left="1277" w:firstLine="0"/>
      </w:pPr>
      <w:rPr>
        <w:rFonts w:ascii="黑体" w:eastAsia="黑体" w:hAnsi="Times New Roman" w:hint="eastAsia"/>
        <w:b w:val="0"/>
        <w:i w:val="0"/>
        <w:sz w:val="21"/>
      </w:rPr>
    </w:lvl>
    <w:lvl w:ilvl="4">
      <w:start w:val="1"/>
      <w:numFmt w:val="decimal"/>
      <w:pStyle w:val="a8"/>
      <w:suff w:val="nothing"/>
      <w:lvlText w:val="%1%2.%3.%4.%5　"/>
      <w:lvlJc w:val="left"/>
      <w:pPr>
        <w:ind w:left="142"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pStyle w:val="a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9" w15:restartNumberingAfterBreak="0">
    <w:nsid w:val="70DF7B76"/>
    <w:multiLevelType w:val="multilevel"/>
    <w:tmpl w:val="70DF7B76"/>
    <w:lvl w:ilvl="0">
      <w:start w:val="1"/>
      <w:numFmt w:val="decimal"/>
      <w:lvlText w:val="%1."/>
      <w:lvlJc w:val="left"/>
      <w:pPr>
        <w:ind w:left="978"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885802379">
    <w:abstractNumId w:val="9"/>
  </w:num>
  <w:num w:numId="2" w16cid:durableId="1030423661">
    <w:abstractNumId w:val="17"/>
  </w:num>
  <w:num w:numId="3" w16cid:durableId="1478568163">
    <w:abstractNumId w:val="8"/>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0"/>
  </w:num>
  <w:num w:numId="4" w16cid:durableId="1351106158">
    <w:abstractNumId w:val="12"/>
  </w:num>
  <w:num w:numId="5" w16cid:durableId="5341937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26850689">
    <w:abstractNumId w:val="19"/>
  </w:num>
  <w:num w:numId="7" w16cid:durableId="908154024">
    <w:abstractNumId w:val="10"/>
  </w:num>
  <w:num w:numId="8" w16cid:durableId="605388248">
    <w:abstractNumId w:val="11"/>
  </w:num>
  <w:num w:numId="9" w16cid:durableId="1101022774">
    <w:abstractNumId w:val="15"/>
  </w:num>
  <w:num w:numId="10" w16cid:durableId="539242145">
    <w:abstractNumId w:val="14"/>
  </w:num>
  <w:num w:numId="11" w16cid:durableId="2023362293">
    <w:abstractNumId w:val="6"/>
  </w:num>
  <w:num w:numId="12" w16cid:durableId="1743217436">
    <w:abstractNumId w:val="2"/>
  </w:num>
  <w:num w:numId="13" w16cid:durableId="1972514855">
    <w:abstractNumId w:val="1"/>
  </w:num>
  <w:num w:numId="14" w16cid:durableId="2104180682">
    <w:abstractNumId w:val="0"/>
  </w:num>
  <w:num w:numId="15" w16cid:durableId="23593947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19243088">
    <w:abstractNumId w:val="3"/>
  </w:num>
  <w:num w:numId="17" w16cid:durableId="1771000848">
    <w:abstractNumId w:val="4"/>
  </w:num>
  <w:num w:numId="18" w16cid:durableId="1382903726">
    <w:abstractNumId w:val="13"/>
  </w:num>
  <w:num w:numId="19" w16cid:durableId="1131821865">
    <w:abstractNumId w:val="5"/>
  </w:num>
  <w:num w:numId="20" w16cid:durableId="11386423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hideSpellingErrors/>
  <w:proofState w:spelling="clean"/>
  <w:documentProtection w:edit="readOnly" w:enforcement="0"/>
  <w:defaultTabStop w:val="52"/>
  <w:drawingGridHorizontalSpacing w:val="118"/>
  <w:drawingGridVerticalSpacing w:val="17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E3MzQwMTVkNjA3YTVlMDE5NGE5MzNiMTBhZTliYzAifQ=="/>
  </w:docVars>
  <w:rsids>
    <w:rsidRoot w:val="00172A27"/>
    <w:rsid w:val="000016F9"/>
    <w:rsid w:val="00013AC1"/>
    <w:rsid w:val="00015C07"/>
    <w:rsid w:val="000173B3"/>
    <w:rsid w:val="00022F5D"/>
    <w:rsid w:val="00023838"/>
    <w:rsid w:val="000315FE"/>
    <w:rsid w:val="000332E9"/>
    <w:rsid w:val="00033416"/>
    <w:rsid w:val="0004022F"/>
    <w:rsid w:val="00047E94"/>
    <w:rsid w:val="000510AE"/>
    <w:rsid w:val="000560C2"/>
    <w:rsid w:val="00061188"/>
    <w:rsid w:val="00062890"/>
    <w:rsid w:val="0006519D"/>
    <w:rsid w:val="000735DC"/>
    <w:rsid w:val="0007476B"/>
    <w:rsid w:val="00075635"/>
    <w:rsid w:val="00082183"/>
    <w:rsid w:val="00084D9B"/>
    <w:rsid w:val="00096EA2"/>
    <w:rsid w:val="000A04BF"/>
    <w:rsid w:val="000A27E2"/>
    <w:rsid w:val="000A490F"/>
    <w:rsid w:val="000A6068"/>
    <w:rsid w:val="000A75EA"/>
    <w:rsid w:val="000A78F8"/>
    <w:rsid w:val="000B2CBD"/>
    <w:rsid w:val="000B7897"/>
    <w:rsid w:val="000C0F38"/>
    <w:rsid w:val="000C25BB"/>
    <w:rsid w:val="000C2F9A"/>
    <w:rsid w:val="000C7BDB"/>
    <w:rsid w:val="000D1B7A"/>
    <w:rsid w:val="000D5E81"/>
    <w:rsid w:val="000D6352"/>
    <w:rsid w:val="000D7AAE"/>
    <w:rsid w:val="000E0510"/>
    <w:rsid w:val="000E0E3F"/>
    <w:rsid w:val="000E3AE2"/>
    <w:rsid w:val="000E52C2"/>
    <w:rsid w:val="000E6896"/>
    <w:rsid w:val="000F1C33"/>
    <w:rsid w:val="000F2D47"/>
    <w:rsid w:val="000F6199"/>
    <w:rsid w:val="00102170"/>
    <w:rsid w:val="00104D71"/>
    <w:rsid w:val="00107906"/>
    <w:rsid w:val="00112782"/>
    <w:rsid w:val="001200FE"/>
    <w:rsid w:val="001211BD"/>
    <w:rsid w:val="00130666"/>
    <w:rsid w:val="00132145"/>
    <w:rsid w:val="00134216"/>
    <w:rsid w:val="00134809"/>
    <w:rsid w:val="00134B6F"/>
    <w:rsid w:val="00135659"/>
    <w:rsid w:val="00142AFD"/>
    <w:rsid w:val="0014544B"/>
    <w:rsid w:val="00146FAC"/>
    <w:rsid w:val="001505FF"/>
    <w:rsid w:val="00151D1A"/>
    <w:rsid w:val="0015377F"/>
    <w:rsid w:val="00153DC2"/>
    <w:rsid w:val="00161880"/>
    <w:rsid w:val="0017156C"/>
    <w:rsid w:val="00172A27"/>
    <w:rsid w:val="00175290"/>
    <w:rsid w:val="001774F2"/>
    <w:rsid w:val="00180AEA"/>
    <w:rsid w:val="00182790"/>
    <w:rsid w:val="0019191D"/>
    <w:rsid w:val="00192D6C"/>
    <w:rsid w:val="001944DF"/>
    <w:rsid w:val="0019589A"/>
    <w:rsid w:val="001A11FD"/>
    <w:rsid w:val="001A6F32"/>
    <w:rsid w:val="001C5806"/>
    <w:rsid w:val="001C7BAC"/>
    <w:rsid w:val="001D1C35"/>
    <w:rsid w:val="001D1EE9"/>
    <w:rsid w:val="001D1F50"/>
    <w:rsid w:val="001D6DAA"/>
    <w:rsid w:val="001E3D9D"/>
    <w:rsid w:val="001E7DE0"/>
    <w:rsid w:val="001F0D62"/>
    <w:rsid w:val="001F1461"/>
    <w:rsid w:val="001F184D"/>
    <w:rsid w:val="001F2DC7"/>
    <w:rsid w:val="001F6CFA"/>
    <w:rsid w:val="001F7368"/>
    <w:rsid w:val="002023B8"/>
    <w:rsid w:val="00207DE8"/>
    <w:rsid w:val="00210959"/>
    <w:rsid w:val="0021160B"/>
    <w:rsid w:val="0021163E"/>
    <w:rsid w:val="002124CF"/>
    <w:rsid w:val="002129ED"/>
    <w:rsid w:val="00213567"/>
    <w:rsid w:val="00221234"/>
    <w:rsid w:val="00221DAE"/>
    <w:rsid w:val="00223A83"/>
    <w:rsid w:val="00227707"/>
    <w:rsid w:val="00227D8E"/>
    <w:rsid w:val="0023218F"/>
    <w:rsid w:val="00245E40"/>
    <w:rsid w:val="00253889"/>
    <w:rsid w:val="0025506A"/>
    <w:rsid w:val="00257FC3"/>
    <w:rsid w:val="00265019"/>
    <w:rsid w:val="00273315"/>
    <w:rsid w:val="00276A79"/>
    <w:rsid w:val="002770F8"/>
    <w:rsid w:val="00282202"/>
    <w:rsid w:val="00282354"/>
    <w:rsid w:val="00283F84"/>
    <w:rsid w:val="00291779"/>
    <w:rsid w:val="00296AFB"/>
    <w:rsid w:val="0029702B"/>
    <w:rsid w:val="002A2E45"/>
    <w:rsid w:val="002A4541"/>
    <w:rsid w:val="002A7B86"/>
    <w:rsid w:val="002B3553"/>
    <w:rsid w:val="002B6ACE"/>
    <w:rsid w:val="002B701A"/>
    <w:rsid w:val="002C273F"/>
    <w:rsid w:val="002C27FE"/>
    <w:rsid w:val="002C2C9C"/>
    <w:rsid w:val="002C5EBB"/>
    <w:rsid w:val="002C7BC6"/>
    <w:rsid w:val="002D544E"/>
    <w:rsid w:val="002D6140"/>
    <w:rsid w:val="002D6888"/>
    <w:rsid w:val="002E484E"/>
    <w:rsid w:val="002E5A0C"/>
    <w:rsid w:val="002F187B"/>
    <w:rsid w:val="002F2059"/>
    <w:rsid w:val="002F785F"/>
    <w:rsid w:val="003006F1"/>
    <w:rsid w:val="00300D19"/>
    <w:rsid w:val="003017C6"/>
    <w:rsid w:val="00303485"/>
    <w:rsid w:val="003175C5"/>
    <w:rsid w:val="0032218F"/>
    <w:rsid w:val="0032365C"/>
    <w:rsid w:val="00333F3F"/>
    <w:rsid w:val="00333FA7"/>
    <w:rsid w:val="00334964"/>
    <w:rsid w:val="00336599"/>
    <w:rsid w:val="003367E2"/>
    <w:rsid w:val="00337F09"/>
    <w:rsid w:val="00341C76"/>
    <w:rsid w:val="003425A8"/>
    <w:rsid w:val="00342D6B"/>
    <w:rsid w:val="00343CE0"/>
    <w:rsid w:val="0034449E"/>
    <w:rsid w:val="00345CC2"/>
    <w:rsid w:val="00346C7D"/>
    <w:rsid w:val="00347CA1"/>
    <w:rsid w:val="0035285C"/>
    <w:rsid w:val="00353BDC"/>
    <w:rsid w:val="00354243"/>
    <w:rsid w:val="0035629C"/>
    <w:rsid w:val="0036414A"/>
    <w:rsid w:val="003646E7"/>
    <w:rsid w:val="003659FE"/>
    <w:rsid w:val="003670CB"/>
    <w:rsid w:val="00370059"/>
    <w:rsid w:val="003706F8"/>
    <w:rsid w:val="0037436D"/>
    <w:rsid w:val="00385D08"/>
    <w:rsid w:val="00386596"/>
    <w:rsid w:val="00386E66"/>
    <w:rsid w:val="00391416"/>
    <w:rsid w:val="003A0D7C"/>
    <w:rsid w:val="003A2CB4"/>
    <w:rsid w:val="003A3AE3"/>
    <w:rsid w:val="003B2A29"/>
    <w:rsid w:val="003B5698"/>
    <w:rsid w:val="003C3BEF"/>
    <w:rsid w:val="003C6BD1"/>
    <w:rsid w:val="003D4109"/>
    <w:rsid w:val="003D74AC"/>
    <w:rsid w:val="003E0E5A"/>
    <w:rsid w:val="003E25FB"/>
    <w:rsid w:val="003E4ADB"/>
    <w:rsid w:val="003E7856"/>
    <w:rsid w:val="003E7EE9"/>
    <w:rsid w:val="00400903"/>
    <w:rsid w:val="004125FD"/>
    <w:rsid w:val="00414DF4"/>
    <w:rsid w:val="0041507A"/>
    <w:rsid w:val="00417114"/>
    <w:rsid w:val="00417B92"/>
    <w:rsid w:val="00417FF3"/>
    <w:rsid w:val="0042035F"/>
    <w:rsid w:val="004208DD"/>
    <w:rsid w:val="00421947"/>
    <w:rsid w:val="00421A0D"/>
    <w:rsid w:val="004274EC"/>
    <w:rsid w:val="0043205C"/>
    <w:rsid w:val="0043277A"/>
    <w:rsid w:val="004337BD"/>
    <w:rsid w:val="004337E2"/>
    <w:rsid w:val="004343C3"/>
    <w:rsid w:val="00434DE8"/>
    <w:rsid w:val="00436C07"/>
    <w:rsid w:val="00437442"/>
    <w:rsid w:val="00437FC9"/>
    <w:rsid w:val="00444C4A"/>
    <w:rsid w:val="00446EC2"/>
    <w:rsid w:val="00451639"/>
    <w:rsid w:val="00453EAC"/>
    <w:rsid w:val="00455A16"/>
    <w:rsid w:val="004563A0"/>
    <w:rsid w:val="004570EE"/>
    <w:rsid w:val="00457F09"/>
    <w:rsid w:val="00461EA0"/>
    <w:rsid w:val="00466176"/>
    <w:rsid w:val="00466954"/>
    <w:rsid w:val="00466BDC"/>
    <w:rsid w:val="00472479"/>
    <w:rsid w:val="00480641"/>
    <w:rsid w:val="0048548C"/>
    <w:rsid w:val="004871EB"/>
    <w:rsid w:val="00487A21"/>
    <w:rsid w:val="004900A5"/>
    <w:rsid w:val="00492808"/>
    <w:rsid w:val="00495D72"/>
    <w:rsid w:val="004A7422"/>
    <w:rsid w:val="004B6164"/>
    <w:rsid w:val="004B76CA"/>
    <w:rsid w:val="004B7BDE"/>
    <w:rsid w:val="004C0C5C"/>
    <w:rsid w:val="004C1C1D"/>
    <w:rsid w:val="004C1C7B"/>
    <w:rsid w:val="004C289A"/>
    <w:rsid w:val="004C3263"/>
    <w:rsid w:val="004C7157"/>
    <w:rsid w:val="004D020E"/>
    <w:rsid w:val="004D177E"/>
    <w:rsid w:val="004D2ACA"/>
    <w:rsid w:val="004E3A29"/>
    <w:rsid w:val="004E4E19"/>
    <w:rsid w:val="004F266B"/>
    <w:rsid w:val="004F4AE7"/>
    <w:rsid w:val="004F5B86"/>
    <w:rsid w:val="004F6B26"/>
    <w:rsid w:val="00500D69"/>
    <w:rsid w:val="00501CE3"/>
    <w:rsid w:val="00506A74"/>
    <w:rsid w:val="0051225C"/>
    <w:rsid w:val="0051374A"/>
    <w:rsid w:val="00513D40"/>
    <w:rsid w:val="00515B2D"/>
    <w:rsid w:val="00521632"/>
    <w:rsid w:val="005231CB"/>
    <w:rsid w:val="005268BE"/>
    <w:rsid w:val="00532227"/>
    <w:rsid w:val="00541D4C"/>
    <w:rsid w:val="0055006B"/>
    <w:rsid w:val="005506D6"/>
    <w:rsid w:val="00567A7D"/>
    <w:rsid w:val="00570A13"/>
    <w:rsid w:val="0057509A"/>
    <w:rsid w:val="00576B1E"/>
    <w:rsid w:val="00580445"/>
    <w:rsid w:val="0058376D"/>
    <w:rsid w:val="00585C18"/>
    <w:rsid w:val="00591691"/>
    <w:rsid w:val="005A3524"/>
    <w:rsid w:val="005B1F83"/>
    <w:rsid w:val="005B1FBF"/>
    <w:rsid w:val="005B6FB2"/>
    <w:rsid w:val="005B7330"/>
    <w:rsid w:val="005C000D"/>
    <w:rsid w:val="005C0E86"/>
    <w:rsid w:val="005C5F60"/>
    <w:rsid w:val="005C66BC"/>
    <w:rsid w:val="005D1CA6"/>
    <w:rsid w:val="005E073F"/>
    <w:rsid w:val="005E0A45"/>
    <w:rsid w:val="005E34D6"/>
    <w:rsid w:val="005E5386"/>
    <w:rsid w:val="005F2AE5"/>
    <w:rsid w:val="005F2B56"/>
    <w:rsid w:val="005F438C"/>
    <w:rsid w:val="005F6053"/>
    <w:rsid w:val="006001D2"/>
    <w:rsid w:val="00603FFC"/>
    <w:rsid w:val="0060421F"/>
    <w:rsid w:val="00604993"/>
    <w:rsid w:val="00605098"/>
    <w:rsid w:val="00607FF1"/>
    <w:rsid w:val="00612392"/>
    <w:rsid w:val="00616FEF"/>
    <w:rsid w:val="006256AB"/>
    <w:rsid w:val="00636904"/>
    <w:rsid w:val="0063772A"/>
    <w:rsid w:val="00640153"/>
    <w:rsid w:val="00644845"/>
    <w:rsid w:val="00647CB9"/>
    <w:rsid w:val="0065474F"/>
    <w:rsid w:val="006560CF"/>
    <w:rsid w:val="00656A09"/>
    <w:rsid w:val="00660283"/>
    <w:rsid w:val="006727B9"/>
    <w:rsid w:val="0067589B"/>
    <w:rsid w:val="006906A8"/>
    <w:rsid w:val="006A0EE1"/>
    <w:rsid w:val="006A2AD3"/>
    <w:rsid w:val="006A2D2B"/>
    <w:rsid w:val="006A3799"/>
    <w:rsid w:val="006A48A6"/>
    <w:rsid w:val="006A7484"/>
    <w:rsid w:val="006A750F"/>
    <w:rsid w:val="006C03EE"/>
    <w:rsid w:val="006C5B26"/>
    <w:rsid w:val="006C64A6"/>
    <w:rsid w:val="006C7C73"/>
    <w:rsid w:val="006D2A43"/>
    <w:rsid w:val="006D4C72"/>
    <w:rsid w:val="006D6933"/>
    <w:rsid w:val="006F20E2"/>
    <w:rsid w:val="006F4CC3"/>
    <w:rsid w:val="006F7577"/>
    <w:rsid w:val="00701191"/>
    <w:rsid w:val="00701E13"/>
    <w:rsid w:val="00704D79"/>
    <w:rsid w:val="00716ECC"/>
    <w:rsid w:val="00720BCC"/>
    <w:rsid w:val="0072536F"/>
    <w:rsid w:val="00727B16"/>
    <w:rsid w:val="00736140"/>
    <w:rsid w:val="00747452"/>
    <w:rsid w:val="00747F14"/>
    <w:rsid w:val="00750ABC"/>
    <w:rsid w:val="0075533E"/>
    <w:rsid w:val="00756477"/>
    <w:rsid w:val="007579F2"/>
    <w:rsid w:val="0076080A"/>
    <w:rsid w:val="00761227"/>
    <w:rsid w:val="007626B6"/>
    <w:rsid w:val="00763136"/>
    <w:rsid w:val="00763252"/>
    <w:rsid w:val="0076620E"/>
    <w:rsid w:val="007701FE"/>
    <w:rsid w:val="007721AB"/>
    <w:rsid w:val="007737EE"/>
    <w:rsid w:val="00773F7C"/>
    <w:rsid w:val="00775A7B"/>
    <w:rsid w:val="00775D7A"/>
    <w:rsid w:val="00777AEF"/>
    <w:rsid w:val="007816F1"/>
    <w:rsid w:val="00787C13"/>
    <w:rsid w:val="0079146F"/>
    <w:rsid w:val="00793BBE"/>
    <w:rsid w:val="00794199"/>
    <w:rsid w:val="007970B3"/>
    <w:rsid w:val="007A0D42"/>
    <w:rsid w:val="007A20C2"/>
    <w:rsid w:val="007A43AB"/>
    <w:rsid w:val="007A4A0B"/>
    <w:rsid w:val="007C3EB4"/>
    <w:rsid w:val="007C4A32"/>
    <w:rsid w:val="007C640B"/>
    <w:rsid w:val="007D0433"/>
    <w:rsid w:val="007D064D"/>
    <w:rsid w:val="007D5875"/>
    <w:rsid w:val="007D7E80"/>
    <w:rsid w:val="007E24F3"/>
    <w:rsid w:val="007E2C09"/>
    <w:rsid w:val="007E7B34"/>
    <w:rsid w:val="00800BAE"/>
    <w:rsid w:val="00800EA6"/>
    <w:rsid w:val="00810FE0"/>
    <w:rsid w:val="00814A80"/>
    <w:rsid w:val="00815B23"/>
    <w:rsid w:val="00820BDF"/>
    <w:rsid w:val="00830C7C"/>
    <w:rsid w:val="00832ECC"/>
    <w:rsid w:val="00835319"/>
    <w:rsid w:val="00841BF0"/>
    <w:rsid w:val="008422CE"/>
    <w:rsid w:val="00843553"/>
    <w:rsid w:val="00845A33"/>
    <w:rsid w:val="00847167"/>
    <w:rsid w:val="008514DC"/>
    <w:rsid w:val="0085281C"/>
    <w:rsid w:val="008533E0"/>
    <w:rsid w:val="008608CD"/>
    <w:rsid w:val="00861C87"/>
    <w:rsid w:val="008620C1"/>
    <w:rsid w:val="00863CAC"/>
    <w:rsid w:val="00866AFC"/>
    <w:rsid w:val="00866EAA"/>
    <w:rsid w:val="008724B5"/>
    <w:rsid w:val="00872AC8"/>
    <w:rsid w:val="00874F52"/>
    <w:rsid w:val="00880C84"/>
    <w:rsid w:val="008824A7"/>
    <w:rsid w:val="00891B28"/>
    <w:rsid w:val="0089293A"/>
    <w:rsid w:val="008931C9"/>
    <w:rsid w:val="00896FC5"/>
    <w:rsid w:val="008970F1"/>
    <w:rsid w:val="008A06EF"/>
    <w:rsid w:val="008A1489"/>
    <w:rsid w:val="008A33A6"/>
    <w:rsid w:val="008A6C08"/>
    <w:rsid w:val="008B502A"/>
    <w:rsid w:val="008B6637"/>
    <w:rsid w:val="008B6991"/>
    <w:rsid w:val="008B6FB4"/>
    <w:rsid w:val="008B794B"/>
    <w:rsid w:val="008C05FF"/>
    <w:rsid w:val="008C4202"/>
    <w:rsid w:val="008D1E7B"/>
    <w:rsid w:val="008D740E"/>
    <w:rsid w:val="008E58D4"/>
    <w:rsid w:val="008E60BB"/>
    <w:rsid w:val="008F4D20"/>
    <w:rsid w:val="008F7C95"/>
    <w:rsid w:val="00902AC9"/>
    <w:rsid w:val="009052D6"/>
    <w:rsid w:val="0090569B"/>
    <w:rsid w:val="0091365A"/>
    <w:rsid w:val="00930598"/>
    <w:rsid w:val="00936029"/>
    <w:rsid w:val="00941BF9"/>
    <w:rsid w:val="0094376D"/>
    <w:rsid w:val="009446B0"/>
    <w:rsid w:val="009468EB"/>
    <w:rsid w:val="009539A1"/>
    <w:rsid w:val="009556BE"/>
    <w:rsid w:val="00955B41"/>
    <w:rsid w:val="00961D0E"/>
    <w:rsid w:val="00962C95"/>
    <w:rsid w:val="00964147"/>
    <w:rsid w:val="009679E4"/>
    <w:rsid w:val="00976BF6"/>
    <w:rsid w:val="00981912"/>
    <w:rsid w:val="00982A4D"/>
    <w:rsid w:val="0098395F"/>
    <w:rsid w:val="00984AD9"/>
    <w:rsid w:val="0098553D"/>
    <w:rsid w:val="00985E7A"/>
    <w:rsid w:val="00987714"/>
    <w:rsid w:val="0099009C"/>
    <w:rsid w:val="00993F8C"/>
    <w:rsid w:val="00994C5D"/>
    <w:rsid w:val="0099649E"/>
    <w:rsid w:val="009A3E93"/>
    <w:rsid w:val="009A3F95"/>
    <w:rsid w:val="009A5031"/>
    <w:rsid w:val="009A7D64"/>
    <w:rsid w:val="009B13EE"/>
    <w:rsid w:val="009B3393"/>
    <w:rsid w:val="009B682E"/>
    <w:rsid w:val="009C0479"/>
    <w:rsid w:val="009C0FCA"/>
    <w:rsid w:val="009C3A14"/>
    <w:rsid w:val="009D06D5"/>
    <w:rsid w:val="009D2A44"/>
    <w:rsid w:val="009D3C49"/>
    <w:rsid w:val="009E2935"/>
    <w:rsid w:val="009E4CD4"/>
    <w:rsid w:val="009F1B50"/>
    <w:rsid w:val="009F25C4"/>
    <w:rsid w:val="009F4714"/>
    <w:rsid w:val="009F555E"/>
    <w:rsid w:val="009F6B50"/>
    <w:rsid w:val="00A014F0"/>
    <w:rsid w:val="00A034C6"/>
    <w:rsid w:val="00A04D9D"/>
    <w:rsid w:val="00A0558F"/>
    <w:rsid w:val="00A076C4"/>
    <w:rsid w:val="00A10C98"/>
    <w:rsid w:val="00A10D50"/>
    <w:rsid w:val="00A173A5"/>
    <w:rsid w:val="00A20280"/>
    <w:rsid w:val="00A2384B"/>
    <w:rsid w:val="00A23C2F"/>
    <w:rsid w:val="00A26120"/>
    <w:rsid w:val="00A31304"/>
    <w:rsid w:val="00A33787"/>
    <w:rsid w:val="00A3500C"/>
    <w:rsid w:val="00A367AD"/>
    <w:rsid w:val="00A37873"/>
    <w:rsid w:val="00A401DF"/>
    <w:rsid w:val="00A439D7"/>
    <w:rsid w:val="00A44EBC"/>
    <w:rsid w:val="00A529B1"/>
    <w:rsid w:val="00A53CD1"/>
    <w:rsid w:val="00A550AB"/>
    <w:rsid w:val="00A60088"/>
    <w:rsid w:val="00A61D00"/>
    <w:rsid w:val="00A65CDB"/>
    <w:rsid w:val="00A6725F"/>
    <w:rsid w:val="00A71D45"/>
    <w:rsid w:val="00A7272A"/>
    <w:rsid w:val="00A72791"/>
    <w:rsid w:val="00A73AB1"/>
    <w:rsid w:val="00A74EFF"/>
    <w:rsid w:val="00A77124"/>
    <w:rsid w:val="00A806C9"/>
    <w:rsid w:val="00A81E43"/>
    <w:rsid w:val="00A8432A"/>
    <w:rsid w:val="00A8486A"/>
    <w:rsid w:val="00A85DD1"/>
    <w:rsid w:val="00A8776E"/>
    <w:rsid w:val="00A93113"/>
    <w:rsid w:val="00A9384A"/>
    <w:rsid w:val="00A93F07"/>
    <w:rsid w:val="00A979EE"/>
    <w:rsid w:val="00A97AF5"/>
    <w:rsid w:val="00AA253B"/>
    <w:rsid w:val="00AA62C3"/>
    <w:rsid w:val="00AB45D4"/>
    <w:rsid w:val="00AC0AD1"/>
    <w:rsid w:val="00AC2895"/>
    <w:rsid w:val="00AC2D4D"/>
    <w:rsid w:val="00AD0BCE"/>
    <w:rsid w:val="00AD3A3C"/>
    <w:rsid w:val="00AD7760"/>
    <w:rsid w:val="00AD79AC"/>
    <w:rsid w:val="00AE512C"/>
    <w:rsid w:val="00AF09A9"/>
    <w:rsid w:val="00AF1758"/>
    <w:rsid w:val="00AF7DEF"/>
    <w:rsid w:val="00B00680"/>
    <w:rsid w:val="00B00BE9"/>
    <w:rsid w:val="00B010B8"/>
    <w:rsid w:val="00B110B4"/>
    <w:rsid w:val="00B13C11"/>
    <w:rsid w:val="00B149E3"/>
    <w:rsid w:val="00B14A4C"/>
    <w:rsid w:val="00B17B5A"/>
    <w:rsid w:val="00B24D74"/>
    <w:rsid w:val="00B373B8"/>
    <w:rsid w:val="00B37E3F"/>
    <w:rsid w:val="00B40273"/>
    <w:rsid w:val="00B424F7"/>
    <w:rsid w:val="00B45027"/>
    <w:rsid w:val="00B452C4"/>
    <w:rsid w:val="00B52799"/>
    <w:rsid w:val="00B56138"/>
    <w:rsid w:val="00B60348"/>
    <w:rsid w:val="00B6229E"/>
    <w:rsid w:val="00B62934"/>
    <w:rsid w:val="00B7048D"/>
    <w:rsid w:val="00B719FC"/>
    <w:rsid w:val="00B72217"/>
    <w:rsid w:val="00B766B4"/>
    <w:rsid w:val="00B77739"/>
    <w:rsid w:val="00B82A25"/>
    <w:rsid w:val="00B84EFC"/>
    <w:rsid w:val="00B8640E"/>
    <w:rsid w:val="00B90040"/>
    <w:rsid w:val="00B9081D"/>
    <w:rsid w:val="00B913B3"/>
    <w:rsid w:val="00B91B3E"/>
    <w:rsid w:val="00B93B01"/>
    <w:rsid w:val="00B94BC8"/>
    <w:rsid w:val="00B9541C"/>
    <w:rsid w:val="00B96DC7"/>
    <w:rsid w:val="00BA1D50"/>
    <w:rsid w:val="00BA2998"/>
    <w:rsid w:val="00BA389A"/>
    <w:rsid w:val="00BA68BC"/>
    <w:rsid w:val="00BA7F17"/>
    <w:rsid w:val="00BB0B39"/>
    <w:rsid w:val="00BB45BA"/>
    <w:rsid w:val="00BB49DC"/>
    <w:rsid w:val="00BB7F0B"/>
    <w:rsid w:val="00BC24B4"/>
    <w:rsid w:val="00BC467E"/>
    <w:rsid w:val="00BC4D6C"/>
    <w:rsid w:val="00BC5394"/>
    <w:rsid w:val="00BD39E2"/>
    <w:rsid w:val="00BE2B73"/>
    <w:rsid w:val="00BE2BB3"/>
    <w:rsid w:val="00BE2E35"/>
    <w:rsid w:val="00BF1004"/>
    <w:rsid w:val="00C04171"/>
    <w:rsid w:val="00C13C83"/>
    <w:rsid w:val="00C2082C"/>
    <w:rsid w:val="00C22C9F"/>
    <w:rsid w:val="00C25DDC"/>
    <w:rsid w:val="00C44F01"/>
    <w:rsid w:val="00C46A0A"/>
    <w:rsid w:val="00C51DC9"/>
    <w:rsid w:val="00C5442F"/>
    <w:rsid w:val="00C61529"/>
    <w:rsid w:val="00C61F87"/>
    <w:rsid w:val="00C645C5"/>
    <w:rsid w:val="00C67518"/>
    <w:rsid w:val="00C67B7A"/>
    <w:rsid w:val="00C728D8"/>
    <w:rsid w:val="00C73C59"/>
    <w:rsid w:val="00C748E5"/>
    <w:rsid w:val="00C75881"/>
    <w:rsid w:val="00C77F59"/>
    <w:rsid w:val="00C844F6"/>
    <w:rsid w:val="00C86C2F"/>
    <w:rsid w:val="00C91470"/>
    <w:rsid w:val="00C93192"/>
    <w:rsid w:val="00C93A6F"/>
    <w:rsid w:val="00C948F8"/>
    <w:rsid w:val="00C96716"/>
    <w:rsid w:val="00CA1126"/>
    <w:rsid w:val="00CA1C96"/>
    <w:rsid w:val="00CB3494"/>
    <w:rsid w:val="00CB7C32"/>
    <w:rsid w:val="00CC5731"/>
    <w:rsid w:val="00CC6F54"/>
    <w:rsid w:val="00CD0C15"/>
    <w:rsid w:val="00CD368C"/>
    <w:rsid w:val="00CE26B4"/>
    <w:rsid w:val="00CE3251"/>
    <w:rsid w:val="00CE411A"/>
    <w:rsid w:val="00CE4663"/>
    <w:rsid w:val="00CE4A75"/>
    <w:rsid w:val="00CE4D54"/>
    <w:rsid w:val="00CF27CD"/>
    <w:rsid w:val="00CF3BA7"/>
    <w:rsid w:val="00D0281F"/>
    <w:rsid w:val="00D05F74"/>
    <w:rsid w:val="00D169B6"/>
    <w:rsid w:val="00D1781D"/>
    <w:rsid w:val="00D22C1A"/>
    <w:rsid w:val="00D2395C"/>
    <w:rsid w:val="00D248F8"/>
    <w:rsid w:val="00D25981"/>
    <w:rsid w:val="00D27029"/>
    <w:rsid w:val="00D37DA5"/>
    <w:rsid w:val="00D40A58"/>
    <w:rsid w:val="00D42D00"/>
    <w:rsid w:val="00D47F5C"/>
    <w:rsid w:val="00D518B2"/>
    <w:rsid w:val="00D52C79"/>
    <w:rsid w:val="00D56D00"/>
    <w:rsid w:val="00D6052C"/>
    <w:rsid w:val="00D609AD"/>
    <w:rsid w:val="00D670CD"/>
    <w:rsid w:val="00D75B47"/>
    <w:rsid w:val="00D760FD"/>
    <w:rsid w:val="00D76B14"/>
    <w:rsid w:val="00D80D08"/>
    <w:rsid w:val="00D83CB0"/>
    <w:rsid w:val="00D84F5A"/>
    <w:rsid w:val="00D87E13"/>
    <w:rsid w:val="00D91752"/>
    <w:rsid w:val="00D9193D"/>
    <w:rsid w:val="00D91B73"/>
    <w:rsid w:val="00D9660B"/>
    <w:rsid w:val="00DA1212"/>
    <w:rsid w:val="00DA292C"/>
    <w:rsid w:val="00DA338B"/>
    <w:rsid w:val="00DB6264"/>
    <w:rsid w:val="00DC2FE2"/>
    <w:rsid w:val="00DC441F"/>
    <w:rsid w:val="00DC5714"/>
    <w:rsid w:val="00DD19EB"/>
    <w:rsid w:val="00DD21A0"/>
    <w:rsid w:val="00DD6D13"/>
    <w:rsid w:val="00DF0075"/>
    <w:rsid w:val="00DF0819"/>
    <w:rsid w:val="00DF16E8"/>
    <w:rsid w:val="00DF470E"/>
    <w:rsid w:val="00DF5FCC"/>
    <w:rsid w:val="00DF6EDF"/>
    <w:rsid w:val="00E07CC4"/>
    <w:rsid w:val="00E135ED"/>
    <w:rsid w:val="00E13DBB"/>
    <w:rsid w:val="00E16C05"/>
    <w:rsid w:val="00E22F81"/>
    <w:rsid w:val="00E302C0"/>
    <w:rsid w:val="00E31405"/>
    <w:rsid w:val="00E33CF7"/>
    <w:rsid w:val="00E4640B"/>
    <w:rsid w:val="00E50535"/>
    <w:rsid w:val="00E53945"/>
    <w:rsid w:val="00E53F68"/>
    <w:rsid w:val="00E5710F"/>
    <w:rsid w:val="00E57F55"/>
    <w:rsid w:val="00E617C1"/>
    <w:rsid w:val="00E67515"/>
    <w:rsid w:val="00E7075E"/>
    <w:rsid w:val="00E7308D"/>
    <w:rsid w:val="00E74E89"/>
    <w:rsid w:val="00E75685"/>
    <w:rsid w:val="00E76B0D"/>
    <w:rsid w:val="00E7767D"/>
    <w:rsid w:val="00E8174C"/>
    <w:rsid w:val="00E97CCC"/>
    <w:rsid w:val="00EA287D"/>
    <w:rsid w:val="00EA4647"/>
    <w:rsid w:val="00EB756D"/>
    <w:rsid w:val="00ED03D1"/>
    <w:rsid w:val="00ED248B"/>
    <w:rsid w:val="00ED2FA9"/>
    <w:rsid w:val="00ED38A5"/>
    <w:rsid w:val="00ED59A5"/>
    <w:rsid w:val="00EE0F12"/>
    <w:rsid w:val="00EF0513"/>
    <w:rsid w:val="00EF489D"/>
    <w:rsid w:val="00EF48D0"/>
    <w:rsid w:val="00EF51F3"/>
    <w:rsid w:val="00EF5479"/>
    <w:rsid w:val="00EF6545"/>
    <w:rsid w:val="00F022D0"/>
    <w:rsid w:val="00F036FA"/>
    <w:rsid w:val="00F0410F"/>
    <w:rsid w:val="00F05A82"/>
    <w:rsid w:val="00F149B2"/>
    <w:rsid w:val="00F167A4"/>
    <w:rsid w:val="00F2360F"/>
    <w:rsid w:val="00F239CA"/>
    <w:rsid w:val="00F24B05"/>
    <w:rsid w:val="00F2713F"/>
    <w:rsid w:val="00F30F72"/>
    <w:rsid w:val="00F357D9"/>
    <w:rsid w:val="00F4365F"/>
    <w:rsid w:val="00F44EEA"/>
    <w:rsid w:val="00F457D6"/>
    <w:rsid w:val="00F45A70"/>
    <w:rsid w:val="00F51181"/>
    <w:rsid w:val="00F5130F"/>
    <w:rsid w:val="00F53C8F"/>
    <w:rsid w:val="00F56570"/>
    <w:rsid w:val="00F57DC9"/>
    <w:rsid w:val="00F60EE0"/>
    <w:rsid w:val="00F6237F"/>
    <w:rsid w:val="00F62D3C"/>
    <w:rsid w:val="00F64D35"/>
    <w:rsid w:val="00F653CE"/>
    <w:rsid w:val="00F66BF2"/>
    <w:rsid w:val="00F66DB0"/>
    <w:rsid w:val="00F72F82"/>
    <w:rsid w:val="00F80294"/>
    <w:rsid w:val="00F8045F"/>
    <w:rsid w:val="00F86D8D"/>
    <w:rsid w:val="00F95F9B"/>
    <w:rsid w:val="00F96C3B"/>
    <w:rsid w:val="00FA03C0"/>
    <w:rsid w:val="00FA0BD2"/>
    <w:rsid w:val="00FA31FE"/>
    <w:rsid w:val="00FA475F"/>
    <w:rsid w:val="00FB1EFF"/>
    <w:rsid w:val="00FB2CBD"/>
    <w:rsid w:val="00FB4EA2"/>
    <w:rsid w:val="00FC371D"/>
    <w:rsid w:val="00FC6DCB"/>
    <w:rsid w:val="00FD1F6D"/>
    <w:rsid w:val="00FE12E2"/>
    <w:rsid w:val="00FE23A7"/>
    <w:rsid w:val="00FF06B7"/>
    <w:rsid w:val="00FF09B0"/>
    <w:rsid w:val="01373818"/>
    <w:rsid w:val="019C349D"/>
    <w:rsid w:val="01AD64C7"/>
    <w:rsid w:val="01BB0C95"/>
    <w:rsid w:val="01D11CB7"/>
    <w:rsid w:val="01D65ED4"/>
    <w:rsid w:val="01EE3B3C"/>
    <w:rsid w:val="021F593B"/>
    <w:rsid w:val="026234E0"/>
    <w:rsid w:val="03982631"/>
    <w:rsid w:val="03DC1D0E"/>
    <w:rsid w:val="04254CF8"/>
    <w:rsid w:val="0443672C"/>
    <w:rsid w:val="04AD0431"/>
    <w:rsid w:val="04ED642D"/>
    <w:rsid w:val="0575419C"/>
    <w:rsid w:val="05905CED"/>
    <w:rsid w:val="05A3050F"/>
    <w:rsid w:val="062D428F"/>
    <w:rsid w:val="065232E5"/>
    <w:rsid w:val="069C5C3B"/>
    <w:rsid w:val="07537DCD"/>
    <w:rsid w:val="07793329"/>
    <w:rsid w:val="07E61503"/>
    <w:rsid w:val="08315AD6"/>
    <w:rsid w:val="083723B0"/>
    <w:rsid w:val="0842045A"/>
    <w:rsid w:val="085A36C1"/>
    <w:rsid w:val="08935BDE"/>
    <w:rsid w:val="08B072BD"/>
    <w:rsid w:val="08FA1588"/>
    <w:rsid w:val="08FD23E9"/>
    <w:rsid w:val="094B0C70"/>
    <w:rsid w:val="09611DEF"/>
    <w:rsid w:val="096867B1"/>
    <w:rsid w:val="09741678"/>
    <w:rsid w:val="097E3F67"/>
    <w:rsid w:val="09A324A6"/>
    <w:rsid w:val="09C755C0"/>
    <w:rsid w:val="09D840D5"/>
    <w:rsid w:val="09F823BA"/>
    <w:rsid w:val="09FA3FDC"/>
    <w:rsid w:val="0A2442BA"/>
    <w:rsid w:val="0A324362"/>
    <w:rsid w:val="0A342878"/>
    <w:rsid w:val="0A483A14"/>
    <w:rsid w:val="0A493937"/>
    <w:rsid w:val="0A837372"/>
    <w:rsid w:val="0AA960F6"/>
    <w:rsid w:val="0ABD6309"/>
    <w:rsid w:val="0AFB67AE"/>
    <w:rsid w:val="0B2A1CC2"/>
    <w:rsid w:val="0B300A91"/>
    <w:rsid w:val="0B69170D"/>
    <w:rsid w:val="0B6F4397"/>
    <w:rsid w:val="0B7C29FA"/>
    <w:rsid w:val="0BA42DF3"/>
    <w:rsid w:val="0BBC681B"/>
    <w:rsid w:val="0C0E43A5"/>
    <w:rsid w:val="0C167AE0"/>
    <w:rsid w:val="0C782838"/>
    <w:rsid w:val="0C84110A"/>
    <w:rsid w:val="0CEE367F"/>
    <w:rsid w:val="0D2941EA"/>
    <w:rsid w:val="0D7D5E88"/>
    <w:rsid w:val="0D934684"/>
    <w:rsid w:val="0DBA6E51"/>
    <w:rsid w:val="0DBF5FB5"/>
    <w:rsid w:val="0E0E6AFB"/>
    <w:rsid w:val="0E1B62F1"/>
    <w:rsid w:val="0E407A3D"/>
    <w:rsid w:val="0E45698B"/>
    <w:rsid w:val="0E62694E"/>
    <w:rsid w:val="0E8548DB"/>
    <w:rsid w:val="0E8E0B8F"/>
    <w:rsid w:val="0EA47C2B"/>
    <w:rsid w:val="0EB52A14"/>
    <w:rsid w:val="0EE37A8F"/>
    <w:rsid w:val="0EEC54CF"/>
    <w:rsid w:val="0F12743E"/>
    <w:rsid w:val="0F2F5526"/>
    <w:rsid w:val="0F8B2F3A"/>
    <w:rsid w:val="0F927080"/>
    <w:rsid w:val="0FB372EA"/>
    <w:rsid w:val="0FDB2441"/>
    <w:rsid w:val="10D32B3B"/>
    <w:rsid w:val="10E92507"/>
    <w:rsid w:val="112A17B8"/>
    <w:rsid w:val="117F4AC3"/>
    <w:rsid w:val="125E4898"/>
    <w:rsid w:val="12AE42DC"/>
    <w:rsid w:val="13142CDA"/>
    <w:rsid w:val="13397B40"/>
    <w:rsid w:val="138677EB"/>
    <w:rsid w:val="13CC58CF"/>
    <w:rsid w:val="13F231BA"/>
    <w:rsid w:val="143E3875"/>
    <w:rsid w:val="14755F67"/>
    <w:rsid w:val="148059BB"/>
    <w:rsid w:val="14941DC9"/>
    <w:rsid w:val="14F072B7"/>
    <w:rsid w:val="15343417"/>
    <w:rsid w:val="155F609D"/>
    <w:rsid w:val="156663C1"/>
    <w:rsid w:val="15E87AD9"/>
    <w:rsid w:val="15ED74D8"/>
    <w:rsid w:val="16253372"/>
    <w:rsid w:val="162757BF"/>
    <w:rsid w:val="167566F8"/>
    <w:rsid w:val="16967B96"/>
    <w:rsid w:val="169E4CA8"/>
    <w:rsid w:val="16CB6312"/>
    <w:rsid w:val="17401284"/>
    <w:rsid w:val="17680126"/>
    <w:rsid w:val="17BB4BAF"/>
    <w:rsid w:val="1893400D"/>
    <w:rsid w:val="18962571"/>
    <w:rsid w:val="189C47D3"/>
    <w:rsid w:val="18EA0066"/>
    <w:rsid w:val="18F9274E"/>
    <w:rsid w:val="195A1124"/>
    <w:rsid w:val="197C76D1"/>
    <w:rsid w:val="19814BB0"/>
    <w:rsid w:val="19B83F83"/>
    <w:rsid w:val="19E80BA9"/>
    <w:rsid w:val="19F504AB"/>
    <w:rsid w:val="1A0B055B"/>
    <w:rsid w:val="1A40229B"/>
    <w:rsid w:val="1A7E4896"/>
    <w:rsid w:val="1AA05CF9"/>
    <w:rsid w:val="1B39031D"/>
    <w:rsid w:val="1B417973"/>
    <w:rsid w:val="1B505954"/>
    <w:rsid w:val="1B7A0142"/>
    <w:rsid w:val="1B904856"/>
    <w:rsid w:val="1BD73BE4"/>
    <w:rsid w:val="1BDE0896"/>
    <w:rsid w:val="1BE42180"/>
    <w:rsid w:val="1C1E39C9"/>
    <w:rsid w:val="1C2B3586"/>
    <w:rsid w:val="1C3109C5"/>
    <w:rsid w:val="1C7B2CAB"/>
    <w:rsid w:val="1CD83397"/>
    <w:rsid w:val="1D5B66E3"/>
    <w:rsid w:val="1D892875"/>
    <w:rsid w:val="1DD17FC3"/>
    <w:rsid w:val="1DD97567"/>
    <w:rsid w:val="1DE73882"/>
    <w:rsid w:val="1E14165F"/>
    <w:rsid w:val="1E2625ED"/>
    <w:rsid w:val="1E2B29ED"/>
    <w:rsid w:val="1E3A343F"/>
    <w:rsid w:val="1E415A11"/>
    <w:rsid w:val="1EA63596"/>
    <w:rsid w:val="1EAE454F"/>
    <w:rsid w:val="1F450363"/>
    <w:rsid w:val="1F582AFA"/>
    <w:rsid w:val="1FC6768C"/>
    <w:rsid w:val="1FDF5F90"/>
    <w:rsid w:val="1FE3647B"/>
    <w:rsid w:val="204A474C"/>
    <w:rsid w:val="207D03AF"/>
    <w:rsid w:val="20DA5ACF"/>
    <w:rsid w:val="21186CA9"/>
    <w:rsid w:val="217A1AC3"/>
    <w:rsid w:val="21984F94"/>
    <w:rsid w:val="21A842C7"/>
    <w:rsid w:val="21C659DD"/>
    <w:rsid w:val="21F2664B"/>
    <w:rsid w:val="22356D36"/>
    <w:rsid w:val="223762D2"/>
    <w:rsid w:val="224620D6"/>
    <w:rsid w:val="22F32CE2"/>
    <w:rsid w:val="2334182E"/>
    <w:rsid w:val="233962D0"/>
    <w:rsid w:val="235A4B29"/>
    <w:rsid w:val="23A0601A"/>
    <w:rsid w:val="23EA0EE0"/>
    <w:rsid w:val="23EB2FAD"/>
    <w:rsid w:val="24861ACA"/>
    <w:rsid w:val="24C678F7"/>
    <w:rsid w:val="24EF7670"/>
    <w:rsid w:val="250824DF"/>
    <w:rsid w:val="25263753"/>
    <w:rsid w:val="25476B23"/>
    <w:rsid w:val="25820F2C"/>
    <w:rsid w:val="259E7CC7"/>
    <w:rsid w:val="25D86D02"/>
    <w:rsid w:val="269D2492"/>
    <w:rsid w:val="272168DE"/>
    <w:rsid w:val="27CB6172"/>
    <w:rsid w:val="28441B3F"/>
    <w:rsid w:val="28506677"/>
    <w:rsid w:val="285E5012"/>
    <w:rsid w:val="28760F9C"/>
    <w:rsid w:val="2888032F"/>
    <w:rsid w:val="28D334D0"/>
    <w:rsid w:val="28F034DE"/>
    <w:rsid w:val="299638E1"/>
    <w:rsid w:val="29CA0454"/>
    <w:rsid w:val="2A720FDA"/>
    <w:rsid w:val="2A7978EC"/>
    <w:rsid w:val="2AA36F32"/>
    <w:rsid w:val="2AA607CE"/>
    <w:rsid w:val="2ADE7F6A"/>
    <w:rsid w:val="2B1D0E56"/>
    <w:rsid w:val="2B207F82"/>
    <w:rsid w:val="2B2516C3"/>
    <w:rsid w:val="2B29669B"/>
    <w:rsid w:val="2BA40BD1"/>
    <w:rsid w:val="2BDB094E"/>
    <w:rsid w:val="2C4530B4"/>
    <w:rsid w:val="2C5726D1"/>
    <w:rsid w:val="2CCD0296"/>
    <w:rsid w:val="2CF47658"/>
    <w:rsid w:val="2D3D2806"/>
    <w:rsid w:val="2D5563DA"/>
    <w:rsid w:val="2D5E5416"/>
    <w:rsid w:val="2D654973"/>
    <w:rsid w:val="2D813C36"/>
    <w:rsid w:val="2DFC755A"/>
    <w:rsid w:val="2E0047F0"/>
    <w:rsid w:val="2E0D090D"/>
    <w:rsid w:val="2E5C4E8C"/>
    <w:rsid w:val="2E773308"/>
    <w:rsid w:val="2EBC187C"/>
    <w:rsid w:val="2EBC4EC7"/>
    <w:rsid w:val="2ED73241"/>
    <w:rsid w:val="2EFF2BA5"/>
    <w:rsid w:val="2F022B28"/>
    <w:rsid w:val="2F302D5E"/>
    <w:rsid w:val="2F5D25D4"/>
    <w:rsid w:val="2F9562D9"/>
    <w:rsid w:val="2FC00E14"/>
    <w:rsid w:val="2FE8083D"/>
    <w:rsid w:val="300B4FE1"/>
    <w:rsid w:val="3017446F"/>
    <w:rsid w:val="3040647E"/>
    <w:rsid w:val="304363A5"/>
    <w:rsid w:val="30454BCD"/>
    <w:rsid w:val="309537C1"/>
    <w:rsid w:val="31930529"/>
    <w:rsid w:val="31CA3B55"/>
    <w:rsid w:val="31CB35E3"/>
    <w:rsid w:val="31D37579"/>
    <w:rsid w:val="31F664E1"/>
    <w:rsid w:val="31F84FCD"/>
    <w:rsid w:val="32387F88"/>
    <w:rsid w:val="3241403B"/>
    <w:rsid w:val="32935ADE"/>
    <w:rsid w:val="329641E5"/>
    <w:rsid w:val="32B009D5"/>
    <w:rsid w:val="331210F9"/>
    <w:rsid w:val="33352E53"/>
    <w:rsid w:val="336F02F9"/>
    <w:rsid w:val="33807A22"/>
    <w:rsid w:val="33A15ECC"/>
    <w:rsid w:val="33C32E7E"/>
    <w:rsid w:val="33D76BD9"/>
    <w:rsid w:val="33F82C92"/>
    <w:rsid w:val="344723C2"/>
    <w:rsid w:val="344E5996"/>
    <w:rsid w:val="346E7F1B"/>
    <w:rsid w:val="34892BC5"/>
    <w:rsid w:val="34FA5B7F"/>
    <w:rsid w:val="352D0F7E"/>
    <w:rsid w:val="354632DC"/>
    <w:rsid w:val="35613867"/>
    <w:rsid w:val="356E45E1"/>
    <w:rsid w:val="357C0AAC"/>
    <w:rsid w:val="358657AA"/>
    <w:rsid w:val="35BD12C5"/>
    <w:rsid w:val="35DA58EB"/>
    <w:rsid w:val="36DC310A"/>
    <w:rsid w:val="376755E7"/>
    <w:rsid w:val="37766FCA"/>
    <w:rsid w:val="37866C37"/>
    <w:rsid w:val="37B95D33"/>
    <w:rsid w:val="38091251"/>
    <w:rsid w:val="38414D3C"/>
    <w:rsid w:val="386C5A48"/>
    <w:rsid w:val="38DB3D3B"/>
    <w:rsid w:val="39456E2D"/>
    <w:rsid w:val="39891F45"/>
    <w:rsid w:val="3A00248E"/>
    <w:rsid w:val="3A1B3B73"/>
    <w:rsid w:val="3AC95036"/>
    <w:rsid w:val="3B123664"/>
    <w:rsid w:val="3B580349"/>
    <w:rsid w:val="3B590401"/>
    <w:rsid w:val="3B767B11"/>
    <w:rsid w:val="3B78782B"/>
    <w:rsid w:val="3B9B2AFF"/>
    <w:rsid w:val="3BD31641"/>
    <w:rsid w:val="3BD31DA0"/>
    <w:rsid w:val="3C1557B6"/>
    <w:rsid w:val="3C266998"/>
    <w:rsid w:val="3C353456"/>
    <w:rsid w:val="3C6E65A0"/>
    <w:rsid w:val="3C6E6AAF"/>
    <w:rsid w:val="3CAC62CB"/>
    <w:rsid w:val="3CB26F5F"/>
    <w:rsid w:val="3D1323C2"/>
    <w:rsid w:val="3D38229D"/>
    <w:rsid w:val="3D3C24AF"/>
    <w:rsid w:val="3D447953"/>
    <w:rsid w:val="3DA90445"/>
    <w:rsid w:val="3DBC01DA"/>
    <w:rsid w:val="3E4C0F07"/>
    <w:rsid w:val="3E6F6A17"/>
    <w:rsid w:val="3E740EBA"/>
    <w:rsid w:val="3EC861A3"/>
    <w:rsid w:val="3F424B45"/>
    <w:rsid w:val="3F5C2AEC"/>
    <w:rsid w:val="4010468E"/>
    <w:rsid w:val="40427B04"/>
    <w:rsid w:val="40A45252"/>
    <w:rsid w:val="40A50321"/>
    <w:rsid w:val="41501CF3"/>
    <w:rsid w:val="420463BC"/>
    <w:rsid w:val="424072C7"/>
    <w:rsid w:val="424720CC"/>
    <w:rsid w:val="43857479"/>
    <w:rsid w:val="438D3077"/>
    <w:rsid w:val="43C82A7E"/>
    <w:rsid w:val="44257122"/>
    <w:rsid w:val="44521F8C"/>
    <w:rsid w:val="445C2F15"/>
    <w:rsid w:val="44760DBC"/>
    <w:rsid w:val="44A16EA6"/>
    <w:rsid w:val="45507CAF"/>
    <w:rsid w:val="45BA2D91"/>
    <w:rsid w:val="45FB68B6"/>
    <w:rsid w:val="46110DEA"/>
    <w:rsid w:val="4631143E"/>
    <w:rsid w:val="463D7DE3"/>
    <w:rsid w:val="469E63EA"/>
    <w:rsid w:val="46BD73B7"/>
    <w:rsid w:val="46FB443F"/>
    <w:rsid w:val="46FD3C20"/>
    <w:rsid w:val="47243153"/>
    <w:rsid w:val="472D39A0"/>
    <w:rsid w:val="4768423F"/>
    <w:rsid w:val="47757B93"/>
    <w:rsid w:val="48082D40"/>
    <w:rsid w:val="48584601"/>
    <w:rsid w:val="48A42E62"/>
    <w:rsid w:val="48D9673E"/>
    <w:rsid w:val="491F4C92"/>
    <w:rsid w:val="49554AD5"/>
    <w:rsid w:val="49C86C79"/>
    <w:rsid w:val="4A2B07C4"/>
    <w:rsid w:val="4A3160CC"/>
    <w:rsid w:val="4A98009A"/>
    <w:rsid w:val="4ADC4E21"/>
    <w:rsid w:val="4B050B66"/>
    <w:rsid w:val="4C483641"/>
    <w:rsid w:val="4C4F3D4E"/>
    <w:rsid w:val="4CE76F0F"/>
    <w:rsid w:val="4D4F6B25"/>
    <w:rsid w:val="4D587873"/>
    <w:rsid w:val="4DAA2581"/>
    <w:rsid w:val="4DF5268D"/>
    <w:rsid w:val="4DFC03F6"/>
    <w:rsid w:val="4E046C76"/>
    <w:rsid w:val="4E0A1EFF"/>
    <w:rsid w:val="4E0A2F68"/>
    <w:rsid w:val="4E1830E9"/>
    <w:rsid w:val="4E50166D"/>
    <w:rsid w:val="4E644192"/>
    <w:rsid w:val="4E69320D"/>
    <w:rsid w:val="4EC53911"/>
    <w:rsid w:val="4EE826BA"/>
    <w:rsid w:val="4EF66F43"/>
    <w:rsid w:val="4F082FC7"/>
    <w:rsid w:val="4F5E689A"/>
    <w:rsid w:val="4FC71571"/>
    <w:rsid w:val="505E5526"/>
    <w:rsid w:val="52197CD5"/>
    <w:rsid w:val="52306A4E"/>
    <w:rsid w:val="52325D2A"/>
    <w:rsid w:val="52345011"/>
    <w:rsid w:val="523C3B4C"/>
    <w:rsid w:val="52650DBE"/>
    <w:rsid w:val="526E5716"/>
    <w:rsid w:val="52981A93"/>
    <w:rsid w:val="52DF51FC"/>
    <w:rsid w:val="53C107E7"/>
    <w:rsid w:val="53E11A99"/>
    <w:rsid w:val="53E6049A"/>
    <w:rsid w:val="53E94C9C"/>
    <w:rsid w:val="543B4AB3"/>
    <w:rsid w:val="54974132"/>
    <w:rsid w:val="54A17542"/>
    <w:rsid w:val="54DB7F64"/>
    <w:rsid w:val="54DC2F03"/>
    <w:rsid w:val="54EC2D32"/>
    <w:rsid w:val="550341AB"/>
    <w:rsid w:val="557A5C93"/>
    <w:rsid w:val="5587585C"/>
    <w:rsid w:val="559F1C63"/>
    <w:rsid w:val="55CC356F"/>
    <w:rsid w:val="56991314"/>
    <w:rsid w:val="56CA08F6"/>
    <w:rsid w:val="571860E4"/>
    <w:rsid w:val="572E5805"/>
    <w:rsid w:val="577E34BE"/>
    <w:rsid w:val="57E10CEA"/>
    <w:rsid w:val="57F148CB"/>
    <w:rsid w:val="585F5977"/>
    <w:rsid w:val="58661B52"/>
    <w:rsid w:val="58977BBD"/>
    <w:rsid w:val="58FB7E13"/>
    <w:rsid w:val="59365921"/>
    <w:rsid w:val="594B7029"/>
    <w:rsid w:val="59CB08D8"/>
    <w:rsid w:val="5A2D5DDA"/>
    <w:rsid w:val="5A6D5CDE"/>
    <w:rsid w:val="5A936287"/>
    <w:rsid w:val="5AF2343A"/>
    <w:rsid w:val="5B4B673D"/>
    <w:rsid w:val="5B625DDE"/>
    <w:rsid w:val="5B9A2183"/>
    <w:rsid w:val="5BD4669C"/>
    <w:rsid w:val="5C0A47B4"/>
    <w:rsid w:val="5C0C052C"/>
    <w:rsid w:val="5C967DF5"/>
    <w:rsid w:val="5C984BB1"/>
    <w:rsid w:val="5CDC3313"/>
    <w:rsid w:val="5D1018B3"/>
    <w:rsid w:val="5D3415BB"/>
    <w:rsid w:val="5D5F1E64"/>
    <w:rsid w:val="5DBC464F"/>
    <w:rsid w:val="5DDB7551"/>
    <w:rsid w:val="5E05070D"/>
    <w:rsid w:val="5E077D97"/>
    <w:rsid w:val="5E553689"/>
    <w:rsid w:val="5E6C0129"/>
    <w:rsid w:val="5E7C4E15"/>
    <w:rsid w:val="5E8B32F2"/>
    <w:rsid w:val="5E97575B"/>
    <w:rsid w:val="5EA60DEA"/>
    <w:rsid w:val="5F5968C2"/>
    <w:rsid w:val="5FD50C35"/>
    <w:rsid w:val="600A41C6"/>
    <w:rsid w:val="602D6CC3"/>
    <w:rsid w:val="608C5797"/>
    <w:rsid w:val="60977F66"/>
    <w:rsid w:val="60BF1E8A"/>
    <w:rsid w:val="60D31ACC"/>
    <w:rsid w:val="61147FB0"/>
    <w:rsid w:val="611B6623"/>
    <w:rsid w:val="613C71BD"/>
    <w:rsid w:val="614E6E3A"/>
    <w:rsid w:val="617E35F4"/>
    <w:rsid w:val="62400D42"/>
    <w:rsid w:val="625E7607"/>
    <w:rsid w:val="62741294"/>
    <w:rsid w:val="62E80C7F"/>
    <w:rsid w:val="630C7063"/>
    <w:rsid w:val="630D39D9"/>
    <w:rsid w:val="63545ECA"/>
    <w:rsid w:val="63C05E89"/>
    <w:rsid w:val="63D20CA9"/>
    <w:rsid w:val="63E9766D"/>
    <w:rsid w:val="63EE18C4"/>
    <w:rsid w:val="644B14C6"/>
    <w:rsid w:val="646015AE"/>
    <w:rsid w:val="64B149FF"/>
    <w:rsid w:val="65213B1D"/>
    <w:rsid w:val="653B4EE8"/>
    <w:rsid w:val="654B3E73"/>
    <w:rsid w:val="65622F6B"/>
    <w:rsid w:val="658E3D60"/>
    <w:rsid w:val="65CB2156"/>
    <w:rsid w:val="65F22458"/>
    <w:rsid w:val="66313841"/>
    <w:rsid w:val="6636396E"/>
    <w:rsid w:val="66567901"/>
    <w:rsid w:val="667F199B"/>
    <w:rsid w:val="668508E5"/>
    <w:rsid w:val="66BB6A6E"/>
    <w:rsid w:val="66D11627"/>
    <w:rsid w:val="67117776"/>
    <w:rsid w:val="67230E65"/>
    <w:rsid w:val="67285D6F"/>
    <w:rsid w:val="67426EF6"/>
    <w:rsid w:val="6774308F"/>
    <w:rsid w:val="67B70900"/>
    <w:rsid w:val="682D7860"/>
    <w:rsid w:val="68400241"/>
    <w:rsid w:val="684A23F5"/>
    <w:rsid w:val="686425B6"/>
    <w:rsid w:val="68644CFE"/>
    <w:rsid w:val="689C1145"/>
    <w:rsid w:val="68F73226"/>
    <w:rsid w:val="693009CF"/>
    <w:rsid w:val="69601EB7"/>
    <w:rsid w:val="696F5C56"/>
    <w:rsid w:val="69A77CDA"/>
    <w:rsid w:val="69EA1437"/>
    <w:rsid w:val="6A0C57DE"/>
    <w:rsid w:val="6A1F2C76"/>
    <w:rsid w:val="6A8035E9"/>
    <w:rsid w:val="6AD6144D"/>
    <w:rsid w:val="6B030D4C"/>
    <w:rsid w:val="6B235B76"/>
    <w:rsid w:val="6B3470F0"/>
    <w:rsid w:val="6B61486F"/>
    <w:rsid w:val="6B712159"/>
    <w:rsid w:val="6B8235F5"/>
    <w:rsid w:val="6B8C55A1"/>
    <w:rsid w:val="6C060AF4"/>
    <w:rsid w:val="6C1355CF"/>
    <w:rsid w:val="6C800110"/>
    <w:rsid w:val="6CAE2F39"/>
    <w:rsid w:val="6CB00A5F"/>
    <w:rsid w:val="6CE416B1"/>
    <w:rsid w:val="6D1F1741"/>
    <w:rsid w:val="6D6C6CDE"/>
    <w:rsid w:val="6E0236D5"/>
    <w:rsid w:val="6E1B015A"/>
    <w:rsid w:val="6E5B4B62"/>
    <w:rsid w:val="6E8D1BF6"/>
    <w:rsid w:val="6EC16F54"/>
    <w:rsid w:val="6F0B5323"/>
    <w:rsid w:val="6F15104E"/>
    <w:rsid w:val="6F182D25"/>
    <w:rsid w:val="6F416589"/>
    <w:rsid w:val="6F42286F"/>
    <w:rsid w:val="6F463BFC"/>
    <w:rsid w:val="6F6F5B14"/>
    <w:rsid w:val="6F9D7A9E"/>
    <w:rsid w:val="6FA56CDF"/>
    <w:rsid w:val="70E37BDE"/>
    <w:rsid w:val="718F50E7"/>
    <w:rsid w:val="71E965C4"/>
    <w:rsid w:val="720C6738"/>
    <w:rsid w:val="728066BB"/>
    <w:rsid w:val="7298446F"/>
    <w:rsid w:val="732D105C"/>
    <w:rsid w:val="735342CB"/>
    <w:rsid w:val="73535418"/>
    <w:rsid w:val="7375030D"/>
    <w:rsid w:val="74187291"/>
    <w:rsid w:val="746565D3"/>
    <w:rsid w:val="7486436A"/>
    <w:rsid w:val="74CA4688"/>
    <w:rsid w:val="74D40010"/>
    <w:rsid w:val="75C84D37"/>
    <w:rsid w:val="76253165"/>
    <w:rsid w:val="76533002"/>
    <w:rsid w:val="76763240"/>
    <w:rsid w:val="76AC070A"/>
    <w:rsid w:val="76C536BF"/>
    <w:rsid w:val="77050AB7"/>
    <w:rsid w:val="773255CD"/>
    <w:rsid w:val="77861EBB"/>
    <w:rsid w:val="77E31CE9"/>
    <w:rsid w:val="77FC724F"/>
    <w:rsid w:val="784B5052"/>
    <w:rsid w:val="78B66A71"/>
    <w:rsid w:val="78C22246"/>
    <w:rsid w:val="7919798C"/>
    <w:rsid w:val="793A1DDD"/>
    <w:rsid w:val="793B3DA7"/>
    <w:rsid w:val="799635EC"/>
    <w:rsid w:val="7A276B90"/>
    <w:rsid w:val="7A440A4F"/>
    <w:rsid w:val="7A9E22E2"/>
    <w:rsid w:val="7AC10876"/>
    <w:rsid w:val="7B041D5D"/>
    <w:rsid w:val="7B1623D5"/>
    <w:rsid w:val="7B1E7A3E"/>
    <w:rsid w:val="7B513D9E"/>
    <w:rsid w:val="7BBA71A4"/>
    <w:rsid w:val="7BC40CA1"/>
    <w:rsid w:val="7BC95B6A"/>
    <w:rsid w:val="7C224DAA"/>
    <w:rsid w:val="7C370855"/>
    <w:rsid w:val="7C5A4544"/>
    <w:rsid w:val="7C622A6D"/>
    <w:rsid w:val="7C73432C"/>
    <w:rsid w:val="7CA126A0"/>
    <w:rsid w:val="7CBA09F0"/>
    <w:rsid w:val="7CBD5CF4"/>
    <w:rsid w:val="7CD7615E"/>
    <w:rsid w:val="7D0A41BC"/>
    <w:rsid w:val="7D511DEB"/>
    <w:rsid w:val="7DA902EC"/>
    <w:rsid w:val="7ED628EE"/>
    <w:rsid w:val="7EDA3AA6"/>
    <w:rsid w:val="7F032BB8"/>
    <w:rsid w:val="7F1B0A73"/>
    <w:rsid w:val="7FC64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5:docId w15:val="{5EAF6342-A059-43A2-95D7-1878E3539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qFormat="1"/>
    <w:lsdException w:name="annotation text" w:unhideWhenUsed="1" w:qFormat="1"/>
    <w:lsdException w:name="header" w:uiPriority="0" w:qFormat="1"/>
    <w:lsdException w:name="footer" w:uiPriority="0"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qFormat="1"/>
    <w:lsdException w:name="Body Text First Indent" w:uiPriority="0"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qFormat="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b">
    <w:name w:val="Normal"/>
    <w:next w:val="20"/>
    <w:qFormat/>
    <w:pPr>
      <w:spacing w:line="360" w:lineRule="auto"/>
      <w:ind w:firstLineChars="200" w:firstLine="200"/>
      <w:jc w:val="both"/>
    </w:pPr>
    <w:rPr>
      <w:kern w:val="2"/>
      <w:sz w:val="24"/>
      <w:szCs w:val="21"/>
    </w:rPr>
  </w:style>
  <w:style w:type="paragraph" w:styleId="1">
    <w:name w:val="heading 1"/>
    <w:basedOn w:val="ab"/>
    <w:next w:val="ab"/>
    <w:link w:val="10"/>
    <w:qFormat/>
    <w:pPr>
      <w:keepNext/>
      <w:keepLines/>
      <w:numPr>
        <w:numId w:val="1"/>
      </w:numPr>
      <w:spacing w:beforeLines="100" w:before="100" w:afterLines="100" w:after="100"/>
      <w:ind w:firstLineChars="0"/>
      <w:jc w:val="center"/>
      <w:outlineLvl w:val="0"/>
    </w:pPr>
    <w:rPr>
      <w:rFonts w:eastAsia="黑体"/>
      <w:bCs/>
      <w:kern w:val="44"/>
      <w:sz w:val="32"/>
      <w:szCs w:val="44"/>
    </w:rPr>
  </w:style>
  <w:style w:type="paragraph" w:styleId="2">
    <w:name w:val="heading 2"/>
    <w:basedOn w:val="ab"/>
    <w:next w:val="ab"/>
    <w:link w:val="21"/>
    <w:qFormat/>
    <w:pPr>
      <w:keepNext/>
      <w:keepLines/>
      <w:widowControl w:val="0"/>
      <w:numPr>
        <w:ilvl w:val="1"/>
        <w:numId w:val="1"/>
      </w:numPr>
      <w:spacing w:beforeLines="50" w:before="50" w:afterLines="50" w:after="50"/>
      <w:ind w:firstLineChars="0"/>
      <w:outlineLvl w:val="1"/>
    </w:pPr>
    <w:rPr>
      <w:rFonts w:eastAsia="黑体"/>
      <w:bCs/>
      <w:sz w:val="28"/>
      <w:szCs w:val="32"/>
    </w:rPr>
  </w:style>
  <w:style w:type="paragraph" w:styleId="3">
    <w:name w:val="heading 3"/>
    <w:basedOn w:val="ab"/>
    <w:next w:val="ab"/>
    <w:link w:val="30"/>
    <w:unhideWhenUsed/>
    <w:qFormat/>
    <w:pPr>
      <w:keepNext/>
      <w:keepLines/>
      <w:numPr>
        <w:ilvl w:val="2"/>
        <w:numId w:val="1"/>
      </w:numPr>
      <w:ind w:firstLineChars="0"/>
      <w:outlineLvl w:val="2"/>
    </w:pPr>
    <w:rPr>
      <w:rFonts w:eastAsia="黑体"/>
      <w:bCs/>
      <w:szCs w:val="32"/>
    </w:rPr>
  </w:style>
  <w:style w:type="paragraph" w:styleId="4">
    <w:name w:val="heading 4"/>
    <w:basedOn w:val="ab"/>
    <w:next w:val="ab"/>
    <w:link w:val="40"/>
    <w:unhideWhenUsed/>
    <w:qFormat/>
    <w:pPr>
      <w:keepNext/>
      <w:keepLines/>
      <w:numPr>
        <w:ilvl w:val="3"/>
        <w:numId w:val="1"/>
      </w:numPr>
      <w:ind w:firstLineChars="0"/>
      <w:outlineLvl w:val="3"/>
    </w:pPr>
    <w:rPr>
      <w:b/>
      <w:bCs/>
      <w:szCs w:val="28"/>
    </w:rPr>
  </w:style>
  <w:style w:type="paragraph" w:styleId="5">
    <w:name w:val="heading 5"/>
    <w:basedOn w:val="ab"/>
    <w:next w:val="ab"/>
    <w:link w:val="50"/>
    <w:qFormat/>
    <w:pPr>
      <w:keepNext/>
      <w:keepLines/>
      <w:widowControl w:val="0"/>
      <w:spacing w:before="280" w:after="290" w:line="376" w:lineRule="auto"/>
      <w:ind w:firstLineChars="0" w:firstLine="0"/>
      <w:outlineLvl w:val="4"/>
    </w:pPr>
    <w:rPr>
      <w:b/>
      <w:bCs/>
      <w:sz w:val="28"/>
      <w:szCs w:val="28"/>
    </w:rPr>
  </w:style>
  <w:style w:type="paragraph" w:styleId="6">
    <w:name w:val="heading 6"/>
    <w:basedOn w:val="ab"/>
    <w:next w:val="ab"/>
    <w:link w:val="60"/>
    <w:qFormat/>
    <w:pPr>
      <w:keepNext/>
      <w:keepLines/>
      <w:widowControl w:val="0"/>
      <w:spacing w:before="240" w:after="64" w:line="320" w:lineRule="auto"/>
      <w:ind w:firstLineChars="0" w:firstLine="0"/>
      <w:outlineLvl w:val="5"/>
    </w:pPr>
    <w:rPr>
      <w:rFonts w:ascii="Arial" w:eastAsia="黑体" w:hAnsi="Arial"/>
      <w:b/>
      <w:bCs/>
      <w:szCs w:val="24"/>
    </w:rPr>
  </w:style>
  <w:style w:type="paragraph" w:styleId="7">
    <w:name w:val="heading 7"/>
    <w:basedOn w:val="ab"/>
    <w:next w:val="ab"/>
    <w:link w:val="70"/>
    <w:qFormat/>
    <w:pPr>
      <w:keepNext/>
      <w:keepLines/>
      <w:widowControl w:val="0"/>
      <w:spacing w:before="240" w:after="64" w:line="320" w:lineRule="auto"/>
      <w:ind w:firstLineChars="0" w:firstLine="0"/>
      <w:outlineLvl w:val="6"/>
    </w:pPr>
    <w:rPr>
      <w:b/>
      <w:bCs/>
      <w:szCs w:val="24"/>
    </w:rPr>
  </w:style>
  <w:style w:type="paragraph" w:styleId="8">
    <w:name w:val="heading 8"/>
    <w:basedOn w:val="ab"/>
    <w:next w:val="ab"/>
    <w:link w:val="80"/>
    <w:qFormat/>
    <w:pPr>
      <w:keepNext/>
      <w:keepLines/>
      <w:widowControl w:val="0"/>
      <w:spacing w:before="240" w:after="64" w:line="320" w:lineRule="auto"/>
      <w:ind w:firstLineChars="0" w:firstLine="0"/>
      <w:outlineLvl w:val="7"/>
    </w:pPr>
    <w:rPr>
      <w:rFonts w:ascii="Arial" w:eastAsia="黑体" w:hAnsi="Arial"/>
      <w:szCs w:val="24"/>
    </w:rPr>
  </w:style>
  <w:style w:type="paragraph" w:styleId="9">
    <w:name w:val="heading 9"/>
    <w:basedOn w:val="ab"/>
    <w:next w:val="ab"/>
    <w:link w:val="90"/>
    <w:qFormat/>
    <w:pPr>
      <w:keepNext/>
      <w:keepLines/>
      <w:widowControl w:val="0"/>
      <w:spacing w:before="240" w:after="64" w:line="320" w:lineRule="auto"/>
      <w:ind w:firstLineChars="0" w:firstLine="0"/>
      <w:outlineLvl w:val="8"/>
    </w:pPr>
    <w:rPr>
      <w:rFonts w:ascii="Arial" w:eastAsia="黑体" w:hAnsi="Arial"/>
      <w:sz w:val="21"/>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20">
    <w:name w:val="Body Text First Indent 2"/>
    <w:basedOn w:val="af"/>
    <w:link w:val="22"/>
    <w:uiPriority w:val="99"/>
    <w:semiHidden/>
    <w:unhideWhenUsed/>
    <w:qFormat/>
    <w:pPr>
      <w:ind w:firstLine="420"/>
    </w:pPr>
  </w:style>
  <w:style w:type="paragraph" w:styleId="af">
    <w:name w:val="Body Text Indent"/>
    <w:basedOn w:val="ab"/>
    <w:next w:val="af0"/>
    <w:link w:val="af1"/>
    <w:uiPriority w:val="99"/>
    <w:semiHidden/>
    <w:unhideWhenUsed/>
    <w:qFormat/>
    <w:pPr>
      <w:spacing w:after="120"/>
      <w:ind w:leftChars="200" w:left="420"/>
    </w:pPr>
  </w:style>
  <w:style w:type="paragraph" w:styleId="af0">
    <w:name w:val="Normal Indent"/>
    <w:basedOn w:val="ab"/>
    <w:link w:val="af2"/>
    <w:uiPriority w:val="99"/>
    <w:qFormat/>
    <w:pPr>
      <w:spacing w:line="240" w:lineRule="auto"/>
      <w:ind w:firstLine="420"/>
      <w:jc w:val="left"/>
    </w:pPr>
    <w:rPr>
      <w:kern w:val="0"/>
      <w:sz w:val="20"/>
      <w:szCs w:val="20"/>
    </w:rPr>
  </w:style>
  <w:style w:type="paragraph" w:styleId="TOC7">
    <w:name w:val="toc 7"/>
    <w:basedOn w:val="ab"/>
    <w:next w:val="ab"/>
    <w:uiPriority w:val="39"/>
    <w:unhideWhenUsed/>
    <w:qFormat/>
    <w:pPr>
      <w:widowControl w:val="0"/>
      <w:spacing w:line="240" w:lineRule="auto"/>
      <w:ind w:leftChars="1200" w:left="2520"/>
    </w:pPr>
    <w:rPr>
      <w:rFonts w:ascii="等线" w:eastAsia="等线" w:hAnsi="等线"/>
      <w:sz w:val="21"/>
      <w:szCs w:val="22"/>
    </w:rPr>
  </w:style>
  <w:style w:type="paragraph" w:styleId="af3">
    <w:name w:val="caption"/>
    <w:next w:val="ab"/>
    <w:link w:val="af4"/>
    <w:uiPriority w:val="35"/>
    <w:unhideWhenUsed/>
    <w:qFormat/>
    <w:pPr>
      <w:spacing w:line="360" w:lineRule="auto"/>
      <w:jc w:val="center"/>
    </w:pPr>
    <w:rPr>
      <w:rFonts w:eastAsia="黑体"/>
      <w:kern w:val="2"/>
      <w:sz w:val="21"/>
    </w:rPr>
  </w:style>
  <w:style w:type="paragraph" w:styleId="a3">
    <w:name w:val="List Bullet"/>
    <w:basedOn w:val="ab"/>
    <w:qFormat/>
    <w:pPr>
      <w:widowControl w:val="0"/>
      <w:numPr>
        <w:numId w:val="2"/>
      </w:numPr>
      <w:tabs>
        <w:tab w:val="left" w:pos="360"/>
      </w:tabs>
      <w:spacing w:line="240" w:lineRule="auto"/>
      <w:ind w:firstLineChars="0" w:firstLine="0"/>
    </w:pPr>
    <w:rPr>
      <w:color w:val="000000"/>
      <w:sz w:val="21"/>
      <w:szCs w:val="20"/>
    </w:rPr>
  </w:style>
  <w:style w:type="paragraph" w:styleId="af5">
    <w:name w:val="Document Map"/>
    <w:basedOn w:val="ab"/>
    <w:link w:val="af6"/>
    <w:uiPriority w:val="99"/>
    <w:semiHidden/>
    <w:unhideWhenUsed/>
    <w:qFormat/>
    <w:rPr>
      <w:rFonts w:ascii="宋体"/>
      <w:sz w:val="18"/>
      <w:szCs w:val="18"/>
    </w:rPr>
  </w:style>
  <w:style w:type="paragraph" w:styleId="af7">
    <w:name w:val="annotation text"/>
    <w:basedOn w:val="ab"/>
    <w:link w:val="af8"/>
    <w:uiPriority w:val="99"/>
    <w:unhideWhenUsed/>
    <w:qFormat/>
    <w:pPr>
      <w:jc w:val="left"/>
    </w:pPr>
  </w:style>
  <w:style w:type="paragraph" w:styleId="af9">
    <w:name w:val="Body Text"/>
    <w:basedOn w:val="ab"/>
    <w:link w:val="afa"/>
    <w:uiPriority w:val="99"/>
    <w:unhideWhenUsed/>
    <w:qFormat/>
    <w:pPr>
      <w:spacing w:after="120"/>
    </w:pPr>
  </w:style>
  <w:style w:type="paragraph" w:styleId="TOC5">
    <w:name w:val="toc 5"/>
    <w:basedOn w:val="ab"/>
    <w:next w:val="ab"/>
    <w:uiPriority w:val="39"/>
    <w:unhideWhenUsed/>
    <w:qFormat/>
    <w:pPr>
      <w:widowControl w:val="0"/>
      <w:spacing w:line="240" w:lineRule="auto"/>
      <w:ind w:leftChars="800" w:left="1680"/>
    </w:pPr>
    <w:rPr>
      <w:rFonts w:ascii="等线" w:eastAsia="等线" w:hAnsi="等线"/>
      <w:sz w:val="21"/>
      <w:szCs w:val="22"/>
    </w:rPr>
  </w:style>
  <w:style w:type="paragraph" w:styleId="TOC3">
    <w:name w:val="toc 3"/>
    <w:basedOn w:val="ab"/>
    <w:next w:val="ab"/>
    <w:uiPriority w:val="39"/>
    <w:unhideWhenUsed/>
    <w:qFormat/>
    <w:pPr>
      <w:spacing w:after="100" w:line="259" w:lineRule="auto"/>
      <w:ind w:left="440"/>
      <w:jc w:val="left"/>
    </w:pPr>
    <w:rPr>
      <w:rFonts w:ascii="等线" w:eastAsia="等线" w:hAnsi="等线"/>
      <w:kern w:val="0"/>
      <w:sz w:val="22"/>
      <w:szCs w:val="22"/>
    </w:rPr>
  </w:style>
  <w:style w:type="paragraph" w:styleId="afb">
    <w:name w:val="Plain Text"/>
    <w:basedOn w:val="ab"/>
    <w:link w:val="afc"/>
    <w:qFormat/>
    <w:pPr>
      <w:widowControl w:val="0"/>
      <w:spacing w:line="240" w:lineRule="auto"/>
      <w:ind w:firstLineChars="0" w:firstLine="0"/>
    </w:pPr>
    <w:rPr>
      <w:rFonts w:ascii="宋体" w:hAnsi="Courier New"/>
      <w:sz w:val="21"/>
      <w:szCs w:val="20"/>
    </w:rPr>
  </w:style>
  <w:style w:type="paragraph" w:styleId="TOC8">
    <w:name w:val="toc 8"/>
    <w:basedOn w:val="ab"/>
    <w:next w:val="ab"/>
    <w:uiPriority w:val="39"/>
    <w:unhideWhenUsed/>
    <w:qFormat/>
    <w:pPr>
      <w:widowControl w:val="0"/>
      <w:spacing w:line="240" w:lineRule="auto"/>
      <w:ind w:leftChars="1400" w:left="2940"/>
    </w:pPr>
    <w:rPr>
      <w:rFonts w:ascii="等线" w:eastAsia="等线" w:hAnsi="等线"/>
      <w:sz w:val="21"/>
      <w:szCs w:val="22"/>
    </w:rPr>
  </w:style>
  <w:style w:type="paragraph" w:styleId="afd">
    <w:name w:val="Date"/>
    <w:basedOn w:val="ab"/>
    <w:next w:val="ab"/>
    <w:link w:val="afe"/>
    <w:uiPriority w:val="99"/>
    <w:semiHidden/>
    <w:unhideWhenUsed/>
    <w:qFormat/>
    <w:pPr>
      <w:ind w:leftChars="2500" w:left="100"/>
    </w:pPr>
  </w:style>
  <w:style w:type="paragraph" w:styleId="23">
    <w:name w:val="Body Text Indent 2"/>
    <w:basedOn w:val="ab"/>
    <w:link w:val="24"/>
    <w:uiPriority w:val="99"/>
    <w:semiHidden/>
    <w:unhideWhenUsed/>
    <w:qFormat/>
    <w:pPr>
      <w:spacing w:after="120" w:line="480" w:lineRule="auto"/>
      <w:ind w:leftChars="200" w:left="420"/>
    </w:pPr>
  </w:style>
  <w:style w:type="paragraph" w:styleId="aff">
    <w:name w:val="Balloon Text"/>
    <w:basedOn w:val="ab"/>
    <w:link w:val="aff0"/>
    <w:semiHidden/>
    <w:unhideWhenUsed/>
    <w:qFormat/>
    <w:pPr>
      <w:spacing w:line="240" w:lineRule="auto"/>
    </w:pPr>
    <w:rPr>
      <w:sz w:val="18"/>
      <w:szCs w:val="18"/>
    </w:rPr>
  </w:style>
  <w:style w:type="paragraph" w:styleId="aff1">
    <w:name w:val="footer"/>
    <w:basedOn w:val="ab"/>
    <w:link w:val="aff2"/>
    <w:qFormat/>
    <w:pPr>
      <w:widowControl w:val="0"/>
      <w:tabs>
        <w:tab w:val="center" w:pos="4153"/>
        <w:tab w:val="right" w:pos="8306"/>
      </w:tabs>
      <w:snapToGrid w:val="0"/>
      <w:spacing w:line="240" w:lineRule="auto"/>
      <w:jc w:val="left"/>
    </w:pPr>
    <w:rPr>
      <w:spacing w:val="20"/>
      <w:sz w:val="18"/>
      <w:szCs w:val="18"/>
    </w:rPr>
  </w:style>
  <w:style w:type="paragraph" w:styleId="aff3">
    <w:name w:val="header"/>
    <w:basedOn w:val="ab"/>
    <w:link w:val="aff4"/>
    <w:qFormat/>
    <w:pPr>
      <w:widowControl w:val="0"/>
      <w:pBdr>
        <w:bottom w:val="single" w:sz="6" w:space="1" w:color="auto"/>
      </w:pBdr>
      <w:tabs>
        <w:tab w:val="center" w:pos="4153"/>
        <w:tab w:val="right" w:pos="8306"/>
      </w:tabs>
      <w:snapToGrid w:val="0"/>
      <w:spacing w:line="240" w:lineRule="auto"/>
    </w:pPr>
    <w:rPr>
      <w:sz w:val="18"/>
      <w:szCs w:val="18"/>
    </w:rPr>
  </w:style>
  <w:style w:type="paragraph" w:styleId="TOC1">
    <w:name w:val="toc 1"/>
    <w:basedOn w:val="ab"/>
    <w:next w:val="ab"/>
    <w:uiPriority w:val="39"/>
    <w:unhideWhenUsed/>
    <w:qFormat/>
    <w:pPr>
      <w:spacing w:after="100" w:line="259" w:lineRule="auto"/>
      <w:jc w:val="left"/>
    </w:pPr>
    <w:rPr>
      <w:rFonts w:ascii="等线" w:eastAsia="等线" w:hAnsi="等线"/>
      <w:kern w:val="0"/>
      <w:sz w:val="22"/>
      <w:szCs w:val="22"/>
    </w:rPr>
  </w:style>
  <w:style w:type="paragraph" w:styleId="TOC4">
    <w:name w:val="toc 4"/>
    <w:basedOn w:val="ab"/>
    <w:next w:val="ab"/>
    <w:uiPriority w:val="39"/>
    <w:unhideWhenUsed/>
    <w:qFormat/>
    <w:pPr>
      <w:widowControl w:val="0"/>
      <w:spacing w:line="240" w:lineRule="auto"/>
      <w:ind w:leftChars="600" w:left="1260"/>
    </w:pPr>
    <w:rPr>
      <w:rFonts w:ascii="等线" w:eastAsia="等线" w:hAnsi="等线"/>
      <w:sz w:val="21"/>
      <w:szCs w:val="22"/>
    </w:rPr>
  </w:style>
  <w:style w:type="paragraph" w:styleId="aff5">
    <w:name w:val="Subtitle"/>
    <w:basedOn w:val="ab"/>
    <w:next w:val="ab"/>
    <w:link w:val="aff6"/>
    <w:qFormat/>
    <w:pPr>
      <w:widowControl w:val="0"/>
      <w:spacing w:before="240" w:after="60" w:line="312" w:lineRule="auto"/>
      <w:ind w:firstLineChars="0" w:firstLine="0"/>
      <w:jc w:val="center"/>
      <w:outlineLvl w:val="1"/>
    </w:pPr>
    <w:rPr>
      <w:rFonts w:ascii="Cambria" w:hAnsi="Cambria"/>
      <w:b/>
      <w:bCs/>
      <w:kern w:val="28"/>
      <w:sz w:val="32"/>
      <w:szCs w:val="32"/>
    </w:rPr>
  </w:style>
  <w:style w:type="paragraph" w:styleId="a">
    <w:name w:val="List"/>
    <w:basedOn w:val="ab"/>
    <w:qFormat/>
    <w:pPr>
      <w:widowControl w:val="0"/>
      <w:numPr>
        <w:numId w:val="3"/>
      </w:numPr>
      <w:tabs>
        <w:tab w:val="clear" w:pos="620"/>
      </w:tabs>
      <w:ind w:left="200" w:hangingChars="200" w:hanging="200"/>
    </w:pPr>
    <w:rPr>
      <w:rFonts w:ascii="宋体" w:hAnsi="宋体"/>
      <w:spacing w:val="6"/>
      <w:sz w:val="28"/>
    </w:rPr>
  </w:style>
  <w:style w:type="paragraph" w:styleId="aff7">
    <w:name w:val="footnote text"/>
    <w:basedOn w:val="ab"/>
    <w:link w:val="aff8"/>
    <w:uiPriority w:val="99"/>
    <w:semiHidden/>
    <w:unhideWhenUsed/>
    <w:qFormat/>
    <w:pPr>
      <w:snapToGrid w:val="0"/>
      <w:jc w:val="left"/>
    </w:pPr>
    <w:rPr>
      <w:sz w:val="18"/>
      <w:szCs w:val="18"/>
    </w:rPr>
  </w:style>
  <w:style w:type="paragraph" w:styleId="TOC6">
    <w:name w:val="toc 6"/>
    <w:basedOn w:val="ab"/>
    <w:next w:val="ab"/>
    <w:uiPriority w:val="39"/>
    <w:unhideWhenUsed/>
    <w:qFormat/>
    <w:pPr>
      <w:widowControl w:val="0"/>
      <w:spacing w:line="240" w:lineRule="auto"/>
      <w:ind w:leftChars="1000" w:left="2100"/>
    </w:pPr>
    <w:rPr>
      <w:rFonts w:ascii="等线" w:eastAsia="等线" w:hAnsi="等线"/>
      <w:sz w:val="21"/>
      <w:szCs w:val="22"/>
    </w:rPr>
  </w:style>
  <w:style w:type="paragraph" w:styleId="31">
    <w:name w:val="Body Text Indent 3"/>
    <w:basedOn w:val="ab"/>
    <w:link w:val="32"/>
    <w:uiPriority w:val="99"/>
    <w:qFormat/>
    <w:pPr>
      <w:widowControl w:val="0"/>
      <w:adjustRightInd w:val="0"/>
      <w:snapToGrid w:val="0"/>
      <w:spacing w:before="120"/>
      <w:ind w:firstLine="480"/>
    </w:pPr>
    <w:rPr>
      <w:rFonts w:ascii="宋体" w:hAnsi="宋体"/>
      <w:szCs w:val="24"/>
    </w:rPr>
  </w:style>
  <w:style w:type="paragraph" w:styleId="TOC2">
    <w:name w:val="toc 2"/>
    <w:basedOn w:val="ab"/>
    <w:next w:val="ab"/>
    <w:uiPriority w:val="39"/>
    <w:unhideWhenUsed/>
    <w:qFormat/>
    <w:pPr>
      <w:spacing w:after="100" w:line="259" w:lineRule="auto"/>
      <w:ind w:left="220"/>
      <w:jc w:val="left"/>
    </w:pPr>
    <w:rPr>
      <w:rFonts w:ascii="等线" w:eastAsia="等线" w:hAnsi="等线"/>
      <w:kern w:val="0"/>
      <w:sz w:val="22"/>
      <w:szCs w:val="22"/>
    </w:rPr>
  </w:style>
  <w:style w:type="paragraph" w:styleId="TOC9">
    <w:name w:val="toc 9"/>
    <w:basedOn w:val="ab"/>
    <w:next w:val="ab"/>
    <w:uiPriority w:val="39"/>
    <w:unhideWhenUsed/>
    <w:qFormat/>
    <w:pPr>
      <w:widowControl w:val="0"/>
      <w:spacing w:line="240" w:lineRule="auto"/>
      <w:ind w:leftChars="1600" w:left="3360"/>
    </w:pPr>
    <w:rPr>
      <w:rFonts w:ascii="等线" w:eastAsia="等线" w:hAnsi="等线"/>
      <w:sz w:val="21"/>
      <w:szCs w:val="22"/>
    </w:rPr>
  </w:style>
  <w:style w:type="paragraph" w:styleId="aff9">
    <w:name w:val="Normal (Web)"/>
    <w:basedOn w:val="ab"/>
    <w:uiPriority w:val="99"/>
    <w:unhideWhenUsed/>
    <w:qFormat/>
    <w:pPr>
      <w:jc w:val="left"/>
    </w:pPr>
    <w:rPr>
      <w:kern w:val="0"/>
    </w:rPr>
  </w:style>
  <w:style w:type="paragraph" w:styleId="affa">
    <w:name w:val="Title"/>
    <w:basedOn w:val="ab"/>
    <w:next w:val="ab"/>
    <w:link w:val="affb"/>
    <w:qFormat/>
    <w:pPr>
      <w:spacing w:before="240" w:after="60" w:line="240" w:lineRule="auto"/>
      <w:ind w:firstLineChars="0" w:firstLine="0"/>
      <w:jc w:val="center"/>
      <w:outlineLvl w:val="0"/>
    </w:pPr>
    <w:rPr>
      <w:rFonts w:ascii="Cambria" w:hAnsi="Cambria"/>
      <w:b/>
      <w:bCs/>
      <w:kern w:val="0"/>
      <w:sz w:val="32"/>
      <w:szCs w:val="32"/>
    </w:rPr>
  </w:style>
  <w:style w:type="paragraph" w:styleId="affc">
    <w:name w:val="annotation subject"/>
    <w:basedOn w:val="af7"/>
    <w:next w:val="af7"/>
    <w:link w:val="affd"/>
    <w:uiPriority w:val="99"/>
    <w:semiHidden/>
    <w:unhideWhenUsed/>
    <w:qFormat/>
    <w:rPr>
      <w:b/>
      <w:bCs/>
    </w:rPr>
  </w:style>
  <w:style w:type="paragraph" w:styleId="affe">
    <w:name w:val="Body Text First Indent"/>
    <w:basedOn w:val="af9"/>
    <w:next w:val="ab"/>
    <w:qFormat/>
    <w:pPr>
      <w:ind w:firstLineChars="100" w:firstLine="420"/>
    </w:pPr>
    <w:rPr>
      <w:kern w:val="0"/>
      <w:sz w:val="20"/>
      <w:szCs w:val="20"/>
    </w:rPr>
  </w:style>
  <w:style w:type="table" w:styleId="afff">
    <w:name w:val="Table Grid"/>
    <w:basedOn w:val="ad"/>
    <w:uiPriority w:val="39"/>
    <w:qFormat/>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rPr>
        <w:rFonts w:eastAsia="宋体"/>
        <w:b/>
        <w:sz w:val="21"/>
      </w:rPr>
    </w:tblStylePr>
  </w:style>
  <w:style w:type="character" w:styleId="afff0">
    <w:name w:val="Strong"/>
    <w:qFormat/>
    <w:rPr>
      <w:b/>
    </w:rPr>
  </w:style>
  <w:style w:type="character" w:styleId="afff1">
    <w:name w:val="page number"/>
    <w:basedOn w:val="ac"/>
    <w:qFormat/>
  </w:style>
  <w:style w:type="character" w:styleId="afff2">
    <w:name w:val="FollowedHyperlink"/>
    <w:uiPriority w:val="99"/>
    <w:semiHidden/>
    <w:unhideWhenUsed/>
    <w:qFormat/>
    <w:rPr>
      <w:color w:val="7F7F7F"/>
      <w:u w:val="none"/>
    </w:rPr>
  </w:style>
  <w:style w:type="character" w:styleId="afff3">
    <w:name w:val="Emphasis"/>
    <w:basedOn w:val="ac"/>
    <w:uiPriority w:val="20"/>
    <w:qFormat/>
    <w:rPr>
      <w:color w:val="CC0000"/>
    </w:rPr>
  </w:style>
  <w:style w:type="character" w:styleId="afff4">
    <w:name w:val="Hyperlink"/>
    <w:uiPriority w:val="99"/>
    <w:unhideWhenUsed/>
    <w:qFormat/>
    <w:rPr>
      <w:color w:val="0563C1"/>
      <w:u w:val="single"/>
    </w:rPr>
  </w:style>
  <w:style w:type="character" w:styleId="afff5">
    <w:name w:val="annotation reference"/>
    <w:uiPriority w:val="99"/>
    <w:semiHidden/>
    <w:unhideWhenUsed/>
    <w:qFormat/>
    <w:rPr>
      <w:sz w:val="21"/>
      <w:szCs w:val="21"/>
    </w:rPr>
  </w:style>
  <w:style w:type="character" w:styleId="afff6">
    <w:name w:val="footnote reference"/>
    <w:uiPriority w:val="99"/>
    <w:semiHidden/>
    <w:unhideWhenUsed/>
    <w:qFormat/>
    <w:rPr>
      <w:vertAlign w:val="superscript"/>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qFormat/>
    <w:rPr>
      <w:szCs w:val="20"/>
    </w:rPr>
  </w:style>
  <w:style w:type="paragraph" w:customStyle="1" w:styleId="2SLCON">
    <w:name w:val="正文 首行缩进:  2 字符 SL CON"/>
    <w:basedOn w:val="ab"/>
    <w:qFormat/>
    <w:pPr>
      <w:tabs>
        <w:tab w:val="left" w:pos="377"/>
      </w:tabs>
    </w:pPr>
    <w:rPr>
      <w:rFonts w:ascii="宋体" w:cs="宋体"/>
      <w:kern w:val="0"/>
      <w:sz w:val="28"/>
    </w:rPr>
  </w:style>
  <w:style w:type="paragraph" w:customStyle="1" w:styleId="afff7">
    <w:name w:val="正文样式"/>
    <w:basedOn w:val="ab"/>
    <w:qFormat/>
    <w:pPr>
      <w:adjustRightInd w:val="0"/>
      <w:snapToGrid w:val="0"/>
      <w:spacing w:line="520" w:lineRule="exact"/>
      <w:ind w:firstLine="562"/>
    </w:pPr>
    <w:rPr>
      <w:color w:val="000000"/>
      <w:sz w:val="28"/>
      <w:szCs w:val="28"/>
    </w:rPr>
  </w:style>
  <w:style w:type="paragraph" w:customStyle="1" w:styleId="NormalIndent1">
    <w:name w:val="Normal Indent1"/>
    <w:basedOn w:val="ab"/>
    <w:qFormat/>
    <w:pPr>
      <w:ind w:firstLine="420"/>
    </w:pPr>
  </w:style>
  <w:style w:type="character" w:customStyle="1" w:styleId="10">
    <w:name w:val="标题 1 字符"/>
    <w:link w:val="1"/>
    <w:qFormat/>
    <w:rPr>
      <w:rFonts w:eastAsia="黑体"/>
      <w:bCs/>
      <w:kern w:val="44"/>
      <w:sz w:val="32"/>
      <w:szCs w:val="44"/>
    </w:rPr>
  </w:style>
  <w:style w:type="character" w:customStyle="1" w:styleId="21">
    <w:name w:val="标题 2 字符"/>
    <w:link w:val="2"/>
    <w:qFormat/>
    <w:rPr>
      <w:rFonts w:eastAsia="黑体"/>
      <w:bCs/>
      <w:kern w:val="2"/>
      <w:sz w:val="28"/>
      <w:szCs w:val="32"/>
    </w:rPr>
  </w:style>
  <w:style w:type="character" w:customStyle="1" w:styleId="30">
    <w:name w:val="标题 3 字符"/>
    <w:link w:val="3"/>
    <w:qFormat/>
    <w:rPr>
      <w:rFonts w:eastAsia="黑体"/>
      <w:bCs/>
      <w:kern w:val="2"/>
      <w:sz w:val="24"/>
      <w:szCs w:val="32"/>
    </w:rPr>
  </w:style>
  <w:style w:type="character" w:customStyle="1" w:styleId="40">
    <w:name w:val="标题 4 字符"/>
    <w:link w:val="4"/>
    <w:qFormat/>
    <w:rPr>
      <w:b/>
      <w:bCs/>
      <w:kern w:val="2"/>
      <w:sz w:val="24"/>
      <w:szCs w:val="28"/>
    </w:rPr>
  </w:style>
  <w:style w:type="character" w:customStyle="1" w:styleId="af2">
    <w:name w:val="正文缩进 字符"/>
    <w:link w:val="af0"/>
    <w:uiPriority w:val="99"/>
    <w:qFormat/>
    <w:rPr>
      <w:rFonts w:ascii="Times New Roman" w:eastAsia="宋体" w:hAnsi="Times New Roman" w:cs="Times New Roman"/>
      <w:kern w:val="0"/>
      <w:sz w:val="20"/>
      <w:szCs w:val="20"/>
    </w:rPr>
  </w:style>
  <w:style w:type="character" w:customStyle="1" w:styleId="af4">
    <w:name w:val="题注 字符"/>
    <w:link w:val="af3"/>
    <w:uiPriority w:val="35"/>
    <w:qFormat/>
    <w:rPr>
      <w:rFonts w:ascii="Times New Roman" w:eastAsia="黑体" w:hAnsi="Times New Roman" w:cs="Times New Roman"/>
      <w:szCs w:val="20"/>
    </w:rPr>
  </w:style>
  <w:style w:type="character" w:customStyle="1" w:styleId="af6">
    <w:name w:val="文档结构图 字符"/>
    <w:link w:val="af5"/>
    <w:uiPriority w:val="99"/>
    <w:semiHidden/>
    <w:qFormat/>
    <w:rPr>
      <w:rFonts w:ascii="宋体" w:eastAsia="宋体" w:hAnsi="Times New Roman"/>
      <w:sz w:val="18"/>
      <w:szCs w:val="18"/>
    </w:rPr>
  </w:style>
  <w:style w:type="character" w:customStyle="1" w:styleId="afa">
    <w:name w:val="正文文本 字符"/>
    <w:link w:val="af9"/>
    <w:uiPriority w:val="99"/>
    <w:qFormat/>
    <w:rPr>
      <w:rFonts w:ascii="Times New Roman" w:eastAsia="宋体" w:hAnsi="Times New Roman"/>
      <w:sz w:val="24"/>
    </w:rPr>
  </w:style>
  <w:style w:type="character" w:customStyle="1" w:styleId="aff0">
    <w:name w:val="批注框文本 字符"/>
    <w:link w:val="aff"/>
    <w:uiPriority w:val="99"/>
    <w:semiHidden/>
    <w:qFormat/>
    <w:rPr>
      <w:rFonts w:ascii="Times New Roman" w:eastAsia="宋体" w:hAnsi="Times New Roman"/>
      <w:sz w:val="18"/>
      <w:szCs w:val="18"/>
    </w:rPr>
  </w:style>
  <w:style w:type="character" w:customStyle="1" w:styleId="aff2">
    <w:name w:val="页脚 字符"/>
    <w:link w:val="aff1"/>
    <w:qFormat/>
    <w:rPr>
      <w:rFonts w:ascii="Times New Roman" w:eastAsia="宋体" w:hAnsi="Times New Roman" w:cs="Times New Roman"/>
      <w:spacing w:val="20"/>
      <w:sz w:val="18"/>
      <w:szCs w:val="18"/>
    </w:rPr>
  </w:style>
  <w:style w:type="character" w:customStyle="1" w:styleId="aff4">
    <w:name w:val="页眉 字符"/>
    <w:link w:val="aff3"/>
    <w:qFormat/>
    <w:rPr>
      <w:rFonts w:ascii="Times New Roman" w:eastAsia="宋体" w:hAnsi="Times New Roman" w:cs="Times New Roman"/>
      <w:sz w:val="18"/>
      <w:szCs w:val="18"/>
    </w:rPr>
  </w:style>
  <w:style w:type="character" w:customStyle="1" w:styleId="32">
    <w:name w:val="正文文本缩进 3 字符"/>
    <w:link w:val="31"/>
    <w:uiPriority w:val="99"/>
    <w:qFormat/>
    <w:rPr>
      <w:rFonts w:ascii="宋体" w:eastAsia="宋体" w:hAnsi="宋体" w:cs="Times New Roman"/>
      <w:sz w:val="24"/>
      <w:szCs w:val="24"/>
    </w:rPr>
  </w:style>
  <w:style w:type="paragraph" w:styleId="afff8">
    <w:name w:val="List Paragraph"/>
    <w:basedOn w:val="ab"/>
    <w:link w:val="afff9"/>
    <w:uiPriority w:val="34"/>
    <w:qFormat/>
    <w:pPr>
      <w:ind w:firstLine="420"/>
    </w:pPr>
  </w:style>
  <w:style w:type="table" w:customStyle="1" w:styleId="11">
    <w:name w:val="网格型浅色1"/>
    <w:basedOn w:val="ad"/>
    <w:uiPriority w:val="40"/>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leon">
    <w:name w:val="leon"/>
    <w:basedOn w:val="af3"/>
    <w:link w:val="leon0"/>
    <w:qFormat/>
  </w:style>
  <w:style w:type="character" w:customStyle="1" w:styleId="leon0">
    <w:name w:val="leon 字符"/>
    <w:link w:val="leon"/>
    <w:qFormat/>
    <w:rPr>
      <w:rFonts w:ascii="Times New Roman" w:eastAsia="黑体" w:hAnsi="Times New Roman" w:cs="Times New Roman"/>
      <w:szCs w:val="20"/>
    </w:rPr>
  </w:style>
  <w:style w:type="table" w:customStyle="1" w:styleId="210">
    <w:name w:val="无格式表格 21"/>
    <w:basedOn w:val="ad"/>
    <w:uiPriority w:val="42"/>
    <w:qFormat/>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0">
    <w:name w:val="无格式表格 31"/>
    <w:basedOn w:val="ad"/>
    <w:uiPriority w:val="43"/>
    <w:qFormat/>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51">
    <w:name w:val="无格式表格 51"/>
    <w:basedOn w:val="ad"/>
    <w:uiPriority w:val="45"/>
    <w:qFormat/>
    <w:tblPr/>
    <w:tblStylePr w:type="firstRow">
      <w:rPr>
        <w:rFonts w:ascii="等线 Light" w:eastAsia="等线 Light" w:hAnsi="等线 Light" w:cs="Times New Roman"/>
        <w:i/>
        <w:iCs/>
        <w:sz w:val="26"/>
      </w:rPr>
      <w:tblPr/>
      <w:tcPr>
        <w:tcBorders>
          <w:bottom w:val="single" w:sz="4" w:space="0" w:color="7F7F7F"/>
        </w:tcBorders>
        <w:shd w:val="clear" w:color="auto" w:fill="FFFFFF"/>
      </w:tcPr>
    </w:tblStylePr>
    <w:tblStylePr w:type="lastRow">
      <w:rPr>
        <w:rFonts w:ascii="等线 Light" w:eastAsia="等线 Light" w:hAnsi="等线 Light" w:cs="Times New Roman"/>
        <w:i/>
        <w:iCs/>
        <w:sz w:val="26"/>
      </w:rPr>
      <w:tblPr/>
      <w:tcPr>
        <w:tcBorders>
          <w:top w:val="single" w:sz="4" w:space="0" w:color="7F7F7F"/>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F7F7F"/>
        </w:tcBorders>
        <w:shd w:val="clear" w:color="auto" w:fill="FFFFFF"/>
      </w:tcPr>
    </w:tblStylePr>
    <w:tblStylePr w:type="lastCol">
      <w:rPr>
        <w:rFonts w:ascii="等线 Light" w:eastAsia="等线 Light" w:hAnsi="等线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10">
    <w:name w:val="网格表 1 浅色1"/>
    <w:basedOn w:val="ad"/>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1-11">
    <w:name w:val="网格表 1 浅色 - 着色 11"/>
    <w:basedOn w:val="ad"/>
    <w:uiPriority w:val="46"/>
    <w:qFormat/>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1-31">
    <w:name w:val="网格表 1 浅色 - 着色 31"/>
    <w:basedOn w:val="ad"/>
    <w:uiPriority w:val="46"/>
    <w:qFormat/>
    <w:tblP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111">
    <w:name w:val="无格式表格 11"/>
    <w:basedOn w:val="ad"/>
    <w:uiPriority w:val="41"/>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OC10">
    <w:name w:val="TOC 标题1"/>
    <w:basedOn w:val="1"/>
    <w:next w:val="ab"/>
    <w:uiPriority w:val="39"/>
    <w:unhideWhenUsed/>
    <w:qFormat/>
    <w:pPr>
      <w:numPr>
        <w:numId w:val="0"/>
      </w:numPr>
      <w:spacing w:beforeLines="0" w:afterLines="0" w:line="259" w:lineRule="auto"/>
      <w:jc w:val="left"/>
      <w:outlineLvl w:val="9"/>
    </w:pPr>
    <w:rPr>
      <w:rFonts w:ascii="等线 Light" w:eastAsia="等线 Light" w:hAnsi="等线 Light"/>
      <w:bCs w:val="0"/>
      <w:color w:val="2F5496"/>
      <w:kern w:val="0"/>
      <w:szCs w:val="32"/>
    </w:rPr>
  </w:style>
  <w:style w:type="paragraph" w:customStyle="1" w:styleId="afffa">
    <w:name w:val="表头样式"/>
    <w:basedOn w:val="ab"/>
    <w:link w:val="Char"/>
    <w:qFormat/>
    <w:pPr>
      <w:widowControl w:val="0"/>
      <w:spacing w:line="240" w:lineRule="auto"/>
    </w:pPr>
    <w:rPr>
      <w:b/>
      <w:sz w:val="21"/>
    </w:rPr>
  </w:style>
  <w:style w:type="character" w:customStyle="1" w:styleId="Char">
    <w:name w:val="表头样式 Char"/>
    <w:link w:val="afffa"/>
    <w:qFormat/>
    <w:rPr>
      <w:rFonts w:ascii="Times New Roman" w:eastAsia="宋体" w:hAnsi="Times New Roman" w:cs="Times New Roman"/>
      <w:b/>
    </w:rPr>
  </w:style>
  <w:style w:type="paragraph" w:customStyle="1" w:styleId="Afffb">
    <w:name w:val="A正文"/>
    <w:basedOn w:val="ab"/>
    <w:link w:val="ACharChar"/>
    <w:qFormat/>
    <w:pPr>
      <w:widowControl w:val="0"/>
    </w:pPr>
    <w:rPr>
      <w:szCs w:val="24"/>
    </w:rPr>
  </w:style>
  <w:style w:type="character" w:customStyle="1" w:styleId="ACharChar">
    <w:name w:val="A正文 Char Char"/>
    <w:link w:val="Afffb"/>
    <w:qFormat/>
    <w:rPr>
      <w:kern w:val="2"/>
      <w:sz w:val="24"/>
      <w:szCs w:val="24"/>
    </w:rPr>
  </w:style>
  <w:style w:type="paragraph" w:customStyle="1" w:styleId="afffc">
    <w:name w:val="表格文字"/>
    <w:basedOn w:val="ab"/>
    <w:link w:val="Char0"/>
    <w:qFormat/>
    <w:locked/>
    <w:pPr>
      <w:widowControl w:val="0"/>
      <w:autoSpaceDE w:val="0"/>
      <w:autoSpaceDN w:val="0"/>
      <w:adjustRightInd w:val="0"/>
    </w:pPr>
    <w:rPr>
      <w:snapToGrid w:val="0"/>
      <w:kern w:val="0"/>
      <w:sz w:val="21"/>
    </w:rPr>
  </w:style>
  <w:style w:type="character" w:customStyle="1" w:styleId="Char0">
    <w:name w:val="表格文字 Char"/>
    <w:link w:val="afffc"/>
    <w:qFormat/>
    <w:rPr>
      <w:rFonts w:ascii="Times New Roman" w:eastAsia="宋体" w:hAnsi="Times New Roman" w:cs="Times New Roman"/>
      <w:snapToGrid w:val="0"/>
      <w:kern w:val="0"/>
    </w:rPr>
  </w:style>
  <w:style w:type="character" w:customStyle="1" w:styleId="12">
    <w:name w:val="未处理的提及1"/>
    <w:uiPriority w:val="99"/>
    <w:semiHidden/>
    <w:unhideWhenUsed/>
    <w:qFormat/>
    <w:rPr>
      <w:color w:val="605E5C"/>
      <w:shd w:val="clear" w:color="auto" w:fill="E1DFDD"/>
    </w:rPr>
  </w:style>
  <w:style w:type="paragraph" w:customStyle="1" w:styleId="MY">
    <w:name w:val="MY 表格文字"/>
    <w:next w:val="ab"/>
    <w:qFormat/>
    <w:pPr>
      <w:adjustRightInd w:val="0"/>
      <w:snapToGrid w:val="0"/>
      <w:jc w:val="both"/>
    </w:pPr>
    <w:rPr>
      <w:rFonts w:ascii="宋体"/>
      <w:kern w:val="2"/>
      <w:sz w:val="21"/>
      <w:szCs w:val="21"/>
    </w:rPr>
  </w:style>
  <w:style w:type="character" w:customStyle="1" w:styleId="25">
    <w:name w:val="未处理的提及2"/>
    <w:uiPriority w:val="99"/>
    <w:semiHidden/>
    <w:unhideWhenUsed/>
    <w:qFormat/>
    <w:rPr>
      <w:color w:val="605E5C"/>
      <w:shd w:val="clear" w:color="auto" w:fill="E1DFDD"/>
    </w:rPr>
  </w:style>
  <w:style w:type="paragraph" w:customStyle="1" w:styleId="afffd">
    <w:name w:val="表头"/>
    <w:basedOn w:val="ab"/>
    <w:link w:val="Char1"/>
    <w:qFormat/>
    <w:pPr>
      <w:widowControl w:val="0"/>
      <w:adjustRightInd w:val="0"/>
      <w:ind w:firstLineChars="0" w:firstLine="0"/>
      <w:jc w:val="center"/>
    </w:pPr>
    <w:rPr>
      <w:rFonts w:eastAsia="黑体"/>
      <w:bCs/>
      <w:sz w:val="21"/>
      <w:szCs w:val="28"/>
    </w:rPr>
  </w:style>
  <w:style w:type="character" w:customStyle="1" w:styleId="Char1">
    <w:name w:val="表头 Char"/>
    <w:link w:val="afffd"/>
    <w:qFormat/>
    <w:rPr>
      <w:rFonts w:ascii="Times New Roman" w:eastAsia="黑体" w:hAnsi="Times New Roman" w:cs="Times New Roman"/>
      <w:bCs/>
      <w:szCs w:val="28"/>
    </w:rPr>
  </w:style>
  <w:style w:type="character" w:customStyle="1" w:styleId="apple-converted-space">
    <w:name w:val="apple-converted-space"/>
    <w:qFormat/>
  </w:style>
  <w:style w:type="paragraph" w:customStyle="1" w:styleId="afffe">
    <w:name w:val="表内文字"/>
    <w:basedOn w:val="ab"/>
    <w:link w:val="Char2"/>
    <w:uiPriority w:val="99"/>
    <w:qFormat/>
    <w:pPr>
      <w:widowControl w:val="0"/>
      <w:spacing w:line="280" w:lineRule="exact"/>
      <w:jc w:val="left"/>
    </w:pPr>
    <w:rPr>
      <w:rFonts w:ascii="等线" w:eastAsia="等线" w:hAnsi="等线"/>
      <w:sz w:val="21"/>
    </w:rPr>
  </w:style>
  <w:style w:type="character" w:customStyle="1" w:styleId="Char2">
    <w:name w:val="表内文字 Char"/>
    <w:link w:val="afffe"/>
    <w:uiPriority w:val="99"/>
    <w:qFormat/>
    <w:locked/>
    <w:rPr>
      <w:rFonts w:ascii="等线" w:hAnsi="等线" w:cs="Times New Roman"/>
    </w:rPr>
  </w:style>
  <w:style w:type="character" w:customStyle="1" w:styleId="20pt">
    <w:name w:val="正文文本 (2) + 间距 0 pt"/>
    <w:qFormat/>
    <w:rPr>
      <w:rFonts w:ascii="MingLiU" w:eastAsia="MingLiU" w:hAnsi="MingLiU" w:cs="MingLiU"/>
      <w:b/>
      <w:bCs/>
      <w:color w:val="000000"/>
      <w:spacing w:val="0"/>
      <w:w w:val="100"/>
      <w:position w:val="0"/>
      <w:sz w:val="22"/>
      <w:szCs w:val="22"/>
      <w:u w:val="none"/>
      <w:lang w:val="en-US" w:eastAsia="en-US" w:bidi="en-US"/>
    </w:rPr>
  </w:style>
  <w:style w:type="character" w:customStyle="1" w:styleId="22pt">
    <w:name w:val="正文文本 (2) + 间距 2 pt"/>
    <w:qFormat/>
    <w:rPr>
      <w:rFonts w:ascii="MingLiU" w:eastAsia="MingLiU" w:hAnsi="MingLiU" w:cs="MingLiU"/>
      <w:color w:val="000000"/>
      <w:spacing w:val="40"/>
      <w:w w:val="100"/>
      <w:position w:val="0"/>
      <w:sz w:val="22"/>
      <w:szCs w:val="22"/>
      <w:u w:val="none"/>
      <w:lang w:val="zh-TW" w:eastAsia="zh-TW" w:bidi="zh-TW"/>
    </w:rPr>
  </w:style>
  <w:style w:type="paragraph" w:customStyle="1" w:styleId="affff">
    <w:name w:val="页眉页脚"/>
    <w:basedOn w:val="aff1"/>
    <w:link w:val="affff0"/>
    <w:qFormat/>
    <w:pPr>
      <w:pBdr>
        <w:top w:val="single" w:sz="4" w:space="1" w:color="auto"/>
      </w:pBdr>
      <w:tabs>
        <w:tab w:val="clear" w:pos="4153"/>
        <w:tab w:val="clear" w:pos="8306"/>
      </w:tabs>
      <w:ind w:firstLineChars="0" w:firstLine="0"/>
    </w:pPr>
    <w:rPr>
      <w:rFonts w:eastAsia="楷体_GB2312"/>
      <w:spacing w:val="0"/>
      <w:sz w:val="21"/>
      <w:szCs w:val="21"/>
    </w:rPr>
  </w:style>
  <w:style w:type="character" w:customStyle="1" w:styleId="affff0">
    <w:name w:val="页眉页脚 字符"/>
    <w:link w:val="affff"/>
    <w:qFormat/>
    <w:rPr>
      <w:rFonts w:ascii="Times New Roman" w:eastAsia="楷体_GB2312" w:hAnsi="Times New Roman" w:cs="Times New Roman"/>
      <w:spacing w:val="20"/>
      <w:sz w:val="18"/>
      <w:szCs w:val="18"/>
    </w:rPr>
  </w:style>
  <w:style w:type="paragraph" w:customStyle="1" w:styleId="affff1">
    <w:name w:val="封面"/>
    <w:basedOn w:val="ab"/>
    <w:link w:val="affff2"/>
    <w:qFormat/>
    <w:pPr>
      <w:widowControl w:val="0"/>
      <w:adjustRightInd w:val="0"/>
      <w:snapToGrid w:val="0"/>
      <w:spacing w:beforeLines="50" w:before="50"/>
    </w:pPr>
    <w:rPr>
      <w:b/>
      <w:kern w:val="0"/>
      <w:sz w:val="32"/>
      <w:szCs w:val="32"/>
    </w:rPr>
  </w:style>
  <w:style w:type="character" w:customStyle="1" w:styleId="affff2">
    <w:name w:val="封面 字符"/>
    <w:link w:val="affff1"/>
    <w:qFormat/>
    <w:rPr>
      <w:rFonts w:ascii="Times New Roman" w:eastAsia="宋体" w:hAnsi="Times New Roman" w:cs="Times New Roman"/>
      <w:b/>
      <w:kern w:val="0"/>
      <w:sz w:val="32"/>
      <w:szCs w:val="32"/>
    </w:rPr>
  </w:style>
  <w:style w:type="paragraph" w:customStyle="1" w:styleId="0N">
    <w:name w:val="0N"/>
    <w:uiPriority w:val="99"/>
    <w:qFormat/>
    <w:pPr>
      <w:spacing w:line="360" w:lineRule="auto"/>
      <w:ind w:firstLineChars="200" w:firstLine="200"/>
      <w:jc w:val="both"/>
    </w:pPr>
    <w:rPr>
      <w:kern w:val="2"/>
      <w:sz w:val="24"/>
      <w:szCs w:val="24"/>
    </w:rPr>
  </w:style>
  <w:style w:type="paragraph" w:customStyle="1" w:styleId="Style74">
    <w:name w:val="_Style 74"/>
    <w:basedOn w:val="ab"/>
    <w:next w:val="ab"/>
    <w:qFormat/>
    <w:pPr>
      <w:pBdr>
        <w:bottom w:val="single" w:sz="6" w:space="1" w:color="auto"/>
      </w:pBdr>
      <w:jc w:val="center"/>
    </w:pPr>
    <w:rPr>
      <w:rFonts w:ascii="Arial"/>
      <w:vanish/>
      <w:sz w:val="16"/>
    </w:rPr>
  </w:style>
  <w:style w:type="paragraph" w:customStyle="1" w:styleId="Style75">
    <w:name w:val="_Style 75"/>
    <w:basedOn w:val="ab"/>
    <w:next w:val="ab"/>
    <w:qFormat/>
    <w:pPr>
      <w:pBdr>
        <w:top w:val="single" w:sz="6" w:space="1" w:color="auto"/>
      </w:pBdr>
      <w:jc w:val="center"/>
    </w:pPr>
    <w:rPr>
      <w:rFonts w:ascii="Arial"/>
      <w:vanish/>
      <w:sz w:val="16"/>
    </w:rPr>
  </w:style>
  <w:style w:type="paragraph" w:customStyle="1" w:styleId="GM">
    <w:name w:val="GM表头"/>
    <w:uiPriority w:val="99"/>
    <w:qFormat/>
    <w:pPr>
      <w:jc w:val="center"/>
    </w:pPr>
    <w:rPr>
      <w:rFonts w:eastAsia="黑体"/>
      <w:sz w:val="24"/>
    </w:rPr>
  </w:style>
  <w:style w:type="paragraph" w:customStyle="1" w:styleId="lyq1">
    <w:name w:val="表格标题lyq1"/>
    <w:basedOn w:val="ab"/>
    <w:uiPriority w:val="99"/>
    <w:qFormat/>
    <w:pPr>
      <w:widowControl w:val="0"/>
      <w:spacing w:line="300" w:lineRule="auto"/>
      <w:jc w:val="center"/>
    </w:pPr>
    <w:rPr>
      <w:rFonts w:cs="宋体"/>
      <w:b/>
      <w:bCs/>
      <w:szCs w:val="20"/>
    </w:rPr>
  </w:style>
  <w:style w:type="paragraph" w:customStyle="1" w:styleId="lyq">
    <w:name w:val="表格lyq"/>
    <w:basedOn w:val="ab"/>
    <w:uiPriority w:val="99"/>
    <w:qFormat/>
    <w:pPr>
      <w:widowControl w:val="0"/>
      <w:adjustRightInd w:val="0"/>
      <w:spacing w:line="360" w:lineRule="exact"/>
      <w:jc w:val="center"/>
      <w:textAlignment w:val="center"/>
    </w:pPr>
    <w:rPr>
      <w:kern w:val="0"/>
      <w:sz w:val="21"/>
      <w:szCs w:val="20"/>
    </w:rPr>
  </w:style>
  <w:style w:type="paragraph" w:customStyle="1" w:styleId="affff3">
    <w:name w:val="表格内容样式"/>
    <w:basedOn w:val="ab"/>
    <w:uiPriority w:val="99"/>
    <w:qFormat/>
    <w:pPr>
      <w:jc w:val="center"/>
    </w:pPr>
  </w:style>
  <w:style w:type="paragraph" w:customStyle="1" w:styleId="TableParagraph">
    <w:name w:val="Table Paragraph"/>
    <w:basedOn w:val="ab"/>
    <w:link w:val="TableParagraphChar"/>
    <w:uiPriority w:val="1"/>
    <w:qFormat/>
    <w:rPr>
      <w:rFonts w:ascii="宋体" w:hAnsi="宋体" w:cs="宋体"/>
      <w:szCs w:val="24"/>
      <w:lang w:val="zh-CN" w:bidi="zh-CN"/>
    </w:rPr>
  </w:style>
  <w:style w:type="character" w:customStyle="1" w:styleId="font51">
    <w:name w:val="font51"/>
    <w:qFormat/>
    <w:rPr>
      <w:rFonts w:ascii="Times New Roman" w:hAnsi="Times New Roman" w:cs="Times New Roman" w:hint="default"/>
      <w:b/>
      <w:color w:val="000000"/>
      <w:sz w:val="22"/>
      <w:szCs w:val="22"/>
      <w:u w:val="none"/>
    </w:rPr>
  </w:style>
  <w:style w:type="character" w:customStyle="1" w:styleId="font61">
    <w:name w:val="font61"/>
    <w:qFormat/>
    <w:rPr>
      <w:rFonts w:ascii="宋体" w:eastAsia="宋体" w:hAnsi="宋体" w:cs="宋体" w:hint="eastAsia"/>
      <w:b/>
      <w:color w:val="000000"/>
      <w:sz w:val="22"/>
      <w:szCs w:val="22"/>
      <w:u w:val="none"/>
    </w:rPr>
  </w:style>
  <w:style w:type="character" w:customStyle="1" w:styleId="font31">
    <w:name w:val="font31"/>
    <w:qFormat/>
    <w:rPr>
      <w:rFonts w:ascii="Times New Roman" w:hAnsi="Times New Roman" w:cs="Times New Roman" w:hint="default"/>
      <w:color w:val="000000"/>
      <w:sz w:val="22"/>
      <w:szCs w:val="22"/>
      <w:u w:val="none"/>
    </w:rPr>
  </w:style>
  <w:style w:type="character" w:customStyle="1" w:styleId="font21">
    <w:name w:val="font21"/>
    <w:qFormat/>
    <w:rPr>
      <w:rFonts w:ascii="宋体" w:eastAsia="宋体" w:hAnsi="宋体" w:cs="宋体" w:hint="eastAsia"/>
      <w:color w:val="000000"/>
      <w:sz w:val="22"/>
      <w:szCs w:val="22"/>
      <w:u w:val="none"/>
    </w:rPr>
  </w:style>
  <w:style w:type="character" w:customStyle="1" w:styleId="af8">
    <w:name w:val="批注文字 字符"/>
    <w:link w:val="af7"/>
    <w:uiPriority w:val="99"/>
    <w:qFormat/>
    <w:rPr>
      <w:rFonts w:cs="Times New Roman"/>
      <w:kern w:val="2"/>
      <w:sz w:val="24"/>
      <w:szCs w:val="21"/>
    </w:rPr>
  </w:style>
  <w:style w:type="character" w:customStyle="1" w:styleId="affd">
    <w:name w:val="批注主题 字符"/>
    <w:link w:val="affc"/>
    <w:uiPriority w:val="99"/>
    <w:semiHidden/>
    <w:qFormat/>
    <w:rPr>
      <w:rFonts w:cs="Times New Roman"/>
      <w:b/>
      <w:bCs/>
      <w:kern w:val="2"/>
      <w:sz w:val="24"/>
      <w:szCs w:val="21"/>
    </w:rPr>
  </w:style>
  <w:style w:type="paragraph" w:customStyle="1" w:styleId="Table">
    <w:name w:val="Table"/>
    <w:basedOn w:val="ab"/>
    <w:next w:val="ab"/>
    <w:qFormat/>
    <w:pPr>
      <w:widowControl w:val="0"/>
      <w:adjustRightInd w:val="0"/>
      <w:spacing w:line="240" w:lineRule="auto"/>
      <w:ind w:firstLineChars="0" w:firstLine="0"/>
      <w:jc w:val="center"/>
    </w:pPr>
    <w:rPr>
      <w:color w:val="000000"/>
      <w:kern w:val="0"/>
      <w:szCs w:val="20"/>
    </w:rPr>
  </w:style>
  <w:style w:type="table" w:customStyle="1" w:styleId="41">
    <w:name w:val="网格型4"/>
    <w:basedOn w:val="ad"/>
    <w:uiPriority w:val="39"/>
    <w:qFormat/>
    <w:rPr>
      <w:rFonts w:ascii="等线" w:eastAsia="等线" w:hAnsi="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4">
    <w:name w:val="表"/>
    <w:basedOn w:val="ab"/>
    <w:qFormat/>
    <w:pPr>
      <w:widowControl w:val="0"/>
      <w:adjustRightInd w:val="0"/>
      <w:spacing w:before="120" w:after="60"/>
      <w:ind w:firstLineChars="0" w:firstLine="0"/>
      <w:jc w:val="center"/>
    </w:pPr>
    <w:rPr>
      <w:color w:val="000000"/>
      <w:kern w:val="0"/>
      <w:szCs w:val="20"/>
    </w:rPr>
  </w:style>
  <w:style w:type="table" w:customStyle="1" w:styleId="52">
    <w:name w:val="网格型5"/>
    <w:basedOn w:val="ad"/>
    <w:uiPriority w:val="39"/>
    <w:qFormat/>
    <w:rPr>
      <w:rFonts w:ascii="等线" w:eastAsia="等线" w:hAnsi="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5">
    <w:name w:val="Placeholder Text"/>
    <w:uiPriority w:val="99"/>
    <w:semiHidden/>
    <w:qFormat/>
    <w:rPr>
      <w:color w:val="808080"/>
    </w:rPr>
  </w:style>
  <w:style w:type="table" w:customStyle="1" w:styleId="91">
    <w:name w:val="网格型9"/>
    <w:basedOn w:val="ad"/>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8">
    <w:name w:val="脚注文本 字符"/>
    <w:link w:val="aff7"/>
    <w:uiPriority w:val="99"/>
    <w:semiHidden/>
    <w:qFormat/>
    <w:rPr>
      <w:rFonts w:cs="Times New Roman"/>
      <w:kern w:val="2"/>
      <w:sz w:val="18"/>
      <w:szCs w:val="1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6">
    <w:name w:val="副标题 字符"/>
    <w:link w:val="aff5"/>
    <w:qFormat/>
    <w:rPr>
      <w:rFonts w:ascii="Cambria" w:hAnsi="Cambria"/>
      <w:b/>
      <w:bCs/>
      <w:kern w:val="28"/>
      <w:sz w:val="32"/>
      <w:szCs w:val="32"/>
    </w:rPr>
  </w:style>
  <w:style w:type="character" w:customStyle="1" w:styleId="affb">
    <w:name w:val="标题 字符"/>
    <w:link w:val="affa"/>
    <w:qFormat/>
    <w:rPr>
      <w:rFonts w:ascii="Cambria" w:hAnsi="Cambria"/>
      <w:b/>
      <w:bCs/>
      <w:sz w:val="32"/>
      <w:szCs w:val="32"/>
    </w:rPr>
  </w:style>
  <w:style w:type="character" w:customStyle="1" w:styleId="affff6">
    <w:name w:val="明显引用 字符"/>
    <w:link w:val="affff7"/>
    <w:qFormat/>
    <w:rPr>
      <w:b/>
      <w:bCs/>
      <w:i/>
      <w:iCs/>
      <w:color w:val="4F81BD"/>
      <w:kern w:val="2"/>
      <w:sz w:val="21"/>
      <w:szCs w:val="24"/>
    </w:rPr>
  </w:style>
  <w:style w:type="paragraph" w:styleId="affff7">
    <w:name w:val="Intense Quote"/>
    <w:basedOn w:val="ab"/>
    <w:next w:val="ab"/>
    <w:link w:val="affff6"/>
    <w:qFormat/>
    <w:pPr>
      <w:widowControl w:val="0"/>
      <w:pBdr>
        <w:bottom w:val="single" w:sz="4" w:space="4" w:color="4F81BD"/>
      </w:pBdr>
      <w:spacing w:before="200" w:after="280" w:line="240" w:lineRule="auto"/>
      <w:ind w:left="936" w:right="936" w:firstLineChars="0" w:firstLine="0"/>
    </w:pPr>
    <w:rPr>
      <w:b/>
      <w:bCs/>
      <w:i/>
      <w:iCs/>
      <w:color w:val="4F81BD"/>
      <w:sz w:val="21"/>
      <w:szCs w:val="24"/>
    </w:rPr>
  </w:style>
  <w:style w:type="character" w:customStyle="1" w:styleId="13">
    <w:name w:val="明显引用 字符1"/>
    <w:uiPriority w:val="99"/>
    <w:qFormat/>
    <w:rPr>
      <w:rFonts w:cs="Times New Roman"/>
      <w:i/>
      <w:iCs/>
      <w:color w:val="4472C4"/>
      <w:kern w:val="2"/>
      <w:sz w:val="24"/>
      <w:szCs w:val="21"/>
    </w:rPr>
  </w:style>
  <w:style w:type="character" w:customStyle="1" w:styleId="affff8">
    <w:name w:val="引用 字符"/>
    <w:link w:val="affff9"/>
    <w:qFormat/>
    <w:rPr>
      <w:i/>
      <w:iCs/>
      <w:color w:val="000000"/>
      <w:kern w:val="2"/>
      <w:sz w:val="21"/>
      <w:szCs w:val="24"/>
    </w:rPr>
  </w:style>
  <w:style w:type="paragraph" w:styleId="affff9">
    <w:name w:val="Quote"/>
    <w:basedOn w:val="ab"/>
    <w:next w:val="ab"/>
    <w:link w:val="affff8"/>
    <w:qFormat/>
    <w:pPr>
      <w:widowControl w:val="0"/>
      <w:spacing w:line="240" w:lineRule="auto"/>
      <w:ind w:firstLineChars="0" w:firstLine="0"/>
    </w:pPr>
    <w:rPr>
      <w:i/>
      <w:iCs/>
      <w:color w:val="000000"/>
      <w:sz w:val="21"/>
      <w:szCs w:val="24"/>
    </w:rPr>
  </w:style>
  <w:style w:type="character" w:customStyle="1" w:styleId="14">
    <w:name w:val="引用 字符1"/>
    <w:uiPriority w:val="99"/>
    <w:qFormat/>
    <w:rPr>
      <w:rFonts w:cs="Times New Roman"/>
      <w:i/>
      <w:iCs/>
      <w:color w:val="404040"/>
      <w:kern w:val="2"/>
      <w:sz w:val="24"/>
      <w:szCs w:val="21"/>
    </w:rPr>
  </w:style>
  <w:style w:type="character" w:customStyle="1" w:styleId="CharChar">
    <w:name w:val="表格文字 Char Char"/>
    <w:qFormat/>
    <w:locked/>
    <w:rPr>
      <w:rFonts w:ascii="楷体_GB2312" w:eastAsia="楷体_GB2312"/>
      <w:kern w:val="24"/>
      <w:sz w:val="24"/>
      <w:szCs w:val="24"/>
      <w:lang w:bidi="ar-SA"/>
    </w:rPr>
  </w:style>
  <w:style w:type="paragraph" w:customStyle="1" w:styleId="15">
    <w:name w:val="列表段落1"/>
    <w:basedOn w:val="ab"/>
    <w:qFormat/>
    <w:pPr>
      <w:widowControl w:val="0"/>
      <w:spacing w:line="240" w:lineRule="auto"/>
      <w:ind w:firstLine="420"/>
    </w:pPr>
    <w:rPr>
      <w:rFonts w:cs="Calibri"/>
      <w:sz w:val="21"/>
    </w:rPr>
  </w:style>
  <w:style w:type="paragraph" w:customStyle="1" w:styleId="p0">
    <w:name w:val="p0"/>
    <w:basedOn w:val="ab"/>
    <w:qFormat/>
    <w:pPr>
      <w:spacing w:line="240" w:lineRule="auto"/>
      <w:ind w:firstLineChars="0" w:firstLine="0"/>
    </w:pPr>
    <w:rPr>
      <w:kern w:val="0"/>
      <w:sz w:val="21"/>
    </w:rPr>
  </w:style>
  <w:style w:type="character" w:customStyle="1" w:styleId="afe">
    <w:name w:val="日期 字符"/>
    <w:link w:val="afd"/>
    <w:uiPriority w:val="99"/>
    <w:semiHidden/>
    <w:qFormat/>
    <w:rPr>
      <w:kern w:val="2"/>
      <w:sz w:val="24"/>
      <w:szCs w:val="21"/>
    </w:rPr>
  </w:style>
  <w:style w:type="paragraph" w:customStyle="1" w:styleId="BIGBOLD">
    <w:name w:val="BIG BOLD"/>
    <w:basedOn w:val="ab"/>
    <w:qFormat/>
    <w:pPr>
      <w:widowControl w:val="0"/>
      <w:tabs>
        <w:tab w:val="left" w:leader="underscore" w:pos="1134"/>
      </w:tabs>
      <w:spacing w:line="240" w:lineRule="auto"/>
      <w:ind w:firstLineChars="0" w:firstLine="0"/>
    </w:pPr>
    <w:rPr>
      <w:sz w:val="21"/>
      <w:szCs w:val="20"/>
    </w:rPr>
  </w:style>
  <w:style w:type="character" w:customStyle="1" w:styleId="afff9">
    <w:name w:val="列表段落 字符"/>
    <w:link w:val="afff8"/>
    <w:qFormat/>
    <w:locked/>
    <w:rPr>
      <w:kern w:val="2"/>
      <w:sz w:val="24"/>
      <w:szCs w:val="21"/>
    </w:rPr>
  </w:style>
  <w:style w:type="character" w:customStyle="1" w:styleId="TableText">
    <w:name w:val="Table Text 字符"/>
    <w:link w:val="TableText0"/>
    <w:qFormat/>
    <w:locked/>
    <w:rPr>
      <w:sz w:val="24"/>
    </w:rPr>
  </w:style>
  <w:style w:type="paragraph" w:customStyle="1" w:styleId="TableText0">
    <w:name w:val="Table Text"/>
    <w:basedOn w:val="ab"/>
    <w:link w:val="TableText"/>
    <w:qFormat/>
    <w:pPr>
      <w:widowControl w:val="0"/>
      <w:adjustRightInd w:val="0"/>
      <w:ind w:firstLineChars="0" w:firstLine="0"/>
      <w:jc w:val="center"/>
    </w:pPr>
    <w:rPr>
      <w:kern w:val="0"/>
      <w:szCs w:val="20"/>
    </w:rPr>
  </w:style>
  <w:style w:type="character" w:customStyle="1" w:styleId="affffa">
    <w:name w:val="图例 字符"/>
    <w:link w:val="affffb"/>
    <w:qFormat/>
    <w:locked/>
    <w:rPr>
      <w:rFonts w:eastAsia="黑体"/>
      <w:sz w:val="24"/>
      <w:szCs w:val="24"/>
    </w:rPr>
  </w:style>
  <w:style w:type="paragraph" w:customStyle="1" w:styleId="affffb">
    <w:name w:val="图例"/>
    <w:basedOn w:val="ab"/>
    <w:link w:val="affffa"/>
    <w:qFormat/>
    <w:pPr>
      <w:widowControl w:val="0"/>
      <w:adjustRightInd w:val="0"/>
      <w:spacing w:before="120" w:after="120" w:line="360" w:lineRule="atLeast"/>
      <w:ind w:firstLineChars="0" w:firstLine="0"/>
      <w:jc w:val="center"/>
    </w:pPr>
    <w:rPr>
      <w:rFonts w:eastAsia="黑体"/>
      <w:kern w:val="0"/>
      <w:szCs w:val="24"/>
    </w:rPr>
  </w:style>
  <w:style w:type="table" w:customStyle="1" w:styleId="26">
    <w:name w:val="网格型2"/>
    <w:basedOn w:val="ad"/>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4">
    <w:name w:val="正文文本缩进 2 字符"/>
    <w:link w:val="23"/>
    <w:uiPriority w:val="99"/>
    <w:semiHidden/>
    <w:qFormat/>
    <w:rPr>
      <w:kern w:val="2"/>
      <w:sz w:val="24"/>
      <w:szCs w:val="21"/>
    </w:rPr>
  </w:style>
  <w:style w:type="paragraph" w:customStyle="1" w:styleId="affffc">
    <w:name w:val="表格居中"/>
    <w:basedOn w:val="ab"/>
    <w:link w:val="Char3"/>
    <w:qFormat/>
    <w:pPr>
      <w:widowControl w:val="0"/>
      <w:spacing w:line="320" w:lineRule="exact"/>
      <w:ind w:firstLineChars="0" w:firstLine="0"/>
      <w:jc w:val="center"/>
    </w:pPr>
    <w:rPr>
      <w:sz w:val="21"/>
    </w:rPr>
  </w:style>
  <w:style w:type="character" w:customStyle="1" w:styleId="Char3">
    <w:name w:val="表格居中 Char"/>
    <w:link w:val="affffc"/>
    <w:qFormat/>
    <w:rPr>
      <w:kern w:val="2"/>
      <w:sz w:val="21"/>
      <w:szCs w:val="21"/>
    </w:rPr>
  </w:style>
  <w:style w:type="character" w:customStyle="1" w:styleId="afc">
    <w:name w:val="纯文本 字符"/>
    <w:link w:val="afb"/>
    <w:qFormat/>
    <w:rPr>
      <w:rFonts w:ascii="宋体" w:hAnsi="Courier New"/>
      <w:kern w:val="2"/>
      <w:sz w:val="21"/>
    </w:rPr>
  </w:style>
  <w:style w:type="character" w:customStyle="1" w:styleId="311">
    <w:name w:val="标题 3 字符1"/>
    <w:semiHidden/>
    <w:qFormat/>
    <w:locked/>
    <w:rPr>
      <w:sz w:val="32"/>
      <w:szCs w:val="32"/>
      <w:lang w:val="zh-CN" w:eastAsia="zh-CN"/>
    </w:rPr>
  </w:style>
  <w:style w:type="character" w:customStyle="1" w:styleId="CharChar0">
    <w:name w:val="预评价正文 Char Char"/>
    <w:link w:val="affffd"/>
    <w:qFormat/>
    <w:locked/>
    <w:rPr>
      <w:rFonts w:ascii="宋体" w:hAnsi="宋体"/>
      <w:sz w:val="24"/>
      <w:szCs w:val="24"/>
    </w:rPr>
  </w:style>
  <w:style w:type="paragraph" w:customStyle="1" w:styleId="affffd">
    <w:name w:val="预评价正文"/>
    <w:basedOn w:val="ab"/>
    <w:link w:val="CharChar0"/>
    <w:qFormat/>
    <w:pPr>
      <w:widowControl w:val="0"/>
      <w:adjustRightInd w:val="0"/>
      <w:snapToGrid w:val="0"/>
    </w:pPr>
    <w:rPr>
      <w:rFonts w:ascii="宋体" w:hAnsi="宋体"/>
      <w:kern w:val="0"/>
      <w:szCs w:val="24"/>
    </w:rPr>
  </w:style>
  <w:style w:type="paragraph" w:customStyle="1" w:styleId="msonormal0">
    <w:name w:val="msonormal"/>
    <w:basedOn w:val="ab"/>
    <w:qFormat/>
    <w:pPr>
      <w:spacing w:before="100" w:beforeAutospacing="1" w:after="100" w:afterAutospacing="1" w:line="240" w:lineRule="auto"/>
      <w:ind w:firstLineChars="0" w:firstLine="0"/>
      <w:jc w:val="left"/>
    </w:pPr>
    <w:rPr>
      <w:rFonts w:ascii="宋体" w:hAnsi="宋体" w:cs="宋体"/>
      <w:kern w:val="0"/>
      <w:szCs w:val="24"/>
    </w:rPr>
  </w:style>
  <w:style w:type="paragraph" w:customStyle="1" w:styleId="font5">
    <w:name w:val="font5"/>
    <w:basedOn w:val="ab"/>
    <w:qFormat/>
    <w:pPr>
      <w:spacing w:before="100" w:beforeAutospacing="1" w:after="100" w:afterAutospacing="1" w:line="240" w:lineRule="auto"/>
      <w:ind w:firstLineChars="0" w:firstLine="0"/>
      <w:jc w:val="left"/>
    </w:pPr>
    <w:rPr>
      <w:color w:val="000000"/>
      <w:kern w:val="0"/>
      <w:sz w:val="22"/>
      <w:szCs w:val="22"/>
    </w:rPr>
  </w:style>
  <w:style w:type="paragraph" w:customStyle="1" w:styleId="font6">
    <w:name w:val="font6"/>
    <w:basedOn w:val="ab"/>
    <w:qFormat/>
    <w:pPr>
      <w:spacing w:before="100" w:beforeAutospacing="1" w:after="100" w:afterAutospacing="1" w:line="240" w:lineRule="auto"/>
      <w:ind w:firstLineChars="0" w:firstLine="0"/>
      <w:jc w:val="left"/>
    </w:pPr>
    <w:rPr>
      <w:color w:val="000000"/>
      <w:kern w:val="0"/>
      <w:sz w:val="18"/>
      <w:szCs w:val="18"/>
    </w:rPr>
  </w:style>
  <w:style w:type="paragraph" w:customStyle="1" w:styleId="font7">
    <w:name w:val="font7"/>
    <w:basedOn w:val="ab"/>
    <w:qFormat/>
    <w:pPr>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8">
    <w:name w:val="font8"/>
    <w:basedOn w:val="ab"/>
    <w:qFormat/>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font9">
    <w:name w:val="font9"/>
    <w:basedOn w:val="ab"/>
    <w:qFormat/>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font10">
    <w:name w:val="font10"/>
    <w:basedOn w:val="ab"/>
    <w:qFormat/>
    <w:pPr>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64">
    <w:name w:val="xl64"/>
    <w:basedOn w:val="ab"/>
    <w:qFormat/>
    <w:pPr>
      <w:spacing w:before="100" w:beforeAutospacing="1" w:after="100" w:afterAutospacing="1" w:line="240" w:lineRule="auto"/>
      <w:ind w:firstLineChars="0" w:firstLine="0"/>
      <w:jc w:val="center"/>
    </w:pPr>
    <w:rPr>
      <w:rFonts w:ascii="宋体" w:hAnsi="宋体" w:cs="宋体"/>
      <w:kern w:val="0"/>
      <w:szCs w:val="24"/>
    </w:rPr>
  </w:style>
  <w:style w:type="paragraph" w:customStyle="1" w:styleId="xl65">
    <w:name w:val="xl65"/>
    <w:basedOn w:val="ab"/>
    <w:qFormat/>
    <w:pPr>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66">
    <w:name w:val="xl66"/>
    <w:basedOn w:val="ab"/>
    <w:qFormat/>
    <w:pP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67">
    <w:name w:val="xl67"/>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68">
    <w:name w:val="xl68"/>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69">
    <w:name w:val="xl69"/>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kern w:val="0"/>
      <w:sz w:val="18"/>
      <w:szCs w:val="18"/>
    </w:rPr>
  </w:style>
  <w:style w:type="paragraph" w:customStyle="1" w:styleId="xl70">
    <w:name w:val="xl70"/>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kern w:val="0"/>
      <w:sz w:val="18"/>
      <w:szCs w:val="18"/>
    </w:rPr>
  </w:style>
  <w:style w:type="paragraph" w:customStyle="1" w:styleId="xl71">
    <w:name w:val="xl71"/>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 w:val="18"/>
      <w:szCs w:val="18"/>
    </w:rPr>
  </w:style>
  <w:style w:type="paragraph" w:customStyle="1" w:styleId="xl72">
    <w:name w:val="xl72"/>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73">
    <w:name w:val="xl73"/>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74">
    <w:name w:val="xl74"/>
    <w:basedOn w:val="ab"/>
    <w:qFormat/>
    <w:pPr>
      <w:pBdr>
        <w:top w:val="single" w:sz="8" w:space="0" w:color="auto"/>
        <w:left w:val="single" w:sz="8" w:space="0" w:color="auto"/>
        <w:bottom w:val="single" w:sz="8" w:space="0" w:color="auto"/>
        <w:right w:val="single" w:sz="8" w:space="0" w:color="auto"/>
      </w:pBdr>
      <w:spacing w:before="100" w:beforeAutospacing="1" w:after="100" w:afterAutospacing="1" w:line="240" w:lineRule="auto"/>
      <w:ind w:firstLineChars="0" w:firstLine="0"/>
      <w:jc w:val="center"/>
      <w:textAlignment w:val="center"/>
    </w:pPr>
    <w:rPr>
      <w:rFonts w:ascii="仿宋_GB2312" w:eastAsia="仿宋_GB2312" w:hAnsi="宋体" w:cs="宋体"/>
      <w:color w:val="000000"/>
      <w:kern w:val="0"/>
      <w:sz w:val="18"/>
      <w:szCs w:val="18"/>
    </w:rPr>
  </w:style>
  <w:style w:type="paragraph" w:customStyle="1" w:styleId="xl75">
    <w:name w:val="xl75"/>
    <w:basedOn w:val="ab"/>
    <w:qFormat/>
    <w:pPr>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76">
    <w:name w:val="xl76"/>
    <w:basedOn w:val="ab"/>
    <w:qFormat/>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77">
    <w:name w:val="xl77"/>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color w:val="000000"/>
      <w:kern w:val="0"/>
      <w:sz w:val="18"/>
      <w:szCs w:val="18"/>
    </w:rPr>
  </w:style>
  <w:style w:type="paragraph" w:customStyle="1" w:styleId="xl78">
    <w:name w:val="xl78"/>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color w:val="000000"/>
      <w:kern w:val="0"/>
      <w:szCs w:val="24"/>
    </w:rPr>
  </w:style>
  <w:style w:type="paragraph" w:customStyle="1" w:styleId="xl79">
    <w:name w:val="xl79"/>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color w:val="000000"/>
      <w:kern w:val="0"/>
      <w:szCs w:val="24"/>
    </w:rPr>
  </w:style>
  <w:style w:type="paragraph" w:customStyle="1" w:styleId="xl80">
    <w:name w:val="xl80"/>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81">
    <w:name w:val="xl81"/>
    <w:basedOn w:val="ab"/>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font0">
    <w:name w:val="font0"/>
    <w:basedOn w:val="ab"/>
    <w:qFormat/>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2TimesNewRoman">
    <w:name w:val="正文首行缩进 2 + Times New Roman"/>
    <w:basedOn w:val="ab"/>
    <w:link w:val="2TimesNewRomanChar"/>
    <w:qFormat/>
    <w:pPr>
      <w:widowControl w:val="0"/>
      <w:tabs>
        <w:tab w:val="left" w:pos="0"/>
        <w:tab w:val="left" w:pos="870"/>
        <w:tab w:val="left" w:pos="3150"/>
      </w:tabs>
      <w:autoSpaceDE w:val="0"/>
      <w:autoSpaceDN w:val="0"/>
      <w:ind w:firstLine="480"/>
      <w:jc w:val="left"/>
    </w:pPr>
    <w:rPr>
      <w:kern w:val="0"/>
      <w:szCs w:val="24"/>
    </w:rPr>
  </w:style>
  <w:style w:type="character" w:customStyle="1" w:styleId="2TimesNewRomanChar">
    <w:name w:val="正文首行缩进 2 + Times New Roman Char"/>
    <w:link w:val="2TimesNewRoman"/>
    <w:qFormat/>
    <w:rPr>
      <w:sz w:val="24"/>
      <w:szCs w:val="24"/>
    </w:rPr>
  </w:style>
  <w:style w:type="table" w:customStyle="1" w:styleId="16">
    <w:name w:val="网格型1"/>
    <w:basedOn w:val="ad"/>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7">
    <w:name w:val="正文1"/>
    <w:basedOn w:val="af9"/>
    <w:qFormat/>
    <w:pPr>
      <w:spacing w:after="0"/>
    </w:pPr>
    <w:rPr>
      <w:szCs w:val="32"/>
    </w:rPr>
  </w:style>
  <w:style w:type="table" w:customStyle="1" w:styleId="71">
    <w:name w:val="网格型7"/>
    <w:basedOn w:val="ad"/>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d"/>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e">
    <w:name w:val="表标题"/>
    <w:basedOn w:val="ab"/>
    <w:qFormat/>
    <w:pPr>
      <w:widowControl w:val="0"/>
      <w:adjustRightInd w:val="0"/>
      <w:snapToGrid w:val="0"/>
      <w:spacing w:line="240" w:lineRule="auto"/>
      <w:ind w:firstLineChars="0" w:firstLine="0"/>
      <w:jc w:val="center"/>
    </w:pPr>
    <w:rPr>
      <w:rFonts w:eastAsia="黑体"/>
      <w:kern w:val="0"/>
      <w:szCs w:val="20"/>
    </w:rPr>
  </w:style>
  <w:style w:type="paragraph" w:customStyle="1" w:styleId="afffff">
    <w:name w:val="表格正文"/>
    <w:basedOn w:val="ab"/>
    <w:next w:val="ab"/>
    <w:qFormat/>
    <w:pPr>
      <w:widowControl w:val="0"/>
      <w:tabs>
        <w:tab w:val="left" w:pos="7405"/>
      </w:tabs>
      <w:overflowPunct w:val="0"/>
      <w:autoSpaceDE w:val="0"/>
      <w:autoSpaceDN w:val="0"/>
      <w:adjustRightInd w:val="0"/>
      <w:snapToGrid w:val="0"/>
      <w:spacing w:line="520" w:lineRule="exact"/>
      <w:ind w:firstLineChars="0" w:firstLine="0"/>
      <w:jc w:val="center"/>
      <w:textAlignment w:val="baseline"/>
    </w:pPr>
    <w:rPr>
      <w:rFonts w:ascii="Calibri" w:hAnsi="Calibri"/>
      <w:kern w:val="0"/>
      <w:szCs w:val="24"/>
    </w:rPr>
  </w:style>
  <w:style w:type="paragraph" w:customStyle="1" w:styleId="18">
    <w:name w:val="修订1"/>
    <w:hidden/>
    <w:uiPriority w:val="99"/>
    <w:semiHidden/>
    <w:qFormat/>
    <w:rPr>
      <w:kern w:val="2"/>
      <w:sz w:val="24"/>
      <w:szCs w:val="21"/>
    </w:rPr>
  </w:style>
  <w:style w:type="character" w:customStyle="1" w:styleId="afffff0">
    <w:name w:val="正文 缩进 字符"/>
    <w:link w:val="afffff1"/>
    <w:qFormat/>
    <w:locked/>
    <w:rPr>
      <w:sz w:val="24"/>
    </w:rPr>
  </w:style>
  <w:style w:type="paragraph" w:customStyle="1" w:styleId="afffff1">
    <w:name w:val="正文 缩进"/>
    <w:basedOn w:val="ab"/>
    <w:link w:val="afffff0"/>
    <w:qFormat/>
    <w:pPr>
      <w:widowControl w:val="0"/>
    </w:pPr>
    <w:rPr>
      <w:kern w:val="0"/>
      <w:szCs w:val="20"/>
    </w:rPr>
  </w:style>
  <w:style w:type="table" w:customStyle="1" w:styleId="61">
    <w:name w:val="网格型6"/>
    <w:basedOn w:val="ad"/>
    <w:uiPriority w:val="39"/>
    <w:qFormat/>
    <w:rPr>
      <w:rFonts w:ascii="等线" w:eastAsia="等线" w:hAnsi="等线"/>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2">
    <w:name w:val="图例表例 字符"/>
    <w:link w:val="afffff3"/>
    <w:qFormat/>
    <w:locked/>
    <w:rPr>
      <w:b/>
      <w:color w:val="000000"/>
      <w:szCs w:val="21"/>
    </w:rPr>
  </w:style>
  <w:style w:type="paragraph" w:customStyle="1" w:styleId="afffff3">
    <w:name w:val="图例表例"/>
    <w:basedOn w:val="ab"/>
    <w:link w:val="afffff2"/>
    <w:qFormat/>
    <w:pPr>
      <w:widowControl w:val="0"/>
      <w:ind w:firstLineChars="0" w:firstLine="0"/>
      <w:jc w:val="center"/>
    </w:pPr>
    <w:rPr>
      <w:b/>
      <w:color w:val="000000"/>
      <w:kern w:val="0"/>
      <w:sz w:val="20"/>
    </w:rPr>
  </w:style>
  <w:style w:type="character" w:customStyle="1" w:styleId="afffff4">
    <w:name w:val="表内容 字符"/>
    <w:basedOn w:val="ac"/>
    <w:link w:val="afffff5"/>
    <w:qFormat/>
    <w:locked/>
  </w:style>
  <w:style w:type="paragraph" w:customStyle="1" w:styleId="afffff5">
    <w:name w:val="表内容"/>
    <w:basedOn w:val="ab"/>
    <w:link w:val="afffff4"/>
    <w:qFormat/>
    <w:pPr>
      <w:widowControl w:val="0"/>
      <w:ind w:firstLineChars="0" w:firstLine="0"/>
      <w:jc w:val="left"/>
    </w:pPr>
    <w:rPr>
      <w:kern w:val="0"/>
      <w:sz w:val="20"/>
      <w:szCs w:val="20"/>
    </w:rPr>
  </w:style>
  <w:style w:type="character" w:customStyle="1" w:styleId="af1">
    <w:name w:val="正文文本缩进 字符"/>
    <w:link w:val="af"/>
    <w:uiPriority w:val="99"/>
    <w:semiHidden/>
    <w:qFormat/>
    <w:rPr>
      <w:kern w:val="2"/>
      <w:sz w:val="24"/>
      <w:szCs w:val="21"/>
    </w:rPr>
  </w:style>
  <w:style w:type="character" w:customStyle="1" w:styleId="22">
    <w:name w:val="正文文本首行缩进 2 字符"/>
    <w:link w:val="20"/>
    <w:uiPriority w:val="99"/>
    <w:semiHidden/>
    <w:qFormat/>
    <w:rPr>
      <w:kern w:val="2"/>
      <w:sz w:val="24"/>
      <w:szCs w:val="21"/>
    </w:rPr>
  </w:style>
  <w:style w:type="paragraph" w:customStyle="1" w:styleId="xl82">
    <w:name w:val="xl82"/>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b/>
      <w:bCs/>
      <w:color w:val="000000"/>
      <w:kern w:val="0"/>
      <w:sz w:val="18"/>
      <w:szCs w:val="18"/>
    </w:rPr>
  </w:style>
  <w:style w:type="paragraph" w:customStyle="1" w:styleId="xl83">
    <w:name w:val="xl83"/>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4">
    <w:name w:val="xl84"/>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5">
    <w:name w:val="xl85"/>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6">
    <w:name w:val="xl86"/>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87">
    <w:name w:val="xl87"/>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8">
    <w:name w:val="xl88"/>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9">
    <w:name w:val="xl89"/>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0">
    <w:name w:val="xl90"/>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1">
    <w:name w:val="xl91"/>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2">
    <w:name w:val="xl92"/>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3">
    <w:name w:val="xl93"/>
    <w:basedOn w:val="ab"/>
    <w:qFormat/>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4">
    <w:name w:val="xl94"/>
    <w:basedOn w:val="ab"/>
    <w:qFormat/>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5">
    <w:name w:val="xl95"/>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6">
    <w:name w:val="xl96"/>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7">
    <w:name w:val="xl97"/>
    <w:basedOn w:val="ab"/>
    <w:qFormat/>
    <w:pPr>
      <w:pBdr>
        <w:top w:val="single" w:sz="4" w:space="0" w:color="000000"/>
        <w:left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8">
    <w:name w:val="xl98"/>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9">
    <w:name w:val="xl99"/>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0">
    <w:name w:val="xl100"/>
    <w:basedOn w:val="ab"/>
    <w:qFormat/>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101">
    <w:name w:val="xl101"/>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2">
    <w:name w:val="xl102"/>
    <w:basedOn w:val="ab"/>
    <w:qFormat/>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3">
    <w:name w:val="xl103"/>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4">
    <w:name w:val="xl104"/>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5">
    <w:name w:val="xl105"/>
    <w:basedOn w:val="ab"/>
    <w:qFormat/>
    <w:pPr>
      <w:pBdr>
        <w:top w:val="single" w:sz="4" w:space="0" w:color="000000"/>
        <w:left w:val="single" w:sz="4" w:space="0" w:color="000000"/>
        <w:bottom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6">
    <w:name w:val="xl106"/>
    <w:basedOn w:val="ab"/>
    <w:qFormat/>
    <w:pPr>
      <w:pBdr>
        <w:top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7">
    <w:name w:val="xl107"/>
    <w:basedOn w:val="ab"/>
    <w:qFormat/>
    <w:pPr>
      <w:pBdr>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8">
    <w:name w:val="xl108"/>
    <w:basedOn w:val="ab"/>
    <w:qFormat/>
    <w:pPr>
      <w:pBdr>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9">
    <w:name w:val="xl109"/>
    <w:basedOn w:val="ab"/>
    <w:qFormat/>
    <w:pPr>
      <w:spacing w:before="100" w:beforeAutospacing="1" w:after="100" w:afterAutospacing="1" w:line="240" w:lineRule="auto"/>
      <w:ind w:firstLineChars="0" w:firstLine="0"/>
      <w:jc w:val="center"/>
    </w:pPr>
    <w:rPr>
      <w:color w:val="000000"/>
      <w:kern w:val="0"/>
      <w:sz w:val="18"/>
      <w:szCs w:val="18"/>
    </w:rPr>
  </w:style>
  <w:style w:type="paragraph" w:customStyle="1" w:styleId="xl110">
    <w:name w:val="xl110"/>
    <w:basedOn w:val="ab"/>
    <w:qFormat/>
    <w:pPr>
      <w:pBdr>
        <w:top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1">
    <w:name w:val="xl111"/>
    <w:basedOn w:val="ab"/>
    <w:qFormat/>
    <w:pPr>
      <w:pBdr>
        <w:top w:val="single" w:sz="4" w:space="0" w:color="000000"/>
        <w:lef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2">
    <w:name w:val="xl112"/>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3">
    <w:name w:val="xl113"/>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14">
    <w:name w:val="xl114"/>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15">
    <w:name w:val="xl115"/>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6">
    <w:name w:val="xl116"/>
    <w:basedOn w:val="ab"/>
    <w:qFormat/>
    <w:pPr>
      <w:pBdr>
        <w:left w:val="single" w:sz="4" w:space="0" w:color="000000"/>
        <w:bottom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7">
    <w:name w:val="xl117"/>
    <w:basedOn w:val="ab"/>
    <w:qFormat/>
    <w:pPr>
      <w:pBdr>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8">
    <w:name w:val="xl118"/>
    <w:basedOn w:val="ab"/>
    <w:qFormat/>
    <w:pPr>
      <w:pBdr>
        <w:left w:val="single" w:sz="4" w:space="0" w:color="000000"/>
        <w:bottom w:val="single" w:sz="4" w:space="0" w:color="000000"/>
        <w:right w:val="double" w:sz="6"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9">
    <w:name w:val="xl119"/>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0">
    <w:name w:val="xl120"/>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1">
    <w:name w:val="xl121"/>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2">
    <w:name w:val="xl122"/>
    <w:basedOn w:val="ab"/>
    <w:qFormat/>
    <w:pPr>
      <w:pBdr>
        <w:left w:val="single" w:sz="4" w:space="0" w:color="000000"/>
        <w:bottom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3">
    <w:name w:val="xl123"/>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4">
    <w:name w:val="xl124"/>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5">
    <w:name w:val="xl125"/>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6">
    <w:name w:val="xl126"/>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7">
    <w:name w:val="xl127"/>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8">
    <w:name w:val="xl128"/>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9">
    <w:name w:val="xl129"/>
    <w:basedOn w:val="ab"/>
    <w:qFormat/>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30">
    <w:name w:val="xl130"/>
    <w:basedOn w:val="ab"/>
    <w:qFormat/>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31">
    <w:name w:val="xl131"/>
    <w:basedOn w:val="ab"/>
    <w:qFormat/>
    <w:pPr>
      <w:pBdr>
        <w:left w:val="single" w:sz="4" w:space="0" w:color="000000"/>
        <w:bottom w:val="single" w:sz="4" w:space="0" w:color="000000"/>
      </w:pBdr>
      <w:spacing w:before="100" w:beforeAutospacing="1" w:after="100" w:afterAutospacing="1" w:line="240" w:lineRule="auto"/>
      <w:ind w:firstLineChars="0" w:firstLine="0"/>
      <w:jc w:val="center"/>
    </w:pPr>
    <w:rPr>
      <w:b/>
      <w:bCs/>
      <w:kern w:val="0"/>
      <w:sz w:val="18"/>
      <w:szCs w:val="18"/>
    </w:rPr>
  </w:style>
  <w:style w:type="paragraph" w:customStyle="1" w:styleId="xl132">
    <w:name w:val="xl132"/>
    <w:basedOn w:val="ab"/>
    <w:qFormat/>
    <w:pPr>
      <w:pBdr>
        <w:left w:val="single" w:sz="4" w:space="0" w:color="000000"/>
        <w:bottom w:val="single" w:sz="4" w:space="0" w:color="000000"/>
      </w:pBdr>
      <w:spacing w:before="100" w:beforeAutospacing="1" w:after="100" w:afterAutospacing="1" w:line="240" w:lineRule="auto"/>
      <w:ind w:firstLineChars="0" w:firstLine="0"/>
      <w:jc w:val="center"/>
    </w:pPr>
    <w:rPr>
      <w:b/>
      <w:bCs/>
      <w:kern w:val="0"/>
      <w:sz w:val="18"/>
      <w:szCs w:val="18"/>
    </w:rPr>
  </w:style>
  <w:style w:type="paragraph" w:customStyle="1" w:styleId="afffff6">
    <w:name w:val="标准文件_段"/>
    <w:link w:val="Char4"/>
    <w:qFormat/>
    <w:pPr>
      <w:autoSpaceDE w:val="0"/>
      <w:autoSpaceDN w:val="0"/>
      <w:ind w:firstLineChars="200" w:firstLine="200"/>
      <w:jc w:val="both"/>
    </w:pPr>
    <w:rPr>
      <w:rFonts w:ascii="宋体"/>
      <w:sz w:val="21"/>
    </w:rPr>
  </w:style>
  <w:style w:type="paragraph" w:customStyle="1" w:styleId="a1">
    <w:name w:val="标准文件_数字编号列项（二级）"/>
    <w:qFormat/>
    <w:pPr>
      <w:numPr>
        <w:ilvl w:val="1"/>
        <w:numId w:val="4"/>
      </w:numPr>
      <w:tabs>
        <w:tab w:val="left" w:pos="851"/>
      </w:tabs>
      <w:jc w:val="both"/>
    </w:pPr>
    <w:rPr>
      <w:rFonts w:ascii="宋体"/>
      <w:sz w:val="21"/>
    </w:rPr>
  </w:style>
  <w:style w:type="paragraph" w:customStyle="1" w:styleId="a2">
    <w:name w:val="标准文件_编号列项（三级）"/>
    <w:qFormat/>
    <w:pPr>
      <w:numPr>
        <w:ilvl w:val="2"/>
        <w:numId w:val="4"/>
      </w:numPr>
      <w:tabs>
        <w:tab w:val="left" w:pos="851"/>
      </w:tabs>
    </w:pPr>
    <w:rPr>
      <w:rFonts w:ascii="宋体"/>
      <w:sz w:val="21"/>
    </w:rPr>
  </w:style>
  <w:style w:type="paragraph" w:customStyle="1" w:styleId="a0">
    <w:name w:val="标准文件_字母编号列项（一级）"/>
    <w:qFormat/>
    <w:pPr>
      <w:numPr>
        <w:numId w:val="4"/>
      </w:numPr>
      <w:jc w:val="both"/>
    </w:pPr>
    <w:rPr>
      <w:rFonts w:ascii="宋体"/>
      <w:sz w:val="21"/>
    </w:rPr>
  </w:style>
  <w:style w:type="character" w:customStyle="1" w:styleId="Char4">
    <w:name w:val="标准文件_段 Char"/>
    <w:link w:val="afffff6"/>
    <w:qFormat/>
    <w:rPr>
      <w:rFonts w:ascii="宋体"/>
      <w:sz w:val="21"/>
    </w:rPr>
  </w:style>
  <w:style w:type="paragraph" w:customStyle="1" w:styleId="a7">
    <w:name w:val="标准文件_二级条标题"/>
    <w:next w:val="ab"/>
    <w:qFormat/>
    <w:pPr>
      <w:widowControl w:val="0"/>
      <w:numPr>
        <w:ilvl w:val="3"/>
        <w:numId w:val="5"/>
      </w:numPr>
      <w:spacing w:beforeLines="50" w:afterLines="50"/>
      <w:jc w:val="both"/>
      <w:outlineLvl w:val="2"/>
    </w:pPr>
    <w:rPr>
      <w:rFonts w:ascii="黑体" w:eastAsia="黑体"/>
      <w:sz w:val="21"/>
    </w:rPr>
  </w:style>
  <w:style w:type="paragraph" w:customStyle="1" w:styleId="a8">
    <w:name w:val="标准文件_三级条标题"/>
    <w:basedOn w:val="a7"/>
    <w:next w:val="ab"/>
    <w:qFormat/>
    <w:pPr>
      <w:widowControl/>
      <w:numPr>
        <w:ilvl w:val="4"/>
      </w:numPr>
      <w:ind w:left="284"/>
      <w:outlineLvl w:val="3"/>
    </w:pPr>
  </w:style>
  <w:style w:type="paragraph" w:customStyle="1" w:styleId="a9">
    <w:name w:val="标准文件_四级条标题"/>
    <w:next w:val="ab"/>
    <w:qFormat/>
    <w:pPr>
      <w:widowControl w:val="0"/>
      <w:numPr>
        <w:ilvl w:val="5"/>
        <w:numId w:val="5"/>
      </w:numPr>
      <w:spacing w:beforeLines="50" w:afterLines="50"/>
      <w:jc w:val="both"/>
      <w:outlineLvl w:val="4"/>
    </w:pPr>
    <w:rPr>
      <w:rFonts w:ascii="黑体" w:eastAsia="黑体"/>
      <w:sz w:val="21"/>
    </w:rPr>
  </w:style>
  <w:style w:type="paragraph" w:customStyle="1" w:styleId="aa">
    <w:name w:val="标准文件_五级条标题"/>
    <w:next w:val="ab"/>
    <w:qFormat/>
    <w:pPr>
      <w:widowControl w:val="0"/>
      <w:numPr>
        <w:ilvl w:val="6"/>
        <w:numId w:val="5"/>
      </w:numPr>
      <w:spacing w:beforeLines="50" w:afterLines="50"/>
      <w:jc w:val="both"/>
      <w:outlineLvl w:val="5"/>
    </w:pPr>
    <w:rPr>
      <w:rFonts w:ascii="黑体" w:eastAsia="黑体"/>
      <w:sz w:val="21"/>
    </w:rPr>
  </w:style>
  <w:style w:type="paragraph" w:customStyle="1" w:styleId="a5">
    <w:name w:val="标准文件_章标题"/>
    <w:next w:val="ab"/>
    <w:qFormat/>
    <w:pPr>
      <w:numPr>
        <w:ilvl w:val="1"/>
        <w:numId w:val="5"/>
      </w:numPr>
      <w:spacing w:beforeLines="100" w:afterLines="100"/>
      <w:jc w:val="both"/>
      <w:outlineLvl w:val="0"/>
    </w:pPr>
    <w:rPr>
      <w:rFonts w:ascii="黑体" w:eastAsia="黑体"/>
      <w:sz w:val="21"/>
    </w:rPr>
  </w:style>
  <w:style w:type="paragraph" w:customStyle="1" w:styleId="a6">
    <w:name w:val="标准文件_一级条标题"/>
    <w:basedOn w:val="a5"/>
    <w:next w:val="ab"/>
    <w:qFormat/>
    <w:pPr>
      <w:numPr>
        <w:ilvl w:val="2"/>
      </w:numPr>
      <w:spacing w:beforeLines="50" w:afterLines="50"/>
      <w:outlineLvl w:val="1"/>
    </w:pPr>
  </w:style>
  <w:style w:type="paragraph" w:customStyle="1" w:styleId="a4">
    <w:name w:val="前言标题"/>
    <w:next w:val="ab"/>
    <w:qFormat/>
    <w:pPr>
      <w:numPr>
        <w:numId w:val="5"/>
      </w:numPr>
      <w:shd w:val="clear" w:color="auto" w:fill="FFFFFF"/>
      <w:spacing w:before="540" w:after="600"/>
      <w:jc w:val="center"/>
      <w:outlineLvl w:val="0"/>
    </w:pPr>
    <w:rPr>
      <w:rFonts w:ascii="黑体" w:eastAsia="黑体"/>
      <w:sz w:val="32"/>
    </w:rPr>
  </w:style>
  <w:style w:type="paragraph" w:customStyle="1" w:styleId="afffff7">
    <w:name w:val="标准文件_二级无标题"/>
    <w:basedOn w:val="a7"/>
    <w:qFormat/>
    <w:pPr>
      <w:spacing w:beforeLines="0" w:afterLines="0"/>
      <w:outlineLvl w:val="9"/>
    </w:pPr>
    <w:rPr>
      <w:rFonts w:ascii="宋体" w:eastAsia="宋体"/>
    </w:rPr>
  </w:style>
  <w:style w:type="character" w:customStyle="1" w:styleId="TableParagraphChar">
    <w:name w:val="Table Paragraph Char"/>
    <w:link w:val="TableParagraph"/>
    <w:uiPriority w:val="1"/>
    <w:qFormat/>
    <w:rPr>
      <w:rFonts w:ascii="宋体" w:hAnsi="宋体" w:cs="宋体"/>
      <w:kern w:val="2"/>
      <w:sz w:val="24"/>
      <w:szCs w:val="24"/>
      <w:lang w:val="zh-CN" w:bidi="zh-CN"/>
    </w:rPr>
  </w:style>
  <w:style w:type="table" w:customStyle="1" w:styleId="TableNormal">
    <w:name w:val="Table Normal"/>
    <w:uiPriority w:val="2"/>
    <w:unhideWhenUsed/>
    <w:qFormat/>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customStyle="1" w:styleId="27">
    <w:name w:val="修订2"/>
    <w:hidden/>
    <w:uiPriority w:val="99"/>
    <w:semiHidden/>
    <w:qFormat/>
    <w:rPr>
      <w:kern w:val="2"/>
      <w:sz w:val="24"/>
      <w:szCs w:val="21"/>
    </w:rPr>
  </w:style>
  <w:style w:type="paragraph" w:customStyle="1" w:styleId="nlw3">
    <w:name w:val="nlw标题3"/>
    <w:basedOn w:val="ab"/>
    <w:qFormat/>
    <w:pPr>
      <w:tabs>
        <w:tab w:val="left" w:pos="1694"/>
      </w:tabs>
      <w:adjustRightInd w:val="0"/>
      <w:snapToGrid w:val="0"/>
      <w:spacing w:beforeLines="50" w:before="120" w:after="120" w:line="520" w:lineRule="exact"/>
      <w:ind w:firstLineChars="0" w:firstLine="0"/>
      <w:outlineLvl w:val="2"/>
    </w:pPr>
    <w:rPr>
      <w:rFonts w:eastAsia="黑体"/>
      <w:bCs/>
      <w:kern w:val="0"/>
      <w:sz w:val="28"/>
      <w:szCs w:val="28"/>
    </w:rPr>
  </w:style>
  <w:style w:type="paragraph" w:customStyle="1" w:styleId="afffff8">
    <w:name w:val="+正文"/>
    <w:basedOn w:val="ab"/>
    <w:qFormat/>
    <w:pPr>
      <w:widowControl w:val="0"/>
      <w:spacing w:beforeLines="50"/>
      <w:ind w:firstLine="560"/>
      <w:jc w:val="left"/>
    </w:pPr>
    <w:rPr>
      <w:sz w:val="28"/>
      <w:szCs w:val="28"/>
    </w:rPr>
  </w:style>
  <w:style w:type="paragraph" w:customStyle="1" w:styleId="nlw">
    <w:name w:val="nlw前言内容"/>
    <w:basedOn w:val="nlw0"/>
    <w:qFormat/>
    <w:pPr>
      <w:ind w:firstLine="200"/>
    </w:pPr>
  </w:style>
  <w:style w:type="paragraph" w:customStyle="1" w:styleId="nlw0">
    <w:name w:val="nlw正文"/>
    <w:basedOn w:val="ab"/>
    <w:qFormat/>
    <w:pPr>
      <w:spacing w:line="520" w:lineRule="exact"/>
      <w:ind w:firstLine="560"/>
    </w:pPr>
    <w:rPr>
      <w:rFonts w:ascii="宋体" w:hAnsi="宋体"/>
      <w:kern w:val="0"/>
      <w:sz w:val="28"/>
      <w:szCs w:val="28"/>
      <w:lang w:val="zh-CN"/>
    </w:rPr>
  </w:style>
  <w:style w:type="paragraph" w:customStyle="1" w:styleId="19">
    <w:name w:val="列出段落1"/>
    <w:basedOn w:val="ab"/>
    <w:uiPriority w:val="34"/>
    <w:qFormat/>
    <w:pPr>
      <w:adjustRightInd w:val="0"/>
      <w:snapToGrid w:val="0"/>
      <w:spacing w:after="200"/>
      <w:ind w:firstLine="420"/>
      <w:jc w:val="left"/>
    </w:pPr>
    <w:rPr>
      <w:rFonts w:ascii="Tahoma" w:eastAsia="微软雅黑" w:hAnsi="Tahoma"/>
      <w:kern w:val="0"/>
      <w:sz w:val="22"/>
      <w:szCs w:val="22"/>
    </w:rPr>
  </w:style>
  <w:style w:type="paragraph" w:customStyle="1" w:styleId="SLCON">
    <w:name w:val="表（或图）标题 样式 宋体 五号 居中 SL CON"/>
    <w:basedOn w:val="ab"/>
    <w:qFormat/>
    <w:pPr>
      <w:tabs>
        <w:tab w:val="left" w:pos="377"/>
      </w:tabs>
      <w:spacing w:before="100" w:beforeAutospacing="1"/>
      <w:jc w:val="center"/>
    </w:pPr>
    <w:rPr>
      <w:rFonts w:ascii="宋体" w:hAnsi="宋体" w:cs="宋体"/>
      <w:b/>
      <w:kern w:val="0"/>
      <w:sz w:val="20"/>
      <w:szCs w:val="20"/>
    </w:rPr>
  </w:style>
  <w:style w:type="character" w:customStyle="1" w:styleId="font01">
    <w:name w:val="font01"/>
    <w:basedOn w:val="ac"/>
    <w:qFormat/>
    <w:rPr>
      <w:rFonts w:ascii="宋体" w:eastAsia="宋体" w:hAnsi="宋体" w:cs="宋体" w:hint="eastAsia"/>
      <w:color w:val="000000"/>
      <w:sz w:val="24"/>
      <w:szCs w:val="24"/>
      <w:u w:val="none"/>
    </w:rPr>
  </w:style>
  <w:style w:type="character" w:customStyle="1" w:styleId="font71">
    <w:name w:val="font71"/>
    <w:basedOn w:val="ac"/>
    <w:qFormat/>
    <w:rPr>
      <w:rFonts w:ascii="Times New Roman" w:hAnsi="Times New Roman" w:cs="Times New Roman" w:hint="default"/>
      <w:color w:val="000000"/>
      <w:sz w:val="21"/>
      <w:szCs w:val="21"/>
      <w:u w:val="none"/>
    </w:rPr>
  </w:style>
  <w:style w:type="character" w:customStyle="1" w:styleId="font81">
    <w:name w:val="font81"/>
    <w:basedOn w:val="ac"/>
    <w:qFormat/>
    <w:rPr>
      <w:rFonts w:ascii="Times New Roman" w:hAnsi="Times New Roman" w:cs="Times New Roman" w:hint="default"/>
      <w:color w:val="000000"/>
      <w:sz w:val="21"/>
      <w:szCs w:val="21"/>
      <w:u w:val="none"/>
      <w:vertAlign w:val="superscript"/>
    </w:rPr>
  </w:style>
  <w:style w:type="character" w:customStyle="1" w:styleId="font11">
    <w:name w:val="font11"/>
    <w:basedOn w:val="ac"/>
    <w:qFormat/>
    <w:rPr>
      <w:rFonts w:ascii="宋体" w:eastAsia="宋体" w:hAnsi="宋体" w:cs="宋体" w:hint="eastAsia"/>
      <w:color w:val="000000"/>
      <w:sz w:val="21"/>
      <w:szCs w:val="21"/>
      <w:u w:val="none"/>
    </w:rPr>
  </w:style>
  <w:style w:type="paragraph" w:customStyle="1" w:styleId="nlw1">
    <w:name w:val="nlw表头和图"/>
    <w:basedOn w:val="nlw2"/>
    <w:qFormat/>
    <w:pPr>
      <w:spacing w:afterLines="50" w:line="520" w:lineRule="exact"/>
      <w:ind w:left="-141"/>
      <w:jc w:val="center"/>
    </w:pPr>
    <w:rPr>
      <w:rFonts w:eastAsia="黑体"/>
      <w:szCs w:val="21"/>
    </w:rPr>
  </w:style>
  <w:style w:type="paragraph" w:customStyle="1" w:styleId="nlw2">
    <w:name w:val="nlw表内容"/>
    <w:basedOn w:val="afffff9"/>
    <w:qFormat/>
    <w:pPr>
      <w:adjustRightInd/>
      <w:jc w:val="left"/>
      <w:textAlignment w:val="auto"/>
    </w:pPr>
    <w:rPr>
      <w:rFonts w:ascii="Times New Roman"/>
    </w:rPr>
  </w:style>
  <w:style w:type="paragraph" w:customStyle="1" w:styleId="afffff9">
    <w:name w:val="表格"/>
    <w:basedOn w:val="ab"/>
    <w:qFormat/>
    <w:pPr>
      <w:adjustRightInd w:val="0"/>
      <w:jc w:val="center"/>
      <w:textAlignment w:val="baseline"/>
    </w:pPr>
    <w:rPr>
      <w:rFonts w:ascii="宋体"/>
      <w:kern w:val="0"/>
      <w:szCs w:val="20"/>
    </w:rPr>
  </w:style>
  <w:style w:type="paragraph" w:customStyle="1" w:styleId="Char30">
    <w:name w:val="Char3"/>
    <w:basedOn w:val="ab"/>
    <w:qFormat/>
    <w:pPr>
      <w:spacing w:after="160" w:line="240" w:lineRule="exact"/>
      <w:jc w:val="left"/>
    </w:pPr>
    <w:rPr>
      <w:szCs w:val="20"/>
    </w:rPr>
  </w:style>
  <w:style w:type="paragraph" w:customStyle="1" w:styleId="1a">
    <w:name w:val="正文缩进1"/>
    <w:basedOn w:val="ab"/>
    <w:uiPriority w:val="99"/>
    <w:qFormat/>
    <w:pPr>
      <w:ind w:firstLine="420"/>
    </w:pPr>
    <w:rPr>
      <w:spacing w:val="10"/>
      <w:szCs w:val="20"/>
    </w:rPr>
  </w:style>
  <w:style w:type="paragraph" w:customStyle="1" w:styleId="afffffa">
    <w:name w:val="表格标题"/>
    <w:basedOn w:val="5"/>
    <w:qFormat/>
    <w:pPr>
      <w:keepNext w:val="0"/>
      <w:keepLines w:val="0"/>
      <w:spacing w:before="0" w:after="0" w:line="240" w:lineRule="auto"/>
      <w:jc w:val="center"/>
    </w:pPr>
    <w:rPr>
      <w:b w:val="0"/>
      <w:bCs w:val="0"/>
      <w:color w:val="000000"/>
      <w:sz w:val="21"/>
      <w:szCs w:val="21"/>
    </w:rPr>
  </w:style>
  <w:style w:type="character" w:customStyle="1" w:styleId="font41">
    <w:name w:val="font41"/>
    <w:basedOn w:val="ac"/>
    <w:qFormat/>
    <w:rPr>
      <w:rFonts w:ascii="宋体" w:eastAsia="宋体" w:hAnsi="宋体" w:cs="宋体" w:hint="eastAsia"/>
      <w:color w:val="000000"/>
      <w:sz w:val="24"/>
      <w:szCs w:val="24"/>
      <w:u w:val="none"/>
      <w:vertAlign w:val="superscript"/>
    </w:rPr>
  </w:style>
  <w:style w:type="paragraph" w:customStyle="1" w:styleId="nlw10">
    <w:name w:val="nlw标题1"/>
    <w:basedOn w:val="afffffb"/>
    <w:qFormat/>
    <w:pPr>
      <w:adjustRightInd w:val="0"/>
      <w:snapToGrid w:val="0"/>
      <w:spacing w:before="120" w:after="120" w:line="520" w:lineRule="exact"/>
      <w:ind w:left="0" w:firstLine="0"/>
      <w:jc w:val="left"/>
      <w:outlineLvl w:val="0"/>
    </w:pPr>
    <w:rPr>
      <w:rFonts w:hAnsi="黑体"/>
      <w:bCs/>
      <w:sz w:val="32"/>
      <w:szCs w:val="28"/>
    </w:rPr>
  </w:style>
  <w:style w:type="paragraph" w:customStyle="1" w:styleId="afffffb">
    <w:name w:val="章标题"/>
    <w:next w:val="ab"/>
    <w:qFormat/>
    <w:pPr>
      <w:tabs>
        <w:tab w:val="left" w:pos="1694"/>
      </w:tabs>
      <w:spacing w:beforeLines="50" w:afterLines="50"/>
      <w:ind w:left="1694" w:hanging="420"/>
      <w:jc w:val="both"/>
      <w:outlineLvl w:val="1"/>
    </w:pPr>
    <w:rPr>
      <w:rFonts w:ascii="黑体" w:eastAsia="黑体"/>
      <w:sz w:val="21"/>
    </w:rPr>
  </w:style>
  <w:style w:type="paragraph" w:customStyle="1" w:styleId="nlw20">
    <w:name w:val="nlw标题2"/>
    <w:basedOn w:val="nlw10"/>
    <w:qFormat/>
    <w:pPr>
      <w:outlineLvl w:val="1"/>
    </w:pPr>
    <w:rPr>
      <w:sz w:val="28"/>
    </w:rPr>
  </w:style>
  <w:style w:type="paragraph" w:customStyle="1" w:styleId="afffffc">
    <w:name w:val="表内序号"/>
    <w:basedOn w:val="ab"/>
    <w:qFormat/>
    <w:pPr>
      <w:adjustRightInd w:val="0"/>
      <w:snapToGrid w:val="0"/>
      <w:spacing w:before="20" w:after="20"/>
      <w:jc w:val="center"/>
    </w:pPr>
    <w:rPr>
      <w:szCs w:val="20"/>
    </w:rPr>
  </w:style>
  <w:style w:type="paragraph" w:customStyle="1" w:styleId="2SLCON221">
    <w:name w:val="样式 正文 首行缩进: 2 字符 SL CON + 首行缩进: 2 字符 + 首行缩进: 2 字符 + 首行缩..."/>
    <w:qFormat/>
    <w:pPr>
      <w:spacing w:line="360" w:lineRule="auto"/>
      <w:ind w:firstLineChars="200" w:firstLine="560"/>
      <w:jc w:val="both"/>
    </w:pPr>
    <w:rPr>
      <w:rFonts w:ascii="宋体" w:hAnsi="Calibri" w:hint="eastAsia"/>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baike.baidu.com/item/%E5%85%A8%E5%9B%BD%E4%BA%BA%E6%B0%91%E4%BB%A3%E8%A1%A8%E5%A4%A7%E4%BC%9A/117422" TargetMode="External"/><Relationship Id="rId21" Type="http://schemas.openxmlformats.org/officeDocument/2006/relationships/hyperlink" Target="https://baike.baidu.com/item/%E5%85%A8%E5%9B%BD%E4%BA%BA%E6%B0%91%E4%BB%A3%E8%A1%A8%E5%A4%A7%E4%BC%9A/117422" TargetMode="External"/><Relationship Id="rId42" Type="http://schemas.openxmlformats.org/officeDocument/2006/relationships/hyperlink" Target="https://baike.baidu.com/item/%E9%BB%84%E6%B2%B3/5394" TargetMode="External"/><Relationship Id="rId47" Type="http://schemas.openxmlformats.org/officeDocument/2006/relationships/hyperlink" Target="https://baike.baidu.com/item/%E7%A7%8B%E5%AD%A3" TargetMode="External"/><Relationship Id="rId63" Type="http://schemas.openxmlformats.org/officeDocument/2006/relationships/footer" Target="footer8.xml"/><Relationship Id="rId68" Type="http://schemas.openxmlformats.org/officeDocument/2006/relationships/footer" Target="footer1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image" Target="media/image3.png"/><Relationship Id="rId11" Type="http://schemas.openxmlformats.org/officeDocument/2006/relationships/header" Target="header1.xml"/><Relationship Id="rId24" Type="http://schemas.openxmlformats.org/officeDocument/2006/relationships/hyperlink" Target="https://baike.baidu.com/item/%E4%B8%AD%E5%8D%8E%E4%BA%BA%E6%B0%91%E5%85%B1%E5%92%8C%E5%9B%BD%E7%AC%AC%E5%8D%81%E5%B1%8A%E5%85%A8%E5%9B%BD%E4%BA%BA%E6%B0%91%E4%BB%A3%E8%A1%A8%E5%A4%A7%E4%BC%9A" TargetMode="External"/><Relationship Id="rId32" Type="http://schemas.openxmlformats.org/officeDocument/2006/relationships/image" Target="media/image4.png"/><Relationship Id="rId37" Type="http://schemas.openxmlformats.org/officeDocument/2006/relationships/hyperlink" Target="https://baike.baidu.com/item/%E6%B3%A5%E7%9B%86%E7%B3%BB" TargetMode="External"/><Relationship Id="rId40" Type="http://schemas.openxmlformats.org/officeDocument/2006/relationships/hyperlink" Target="https://baike.baidu.com/item/%E6%B3%89%E6%B0%B4/9567" TargetMode="External"/><Relationship Id="rId45" Type="http://schemas.openxmlformats.org/officeDocument/2006/relationships/hyperlink" Target="https://baike.baidu.com/item/%E6%98%A5%E5%AD%A3" TargetMode="External"/><Relationship Id="rId53" Type="http://schemas.openxmlformats.org/officeDocument/2006/relationships/hyperlink" Target="https://baike.baidu.com/item/%E5%8D%8E%E4%B8%9C%E5%9C%B0%E5%8C%BA/7596582" TargetMode="External"/><Relationship Id="rId58" Type="http://schemas.openxmlformats.org/officeDocument/2006/relationships/hyperlink" Target="https://baike.baidu.com/item/%E7%8E%AF%E6%B8%A4%E6%B5%B7%E7%BB%8F%E6%B5%8E%E5%8C%BA/5322452" TargetMode="External"/><Relationship Id="rId66" Type="http://schemas.openxmlformats.org/officeDocument/2006/relationships/footer" Target="footer10.xml"/><Relationship Id="rId5" Type="http://schemas.openxmlformats.org/officeDocument/2006/relationships/settings" Target="settings.xml"/><Relationship Id="rId61" Type="http://schemas.openxmlformats.org/officeDocument/2006/relationships/footer" Target="footer7.xml"/><Relationship Id="rId19" Type="http://schemas.openxmlformats.org/officeDocument/2006/relationships/header" Target="header5.xml"/><Relationship Id="rId14" Type="http://schemas.openxmlformats.org/officeDocument/2006/relationships/footer" Target="footer2.xml"/><Relationship Id="rId22" Type="http://schemas.openxmlformats.org/officeDocument/2006/relationships/hyperlink" Target="https://baike.baidu.com/item/%E7%AC%AC%E5%85%AB%E5%B1%8A%E5%85%A8%E5%9B%BD%E4%BA%BA%E6%B0%91%E4%BB%A3%E8%A1%A8%E5%A4%A7%E4%BC%9A%E5%B8%B8%E5%8A%A1%E5%A7%94%E5%91%98%E4%BC%9A/10230165" TargetMode="External"/><Relationship Id="rId27" Type="http://schemas.openxmlformats.org/officeDocument/2006/relationships/hyperlink" Target="https://baike.baidu.com/item/%E4%B8%AD%E5%8D%8E%E4%BA%BA%E6%B0%91%E5%85%B1%E5%92%8C%E5%9B%BD%E7%AC%AC%E5%8D%81%E4%BA%8C%E5%B1%8A%E5%85%A8%E5%9B%BD%E4%BA%BA%E6%B0%91%E4%BB%A3%E8%A1%A8%E5%A4%A7%E4%BC%9A%E5%B8%B8%E5%8A%A1%E5%A7%94%E5%91%98%E4%BC%9A/17653996" TargetMode="External"/><Relationship Id="rId30" Type="http://schemas.openxmlformats.org/officeDocument/2006/relationships/header" Target="header6.xml"/><Relationship Id="rId35" Type="http://schemas.openxmlformats.org/officeDocument/2006/relationships/hyperlink" Target="https://baike.baidu.com/item/%E4%BA%8C%E5%8F%A0%E7%B3%BB" TargetMode="External"/><Relationship Id="rId43" Type="http://schemas.openxmlformats.org/officeDocument/2006/relationships/hyperlink" Target="https://baike.baidu.com/item/%E5%A4%A7%E6%B0%94%E7%8E%AF%E6%B5%81" TargetMode="External"/><Relationship Id="rId48" Type="http://schemas.openxmlformats.org/officeDocument/2006/relationships/hyperlink" Target="https://baike.baidu.com/item/%E5%86%AC%E5%AD%A3" TargetMode="External"/><Relationship Id="rId56" Type="http://schemas.openxmlformats.org/officeDocument/2006/relationships/hyperlink" Target="https://baike.baidu.com/item/%E9%95%BF%E6%B1%9F%E4%B8%89%E8%A7%92%E6%B4%B2%E5%9C%B0%E5%8C%BA/53443160" TargetMode="External"/><Relationship Id="rId64" Type="http://schemas.openxmlformats.org/officeDocument/2006/relationships/footer" Target="footer9.xml"/><Relationship Id="rId69"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7.wmf"/><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hyperlink" Target="https://baike.baidu.com/item/%E4%B8%AD%E5%8D%8E%E4%BA%BA%E6%B0%91%E5%85%B1%E5%92%8C%E5%9B%BD%E9%81%93%E8%B7%AF%E4%BA%A4%E9%80%9A%E5%AE%89%E5%85%A8%E6%B3%95/149277" TargetMode="External"/><Relationship Id="rId33" Type="http://schemas.openxmlformats.org/officeDocument/2006/relationships/hyperlink" Target="https://baike.baidu.com/item/%E5%AF%92%E6%AD%A6%E7%B3%BB" TargetMode="External"/><Relationship Id="rId38" Type="http://schemas.openxmlformats.org/officeDocument/2006/relationships/hyperlink" Target="https://baike.baidu.com/item/%E9%95%BF%E5%9F%8E%E5%B2%AD/2525997" TargetMode="External"/><Relationship Id="rId46" Type="http://schemas.openxmlformats.org/officeDocument/2006/relationships/hyperlink" Target="https://baike.baidu.com/item/%E5%A4%8F%E5%AD%A3" TargetMode="External"/><Relationship Id="rId59" Type="http://schemas.openxmlformats.org/officeDocument/2006/relationships/hyperlink" Target="https://baike.baidu.com/item/%E5%8D%8E%E4%B8%9C%E5%9C%B0%E5%8C%BA/7596582" TargetMode="External"/><Relationship Id="rId67" Type="http://schemas.openxmlformats.org/officeDocument/2006/relationships/header" Target="header9.xml"/><Relationship Id="rId20" Type="http://schemas.openxmlformats.org/officeDocument/2006/relationships/footer" Target="footer5.xml"/><Relationship Id="rId41" Type="http://schemas.openxmlformats.org/officeDocument/2006/relationships/hyperlink" Target="https://baike.baidu.com/item/%E5%8D%95%E6%96%9C%E6%9E%84%E9%80%A0" TargetMode="External"/><Relationship Id="rId54" Type="http://schemas.openxmlformats.org/officeDocument/2006/relationships/hyperlink" Target="https://baike.baidu.com/item/%E5%8D%8E%E5%8C%97%E5%B9%B3%E5%8E%9F/555727" TargetMode="External"/><Relationship Id="rId62" Type="http://schemas.openxmlformats.org/officeDocument/2006/relationships/header" Target="header7.xm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baike.baidu.com/item/%E7%AC%AC%E5%8D%81%E4%B8%89%E5%B1%8A%E5%85%A8%E5%9B%BD%E4%BA%BA%E6%B0%91%E4%BB%A3%E8%A1%A8%E5%A4%A7%E4%BC%9A%E5%B8%B8%E5%8A%A1%E5%A7%94%E5%91%98%E4%BC%9A/22439522" TargetMode="External"/><Relationship Id="rId28" Type="http://schemas.openxmlformats.org/officeDocument/2006/relationships/hyperlink" Target="http://www.jianbiaoku.com/webarbs/book/65390/2934134.shtml" TargetMode="External"/><Relationship Id="rId36" Type="http://schemas.openxmlformats.org/officeDocument/2006/relationships/hyperlink" Target="https://baike.baidu.com/item/%E7%99%BD%E5%9E%A9%E7%B3%BB" TargetMode="External"/><Relationship Id="rId49" Type="http://schemas.openxmlformats.org/officeDocument/2006/relationships/image" Target="media/image5.png"/><Relationship Id="rId57" Type="http://schemas.openxmlformats.org/officeDocument/2006/relationships/hyperlink" Target="https://baike.baidu.com/item/%E4%B8%AD%E5%9B%BD%E4%BA%BA%E6%B0%91%E8%A7%A3%E6%94%BE%E5%86%9B%E5%8C%97%E9%83%A8%E6%88%98%E5%8C%BA/18904522" TargetMode="External"/><Relationship Id="rId10" Type="http://schemas.openxmlformats.org/officeDocument/2006/relationships/image" Target="media/image2.png"/><Relationship Id="rId31" Type="http://schemas.openxmlformats.org/officeDocument/2006/relationships/footer" Target="footer6.xml"/><Relationship Id="rId44" Type="http://schemas.openxmlformats.org/officeDocument/2006/relationships/hyperlink" Target="https://baike.baidu.com/item/%E5%AD%A3%E9%A3%8E" TargetMode="External"/><Relationship Id="rId52" Type="http://schemas.openxmlformats.org/officeDocument/2006/relationships/oleObject" Target="embeddings/oleObject1.bin"/><Relationship Id="rId60" Type="http://schemas.openxmlformats.org/officeDocument/2006/relationships/image" Target="media/image8.png"/><Relationship Id="rId65" Type="http://schemas.openxmlformats.org/officeDocument/2006/relationships/header" Target="header8.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oter" Target="footer4.xml"/><Relationship Id="rId39" Type="http://schemas.openxmlformats.org/officeDocument/2006/relationships/hyperlink" Target="https://baike.baidu.com/item/%E8%B7%91%E9%A9%AC%E5%B2%AD/15970716" TargetMode="External"/><Relationship Id="rId34" Type="http://schemas.openxmlformats.org/officeDocument/2006/relationships/hyperlink" Target="https://baike.baidu.com/item/%E7%9F%B3%E7%82%AD%E7%B3%BB" TargetMode="External"/><Relationship Id="rId50" Type="http://schemas.openxmlformats.org/officeDocument/2006/relationships/image" Target="media/image6.png"/><Relationship Id="rId55" Type="http://schemas.openxmlformats.org/officeDocument/2006/relationships/hyperlink" Target="https://baike.baidu.com/item/%E4%BA%AC%E6%B4%A5%E5%86%80/750489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A56798-AD48-47CA-97A7-B2F507ECB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116</Pages>
  <Words>13417</Words>
  <Characters>76482</Characters>
  <Application>Microsoft Office Word</Application>
  <DocSecurity>0</DocSecurity>
  <Lines>637</Lines>
  <Paragraphs>179</Paragraphs>
  <ScaleCrop>false</ScaleCrop>
  <Company/>
  <LinksUpToDate>false</LinksUpToDate>
  <CharactersWithSpaces>89720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dc:creator>
  <cp:lastModifiedBy>邓 清</cp:lastModifiedBy>
  <cp:revision>2</cp:revision>
  <cp:lastPrinted>2023-07-31T07:18:00Z</cp:lastPrinted>
  <dcterms:created xsi:type="dcterms:W3CDTF">2023-02-22T02:00:00Z</dcterms:created>
  <dcterms:modified xsi:type="dcterms:W3CDTF">2023-08-15T02:12:00Z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2879FF2897164990A5DE7951AC34E58F_13</vt:lpwstr>
  </property>
</Properties>
</file>